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2D55A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3E3C921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52"/>
          <w:szCs w:val="52"/>
          <w:highlight w:val="none"/>
        </w:rPr>
      </w:pPr>
    </w:p>
    <w:p w14:paraId="1FA6A410">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val="en-US" w:eastAsia="zh-CN"/>
        </w:rPr>
      </w:pPr>
      <w:bookmarkStart w:id="0" w:name="_Hlk9544796"/>
      <w:r>
        <w:rPr>
          <w:rFonts w:hint="eastAsia" w:ascii="宋体" w:hAnsi="宋体" w:eastAsia="宋体"/>
          <w:b/>
          <w:bCs/>
          <w:color w:val="auto"/>
          <w:sz w:val="52"/>
          <w:szCs w:val="52"/>
          <w:highlight w:val="none"/>
          <w:lang w:val="en-US" w:eastAsia="zh-CN"/>
        </w:rPr>
        <w:t>安徽省</w:t>
      </w:r>
      <w:r>
        <w:rPr>
          <w:rFonts w:hint="eastAsia" w:ascii="宋体" w:hAnsi="宋体" w:eastAsia="宋体"/>
          <w:b/>
          <w:bCs/>
          <w:color w:val="auto"/>
          <w:sz w:val="52"/>
          <w:szCs w:val="52"/>
          <w:highlight w:val="none"/>
        </w:rPr>
        <w:t>政府采购</w:t>
      </w:r>
      <w:r>
        <w:rPr>
          <w:rFonts w:hint="eastAsia" w:ascii="宋体" w:hAnsi="宋体" w:eastAsia="宋体"/>
          <w:b/>
          <w:bCs/>
          <w:color w:val="auto"/>
          <w:sz w:val="52"/>
          <w:szCs w:val="52"/>
          <w:highlight w:val="none"/>
          <w:lang w:eastAsia="zh-CN"/>
        </w:rPr>
        <w:t>项目</w:t>
      </w:r>
    </w:p>
    <w:p w14:paraId="79E083D9">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rPr>
        <w:t>公开招标文件示范文本</w:t>
      </w:r>
      <w:bookmarkEnd w:id="0"/>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服务类</w:t>
      </w:r>
      <w:r>
        <w:rPr>
          <w:rFonts w:hint="eastAsia" w:ascii="宋体" w:hAnsi="宋体" w:eastAsia="宋体"/>
          <w:b/>
          <w:bCs/>
          <w:color w:val="auto"/>
          <w:sz w:val="52"/>
          <w:szCs w:val="52"/>
          <w:highlight w:val="none"/>
          <w:lang w:eastAsia="zh-CN"/>
        </w:rPr>
        <w:t>）</w:t>
      </w:r>
    </w:p>
    <w:p w14:paraId="2AF24ADE">
      <w:pPr>
        <w:tabs>
          <w:tab w:val="left" w:pos="315"/>
          <w:tab w:val="left" w:pos="8820"/>
        </w:tabs>
        <w:spacing w:before="312" w:beforeLines="100" w:after="156" w:afterLines="50" w:line="500" w:lineRule="exact"/>
        <w:ind w:right="267" w:rightChars="127"/>
        <w:jc w:val="center"/>
        <w:rPr>
          <w:rFonts w:hint="eastAsia" w:ascii="宋体" w:hAnsi="宋体" w:eastAsia="宋体"/>
          <w:b/>
          <w:bCs/>
          <w:color w:val="auto"/>
          <w:sz w:val="52"/>
          <w:szCs w:val="52"/>
          <w:highlight w:val="none"/>
          <w:lang w:eastAsia="zh-CN"/>
        </w:rPr>
      </w:pPr>
      <w:r>
        <w:rPr>
          <w:rFonts w:hint="eastAsia" w:ascii="宋体" w:hAnsi="宋体" w:eastAsia="宋体"/>
          <w:b/>
          <w:bCs/>
          <w:color w:val="auto"/>
          <w:sz w:val="52"/>
          <w:szCs w:val="52"/>
          <w:highlight w:val="none"/>
          <w:lang w:eastAsia="zh-CN"/>
        </w:rPr>
        <w:t>（</w:t>
      </w:r>
      <w:r>
        <w:rPr>
          <w:rFonts w:hint="eastAsia" w:ascii="宋体" w:hAnsi="宋体" w:eastAsia="宋体"/>
          <w:b/>
          <w:bCs/>
          <w:color w:val="auto"/>
          <w:sz w:val="52"/>
          <w:szCs w:val="52"/>
          <w:highlight w:val="none"/>
          <w:lang w:val="en-US" w:eastAsia="zh-CN"/>
        </w:rPr>
        <w:t>2026年版</w:t>
      </w:r>
      <w:r>
        <w:rPr>
          <w:rFonts w:hint="eastAsia" w:ascii="宋体" w:hAnsi="宋体" w:eastAsia="宋体"/>
          <w:b/>
          <w:bCs/>
          <w:color w:val="auto"/>
          <w:sz w:val="52"/>
          <w:szCs w:val="52"/>
          <w:highlight w:val="none"/>
          <w:lang w:eastAsia="zh-CN"/>
        </w:rPr>
        <w:t>）</w:t>
      </w:r>
    </w:p>
    <w:p w14:paraId="4418C7B7">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1F5F7BE">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51B62ED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72E7AA3D">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5FF62D5C">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5DE23420">
      <w:pPr>
        <w:tabs>
          <w:tab w:val="left" w:pos="2410"/>
        </w:tabs>
        <w:autoSpaceDE w:val="0"/>
        <w:autoSpaceDN w:val="0"/>
        <w:adjustRightInd w:val="0"/>
        <w:snapToGrid w:val="0"/>
        <w:spacing w:line="360" w:lineRule="auto"/>
        <w:ind w:firstLine="361" w:firstLineChars="100"/>
        <w:rPr>
          <w:rFonts w:hint="eastAsia" w:ascii="宋体" w:hAnsi="宋体" w:eastAsia="宋体"/>
          <w:b/>
          <w:color w:val="auto"/>
          <w:spacing w:val="20"/>
          <w:kern w:val="0"/>
          <w:sz w:val="32"/>
          <w:szCs w:val="32"/>
          <w:highlight w:val="none"/>
          <w:u w:val="single"/>
          <w:lang w:val="en-US" w:eastAsia="zh-CN"/>
        </w:rPr>
      </w:pPr>
      <w:r>
        <w:rPr>
          <w:rFonts w:hint="eastAsia" w:ascii="宋体" w:hAnsi="宋体" w:eastAsia="宋体"/>
          <w:b/>
          <w:color w:val="auto"/>
          <w:spacing w:val="20"/>
          <w:kern w:val="0"/>
          <w:sz w:val="32"/>
          <w:szCs w:val="32"/>
          <w:highlight w:val="none"/>
        </w:rPr>
        <w:t>项目名称：</w:t>
      </w:r>
      <w:r>
        <w:rPr>
          <w:rFonts w:hint="eastAsia" w:ascii="宋体" w:hAnsi="宋体" w:eastAsia="宋体"/>
          <w:b/>
          <w:color w:val="auto"/>
          <w:spacing w:val="20"/>
          <w:kern w:val="0"/>
          <w:sz w:val="32"/>
          <w:szCs w:val="32"/>
          <w:highlight w:val="none"/>
          <w:u w:val="single"/>
          <w:lang w:val="en-US" w:eastAsia="zh-CN"/>
        </w:rPr>
        <w:t>安徽省凤阳县梅家庄-圣庙地区金钼多金属矿普查（续作）矿产地质钻探技术服务项目</w:t>
      </w:r>
    </w:p>
    <w:p w14:paraId="16764423">
      <w:pPr>
        <w:tabs>
          <w:tab w:val="left" w:pos="2410"/>
        </w:tabs>
        <w:autoSpaceDE w:val="0"/>
        <w:autoSpaceDN w:val="0"/>
        <w:adjustRightInd w:val="0"/>
        <w:snapToGrid w:val="0"/>
        <w:spacing w:line="360" w:lineRule="auto"/>
        <w:ind w:firstLine="361" w:firstLineChars="100"/>
        <w:rPr>
          <w:rFonts w:hint="default" w:ascii="宋体" w:hAnsi="宋体" w:eastAsia="宋体"/>
          <w:b/>
          <w:color w:val="auto"/>
          <w:spacing w:val="20"/>
          <w:kern w:val="0"/>
          <w:sz w:val="32"/>
          <w:szCs w:val="32"/>
          <w:highlight w:val="none"/>
          <w:lang w:val="en-US" w:eastAsia="zh-CN"/>
        </w:rPr>
      </w:pPr>
      <w:r>
        <w:rPr>
          <w:rFonts w:hint="eastAsia" w:ascii="宋体" w:hAnsi="宋体" w:eastAsia="宋体"/>
          <w:b/>
          <w:color w:val="auto"/>
          <w:spacing w:val="20"/>
          <w:kern w:val="0"/>
          <w:sz w:val="32"/>
          <w:szCs w:val="32"/>
          <w:highlight w:val="none"/>
        </w:rPr>
        <w:t>项目编号：</w:t>
      </w:r>
      <w:r>
        <w:rPr>
          <w:rFonts w:hint="eastAsia" w:ascii="宋体" w:hAnsi="宋体" w:eastAsia="宋体"/>
          <w:b/>
          <w:color w:val="auto"/>
          <w:spacing w:val="20"/>
          <w:kern w:val="0"/>
          <w:sz w:val="32"/>
          <w:szCs w:val="32"/>
          <w:highlight w:val="none"/>
          <w:u w:val="single"/>
          <w:lang w:val="en-US" w:eastAsia="zh-CN"/>
        </w:rPr>
        <w:t xml:space="preserve"> </w:t>
      </w:r>
      <w:r>
        <w:rPr>
          <w:rFonts w:hint="eastAsia" w:ascii="宋体" w:hAnsi="宋体" w:eastAsia="宋体"/>
          <w:b/>
          <w:color w:val="auto"/>
          <w:spacing w:val="20"/>
          <w:kern w:val="0"/>
          <w:sz w:val="32"/>
          <w:szCs w:val="32"/>
          <w:highlight w:val="none"/>
          <w:u w:val="single"/>
        </w:rPr>
        <w:t>czsjcg202611-005</w:t>
      </w:r>
    </w:p>
    <w:p w14:paraId="716428E7">
      <w:pPr>
        <w:tabs>
          <w:tab w:val="left" w:pos="2410"/>
        </w:tabs>
        <w:autoSpaceDE w:val="0"/>
        <w:autoSpaceDN w:val="0"/>
        <w:adjustRightInd w:val="0"/>
        <w:snapToGrid w:val="0"/>
        <w:spacing w:line="360" w:lineRule="auto"/>
        <w:ind w:firstLine="361" w:firstLineChars="1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 购 人：</w:t>
      </w:r>
      <w:r>
        <w:rPr>
          <w:rFonts w:hint="eastAsia" w:ascii="宋体" w:hAnsi="宋体" w:eastAsia="宋体"/>
          <w:b/>
          <w:color w:val="auto"/>
          <w:spacing w:val="20"/>
          <w:kern w:val="0"/>
          <w:sz w:val="32"/>
          <w:szCs w:val="32"/>
          <w:highlight w:val="none"/>
          <w:u w:val="single"/>
          <w:lang w:eastAsia="zh-CN"/>
        </w:rPr>
        <w:t>华东冶金地质勘查局八一一地质队</w:t>
      </w:r>
    </w:p>
    <w:p w14:paraId="7E22BA37">
      <w:pPr>
        <w:tabs>
          <w:tab w:val="left" w:pos="2410"/>
        </w:tabs>
        <w:autoSpaceDE w:val="0"/>
        <w:autoSpaceDN w:val="0"/>
        <w:adjustRightInd w:val="0"/>
        <w:snapToGrid w:val="0"/>
        <w:spacing w:line="360" w:lineRule="auto"/>
        <w:ind w:firstLine="361" w:firstLineChars="100"/>
        <w:rPr>
          <w:rFonts w:hint="default" w:ascii="宋体" w:hAnsi="宋体" w:eastAsia="宋体"/>
          <w:b/>
          <w:color w:val="auto"/>
          <w:spacing w:val="20"/>
          <w:kern w:val="0"/>
          <w:sz w:val="32"/>
          <w:szCs w:val="32"/>
          <w:highlight w:val="none"/>
          <w:lang w:val="en-US"/>
        </w:rPr>
      </w:pPr>
      <w:r>
        <w:rPr>
          <w:rFonts w:hint="eastAsia" w:ascii="宋体" w:hAnsi="宋体" w:eastAsia="宋体"/>
          <w:b/>
          <w:color w:val="auto"/>
          <w:spacing w:val="20"/>
          <w:kern w:val="0"/>
          <w:sz w:val="32"/>
          <w:szCs w:val="32"/>
          <w:highlight w:val="none"/>
        </w:rPr>
        <w:t>采购代理机构：</w:t>
      </w:r>
      <w:r>
        <w:rPr>
          <w:rFonts w:hint="eastAsia" w:ascii="宋体" w:hAnsi="宋体" w:eastAsia="宋体"/>
          <w:b/>
          <w:color w:val="auto"/>
          <w:spacing w:val="20"/>
          <w:kern w:val="0"/>
          <w:sz w:val="32"/>
          <w:szCs w:val="32"/>
          <w:highlight w:val="none"/>
          <w:u w:val="single"/>
          <w:lang w:eastAsia="zh-CN"/>
        </w:rPr>
        <w:t>滁州市城投工程咨询管理有限公司</w:t>
      </w:r>
    </w:p>
    <w:p w14:paraId="528EC12B">
      <w:pPr>
        <w:tabs>
          <w:tab w:val="left" w:pos="315"/>
          <w:tab w:val="left" w:pos="8820"/>
        </w:tabs>
        <w:spacing w:before="312" w:beforeLines="100" w:after="156" w:afterLines="50" w:line="500" w:lineRule="exact"/>
        <w:ind w:right="267" w:rightChars="127"/>
        <w:jc w:val="center"/>
        <w:rPr>
          <w:rFonts w:ascii="宋体" w:hAnsi="宋体" w:eastAsia="宋体"/>
          <w:b/>
          <w:bCs/>
          <w:color w:val="auto"/>
          <w:sz w:val="44"/>
          <w:szCs w:val="44"/>
          <w:highlight w:val="none"/>
        </w:rPr>
      </w:pPr>
    </w:p>
    <w:p w14:paraId="56BEC08B">
      <w:pPr>
        <w:tabs>
          <w:tab w:val="left" w:pos="2410"/>
        </w:tabs>
        <w:autoSpaceDE w:val="0"/>
        <w:autoSpaceDN w:val="0"/>
        <w:adjustRightInd w:val="0"/>
        <w:snapToGrid w:val="0"/>
        <w:spacing w:line="360" w:lineRule="auto"/>
        <w:jc w:val="center"/>
        <w:rPr>
          <w:rFonts w:ascii="宋体" w:hAnsi="宋体" w:eastAsia="宋体"/>
          <w:b/>
          <w:color w:val="auto"/>
          <w:sz w:val="36"/>
          <w:highlight w:val="none"/>
        </w:rPr>
      </w:pPr>
      <w:r>
        <w:rPr>
          <w:rFonts w:hint="eastAsia" w:ascii="宋体" w:hAnsi="宋体" w:eastAsia="宋体"/>
          <w:b/>
          <w:color w:val="auto"/>
          <w:sz w:val="36"/>
          <w:highlight w:val="none"/>
          <w:u w:val="single"/>
          <w:lang w:val="en-US" w:eastAsia="zh-CN"/>
        </w:rPr>
        <w:t>2026</w:t>
      </w:r>
      <w:r>
        <w:rPr>
          <w:rFonts w:hint="eastAsia" w:ascii="宋体" w:hAnsi="宋体" w:eastAsia="宋体"/>
          <w:b/>
          <w:color w:val="auto"/>
          <w:sz w:val="36"/>
          <w:highlight w:val="none"/>
        </w:rPr>
        <w:t>年</w:t>
      </w:r>
      <w:r>
        <w:rPr>
          <w:rFonts w:hint="eastAsia" w:ascii="宋体" w:hAnsi="宋体" w:eastAsia="宋体"/>
          <w:b/>
          <w:color w:val="auto"/>
          <w:sz w:val="36"/>
          <w:highlight w:val="none"/>
          <w:u w:val="single"/>
        </w:rPr>
        <w:t xml:space="preserve"> </w:t>
      </w:r>
      <w:r>
        <w:rPr>
          <w:rFonts w:hint="eastAsia" w:ascii="宋体" w:hAnsi="宋体" w:eastAsia="宋体"/>
          <w:b/>
          <w:color w:val="auto"/>
          <w:sz w:val="36"/>
          <w:highlight w:val="none"/>
          <w:u w:val="single"/>
          <w:lang w:val="en-US" w:eastAsia="zh-CN"/>
        </w:rPr>
        <w:t>11</w:t>
      </w:r>
      <w:r>
        <w:rPr>
          <w:rFonts w:hint="eastAsia" w:ascii="宋体" w:hAnsi="宋体" w:eastAsia="宋体"/>
          <w:b/>
          <w:color w:val="auto"/>
          <w:sz w:val="36"/>
          <w:highlight w:val="none"/>
        </w:rPr>
        <w:t>月</w:t>
      </w:r>
      <w:r>
        <w:rPr>
          <w:rFonts w:ascii="宋体" w:hAnsi="宋体" w:eastAsia="宋体"/>
          <w:b/>
          <w:color w:val="auto"/>
          <w:sz w:val="36"/>
          <w:highlight w:val="none"/>
        </w:rPr>
        <w:br w:type="page"/>
      </w:r>
    </w:p>
    <w:p w14:paraId="45ADF1E7">
      <w:pPr>
        <w:tabs>
          <w:tab w:val="left" w:pos="2410"/>
        </w:tabs>
        <w:autoSpaceDE w:val="0"/>
        <w:autoSpaceDN w:val="0"/>
        <w:adjustRightInd w:val="0"/>
        <w:snapToGrid w:val="0"/>
        <w:spacing w:line="360" w:lineRule="auto"/>
        <w:jc w:val="center"/>
        <w:rPr>
          <w:rFonts w:ascii="宋体" w:hAnsi="宋体" w:eastAsia="宋体"/>
          <w:b/>
          <w:color w:val="auto"/>
          <w:sz w:val="28"/>
          <w:highlight w:val="none"/>
        </w:rPr>
      </w:pPr>
      <w:r>
        <w:rPr>
          <w:rFonts w:hint="eastAsia" w:ascii="宋体" w:hAnsi="宋体" w:eastAsia="宋体"/>
          <w:b/>
          <w:color w:val="auto"/>
          <w:sz w:val="28"/>
          <w:highlight w:val="none"/>
        </w:rPr>
        <w:t>目  录</w:t>
      </w:r>
    </w:p>
    <w:p w14:paraId="767AAE4C">
      <w:pPr>
        <w:pStyle w:val="15"/>
        <w:tabs>
          <w:tab w:val="right" w:leader="dot" w:pos="8306"/>
        </w:tabs>
        <w:rPr>
          <w:color w:val="auto"/>
          <w:highlight w:val="none"/>
        </w:rPr>
      </w:pPr>
      <w:r>
        <w:rPr>
          <w:rFonts w:asciiTheme="minorEastAsia" w:hAnsiTheme="minorEastAsia"/>
          <w:b/>
          <w:color w:val="auto"/>
          <w:sz w:val="24"/>
          <w:szCs w:val="24"/>
          <w:highlight w:val="none"/>
        </w:rPr>
        <w:fldChar w:fldCharType="begin"/>
      </w:r>
      <w:r>
        <w:rPr>
          <w:rFonts w:asciiTheme="minorEastAsia" w:hAnsiTheme="minorEastAsia"/>
          <w:b/>
          <w:color w:val="auto"/>
          <w:sz w:val="24"/>
          <w:szCs w:val="24"/>
          <w:highlight w:val="none"/>
        </w:rPr>
        <w:instrText xml:space="preserve"> </w:instrText>
      </w:r>
      <w:r>
        <w:rPr>
          <w:rFonts w:hint="eastAsia" w:asciiTheme="minorEastAsia" w:hAnsiTheme="minorEastAsia"/>
          <w:b/>
          <w:color w:val="auto"/>
          <w:sz w:val="24"/>
          <w:szCs w:val="24"/>
          <w:highlight w:val="none"/>
        </w:rPr>
        <w:instrText xml:space="preserve">TOC \o "1-2" \h \z \u</w:instrText>
      </w:r>
      <w:r>
        <w:rPr>
          <w:rFonts w:asciiTheme="minorEastAsia" w:hAnsiTheme="minorEastAsia"/>
          <w:b/>
          <w:color w:val="auto"/>
          <w:sz w:val="24"/>
          <w:szCs w:val="24"/>
          <w:highlight w:val="none"/>
        </w:rPr>
        <w:instrText xml:space="preserve"> </w:instrText>
      </w:r>
      <w:r>
        <w:rPr>
          <w:rFonts w:asciiTheme="minorEastAsia" w:hAnsiTheme="minorEastAsia"/>
          <w:b/>
          <w:color w:val="auto"/>
          <w:sz w:val="24"/>
          <w:szCs w:val="24"/>
          <w:highlight w:val="none"/>
        </w:rPr>
        <w:fldChar w:fldCharType="separate"/>
      </w: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_Toc32331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 xml:space="preserve">第一章 </w:t>
      </w:r>
      <w:r>
        <w:rPr>
          <w:rFonts w:asciiTheme="minorEastAsia" w:hAnsiTheme="minorEastAsia" w:eastAsiaTheme="minorEastAsia"/>
          <w:color w:val="auto"/>
          <w:highlight w:val="none"/>
        </w:rPr>
        <w:t xml:space="preserve"> 投标邀请</w:t>
      </w:r>
      <w:r>
        <w:rPr>
          <w:color w:val="auto"/>
          <w:highlight w:val="none"/>
        </w:rPr>
        <w:tab/>
      </w:r>
      <w:r>
        <w:rPr>
          <w:color w:val="auto"/>
          <w:highlight w:val="none"/>
        </w:rPr>
        <w:fldChar w:fldCharType="begin"/>
      </w:r>
      <w:r>
        <w:rPr>
          <w:color w:val="auto"/>
          <w:highlight w:val="none"/>
        </w:rPr>
        <w:instrText xml:space="preserve"> PAGEREF _Toc32331 \h </w:instrText>
      </w:r>
      <w:r>
        <w:rPr>
          <w:color w:val="auto"/>
          <w:highlight w:val="none"/>
        </w:rPr>
        <w:fldChar w:fldCharType="separate"/>
      </w:r>
      <w:r>
        <w:rPr>
          <w:color w:val="auto"/>
          <w:highlight w:val="none"/>
        </w:rPr>
        <w:t>1</w:t>
      </w:r>
      <w:r>
        <w:rPr>
          <w:color w:val="auto"/>
          <w:highlight w:val="none"/>
        </w:rPr>
        <w:fldChar w:fldCharType="end"/>
      </w:r>
      <w:r>
        <w:rPr>
          <w:rFonts w:asciiTheme="minorEastAsia" w:hAnsiTheme="minorEastAsia" w:eastAsiaTheme="minorEastAsia"/>
          <w:color w:val="auto"/>
          <w:szCs w:val="24"/>
          <w:highlight w:val="none"/>
        </w:rPr>
        <w:fldChar w:fldCharType="end"/>
      </w:r>
    </w:p>
    <w:p w14:paraId="17220D1B">
      <w:pPr>
        <w:pStyle w:val="15"/>
        <w:tabs>
          <w:tab w:val="right" w:leader="dot" w:pos="8306"/>
        </w:tabs>
        <w:rPr>
          <w:color w:val="auto"/>
          <w:highlight w:val="none"/>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_Toc8888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第二章</w:t>
      </w:r>
      <w:r>
        <w:rPr>
          <w:rFonts w:asciiTheme="minorEastAsia" w:hAnsiTheme="minorEastAsia" w:eastAsiaTheme="minorEastAsia"/>
          <w:color w:val="auto"/>
          <w:highlight w:val="none"/>
        </w:rPr>
        <w:t xml:space="preserve"> </w:t>
      </w:r>
      <w:r>
        <w:rPr>
          <w:rFonts w:hint="eastAsia" w:asciiTheme="minorEastAsia" w:hAnsiTheme="minorEastAsia" w:eastAsiaTheme="minorEastAsia"/>
          <w:color w:val="auto"/>
          <w:highlight w:val="none"/>
        </w:rPr>
        <w:t xml:space="preserve"> </w:t>
      </w:r>
      <w:r>
        <w:rPr>
          <w:rFonts w:asciiTheme="minorEastAsia" w:hAnsiTheme="minorEastAsia" w:eastAsiaTheme="minorEastAsia"/>
          <w:color w:val="auto"/>
          <w:highlight w:val="none"/>
        </w:rPr>
        <w:t>投标人须知</w:t>
      </w:r>
      <w:r>
        <w:rPr>
          <w:color w:val="auto"/>
          <w:highlight w:val="none"/>
        </w:rPr>
        <w:tab/>
      </w:r>
      <w:r>
        <w:rPr>
          <w:rFonts w:hint="eastAsia"/>
          <w:color w:val="auto"/>
          <w:highlight w:val="none"/>
          <w:lang w:val="en-US" w:eastAsia="zh-CN"/>
        </w:rPr>
        <w:t>5</w:t>
      </w:r>
      <w:r>
        <w:rPr>
          <w:rFonts w:asciiTheme="minorEastAsia" w:hAnsiTheme="minorEastAsia" w:eastAsiaTheme="minorEastAsia"/>
          <w:color w:val="auto"/>
          <w:szCs w:val="24"/>
          <w:highlight w:val="none"/>
        </w:rPr>
        <w:fldChar w:fldCharType="end"/>
      </w:r>
    </w:p>
    <w:p w14:paraId="1CBFE50E">
      <w:pPr>
        <w:pStyle w:val="15"/>
        <w:tabs>
          <w:tab w:val="right" w:leader="dot" w:pos="8306"/>
        </w:tabs>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_Toc22605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lang w:eastAsia="zh-CN"/>
        </w:rPr>
        <w:t xml:space="preserve">第三章 </w:t>
      </w:r>
      <w:r>
        <w:rPr>
          <w:rFonts w:hint="eastAsia" w:asciiTheme="minorEastAsia" w:hAnsiTheme="minorEastAsia"/>
          <w:color w:val="auto"/>
          <w:highlight w:val="none"/>
          <w:lang w:val="en-US" w:eastAsia="zh-CN"/>
        </w:rPr>
        <w:t xml:space="preserve"> </w:t>
      </w:r>
      <w:r>
        <w:rPr>
          <w:rFonts w:hint="eastAsia" w:asciiTheme="minorEastAsia" w:hAnsiTheme="minorEastAsia" w:eastAsiaTheme="minorEastAsia"/>
          <w:color w:val="auto"/>
          <w:highlight w:val="none"/>
        </w:rPr>
        <w:t>采购需求</w:t>
      </w:r>
      <w:r>
        <w:rPr>
          <w:color w:val="auto"/>
          <w:highlight w:val="none"/>
        </w:rPr>
        <w:tab/>
      </w:r>
      <w:r>
        <w:rPr>
          <w:rFonts w:hint="eastAsia"/>
          <w:color w:val="auto"/>
          <w:highlight w:val="none"/>
          <w:lang w:val="en-US" w:eastAsia="zh-CN"/>
        </w:rPr>
        <w:t>2</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5</w:t>
      </w:r>
    </w:p>
    <w:p w14:paraId="714F2A27">
      <w:pPr>
        <w:pStyle w:val="15"/>
        <w:tabs>
          <w:tab w:val="right" w:leader="dot" w:pos="8306"/>
        </w:tabs>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_Toc30824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第四章  评标方法和标准（综合评分法）</w:t>
      </w:r>
      <w:r>
        <w:rPr>
          <w:color w:val="auto"/>
          <w:highlight w:val="none"/>
        </w:rPr>
        <w:tab/>
      </w:r>
      <w:r>
        <w:rPr>
          <w:rFonts w:hint="eastAsia"/>
          <w:color w:val="auto"/>
          <w:highlight w:val="none"/>
          <w:lang w:val="en-US" w:eastAsia="zh-CN"/>
        </w:rPr>
        <w:t>2</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9</w:t>
      </w:r>
    </w:p>
    <w:p w14:paraId="66B74C3F">
      <w:pPr>
        <w:pStyle w:val="15"/>
        <w:tabs>
          <w:tab w:val="right" w:leader="dot" w:pos="8306"/>
        </w:tabs>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_Toc20405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 xml:space="preserve">第五章  </w:t>
      </w:r>
      <w:r>
        <w:rPr>
          <w:rFonts w:asciiTheme="minorEastAsia" w:hAnsiTheme="minorEastAsia" w:eastAsiaTheme="minorEastAsia"/>
          <w:color w:val="auto"/>
          <w:highlight w:val="none"/>
        </w:rPr>
        <w:t>政府采购合同</w:t>
      </w:r>
      <w:r>
        <w:rPr>
          <w:color w:val="auto"/>
          <w:highlight w:val="none"/>
        </w:rPr>
        <w:tab/>
      </w:r>
      <w:r>
        <w:rPr>
          <w:rFonts w:hint="eastAsia"/>
          <w:color w:val="auto"/>
          <w:highlight w:val="none"/>
          <w:lang w:val="en-US" w:eastAsia="zh-CN"/>
        </w:rPr>
        <w:t>4</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1</w:t>
      </w:r>
    </w:p>
    <w:p w14:paraId="675A88DC">
      <w:pPr>
        <w:pStyle w:val="15"/>
        <w:tabs>
          <w:tab w:val="right" w:leader="dot" w:pos="8306"/>
        </w:tabs>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_Toc13555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第六章  投标文件格式</w:t>
      </w:r>
      <w:r>
        <w:rPr>
          <w:color w:val="auto"/>
          <w:highlight w:val="none"/>
        </w:rPr>
        <w:tab/>
      </w:r>
      <w:r>
        <w:rPr>
          <w:rFonts w:hint="eastAsia"/>
          <w:color w:val="auto"/>
          <w:highlight w:val="none"/>
          <w:lang w:val="en-US" w:eastAsia="zh-CN"/>
        </w:rPr>
        <w:t>5</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9</w:t>
      </w:r>
    </w:p>
    <w:p w14:paraId="7F099B56">
      <w:pPr>
        <w:pStyle w:val="15"/>
        <w:tabs>
          <w:tab w:val="right" w:leader="dot" w:pos="8306"/>
        </w:tabs>
        <w:rPr>
          <w:rFonts w:hint="eastAsia" w:eastAsiaTheme="minorEastAsia"/>
          <w:color w:val="auto"/>
          <w:highlight w:val="none"/>
          <w:lang w:val="en-US" w:eastAsia="zh-CN"/>
        </w:rPr>
      </w:pPr>
      <w:r>
        <w:rPr>
          <w:rFonts w:asciiTheme="minorEastAsia" w:hAnsiTheme="minorEastAsia" w:eastAsiaTheme="minorEastAsia"/>
          <w:color w:val="auto"/>
          <w:szCs w:val="24"/>
          <w:highlight w:val="none"/>
        </w:rPr>
        <w:fldChar w:fldCharType="begin"/>
      </w:r>
      <w:r>
        <w:rPr>
          <w:rFonts w:asciiTheme="minorEastAsia" w:hAnsiTheme="minorEastAsia" w:eastAsiaTheme="minorEastAsia"/>
          <w:color w:val="auto"/>
          <w:szCs w:val="24"/>
          <w:highlight w:val="none"/>
        </w:rPr>
        <w:instrText xml:space="preserve"> HYPERLINK \l _Toc20819 </w:instrText>
      </w:r>
      <w:r>
        <w:rPr>
          <w:rFonts w:asciiTheme="minorEastAsia" w:hAnsiTheme="minorEastAsia" w:eastAsiaTheme="minorEastAsia"/>
          <w:color w:val="auto"/>
          <w:szCs w:val="24"/>
          <w:highlight w:val="none"/>
        </w:rPr>
        <w:fldChar w:fldCharType="separate"/>
      </w:r>
      <w:r>
        <w:rPr>
          <w:rFonts w:hint="eastAsia" w:asciiTheme="minorEastAsia" w:hAnsiTheme="minorEastAsia" w:eastAsiaTheme="minorEastAsia"/>
          <w:color w:val="auto"/>
          <w:highlight w:val="none"/>
        </w:rPr>
        <w:t>第</w:t>
      </w:r>
      <w:r>
        <w:rPr>
          <w:rFonts w:hint="eastAsia" w:asciiTheme="minorEastAsia" w:hAnsiTheme="minorEastAsia" w:eastAsiaTheme="minorEastAsia"/>
          <w:color w:val="auto"/>
          <w:highlight w:val="none"/>
          <w:lang w:val="en-US" w:eastAsia="zh-CN"/>
        </w:rPr>
        <w:t>七</w:t>
      </w:r>
      <w:r>
        <w:rPr>
          <w:rFonts w:hint="eastAsia" w:asciiTheme="minorEastAsia" w:hAnsiTheme="minorEastAsia" w:eastAsiaTheme="minorEastAsia"/>
          <w:color w:val="auto"/>
          <w:highlight w:val="none"/>
        </w:rPr>
        <w:t>章</w:t>
      </w:r>
      <w:r>
        <w:rPr>
          <w:rFonts w:hint="eastAsia" w:ascii="宋体" w:hAnsi="宋体" w:eastAsia="宋体"/>
          <w:bCs/>
          <w:color w:val="auto"/>
          <w:highlight w:val="none"/>
        </w:rPr>
        <w:t xml:space="preserve">  政府采购</w:t>
      </w:r>
      <w:r>
        <w:rPr>
          <w:rFonts w:hint="eastAsia" w:asciiTheme="minorEastAsia" w:hAnsiTheme="minorEastAsia" w:eastAsiaTheme="minorEastAsia"/>
          <w:color w:val="auto"/>
          <w:highlight w:val="none"/>
        </w:rPr>
        <w:t>供应</w:t>
      </w:r>
      <w:r>
        <w:rPr>
          <w:rFonts w:hint="eastAsia" w:ascii="宋体" w:hAnsi="宋体" w:eastAsia="宋体"/>
          <w:bCs/>
          <w:color w:val="auto"/>
          <w:highlight w:val="none"/>
        </w:rPr>
        <w:t>商询问函和质疑函范本</w:t>
      </w:r>
      <w:r>
        <w:rPr>
          <w:color w:val="auto"/>
          <w:highlight w:val="none"/>
        </w:rPr>
        <w:tab/>
      </w:r>
      <w:r>
        <w:rPr>
          <w:rFonts w:hint="eastAsia"/>
          <w:color w:val="auto"/>
          <w:highlight w:val="none"/>
          <w:lang w:val="en-US" w:eastAsia="zh-CN"/>
        </w:rPr>
        <w:t>7</w:t>
      </w:r>
      <w:r>
        <w:rPr>
          <w:rFonts w:asciiTheme="minorEastAsia" w:hAnsiTheme="minorEastAsia" w:eastAsiaTheme="minorEastAsia"/>
          <w:color w:val="auto"/>
          <w:szCs w:val="24"/>
          <w:highlight w:val="none"/>
        </w:rPr>
        <w:fldChar w:fldCharType="end"/>
      </w:r>
      <w:r>
        <w:rPr>
          <w:rFonts w:hint="eastAsia" w:asciiTheme="minorEastAsia" w:hAnsiTheme="minorEastAsia"/>
          <w:color w:val="auto"/>
          <w:szCs w:val="24"/>
          <w:highlight w:val="none"/>
          <w:lang w:val="en-US" w:eastAsia="zh-CN"/>
        </w:rPr>
        <w:t>1</w:t>
      </w:r>
    </w:p>
    <w:p w14:paraId="30989348">
      <w:pPr>
        <w:spacing w:line="360" w:lineRule="auto"/>
        <w:rPr>
          <w:rFonts w:asciiTheme="minorEastAsia" w:hAnsiTheme="minorEastAsia" w:eastAsiaTheme="minorEastAsia"/>
          <w:b/>
          <w:color w:val="auto"/>
          <w:sz w:val="32"/>
          <w:highlight w:val="none"/>
        </w:rPr>
      </w:pPr>
      <w:r>
        <w:rPr>
          <w:rFonts w:asciiTheme="minorEastAsia" w:hAnsiTheme="minorEastAsia" w:eastAsiaTheme="minorEastAsia"/>
          <w:color w:val="auto"/>
          <w:szCs w:val="24"/>
          <w:highlight w:val="none"/>
        </w:rPr>
        <w:fldChar w:fldCharType="end"/>
      </w:r>
    </w:p>
    <w:p w14:paraId="30563B08">
      <w:pPr>
        <w:spacing w:line="360" w:lineRule="auto"/>
        <w:jc w:val="center"/>
        <w:outlineLvl w:val="1"/>
        <w:rPr>
          <w:rFonts w:asciiTheme="minorEastAsia" w:hAnsiTheme="minorEastAsia" w:eastAsiaTheme="minorEastAsia"/>
          <w:b/>
          <w:color w:val="auto"/>
          <w:sz w:val="28"/>
          <w:highlight w:val="none"/>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14:paraId="1D8F8FCB">
      <w:pPr>
        <w:spacing w:line="360" w:lineRule="auto"/>
        <w:jc w:val="center"/>
        <w:outlineLvl w:val="0"/>
        <w:rPr>
          <w:rFonts w:asciiTheme="minorEastAsia" w:hAnsiTheme="minorEastAsia" w:eastAsiaTheme="minorEastAsia"/>
          <w:b/>
          <w:color w:val="auto"/>
          <w:sz w:val="28"/>
          <w:highlight w:val="none"/>
        </w:rPr>
      </w:pPr>
      <w:bookmarkStart w:id="1" w:name="_Toc32331"/>
      <w:r>
        <w:rPr>
          <w:rFonts w:hint="eastAsia" w:asciiTheme="minorEastAsia" w:hAnsiTheme="minorEastAsia" w:eastAsiaTheme="minorEastAsia"/>
          <w:b/>
          <w:color w:val="auto"/>
          <w:sz w:val="28"/>
          <w:highlight w:val="none"/>
        </w:rPr>
        <w:t xml:space="preserve">第一章 </w:t>
      </w:r>
      <w:r>
        <w:rPr>
          <w:rFonts w:asciiTheme="minorEastAsia" w:hAnsiTheme="minorEastAsia" w:eastAsiaTheme="minorEastAsia"/>
          <w:b/>
          <w:color w:val="auto"/>
          <w:sz w:val="28"/>
          <w:highlight w:val="none"/>
        </w:rPr>
        <w:t xml:space="preserve"> 投标邀请</w:t>
      </w:r>
      <w:bookmarkEnd w:id="1"/>
    </w:p>
    <w:p w14:paraId="7AA45134">
      <w:pPr>
        <w:spacing w:line="360" w:lineRule="auto"/>
        <w:ind w:firstLine="437"/>
        <w:outlineLvl w:val="1"/>
        <w:rPr>
          <w:rFonts w:hint="eastAsia" w:ascii="宋体" w:hAnsi="宋体" w:eastAsia="宋体"/>
          <w:b/>
          <w:bCs/>
          <w:color w:val="auto"/>
          <w:sz w:val="24"/>
          <w:szCs w:val="18"/>
          <w:highlight w:val="none"/>
        </w:rPr>
      </w:pPr>
      <w:bookmarkStart w:id="2" w:name="_Toc1381"/>
      <w:bookmarkStart w:id="3" w:name="_Toc31518"/>
      <w:r>
        <w:rPr>
          <w:rFonts w:hint="eastAsia" w:ascii="宋体" w:hAnsi="宋体" w:eastAsia="宋体"/>
          <w:b/>
          <w:bCs/>
          <w:color w:val="auto"/>
          <w:sz w:val="24"/>
          <w:szCs w:val="18"/>
          <w:highlight w:val="none"/>
        </w:rPr>
        <w:t>一、</w:t>
      </w:r>
      <w:bookmarkEnd w:id="2"/>
      <w:r>
        <w:rPr>
          <w:rFonts w:hint="eastAsia" w:ascii="宋体" w:hAnsi="宋体" w:eastAsia="宋体"/>
          <w:b/>
          <w:bCs/>
          <w:color w:val="auto"/>
          <w:sz w:val="24"/>
          <w:szCs w:val="18"/>
          <w:highlight w:val="none"/>
        </w:rPr>
        <w:t>项目基本情况</w:t>
      </w:r>
      <w:bookmarkEnd w:id="3"/>
    </w:p>
    <w:p w14:paraId="7DF33BD4">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1.项目编号：</w:t>
      </w:r>
      <w:r>
        <w:rPr>
          <w:rFonts w:hint="eastAsia" w:asciiTheme="minorEastAsia" w:hAnsiTheme="minorEastAsia" w:eastAsiaTheme="minorEastAsia"/>
          <w:color w:val="auto"/>
          <w:sz w:val="24"/>
          <w:highlight w:val="none"/>
          <w:u w:val="single"/>
        </w:rPr>
        <w:t>czsjcg202611-005</w:t>
      </w:r>
    </w:p>
    <w:p w14:paraId="71F0B803">
      <w:pPr>
        <w:spacing w:line="360" w:lineRule="auto"/>
        <w:ind w:firstLine="435"/>
        <w:rPr>
          <w:rFonts w:hint="eastAsia"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2.项目名称：</w:t>
      </w:r>
      <w:r>
        <w:rPr>
          <w:rFonts w:hint="eastAsia" w:asciiTheme="minorEastAsia" w:hAnsiTheme="minorEastAsia" w:eastAsiaTheme="minorEastAsia"/>
          <w:color w:val="auto"/>
          <w:sz w:val="24"/>
          <w:highlight w:val="none"/>
          <w:u w:val="single"/>
        </w:rPr>
        <w:t>安徽省凤阳县梅家庄-圣庙地区金钼多金属矿普查（续作）矿产地质钻探技术服务项目</w:t>
      </w:r>
    </w:p>
    <w:p w14:paraId="5D3F207A">
      <w:pPr>
        <w:spacing w:line="360" w:lineRule="auto"/>
        <w:ind w:firstLine="435"/>
        <w:rPr>
          <w:rFonts w:hint="default"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rPr>
        <w:t>3.预算金额：</w:t>
      </w:r>
      <w:r>
        <w:rPr>
          <w:rFonts w:hint="eastAsia" w:ascii="宋体" w:hAnsi="宋体" w:eastAsia="宋体"/>
          <w:color w:val="auto"/>
          <w:sz w:val="24"/>
          <w:szCs w:val="18"/>
          <w:highlight w:val="none"/>
          <w:u w:val="single"/>
          <w:lang w:val="en-US" w:eastAsia="zh-CN"/>
        </w:rPr>
        <w:t>4463300.00元</w:t>
      </w:r>
    </w:p>
    <w:p w14:paraId="3E6D10E6">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4.最高限价：</w:t>
      </w:r>
      <w:r>
        <w:rPr>
          <w:rFonts w:hint="eastAsia" w:ascii="宋体" w:hAnsi="宋体" w:eastAsia="宋体"/>
          <w:color w:val="auto"/>
          <w:sz w:val="24"/>
          <w:szCs w:val="18"/>
          <w:highlight w:val="none"/>
          <w:u w:val="single"/>
          <w:lang w:val="en-US" w:eastAsia="zh-CN"/>
        </w:rPr>
        <w:t>4463300.00元</w:t>
      </w:r>
    </w:p>
    <w:p w14:paraId="60FB52BA">
      <w:pPr>
        <w:spacing w:line="360" w:lineRule="auto"/>
        <w:ind w:firstLine="435"/>
        <w:rPr>
          <w:rFonts w:hint="eastAsia" w:ascii="宋体" w:hAnsi="宋体" w:eastAsia="宋体"/>
          <w:color w:val="auto"/>
          <w:sz w:val="24"/>
          <w:szCs w:val="18"/>
          <w:highlight w:val="none"/>
          <w:u w:val="single"/>
          <w:lang w:val="en-US" w:eastAsia="zh-CN"/>
        </w:rPr>
      </w:pPr>
      <w:r>
        <w:rPr>
          <w:rFonts w:hint="eastAsia" w:asciiTheme="minorEastAsia" w:hAnsiTheme="minorEastAsia" w:eastAsiaTheme="minorEastAsia"/>
          <w:color w:val="auto"/>
          <w:sz w:val="24"/>
          <w:highlight w:val="none"/>
        </w:rPr>
        <w:t>5.采购需求：</w:t>
      </w:r>
      <w:r>
        <w:rPr>
          <w:rFonts w:hint="eastAsia" w:ascii="宋体" w:hAnsi="宋体" w:eastAsia="宋体"/>
          <w:color w:val="auto"/>
          <w:sz w:val="24"/>
          <w:szCs w:val="18"/>
          <w:highlight w:val="none"/>
          <w:u w:val="single"/>
          <w:lang w:val="en-US" w:eastAsia="zh-CN"/>
        </w:rPr>
        <w:t>安徽省凤阳县梅家庄-圣庙地区金钼多金属矿普查（续作）矿产地质钻探技术服务</w:t>
      </w:r>
    </w:p>
    <w:p w14:paraId="0C68BFCB">
      <w:pPr>
        <w:spacing w:line="360" w:lineRule="auto"/>
        <w:ind w:firstLine="435"/>
        <w:rPr>
          <w:rFonts w:hint="eastAsia" w:ascii="宋体" w:hAnsi="宋体" w:eastAsia="宋体"/>
          <w:color w:val="auto"/>
          <w:sz w:val="24"/>
          <w:szCs w:val="18"/>
          <w:highlight w:val="none"/>
          <w:u w:val="single"/>
          <w:lang w:val="en-US" w:eastAsia="zh-CN"/>
        </w:rPr>
      </w:pPr>
      <w:r>
        <w:rPr>
          <w:rFonts w:hint="eastAsia" w:asciiTheme="minorEastAsia" w:hAnsiTheme="minorEastAsia" w:eastAsiaTheme="minorEastAsia"/>
          <w:color w:val="auto"/>
          <w:sz w:val="24"/>
          <w:highlight w:val="none"/>
        </w:rPr>
        <w:t>6.合同履行期限：</w:t>
      </w:r>
      <w:r>
        <w:rPr>
          <w:rFonts w:hint="eastAsia" w:asciiTheme="minorEastAsia" w:hAnsiTheme="minorEastAsia" w:eastAsiaTheme="minorEastAsia"/>
          <w:color w:val="auto"/>
          <w:sz w:val="24"/>
          <w:highlight w:val="none"/>
          <w:u w:val="single"/>
        </w:rPr>
        <w:t>合同签订后，具体工作由</w:t>
      </w:r>
      <w:r>
        <w:rPr>
          <w:rFonts w:hint="eastAsia" w:asciiTheme="minorEastAsia" w:hAnsiTheme="minorEastAsia" w:eastAsiaTheme="minorEastAsia"/>
          <w:color w:val="auto"/>
          <w:sz w:val="24"/>
          <w:highlight w:val="none"/>
          <w:u w:val="single"/>
          <w:lang w:val="en-US" w:eastAsia="zh-CN"/>
        </w:rPr>
        <w:t>采购人</w:t>
      </w:r>
      <w:r>
        <w:rPr>
          <w:rFonts w:hint="eastAsia" w:asciiTheme="minorEastAsia" w:hAnsiTheme="minorEastAsia" w:eastAsiaTheme="minorEastAsia"/>
          <w:color w:val="auto"/>
          <w:sz w:val="24"/>
          <w:highlight w:val="none"/>
          <w:u w:val="single"/>
        </w:rPr>
        <w:t>根据项目进度以书面形式（含电子邮件、传真）通知安排。自</w:t>
      </w:r>
      <w:r>
        <w:rPr>
          <w:rFonts w:hint="eastAsia" w:asciiTheme="minorEastAsia" w:hAnsiTheme="minorEastAsia" w:eastAsiaTheme="minorEastAsia"/>
          <w:color w:val="auto"/>
          <w:sz w:val="24"/>
          <w:highlight w:val="none"/>
          <w:u w:val="single"/>
          <w:lang w:val="en-US" w:eastAsia="zh-CN"/>
        </w:rPr>
        <w:t>采购人</w:t>
      </w:r>
      <w:r>
        <w:rPr>
          <w:rFonts w:hint="eastAsia" w:asciiTheme="minorEastAsia" w:hAnsiTheme="minorEastAsia" w:eastAsiaTheme="minorEastAsia"/>
          <w:color w:val="auto"/>
          <w:sz w:val="24"/>
          <w:highlight w:val="none"/>
          <w:u w:val="single"/>
        </w:rPr>
        <w:t>书面通知进场之日起，单孔60个日历天内完成该孔设计工作量并通过</w:t>
      </w:r>
      <w:r>
        <w:rPr>
          <w:rFonts w:hint="eastAsia" w:asciiTheme="minorEastAsia" w:hAnsiTheme="minorEastAsia" w:eastAsiaTheme="minorEastAsia"/>
          <w:color w:val="auto"/>
          <w:sz w:val="24"/>
          <w:highlight w:val="none"/>
          <w:u w:val="single"/>
          <w:lang w:val="en-US" w:eastAsia="zh-CN"/>
        </w:rPr>
        <w:t>采购人</w:t>
      </w:r>
      <w:r>
        <w:rPr>
          <w:rFonts w:hint="eastAsia" w:asciiTheme="minorEastAsia" w:hAnsiTheme="minorEastAsia" w:eastAsiaTheme="minorEastAsia"/>
          <w:color w:val="auto"/>
          <w:sz w:val="24"/>
          <w:highlight w:val="none"/>
          <w:u w:val="single"/>
        </w:rPr>
        <w:t>验收，同时提交符合要求的岩心、班报表及原始记录等资料。预计2028年4月前完成全部钻探工作量，全部工作量最迟不得晚于2028年4月30日完成。</w:t>
      </w:r>
    </w:p>
    <w:p w14:paraId="7C84F21B">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7.本项目</w:t>
      </w:r>
      <w:r>
        <w:rPr>
          <w:rFonts w:hint="eastAsia" w:asciiTheme="minorEastAsia" w:hAnsiTheme="minorEastAsia" w:eastAsiaTheme="minorEastAsia"/>
          <w:color w:val="auto"/>
          <w:sz w:val="24"/>
          <w:highlight w:val="none"/>
          <w:lang w:val="en-US" w:eastAsia="zh-CN"/>
        </w:rPr>
        <w:t>不</w:t>
      </w:r>
      <w:r>
        <w:rPr>
          <w:rFonts w:hint="eastAsia" w:asciiTheme="minorEastAsia" w:hAnsiTheme="minorEastAsia" w:eastAsiaTheme="minorEastAsia"/>
          <w:color w:val="auto"/>
          <w:sz w:val="24"/>
          <w:highlight w:val="none"/>
        </w:rPr>
        <w:t>接受联合体投标。</w:t>
      </w:r>
    </w:p>
    <w:p w14:paraId="4F901199">
      <w:pPr>
        <w:spacing w:line="360" w:lineRule="auto"/>
        <w:ind w:firstLine="437"/>
        <w:outlineLvl w:val="1"/>
        <w:rPr>
          <w:rFonts w:hint="eastAsia" w:ascii="宋体" w:hAnsi="宋体" w:eastAsia="宋体"/>
          <w:b/>
          <w:bCs/>
          <w:color w:val="auto"/>
          <w:sz w:val="24"/>
          <w:szCs w:val="18"/>
          <w:highlight w:val="none"/>
        </w:rPr>
      </w:pPr>
      <w:bookmarkStart w:id="4" w:name="_Toc13530"/>
      <w:bookmarkStart w:id="5" w:name="_Toc9204"/>
      <w:r>
        <w:rPr>
          <w:rFonts w:hint="eastAsia" w:ascii="宋体" w:hAnsi="宋体" w:eastAsia="宋体"/>
          <w:b/>
          <w:bCs/>
          <w:color w:val="auto"/>
          <w:sz w:val="24"/>
          <w:szCs w:val="18"/>
          <w:highlight w:val="none"/>
        </w:rPr>
        <w:t>二、</w:t>
      </w:r>
      <w:bookmarkEnd w:id="4"/>
      <w:r>
        <w:rPr>
          <w:rFonts w:hint="eastAsia" w:ascii="宋体" w:hAnsi="宋体" w:eastAsia="宋体"/>
          <w:b/>
          <w:bCs/>
          <w:color w:val="auto"/>
          <w:sz w:val="24"/>
          <w:szCs w:val="18"/>
          <w:highlight w:val="none"/>
        </w:rPr>
        <w:t>申请人的资格要求</w:t>
      </w:r>
      <w:bookmarkEnd w:id="5"/>
    </w:p>
    <w:p w14:paraId="503C6E60">
      <w:pPr>
        <w:spacing w:line="360" w:lineRule="auto"/>
        <w:ind w:firstLine="435"/>
        <w:outlineLvl w:val="9"/>
        <w:rPr>
          <w:rFonts w:hint="eastAsia" w:asciiTheme="minorEastAsia" w:hAnsiTheme="minorEastAsia" w:eastAsiaTheme="minorEastAsia"/>
          <w:color w:val="auto"/>
          <w:sz w:val="24"/>
          <w:highlight w:val="none"/>
        </w:rPr>
      </w:pPr>
      <w:bookmarkStart w:id="6" w:name="_Toc30110"/>
      <w:r>
        <w:rPr>
          <w:rFonts w:hint="eastAsia" w:asciiTheme="minorEastAsia" w:hAnsiTheme="minorEastAsia" w:eastAsiaTheme="minorEastAsia"/>
          <w:color w:val="auto"/>
          <w:sz w:val="24"/>
          <w:highlight w:val="none"/>
        </w:rPr>
        <w:t>1.满足《中华人民共和国政府采购法》第二十二条规定；</w:t>
      </w:r>
    </w:p>
    <w:p w14:paraId="3F682622">
      <w:pPr>
        <w:spacing w:line="360" w:lineRule="auto"/>
        <w:ind w:firstLine="435"/>
        <w:outlineLvl w:val="9"/>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2.落实政府采购政策需满足的资格要求：</w:t>
      </w:r>
    </w:p>
    <w:p w14:paraId="39F47B56">
      <w:pPr>
        <w:spacing w:line="360" w:lineRule="auto"/>
        <w:ind w:firstLine="435"/>
        <w:outlineLvl w:val="9"/>
        <w:rPr>
          <w:rFonts w:hint="default" w:asciiTheme="minorEastAsia" w:hAnsiTheme="minorEastAsia" w:eastAsiaTheme="minorEastAsia"/>
          <w:color w:val="auto"/>
          <w:sz w:val="24"/>
          <w:highlight w:val="none"/>
          <w:lang w:val="en-US"/>
        </w:rPr>
      </w:pPr>
      <w:r>
        <w:rPr>
          <w:rFonts w:hint="eastAsia" w:asciiTheme="minorEastAsia" w:hAnsiTheme="minorEastAsia" w:eastAsiaTheme="minorEastAsia"/>
          <w:color w:val="auto"/>
          <w:sz w:val="24"/>
          <w:highlight w:val="none"/>
          <w:lang w:val="en-US" w:eastAsia="zh-CN"/>
        </w:rPr>
        <w:t>2.1中小企业政策</w:t>
      </w:r>
    </w:p>
    <w:p w14:paraId="0D4106F2">
      <w:pPr>
        <w:spacing w:line="360" w:lineRule="auto"/>
        <w:ind w:firstLine="435"/>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2.1.1☑</w:t>
      </w:r>
      <w:r>
        <w:rPr>
          <w:rFonts w:hint="eastAsia" w:asciiTheme="minorEastAsia" w:hAnsiTheme="minorEastAsia" w:eastAsiaTheme="minorEastAsia"/>
          <w:color w:val="auto"/>
          <w:sz w:val="24"/>
          <w:highlight w:val="none"/>
        </w:rPr>
        <w:t>本项目不专门面向中小企业预留采购份额。按照财政部、工业和信息化部制定的第六条第三款（按照本办法规定预留采购份额无法确保充分供应、充分竞争，或者存在可能影响政府采购目标实现的情形）之规定，本项目为非专门面向中小企业采购项目。若中小企业对此有质疑，可按以下渠道递交质疑：①以书面材料递交至采购人或采购代理机构处；②在滁州市公共资源交易中心网电子交易系统中进行质疑，具体操作步骤和程序请参见服务指南</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交易须知</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在线异议、质疑和投诉操作手册。</w:t>
      </w:r>
    </w:p>
    <w:p w14:paraId="1F950727">
      <w:pPr>
        <w:spacing w:line="360" w:lineRule="auto"/>
        <w:ind w:firstLine="435"/>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2.1.2□本项目专门面向</w:t>
      </w:r>
      <w:r>
        <w:rPr>
          <w:rFonts w:hint="default" w:asciiTheme="minorEastAsia" w:hAnsiTheme="minorEastAsia" w:eastAsiaTheme="minorEastAsia"/>
          <w:color w:val="auto"/>
          <w:sz w:val="24"/>
          <w:highlight w:val="none"/>
          <w:lang w:val="en-US" w:eastAsia="zh-CN"/>
        </w:rPr>
        <w:t>___________________</w:t>
      </w:r>
      <w:r>
        <w:rPr>
          <w:rFonts w:hint="eastAsia" w:asciiTheme="minorEastAsia" w:hAnsiTheme="minorEastAsia" w:eastAsiaTheme="minorEastAsia"/>
          <w:color w:val="auto"/>
          <w:sz w:val="24"/>
          <w:highlight w:val="none"/>
          <w:lang w:val="en-US" w:eastAsia="zh-CN"/>
        </w:rPr>
        <w:t>采购。</w:t>
      </w:r>
    </w:p>
    <w:p w14:paraId="6AC4B409">
      <w:pPr>
        <w:spacing w:line="360" w:lineRule="auto"/>
        <w:ind w:firstLine="435"/>
        <w:outlineLvl w:val="9"/>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2.1.3□本项目预留部分采购项目预算专门面向中小企业采购。对于预留份额，提供的服务由符合政策要求的中小企业承接。预留份额通过以下措施进行：</w:t>
      </w:r>
      <w:r>
        <w:rPr>
          <w:rFonts w:hint="default" w:asciiTheme="minorEastAsia" w:hAnsiTheme="minorEastAsia" w:eastAsiaTheme="minorEastAsia"/>
          <w:color w:val="auto"/>
          <w:sz w:val="24"/>
          <w:highlight w:val="none"/>
          <w:lang w:val="en-US" w:eastAsia="zh-CN"/>
        </w:rPr>
        <w:t>__________________</w:t>
      </w:r>
      <w:r>
        <w:rPr>
          <w:rFonts w:hint="eastAsia" w:asciiTheme="minorEastAsia" w:hAnsiTheme="minorEastAsia" w:eastAsiaTheme="minorEastAsia"/>
          <w:color w:val="auto"/>
          <w:sz w:val="24"/>
          <w:highlight w:val="none"/>
          <w:lang w:val="en-US" w:eastAsia="zh-CN"/>
        </w:rPr>
        <w:t>。</w:t>
      </w:r>
    </w:p>
    <w:p w14:paraId="7D889428">
      <w:pPr>
        <w:spacing w:line="360" w:lineRule="auto"/>
        <w:ind w:firstLine="435"/>
        <w:outlineLvl w:val="9"/>
        <w:rPr>
          <w:rFonts w:hint="eastAsia" w:asciiTheme="minorEastAsia" w:hAnsiTheme="minorEastAsia" w:eastAsiaTheme="minorEastAsia"/>
          <w:color w:val="auto"/>
          <w:sz w:val="24"/>
          <w:highlight w:val="none"/>
          <w:lang w:eastAsia="zh-CN"/>
        </w:rPr>
      </w:pPr>
      <w:r>
        <w:rPr>
          <w:rFonts w:hint="default" w:asciiTheme="minorEastAsia" w:hAnsiTheme="minorEastAsia" w:eastAsiaTheme="minorEastAsia"/>
          <w:color w:val="auto"/>
          <w:sz w:val="24"/>
          <w:highlight w:val="none"/>
          <w:lang w:val="en-US" w:eastAsia="zh-CN"/>
        </w:rPr>
        <w:t>2.2</w:t>
      </w:r>
      <w:r>
        <w:rPr>
          <w:rFonts w:hint="eastAsia" w:asciiTheme="minorEastAsia" w:hAnsiTheme="minorEastAsia" w:eastAsiaTheme="minorEastAsia"/>
          <w:color w:val="auto"/>
          <w:sz w:val="24"/>
          <w:highlight w:val="none"/>
          <w:lang w:val="en-US" w:eastAsia="zh-CN"/>
        </w:rPr>
        <w:t>其它落实政府采购政策的资格要求（如有）：</w:t>
      </w:r>
      <w:r>
        <w:rPr>
          <w:rFonts w:hint="default" w:asciiTheme="minorEastAsia" w:hAnsiTheme="minorEastAsia" w:eastAsiaTheme="minorEastAsia"/>
          <w:color w:val="auto"/>
          <w:sz w:val="24"/>
          <w:highlight w:val="none"/>
          <w:lang w:val="en-US" w:eastAsia="zh-CN"/>
        </w:rPr>
        <w:t>__</w:t>
      </w:r>
      <w:r>
        <w:rPr>
          <w:rFonts w:hint="eastAsia" w:asciiTheme="minorEastAsia" w:hAnsiTheme="minorEastAsia" w:eastAsiaTheme="minorEastAsia"/>
          <w:color w:val="auto"/>
          <w:sz w:val="24"/>
          <w:highlight w:val="none"/>
          <w:lang w:val="en-US" w:eastAsia="zh-CN"/>
        </w:rPr>
        <w:t>/</w:t>
      </w:r>
      <w:r>
        <w:rPr>
          <w:rFonts w:hint="default" w:asciiTheme="minorEastAsia" w:hAnsiTheme="minorEastAsia" w:eastAsiaTheme="minorEastAsia"/>
          <w:color w:val="auto"/>
          <w:sz w:val="24"/>
          <w:highlight w:val="none"/>
          <w:lang w:val="en-US" w:eastAsia="zh-CN"/>
        </w:rPr>
        <w:t>_____</w:t>
      </w:r>
      <w:r>
        <w:rPr>
          <w:rFonts w:hint="eastAsia" w:asciiTheme="minorEastAsia" w:hAnsiTheme="minorEastAsia" w:eastAsiaTheme="minorEastAsia"/>
          <w:color w:val="auto"/>
          <w:sz w:val="24"/>
          <w:highlight w:val="none"/>
          <w:lang w:val="en-US" w:eastAsia="zh-CN"/>
        </w:rPr>
        <w:t>。</w:t>
      </w:r>
    </w:p>
    <w:p w14:paraId="7C8C0D1A">
      <w:pPr>
        <w:spacing w:line="360" w:lineRule="auto"/>
        <w:ind w:firstLine="435"/>
        <w:outlineLvl w:val="9"/>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3.本项目的特定资格要求：</w:t>
      </w:r>
      <w:r>
        <w:rPr>
          <w:rFonts w:hint="eastAsia" w:asciiTheme="minorEastAsia" w:hAnsiTheme="minorEastAsia" w:eastAsiaTheme="minorEastAsia"/>
          <w:color w:val="auto"/>
          <w:sz w:val="24"/>
          <w:highlight w:val="none"/>
          <w:lang w:val="en-US" w:eastAsia="zh-CN"/>
        </w:rPr>
        <w:t>无。</w:t>
      </w:r>
    </w:p>
    <w:p w14:paraId="5D66E263">
      <w:pPr>
        <w:spacing w:line="360" w:lineRule="auto"/>
        <w:ind w:firstLine="437"/>
        <w:outlineLvl w:val="1"/>
        <w:rPr>
          <w:rFonts w:hint="eastAsia" w:ascii="宋体" w:hAnsi="宋体" w:eastAsia="宋体"/>
          <w:b/>
          <w:bCs/>
          <w:color w:val="auto"/>
          <w:sz w:val="24"/>
          <w:szCs w:val="18"/>
          <w:highlight w:val="none"/>
        </w:rPr>
      </w:pPr>
      <w:bookmarkStart w:id="7" w:name="_Toc21681"/>
      <w:r>
        <w:rPr>
          <w:rFonts w:hint="eastAsia" w:ascii="宋体" w:hAnsi="宋体" w:eastAsia="宋体"/>
          <w:b/>
          <w:bCs/>
          <w:color w:val="auto"/>
          <w:sz w:val="24"/>
          <w:szCs w:val="18"/>
          <w:highlight w:val="none"/>
        </w:rPr>
        <w:t>三、</w:t>
      </w:r>
      <w:bookmarkEnd w:id="6"/>
      <w:r>
        <w:rPr>
          <w:rFonts w:hint="eastAsia" w:ascii="宋体" w:hAnsi="宋体" w:eastAsia="宋体"/>
          <w:b/>
          <w:bCs/>
          <w:color w:val="auto"/>
          <w:sz w:val="24"/>
          <w:szCs w:val="18"/>
          <w:highlight w:val="none"/>
        </w:rPr>
        <w:t>获取招标文件</w:t>
      </w:r>
      <w:bookmarkEnd w:id="7"/>
    </w:p>
    <w:p w14:paraId="17CE1DE9">
      <w:pPr>
        <w:spacing w:line="360" w:lineRule="auto"/>
        <w:ind w:firstLine="540"/>
        <w:rPr>
          <w:rFonts w:hint="eastAsia" w:asciiTheme="minorEastAsia" w:hAnsiTheme="minorEastAsia" w:eastAsiaTheme="minorEastAsia" w:cstheme="minorEastAsia"/>
          <w:i/>
          <w:iCs/>
          <w:color w:val="auto"/>
          <w:sz w:val="24"/>
          <w:szCs w:val="24"/>
          <w:highlight w:val="none"/>
        </w:rPr>
      </w:pPr>
      <w:bookmarkStart w:id="8" w:name="_Toc7957"/>
      <w:r>
        <w:rPr>
          <w:rFonts w:hint="eastAsia" w:asciiTheme="minorEastAsia" w:hAnsiTheme="minorEastAsia" w:eastAsiaTheme="minorEastAsia" w:cstheme="minorEastAsia"/>
          <w:color w:val="auto"/>
          <w:sz w:val="24"/>
          <w:szCs w:val="24"/>
          <w:highlight w:val="none"/>
        </w:rPr>
        <w:t>时间：</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color w:val="auto"/>
          <w:sz w:val="24"/>
          <w:szCs w:val="24"/>
          <w:highlight w:val="none"/>
          <w:u w:val="none"/>
        </w:rPr>
        <w:t>年</w:t>
      </w:r>
      <w:r>
        <w:rPr>
          <w:rFonts w:hint="eastAsia" w:asciiTheme="minorEastAsia" w:hAnsiTheme="minorEastAsia" w:eastAsiaTheme="minorEastAsia" w:cstheme="minorEastAsia"/>
          <w:color w:val="auto"/>
          <w:sz w:val="24"/>
          <w:szCs w:val="24"/>
          <w:highlight w:val="none"/>
          <w:u w:val="single"/>
          <w:lang w:val="en-US" w:eastAsia="zh-CN"/>
        </w:rPr>
        <w:t>11</w:t>
      </w:r>
      <w:r>
        <w:rPr>
          <w:rFonts w:hint="eastAsia" w:asciiTheme="minorEastAsia" w:hAnsiTheme="minorEastAsia" w:eastAsiaTheme="minorEastAsia" w:cstheme="minorEastAsia"/>
          <w:color w:val="auto"/>
          <w:sz w:val="24"/>
          <w:szCs w:val="24"/>
          <w:highlight w:val="none"/>
          <w:u w:val="none"/>
        </w:rPr>
        <w:t>月</w:t>
      </w:r>
      <w:r>
        <w:rPr>
          <w:rFonts w:hint="eastAsia" w:asciiTheme="minorEastAsia" w:hAnsiTheme="minorEastAsia" w:eastAsiaTheme="minorEastAsia" w:cstheme="minorEastAsia"/>
          <w:color w:val="auto"/>
          <w:sz w:val="24"/>
          <w:szCs w:val="24"/>
          <w:highlight w:val="none"/>
          <w:u w:val="single"/>
          <w:lang w:val="en-US" w:eastAsia="zh-CN"/>
        </w:rPr>
        <w:t>4</w:t>
      </w:r>
      <w:r>
        <w:rPr>
          <w:rFonts w:hint="eastAsia" w:asciiTheme="minorEastAsia" w:hAnsiTheme="minorEastAsia" w:eastAsiaTheme="minorEastAsia" w:cstheme="minorEastAsia"/>
          <w:color w:val="auto"/>
          <w:sz w:val="24"/>
          <w:szCs w:val="24"/>
          <w:highlight w:val="none"/>
          <w:u w:val="none"/>
        </w:rPr>
        <w:t>日</w:t>
      </w:r>
      <w:r>
        <w:rPr>
          <w:rFonts w:hint="eastAsia" w:asciiTheme="minorEastAsia" w:hAnsiTheme="minorEastAsia" w:eastAsiaTheme="minorEastAsia" w:cstheme="minorEastAsia"/>
          <w:color w:val="auto"/>
          <w:sz w:val="24"/>
          <w:szCs w:val="24"/>
          <w:highlight w:val="none"/>
        </w:rPr>
        <w:t>至</w:t>
      </w:r>
      <w:r>
        <w:rPr>
          <w:rFonts w:hint="eastAsia" w:asciiTheme="minorEastAsia" w:hAnsiTheme="minorEastAsia" w:eastAsiaTheme="minorEastAsia" w:cstheme="minorEastAsia"/>
          <w:color w:val="auto"/>
          <w:sz w:val="24"/>
          <w:szCs w:val="24"/>
          <w:highlight w:val="none"/>
          <w:u w:val="single"/>
          <w:lang w:val="en-US" w:eastAsia="zh-CN"/>
        </w:rPr>
        <w:t>2026</w:t>
      </w:r>
      <w:r>
        <w:rPr>
          <w:rFonts w:hint="eastAsia" w:asciiTheme="minorEastAsia" w:hAnsiTheme="minorEastAsia" w:eastAsiaTheme="minorEastAsia" w:cstheme="minorEastAsia"/>
          <w:color w:val="auto"/>
          <w:sz w:val="24"/>
          <w:szCs w:val="24"/>
          <w:highlight w:val="none"/>
          <w:u w:val="none"/>
        </w:rPr>
        <w:t>年</w:t>
      </w:r>
      <w:r>
        <w:rPr>
          <w:rFonts w:hint="eastAsia" w:asciiTheme="minorEastAsia" w:hAnsiTheme="minorEastAsia" w:eastAsiaTheme="minorEastAsia" w:cstheme="minorEastAsia"/>
          <w:color w:val="auto"/>
          <w:sz w:val="24"/>
          <w:szCs w:val="24"/>
          <w:highlight w:val="none"/>
          <w:u w:val="single"/>
          <w:lang w:val="en-US" w:eastAsia="zh-CN"/>
        </w:rPr>
        <w:t>11</w:t>
      </w:r>
      <w:r>
        <w:rPr>
          <w:rFonts w:hint="eastAsia" w:asciiTheme="minorEastAsia" w:hAnsiTheme="minorEastAsia" w:eastAsiaTheme="minorEastAsia" w:cstheme="minorEastAsia"/>
          <w:color w:val="auto"/>
          <w:sz w:val="24"/>
          <w:szCs w:val="24"/>
          <w:highlight w:val="none"/>
          <w:u w:val="none"/>
        </w:rPr>
        <w:t>月</w:t>
      </w:r>
      <w:r>
        <w:rPr>
          <w:rFonts w:hint="eastAsia" w:asciiTheme="minorEastAsia" w:hAnsiTheme="minorEastAsia" w:eastAsiaTheme="minorEastAsia" w:cstheme="minorEastAsia"/>
          <w:color w:val="auto"/>
          <w:sz w:val="24"/>
          <w:szCs w:val="24"/>
          <w:highlight w:val="none"/>
          <w:u w:val="single"/>
          <w:lang w:val="en-US" w:eastAsia="zh-CN"/>
        </w:rPr>
        <w:t>25</w:t>
      </w:r>
      <w:r>
        <w:rPr>
          <w:rFonts w:hint="eastAsia" w:asciiTheme="minorEastAsia" w:hAnsiTheme="minorEastAsia" w:eastAsiaTheme="minorEastAsia" w:cstheme="minorEastAsia"/>
          <w:color w:val="auto"/>
          <w:sz w:val="24"/>
          <w:szCs w:val="24"/>
          <w:highlight w:val="none"/>
          <w:u w:val="none"/>
        </w:rPr>
        <w:t>日</w:t>
      </w:r>
      <w:r>
        <w:rPr>
          <w:rFonts w:hint="eastAsia" w:asciiTheme="minorEastAsia" w:hAnsiTheme="minorEastAsia" w:eastAsiaTheme="minorEastAsia" w:cstheme="minorEastAsia"/>
          <w:iCs/>
          <w:color w:val="auto"/>
          <w:sz w:val="24"/>
          <w:szCs w:val="24"/>
          <w:highlight w:val="none"/>
          <w:u w:val="none"/>
        </w:rPr>
        <w:t>（</w:t>
      </w:r>
      <w:r>
        <w:rPr>
          <w:rFonts w:hint="eastAsia" w:asciiTheme="minorEastAsia" w:hAnsiTheme="minorEastAsia" w:eastAsiaTheme="minorEastAsia" w:cstheme="minorEastAsia"/>
          <w:i/>
          <w:color w:val="auto"/>
          <w:sz w:val="24"/>
          <w:szCs w:val="24"/>
          <w:highlight w:val="none"/>
          <w:u w:val="none"/>
        </w:rPr>
        <w:t>提供期限自本公告发布之日起不得少于5个工作日</w:t>
      </w:r>
      <w:r>
        <w:rPr>
          <w:rFonts w:hint="eastAsia" w:asciiTheme="minorEastAsia" w:hAnsiTheme="minorEastAsia" w:eastAsiaTheme="minorEastAsia" w:cstheme="minorEastAsia"/>
          <w:iCs/>
          <w:color w:val="auto"/>
          <w:sz w:val="24"/>
          <w:szCs w:val="24"/>
          <w:highlight w:val="none"/>
          <w:u w:val="none"/>
        </w:rPr>
        <w:t>）</w:t>
      </w:r>
    </w:p>
    <w:p w14:paraId="1444590E">
      <w:pPr>
        <w:spacing w:line="360" w:lineRule="auto"/>
        <w:ind w:firstLine="540"/>
        <w:rPr>
          <w:rFonts w:ascii="宋体" w:hAnsi="宋体" w:eastAsia="宋体"/>
          <w:color w:val="auto"/>
          <w:sz w:val="24"/>
          <w:szCs w:val="18"/>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asciiTheme="minorEastAsia" w:hAnsiTheme="minorEastAsia" w:eastAsiaTheme="minorEastAsia" w:cstheme="minorEastAsia"/>
          <w:color w:val="auto"/>
          <w:sz w:val="24"/>
          <w:szCs w:val="24"/>
          <w:highlight w:val="none"/>
          <w:u w:val="single"/>
        </w:rPr>
        <w:t>滁州市公共资源交易中心网</w:t>
      </w:r>
    </w:p>
    <w:p w14:paraId="7AEE26F7">
      <w:pPr>
        <w:spacing w:line="360" w:lineRule="auto"/>
        <w:ind w:firstLine="540"/>
        <w:rPr>
          <w:rFonts w:hint="eastAsia" w:asciiTheme="minorEastAsia" w:hAnsiTheme="minorEastAsia" w:eastAsiaTheme="minorEastAsia" w:cstheme="minorEastAsia"/>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方式：</w:t>
      </w:r>
      <w:r>
        <w:rPr>
          <w:rFonts w:hint="eastAsia" w:ascii="宋体" w:hAnsi="宋体" w:eastAsia="宋体"/>
          <w:color w:val="auto"/>
          <w:sz w:val="24"/>
          <w:szCs w:val="18"/>
          <w:highlight w:val="none"/>
          <w:u w:val="single"/>
        </w:rPr>
        <w:t>网上下载</w:t>
      </w:r>
    </w:p>
    <w:p w14:paraId="60C8CB18">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9" w:name="_Toc25902"/>
      <w:r>
        <w:rPr>
          <w:rFonts w:hint="eastAsia" w:ascii="宋体" w:hAnsi="宋体" w:eastAsia="宋体"/>
          <w:b/>
          <w:bCs/>
          <w:color w:val="auto"/>
          <w:sz w:val="24"/>
          <w:szCs w:val="18"/>
          <w:highlight w:val="none"/>
        </w:rPr>
        <w:t>四、</w:t>
      </w:r>
      <w:bookmarkEnd w:id="8"/>
      <w:r>
        <w:rPr>
          <w:rFonts w:hint="eastAsia" w:ascii="宋体" w:hAnsi="宋体" w:eastAsia="宋体"/>
          <w:b/>
          <w:bCs/>
          <w:color w:val="auto"/>
          <w:sz w:val="24"/>
          <w:szCs w:val="18"/>
          <w:highlight w:val="none"/>
        </w:rPr>
        <w:t>提交投标文件截止时间、开标时间和地点</w:t>
      </w:r>
      <w:bookmarkEnd w:id="9"/>
    </w:p>
    <w:p w14:paraId="65F16B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u w:val="none"/>
        </w:rPr>
      </w:pPr>
      <w:bookmarkStart w:id="10" w:name="_Toc5082"/>
      <w:r>
        <w:rPr>
          <w:rFonts w:hint="eastAsia" w:asciiTheme="minorEastAsia" w:hAnsiTheme="minorEastAsia" w:eastAsiaTheme="minorEastAsia" w:cstheme="minorEastAsia"/>
          <w:bCs/>
          <w:color w:val="auto"/>
          <w:sz w:val="24"/>
          <w:szCs w:val="24"/>
          <w:highlight w:val="none"/>
          <w:u w:val="single"/>
          <w:lang w:val="en-US" w:eastAsia="zh-CN"/>
        </w:rPr>
        <w:t>2026</w:t>
      </w:r>
      <w:r>
        <w:rPr>
          <w:rFonts w:hint="eastAsia" w:asciiTheme="minorEastAsia" w:hAnsiTheme="minorEastAsia" w:eastAsiaTheme="minorEastAsia" w:cstheme="minorEastAsia"/>
          <w:bCs/>
          <w:color w:val="auto"/>
          <w:sz w:val="24"/>
          <w:szCs w:val="24"/>
          <w:highlight w:val="none"/>
          <w:u w:val="none"/>
        </w:rPr>
        <w:t>年</w:t>
      </w:r>
      <w:r>
        <w:rPr>
          <w:rFonts w:hint="eastAsia" w:asciiTheme="minorEastAsia" w:hAnsiTheme="minorEastAsia" w:eastAsiaTheme="minorEastAsia" w:cstheme="minorEastAsia"/>
          <w:bCs/>
          <w:color w:val="auto"/>
          <w:sz w:val="24"/>
          <w:szCs w:val="24"/>
          <w:highlight w:val="none"/>
          <w:u w:val="single"/>
          <w:lang w:val="en-US" w:eastAsia="zh-CN"/>
        </w:rPr>
        <w:t>11</w:t>
      </w:r>
      <w:r>
        <w:rPr>
          <w:rFonts w:hint="eastAsia" w:asciiTheme="minorEastAsia" w:hAnsiTheme="minorEastAsia" w:eastAsiaTheme="minorEastAsia" w:cstheme="minorEastAsia"/>
          <w:bCs/>
          <w:color w:val="auto"/>
          <w:sz w:val="24"/>
          <w:szCs w:val="24"/>
          <w:highlight w:val="none"/>
          <w:u w:val="none"/>
        </w:rPr>
        <w:t>月</w:t>
      </w:r>
      <w:r>
        <w:rPr>
          <w:rFonts w:hint="eastAsia" w:asciiTheme="minorEastAsia" w:hAnsiTheme="minorEastAsia" w:eastAsiaTheme="minorEastAsia" w:cstheme="minorEastAsia"/>
          <w:bCs/>
          <w:color w:val="auto"/>
          <w:sz w:val="24"/>
          <w:szCs w:val="24"/>
          <w:highlight w:val="none"/>
          <w:u w:val="single"/>
          <w:lang w:val="en-US" w:eastAsia="zh-CN"/>
        </w:rPr>
        <w:t>25</w:t>
      </w:r>
      <w:r>
        <w:rPr>
          <w:rFonts w:hint="eastAsia" w:asciiTheme="minorEastAsia" w:hAnsiTheme="minorEastAsia" w:eastAsiaTheme="minorEastAsia" w:cstheme="minorEastAsia"/>
          <w:bCs/>
          <w:color w:val="auto"/>
          <w:sz w:val="24"/>
          <w:szCs w:val="24"/>
          <w:highlight w:val="none"/>
          <w:u w:val="none"/>
        </w:rPr>
        <w:t>日</w:t>
      </w:r>
      <w:r>
        <w:rPr>
          <w:rFonts w:hint="eastAsia" w:asciiTheme="minorEastAsia" w:hAnsiTheme="minorEastAsia" w:eastAsiaTheme="minorEastAsia" w:cstheme="minorEastAsia"/>
          <w:bCs/>
          <w:color w:val="auto"/>
          <w:sz w:val="24"/>
          <w:szCs w:val="24"/>
          <w:highlight w:val="none"/>
          <w:u w:val="single"/>
          <w:lang w:val="en-US" w:eastAsia="zh-CN"/>
        </w:rPr>
        <w:t>8</w:t>
      </w:r>
      <w:r>
        <w:rPr>
          <w:rFonts w:hint="eastAsia" w:asciiTheme="minorEastAsia" w:hAnsiTheme="minorEastAsia" w:eastAsiaTheme="minorEastAsia" w:cstheme="minorEastAsia"/>
          <w:bCs/>
          <w:color w:val="auto"/>
          <w:sz w:val="24"/>
          <w:szCs w:val="24"/>
          <w:highlight w:val="none"/>
          <w:u w:val="none"/>
        </w:rPr>
        <w:t>点</w:t>
      </w:r>
      <w:r>
        <w:rPr>
          <w:rFonts w:hint="eastAsia" w:asciiTheme="minorEastAsia" w:hAnsiTheme="minorEastAsia" w:eastAsiaTheme="minorEastAsia" w:cstheme="minorEastAsia"/>
          <w:bCs/>
          <w:color w:val="auto"/>
          <w:sz w:val="24"/>
          <w:szCs w:val="24"/>
          <w:highlight w:val="none"/>
          <w:u w:val="single"/>
          <w:lang w:val="en-US" w:eastAsia="zh-CN"/>
        </w:rPr>
        <w:t>30</w:t>
      </w:r>
      <w:r>
        <w:rPr>
          <w:rFonts w:hint="eastAsia" w:asciiTheme="minorEastAsia" w:hAnsiTheme="minorEastAsia" w:eastAsiaTheme="minorEastAsia" w:cstheme="minorEastAsia"/>
          <w:bCs/>
          <w:color w:val="auto"/>
          <w:sz w:val="24"/>
          <w:szCs w:val="24"/>
          <w:highlight w:val="none"/>
          <w:u w:val="none"/>
        </w:rPr>
        <w:t>分</w:t>
      </w:r>
      <w:r>
        <w:rPr>
          <w:rFonts w:hint="eastAsia" w:asciiTheme="minorEastAsia" w:hAnsiTheme="minorEastAsia" w:eastAsiaTheme="minorEastAsia" w:cstheme="minorEastAsia"/>
          <w:bCs/>
          <w:i/>
          <w:iCs/>
          <w:color w:val="auto"/>
          <w:sz w:val="24"/>
          <w:szCs w:val="24"/>
          <w:highlight w:val="none"/>
        </w:rPr>
        <w:t>（北京时间）</w:t>
      </w:r>
      <w:r>
        <w:rPr>
          <w:rFonts w:hint="eastAsia" w:asciiTheme="minorEastAsia" w:hAnsiTheme="minorEastAsia" w:eastAsiaTheme="minorEastAsia" w:cstheme="minorEastAsia"/>
          <w:i/>
          <w:iCs/>
          <w:color w:val="auto"/>
          <w:sz w:val="24"/>
          <w:szCs w:val="24"/>
          <w:highlight w:val="none"/>
          <w:u w:val="none"/>
        </w:rPr>
        <w:t>（</w:t>
      </w:r>
      <w:r>
        <w:rPr>
          <w:rFonts w:hint="eastAsia" w:asciiTheme="minorEastAsia" w:hAnsiTheme="minorEastAsia" w:eastAsiaTheme="minorEastAsia" w:cstheme="minorEastAsia"/>
          <w:i/>
          <w:color w:val="auto"/>
          <w:sz w:val="24"/>
          <w:szCs w:val="24"/>
          <w:highlight w:val="none"/>
          <w:u w:val="none"/>
        </w:rPr>
        <w:t>自招标文件开始发出之日起至投标人提交投标文件截止之日止，不得少于20日</w:t>
      </w:r>
      <w:r>
        <w:rPr>
          <w:rFonts w:hint="eastAsia" w:asciiTheme="minorEastAsia" w:hAnsiTheme="minorEastAsia" w:eastAsiaTheme="minorEastAsia" w:cstheme="minorEastAsia"/>
          <w:iCs/>
          <w:color w:val="auto"/>
          <w:sz w:val="24"/>
          <w:szCs w:val="24"/>
          <w:highlight w:val="none"/>
          <w:u w:val="none"/>
        </w:rPr>
        <w:t>）</w:t>
      </w:r>
    </w:p>
    <w:p w14:paraId="5EA3A3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inorEastAsia" w:hAnsiTheme="minorEastAsia" w:eastAsiaTheme="minorEastAsia" w:cstheme="minorEastAsia"/>
          <w:bCs/>
          <w:color w:val="auto"/>
          <w:sz w:val="24"/>
          <w:szCs w:val="24"/>
          <w:highlight w:val="none"/>
          <w:u w:val="single"/>
        </w:rPr>
      </w:pPr>
      <w:r>
        <w:rPr>
          <w:rFonts w:hint="eastAsia" w:asciiTheme="minorEastAsia" w:hAnsiTheme="minorEastAsia" w:eastAsiaTheme="minorEastAsia" w:cstheme="minorEastAsia"/>
          <w:color w:val="auto"/>
          <w:sz w:val="24"/>
          <w:szCs w:val="24"/>
          <w:highlight w:val="none"/>
        </w:rPr>
        <w:t>地点：</w:t>
      </w:r>
      <w:r>
        <w:rPr>
          <w:rFonts w:hint="eastAsia" w:ascii="宋体" w:hAnsi="宋体" w:eastAsia="宋体"/>
          <w:color w:val="auto"/>
          <w:sz w:val="24"/>
          <w:szCs w:val="18"/>
          <w:highlight w:val="none"/>
          <w:u w:val="single"/>
        </w:rPr>
        <w:t>滁州市公共资源交易平台电子交易系统</w:t>
      </w:r>
    </w:p>
    <w:p w14:paraId="3E3E9A06">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11" w:name="_Toc7753"/>
      <w:r>
        <w:rPr>
          <w:rFonts w:hint="eastAsia" w:ascii="宋体" w:hAnsi="宋体" w:eastAsia="宋体"/>
          <w:b/>
          <w:bCs/>
          <w:color w:val="auto"/>
          <w:sz w:val="24"/>
          <w:szCs w:val="18"/>
          <w:highlight w:val="none"/>
        </w:rPr>
        <w:t>五、</w:t>
      </w:r>
      <w:bookmarkEnd w:id="10"/>
      <w:r>
        <w:rPr>
          <w:rFonts w:hint="eastAsia" w:ascii="宋体" w:hAnsi="宋体" w:eastAsia="宋体"/>
          <w:b/>
          <w:bCs/>
          <w:color w:val="auto"/>
          <w:sz w:val="24"/>
          <w:szCs w:val="18"/>
          <w:highlight w:val="none"/>
        </w:rPr>
        <w:t>公告期限</w:t>
      </w:r>
      <w:bookmarkEnd w:id="11"/>
    </w:p>
    <w:p w14:paraId="79DF27E5">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9"/>
        <w:rPr>
          <w:rFonts w:hint="eastAsia" w:ascii="宋体" w:hAnsi="宋体" w:eastAsia="宋体"/>
          <w:b w:val="0"/>
          <w:bCs w:val="0"/>
          <w:color w:val="auto"/>
          <w:sz w:val="24"/>
          <w:szCs w:val="18"/>
          <w:highlight w:val="none"/>
        </w:rPr>
      </w:pPr>
      <w:bookmarkStart w:id="12" w:name="_Toc1215"/>
      <w:r>
        <w:rPr>
          <w:rFonts w:hint="eastAsia" w:ascii="宋体" w:hAnsi="宋体" w:eastAsia="宋体"/>
          <w:b w:val="0"/>
          <w:bCs w:val="0"/>
          <w:color w:val="auto"/>
          <w:sz w:val="24"/>
          <w:szCs w:val="18"/>
          <w:highlight w:val="none"/>
        </w:rPr>
        <w:t>自本公告发布之日起5个工作日。</w:t>
      </w:r>
    </w:p>
    <w:p w14:paraId="1CB1D7C4">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1"/>
        <w:rPr>
          <w:rFonts w:hint="eastAsia" w:ascii="宋体" w:hAnsi="宋体" w:eastAsia="宋体"/>
          <w:b/>
          <w:bCs/>
          <w:color w:val="auto"/>
          <w:sz w:val="24"/>
          <w:szCs w:val="18"/>
          <w:highlight w:val="none"/>
        </w:rPr>
      </w:pPr>
      <w:bookmarkStart w:id="13" w:name="_Toc35393626"/>
      <w:bookmarkStart w:id="14" w:name="_Toc31539"/>
      <w:bookmarkStart w:id="15" w:name="_Toc35393795"/>
      <w:r>
        <w:rPr>
          <w:rFonts w:hint="eastAsia" w:ascii="宋体" w:hAnsi="宋体" w:eastAsia="宋体"/>
          <w:b/>
          <w:bCs/>
          <w:color w:val="auto"/>
          <w:sz w:val="24"/>
          <w:szCs w:val="18"/>
          <w:highlight w:val="none"/>
        </w:rPr>
        <w:t>六、其他补充事宜</w:t>
      </w:r>
      <w:bookmarkEnd w:id="13"/>
      <w:bookmarkEnd w:id="14"/>
      <w:bookmarkEnd w:id="15"/>
    </w:p>
    <w:p w14:paraId="62354D38">
      <w:pPr>
        <w:keepNext w:val="0"/>
        <w:keepLines w:val="0"/>
        <w:pageBreakBefore w:val="0"/>
        <w:widowControl w:val="0"/>
        <w:kinsoku/>
        <w:wordWrap/>
        <w:overflowPunct/>
        <w:topLinePunct w:val="0"/>
        <w:autoSpaceDE/>
        <w:autoSpaceDN/>
        <w:bidi w:val="0"/>
        <w:adjustRightInd/>
        <w:snapToGrid/>
        <w:spacing w:line="360" w:lineRule="auto"/>
        <w:ind w:firstLine="437"/>
        <w:textAlignment w:val="auto"/>
        <w:outlineLvl w:val="9"/>
        <w:rPr>
          <w:rFonts w:hint="eastAsia" w:ascii="宋体" w:hAnsi="宋体" w:eastAsia="宋体" w:cs="@仿宋_GB2312"/>
          <w:b w:val="0"/>
          <w:bCs w:val="0"/>
          <w:color w:val="auto"/>
          <w:kern w:val="2"/>
          <w:sz w:val="24"/>
          <w:szCs w:val="18"/>
          <w:highlight w:val="none"/>
          <w:lang w:val="en-US" w:eastAsia="zh-CN" w:bidi="ar-SA"/>
        </w:rPr>
      </w:pPr>
      <w:r>
        <w:rPr>
          <w:rFonts w:hint="eastAsia" w:ascii="宋体" w:hAnsi="宋体" w:eastAsia="宋体"/>
          <w:color w:val="auto"/>
          <w:sz w:val="24"/>
          <w:szCs w:val="18"/>
          <w:highlight w:val="none"/>
          <w:lang w:val="en-US" w:eastAsia="zh-CN"/>
        </w:rPr>
        <w:t>1</w:t>
      </w:r>
      <w:r>
        <w:rPr>
          <w:rFonts w:hint="eastAsia" w:ascii="宋体" w:hAnsi="宋体" w:eastAsia="宋体"/>
          <w:color w:val="auto"/>
          <w:sz w:val="24"/>
          <w:szCs w:val="18"/>
          <w:highlight w:val="none"/>
        </w:rPr>
        <w:t>.</w:t>
      </w:r>
      <w:bookmarkEnd w:id="12"/>
      <w:bookmarkStart w:id="16" w:name="_Toc7265"/>
      <w:bookmarkStart w:id="17" w:name="_Toc13296"/>
      <w:r>
        <w:rPr>
          <w:rFonts w:hint="eastAsia" w:ascii="宋体" w:hAnsi="宋体" w:eastAsia="宋体" w:cs="@仿宋_GB2312"/>
          <w:b w:val="0"/>
          <w:bCs w:val="0"/>
          <w:color w:val="auto"/>
          <w:kern w:val="2"/>
          <w:sz w:val="24"/>
          <w:szCs w:val="18"/>
          <w:highlight w:val="none"/>
          <w:lang w:val="en-US" w:eastAsia="zh-CN" w:bidi="ar-SA"/>
        </w:rPr>
        <w:t>项目采用全流程电子化采购方式，相关操作说明如下：</w:t>
      </w:r>
    </w:p>
    <w:p w14:paraId="31E05621">
      <w:pPr>
        <w:pStyle w:val="8"/>
        <w:spacing w:after="0" w:line="360" w:lineRule="auto"/>
        <w:ind w:firstLine="480" w:firstLineChars="200"/>
        <w:rPr>
          <w:rFonts w:hint="eastAsia" w:ascii="宋体" w:hAnsi="宋体" w:eastAsia="宋体" w:cs="@仿宋_GB2312"/>
          <w:b w:val="0"/>
          <w:bCs w:val="0"/>
          <w:color w:val="auto"/>
          <w:kern w:val="2"/>
          <w:sz w:val="24"/>
          <w:szCs w:val="18"/>
          <w:highlight w:val="none"/>
          <w:lang w:val="en-US" w:eastAsia="zh-CN" w:bidi="ar-SA"/>
        </w:rPr>
      </w:pPr>
      <w:r>
        <w:rPr>
          <w:rFonts w:hint="eastAsia" w:ascii="宋体" w:hAnsi="宋体" w:eastAsia="宋体" w:cs="@仿宋_GB2312"/>
          <w:b w:val="0"/>
          <w:bCs w:val="0"/>
          <w:color w:val="auto"/>
          <w:kern w:val="2"/>
          <w:sz w:val="24"/>
          <w:szCs w:val="18"/>
          <w:highlight w:val="none"/>
          <w:lang w:val="en-US" w:eastAsia="zh-CN" w:bidi="ar-SA"/>
        </w:rPr>
        <w:t>（1）本项目只接受在安徽省公共资源交易市场主体库（http://ggzy.ah.gov.cn/ahggfwpt-zhutiku/dengludenglu）登记并进行信息确认提交的投标人投标，未登记的投标人请及时办理CA数字证书并登录安徽省公共资源交易市场主体库进行信息填写及确认提交；已办理过CA数字证书视为已在省库登记，进行信息更新及确认提交即可。办理流程为登录滁州市公共资源交易中心网〉服务指南〉办事指南中的“CA数字证书和电子签章”及“市场主体登记”。相关服务电话：1.安徽省公共资源交易市场主体库使用相关问题（系统登录、信息登记、录入及提交、数字证书关联等）：010-86483801转5-2 ；2. CA数字证书有关问题：安徽CA客服400-615-8899、0550-3019013（工作日），CFCA客服025-66085508 、0550-3801669（工作日）；3.市场主体招标环节和投标环节系统使用问题：0512-58188516（8:00-21:00）、0550-3801701（工作日）。因未及时通过CA数字证书登录省主体库对相关信息进行补充完善并确认提交，导致无法投标的，责任自负。为保证系统使用过程中产生的问题能够及时得到解决，请各主体在工作时间进行主体信息登记、更新、投标文件制作等相关操作。</w:t>
      </w:r>
    </w:p>
    <w:p w14:paraId="06550257">
      <w:pPr>
        <w:pStyle w:val="8"/>
        <w:spacing w:after="0" w:line="360" w:lineRule="auto"/>
        <w:ind w:firstLine="480" w:firstLineChars="200"/>
        <w:rPr>
          <w:rFonts w:hint="eastAsia" w:ascii="宋体" w:hAnsi="宋体" w:eastAsia="宋体" w:cs="@仿宋_GB2312"/>
          <w:b w:val="0"/>
          <w:bCs w:val="0"/>
          <w:color w:val="auto"/>
          <w:kern w:val="2"/>
          <w:sz w:val="24"/>
          <w:szCs w:val="18"/>
          <w:highlight w:val="none"/>
          <w:lang w:val="en-US" w:eastAsia="zh-CN" w:bidi="ar-SA"/>
        </w:rPr>
      </w:pPr>
      <w:r>
        <w:rPr>
          <w:rFonts w:hint="eastAsia" w:ascii="宋体" w:hAnsi="宋体" w:eastAsia="宋体" w:cs="@仿宋_GB2312"/>
          <w:b w:val="0"/>
          <w:bCs w:val="0"/>
          <w:color w:val="auto"/>
          <w:kern w:val="2"/>
          <w:sz w:val="24"/>
          <w:szCs w:val="18"/>
          <w:highlight w:val="none"/>
          <w:lang w:val="en-US" w:eastAsia="zh-CN" w:bidi="ar-SA"/>
        </w:rPr>
        <w:t>（2）请投标人登录滁州市公共资源交易中心网站查看参加本项目的程序（具体操作步骤和程序请参见服务指南〈交易须知〉投标人填写投标信息、下载文件及网上提问操作手册）。</w:t>
      </w:r>
    </w:p>
    <w:p w14:paraId="064768A0">
      <w:pPr>
        <w:pStyle w:val="8"/>
        <w:spacing w:after="0" w:line="360" w:lineRule="auto"/>
        <w:ind w:firstLine="480" w:firstLineChars="200"/>
        <w:rPr>
          <w:rFonts w:hint="eastAsia" w:ascii="宋体" w:hAnsi="宋体" w:eastAsia="宋体" w:cs="@仿宋_GB2312"/>
          <w:b w:val="0"/>
          <w:bCs w:val="0"/>
          <w:color w:val="auto"/>
          <w:kern w:val="2"/>
          <w:sz w:val="24"/>
          <w:szCs w:val="18"/>
          <w:highlight w:val="none"/>
          <w:lang w:val="en-US" w:eastAsia="zh-CN" w:bidi="ar-SA"/>
        </w:rPr>
      </w:pPr>
      <w:r>
        <w:rPr>
          <w:rFonts w:hint="eastAsia" w:ascii="宋体" w:hAnsi="宋体" w:eastAsia="宋体" w:cs="@仿宋_GB2312"/>
          <w:b w:val="0"/>
          <w:bCs w:val="0"/>
          <w:color w:val="auto"/>
          <w:kern w:val="2"/>
          <w:sz w:val="24"/>
          <w:szCs w:val="18"/>
          <w:highlight w:val="none"/>
          <w:lang w:val="en-US" w:eastAsia="zh-CN" w:bidi="ar-SA"/>
        </w:rPr>
        <w:t>（3）本项目采用不见面开标（远程解密）方式，开标时投标人无须至开标现场进行解密，开标采取远程解密方式解密投标文件，投标人远程解密方式：投标人在开标时间前使用CA数字证书登录滁州市“不见面开标系统”，网址为https://ggzy.chuzhou.gov.cn/BidOpening,等待开标并按系统提示进行相应的投标人解密等事项，无需到开标现场。采用本方式可以观看开标现场音视频直播并进行互动交流。具体操作方法见中心网站〉服务指南〉交易须知中的《滁州市不见面开标系统操作手册》。解密时间要求为：以本项目网上招投标系统解密倒计时为准，至完成投标文件解密时间，不得超过60分钟，否则投标文件将被拒绝。</w:t>
      </w:r>
    </w:p>
    <w:p w14:paraId="7D4B45DB">
      <w:pPr>
        <w:spacing w:line="360" w:lineRule="auto"/>
        <w:ind w:firstLine="437"/>
        <w:outlineLvl w:val="1"/>
        <w:rPr>
          <w:rFonts w:hint="eastAsia" w:ascii="宋体" w:hAnsi="宋体" w:eastAsia="宋体" w:cs="@仿宋_GB2312"/>
          <w:b w:val="0"/>
          <w:bCs w:val="0"/>
          <w:color w:val="auto"/>
          <w:kern w:val="2"/>
          <w:sz w:val="24"/>
          <w:szCs w:val="18"/>
          <w:highlight w:val="none"/>
          <w:lang w:val="en-US" w:eastAsia="zh-CN" w:bidi="ar-SA"/>
        </w:rPr>
      </w:pPr>
      <w:r>
        <w:rPr>
          <w:rFonts w:hint="eastAsia" w:ascii="宋体" w:hAnsi="宋体" w:eastAsia="宋体" w:cs="@仿宋_GB2312"/>
          <w:b w:val="0"/>
          <w:bCs w:val="0"/>
          <w:color w:val="auto"/>
          <w:kern w:val="2"/>
          <w:sz w:val="24"/>
          <w:szCs w:val="18"/>
          <w:highlight w:val="none"/>
          <w:lang w:val="en-US" w:eastAsia="zh-CN" w:bidi="ar-SA"/>
        </w:rPr>
        <w:t>（4）投标人接到远程解密指令后，须在规定时间内解密。因投标人自身原因导致投标文件在规定时间内未能解密、解密失败或解密超时，投标文件无效；因采购代理机构原因或网上平台发生故障，导致无法按时完成投标文件解密的，经采购代理机构申请后可延迟解密时间。</w:t>
      </w:r>
    </w:p>
    <w:p w14:paraId="11B3181C">
      <w:pPr>
        <w:spacing w:line="360" w:lineRule="auto"/>
        <w:ind w:firstLine="437"/>
        <w:outlineLvl w:val="1"/>
        <w:rPr>
          <w:rFonts w:hint="eastAsia" w:ascii="宋体" w:hAnsi="宋体" w:eastAsia="宋体"/>
          <w:b/>
          <w:bCs/>
          <w:color w:val="auto"/>
          <w:sz w:val="24"/>
          <w:szCs w:val="18"/>
          <w:highlight w:val="none"/>
        </w:rPr>
      </w:pPr>
      <w:r>
        <w:rPr>
          <w:rFonts w:hint="eastAsia" w:ascii="宋体" w:hAnsi="宋体" w:eastAsia="宋体"/>
          <w:b/>
          <w:bCs/>
          <w:color w:val="auto"/>
          <w:sz w:val="24"/>
          <w:szCs w:val="18"/>
          <w:highlight w:val="none"/>
        </w:rPr>
        <w:t>七、</w:t>
      </w:r>
      <w:bookmarkEnd w:id="16"/>
      <w:r>
        <w:rPr>
          <w:rFonts w:hint="eastAsia" w:ascii="宋体" w:hAnsi="宋体" w:eastAsia="宋体"/>
          <w:b/>
          <w:bCs/>
          <w:color w:val="auto"/>
          <w:sz w:val="24"/>
          <w:szCs w:val="18"/>
          <w:highlight w:val="none"/>
        </w:rPr>
        <w:t>对本次招标提出询问，请按以下方式联系</w:t>
      </w:r>
      <w:bookmarkEnd w:id="17"/>
    </w:p>
    <w:p w14:paraId="5C3A77AB">
      <w:pPr>
        <w:spacing w:line="360" w:lineRule="auto"/>
        <w:ind w:firstLine="437"/>
        <w:outlineLvl w:val="2"/>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rPr>
        <w:t>1.采购人</w:t>
      </w:r>
      <w:r>
        <w:rPr>
          <w:rFonts w:hint="eastAsia" w:ascii="宋体" w:hAnsi="宋体" w:eastAsia="宋体"/>
          <w:color w:val="auto"/>
          <w:sz w:val="24"/>
          <w:szCs w:val="18"/>
          <w:highlight w:val="none"/>
          <w:lang w:val="en-US" w:eastAsia="zh-CN"/>
        </w:rPr>
        <w:t>信息</w:t>
      </w:r>
    </w:p>
    <w:p w14:paraId="4742367A">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：华东冶金地质勘查局八一一地质队</w:t>
      </w:r>
    </w:p>
    <w:p w14:paraId="30C8CFE1">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 xml:space="preserve">地 </w:t>
      </w:r>
      <w:r>
        <w:rPr>
          <w:rFonts w:ascii="宋体" w:hAnsi="宋体" w:eastAsia="宋体"/>
          <w:color w:val="auto"/>
          <w:sz w:val="24"/>
          <w:szCs w:val="18"/>
          <w:highlight w:val="none"/>
        </w:rPr>
        <w:t xml:space="preserve"> </w:t>
      </w:r>
      <w:r>
        <w:rPr>
          <w:rFonts w:hint="eastAsia" w:ascii="宋体" w:hAnsi="宋体" w:eastAsia="宋体"/>
          <w:color w:val="auto"/>
          <w:sz w:val="24"/>
          <w:szCs w:val="18"/>
          <w:highlight w:val="none"/>
        </w:rPr>
        <w:t>址：滁州市南谯区龙蟠大道95号</w:t>
      </w:r>
    </w:p>
    <w:p w14:paraId="7DFCEBC5">
      <w:pPr>
        <w:spacing w:line="360" w:lineRule="auto"/>
        <w:ind w:firstLine="435"/>
        <w:rPr>
          <w:rFonts w:hint="eastAsia" w:ascii="宋体" w:hAnsi="宋体" w:eastAsia="宋体"/>
          <w:color w:val="auto"/>
          <w:sz w:val="24"/>
          <w:szCs w:val="18"/>
          <w:highlight w:val="none"/>
          <w:lang w:val="en-US" w:eastAsia="zh-CN"/>
        </w:rPr>
      </w:pPr>
      <w:r>
        <w:rPr>
          <w:rFonts w:hint="eastAsia" w:ascii="宋体" w:hAnsi="宋体" w:eastAsia="宋体"/>
          <w:color w:val="auto"/>
          <w:sz w:val="24"/>
          <w:szCs w:val="18"/>
          <w:highlight w:val="none"/>
          <w:lang w:val="en-US" w:eastAsia="zh-CN"/>
        </w:rPr>
        <w:t>联系人：王坚</w:t>
      </w:r>
    </w:p>
    <w:p w14:paraId="69BA3611">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：13505553101</w:t>
      </w:r>
    </w:p>
    <w:p w14:paraId="35D983B7">
      <w:pPr>
        <w:spacing w:line="360" w:lineRule="auto"/>
        <w:ind w:firstLine="437"/>
        <w:outlineLvl w:val="2"/>
        <w:rPr>
          <w:rFonts w:hint="eastAsia" w:ascii="宋体" w:hAnsi="宋体" w:eastAsia="宋体"/>
          <w:color w:val="auto"/>
          <w:sz w:val="24"/>
          <w:szCs w:val="18"/>
          <w:highlight w:val="none"/>
          <w:lang w:val="en-US" w:eastAsia="zh-CN"/>
        </w:rPr>
      </w:pPr>
      <w:r>
        <w:rPr>
          <w:rFonts w:ascii="宋体" w:hAnsi="宋体" w:eastAsia="宋体"/>
          <w:color w:val="auto"/>
          <w:sz w:val="24"/>
          <w:szCs w:val="18"/>
          <w:highlight w:val="none"/>
        </w:rPr>
        <w:t>2.采购代理机构</w:t>
      </w:r>
      <w:r>
        <w:rPr>
          <w:rFonts w:hint="eastAsia" w:ascii="宋体" w:hAnsi="宋体" w:eastAsia="宋体"/>
          <w:color w:val="auto"/>
          <w:sz w:val="24"/>
          <w:szCs w:val="18"/>
          <w:highlight w:val="none"/>
          <w:lang w:val="en-US" w:eastAsia="zh-CN"/>
        </w:rPr>
        <w:t>信息</w:t>
      </w:r>
    </w:p>
    <w:p w14:paraId="12D1DEB5">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：滁州市城投工程咨询管理有限公司</w:t>
      </w:r>
    </w:p>
    <w:p w14:paraId="0B5CCE50">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地</w:t>
      </w:r>
      <w:r>
        <w:rPr>
          <w:rFonts w:ascii="宋体" w:hAnsi="宋体" w:eastAsia="宋体"/>
          <w:color w:val="auto"/>
          <w:sz w:val="24"/>
          <w:szCs w:val="18"/>
          <w:highlight w:val="none"/>
        </w:rPr>
        <w:t xml:space="preserve">  址：</w:t>
      </w:r>
      <w:r>
        <w:rPr>
          <w:rFonts w:hint="eastAsia" w:ascii="宋体" w:hAnsi="宋体" w:eastAsia="宋体"/>
          <w:color w:val="auto"/>
          <w:sz w:val="24"/>
          <w:szCs w:val="18"/>
          <w:highlight w:val="none"/>
        </w:rPr>
        <w:t>滁州市龙蟠大道109号房产大厦6楼</w:t>
      </w:r>
    </w:p>
    <w:p w14:paraId="41A2BF12">
      <w:pPr>
        <w:spacing w:line="360" w:lineRule="auto"/>
        <w:ind w:firstLine="435"/>
        <w:rPr>
          <w:color w:val="auto"/>
          <w:highlight w:val="none"/>
        </w:rPr>
      </w:pPr>
      <w:r>
        <w:rPr>
          <w:rFonts w:hint="eastAsia" w:ascii="宋体" w:hAnsi="宋体" w:eastAsia="宋体"/>
          <w:color w:val="auto"/>
          <w:sz w:val="24"/>
          <w:szCs w:val="18"/>
          <w:highlight w:val="none"/>
          <w:lang w:val="en-US" w:eastAsia="zh-CN"/>
        </w:rPr>
        <w:t>联系人：杨韦</w:t>
      </w:r>
    </w:p>
    <w:p w14:paraId="094DF764">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：0550-3519590、18005501210</w:t>
      </w:r>
    </w:p>
    <w:p w14:paraId="77A8BDA7">
      <w:pPr>
        <w:spacing w:line="360" w:lineRule="auto"/>
        <w:ind w:firstLine="437"/>
        <w:outlineLvl w:val="2"/>
        <w:rPr>
          <w:rFonts w:hint="eastAsia" w:ascii="宋体" w:hAnsi="宋体" w:eastAsia="宋体"/>
          <w:b/>
          <w:color w:val="auto"/>
          <w:sz w:val="24"/>
          <w:szCs w:val="18"/>
          <w:highlight w:val="none"/>
          <w:lang w:val="en-US" w:eastAsia="zh-CN"/>
        </w:rPr>
      </w:pPr>
      <w:r>
        <w:rPr>
          <w:rFonts w:hint="eastAsia" w:ascii="宋体" w:hAnsi="宋体" w:eastAsia="宋体"/>
          <w:b w:val="0"/>
          <w:bCs/>
          <w:color w:val="auto"/>
          <w:sz w:val="24"/>
          <w:szCs w:val="18"/>
          <w:highlight w:val="none"/>
          <w:lang w:val="en-US" w:eastAsia="zh-CN"/>
        </w:rPr>
        <w:t>3</w:t>
      </w:r>
      <w:r>
        <w:rPr>
          <w:rFonts w:hint="eastAsia" w:ascii="宋体" w:hAnsi="宋体" w:eastAsia="宋体"/>
          <w:b/>
          <w:color w:val="auto"/>
          <w:sz w:val="24"/>
          <w:szCs w:val="18"/>
          <w:highlight w:val="none"/>
        </w:rPr>
        <w:t>.</w:t>
      </w:r>
      <w:r>
        <w:rPr>
          <w:rFonts w:hint="eastAsia" w:ascii="宋体" w:hAnsi="宋体" w:eastAsia="宋体"/>
          <w:color w:val="auto"/>
          <w:sz w:val="24"/>
          <w:szCs w:val="18"/>
          <w:highlight w:val="none"/>
        </w:rPr>
        <w:t>政府采购监督管理部门</w:t>
      </w:r>
      <w:r>
        <w:rPr>
          <w:rFonts w:hint="eastAsia" w:ascii="宋体" w:hAnsi="宋体" w:eastAsia="宋体"/>
          <w:color w:val="auto"/>
          <w:sz w:val="24"/>
          <w:szCs w:val="18"/>
          <w:highlight w:val="none"/>
          <w:lang w:val="en-US" w:eastAsia="zh-CN"/>
        </w:rPr>
        <w:t>信息</w:t>
      </w:r>
    </w:p>
    <w:p w14:paraId="37EEF23A">
      <w:pPr>
        <w:spacing w:line="360" w:lineRule="auto"/>
        <w:ind w:firstLine="435"/>
        <w:rPr>
          <w:rFonts w:ascii="宋体" w:hAnsi="宋体" w:eastAsia="宋体"/>
          <w:color w:val="auto"/>
          <w:sz w:val="24"/>
          <w:szCs w:val="18"/>
          <w:highlight w:val="none"/>
        </w:rPr>
      </w:pPr>
      <w:r>
        <w:rPr>
          <w:rFonts w:hint="eastAsia" w:ascii="宋体" w:hAnsi="宋体" w:eastAsia="宋体" w:cs="宋体"/>
          <w:color w:val="auto"/>
          <w:sz w:val="24"/>
          <w:szCs w:val="24"/>
          <w:highlight w:val="none"/>
          <w:lang w:val="en-US" w:eastAsia="zh-CN"/>
        </w:rPr>
        <w:t>名  称</w:t>
      </w:r>
      <w:r>
        <w:rPr>
          <w:rFonts w:hint="eastAsia" w:ascii="宋体" w:hAnsi="宋体" w:eastAsia="宋体"/>
          <w:color w:val="auto"/>
          <w:sz w:val="24"/>
          <w:szCs w:val="18"/>
          <w:highlight w:val="none"/>
        </w:rPr>
        <w:t>：安徽省财政厅</w:t>
      </w:r>
    </w:p>
    <w:p w14:paraId="776F8F67">
      <w:pPr>
        <w:spacing w:line="360" w:lineRule="auto"/>
        <w:ind w:firstLine="435"/>
        <w:rPr>
          <w:rFonts w:ascii="宋体" w:hAnsi="宋体" w:eastAsia="宋体"/>
          <w:color w:val="auto"/>
          <w:sz w:val="24"/>
          <w:szCs w:val="18"/>
          <w:highlight w:val="none"/>
        </w:rPr>
      </w:pPr>
      <w:r>
        <w:rPr>
          <w:rFonts w:hint="eastAsia" w:ascii="宋体" w:hAnsi="宋体" w:eastAsia="宋体"/>
          <w:color w:val="auto"/>
          <w:sz w:val="24"/>
          <w:szCs w:val="18"/>
          <w:highlight w:val="none"/>
        </w:rPr>
        <w:t>地  址：合肥市阜南西路238号</w:t>
      </w:r>
    </w:p>
    <w:p w14:paraId="04A5B728">
      <w:pPr>
        <w:spacing w:line="360" w:lineRule="auto"/>
        <w:ind w:firstLine="435"/>
        <w:rPr>
          <w:rFonts w:ascii="宋体" w:hAnsi="宋体" w:eastAsia="宋体"/>
          <w:color w:val="auto"/>
          <w:sz w:val="24"/>
          <w:szCs w:val="18"/>
          <w:highlight w:val="none"/>
          <w:u w:val="single"/>
        </w:rPr>
      </w:pPr>
      <w:r>
        <w:rPr>
          <w:rFonts w:hint="eastAsia" w:ascii="宋体" w:hAnsi="宋体" w:eastAsia="宋体"/>
          <w:color w:val="auto"/>
          <w:sz w:val="24"/>
          <w:szCs w:val="18"/>
          <w:highlight w:val="none"/>
        </w:rPr>
        <w:t>联系</w:t>
      </w:r>
      <w:r>
        <w:rPr>
          <w:rFonts w:hint="eastAsia" w:ascii="宋体" w:hAnsi="宋体" w:eastAsia="宋体"/>
          <w:color w:val="auto"/>
          <w:sz w:val="24"/>
          <w:szCs w:val="18"/>
          <w:highlight w:val="none"/>
          <w:lang w:val="en-US" w:eastAsia="zh-CN"/>
        </w:rPr>
        <w:t>方式</w:t>
      </w:r>
      <w:r>
        <w:rPr>
          <w:rFonts w:hint="eastAsia" w:ascii="宋体" w:hAnsi="宋体" w:eastAsia="宋体"/>
          <w:color w:val="auto"/>
          <w:sz w:val="24"/>
          <w:szCs w:val="18"/>
          <w:highlight w:val="none"/>
        </w:rPr>
        <w:t>：0551-68150413</w:t>
      </w:r>
    </w:p>
    <w:p w14:paraId="466F1E9B">
      <w:pPr>
        <w:widowControl/>
        <w:jc w:val="left"/>
        <w:rPr>
          <w:rFonts w:ascii="宋体" w:hAnsi="宋体" w:eastAsia="宋体"/>
          <w:color w:val="auto"/>
          <w:sz w:val="24"/>
          <w:szCs w:val="18"/>
          <w:highlight w:val="none"/>
        </w:rPr>
      </w:pPr>
      <w:r>
        <w:rPr>
          <w:rFonts w:ascii="宋体" w:hAnsi="宋体" w:eastAsia="宋体"/>
          <w:color w:val="auto"/>
          <w:sz w:val="24"/>
          <w:szCs w:val="18"/>
          <w:highlight w:val="none"/>
        </w:rPr>
        <w:br w:type="page"/>
      </w:r>
    </w:p>
    <w:p w14:paraId="6C0D93D1">
      <w:pPr>
        <w:spacing w:line="360" w:lineRule="auto"/>
        <w:jc w:val="center"/>
        <w:outlineLvl w:val="0"/>
        <w:rPr>
          <w:rFonts w:asciiTheme="minorEastAsia" w:hAnsiTheme="minorEastAsia" w:eastAsiaTheme="minorEastAsia"/>
          <w:b/>
          <w:color w:val="auto"/>
          <w:sz w:val="28"/>
          <w:highlight w:val="none"/>
        </w:rPr>
      </w:pPr>
      <w:bookmarkStart w:id="18" w:name="_Toc8888"/>
      <w:r>
        <w:rPr>
          <w:rFonts w:hint="eastAsia" w:asciiTheme="minorEastAsia" w:hAnsiTheme="minorEastAsia" w:eastAsiaTheme="minorEastAsia"/>
          <w:b/>
          <w:color w:val="auto"/>
          <w:sz w:val="28"/>
          <w:highlight w:val="none"/>
        </w:rPr>
        <w:t>第二章</w:t>
      </w:r>
      <w:r>
        <w:rPr>
          <w:rFonts w:asciiTheme="minorEastAsia" w:hAnsiTheme="minorEastAsia" w:eastAsiaTheme="minorEastAsia"/>
          <w:b/>
          <w:color w:val="auto"/>
          <w:sz w:val="28"/>
          <w:highlight w:val="none"/>
        </w:rPr>
        <w:t xml:space="preserve"> </w:t>
      </w:r>
      <w:r>
        <w:rPr>
          <w:rFonts w:hint="eastAsia" w:asciiTheme="minorEastAsia" w:hAnsiTheme="minorEastAsia" w:eastAsiaTheme="minorEastAsia"/>
          <w:b/>
          <w:color w:val="auto"/>
          <w:sz w:val="28"/>
          <w:highlight w:val="none"/>
        </w:rPr>
        <w:t xml:space="preserve"> </w:t>
      </w:r>
      <w:r>
        <w:rPr>
          <w:rFonts w:asciiTheme="minorEastAsia" w:hAnsiTheme="minorEastAsia" w:eastAsiaTheme="minorEastAsia"/>
          <w:b/>
          <w:color w:val="auto"/>
          <w:sz w:val="28"/>
          <w:highlight w:val="none"/>
        </w:rPr>
        <w:t>投标人须知</w:t>
      </w:r>
      <w:bookmarkEnd w:id="18"/>
    </w:p>
    <w:p w14:paraId="01CD8525">
      <w:pPr>
        <w:spacing w:line="360" w:lineRule="auto"/>
        <w:jc w:val="center"/>
        <w:outlineLvl w:val="1"/>
        <w:rPr>
          <w:rFonts w:asciiTheme="minorEastAsia" w:hAnsiTheme="minorEastAsia" w:eastAsiaTheme="minorEastAsia"/>
          <w:b/>
          <w:color w:val="auto"/>
          <w:sz w:val="24"/>
          <w:highlight w:val="none"/>
        </w:rPr>
      </w:pPr>
      <w:bookmarkStart w:id="19" w:name="_Toc13589"/>
      <w:bookmarkStart w:id="20" w:name="_Toc7178"/>
      <w:r>
        <w:rPr>
          <w:rFonts w:hint="eastAsia" w:asciiTheme="minorEastAsia" w:hAnsiTheme="minorEastAsia" w:eastAsiaTheme="minorEastAsia"/>
          <w:b/>
          <w:color w:val="auto"/>
          <w:sz w:val="24"/>
          <w:highlight w:val="none"/>
        </w:rPr>
        <w:t>一、</w:t>
      </w:r>
      <w:r>
        <w:rPr>
          <w:rFonts w:asciiTheme="minorEastAsia" w:hAnsiTheme="minorEastAsia" w:eastAsiaTheme="minorEastAsia"/>
          <w:b/>
          <w:color w:val="auto"/>
          <w:sz w:val="24"/>
          <w:highlight w:val="none"/>
        </w:rPr>
        <w:t>投标人须知前附表</w:t>
      </w:r>
      <w:bookmarkEnd w:id="19"/>
      <w:bookmarkEnd w:id="20"/>
    </w:p>
    <w:p w14:paraId="7C98F457">
      <w:pPr>
        <w:spacing w:line="360" w:lineRule="auto"/>
        <w:ind w:firstLine="435"/>
        <w:rPr>
          <w:rFonts w:ascii="宋体" w:hAnsi="宋体" w:eastAsia="宋体"/>
          <w:color w:val="auto"/>
          <w:sz w:val="24"/>
          <w:szCs w:val="18"/>
          <w:highlight w:val="none"/>
        </w:rPr>
      </w:pPr>
      <w:r>
        <w:rPr>
          <w:rFonts w:hint="eastAsia" w:ascii="宋体" w:hAnsi="宋体" w:eastAsia="宋体"/>
          <w:b/>
          <w:bCs/>
          <w:color w:val="auto"/>
          <w:sz w:val="24"/>
          <w:szCs w:val="18"/>
          <w:highlight w:val="none"/>
        </w:rPr>
        <w:t>注：</w:t>
      </w:r>
      <w:r>
        <w:rPr>
          <w:rFonts w:hint="eastAsia" w:ascii="宋体" w:hAnsi="宋体" w:eastAsia="宋体"/>
          <w:color w:val="auto"/>
          <w:sz w:val="24"/>
          <w:szCs w:val="18"/>
          <w:highlight w:val="none"/>
        </w:rPr>
        <w:t>本表是本项目的具体要求，是对投标人须知的具体补充和修改，如有不一致，以本表为准。</w:t>
      </w:r>
    </w:p>
    <w:tbl>
      <w:tblPr>
        <w:tblStyle w:val="21"/>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9"/>
        <w:gridCol w:w="1946"/>
        <w:gridCol w:w="5792"/>
      </w:tblGrid>
      <w:tr w14:paraId="2BD01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0BEA4FD">
            <w:pPr>
              <w:pStyle w:val="39"/>
              <w:keepNext w:val="0"/>
              <w:keepLines w:val="0"/>
              <w:pageBreakBefore w:val="0"/>
              <w:widowControl w:val="0"/>
              <w:kinsoku/>
              <w:wordWrap/>
              <w:overflowPunct/>
              <w:topLinePunct w:val="0"/>
              <w:autoSpaceDE/>
              <w:autoSpaceDN/>
              <w:bidi w:val="0"/>
              <w:spacing w:before="0" w:beforeAutospacing="0" w:after="0" w:afterAutospacing="0" w:line="500" w:lineRule="exact"/>
              <w:textAlignment w:val="auto"/>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条款号</w:t>
            </w:r>
          </w:p>
        </w:tc>
        <w:tc>
          <w:tcPr>
            <w:tcW w:w="1174" w:type="pct"/>
            <w:vAlign w:val="center"/>
          </w:tcPr>
          <w:p w14:paraId="1CD9BA72">
            <w:pPr>
              <w:pStyle w:val="39"/>
              <w:keepNext w:val="0"/>
              <w:keepLines w:val="0"/>
              <w:pageBreakBefore w:val="0"/>
              <w:widowControl w:val="0"/>
              <w:kinsoku/>
              <w:wordWrap/>
              <w:overflowPunct/>
              <w:topLinePunct w:val="0"/>
              <w:autoSpaceDE/>
              <w:autoSpaceDN/>
              <w:bidi w:val="0"/>
              <w:spacing w:before="0" w:beforeAutospacing="0" w:after="0" w:afterAutospacing="0" w:line="500" w:lineRule="exact"/>
              <w:textAlignment w:val="auto"/>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条款名称</w:t>
            </w:r>
          </w:p>
        </w:tc>
        <w:tc>
          <w:tcPr>
            <w:tcW w:w="3244" w:type="pct"/>
            <w:vAlign w:val="center"/>
          </w:tcPr>
          <w:p w14:paraId="26474E84">
            <w:pPr>
              <w:pStyle w:val="39"/>
              <w:keepNext w:val="0"/>
              <w:keepLines w:val="0"/>
              <w:pageBreakBefore w:val="0"/>
              <w:widowControl w:val="0"/>
              <w:kinsoku/>
              <w:wordWrap/>
              <w:overflowPunct/>
              <w:topLinePunct w:val="0"/>
              <w:autoSpaceDE/>
              <w:autoSpaceDN/>
              <w:bidi w:val="0"/>
              <w:spacing w:before="0" w:beforeAutospacing="0" w:after="0" w:afterAutospacing="0" w:line="500" w:lineRule="exact"/>
              <w:textAlignment w:val="auto"/>
              <w:rPr>
                <w:rFonts w:ascii="宋体" w:hAnsi="宋体" w:eastAsia="宋体"/>
                <w:bCs w:val="0"/>
                <w:color w:val="auto"/>
                <w:kern w:val="2"/>
                <w:sz w:val="24"/>
                <w:szCs w:val="20"/>
                <w:highlight w:val="none"/>
              </w:rPr>
            </w:pPr>
            <w:r>
              <w:rPr>
                <w:rFonts w:hint="eastAsia" w:ascii="宋体" w:hAnsi="宋体" w:eastAsia="宋体"/>
                <w:bCs w:val="0"/>
                <w:color w:val="auto"/>
                <w:kern w:val="2"/>
                <w:sz w:val="24"/>
                <w:szCs w:val="20"/>
                <w:highlight w:val="none"/>
              </w:rPr>
              <w:t>内容、说明与要求</w:t>
            </w:r>
          </w:p>
        </w:tc>
      </w:tr>
      <w:tr w14:paraId="619E5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6DD2D6">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lang w:val="en-US" w:eastAsia="zh-CN"/>
              </w:rPr>
              <w:t>5</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2</w:t>
            </w:r>
          </w:p>
        </w:tc>
        <w:tc>
          <w:tcPr>
            <w:tcW w:w="1174" w:type="pct"/>
            <w:vAlign w:val="center"/>
          </w:tcPr>
          <w:p w14:paraId="7201BED8">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left"/>
              <w:textAlignment w:val="auto"/>
              <w:rPr>
                <w:rFonts w:hint="eastAsia" w:ascii="宋体" w:hAnsi="宋体" w:eastAsia="宋体"/>
                <w:b w:val="0"/>
                <w:color w:val="auto"/>
                <w:sz w:val="24"/>
                <w:highlight w:val="none"/>
                <w:lang w:eastAsia="zh-CN"/>
              </w:rPr>
            </w:pPr>
            <w:r>
              <w:rPr>
                <w:rFonts w:hint="eastAsia" w:ascii="宋体" w:hAnsi="宋体" w:eastAsia="宋体" w:cs="@仿宋_GB2312"/>
                <w:b w:val="0"/>
                <w:bCs/>
                <w:color w:val="auto"/>
                <w:kern w:val="2"/>
                <w:sz w:val="24"/>
                <w:szCs w:val="22"/>
                <w:highlight w:val="none"/>
                <w:lang w:val="en-US" w:eastAsia="zh-CN" w:bidi="ar-SA"/>
              </w:rPr>
              <w:t>现场考察或标前答疑会</w:t>
            </w:r>
          </w:p>
        </w:tc>
        <w:tc>
          <w:tcPr>
            <w:tcW w:w="3244" w:type="pct"/>
            <w:vAlign w:val="center"/>
          </w:tcPr>
          <w:p w14:paraId="787C2EEC">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bCs/>
                <w:color w:val="auto"/>
                <w:sz w:val="24"/>
                <w:highlight w:val="none"/>
                <w:lang w:val="en-US" w:eastAsia="zh-CN"/>
              </w:rPr>
            </w:pPr>
            <w:r>
              <w:rPr>
                <w:rFonts w:hint="eastAsia" w:ascii="宋体" w:hAnsi="宋体" w:eastAsia="宋体"/>
                <w:bCs/>
                <w:color w:val="auto"/>
                <w:sz w:val="24"/>
                <w:szCs w:val="24"/>
                <w:highlight w:val="none"/>
                <w:lang w:eastAsia="zh-CN"/>
              </w:rPr>
              <w:t>☑</w:t>
            </w:r>
            <w:r>
              <w:rPr>
                <w:rFonts w:hint="eastAsia" w:ascii="宋体" w:hAnsi="宋体" w:eastAsia="宋体"/>
                <w:color w:val="auto"/>
                <w:sz w:val="24"/>
                <w:highlight w:val="none"/>
              </w:rPr>
              <w:t>不组织</w:t>
            </w:r>
            <w:r>
              <w:rPr>
                <w:rFonts w:hint="eastAsia" w:ascii="宋体" w:hAnsi="宋体" w:eastAsia="宋体"/>
                <w:color w:val="auto"/>
                <w:sz w:val="24"/>
                <w:highlight w:val="none"/>
                <w:lang w:val="en-US" w:eastAsia="zh-CN"/>
              </w:rPr>
              <w:t>或不召开</w:t>
            </w:r>
          </w:p>
          <w:p w14:paraId="5538208A">
            <w:pPr>
              <w:keepNext w:val="0"/>
              <w:keepLines w:val="0"/>
              <w:pageBreakBefore w:val="0"/>
              <w:widowControl w:val="0"/>
              <w:kinsoku/>
              <w:wordWrap/>
              <w:overflowPunct/>
              <w:topLinePunct w:val="0"/>
              <w:autoSpaceDE/>
              <w:autoSpaceDN/>
              <w:bidi w:val="0"/>
              <w:adjustRightInd/>
              <w:snapToGrid/>
              <w:spacing w:line="500" w:lineRule="exact"/>
              <w:textAlignment w:val="auto"/>
              <w:rPr>
                <w:rFonts w:hint="default" w:ascii="宋体" w:hAnsi="宋体" w:eastAsia="宋体"/>
                <w:bCs/>
                <w:color w:val="auto"/>
                <w:sz w:val="24"/>
                <w:highlight w:val="none"/>
                <w:lang w:val="en-US" w:eastAsia="zh-CN"/>
              </w:rPr>
            </w:pPr>
            <w:r>
              <w:rPr>
                <w:rFonts w:hint="eastAsia" w:ascii="宋体" w:hAnsi="宋体" w:eastAsia="宋体"/>
                <w:color w:val="auto"/>
                <w:sz w:val="24"/>
                <w:highlight w:val="none"/>
              </w:rPr>
              <w:t>□</w:t>
            </w:r>
            <w:r>
              <w:rPr>
                <w:rFonts w:hint="eastAsia" w:ascii="宋体" w:hAnsi="宋体" w:eastAsia="宋体"/>
                <w:bCs/>
                <w:color w:val="auto"/>
                <w:sz w:val="24"/>
                <w:highlight w:val="none"/>
              </w:rPr>
              <w:t>统一组织</w:t>
            </w:r>
            <w:r>
              <w:rPr>
                <w:rFonts w:hint="eastAsia" w:ascii="宋体" w:hAnsi="宋体" w:eastAsia="宋体"/>
                <w:bCs/>
                <w:color w:val="auto"/>
                <w:sz w:val="24"/>
                <w:highlight w:val="none"/>
                <w:lang w:val="en-US" w:eastAsia="zh-CN"/>
              </w:rPr>
              <w:t>或统一召开</w:t>
            </w:r>
          </w:p>
          <w:p w14:paraId="5D60B835">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时间：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年</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月</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日</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时</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r>
              <w:rPr>
                <w:rFonts w:hint="eastAsia" w:ascii="宋体" w:hAnsi="宋体" w:eastAsia="宋体"/>
                <w:bCs/>
                <w:color w:val="auto"/>
                <w:sz w:val="24"/>
                <w:highlight w:val="none"/>
              </w:rPr>
              <w:t>分</w:t>
            </w:r>
          </w:p>
          <w:p w14:paraId="75597B14">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地点：</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p w14:paraId="2BB18306">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eastAsia="宋体"/>
                <w:bCs/>
                <w:color w:val="auto"/>
                <w:sz w:val="24"/>
                <w:highlight w:val="none"/>
                <w:u w:val="single"/>
              </w:rPr>
            </w:pPr>
            <w:r>
              <w:rPr>
                <w:rFonts w:hint="eastAsia" w:ascii="宋体" w:hAnsi="宋体" w:eastAsia="宋体"/>
                <w:bCs/>
                <w:color w:val="auto"/>
                <w:sz w:val="24"/>
                <w:highlight w:val="none"/>
              </w:rPr>
              <w:t>联系人及联系电话：</w:t>
            </w:r>
            <w:r>
              <w:rPr>
                <w:rFonts w:hint="eastAsia" w:ascii="宋体" w:hAnsi="宋体" w:eastAsia="宋体"/>
                <w:bCs/>
                <w:color w:val="auto"/>
                <w:sz w:val="24"/>
                <w:highlight w:val="none"/>
                <w:u w:val="single"/>
              </w:rPr>
              <w:t xml:space="preserve"> </w:t>
            </w:r>
            <w:r>
              <w:rPr>
                <w:rFonts w:ascii="宋体" w:hAnsi="宋体" w:eastAsia="宋体"/>
                <w:bCs/>
                <w:color w:val="auto"/>
                <w:sz w:val="24"/>
                <w:highlight w:val="none"/>
                <w:u w:val="single"/>
              </w:rPr>
              <w:t xml:space="preserve">          </w:t>
            </w:r>
          </w:p>
          <w:p w14:paraId="71961A89">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Cs w:val="0"/>
                <w:color w:val="auto"/>
                <w:sz w:val="24"/>
                <w:highlight w:val="none"/>
                <w:lang w:eastAsia="zh-CN"/>
              </w:rPr>
              <w:t>注：</w:t>
            </w:r>
            <w:r>
              <w:rPr>
                <w:rFonts w:hint="eastAsia" w:ascii="宋体" w:hAnsi="宋体" w:eastAsia="宋体"/>
                <w:bCs w:val="0"/>
                <w:color w:val="auto"/>
                <w:sz w:val="24"/>
                <w:highlight w:val="none"/>
              </w:rPr>
              <w:t>如投标人未参加采购人统一组织的现场考察</w:t>
            </w:r>
            <w:r>
              <w:rPr>
                <w:rFonts w:hint="eastAsia" w:ascii="宋体" w:hAnsi="宋体" w:eastAsia="宋体"/>
                <w:bCs w:val="0"/>
                <w:color w:val="auto"/>
                <w:sz w:val="24"/>
                <w:highlight w:val="none"/>
                <w:lang w:val="en-US" w:eastAsia="zh-CN"/>
              </w:rPr>
              <w:t>或采购人统一召开的标前答疑会</w:t>
            </w:r>
            <w:r>
              <w:rPr>
                <w:rFonts w:hint="eastAsia" w:ascii="宋体" w:hAnsi="宋体" w:eastAsia="宋体"/>
                <w:bCs w:val="0"/>
                <w:color w:val="auto"/>
                <w:sz w:val="24"/>
                <w:highlight w:val="none"/>
              </w:rPr>
              <w:t>，视同放弃现场考察</w:t>
            </w:r>
            <w:r>
              <w:rPr>
                <w:rFonts w:hint="eastAsia" w:ascii="宋体" w:hAnsi="宋体" w:eastAsia="宋体"/>
                <w:bCs w:val="0"/>
                <w:color w:val="auto"/>
                <w:sz w:val="24"/>
                <w:highlight w:val="none"/>
                <w:lang w:val="en-US" w:eastAsia="zh-CN"/>
              </w:rPr>
              <w:t>或标前答疑会</w:t>
            </w:r>
            <w:r>
              <w:rPr>
                <w:rFonts w:hint="eastAsia" w:ascii="宋体" w:hAnsi="宋体" w:eastAsia="宋体"/>
                <w:bCs w:val="0"/>
                <w:color w:val="auto"/>
                <w:sz w:val="24"/>
                <w:highlight w:val="none"/>
              </w:rPr>
              <w:t>，由此引起的一切责任由投标人自行承担。</w:t>
            </w:r>
          </w:p>
        </w:tc>
      </w:tr>
      <w:tr w14:paraId="10AD62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3617ED0">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6</w:t>
            </w:r>
            <w:r>
              <w:rPr>
                <w:rFonts w:ascii="宋体" w:hAnsi="宋体" w:eastAsia="宋体"/>
                <w:bCs/>
                <w:color w:val="auto"/>
                <w:kern w:val="2"/>
                <w:highlight w:val="none"/>
              </w:rPr>
              <w:t>.1</w:t>
            </w:r>
          </w:p>
        </w:tc>
        <w:tc>
          <w:tcPr>
            <w:tcW w:w="1174" w:type="pct"/>
            <w:vAlign w:val="center"/>
          </w:tcPr>
          <w:p w14:paraId="23D9F55D">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lef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网上询问截止时间</w:t>
            </w:r>
          </w:p>
        </w:tc>
        <w:tc>
          <w:tcPr>
            <w:tcW w:w="3244" w:type="pct"/>
            <w:vAlign w:val="center"/>
          </w:tcPr>
          <w:p w14:paraId="73C6F000">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u w:val="single"/>
                <w:lang w:val="en-US" w:eastAsia="zh-CN"/>
              </w:rPr>
              <w:t>2026</w:t>
            </w:r>
            <w:r>
              <w:rPr>
                <w:rFonts w:ascii="宋体" w:hAnsi="宋体" w:eastAsia="宋体"/>
                <w:b w:val="0"/>
                <w:color w:val="auto"/>
                <w:sz w:val="24"/>
                <w:highlight w:val="none"/>
              </w:rPr>
              <w:t>年</w:t>
            </w:r>
            <w:r>
              <w:rPr>
                <w:rFonts w:hint="eastAsia" w:ascii="宋体" w:hAnsi="宋体" w:eastAsia="宋体"/>
                <w:b w:val="0"/>
                <w:color w:val="auto"/>
                <w:sz w:val="24"/>
                <w:highlight w:val="none"/>
                <w:u w:val="single"/>
                <w:lang w:val="en-US" w:eastAsia="zh-CN"/>
              </w:rPr>
              <w:t>11</w:t>
            </w:r>
            <w:r>
              <w:rPr>
                <w:rFonts w:ascii="宋体" w:hAnsi="宋体" w:eastAsia="宋体"/>
                <w:b w:val="0"/>
                <w:color w:val="auto"/>
                <w:sz w:val="24"/>
                <w:highlight w:val="none"/>
              </w:rPr>
              <w:t>月</w:t>
            </w:r>
            <w:r>
              <w:rPr>
                <w:rFonts w:hint="eastAsia" w:ascii="宋体" w:hAnsi="宋体" w:eastAsia="宋体"/>
                <w:b w:val="0"/>
                <w:color w:val="auto"/>
                <w:sz w:val="24"/>
                <w:highlight w:val="none"/>
                <w:u w:val="single"/>
                <w:lang w:val="en-US" w:eastAsia="zh-CN"/>
              </w:rPr>
              <w:t>11</w:t>
            </w:r>
            <w:r>
              <w:rPr>
                <w:rFonts w:ascii="宋体" w:hAnsi="宋体" w:eastAsia="宋体"/>
                <w:b w:val="0"/>
                <w:color w:val="auto"/>
                <w:sz w:val="24"/>
                <w:highlight w:val="none"/>
              </w:rPr>
              <w:t>日</w:t>
            </w:r>
            <w:r>
              <w:rPr>
                <w:rFonts w:hint="eastAsia" w:ascii="宋体" w:hAnsi="宋体" w:eastAsia="宋体"/>
                <w:b w:val="0"/>
                <w:color w:val="auto"/>
                <w:sz w:val="24"/>
                <w:highlight w:val="none"/>
                <w:u w:val="single"/>
                <w:lang w:val="en-US" w:eastAsia="zh-CN"/>
              </w:rPr>
              <w:t>17</w:t>
            </w:r>
            <w:r>
              <w:rPr>
                <w:rFonts w:ascii="宋体" w:hAnsi="宋体" w:eastAsia="宋体"/>
                <w:b w:val="0"/>
                <w:color w:val="auto"/>
                <w:sz w:val="24"/>
                <w:highlight w:val="none"/>
              </w:rPr>
              <w:t>时</w:t>
            </w:r>
            <w:r>
              <w:rPr>
                <w:rFonts w:hint="eastAsia" w:ascii="宋体" w:hAnsi="宋体" w:eastAsia="宋体"/>
                <w:b w:val="0"/>
                <w:color w:val="auto"/>
                <w:sz w:val="24"/>
                <w:highlight w:val="none"/>
                <w:u w:val="single"/>
                <w:lang w:val="en-US" w:eastAsia="zh-CN"/>
              </w:rPr>
              <w:t>30</w:t>
            </w:r>
            <w:r>
              <w:rPr>
                <w:rFonts w:hint="eastAsia" w:ascii="宋体" w:hAnsi="宋体" w:eastAsia="宋体"/>
                <w:b w:val="0"/>
                <w:color w:val="auto"/>
                <w:sz w:val="24"/>
                <w:highlight w:val="none"/>
              </w:rPr>
              <w:t>分</w:t>
            </w:r>
          </w:p>
        </w:tc>
      </w:tr>
      <w:tr w14:paraId="43612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1813A64">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7</w:t>
            </w:r>
            <w:r>
              <w:rPr>
                <w:rFonts w:ascii="宋体" w:hAnsi="宋体" w:eastAsia="宋体"/>
                <w:bCs/>
                <w:color w:val="auto"/>
                <w:kern w:val="2"/>
                <w:highlight w:val="none"/>
              </w:rPr>
              <w:t>.1</w:t>
            </w:r>
          </w:p>
        </w:tc>
        <w:tc>
          <w:tcPr>
            <w:tcW w:w="1174" w:type="pct"/>
            <w:vAlign w:val="center"/>
          </w:tcPr>
          <w:p w14:paraId="33B57292">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lef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包别划分</w:t>
            </w:r>
          </w:p>
        </w:tc>
        <w:tc>
          <w:tcPr>
            <w:tcW w:w="3244" w:type="pct"/>
            <w:vAlign w:val="center"/>
          </w:tcPr>
          <w:p w14:paraId="6D33CB9C">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ascii="宋体" w:hAnsi="宋体" w:eastAsia="宋体"/>
                <w:b w:val="0"/>
                <w:color w:val="auto"/>
                <w:sz w:val="24"/>
                <w:highlight w:val="none"/>
              </w:rPr>
              <w:t>不分包     □分为  个包</w:t>
            </w:r>
          </w:p>
          <w:p w14:paraId="0E03C3B1">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u w:val="single"/>
              </w:rPr>
            </w:pPr>
            <w:r>
              <w:rPr>
                <w:rFonts w:hint="eastAsia" w:ascii="宋体" w:hAnsi="宋体" w:eastAsia="宋体"/>
                <w:b w:val="0"/>
                <w:color w:val="auto"/>
                <w:sz w:val="24"/>
                <w:highlight w:val="none"/>
              </w:rPr>
              <w:t>投标人对多个包进行投标的中标</w:t>
            </w:r>
            <w:r>
              <w:rPr>
                <w:rFonts w:ascii="宋体" w:hAnsi="宋体" w:eastAsia="宋体"/>
                <w:b w:val="0"/>
                <w:color w:val="auto"/>
                <w:sz w:val="24"/>
                <w:highlight w:val="none"/>
              </w:rPr>
              <w:t>包</w:t>
            </w:r>
            <w:r>
              <w:rPr>
                <w:rFonts w:hint="eastAsia" w:ascii="宋体" w:hAnsi="宋体" w:eastAsia="宋体"/>
                <w:b w:val="0"/>
                <w:color w:val="auto"/>
                <w:sz w:val="24"/>
                <w:highlight w:val="none"/>
              </w:rPr>
              <w:t>数规定：</w:t>
            </w:r>
            <w:r>
              <w:rPr>
                <w:rFonts w:hint="eastAsia" w:ascii="宋体" w:hAnsi="宋体" w:eastAsia="宋体"/>
                <w:b w:val="0"/>
                <w:bCs w:val="0"/>
                <w:color w:val="auto"/>
                <w:sz w:val="24"/>
                <w:szCs w:val="18"/>
                <w:highlight w:val="none"/>
                <w:u w:val="single"/>
              </w:rPr>
              <w:t xml:space="preserve"> </w:t>
            </w:r>
            <w:r>
              <w:rPr>
                <w:rFonts w:ascii="宋体" w:hAnsi="宋体" w:eastAsia="宋体"/>
                <w:b w:val="0"/>
                <w:bCs w:val="0"/>
                <w:color w:val="auto"/>
                <w:sz w:val="24"/>
                <w:szCs w:val="18"/>
                <w:highlight w:val="none"/>
                <w:u w:val="single"/>
              </w:rPr>
              <w:t xml:space="preserve">       </w:t>
            </w:r>
          </w:p>
        </w:tc>
      </w:tr>
      <w:tr w14:paraId="6ACE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jc w:val="center"/>
        </w:trPr>
        <w:tc>
          <w:tcPr>
            <w:tcW w:w="581" w:type="pct"/>
            <w:vAlign w:val="center"/>
          </w:tcPr>
          <w:p w14:paraId="76F73E85">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0</w:t>
            </w:r>
            <w:r>
              <w:rPr>
                <w:rFonts w:ascii="宋体" w:hAnsi="宋体" w:eastAsia="宋体"/>
                <w:bCs/>
                <w:color w:val="auto"/>
                <w:kern w:val="2"/>
                <w:highlight w:val="none"/>
              </w:rPr>
              <w:t>.1</w:t>
            </w:r>
          </w:p>
        </w:tc>
        <w:tc>
          <w:tcPr>
            <w:tcW w:w="1174" w:type="pct"/>
            <w:vAlign w:val="center"/>
          </w:tcPr>
          <w:p w14:paraId="6207F513">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left"/>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投标保证金</w:t>
            </w:r>
          </w:p>
        </w:tc>
        <w:tc>
          <w:tcPr>
            <w:tcW w:w="3244" w:type="pct"/>
            <w:vAlign w:val="center"/>
          </w:tcPr>
          <w:p w14:paraId="520281DF">
            <w:pPr>
              <w:keepNext w:val="0"/>
              <w:keepLines w:val="0"/>
              <w:pageBreakBefore w:val="0"/>
              <w:widowControl w:val="0"/>
              <w:kinsoku/>
              <w:wordWrap/>
              <w:overflowPunct/>
              <w:topLinePunct w:val="0"/>
              <w:autoSpaceDE/>
              <w:autoSpaceDN/>
              <w:bidi w:val="0"/>
              <w:spacing w:line="500" w:lineRule="exact"/>
              <w:textAlignment w:val="auto"/>
              <w:rPr>
                <w:color w:val="auto"/>
                <w:highlight w:val="none"/>
              </w:rPr>
            </w:pPr>
            <w:r>
              <w:rPr>
                <w:rFonts w:hint="eastAsia" w:ascii="宋体" w:hAnsi="宋体" w:eastAsia="宋体"/>
                <w:bCs/>
                <w:color w:val="auto"/>
                <w:kern w:val="0"/>
                <w:sz w:val="24"/>
                <w:szCs w:val="28"/>
                <w:highlight w:val="none"/>
              </w:rPr>
              <w:t>不收取</w:t>
            </w:r>
          </w:p>
        </w:tc>
      </w:tr>
      <w:tr w14:paraId="0DC21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F5DBCD4">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.1</w:t>
            </w:r>
          </w:p>
        </w:tc>
        <w:tc>
          <w:tcPr>
            <w:tcW w:w="1174" w:type="pct"/>
            <w:vAlign w:val="center"/>
          </w:tcPr>
          <w:p w14:paraId="2D69C8F0">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投标有效期</w:t>
            </w:r>
          </w:p>
        </w:tc>
        <w:tc>
          <w:tcPr>
            <w:tcW w:w="3244" w:type="pct"/>
            <w:vAlign w:val="center"/>
          </w:tcPr>
          <w:p w14:paraId="522B0461">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u w:val="single"/>
              </w:rPr>
              <w:t xml:space="preserve">  </w:t>
            </w:r>
            <w:r>
              <w:rPr>
                <w:rFonts w:hint="eastAsia" w:ascii="宋体" w:hAnsi="宋体" w:eastAsia="宋体"/>
                <w:b w:val="0"/>
                <w:color w:val="auto"/>
                <w:sz w:val="24"/>
                <w:highlight w:val="none"/>
                <w:u w:val="single"/>
                <w:lang w:val="en-US" w:eastAsia="zh-CN"/>
              </w:rPr>
              <w:t xml:space="preserve">90 </w:t>
            </w:r>
            <w:r>
              <w:rPr>
                <w:rFonts w:hint="eastAsia" w:ascii="宋体" w:hAnsi="宋体" w:eastAsia="宋体"/>
                <w:b w:val="0"/>
                <w:color w:val="auto"/>
                <w:sz w:val="24"/>
                <w:highlight w:val="none"/>
              </w:rPr>
              <w:t>日历日</w:t>
            </w:r>
          </w:p>
        </w:tc>
      </w:tr>
      <w:tr w14:paraId="4380A6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9BFE1F3">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1</w:t>
            </w:r>
          </w:p>
        </w:tc>
        <w:tc>
          <w:tcPr>
            <w:tcW w:w="1174" w:type="pct"/>
            <w:vAlign w:val="center"/>
          </w:tcPr>
          <w:p w14:paraId="510CB0A1">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投标文件解密时间</w:t>
            </w:r>
          </w:p>
        </w:tc>
        <w:tc>
          <w:tcPr>
            <w:tcW w:w="3244" w:type="pct"/>
            <w:vAlign w:val="center"/>
          </w:tcPr>
          <w:p w14:paraId="385FD855">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hint="eastAsia" w:ascii="宋体" w:hAnsi="宋体" w:eastAsia="宋体"/>
                <w:b w:val="0"/>
                <w:color w:val="auto"/>
                <w:sz w:val="24"/>
                <w:highlight w:val="none"/>
                <w:u w:val="single"/>
                <w:lang w:val="en-US" w:eastAsia="zh-CN"/>
              </w:rPr>
            </w:pPr>
            <w:r>
              <w:rPr>
                <w:rFonts w:hint="eastAsia" w:ascii="宋体" w:hAnsi="宋体" w:eastAsia="宋体"/>
                <w:b w:val="0"/>
                <w:color w:val="auto"/>
                <w:sz w:val="24"/>
                <w:highlight w:val="none"/>
                <w:u w:val="none"/>
              </w:rPr>
              <w:t>投标截止时间后</w:t>
            </w:r>
            <w:r>
              <w:rPr>
                <w:rFonts w:hint="eastAsia" w:ascii="宋体" w:hAnsi="宋体" w:eastAsia="宋体"/>
                <w:b w:val="0"/>
                <w:color w:val="auto"/>
                <w:sz w:val="24"/>
                <w:highlight w:val="none"/>
                <w:u w:val="single"/>
                <w:lang w:val="en-US" w:eastAsia="zh-CN"/>
              </w:rPr>
              <w:t xml:space="preserve">  60 </w:t>
            </w:r>
            <w:r>
              <w:rPr>
                <w:rFonts w:hint="eastAsia" w:ascii="宋体" w:hAnsi="宋体" w:eastAsia="宋体"/>
                <w:b w:val="0"/>
                <w:color w:val="auto"/>
                <w:sz w:val="24"/>
                <w:highlight w:val="none"/>
                <w:u w:val="none"/>
              </w:rPr>
              <w:t>分钟内</w:t>
            </w:r>
          </w:p>
        </w:tc>
      </w:tr>
      <w:tr w14:paraId="6747F5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4E7C644A">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1</w:t>
            </w:r>
            <w:r>
              <w:rPr>
                <w:rFonts w:hint="eastAsia" w:ascii="宋体" w:hAnsi="宋体" w:eastAsia="宋体"/>
                <w:bCs/>
                <w:color w:val="auto"/>
                <w:kern w:val="2"/>
                <w:highlight w:val="none"/>
                <w:lang w:val="en-US" w:eastAsia="zh-CN"/>
              </w:rPr>
              <w:t>4</w:t>
            </w:r>
            <w:r>
              <w:rPr>
                <w:rFonts w:hint="eastAsia" w:ascii="宋体" w:hAnsi="宋体" w:eastAsia="宋体"/>
                <w:bCs/>
                <w:color w:val="auto"/>
                <w:kern w:val="2"/>
                <w:highlight w:val="none"/>
              </w:rPr>
              <w:t>.1</w:t>
            </w:r>
          </w:p>
        </w:tc>
        <w:tc>
          <w:tcPr>
            <w:tcW w:w="1174" w:type="pct"/>
            <w:vAlign w:val="center"/>
          </w:tcPr>
          <w:p w14:paraId="2B44367D">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资格审查</w:t>
            </w:r>
          </w:p>
        </w:tc>
        <w:tc>
          <w:tcPr>
            <w:tcW w:w="3244" w:type="pct"/>
            <w:vAlign w:val="center"/>
          </w:tcPr>
          <w:p w14:paraId="221DE1A4">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hint="eastAsia" w:ascii="宋体" w:hAnsi="宋体" w:eastAsia="宋体"/>
                <w:b w:val="0"/>
                <w:bCs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bCs w:val="0"/>
                <w:color w:val="auto"/>
                <w:sz w:val="24"/>
                <w:highlight w:val="none"/>
              </w:rPr>
              <w:t>采购人审查</w:t>
            </w:r>
          </w:p>
          <w:p w14:paraId="4E8FB0E4">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bCs w:val="0"/>
                <w:color w:val="auto"/>
                <w:sz w:val="24"/>
                <w:highlight w:val="none"/>
              </w:rPr>
              <w:t>采购人出具委托函委托采购代理机构进行审查</w:t>
            </w:r>
          </w:p>
        </w:tc>
      </w:tr>
      <w:tr w14:paraId="70E16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57B47843">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.2</w:t>
            </w:r>
          </w:p>
        </w:tc>
        <w:tc>
          <w:tcPr>
            <w:tcW w:w="1174" w:type="pct"/>
            <w:vAlign w:val="center"/>
          </w:tcPr>
          <w:p w14:paraId="1BEDD8B2">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评标方法</w:t>
            </w:r>
          </w:p>
        </w:tc>
        <w:tc>
          <w:tcPr>
            <w:tcW w:w="3244" w:type="pct"/>
            <w:vAlign w:val="center"/>
          </w:tcPr>
          <w:p w14:paraId="3D28E686">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u w:val="single"/>
              </w:rPr>
            </w:pPr>
            <w:r>
              <w:rPr>
                <w:rFonts w:ascii="宋体" w:hAnsi="宋体" w:eastAsia="宋体"/>
                <w:b w:val="0"/>
                <w:bCs w:val="0"/>
                <w:color w:val="auto"/>
                <w:sz w:val="24"/>
                <w:szCs w:val="24"/>
                <w:highlight w:val="none"/>
              </w:rPr>
              <w:t>□</w:t>
            </w:r>
            <w:r>
              <w:rPr>
                <w:rFonts w:hint="eastAsia" w:ascii="宋体" w:hAnsi="宋体" w:eastAsia="宋体"/>
                <w:b w:val="0"/>
                <w:color w:val="auto"/>
                <w:sz w:val="24"/>
                <w:highlight w:val="none"/>
                <w:u w:val="none"/>
              </w:rPr>
              <w:t>最低评标价法</w:t>
            </w:r>
          </w:p>
          <w:p w14:paraId="0F10826A">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bCs w:val="0"/>
                <w:color w:val="auto"/>
                <w:sz w:val="24"/>
                <w:szCs w:val="24"/>
                <w:highlight w:val="none"/>
                <w:lang w:eastAsia="zh-CN"/>
              </w:rPr>
              <w:t>☑</w:t>
            </w:r>
            <w:r>
              <w:rPr>
                <w:rFonts w:hint="eastAsia" w:ascii="宋体" w:hAnsi="宋体" w:eastAsia="宋体"/>
                <w:b w:val="0"/>
                <w:color w:val="auto"/>
                <w:sz w:val="24"/>
                <w:highlight w:val="none"/>
                <w:u w:val="none"/>
              </w:rPr>
              <w:t>综合评分法</w:t>
            </w:r>
          </w:p>
        </w:tc>
      </w:tr>
      <w:tr w14:paraId="61BB13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0CCE6468">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17</w:t>
            </w:r>
            <w:r>
              <w:rPr>
                <w:rFonts w:ascii="宋体" w:hAnsi="宋体" w:eastAsia="宋体"/>
                <w:bCs/>
                <w:color w:val="auto"/>
                <w:kern w:val="2"/>
                <w:highlight w:val="none"/>
              </w:rPr>
              <w:t>.3</w:t>
            </w:r>
          </w:p>
        </w:tc>
        <w:tc>
          <w:tcPr>
            <w:tcW w:w="1174" w:type="pct"/>
            <w:vAlign w:val="center"/>
          </w:tcPr>
          <w:p w14:paraId="77E99FD8">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报价扣除</w:t>
            </w:r>
          </w:p>
          <w:p w14:paraId="032DC138">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i/>
                <w:color w:val="auto"/>
                <w:sz w:val="24"/>
                <w:highlight w:val="none"/>
              </w:rPr>
            </w:pPr>
            <w:r>
              <w:rPr>
                <w:rFonts w:hint="eastAsia" w:ascii="宋体" w:hAnsi="宋体" w:eastAsia="宋体"/>
                <w:b w:val="0"/>
                <w:i/>
                <w:color w:val="auto"/>
                <w:sz w:val="24"/>
                <w:highlight w:val="none"/>
              </w:rPr>
              <w:t>（非专门面向中小企业采购项目适用）</w:t>
            </w:r>
          </w:p>
        </w:tc>
        <w:tc>
          <w:tcPr>
            <w:tcW w:w="3244" w:type="pct"/>
            <w:vAlign w:val="center"/>
          </w:tcPr>
          <w:p w14:paraId="5786DA7C">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（1）</w:t>
            </w:r>
            <w:r>
              <w:rPr>
                <w:rFonts w:ascii="宋体" w:hAnsi="宋体" w:eastAsia="宋体"/>
                <w:b w:val="0"/>
                <w:color w:val="auto"/>
                <w:sz w:val="24"/>
                <w:highlight w:val="none"/>
              </w:rPr>
              <w:t>小型和微型</w:t>
            </w:r>
            <w:r>
              <w:rPr>
                <w:rFonts w:hint="eastAsia" w:ascii="宋体" w:hAnsi="宋体" w:eastAsia="宋体"/>
                <w:b w:val="0"/>
                <w:color w:val="auto"/>
                <w:sz w:val="24"/>
                <w:highlight w:val="none"/>
              </w:rPr>
              <w:t>企业价格扣除：</w:t>
            </w:r>
            <w:r>
              <w:rPr>
                <w:rFonts w:hint="eastAsia" w:ascii="宋体" w:hAnsi="宋体" w:eastAsia="宋体"/>
                <w:b w:val="0"/>
                <w:color w:val="auto"/>
                <w:sz w:val="24"/>
                <w:highlight w:val="none"/>
                <w:u w:val="single"/>
              </w:rPr>
              <w:t>对小型和微型企业的价格给予10%的扣除后参与评审</w:t>
            </w:r>
            <w:r>
              <w:rPr>
                <w:rFonts w:hint="eastAsia" w:ascii="宋体" w:hAnsi="宋体" w:eastAsia="宋体"/>
                <w:b w:val="0"/>
                <w:color w:val="auto"/>
                <w:sz w:val="24"/>
                <w:highlight w:val="none"/>
                <w:u w:val="single"/>
                <w:lang w:val="en-US" w:eastAsia="zh-CN"/>
              </w:rPr>
              <w:t>,</w:t>
            </w:r>
            <w:r>
              <w:rPr>
                <w:rFonts w:hint="eastAsia" w:ascii="宋体" w:hAnsi="宋体" w:eastAsia="宋体" w:cs="宋体"/>
                <w:b w:val="0"/>
                <w:color w:val="auto"/>
                <w:sz w:val="24"/>
                <w:szCs w:val="24"/>
                <w:highlight w:val="none"/>
                <w:u w:val="single"/>
              </w:rPr>
              <w:t>其评审价=投标报价*90%</w:t>
            </w:r>
            <w:r>
              <w:rPr>
                <w:rFonts w:hint="eastAsia" w:ascii="宋体" w:hAnsi="宋体" w:eastAsia="宋体"/>
                <w:b w:val="0"/>
                <w:color w:val="auto"/>
                <w:sz w:val="24"/>
                <w:highlight w:val="none"/>
                <w:u w:val="single"/>
              </w:rPr>
              <w:t>。</w:t>
            </w:r>
          </w:p>
          <w:p w14:paraId="69DED8F6">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（2）监狱企业价格扣除：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683D57B4">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（3）残疾人福利性单位价格扣除：</w:t>
            </w:r>
            <w:r>
              <w:rPr>
                <w:rFonts w:hint="eastAsia" w:ascii="宋体" w:hAnsi="宋体" w:eastAsia="宋体"/>
                <w:b w:val="0"/>
                <w:color w:val="auto"/>
                <w:sz w:val="24"/>
                <w:highlight w:val="none"/>
                <w:u w:val="single"/>
              </w:rPr>
              <w:t>同</w:t>
            </w:r>
            <w:r>
              <w:rPr>
                <w:rFonts w:ascii="宋体" w:hAnsi="宋体" w:eastAsia="宋体"/>
                <w:b w:val="0"/>
                <w:color w:val="auto"/>
                <w:sz w:val="24"/>
                <w:highlight w:val="none"/>
                <w:u w:val="single"/>
              </w:rPr>
              <w:t>小型和微型企业</w:t>
            </w:r>
            <w:r>
              <w:rPr>
                <w:rFonts w:hint="eastAsia" w:ascii="宋体" w:hAnsi="宋体" w:eastAsia="宋体"/>
                <w:b w:val="0"/>
                <w:color w:val="auto"/>
                <w:sz w:val="24"/>
                <w:highlight w:val="none"/>
              </w:rPr>
              <w:t>。</w:t>
            </w:r>
          </w:p>
          <w:p w14:paraId="22BACCFB">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（4）符合条件的联合体价格扣除：</w:t>
            </w:r>
            <w:r>
              <w:rPr>
                <w:rFonts w:hint="eastAsia" w:ascii="宋体" w:hAnsi="宋体" w:eastAsia="宋体" w:cs="宋体"/>
                <w:b w:val="0"/>
                <w:color w:val="auto"/>
                <w:sz w:val="24"/>
                <w:szCs w:val="24"/>
                <w:highlight w:val="none"/>
                <w:u w:val="single"/>
              </w:rPr>
              <w:t>/</w:t>
            </w:r>
            <w:r>
              <w:rPr>
                <w:rFonts w:hint="eastAsia" w:ascii="宋体" w:hAnsi="宋体" w:eastAsia="宋体" w:cs="宋体"/>
                <w:b w:val="0"/>
                <w:color w:val="auto"/>
                <w:sz w:val="24"/>
                <w:szCs w:val="24"/>
                <w:highlight w:val="none"/>
              </w:rPr>
              <w:t>。</w:t>
            </w:r>
          </w:p>
          <w:p w14:paraId="0C483FE8">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（5）符合条件的向小微企业分包的大中型企业价格扣除：</w:t>
            </w:r>
            <w:r>
              <w:rPr>
                <w:rFonts w:hint="eastAsia" w:ascii="宋体" w:hAnsi="宋体" w:eastAsia="宋体" w:cs="宋体"/>
                <w:b w:val="0"/>
                <w:color w:val="auto"/>
                <w:sz w:val="24"/>
                <w:szCs w:val="24"/>
                <w:highlight w:val="none"/>
                <w:u w:val="single"/>
              </w:rPr>
              <w:t>/</w:t>
            </w:r>
            <w:r>
              <w:rPr>
                <w:rFonts w:hint="eastAsia" w:ascii="宋体" w:hAnsi="宋体" w:eastAsia="宋体" w:cs="宋体"/>
                <w:b w:val="0"/>
                <w:color w:val="auto"/>
                <w:sz w:val="24"/>
                <w:szCs w:val="24"/>
                <w:highlight w:val="none"/>
              </w:rPr>
              <w:t>。</w:t>
            </w:r>
          </w:p>
        </w:tc>
      </w:tr>
      <w:tr w14:paraId="28E779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1103" w:type="dxa"/>
            <w:vAlign w:val="center"/>
          </w:tcPr>
          <w:p w14:paraId="76CF4DEB">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500" w:lineRule="exact"/>
              <w:textAlignment w:val="auto"/>
              <w:rPr>
                <w:rFonts w:hint="eastAsia"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17.4</w:t>
            </w:r>
          </w:p>
        </w:tc>
        <w:tc>
          <w:tcPr>
            <w:tcW w:w="2229" w:type="dxa"/>
            <w:vAlign w:val="center"/>
          </w:tcPr>
          <w:p w14:paraId="3D29FA5E">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b w:val="0"/>
                <w:i/>
                <w:color w:val="auto"/>
                <w:sz w:val="24"/>
                <w:highlight w:val="none"/>
              </w:rPr>
            </w:pPr>
            <w:r>
              <w:rPr>
                <w:rFonts w:hint="eastAsia" w:ascii="宋体" w:hAnsi="宋体" w:eastAsia="宋体"/>
                <w:b w:val="0"/>
                <w:i w:val="0"/>
                <w:iCs w:val="0"/>
                <w:color w:val="auto"/>
                <w:sz w:val="24"/>
                <w:highlight w:val="none"/>
                <w:lang w:val="en-US" w:eastAsia="zh-CN"/>
              </w:rPr>
              <w:t>本国产品价格扣除（本项目不适用）</w:t>
            </w:r>
          </w:p>
        </w:tc>
        <w:tc>
          <w:tcPr>
            <w:tcW w:w="6161" w:type="dxa"/>
            <w:vAlign w:val="center"/>
          </w:tcPr>
          <w:p w14:paraId="099EDD3F">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b w:val="0"/>
                <w:i w:val="0"/>
                <w:iCs w:val="0"/>
                <w:color w:val="auto"/>
                <w:sz w:val="24"/>
                <w:highlight w:val="none"/>
                <w:lang w:val="en-US" w:eastAsia="zh-CN"/>
              </w:rPr>
            </w:pPr>
            <w:r>
              <w:rPr>
                <w:rFonts w:hint="eastAsia" w:ascii="宋体" w:hAnsi="宋体" w:eastAsia="宋体"/>
                <w:b w:val="0"/>
                <w:i w:val="0"/>
                <w:iCs w:val="0"/>
                <w:color w:val="auto"/>
                <w:sz w:val="24"/>
                <w:highlight w:val="none"/>
                <w:lang w:val="en-US" w:eastAsia="zh-CN"/>
              </w:rPr>
              <w:t>（1）项目或者采购包中采购内容为单一产品的，既有本国产品又有非本国产品参与竞争的，对本国产品给予价格扣除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lang w:val="en-US" w:eastAsia="zh-CN"/>
              </w:rPr>
              <w:t>。</w:t>
            </w:r>
          </w:p>
          <w:p w14:paraId="3509C6F6">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eastAsia" w:ascii="宋体" w:hAnsi="宋体" w:eastAsia="宋体"/>
                <w:b w:val="0"/>
                <w:color w:val="auto"/>
                <w:sz w:val="24"/>
                <w:highlight w:val="none"/>
              </w:rPr>
            </w:pPr>
            <w:r>
              <w:rPr>
                <w:rFonts w:hint="eastAsia" w:ascii="宋体" w:hAnsi="宋体" w:eastAsia="宋体"/>
                <w:b w:val="0"/>
                <w:i w:val="0"/>
                <w:iCs w:val="0"/>
                <w:color w:val="auto"/>
                <w:sz w:val="24"/>
                <w:highlight w:val="none"/>
                <w:lang w:val="en-US" w:eastAsia="zh-CN"/>
              </w:rPr>
              <w:t>（2）项目或者采购包中含有多种产品的，符合本国产品标准的产品成本之和占该投标人提供的全部产品成本之和的比例≥80%，所有产品价格扣除</w:t>
            </w:r>
            <w:r>
              <w:rPr>
                <w:rFonts w:hint="eastAsia" w:ascii="宋体" w:hAnsi="宋体" w:eastAsia="宋体"/>
                <w:b w:val="0"/>
                <w:i w:val="0"/>
                <w:iCs w:val="0"/>
                <w:color w:val="auto"/>
                <w:sz w:val="24"/>
                <w:highlight w:val="none"/>
                <w:u w:val="single"/>
                <w:lang w:val="en-US" w:eastAsia="zh-CN"/>
              </w:rPr>
              <w:t>20%</w:t>
            </w:r>
            <w:r>
              <w:rPr>
                <w:rFonts w:hint="eastAsia" w:ascii="宋体" w:hAnsi="宋体" w:eastAsia="宋体"/>
                <w:b w:val="0"/>
                <w:i w:val="0"/>
                <w:iCs w:val="0"/>
                <w:color w:val="auto"/>
                <w:sz w:val="24"/>
                <w:highlight w:val="none"/>
                <w:u w:val="none"/>
                <w:lang w:val="en-US" w:eastAsia="zh-CN"/>
              </w:rPr>
              <w:t>。</w:t>
            </w:r>
          </w:p>
        </w:tc>
      </w:tr>
      <w:tr w14:paraId="1A26B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EF6A3">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1</w:t>
            </w:r>
          </w:p>
        </w:tc>
        <w:tc>
          <w:tcPr>
            <w:tcW w:w="1174" w:type="pct"/>
            <w:vAlign w:val="center"/>
          </w:tcPr>
          <w:p w14:paraId="0AAFE4F6">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评标委员会推荐</w:t>
            </w:r>
            <w:r>
              <w:rPr>
                <w:rFonts w:ascii="宋体" w:hAnsi="宋体" w:eastAsia="宋体"/>
                <w:b w:val="0"/>
                <w:color w:val="auto"/>
                <w:sz w:val="24"/>
                <w:highlight w:val="none"/>
              </w:rPr>
              <w:t>中标候选</w:t>
            </w:r>
            <w:r>
              <w:rPr>
                <w:rFonts w:hint="eastAsia" w:ascii="宋体" w:hAnsi="宋体" w:eastAsia="宋体"/>
                <w:b w:val="0"/>
                <w:color w:val="auto"/>
                <w:sz w:val="24"/>
                <w:highlight w:val="none"/>
              </w:rPr>
              <w:t>人的</w:t>
            </w:r>
            <w:r>
              <w:rPr>
                <w:rFonts w:ascii="宋体" w:hAnsi="宋体" w:eastAsia="宋体"/>
                <w:b w:val="0"/>
                <w:color w:val="auto"/>
                <w:sz w:val="24"/>
                <w:highlight w:val="none"/>
              </w:rPr>
              <w:t>数量</w:t>
            </w:r>
          </w:p>
        </w:tc>
        <w:tc>
          <w:tcPr>
            <w:tcW w:w="3244" w:type="pct"/>
            <w:vAlign w:val="center"/>
          </w:tcPr>
          <w:p w14:paraId="45E51C21">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u w:val="single"/>
              </w:rPr>
            </w:pPr>
            <w:r>
              <w:rPr>
                <w:rFonts w:hint="eastAsia" w:ascii="宋体" w:hAnsi="宋体" w:eastAsia="宋体"/>
                <w:b w:val="0"/>
                <w:color w:val="auto"/>
                <w:sz w:val="24"/>
                <w:highlight w:val="none"/>
                <w:u w:val="none"/>
              </w:rPr>
              <w:t>评</w:t>
            </w:r>
            <w:r>
              <w:rPr>
                <w:rFonts w:hint="eastAsia" w:ascii="宋体" w:hAnsi="宋体" w:eastAsia="宋体"/>
                <w:b w:val="0"/>
                <w:color w:val="auto"/>
                <w:sz w:val="24"/>
                <w:highlight w:val="none"/>
              </w:rPr>
              <w:t>标委员会推荐3名中标候选人</w:t>
            </w:r>
          </w:p>
        </w:tc>
      </w:tr>
      <w:tr w14:paraId="7EF4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7AF1DF1">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rPr>
              <w:t>2</w:t>
            </w:r>
          </w:p>
        </w:tc>
        <w:tc>
          <w:tcPr>
            <w:tcW w:w="1174" w:type="pct"/>
            <w:vAlign w:val="center"/>
          </w:tcPr>
          <w:p w14:paraId="62C6F207">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确定中标人</w:t>
            </w:r>
          </w:p>
        </w:tc>
        <w:tc>
          <w:tcPr>
            <w:tcW w:w="3244" w:type="pct"/>
            <w:vAlign w:val="center"/>
          </w:tcPr>
          <w:p w14:paraId="601A7770">
            <w:pPr>
              <w:keepNext w:val="0"/>
              <w:keepLines w:val="0"/>
              <w:pageBreakBefore w:val="0"/>
              <w:widowControl w:val="0"/>
              <w:kinsoku/>
              <w:wordWrap/>
              <w:overflowPunct/>
              <w:topLinePunct w:val="0"/>
              <w:autoSpaceDE/>
              <w:autoSpaceDN/>
              <w:bidi w:val="0"/>
              <w:spacing w:line="500" w:lineRule="exact"/>
              <w:textAlignment w:val="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采购人委托评标委员会确定</w:t>
            </w:r>
          </w:p>
          <w:p w14:paraId="5A4428D0">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Theme="minorEastAsia" w:hAnsiTheme="minorEastAsia" w:eastAsiaTheme="minorEastAsia"/>
                <w:b w:val="0"/>
                <w:bCs w:val="0"/>
                <w:color w:val="auto"/>
                <w:kern w:val="2"/>
                <w:sz w:val="24"/>
                <w:szCs w:val="24"/>
                <w:highlight w:val="none"/>
              </w:rPr>
              <w:t>□采购人确定</w:t>
            </w:r>
          </w:p>
        </w:tc>
      </w:tr>
      <w:tr w14:paraId="22524F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1E5749C8">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ascii="宋体" w:hAnsi="宋体" w:eastAsia="宋体"/>
                <w:bCs/>
                <w:color w:val="auto"/>
                <w:kern w:val="2"/>
                <w:highlight w:val="none"/>
              </w:rPr>
              <w:t>2</w:t>
            </w:r>
            <w:r>
              <w:rPr>
                <w:rFonts w:hint="eastAsia" w:ascii="宋体" w:hAnsi="宋体" w:eastAsia="宋体"/>
                <w:bCs/>
                <w:color w:val="auto"/>
                <w:kern w:val="2"/>
                <w:highlight w:val="none"/>
                <w:lang w:val="en-US" w:eastAsia="zh-CN"/>
              </w:rPr>
              <w:t>3</w:t>
            </w:r>
            <w:r>
              <w:rPr>
                <w:rFonts w:ascii="宋体" w:hAnsi="宋体" w:eastAsia="宋体"/>
                <w:bCs/>
                <w:color w:val="auto"/>
                <w:kern w:val="2"/>
                <w:highlight w:val="none"/>
              </w:rPr>
              <w:t>.3</w:t>
            </w:r>
          </w:p>
        </w:tc>
        <w:tc>
          <w:tcPr>
            <w:tcW w:w="1174" w:type="pct"/>
            <w:vAlign w:val="center"/>
          </w:tcPr>
          <w:p w14:paraId="3FEDA853">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随中标结果公告同时</w:t>
            </w:r>
            <w:r>
              <w:rPr>
                <w:rFonts w:hint="eastAsia" w:ascii="宋体" w:hAnsi="宋体" w:eastAsia="宋体"/>
                <w:b w:val="0"/>
                <w:color w:val="auto"/>
                <w:sz w:val="24"/>
                <w:highlight w:val="none"/>
                <w:lang w:val="en-US" w:eastAsia="zh-CN"/>
              </w:rPr>
              <w:t>公告</w:t>
            </w:r>
            <w:r>
              <w:rPr>
                <w:rFonts w:hint="eastAsia" w:ascii="宋体" w:hAnsi="宋体" w:eastAsia="宋体"/>
                <w:b w:val="0"/>
                <w:color w:val="auto"/>
                <w:sz w:val="24"/>
                <w:highlight w:val="none"/>
              </w:rPr>
              <w:t>的内容</w:t>
            </w:r>
          </w:p>
        </w:tc>
        <w:tc>
          <w:tcPr>
            <w:tcW w:w="3244" w:type="pct"/>
            <w:vAlign w:val="center"/>
          </w:tcPr>
          <w:p w14:paraId="5F062076">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1</w:t>
            </w:r>
            <w:r>
              <w:rPr>
                <w:rFonts w:hint="eastAsia" w:ascii="宋体" w:hAnsi="宋体" w:eastAsia="宋体"/>
                <w:b w:val="0"/>
                <w:color w:val="auto"/>
                <w:sz w:val="24"/>
                <w:highlight w:val="none"/>
                <w:u w:val="none"/>
              </w:rPr>
              <w:t>）中小企业声明函；</w:t>
            </w:r>
            <w:r>
              <w:rPr>
                <w:rFonts w:hint="eastAsia" w:ascii="宋体" w:hAnsi="宋体" w:eastAsia="宋体"/>
                <w:b w:val="0"/>
                <w:i/>
                <w:iCs/>
                <w:color w:val="auto"/>
                <w:sz w:val="24"/>
                <w:highlight w:val="none"/>
                <w:u w:val="none"/>
              </w:rPr>
              <w:t>（如有）</w:t>
            </w:r>
          </w:p>
          <w:p w14:paraId="747147DC">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i/>
                <w:color w:val="auto"/>
                <w:sz w:val="24"/>
                <w:highlight w:val="none"/>
                <w:u w:val="none"/>
              </w:rPr>
            </w:pPr>
            <w:r>
              <w:rPr>
                <w:rFonts w:hint="eastAsia" w:ascii="宋体" w:hAnsi="宋体" w:eastAsia="宋体"/>
                <w:b w:val="0"/>
                <w:color w:val="auto"/>
                <w:sz w:val="24"/>
                <w:highlight w:val="none"/>
                <w:u w:val="none"/>
              </w:rPr>
              <w:t>（</w:t>
            </w:r>
            <w:r>
              <w:rPr>
                <w:rFonts w:hint="eastAsia" w:ascii="宋体" w:hAnsi="宋体" w:eastAsia="宋体"/>
                <w:b w:val="0"/>
                <w:color w:val="auto"/>
                <w:sz w:val="24"/>
                <w:highlight w:val="none"/>
                <w:u w:val="none"/>
                <w:lang w:val="en-US" w:eastAsia="zh-CN"/>
              </w:rPr>
              <w:t>2</w:t>
            </w:r>
            <w:r>
              <w:rPr>
                <w:rFonts w:hint="eastAsia" w:ascii="宋体" w:hAnsi="宋体" w:eastAsia="宋体"/>
                <w:b w:val="0"/>
                <w:color w:val="auto"/>
                <w:sz w:val="24"/>
                <w:highlight w:val="none"/>
                <w:u w:val="none"/>
              </w:rPr>
              <w:t>）残疾人福利性单位声明函；</w:t>
            </w:r>
            <w:r>
              <w:rPr>
                <w:rFonts w:hint="eastAsia" w:ascii="宋体" w:hAnsi="宋体" w:eastAsia="宋体"/>
                <w:b w:val="0"/>
                <w:i/>
                <w:iCs/>
                <w:color w:val="auto"/>
                <w:sz w:val="24"/>
                <w:highlight w:val="none"/>
                <w:u w:val="none"/>
              </w:rPr>
              <w:t>（如有）</w:t>
            </w:r>
          </w:p>
          <w:p w14:paraId="2DF07C7D">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hint="eastAsia" w:ascii="宋体" w:hAnsi="宋体" w:eastAsia="宋体"/>
                <w:b w:val="0"/>
                <w:color w:val="auto"/>
                <w:sz w:val="24"/>
                <w:highlight w:val="none"/>
                <w:u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3</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中标</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成交</w:t>
            </w: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rPr>
              <w:t>供应商的评审总得分</w:t>
            </w:r>
          </w:p>
          <w:p w14:paraId="18289587">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bCs w:val="0"/>
                <w:color w:val="auto"/>
                <w:sz w:val="24"/>
                <w:szCs w:val="24"/>
                <w:highlight w:val="none"/>
              </w:rPr>
            </w:pPr>
            <w:r>
              <w:rPr>
                <w:rFonts w:hint="eastAsia" w:ascii="宋体" w:hAnsi="宋体" w:eastAsia="宋体"/>
                <w:b w:val="0"/>
                <w:color w:val="auto"/>
                <w:sz w:val="24"/>
                <w:highlight w:val="none"/>
                <w:u w:val="none"/>
                <w:lang w:eastAsia="zh-CN"/>
              </w:rPr>
              <w:t>（</w:t>
            </w:r>
            <w:r>
              <w:rPr>
                <w:rFonts w:hint="eastAsia" w:ascii="宋体" w:hAnsi="宋体" w:eastAsia="宋体"/>
                <w:b w:val="0"/>
                <w:color w:val="auto"/>
                <w:sz w:val="24"/>
                <w:highlight w:val="none"/>
                <w:u w:val="none"/>
                <w:lang w:val="en-US" w:eastAsia="zh-CN"/>
              </w:rPr>
              <w:t>4</w:t>
            </w:r>
            <w:r>
              <w:rPr>
                <w:rFonts w:hint="eastAsia" w:ascii="宋体" w:hAnsi="宋体" w:eastAsia="宋体"/>
                <w:b w:val="0"/>
                <w:color w:val="auto"/>
                <w:sz w:val="24"/>
                <w:highlight w:val="none"/>
                <w:u w:val="none"/>
                <w:lang w:eastAsia="zh-CN"/>
              </w:rPr>
              <w:t>）</w:t>
            </w:r>
            <w:r>
              <w:rPr>
                <w:rFonts w:hint="eastAsia" w:ascii="宋体" w:hAnsi="宋体" w:eastAsia="宋体" w:cs="@仿宋_GB2312"/>
                <w:b w:val="0"/>
                <w:bCs w:val="0"/>
                <w:color w:val="auto"/>
                <w:sz w:val="24"/>
                <w:szCs w:val="20"/>
                <w:highlight w:val="none"/>
                <w:u w:val="none"/>
              </w:rPr>
              <w:t>符合本国产品标准的声明函</w:t>
            </w:r>
            <w:r>
              <w:rPr>
                <w:rFonts w:hint="eastAsia" w:ascii="宋体" w:hAnsi="宋体" w:eastAsia="宋体" w:cs="@仿宋_GB2312"/>
                <w:b w:val="0"/>
                <w:bCs w:val="0"/>
                <w:color w:val="auto"/>
                <w:sz w:val="24"/>
                <w:szCs w:val="20"/>
                <w:highlight w:val="none"/>
                <w:u w:val="none"/>
                <w:lang w:eastAsia="zh-CN"/>
              </w:rPr>
              <w:t>；</w:t>
            </w:r>
            <w:r>
              <w:rPr>
                <w:rFonts w:hint="eastAsia" w:ascii="宋体" w:hAnsi="宋体" w:eastAsia="宋体" w:cs="@仿宋_GB2312"/>
                <w:b w:val="0"/>
                <w:bCs w:val="0"/>
                <w:i/>
                <w:iCs/>
                <w:color w:val="auto"/>
                <w:sz w:val="24"/>
                <w:szCs w:val="20"/>
                <w:highlight w:val="none"/>
                <w:u w:val="none"/>
                <w:lang w:eastAsia="zh-CN"/>
              </w:rPr>
              <w:t>（</w:t>
            </w:r>
            <w:r>
              <w:rPr>
                <w:rFonts w:hint="eastAsia" w:ascii="宋体" w:hAnsi="宋体" w:eastAsia="宋体" w:cs="@仿宋_GB2312"/>
                <w:b w:val="0"/>
                <w:bCs w:val="0"/>
                <w:i/>
                <w:iCs/>
                <w:color w:val="auto"/>
                <w:sz w:val="24"/>
                <w:szCs w:val="20"/>
                <w:highlight w:val="none"/>
                <w:u w:val="none"/>
                <w:lang w:val="en-US" w:eastAsia="zh-CN"/>
              </w:rPr>
              <w:t>如有</w:t>
            </w:r>
            <w:r>
              <w:rPr>
                <w:rFonts w:hint="eastAsia" w:ascii="宋体" w:hAnsi="宋体" w:eastAsia="宋体" w:cs="@仿宋_GB2312"/>
                <w:b w:val="0"/>
                <w:bCs w:val="0"/>
                <w:i/>
                <w:iCs/>
                <w:color w:val="auto"/>
                <w:sz w:val="24"/>
                <w:szCs w:val="20"/>
                <w:highlight w:val="none"/>
                <w:u w:val="none"/>
                <w:lang w:eastAsia="zh-CN"/>
              </w:rPr>
              <w:t>）</w:t>
            </w:r>
          </w:p>
        </w:tc>
      </w:tr>
      <w:tr w14:paraId="55126E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DE9DD48">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rPr>
              <w:t>2</w:t>
            </w:r>
            <w:r>
              <w:rPr>
                <w:rFonts w:hint="eastAsia" w:ascii="宋体" w:hAnsi="宋体" w:eastAsia="宋体"/>
                <w:bCs/>
                <w:color w:val="auto"/>
                <w:kern w:val="2"/>
                <w:highlight w:val="none"/>
                <w:lang w:val="en-US" w:eastAsia="zh-CN"/>
              </w:rPr>
              <w:t>4</w:t>
            </w:r>
            <w:r>
              <w:rPr>
                <w:rFonts w:ascii="宋体" w:hAnsi="宋体" w:eastAsia="宋体"/>
                <w:bCs/>
                <w:color w:val="auto"/>
                <w:kern w:val="2"/>
                <w:highlight w:val="none"/>
              </w:rPr>
              <w:t>.1</w:t>
            </w:r>
          </w:p>
        </w:tc>
        <w:tc>
          <w:tcPr>
            <w:tcW w:w="1174" w:type="pct"/>
            <w:vAlign w:val="center"/>
          </w:tcPr>
          <w:p w14:paraId="0C3BDEB3">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中标通知书发出的形式</w:t>
            </w:r>
          </w:p>
        </w:tc>
        <w:tc>
          <w:tcPr>
            <w:tcW w:w="3244" w:type="pct"/>
            <w:vAlign w:val="center"/>
          </w:tcPr>
          <w:p w14:paraId="11B63DA8">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bCs w:val="0"/>
                <w:color w:val="auto"/>
                <w:sz w:val="24"/>
                <w:szCs w:val="24"/>
                <w:highlight w:val="none"/>
              </w:rPr>
            </w:pPr>
            <w:r>
              <w:rPr>
                <w:rFonts w:hint="eastAsia" w:ascii="宋体" w:hAnsi="宋体" w:eastAsia="宋体"/>
                <w:b w:val="0"/>
                <w:bCs w:val="0"/>
                <w:color w:val="auto"/>
                <w:sz w:val="24"/>
                <w:szCs w:val="24"/>
                <w:highlight w:val="none"/>
              </w:rPr>
              <w:t xml:space="preserve">□书面 </w:t>
            </w:r>
            <w:r>
              <w:rPr>
                <w:rFonts w:ascii="宋体" w:hAnsi="宋体" w:eastAsia="宋体"/>
                <w:b w:val="0"/>
                <w:bCs w:val="0"/>
                <w:color w:val="auto"/>
                <w:sz w:val="24"/>
                <w:szCs w:val="24"/>
                <w:highlight w:val="none"/>
              </w:rPr>
              <w:t xml:space="preserve">    </w:t>
            </w:r>
            <w:r>
              <w:rPr>
                <w:rFonts w:hint="eastAsia" w:ascii="宋体" w:hAnsi="宋体" w:eastAsia="宋体"/>
                <w:b w:val="0"/>
                <w:bCs w:val="0"/>
                <w:color w:val="auto"/>
                <w:sz w:val="24"/>
                <w:szCs w:val="24"/>
                <w:highlight w:val="none"/>
              </w:rPr>
              <w:sym w:font="Wingdings" w:char="00FE"/>
            </w:r>
            <w:r>
              <w:rPr>
                <w:rFonts w:hint="eastAsia" w:ascii="宋体" w:hAnsi="宋体" w:eastAsia="宋体"/>
                <w:b w:val="0"/>
                <w:bCs w:val="0"/>
                <w:color w:val="auto"/>
                <w:sz w:val="24"/>
                <w:szCs w:val="24"/>
                <w:highlight w:val="none"/>
              </w:rPr>
              <w:t>数据电文</w:t>
            </w:r>
          </w:p>
        </w:tc>
      </w:tr>
      <w:tr w14:paraId="506D94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7B0589CB">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25</w:t>
            </w:r>
            <w:r>
              <w:rPr>
                <w:rFonts w:ascii="宋体" w:hAnsi="宋体" w:eastAsia="宋体"/>
                <w:bCs/>
                <w:color w:val="auto"/>
                <w:kern w:val="2"/>
                <w:highlight w:val="none"/>
              </w:rPr>
              <w:t>.1</w:t>
            </w:r>
          </w:p>
        </w:tc>
        <w:tc>
          <w:tcPr>
            <w:tcW w:w="1174" w:type="pct"/>
            <w:vAlign w:val="center"/>
          </w:tcPr>
          <w:p w14:paraId="581DC840">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告知招标结果的形式</w:t>
            </w:r>
          </w:p>
        </w:tc>
        <w:tc>
          <w:tcPr>
            <w:tcW w:w="3244" w:type="pct"/>
            <w:vAlign w:val="center"/>
          </w:tcPr>
          <w:p w14:paraId="3615FA12">
            <w:pPr>
              <w:keepNext w:val="0"/>
              <w:keepLines w:val="0"/>
              <w:pageBreakBefore w:val="0"/>
              <w:widowControl w:val="0"/>
              <w:kinsoku/>
              <w:wordWrap/>
              <w:overflowPunct/>
              <w:topLinePunct w:val="0"/>
              <w:autoSpaceDE/>
              <w:autoSpaceDN/>
              <w:bidi w:val="0"/>
              <w:spacing w:line="500" w:lineRule="exact"/>
              <w:textAlignment w:val="auto"/>
              <w:rPr>
                <w:rFonts w:asciiTheme="minorEastAsia" w:hAnsiTheme="minorEastAsia" w:eastAsiaTheme="minorEastAsia"/>
                <w:color w:val="auto"/>
                <w:kern w:val="0"/>
                <w:sz w:val="24"/>
                <w:szCs w:val="24"/>
                <w:highlight w:val="none"/>
              </w:rPr>
            </w:pPr>
            <w:r>
              <w:rPr>
                <w:rFonts w:hint="eastAsia" w:asciiTheme="minorEastAsia" w:hAnsiTheme="minorEastAsia" w:eastAsiaTheme="minorEastAsia"/>
                <w:b w:val="0"/>
                <w:bCs w:val="0"/>
                <w:color w:val="auto"/>
                <w:kern w:val="0"/>
                <w:sz w:val="24"/>
                <w:szCs w:val="24"/>
                <w:highlight w:val="none"/>
              </w:rPr>
              <w:sym w:font="Wingdings" w:char="00FE"/>
            </w:r>
            <w:r>
              <w:rPr>
                <w:rFonts w:hint="eastAsia" w:asciiTheme="minorEastAsia" w:hAnsiTheme="minorEastAsia" w:eastAsiaTheme="minorEastAsia"/>
                <w:color w:val="auto"/>
                <w:kern w:val="0"/>
                <w:sz w:val="24"/>
                <w:szCs w:val="24"/>
                <w:highlight w:val="none"/>
              </w:rPr>
              <w:t>投标人自行登录电子</w:t>
            </w:r>
            <w:r>
              <w:rPr>
                <w:rFonts w:hint="eastAsia" w:ascii="宋体" w:hAnsi="宋体" w:eastAsia="宋体" w:cs="宋体"/>
                <w:b w:val="0"/>
                <w:bCs w:val="0"/>
                <w:color w:val="auto"/>
                <w:sz w:val="24"/>
                <w:szCs w:val="24"/>
                <w:highlight w:val="none"/>
                <w:lang w:val="en-US" w:eastAsia="zh-CN"/>
              </w:rPr>
              <w:t>交易</w:t>
            </w:r>
            <w:r>
              <w:rPr>
                <w:rFonts w:hint="eastAsia" w:asciiTheme="minorEastAsia" w:hAnsiTheme="minorEastAsia" w:eastAsiaTheme="minorEastAsia"/>
                <w:color w:val="auto"/>
                <w:kern w:val="0"/>
                <w:sz w:val="24"/>
                <w:szCs w:val="24"/>
                <w:highlight w:val="none"/>
              </w:rPr>
              <w:t>系统查看</w:t>
            </w:r>
          </w:p>
          <w:p w14:paraId="20A3A332">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hint="default" w:asciiTheme="minorEastAsia" w:hAnsiTheme="minorEastAsia" w:eastAsiaTheme="minorEastAsia"/>
                <w:b w:val="0"/>
                <w:bCs w:val="0"/>
                <w:color w:val="auto"/>
                <w:kern w:val="2"/>
                <w:sz w:val="24"/>
                <w:szCs w:val="24"/>
                <w:highlight w:val="none"/>
                <w:lang w:val="en-US" w:eastAsia="zh-CN"/>
              </w:rPr>
            </w:pPr>
            <w:r>
              <w:rPr>
                <w:rFonts w:hint="eastAsia" w:asciiTheme="minorEastAsia" w:hAnsiTheme="minorEastAsia" w:eastAsiaTheme="minorEastAsia"/>
                <w:b w:val="0"/>
                <w:bCs w:val="0"/>
                <w:color w:val="auto"/>
                <w:kern w:val="2"/>
                <w:sz w:val="24"/>
                <w:szCs w:val="24"/>
                <w:highlight w:val="none"/>
              </w:rPr>
              <w:t>□评标现场告知</w:t>
            </w:r>
          </w:p>
        </w:tc>
      </w:tr>
      <w:tr w14:paraId="59ADCF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5" w:hRule="atLeast"/>
          <w:jc w:val="center"/>
        </w:trPr>
        <w:tc>
          <w:tcPr>
            <w:tcW w:w="581" w:type="pct"/>
            <w:vAlign w:val="center"/>
          </w:tcPr>
          <w:p w14:paraId="407870D8">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26</w:t>
            </w:r>
            <w:r>
              <w:rPr>
                <w:rFonts w:ascii="宋体" w:hAnsi="宋体" w:eastAsia="宋体"/>
                <w:bCs/>
                <w:color w:val="auto"/>
                <w:kern w:val="2"/>
                <w:highlight w:val="none"/>
              </w:rPr>
              <w:t>.1</w:t>
            </w:r>
          </w:p>
        </w:tc>
        <w:tc>
          <w:tcPr>
            <w:tcW w:w="1174" w:type="pct"/>
            <w:vAlign w:val="center"/>
          </w:tcPr>
          <w:p w14:paraId="7FAEFF69">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履约保证金</w:t>
            </w:r>
          </w:p>
        </w:tc>
        <w:tc>
          <w:tcPr>
            <w:tcW w:w="3244" w:type="pct"/>
          </w:tcPr>
          <w:p w14:paraId="4D8905FE">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（1）金额：</w:t>
            </w:r>
          </w:p>
          <w:p w14:paraId="23439748">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免收</w:t>
            </w:r>
          </w:p>
          <w:p w14:paraId="637BAE17">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合同价的</w:t>
            </w:r>
            <w:r>
              <w:rPr>
                <w:rFonts w:ascii="宋体" w:hAnsi="宋体" w:eastAsia="宋体"/>
                <w:bCs/>
                <w:color w:val="auto"/>
                <w:kern w:val="0"/>
                <w:sz w:val="24"/>
                <w:szCs w:val="28"/>
                <w:highlight w:val="none"/>
                <w:u w:val="single"/>
              </w:rPr>
              <w:t xml:space="preserve">   </w:t>
            </w:r>
            <w:r>
              <w:rPr>
                <w:rFonts w:ascii="宋体" w:hAnsi="宋体" w:eastAsia="宋体"/>
                <w:bCs/>
                <w:color w:val="auto"/>
                <w:kern w:val="0"/>
                <w:sz w:val="24"/>
                <w:szCs w:val="28"/>
                <w:highlight w:val="none"/>
              </w:rPr>
              <w:t>%</w:t>
            </w:r>
          </w:p>
          <w:p w14:paraId="0F4438EE">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bCs/>
                <w:color w:val="auto"/>
                <w:kern w:val="0"/>
                <w:sz w:val="24"/>
                <w:szCs w:val="28"/>
                <w:highlight w:val="none"/>
              </w:rPr>
            </w:pPr>
            <w:r>
              <w:rPr>
                <w:rFonts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rPr>
              <w:t>定额收取：人民币</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元</w:t>
            </w:r>
          </w:p>
          <w:p w14:paraId="31AFB7B1">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（2）支付方式：</w:t>
            </w:r>
          </w:p>
          <w:p w14:paraId="14855786">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转账/电汇</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 xml:space="preserve">支票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汇票</w:t>
            </w:r>
            <w:r>
              <w:rPr>
                <w:rFonts w:hint="eastAsia" w:ascii="宋体" w:hAnsi="宋体" w:eastAsia="宋体"/>
                <w:bCs/>
                <w:color w:val="auto"/>
                <w:kern w:val="0"/>
                <w:sz w:val="24"/>
                <w:szCs w:val="28"/>
                <w:highlight w:val="none"/>
              </w:rPr>
              <w:t xml:space="preserve">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 xml:space="preserve">本票 </w:t>
            </w:r>
            <w:r>
              <w:rPr>
                <w:rFonts w:hint="eastAsia" w:ascii="宋体" w:hAnsi="宋体" w:eastAsia="宋体"/>
                <w:bCs/>
                <w:color w:val="auto"/>
                <w:kern w:val="0"/>
                <w:sz w:val="24"/>
                <w:szCs w:val="28"/>
                <w:highlight w:val="none"/>
              </w:rPr>
              <w:sym w:font="Wingdings" w:char="00A8"/>
            </w:r>
            <w:r>
              <w:rPr>
                <w:rFonts w:ascii="宋体" w:hAnsi="宋体" w:eastAsia="宋体"/>
                <w:bCs/>
                <w:color w:val="auto"/>
                <w:kern w:val="0"/>
                <w:sz w:val="24"/>
                <w:szCs w:val="28"/>
                <w:highlight w:val="none"/>
              </w:rPr>
              <w:t>保</w:t>
            </w:r>
            <w:r>
              <w:rPr>
                <w:rFonts w:hint="eastAsia" w:ascii="宋体" w:hAnsi="宋体" w:eastAsia="宋体"/>
                <w:bCs/>
                <w:color w:val="auto"/>
                <w:kern w:val="0"/>
                <w:sz w:val="24"/>
                <w:szCs w:val="28"/>
                <w:highlight w:val="none"/>
              </w:rPr>
              <w:t xml:space="preserve">险 </w:t>
            </w:r>
            <w:r>
              <w:rPr>
                <w:rFonts w:hint="eastAsia" w:ascii="宋体" w:hAnsi="宋体" w:eastAsia="宋体"/>
                <w:bCs/>
                <w:color w:val="auto"/>
                <w:kern w:val="0"/>
                <w:sz w:val="24"/>
                <w:szCs w:val="28"/>
                <w:highlight w:val="none"/>
              </w:rPr>
              <w:sym w:font="Wingdings" w:char="00A8"/>
            </w:r>
            <w:r>
              <w:rPr>
                <w:rFonts w:hint="eastAsia" w:ascii="宋体" w:hAnsi="宋体" w:eastAsia="宋体"/>
                <w:bCs/>
                <w:color w:val="auto"/>
                <w:kern w:val="0"/>
                <w:sz w:val="24"/>
                <w:szCs w:val="28"/>
                <w:highlight w:val="none"/>
              </w:rPr>
              <w:t>保</w:t>
            </w:r>
            <w:r>
              <w:rPr>
                <w:rFonts w:ascii="宋体" w:hAnsi="宋体" w:eastAsia="宋体"/>
                <w:bCs/>
                <w:color w:val="auto"/>
                <w:kern w:val="0"/>
                <w:sz w:val="24"/>
                <w:szCs w:val="28"/>
                <w:highlight w:val="none"/>
              </w:rPr>
              <w:t>函</w:t>
            </w:r>
          </w:p>
          <w:p w14:paraId="7DB9ED5E">
            <w:pPr>
              <w:keepNext w:val="0"/>
              <w:keepLines w:val="0"/>
              <w:pageBreakBefore w:val="0"/>
              <w:widowControl w:val="0"/>
              <w:numPr>
                <w:ilvl w:val="0"/>
                <w:numId w:val="0"/>
              </w:numPr>
              <w:kinsoku/>
              <w:wordWrap/>
              <w:overflowPunct/>
              <w:topLinePunct w:val="0"/>
              <w:autoSpaceDE/>
              <w:autoSpaceDN/>
              <w:bidi w:val="0"/>
              <w:spacing w:line="500" w:lineRule="exact"/>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3</w:t>
            </w: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rPr>
              <w:t>收取单位：</w:t>
            </w:r>
            <w:r>
              <w:rPr>
                <w:rFonts w:hint="eastAsia" w:ascii="宋体" w:hAnsi="宋体" w:eastAsia="宋体"/>
                <w:bCs/>
                <w:color w:val="auto"/>
                <w:kern w:val="0"/>
                <w:sz w:val="24"/>
                <w:szCs w:val="28"/>
                <w:highlight w:val="none"/>
                <w:u w:val="single"/>
              </w:rPr>
              <w:t xml:space="preserve">              </w:t>
            </w:r>
            <w:r>
              <w:rPr>
                <w:rFonts w:hint="eastAsia" w:ascii="宋体" w:hAnsi="宋体" w:eastAsia="宋体"/>
                <w:bCs/>
                <w:color w:val="auto"/>
                <w:kern w:val="0"/>
                <w:sz w:val="24"/>
                <w:szCs w:val="28"/>
                <w:highlight w:val="none"/>
              </w:rPr>
              <w:t xml:space="preserve">              </w:t>
            </w:r>
          </w:p>
          <w:p w14:paraId="2B09311F">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lang w:val="en-US" w:eastAsia="zh-CN"/>
              </w:rPr>
              <w:t>（4）收取账号：</w:t>
            </w:r>
            <w:r>
              <w:rPr>
                <w:rFonts w:hint="eastAsia" w:ascii="宋体" w:hAnsi="宋体" w:eastAsia="宋体"/>
                <w:bCs/>
                <w:color w:val="auto"/>
                <w:kern w:val="0"/>
                <w:sz w:val="24"/>
                <w:szCs w:val="28"/>
                <w:highlight w:val="none"/>
                <w:u w:val="single"/>
              </w:rPr>
              <w:t xml:space="preserve">              </w:t>
            </w:r>
          </w:p>
          <w:p w14:paraId="00EEFF76">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color w:val="auto"/>
                <w:sz w:val="24"/>
                <w:highlight w:val="none"/>
              </w:rPr>
            </w:pPr>
            <w:r>
              <w:rPr>
                <w:rFonts w:hint="eastAsia" w:ascii="宋体" w:hAnsi="宋体" w:eastAsia="宋体"/>
                <w:bCs/>
                <w:color w:val="auto"/>
                <w:kern w:val="0"/>
                <w:sz w:val="24"/>
                <w:szCs w:val="28"/>
                <w:highlight w:val="none"/>
              </w:rPr>
              <w:t>（</w:t>
            </w:r>
            <w:r>
              <w:rPr>
                <w:rFonts w:hint="eastAsia" w:ascii="宋体" w:hAnsi="宋体" w:eastAsia="宋体"/>
                <w:bCs/>
                <w:color w:val="auto"/>
                <w:kern w:val="0"/>
                <w:sz w:val="24"/>
                <w:szCs w:val="28"/>
                <w:highlight w:val="none"/>
                <w:lang w:val="en-US" w:eastAsia="zh-CN"/>
              </w:rPr>
              <w:t>5</w:t>
            </w:r>
            <w:r>
              <w:rPr>
                <w:rFonts w:hint="eastAsia" w:ascii="宋体" w:hAnsi="宋体" w:eastAsia="宋体"/>
                <w:bCs/>
                <w:color w:val="auto"/>
                <w:kern w:val="0"/>
                <w:sz w:val="24"/>
                <w:szCs w:val="28"/>
                <w:highlight w:val="none"/>
              </w:rPr>
              <w:t>）</w:t>
            </w:r>
            <w:r>
              <w:rPr>
                <w:rFonts w:hint="eastAsia" w:ascii="宋体" w:hAnsi="宋体" w:eastAsia="宋体"/>
                <w:color w:val="auto"/>
                <w:sz w:val="24"/>
                <w:highlight w:val="none"/>
              </w:rPr>
              <w:t>退还时间：</w:t>
            </w:r>
            <w:r>
              <w:rPr>
                <w:rFonts w:hint="eastAsia" w:ascii="宋体" w:hAnsi="宋体" w:eastAsia="宋体"/>
                <w:bCs/>
                <w:color w:val="auto"/>
                <w:kern w:val="0"/>
                <w:sz w:val="24"/>
                <w:szCs w:val="28"/>
                <w:highlight w:val="none"/>
                <w:u w:val="single"/>
              </w:rPr>
              <w:t xml:space="preserve">              </w:t>
            </w:r>
          </w:p>
          <w:p w14:paraId="24082C05">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注意事项：</w:t>
            </w:r>
          </w:p>
          <w:p w14:paraId="48AB73A2">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（1）以上各类机构出具的以担保函、保证保险承担责任的方式均须满足无条件见索即付条件。</w:t>
            </w:r>
          </w:p>
          <w:p w14:paraId="50067F3C">
            <w:pPr>
              <w:keepNext w:val="0"/>
              <w:keepLines w:val="0"/>
              <w:pageBreakBefore w:val="0"/>
              <w:widowControl w:val="0"/>
              <w:kinsoku/>
              <w:wordWrap/>
              <w:overflowPunct/>
              <w:topLinePunct w:val="0"/>
              <w:autoSpaceDE/>
              <w:autoSpaceDN/>
              <w:bidi w:val="0"/>
              <w:spacing w:line="500" w:lineRule="exact"/>
              <w:textAlignment w:val="auto"/>
              <w:rPr>
                <w:rFonts w:ascii="宋体" w:hAnsi="宋体" w:eastAsia="宋体"/>
                <w:b/>
                <w:bCs/>
                <w:color w:val="auto"/>
                <w:kern w:val="0"/>
                <w:sz w:val="24"/>
                <w:szCs w:val="24"/>
                <w:highlight w:val="none"/>
              </w:rPr>
            </w:pPr>
            <w:r>
              <w:rPr>
                <w:rFonts w:hint="eastAsia" w:ascii="宋体" w:hAnsi="宋体" w:eastAsia="宋体"/>
                <w:b/>
                <w:bCs/>
                <w:color w:val="auto"/>
                <w:kern w:val="0"/>
                <w:sz w:val="24"/>
                <w:szCs w:val="24"/>
                <w:highlight w:val="none"/>
              </w:rPr>
              <w:t>（2）以担保函、保证保险形式缴纳履约保证金的，受益人和收取单位须为采购人。</w:t>
            </w:r>
          </w:p>
        </w:tc>
      </w:tr>
      <w:tr w14:paraId="4BBE0C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1" w:type="pct"/>
            <w:vAlign w:val="center"/>
          </w:tcPr>
          <w:p w14:paraId="7D9D1502">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27</w:t>
            </w:r>
            <w:r>
              <w:rPr>
                <w:rFonts w:ascii="宋体" w:hAnsi="宋体" w:eastAsia="宋体"/>
                <w:bCs/>
                <w:color w:val="auto"/>
                <w:kern w:val="2"/>
                <w:highlight w:val="none"/>
              </w:rPr>
              <w:t>.1</w:t>
            </w:r>
          </w:p>
        </w:tc>
        <w:tc>
          <w:tcPr>
            <w:tcW w:w="1174" w:type="pct"/>
            <w:vAlign w:val="center"/>
          </w:tcPr>
          <w:p w14:paraId="7B2FA7B2">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hint="eastAsia" w:ascii="宋体" w:hAnsi="宋体" w:eastAsia="宋体"/>
                <w:b w:val="0"/>
                <w:color w:val="auto"/>
                <w:sz w:val="24"/>
                <w:highlight w:val="none"/>
              </w:rPr>
            </w:pPr>
            <w:r>
              <w:rPr>
                <w:rFonts w:hint="eastAsia" w:ascii="宋体" w:hAnsi="宋体" w:eastAsia="宋体"/>
                <w:b w:val="0"/>
                <w:color w:val="auto"/>
                <w:sz w:val="24"/>
                <w:highlight w:val="none"/>
                <w:lang w:val="en-US" w:eastAsia="zh-CN"/>
              </w:rPr>
              <w:t>签订合同和合同公告时间</w:t>
            </w:r>
          </w:p>
        </w:tc>
        <w:tc>
          <w:tcPr>
            <w:tcW w:w="3244" w:type="pct"/>
          </w:tcPr>
          <w:p w14:paraId="04418340">
            <w:pPr>
              <w:keepNext w:val="0"/>
              <w:keepLines w:val="0"/>
              <w:pageBreakBefore w:val="0"/>
              <w:widowControl w:val="0"/>
              <w:kinsoku/>
              <w:wordWrap/>
              <w:overflowPunct/>
              <w:topLinePunct w:val="0"/>
              <w:autoSpaceDE/>
              <w:autoSpaceDN/>
              <w:bidi w:val="0"/>
              <w:adjustRightInd w:val="0"/>
              <w:snapToGrid w:val="0"/>
              <w:spacing w:line="500" w:lineRule="exact"/>
              <w:jc w:val="both"/>
              <w:textAlignment w:val="auto"/>
              <w:rPr>
                <w:rFonts w:ascii="宋体" w:hAnsi="宋体" w:eastAsia="宋体" w:cs="宋体"/>
                <w:color w:val="auto"/>
                <w:sz w:val="24"/>
                <w:szCs w:val="24"/>
                <w:highlight w:val="none"/>
              </w:rPr>
            </w:pPr>
            <w:r>
              <w:rPr>
                <w:rFonts w:ascii="宋体" w:hAnsi="宋体" w:eastAsia="宋体" w:cs="宋体"/>
                <w:color w:val="auto"/>
                <w:sz w:val="24"/>
                <w:szCs w:val="24"/>
                <w:highlight w:val="none"/>
              </w:rPr>
              <w:t>（1）采购人与中标人应当自发出中标通知书之日起7个工作日内签订合同，采购合同签订之日起2个工作日内完成政府采购合同公开。</w:t>
            </w:r>
          </w:p>
          <w:p w14:paraId="4BC2ADB7">
            <w:pPr>
              <w:keepNext w:val="0"/>
              <w:keepLines w:val="0"/>
              <w:pageBreakBefore w:val="0"/>
              <w:widowControl w:val="0"/>
              <w:kinsoku/>
              <w:wordWrap/>
              <w:overflowPunct/>
              <w:topLinePunct w:val="0"/>
              <w:autoSpaceDE/>
              <w:autoSpaceDN/>
              <w:bidi w:val="0"/>
              <w:adjustRightInd w:val="0"/>
              <w:snapToGrid w:val="0"/>
              <w:spacing w:line="500" w:lineRule="exact"/>
              <w:jc w:val="both"/>
              <w:textAlignment w:val="auto"/>
              <w:rPr>
                <w:rFonts w:hint="default" w:ascii="宋体" w:hAnsi="宋体" w:eastAsia="宋体"/>
                <w:b/>
                <w:bCs/>
                <w:color w:val="auto"/>
                <w:kern w:val="0"/>
                <w:sz w:val="24"/>
                <w:szCs w:val="24"/>
                <w:highlight w:val="none"/>
                <w:lang w:val="en-US"/>
              </w:rPr>
            </w:pPr>
            <w:r>
              <w:rPr>
                <w:rFonts w:ascii="宋体" w:hAnsi="宋体" w:eastAsia="宋体" w:cs="宋体"/>
                <w:color w:val="auto"/>
                <w:sz w:val="24"/>
                <w:szCs w:val="24"/>
                <w:highlight w:val="none"/>
              </w:rPr>
              <w:t>（2）采购人与中标人不得擅自变更合同，依照政府采购法确需变更政府采购合同内容的，采购人应当自合同变更之日起2个工作日内在安徽省政府采购网发布政府采购合同变更公告，但涉及国家秘密、商业秘密的信息和其他依法不得公开的信息除外。</w:t>
            </w:r>
          </w:p>
        </w:tc>
      </w:tr>
      <w:tr w14:paraId="28F9DD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31D20366">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ascii="宋体" w:hAnsi="宋体" w:eastAsia="宋体"/>
                <w:bCs/>
                <w:color w:val="auto"/>
                <w:kern w:val="2"/>
                <w:highlight w:val="none"/>
              </w:rPr>
            </w:pPr>
            <w:r>
              <w:rPr>
                <w:rFonts w:hint="eastAsia" w:ascii="宋体" w:hAnsi="宋体" w:eastAsia="宋体"/>
                <w:bCs/>
                <w:color w:val="auto"/>
                <w:kern w:val="2"/>
                <w:highlight w:val="none"/>
                <w:lang w:val="en-US" w:eastAsia="zh-CN"/>
              </w:rPr>
              <w:t>28</w:t>
            </w:r>
            <w:r>
              <w:rPr>
                <w:rFonts w:ascii="宋体" w:hAnsi="宋体" w:eastAsia="宋体"/>
                <w:bCs/>
                <w:color w:val="auto"/>
                <w:kern w:val="2"/>
                <w:highlight w:val="none"/>
              </w:rPr>
              <w:t>.1</w:t>
            </w:r>
          </w:p>
        </w:tc>
        <w:tc>
          <w:tcPr>
            <w:tcW w:w="1174" w:type="pct"/>
            <w:vAlign w:val="center"/>
          </w:tcPr>
          <w:p w14:paraId="2D4A2288">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hint="eastAsia" w:ascii="宋体" w:hAnsi="宋体" w:eastAsia="宋体"/>
                <w:b w:val="0"/>
                <w:color w:val="auto"/>
                <w:sz w:val="24"/>
                <w:highlight w:val="none"/>
                <w:lang w:eastAsia="zh-CN"/>
              </w:rPr>
            </w:pPr>
            <w:r>
              <w:rPr>
                <w:rFonts w:hint="eastAsia" w:ascii="宋体" w:hAnsi="宋体" w:eastAsia="宋体"/>
                <w:b w:val="0"/>
                <w:color w:val="auto"/>
                <w:sz w:val="24"/>
                <w:highlight w:val="none"/>
                <w:lang w:val="en-US" w:eastAsia="zh-CN"/>
              </w:rPr>
              <w:t>代理费用</w:t>
            </w:r>
          </w:p>
        </w:tc>
        <w:tc>
          <w:tcPr>
            <w:tcW w:w="3244" w:type="pct"/>
            <w:vAlign w:val="center"/>
          </w:tcPr>
          <w:p w14:paraId="1F43B5B3">
            <w:pPr>
              <w:keepNext w:val="0"/>
              <w:keepLines w:val="0"/>
              <w:pageBreakBefore w:val="0"/>
              <w:widowControl w:val="0"/>
              <w:kinsoku/>
              <w:wordWrap/>
              <w:overflowPunct/>
              <w:topLinePunct w:val="0"/>
              <w:autoSpaceDE/>
              <w:autoSpaceDN/>
              <w:bidi w:val="0"/>
              <w:adjustRightInd/>
              <w:snapToGrid/>
              <w:spacing w:line="500" w:lineRule="exact"/>
              <w:textAlignment w:val="auto"/>
              <w:rPr>
                <w:rFonts w:ascii="宋体" w:hAnsi="宋体" w:eastAsia="宋体" w:cs="宋体"/>
                <w:color w:val="auto"/>
                <w:sz w:val="24"/>
                <w:szCs w:val="24"/>
                <w:highlight w:val="none"/>
              </w:rPr>
            </w:pPr>
            <w:r>
              <w:rPr>
                <w:rFonts w:hint="eastAsia" w:ascii="宋体" w:hAnsi="宋体" w:eastAsia="宋体"/>
                <w:bCs/>
                <w:color w:val="auto"/>
                <w:kern w:val="0"/>
                <w:sz w:val="24"/>
                <w:szCs w:val="28"/>
                <w:highlight w:val="none"/>
                <w:lang w:eastAsia="zh-CN"/>
              </w:rPr>
              <w:t>（</w:t>
            </w:r>
            <w:r>
              <w:rPr>
                <w:rFonts w:hint="eastAsia" w:ascii="宋体" w:hAnsi="宋体" w:eastAsia="宋体"/>
                <w:bCs/>
                <w:color w:val="auto"/>
                <w:kern w:val="0"/>
                <w:sz w:val="24"/>
                <w:szCs w:val="28"/>
                <w:highlight w:val="none"/>
                <w:lang w:val="en-US" w:eastAsia="zh-CN"/>
              </w:rPr>
              <w:t>1</w:t>
            </w:r>
            <w:r>
              <w:rPr>
                <w:rFonts w:hint="eastAsia" w:ascii="宋体" w:hAnsi="宋体" w:eastAsia="宋体"/>
                <w:bCs/>
                <w:color w:val="auto"/>
                <w:kern w:val="0"/>
                <w:sz w:val="24"/>
                <w:szCs w:val="28"/>
                <w:highlight w:val="none"/>
                <w:lang w:eastAsia="zh-CN"/>
              </w:rPr>
              <w:t>）</w:t>
            </w:r>
            <w:r>
              <w:rPr>
                <w:rFonts w:hint="default" w:ascii="宋体" w:hAnsi="宋体" w:eastAsia="宋体"/>
                <w:bCs/>
                <w:color w:val="auto"/>
                <w:kern w:val="0"/>
                <w:sz w:val="24"/>
                <w:szCs w:val="28"/>
                <w:highlight w:val="none"/>
              </w:rPr>
              <w:t>收费对象</w:t>
            </w:r>
            <w:r>
              <w:rPr>
                <w:rFonts w:ascii="宋体" w:hAnsi="宋体" w:eastAsia="宋体" w:cs="宋体"/>
                <w:color w:val="auto"/>
                <w:spacing w:val="-12"/>
                <w:sz w:val="24"/>
                <w:szCs w:val="24"/>
                <w:highlight w:val="none"/>
              </w:rPr>
              <w:t>：</w:t>
            </w:r>
            <w:r>
              <w:rPr>
                <w:rFonts w:hint="eastAsia" w:ascii="宋体" w:hAnsi="宋体" w:eastAsia="宋体"/>
                <w:bCs/>
                <w:color w:val="auto"/>
                <w:kern w:val="0"/>
                <w:sz w:val="24"/>
                <w:szCs w:val="28"/>
                <w:highlight w:val="none"/>
              </w:rPr>
              <w:sym w:font="Wingdings" w:char="00A8"/>
            </w:r>
            <w:r>
              <w:rPr>
                <w:rFonts w:ascii="宋体" w:hAnsi="宋体" w:eastAsia="宋体" w:cs="宋体"/>
                <w:color w:val="auto"/>
                <w:spacing w:val="14"/>
                <w:sz w:val="24"/>
                <w:szCs w:val="24"/>
                <w:highlight w:val="none"/>
              </w:rPr>
              <w:t>采购人</w:t>
            </w:r>
            <w:r>
              <w:rPr>
                <w:rFonts w:hint="eastAsia" w:ascii="宋体" w:hAnsi="宋体" w:eastAsia="宋体" w:cs="宋体"/>
                <w:color w:val="auto"/>
                <w:spacing w:val="14"/>
                <w:sz w:val="24"/>
                <w:szCs w:val="24"/>
                <w:highlight w:val="none"/>
                <w:lang w:val="en-US" w:eastAsia="zh-CN"/>
              </w:rPr>
              <w:t xml:space="preserve">   </w:t>
            </w:r>
            <w:r>
              <w:rPr>
                <w:rFonts w:hint="eastAsia" w:ascii="宋体" w:hAnsi="宋体" w:eastAsia="宋体"/>
                <w:bCs/>
                <w:color w:val="auto"/>
                <w:kern w:val="0"/>
                <w:sz w:val="24"/>
                <w:szCs w:val="28"/>
                <w:highlight w:val="none"/>
              </w:rPr>
              <w:sym w:font="Wingdings" w:char="00FE"/>
            </w:r>
            <w:r>
              <w:rPr>
                <w:rFonts w:ascii="宋体" w:hAnsi="宋体" w:eastAsia="宋体" w:cs="宋体"/>
                <w:color w:val="auto"/>
                <w:spacing w:val="14"/>
                <w:sz w:val="24"/>
                <w:szCs w:val="24"/>
                <w:highlight w:val="none"/>
              </w:rPr>
              <w:t>中标人</w:t>
            </w:r>
          </w:p>
          <w:p w14:paraId="38CD8E10">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bCs/>
                <w:color w:val="auto"/>
                <w:kern w:val="0"/>
                <w:sz w:val="24"/>
                <w:szCs w:val="28"/>
                <w:highlight w:val="none"/>
              </w:rPr>
            </w:pPr>
            <w:r>
              <w:rPr>
                <w:rFonts w:hint="eastAsia" w:ascii="宋体" w:hAnsi="宋体" w:eastAsia="宋体"/>
                <w:bCs/>
                <w:color w:val="auto"/>
                <w:kern w:val="0"/>
                <w:sz w:val="24"/>
                <w:szCs w:val="28"/>
                <w:highlight w:val="none"/>
              </w:rPr>
              <w:t>（2）</w:t>
            </w:r>
            <w:r>
              <w:rPr>
                <w:rFonts w:hint="default" w:ascii="宋体" w:hAnsi="宋体" w:eastAsia="宋体"/>
                <w:bCs/>
                <w:color w:val="auto"/>
                <w:kern w:val="0"/>
                <w:sz w:val="24"/>
                <w:szCs w:val="28"/>
                <w:highlight w:val="none"/>
              </w:rPr>
              <w:t>收取方式</w:t>
            </w:r>
            <w:r>
              <w:rPr>
                <w:rFonts w:ascii="宋体" w:hAnsi="宋体" w:eastAsia="宋体" w:cs="宋体"/>
                <w:color w:val="auto"/>
                <w:sz w:val="24"/>
                <w:szCs w:val="24"/>
                <w:highlight w:val="none"/>
              </w:rPr>
              <w:t>：</w:t>
            </w:r>
            <w:r>
              <w:rPr>
                <w:rFonts w:ascii="宋体" w:hAnsi="宋体" w:eastAsia="宋体" w:cs="宋体"/>
                <w:color w:val="auto"/>
                <w:sz w:val="24"/>
                <w:szCs w:val="24"/>
                <w:highlight w:val="none"/>
                <w:u w:val="single" w:color="auto"/>
              </w:rPr>
              <w:t xml:space="preserve"> </w:t>
            </w:r>
            <w:r>
              <w:rPr>
                <w:rFonts w:hint="eastAsia" w:ascii="宋体" w:hAnsi="宋体" w:eastAsia="宋体" w:cs="宋体"/>
                <w:color w:val="auto"/>
                <w:sz w:val="24"/>
                <w:szCs w:val="24"/>
                <w:highlight w:val="none"/>
                <w:u w:val="single"/>
              </w:rPr>
              <w:t>转账</w:t>
            </w:r>
          </w:p>
          <w:p w14:paraId="5A87D8DB">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500" w:lineRule="exact"/>
              <w:jc w:val="both"/>
              <w:textAlignment w:val="auto"/>
              <w:rPr>
                <w:rFonts w:hint="default" w:ascii="宋体" w:hAnsi="宋体" w:eastAsia="宋体"/>
                <w:b w:val="0"/>
                <w:color w:val="auto"/>
                <w:sz w:val="24"/>
                <w:highlight w:val="none"/>
                <w:lang w:val="en-US" w:eastAsia="zh-CN"/>
              </w:rPr>
            </w:pPr>
            <w:r>
              <w:rPr>
                <w:rFonts w:hint="eastAsia" w:ascii="宋体" w:hAnsi="宋体" w:eastAsia="宋体"/>
                <w:b w:val="0"/>
                <w:bCs w:val="0"/>
                <w:color w:val="auto"/>
                <w:kern w:val="0"/>
                <w:sz w:val="24"/>
                <w:szCs w:val="28"/>
                <w:highlight w:val="none"/>
              </w:rPr>
              <w:t>（3）</w:t>
            </w:r>
            <w:r>
              <w:rPr>
                <w:rFonts w:hint="default" w:ascii="宋体" w:hAnsi="宋体" w:eastAsia="宋体" w:cs="@仿宋_GB2312"/>
                <w:b w:val="0"/>
                <w:bCs/>
                <w:color w:val="auto"/>
                <w:kern w:val="0"/>
                <w:sz w:val="24"/>
                <w:szCs w:val="28"/>
                <w:highlight w:val="none"/>
                <w:lang w:val="en-US" w:eastAsia="zh-CN" w:bidi="ar-SA"/>
              </w:rPr>
              <w:t>收费标准：</w:t>
            </w:r>
            <w:r>
              <w:rPr>
                <w:rFonts w:hint="eastAsia" w:ascii="宋体" w:hAnsi="宋体" w:eastAsia="宋体" w:cs="宋体"/>
                <w:b w:val="0"/>
                <w:bCs w:val="0"/>
                <w:color w:val="auto"/>
                <w:kern w:val="2"/>
                <w:sz w:val="24"/>
                <w:szCs w:val="24"/>
                <w:highlight w:val="none"/>
                <w:u w:val="single"/>
              </w:rPr>
              <w:t>参考计价格【2002】1980号文件规定的50%，以最高限价计算</w:t>
            </w:r>
            <w:r>
              <w:rPr>
                <w:rFonts w:hint="eastAsia" w:ascii="宋体" w:hAnsi="宋体" w:eastAsia="宋体" w:cs="宋体"/>
                <w:b w:val="0"/>
                <w:bCs w:val="0"/>
                <w:color w:val="auto"/>
                <w:kern w:val="2"/>
                <w:sz w:val="24"/>
                <w:szCs w:val="24"/>
                <w:highlight w:val="none"/>
                <w:u w:val="single"/>
                <w:lang w:val="en-US" w:eastAsia="zh-CN"/>
              </w:rPr>
              <w:t>(约21300元）</w:t>
            </w:r>
          </w:p>
        </w:tc>
      </w:tr>
      <w:tr w14:paraId="5064D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EB2154D">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hint="eastAsia" w:ascii="宋体" w:hAnsi="宋体" w:eastAsia="宋体"/>
                <w:bCs/>
                <w:color w:val="auto"/>
                <w:kern w:val="2"/>
                <w:highlight w:val="none"/>
                <w:lang w:eastAsia="zh-CN"/>
              </w:rPr>
            </w:pPr>
            <w:r>
              <w:rPr>
                <w:rFonts w:hint="eastAsia" w:ascii="宋体" w:hAnsi="宋体" w:eastAsia="宋体"/>
                <w:bCs/>
                <w:color w:val="auto"/>
                <w:kern w:val="2"/>
                <w:highlight w:val="none"/>
              </w:rPr>
              <w:t>3</w:t>
            </w:r>
            <w:r>
              <w:rPr>
                <w:rFonts w:hint="eastAsia" w:ascii="宋体" w:hAnsi="宋体" w:eastAsia="宋体"/>
                <w:bCs/>
                <w:color w:val="auto"/>
                <w:kern w:val="2"/>
                <w:highlight w:val="none"/>
                <w:lang w:val="en-US" w:eastAsia="zh-CN"/>
              </w:rPr>
              <w:t>1</w:t>
            </w:r>
            <w:r>
              <w:rPr>
                <w:rFonts w:ascii="宋体" w:hAnsi="宋体" w:eastAsia="宋体"/>
                <w:bCs/>
                <w:color w:val="auto"/>
                <w:kern w:val="2"/>
                <w:highlight w:val="none"/>
              </w:rPr>
              <w:t>.</w:t>
            </w:r>
            <w:r>
              <w:rPr>
                <w:rFonts w:hint="eastAsia" w:ascii="宋体" w:hAnsi="宋体" w:eastAsia="宋体"/>
                <w:bCs/>
                <w:color w:val="auto"/>
                <w:kern w:val="2"/>
                <w:highlight w:val="none"/>
                <w:lang w:val="en-US" w:eastAsia="zh-CN"/>
              </w:rPr>
              <w:t>3</w:t>
            </w:r>
          </w:p>
        </w:tc>
        <w:tc>
          <w:tcPr>
            <w:tcW w:w="1174" w:type="pct"/>
            <w:vAlign w:val="center"/>
          </w:tcPr>
          <w:p w14:paraId="7E28CF03">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质疑函递交方式、接收部门、联系电话和通讯地址</w:t>
            </w:r>
          </w:p>
        </w:tc>
        <w:tc>
          <w:tcPr>
            <w:tcW w:w="3244" w:type="pct"/>
            <w:vAlign w:val="center"/>
          </w:tcPr>
          <w:p w14:paraId="305E0208">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递交方式：</w:t>
            </w:r>
            <w:r>
              <w:rPr>
                <w:rFonts w:hint="eastAsia" w:ascii="宋体" w:hAnsi="宋体" w:eastAsia="宋体"/>
                <w:b w:val="0"/>
                <w:color w:val="auto"/>
                <w:sz w:val="24"/>
                <w:highlight w:val="none"/>
                <w:u w:val="single"/>
              </w:rPr>
              <w:t>供应商可以通过书面形式提出，也可以通过线上提出质疑【通过线上向滁州市公共资源交易中心网电子交易系统提出质疑</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rPr>
              <w:t>具体操作步骤和程序请参见服务指南</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rPr>
              <w:t>交易须知</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rPr>
              <w:t>在线异议、质疑和投诉操作手册</w:t>
            </w:r>
            <w:r>
              <w:rPr>
                <w:rFonts w:hint="eastAsia" w:ascii="宋体" w:hAnsi="宋体" w:eastAsia="宋体"/>
                <w:b w:val="0"/>
                <w:color w:val="auto"/>
                <w:sz w:val="24"/>
                <w:highlight w:val="none"/>
                <w:u w:val="single"/>
                <w:lang w:eastAsia="zh-CN"/>
              </w:rPr>
              <w:t>）</w:t>
            </w:r>
            <w:r>
              <w:rPr>
                <w:rFonts w:hint="eastAsia" w:ascii="宋体" w:hAnsi="宋体" w:eastAsia="宋体"/>
                <w:b w:val="0"/>
                <w:color w:val="auto"/>
                <w:sz w:val="24"/>
                <w:highlight w:val="none"/>
                <w:u w:val="single"/>
              </w:rPr>
              <w:t>】。一份质疑函只能针对一个项目提出质疑，且针对同一采购程序环节的质疑应当一次性提出。</w:t>
            </w:r>
          </w:p>
          <w:p w14:paraId="62C78049">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bCs w:val="0"/>
                <w:color w:val="auto"/>
                <w:sz w:val="24"/>
                <w:szCs w:val="18"/>
                <w:highlight w:val="none"/>
              </w:rPr>
            </w:pPr>
            <w:r>
              <w:rPr>
                <w:rFonts w:hint="eastAsia" w:ascii="宋体" w:hAnsi="宋体" w:eastAsia="宋体"/>
                <w:b w:val="0"/>
                <w:color w:val="auto"/>
                <w:sz w:val="24"/>
                <w:highlight w:val="none"/>
              </w:rPr>
              <w:t>接收部门：</w:t>
            </w:r>
            <w:r>
              <w:rPr>
                <w:rFonts w:hint="eastAsia" w:ascii="宋体" w:hAnsi="宋体" w:eastAsia="宋体" w:cs="宋体"/>
                <w:b w:val="0"/>
                <w:color w:val="auto"/>
                <w:sz w:val="24"/>
                <w:szCs w:val="24"/>
                <w:highlight w:val="none"/>
                <w:u w:val="single"/>
                <w:lang w:eastAsia="zh-CN"/>
              </w:rPr>
              <w:t>华东冶金地质勘查局八一一地质队</w:t>
            </w:r>
            <w:r>
              <w:rPr>
                <w:rFonts w:hint="eastAsia" w:ascii="宋体" w:hAnsi="宋体" w:eastAsia="宋体" w:cs="宋体"/>
                <w:b w:val="0"/>
                <w:color w:val="auto"/>
                <w:sz w:val="24"/>
                <w:szCs w:val="24"/>
                <w:highlight w:val="none"/>
                <w:u w:val="single"/>
              </w:rPr>
              <w:t>、</w:t>
            </w:r>
            <w:r>
              <w:rPr>
                <w:rFonts w:hint="eastAsia" w:ascii="宋体" w:hAnsi="宋体" w:eastAsia="宋体" w:cs="宋体"/>
                <w:b w:val="0"/>
                <w:color w:val="auto"/>
                <w:sz w:val="24"/>
                <w:szCs w:val="24"/>
                <w:highlight w:val="none"/>
                <w:u w:val="single"/>
                <w:lang w:eastAsia="zh-CN"/>
              </w:rPr>
              <w:t>滁州市城投工程咨询管理有限公司</w:t>
            </w:r>
          </w:p>
          <w:p w14:paraId="5B463D23">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bCs w:val="0"/>
                <w:color w:val="auto"/>
                <w:sz w:val="24"/>
                <w:szCs w:val="18"/>
                <w:highlight w:val="none"/>
              </w:rPr>
            </w:pPr>
            <w:r>
              <w:rPr>
                <w:rFonts w:ascii="宋体" w:hAnsi="宋体" w:eastAsia="宋体"/>
                <w:b w:val="0"/>
                <w:color w:val="auto"/>
                <w:sz w:val="24"/>
                <w:highlight w:val="none"/>
              </w:rPr>
              <w:t>联系电话：</w:t>
            </w:r>
            <w:r>
              <w:rPr>
                <w:rFonts w:hint="eastAsia" w:ascii="宋体" w:hAnsi="宋体" w:eastAsia="宋体" w:cs="宋体"/>
                <w:b w:val="0"/>
                <w:color w:val="auto"/>
                <w:sz w:val="24"/>
                <w:szCs w:val="24"/>
                <w:highlight w:val="none"/>
                <w:u w:val="single"/>
                <w:lang w:eastAsia="zh-CN"/>
              </w:rPr>
              <w:t>13505553101</w:t>
            </w:r>
            <w:r>
              <w:rPr>
                <w:rFonts w:hint="eastAsia" w:ascii="宋体" w:hAnsi="宋体" w:eastAsia="宋体" w:cs="宋体"/>
                <w:b w:val="0"/>
                <w:color w:val="auto"/>
                <w:sz w:val="24"/>
                <w:szCs w:val="24"/>
                <w:highlight w:val="none"/>
                <w:u w:val="single"/>
              </w:rPr>
              <w:t>、0550-3519590</w:t>
            </w:r>
          </w:p>
          <w:p w14:paraId="3945BA93">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ascii="宋体" w:hAnsi="宋体" w:eastAsia="宋体"/>
                <w:b w:val="0"/>
                <w:color w:val="auto"/>
                <w:sz w:val="24"/>
                <w:highlight w:val="none"/>
              </w:rPr>
            </w:pPr>
            <w:r>
              <w:rPr>
                <w:rFonts w:hint="eastAsia" w:ascii="宋体" w:hAnsi="宋体" w:eastAsia="宋体"/>
                <w:b w:val="0"/>
                <w:color w:val="auto"/>
                <w:sz w:val="24"/>
                <w:highlight w:val="none"/>
              </w:rPr>
              <w:t>通讯地址：</w:t>
            </w:r>
            <w:r>
              <w:rPr>
                <w:rFonts w:hint="eastAsia" w:ascii="宋体" w:hAnsi="宋体" w:eastAsia="宋体" w:cs="宋体"/>
                <w:b w:val="0"/>
                <w:color w:val="auto"/>
                <w:sz w:val="24"/>
                <w:szCs w:val="24"/>
                <w:highlight w:val="none"/>
                <w:u w:val="single"/>
                <w:lang w:eastAsia="zh-CN"/>
              </w:rPr>
              <w:t>滁州市南谯区龙蟠大道95号</w:t>
            </w:r>
            <w:r>
              <w:rPr>
                <w:rFonts w:hint="eastAsia" w:ascii="宋体" w:hAnsi="宋体" w:eastAsia="宋体" w:cs="宋体"/>
                <w:b w:val="0"/>
                <w:bCs w:val="0"/>
                <w:color w:val="auto"/>
                <w:sz w:val="24"/>
                <w:szCs w:val="24"/>
                <w:highlight w:val="none"/>
                <w:u w:val="single"/>
              </w:rPr>
              <w:t>、滁州市龙蟠大道109号房产大厦6楼</w:t>
            </w:r>
          </w:p>
        </w:tc>
      </w:tr>
      <w:tr w14:paraId="076B9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1" w:type="pct"/>
            <w:vAlign w:val="center"/>
          </w:tcPr>
          <w:p w14:paraId="2CEC15E4">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pacing w:line="500" w:lineRule="exact"/>
              <w:textAlignment w:val="auto"/>
              <w:rPr>
                <w:rFonts w:hint="default" w:ascii="宋体" w:hAnsi="宋体" w:eastAsia="宋体"/>
                <w:bCs/>
                <w:color w:val="auto"/>
                <w:kern w:val="2"/>
                <w:highlight w:val="none"/>
                <w:lang w:val="en-US" w:eastAsia="zh-CN"/>
              </w:rPr>
            </w:pPr>
            <w:r>
              <w:rPr>
                <w:rFonts w:hint="eastAsia" w:ascii="宋体" w:hAnsi="宋体" w:eastAsia="宋体"/>
                <w:bCs/>
                <w:color w:val="auto"/>
                <w:kern w:val="2"/>
                <w:highlight w:val="none"/>
                <w:lang w:val="en-US" w:eastAsia="zh-CN"/>
              </w:rPr>
              <w:t>32</w:t>
            </w:r>
          </w:p>
        </w:tc>
        <w:tc>
          <w:tcPr>
            <w:tcW w:w="1174" w:type="pct"/>
            <w:vAlign w:val="center"/>
          </w:tcPr>
          <w:p w14:paraId="434193E1">
            <w:pPr>
              <w:pStyle w:val="39"/>
              <w:keepNext w:val="0"/>
              <w:keepLines w:val="0"/>
              <w:pageBreakBefore w:val="0"/>
              <w:widowControl w:val="0"/>
              <w:kinsoku/>
              <w:wordWrap/>
              <w:overflowPunct/>
              <w:topLinePunct w:val="0"/>
              <w:autoSpaceDE/>
              <w:autoSpaceDN/>
              <w:bidi w:val="0"/>
              <w:spacing w:before="0" w:beforeAutospacing="0" w:after="0" w:afterAutospacing="0" w:line="500" w:lineRule="exact"/>
              <w:jc w:val="both"/>
              <w:textAlignment w:val="auto"/>
              <w:rPr>
                <w:rFonts w:hint="default"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其他内容</w:t>
            </w:r>
          </w:p>
        </w:tc>
        <w:tc>
          <w:tcPr>
            <w:tcW w:w="3244" w:type="pct"/>
            <w:vAlign w:val="center"/>
          </w:tcPr>
          <w:p w14:paraId="399DCF97">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eastAsia" w:ascii="宋体" w:hAnsi="宋体" w:eastAsia="宋体"/>
                <w:b w:val="0"/>
                <w:color w:val="auto"/>
                <w:sz w:val="24"/>
                <w:highlight w:val="none"/>
                <w:lang w:val="en-US" w:eastAsia="zh-CN"/>
              </w:rPr>
            </w:pPr>
            <w:r>
              <w:rPr>
                <w:rFonts w:hint="eastAsia" w:ascii="宋体" w:hAnsi="宋体" w:eastAsia="宋体"/>
                <w:b w:val="0"/>
                <w:color w:val="auto"/>
                <w:sz w:val="24"/>
                <w:highlight w:val="none"/>
                <w:lang w:val="en-US" w:eastAsia="zh-CN"/>
              </w:rPr>
              <w:t>1.解释权：</w:t>
            </w:r>
          </w:p>
          <w:p w14:paraId="1582DF06">
            <w:pPr>
              <w:keepNext w:val="0"/>
              <w:keepLines w:val="0"/>
              <w:pageBreakBefore w:val="0"/>
              <w:widowControl w:val="0"/>
              <w:kinsoku/>
              <w:wordWrap/>
              <w:overflowPunct/>
              <w:topLinePunct w:val="0"/>
              <w:autoSpaceDE/>
              <w:autoSpaceDN/>
              <w:bidi w:val="0"/>
              <w:spacing w:line="50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（1）</w:t>
            </w:r>
            <w:r>
              <w:rPr>
                <w:rFonts w:asciiTheme="minorEastAsia" w:hAnsiTheme="minorEastAsia" w:eastAsiaTheme="minorEastAsia"/>
                <w:bCs/>
                <w:color w:val="auto"/>
                <w:sz w:val="24"/>
                <w:szCs w:val="24"/>
                <w:highlight w:val="none"/>
              </w:rPr>
              <w:t>构成本招标文件的各个组成文件应互为解释，互为说明；</w:t>
            </w:r>
          </w:p>
          <w:p w14:paraId="09C69CB0">
            <w:pPr>
              <w:keepNext w:val="0"/>
              <w:keepLines w:val="0"/>
              <w:pageBreakBefore w:val="0"/>
              <w:widowControl w:val="0"/>
              <w:kinsoku/>
              <w:wordWrap/>
              <w:overflowPunct/>
              <w:topLinePunct w:val="0"/>
              <w:autoSpaceDE/>
              <w:autoSpaceDN/>
              <w:bidi w:val="0"/>
              <w:spacing w:line="50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（2）</w:t>
            </w:r>
            <w:r>
              <w:rPr>
                <w:rFonts w:asciiTheme="minorEastAsia" w:hAnsiTheme="minorEastAsia" w:eastAsiaTheme="minorEastAsia"/>
                <w:bCs/>
                <w:color w:val="auto"/>
                <w:sz w:val="24"/>
                <w:szCs w:val="24"/>
                <w:highlight w:val="none"/>
              </w:rPr>
              <w:t>同一组成文件中就同一事项的规定或约定不一致的，以编排顺序在后者为准；</w:t>
            </w:r>
          </w:p>
          <w:p w14:paraId="3F3D5476">
            <w:pPr>
              <w:keepNext w:val="0"/>
              <w:keepLines w:val="0"/>
              <w:pageBreakBefore w:val="0"/>
              <w:widowControl w:val="0"/>
              <w:kinsoku/>
              <w:wordWrap/>
              <w:overflowPunct/>
              <w:topLinePunct w:val="0"/>
              <w:autoSpaceDE/>
              <w:autoSpaceDN/>
              <w:bidi w:val="0"/>
              <w:spacing w:line="50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（3）</w:t>
            </w:r>
            <w:r>
              <w:rPr>
                <w:rFonts w:asciiTheme="minorEastAsia" w:hAnsiTheme="minorEastAsia" w:eastAsiaTheme="minorEastAsia"/>
                <w:bCs/>
                <w:color w:val="auto"/>
                <w:sz w:val="24"/>
                <w:szCs w:val="24"/>
                <w:highlight w:val="none"/>
              </w:rPr>
              <w:t>如有不明确或不一致，构成合同文件组成内容的，以合同文件约定内容为准，且以专用合同条款约定的合同文件优先顺序解释；</w:t>
            </w:r>
          </w:p>
          <w:p w14:paraId="69BFA36F">
            <w:pPr>
              <w:keepNext w:val="0"/>
              <w:keepLines w:val="0"/>
              <w:pageBreakBefore w:val="0"/>
              <w:widowControl w:val="0"/>
              <w:kinsoku/>
              <w:wordWrap/>
              <w:overflowPunct/>
              <w:topLinePunct w:val="0"/>
              <w:autoSpaceDE/>
              <w:autoSpaceDN/>
              <w:bidi w:val="0"/>
              <w:spacing w:line="50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rPr>
              <w:t>（4）</w:t>
            </w:r>
            <w:r>
              <w:rPr>
                <w:rFonts w:asciiTheme="minorEastAsia" w:hAnsiTheme="minorEastAsia" w:eastAsiaTheme="minorEastAsia"/>
                <w:bCs/>
                <w:color w:val="auto"/>
                <w:sz w:val="24"/>
                <w:szCs w:val="24"/>
                <w:highlight w:val="none"/>
              </w:rPr>
              <w:t>除招标文件中有特别规定外，仅适用于招标投标阶段的规定，按招标公告、</w:t>
            </w:r>
            <w:r>
              <w:rPr>
                <w:rFonts w:hint="eastAsia" w:asciiTheme="minorEastAsia" w:hAnsiTheme="minorEastAsia" w:eastAsiaTheme="minorEastAsia"/>
                <w:bCs/>
                <w:color w:val="auto"/>
                <w:sz w:val="24"/>
                <w:szCs w:val="24"/>
                <w:highlight w:val="none"/>
              </w:rPr>
              <w:t>投标邀请、</w:t>
            </w:r>
            <w:r>
              <w:rPr>
                <w:rFonts w:asciiTheme="minorEastAsia" w:hAnsiTheme="minorEastAsia" w:eastAsiaTheme="minorEastAsia"/>
                <w:bCs/>
                <w:color w:val="auto"/>
                <w:sz w:val="24"/>
                <w:szCs w:val="24"/>
                <w:highlight w:val="none"/>
              </w:rPr>
              <w:t>投标人须知、评标</w:t>
            </w:r>
            <w:r>
              <w:rPr>
                <w:rFonts w:hint="eastAsia" w:asciiTheme="minorEastAsia" w:hAnsiTheme="minorEastAsia" w:eastAsiaTheme="minorEastAsia"/>
                <w:bCs/>
                <w:color w:val="auto"/>
                <w:sz w:val="24"/>
                <w:szCs w:val="24"/>
                <w:highlight w:val="none"/>
              </w:rPr>
              <w:t>方</w:t>
            </w:r>
            <w:r>
              <w:rPr>
                <w:rFonts w:asciiTheme="minorEastAsia" w:hAnsiTheme="minorEastAsia" w:eastAsiaTheme="minorEastAsia"/>
                <w:bCs/>
                <w:color w:val="auto"/>
                <w:sz w:val="24"/>
                <w:szCs w:val="24"/>
                <w:highlight w:val="none"/>
              </w:rPr>
              <w:t>法</w:t>
            </w:r>
            <w:r>
              <w:rPr>
                <w:rFonts w:hint="eastAsia" w:asciiTheme="minorEastAsia" w:hAnsiTheme="minorEastAsia" w:eastAsiaTheme="minorEastAsia"/>
                <w:bCs/>
                <w:color w:val="auto"/>
                <w:sz w:val="24"/>
                <w:szCs w:val="24"/>
                <w:highlight w:val="none"/>
              </w:rPr>
              <w:t>和标准</w:t>
            </w:r>
            <w:r>
              <w:rPr>
                <w:rFonts w:asciiTheme="minorEastAsia" w:hAnsiTheme="minorEastAsia" w:eastAsiaTheme="minorEastAsia"/>
                <w:bCs/>
                <w:color w:val="auto"/>
                <w:sz w:val="24"/>
                <w:szCs w:val="24"/>
                <w:highlight w:val="none"/>
              </w:rPr>
              <w:t>、投标文件格式的先后顺序解释；</w:t>
            </w:r>
          </w:p>
          <w:p w14:paraId="278A93A6">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（5）</w:t>
            </w:r>
            <w:r>
              <w:rPr>
                <w:rFonts w:cs="@仿宋_GB2312" w:asciiTheme="minorEastAsia" w:hAnsiTheme="minorEastAsia" w:eastAsiaTheme="minorEastAsia"/>
                <w:b w:val="0"/>
                <w:bCs/>
                <w:color w:val="auto"/>
                <w:kern w:val="2"/>
                <w:sz w:val="24"/>
                <w:szCs w:val="24"/>
                <w:highlight w:val="none"/>
                <w:lang w:val="en-US" w:eastAsia="zh-CN" w:bidi="ar-SA"/>
              </w:rPr>
              <w:t>按本款前述规定仍不能形成结论的，由</w:t>
            </w:r>
            <w:r>
              <w:rPr>
                <w:rFonts w:hint="eastAsia" w:cs="@仿宋_GB2312" w:asciiTheme="minorEastAsia" w:hAnsiTheme="minorEastAsia" w:eastAsiaTheme="minorEastAsia"/>
                <w:b w:val="0"/>
                <w:bCs/>
                <w:color w:val="auto"/>
                <w:kern w:val="2"/>
                <w:sz w:val="24"/>
                <w:szCs w:val="24"/>
                <w:highlight w:val="none"/>
                <w:lang w:val="en-US" w:eastAsia="zh-CN" w:bidi="ar-SA"/>
              </w:rPr>
              <w:t>采购</w:t>
            </w:r>
            <w:r>
              <w:rPr>
                <w:rFonts w:cs="@仿宋_GB2312" w:asciiTheme="minorEastAsia" w:hAnsiTheme="minorEastAsia" w:eastAsiaTheme="minorEastAsia"/>
                <w:b w:val="0"/>
                <w:bCs/>
                <w:color w:val="auto"/>
                <w:kern w:val="2"/>
                <w:sz w:val="24"/>
                <w:szCs w:val="24"/>
                <w:highlight w:val="none"/>
                <w:lang w:val="en-US" w:eastAsia="zh-CN" w:bidi="ar-SA"/>
              </w:rPr>
              <w:t>人负责解释。</w:t>
            </w:r>
          </w:p>
          <w:p w14:paraId="432A3E64">
            <w:pPr>
              <w:keepNext w:val="0"/>
              <w:keepLines w:val="0"/>
              <w:pageBreakBefore w:val="0"/>
              <w:widowControl w:val="0"/>
              <w:kinsoku/>
              <w:wordWrap/>
              <w:overflowPunct/>
              <w:topLinePunct w:val="0"/>
              <w:autoSpaceDE/>
              <w:autoSpaceDN/>
              <w:bidi w:val="0"/>
              <w:spacing w:line="500" w:lineRule="exact"/>
              <w:textAlignment w:val="auto"/>
              <w:rPr>
                <w:rFonts w:asciiTheme="minorEastAsia" w:hAnsiTheme="minorEastAsia" w:eastAsiaTheme="minorEastAsia"/>
                <w:bCs/>
                <w:color w:val="auto"/>
                <w:sz w:val="24"/>
                <w:szCs w:val="24"/>
                <w:highlight w:val="none"/>
              </w:rPr>
            </w:pPr>
            <w:r>
              <w:rPr>
                <w:rFonts w:hint="eastAsia" w:asciiTheme="minorEastAsia" w:hAnsiTheme="minorEastAsia" w:eastAsiaTheme="minorEastAsia"/>
                <w:bCs/>
                <w:color w:val="auto"/>
                <w:sz w:val="24"/>
                <w:szCs w:val="24"/>
                <w:highlight w:val="none"/>
                <w:lang w:val="en-US" w:eastAsia="zh-CN"/>
              </w:rPr>
              <w:t>2.</w:t>
            </w:r>
            <w:r>
              <w:rPr>
                <w:rFonts w:hint="eastAsia" w:asciiTheme="minorEastAsia" w:hAnsiTheme="minorEastAsia" w:eastAsiaTheme="minorEastAsia"/>
                <w:bCs/>
                <w:color w:val="auto"/>
                <w:sz w:val="24"/>
                <w:szCs w:val="24"/>
                <w:highlight w:val="none"/>
              </w:rPr>
              <w:t>“政采贷”融资指引：有融资需求的</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在取得政府采购中标或成交通知书后，可访问安徽省政府采购网“政采贷”栏目，查看和联系第三方平台或者金融机构，商洽融资事项，确定融资意向。</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签署政府采购中标（成交）合同后，登录“徽采云”金融服务模块，选择意向产品进行申请，并填写相关信息，“徽采云”金融服务模块将</w:t>
            </w:r>
            <w:r>
              <w:rPr>
                <w:rFonts w:hint="eastAsia" w:ascii="宋体" w:hAnsi="宋体" w:eastAsia="宋体" w:cs="宋体"/>
                <w:color w:val="auto"/>
                <w:sz w:val="24"/>
                <w:szCs w:val="24"/>
                <w:highlight w:val="none"/>
              </w:rPr>
              <w:t>中</w:t>
            </w:r>
            <w:r>
              <w:rPr>
                <w:rFonts w:ascii="宋体" w:hAnsi="宋体" w:eastAsia="宋体" w:cs="宋体"/>
                <w:color w:val="auto"/>
                <w:sz w:val="24"/>
                <w:szCs w:val="24"/>
                <w:highlight w:val="none"/>
              </w:rPr>
              <w:t>标人</w:t>
            </w:r>
            <w:r>
              <w:rPr>
                <w:rFonts w:hint="eastAsia" w:asciiTheme="minorEastAsia" w:hAnsiTheme="minorEastAsia" w:eastAsiaTheme="minorEastAsia"/>
                <w:bCs/>
                <w:color w:val="auto"/>
                <w:sz w:val="24"/>
                <w:szCs w:val="24"/>
                <w:highlight w:val="none"/>
              </w:rPr>
              <w:t>融资申请信息推送第三方平台、意向金融机构。</w:t>
            </w:r>
          </w:p>
          <w:p w14:paraId="0412EB9B">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3.电子保函指引：中标人可访问安徽省政府采购网“融资/保函”栏目，申请办理电子保函（包括：履约保函、预付款保函）。</w:t>
            </w:r>
          </w:p>
          <w:p w14:paraId="3D129C72">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4.部分可提供线下政采贷的金融机构：</w:t>
            </w:r>
          </w:p>
          <w:p w14:paraId="7E4A7489">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市本级</w:t>
            </w:r>
          </w:p>
          <w:p w14:paraId="16EEEA5D">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金融机构名称：兴业银行滁州分行</w:t>
            </w:r>
          </w:p>
          <w:p w14:paraId="79B11A97">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安徽省滁州市琅琊区丰乐大道1090号</w:t>
            </w:r>
          </w:p>
          <w:p w14:paraId="0713BDEE">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伏庚：17755080811</w:t>
            </w:r>
          </w:p>
          <w:p w14:paraId="146E13B4">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5.特别提示：</w:t>
            </w:r>
          </w:p>
          <w:p w14:paraId="50D94E0C">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（1）投标人应填写投标信息并下载招标文件，否则无法上传投标文件。</w:t>
            </w:r>
          </w:p>
          <w:p w14:paraId="62B37D30">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2）本项目采用电子招标投标，请投标人在滁州市公共资源交易中心网&gt;服务指南&gt;软件下载栏目点击下载投标文件制作工具。投标人需采用最新版投标文件制作工具。软件运行需在国际互联网络通畅状态，投标人需注意更新，以免造成投标文件制作错误，如因此导致评标委员会否决其投标，责任自负。如有技术问题请联系0550-3801701，4009980000。</w:t>
            </w:r>
          </w:p>
          <w:p w14:paraId="495336E4">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（3）如果过程中出现招标文件更改，应以最后发布的招标答疑澄清文件中的模板制作本项目最新投标文件。</w:t>
            </w:r>
          </w:p>
          <w:p w14:paraId="137E4467">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 xml:space="preserve">（4）投标人应当用本单位CA数字证书制作投标文件，制作成功后进行投标文件上传。 </w:t>
            </w:r>
          </w:p>
          <w:p w14:paraId="026D0CB3">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5）投标人须用CA数字证书盖章和加密投标文件，建议使用主锁。（如未办理CA数字证书请及时办理，网上办理和窗口办理均可。查看办理所需资料请登录滁州市公共资源交易中心网&gt;服务指南&gt;办事指南&gt;CA数字证书和电子签章。因未及时办理CA数字证书手续导致无法投标的，责任自负。</w:t>
            </w:r>
          </w:p>
          <w:p w14:paraId="2D74308E">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（6）请投标人注意加密投标文件CA数字证书的有效期，不在有效期的CA数字证书无法解密投标文件。</w:t>
            </w:r>
          </w:p>
          <w:p w14:paraId="0A4C9383">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（7）投标人投标MAC地址或投标人联系人或联系电话相同的，由评标委员会否决其投标，并报告监管部门作不良行为处理和进一步调查。</w:t>
            </w:r>
          </w:p>
          <w:p w14:paraId="5F7EF58E">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（8）投标人单方面出现其他投标人材料的，由评标委员会否决其投标。</w:t>
            </w:r>
          </w:p>
          <w:p w14:paraId="64648955">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9）评标时查询投标文件制作机器码、文件创建标识码及造价软件加密锁号。若存在投标文件制作机器码或创建标识码或造价软件加密锁号信息与其他投标人雷同的，由评标委员会否决其投标，依法依规予以处理。</w:t>
            </w:r>
          </w:p>
          <w:p w14:paraId="05AE5E41">
            <w:pPr>
              <w:pStyle w:val="39"/>
              <w:keepNext w:val="0"/>
              <w:keepLines w:val="0"/>
              <w:pageBreakBefore w:val="0"/>
              <w:widowControl w:val="0"/>
              <w:numPr>
                <w:ilvl w:val="0"/>
                <w:numId w:val="0"/>
              </w:numPr>
              <w:tabs>
                <w:tab w:val="left" w:pos="5880"/>
              </w:tabs>
              <w:kinsoku/>
              <w:wordWrap/>
              <w:overflowPunct/>
              <w:topLinePunct w:val="0"/>
              <w:autoSpaceDE/>
              <w:autoSpaceDN/>
              <w:bidi w:val="0"/>
              <w:spacing w:before="0" w:beforeAutospacing="0" w:after="0" w:afterAutospacing="0" w:line="500" w:lineRule="exact"/>
              <w:ind w:right="63" w:rightChars="30"/>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10）电子加密投标文件上传到系统后，需要投标企业和招标代理公司到开标截止时间后共同解锁，不存在商务报价等投标信息通过系统泄密的风险；投标截止时间前，已上传的投标文件也可以撤回修改。集中到开标截止时间前上传电子加密投标文件，可能出现由于投标企业制作电子投标文件不熟练、网络拥堵等不可预知的情况而且无法及时解决，丧失投标机会，请各投标企业提前制作、上传电子加密投标文件，否则由于无法及时上传电子加密投标文件而废标或无效投标的情况，责任自负！</w:t>
            </w:r>
          </w:p>
          <w:p w14:paraId="7F070066">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ind w:right="63" w:rightChars="30"/>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6.评标过程中的澄清、说明或补正：</w:t>
            </w:r>
          </w:p>
          <w:p w14:paraId="383A2783">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ind w:right="63" w:rightChars="30"/>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（1）评标委员会通过网上招投标系统将需要澄清、说明或补正的内容以询标函的形式发送给投标人，投标人应安排专人登录网上招投标系统并保持在线状态，以便及时接收评标委员会可能发出的询标函。</w:t>
            </w:r>
          </w:p>
          <w:p w14:paraId="08CE52AC">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ind w:right="63" w:rightChars="30"/>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2）因投标人未登录网上招投标系统导致无法及时接收询标函（远程网上询标）或未在规定时间内按评标委员会要求进行澄清、说明或补正内容的视同投标人放弃澄清、说明或补正内容的权利，评标委员会可按对投标人不利的解释进行判定。</w:t>
            </w:r>
          </w:p>
          <w:p w14:paraId="1C164959">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ind w:right="63" w:rightChars="30"/>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7.同义词语：招标文件第六章投标文件格式、附件1“关于联合惩戒失信行为 加强信用查询管理的通知”等章节中 “招标人”、“供应商”，等同于“采购人”、“投标人”。</w:t>
            </w:r>
          </w:p>
          <w:p w14:paraId="50AD100E">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8.落实政府采购支持节能产品、环境标志产品政策。</w:t>
            </w:r>
          </w:p>
          <w:p w14:paraId="746471ED">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9.</w:t>
            </w:r>
            <w:r>
              <w:rPr>
                <w:rFonts w:hint="default" w:cs="@仿宋_GB2312" w:asciiTheme="minorEastAsia" w:hAnsiTheme="minorEastAsia" w:eastAsiaTheme="minorEastAsia"/>
                <w:b w:val="0"/>
                <w:bCs/>
                <w:color w:val="auto"/>
                <w:kern w:val="2"/>
                <w:sz w:val="24"/>
                <w:szCs w:val="24"/>
                <w:highlight w:val="none"/>
                <w:lang w:val="en-US" w:eastAsia="zh-CN" w:bidi="ar-SA"/>
              </w:rPr>
              <w:t>系统中提供的表格与招标文件中不一致时，以招标文件中提供的表格格式为准。</w:t>
            </w:r>
          </w:p>
          <w:p w14:paraId="46F02CD2">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eastAsia"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10.投诉</w:t>
            </w:r>
          </w:p>
          <w:p w14:paraId="1724861C">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ind w:right="176" w:rightChars="84"/>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eastAsia" w:cs="@仿宋_GB2312" w:asciiTheme="minorEastAsia" w:hAnsiTheme="minorEastAsia" w:eastAsiaTheme="minorEastAsia"/>
                <w:b w:val="0"/>
                <w:bCs/>
                <w:color w:val="auto"/>
                <w:kern w:val="2"/>
                <w:sz w:val="24"/>
                <w:szCs w:val="24"/>
                <w:highlight w:val="none"/>
                <w:lang w:val="en-US" w:eastAsia="zh-CN" w:bidi="ar-SA"/>
              </w:rPr>
              <w:t>10.1质疑供应商对采购人、采购代理机构的答复不满意，或者采购人、采购代理机构未在规定的时间内答复的，可以在答复期满后</w:t>
            </w:r>
            <w:r>
              <w:rPr>
                <w:rFonts w:hint="default" w:cs="@仿宋_GB2312" w:asciiTheme="minorEastAsia" w:hAnsiTheme="minorEastAsia" w:eastAsiaTheme="minorEastAsia"/>
                <w:b w:val="0"/>
                <w:bCs/>
                <w:color w:val="auto"/>
                <w:kern w:val="2"/>
                <w:sz w:val="24"/>
                <w:szCs w:val="24"/>
                <w:highlight w:val="none"/>
                <w:lang w:val="en-US" w:eastAsia="zh-CN" w:bidi="ar-SA"/>
              </w:rPr>
              <w:t xml:space="preserve">十五个工作日内按有关规定，以书面形式（http://ggzy.chuzhou.gov.cn/fw zn/011001/011001001/011001001003/20200727/7fb </w:t>
            </w:r>
          </w:p>
          <w:p w14:paraId="7946657D">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 xml:space="preserve">88e17-63dd-4f17-b17c-290526c6eda8.html）向同级政府采购监督管理部门提出投诉或者线上提交投诉材料（http://ggzy.chuzhou.gov.cn/fwzn/011001/ </w:t>
            </w:r>
          </w:p>
          <w:p w14:paraId="30F23698">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 xml:space="preserve">011001001/011001001003/20200221/b079d9ca-90f2 </w:t>
            </w:r>
          </w:p>
          <w:p w14:paraId="21D8FBD6">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 xml:space="preserve">-4cce-aa7c-94a444e7ac91.html）。 </w:t>
            </w:r>
          </w:p>
          <w:p w14:paraId="7684EF20">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 xml:space="preserve">10.2政府采购监督管理部门应当在收到投诉后30个工作日内，对投诉事项作出处理决定，并以书面形式通知投诉人和与投诉事项有关的当事人，并在安徽省政府采购网公告。政府采购监督管理部门处理投诉事项，需要检验、检测、鉴定、专家评审以及需要投诉人补正材料的，所需时间不计算在投诉处理期限内。 </w:t>
            </w:r>
          </w:p>
          <w:p w14:paraId="749322D7">
            <w:pPr>
              <w:pStyle w:val="39"/>
              <w:keepNext w:val="0"/>
              <w:keepLines w:val="0"/>
              <w:pageBreakBefore w:val="0"/>
              <w:widowControl w:val="0"/>
              <w:numPr>
                <w:ilvl w:val="0"/>
                <w:numId w:val="0"/>
              </w:numPr>
              <w:kinsoku/>
              <w:wordWrap/>
              <w:overflowPunct/>
              <w:topLinePunct w:val="0"/>
              <w:autoSpaceDE/>
              <w:autoSpaceDN/>
              <w:bidi w:val="0"/>
              <w:spacing w:before="0" w:beforeAutospacing="0" w:after="0" w:afterAutospacing="0" w:line="500" w:lineRule="exact"/>
              <w:jc w:val="both"/>
              <w:textAlignment w:val="auto"/>
              <w:rPr>
                <w:rFonts w:hint="default" w:cs="@仿宋_GB2312" w:asciiTheme="minorEastAsia" w:hAnsiTheme="minorEastAsia" w:eastAsiaTheme="minorEastAsia"/>
                <w:b w:val="0"/>
                <w:bCs/>
                <w:color w:val="auto"/>
                <w:kern w:val="2"/>
                <w:sz w:val="24"/>
                <w:szCs w:val="24"/>
                <w:highlight w:val="none"/>
                <w:lang w:val="en-US" w:eastAsia="zh-CN" w:bidi="ar-SA"/>
              </w:rPr>
            </w:pPr>
            <w:r>
              <w:rPr>
                <w:rFonts w:hint="default" w:cs="@仿宋_GB2312" w:asciiTheme="minorEastAsia" w:hAnsiTheme="minorEastAsia" w:eastAsiaTheme="minorEastAsia"/>
                <w:b w:val="0"/>
                <w:bCs/>
                <w:color w:val="auto"/>
                <w:kern w:val="2"/>
                <w:sz w:val="24"/>
                <w:szCs w:val="24"/>
                <w:highlight w:val="none"/>
                <w:lang w:val="en-US" w:eastAsia="zh-CN" w:bidi="ar-SA"/>
              </w:rPr>
              <w:t>10.3 政府采购监督管理部门在处理投诉事项期间，可以视具体情况书面通知采购人暂停采购活动，但暂停时间最长不得超过30日。</w:t>
            </w:r>
          </w:p>
        </w:tc>
      </w:tr>
    </w:tbl>
    <w:p w14:paraId="447D020C">
      <w:pPr>
        <w:spacing w:line="360" w:lineRule="auto"/>
        <w:jc w:val="center"/>
        <w:outlineLvl w:val="1"/>
        <w:rPr>
          <w:rFonts w:asciiTheme="minorEastAsia" w:hAnsiTheme="minorEastAsia" w:eastAsiaTheme="minorEastAsia"/>
          <w:b/>
          <w:color w:val="auto"/>
          <w:sz w:val="24"/>
          <w:highlight w:val="none"/>
        </w:rPr>
      </w:pPr>
      <w:r>
        <w:rPr>
          <w:rFonts w:asciiTheme="minorEastAsia" w:hAnsiTheme="minorEastAsia" w:eastAsiaTheme="minorEastAsia"/>
          <w:b/>
          <w:color w:val="auto"/>
          <w:sz w:val="28"/>
          <w:highlight w:val="none"/>
        </w:rPr>
        <w:br w:type="page"/>
      </w:r>
      <w:bookmarkStart w:id="21" w:name="_Toc9427"/>
      <w:bookmarkStart w:id="22" w:name="_Toc24882"/>
      <w:r>
        <w:rPr>
          <w:rFonts w:hint="eastAsia" w:asciiTheme="minorEastAsia" w:hAnsiTheme="minorEastAsia" w:eastAsiaTheme="minorEastAsia"/>
          <w:b/>
          <w:color w:val="auto"/>
          <w:sz w:val="24"/>
          <w:highlight w:val="none"/>
        </w:rPr>
        <w:t>二、</w:t>
      </w:r>
      <w:r>
        <w:rPr>
          <w:rFonts w:asciiTheme="minorEastAsia" w:hAnsiTheme="minorEastAsia" w:eastAsiaTheme="minorEastAsia"/>
          <w:b/>
          <w:color w:val="auto"/>
          <w:sz w:val="24"/>
          <w:highlight w:val="none"/>
        </w:rPr>
        <w:t>投标人须知</w:t>
      </w:r>
      <w:r>
        <w:rPr>
          <w:rFonts w:hint="eastAsia" w:asciiTheme="minorEastAsia" w:hAnsiTheme="minorEastAsia" w:eastAsiaTheme="minorEastAsia"/>
          <w:b/>
          <w:color w:val="auto"/>
          <w:sz w:val="24"/>
          <w:highlight w:val="none"/>
        </w:rPr>
        <w:t>正文</w:t>
      </w:r>
      <w:bookmarkEnd w:id="21"/>
      <w:bookmarkEnd w:id="22"/>
    </w:p>
    <w:p w14:paraId="487646C4">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1.采购人、采购代理机构及投标人</w:t>
      </w:r>
    </w:p>
    <w:p w14:paraId="0D6B5A9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.1采购人：是指依法开展政府采购活动的国家机关、事业单位、团体组织。</w:t>
      </w:r>
    </w:p>
    <w:p w14:paraId="01E88A2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.2采购代理机构：是指集中采购机构或从事采购代理业务的社会中介机构。</w:t>
      </w:r>
    </w:p>
    <w:p w14:paraId="7EB9E9A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.3政府采购监督管理部门：</w:t>
      </w:r>
      <w:r>
        <w:rPr>
          <w:rFonts w:hint="eastAsia" w:ascii="宋体" w:hAnsi="宋体" w:eastAsia="宋体"/>
          <w:color w:val="auto"/>
          <w:sz w:val="24"/>
          <w:highlight w:val="none"/>
        </w:rPr>
        <w:t>各级人民政府指定的有关部门依法履行与政府采购活动有关的监督管理职责。</w:t>
      </w:r>
    </w:p>
    <w:p w14:paraId="43E0C09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w:t>
      </w:r>
      <w:r>
        <w:rPr>
          <w:rFonts w:ascii="宋体" w:hAnsi="宋体" w:eastAsia="宋体"/>
          <w:color w:val="auto"/>
          <w:sz w:val="24"/>
          <w:highlight w:val="none"/>
        </w:rPr>
        <w:t>.4投标人：是指向采购人提供货物、工程或者服务的法人、</w:t>
      </w:r>
      <w:r>
        <w:rPr>
          <w:rFonts w:hint="eastAsia" w:ascii="宋体" w:hAnsi="宋体" w:eastAsia="宋体"/>
          <w:color w:val="auto"/>
          <w:sz w:val="24"/>
          <w:highlight w:val="none"/>
          <w:lang w:val="en-US" w:eastAsia="zh-CN"/>
        </w:rPr>
        <w:t>其他</w:t>
      </w:r>
      <w:r>
        <w:rPr>
          <w:rFonts w:ascii="宋体" w:hAnsi="宋体" w:eastAsia="宋体"/>
          <w:color w:val="auto"/>
          <w:sz w:val="24"/>
          <w:highlight w:val="none"/>
        </w:rPr>
        <w:t>组织或者自然人。</w:t>
      </w:r>
      <w:r>
        <w:rPr>
          <w:rFonts w:hint="eastAsia" w:ascii="宋体" w:hAnsi="宋体" w:eastAsia="宋体"/>
          <w:color w:val="auto"/>
          <w:sz w:val="24"/>
          <w:highlight w:val="none"/>
        </w:rPr>
        <w:t>分支机构不得参加政府采购活动，但银行、保险、石油石化、电力、电信等特殊行业除外。</w:t>
      </w:r>
      <w:r>
        <w:rPr>
          <w:rFonts w:ascii="宋体" w:hAnsi="宋体" w:eastAsia="宋体"/>
          <w:color w:val="auto"/>
          <w:sz w:val="24"/>
          <w:highlight w:val="none"/>
        </w:rPr>
        <w:t>本项目的投标人须满足以下条件：</w:t>
      </w:r>
    </w:p>
    <w:p w14:paraId="23D13D6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1</w:t>
      </w:r>
      <w:r>
        <w:rPr>
          <w:rFonts w:ascii="宋体" w:hAnsi="宋体" w:eastAsia="宋体"/>
          <w:color w:val="auto"/>
          <w:sz w:val="24"/>
          <w:highlight w:val="none"/>
        </w:rPr>
        <w:t>具备《中华人民共和国政府采购法》第二十二条关于供应商条件的规定，遵守本项目采购人本级和上级财政部门政府采购的有关规定。</w:t>
      </w:r>
    </w:p>
    <w:p w14:paraId="4BD1DDFA">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以采购代理机构认可的方式获得了本项目的招标文件。</w:t>
      </w:r>
    </w:p>
    <w:p w14:paraId="2D1EDDF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4.</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ascii="宋体" w:hAnsi="宋体" w:eastAsia="宋体"/>
          <w:color w:val="auto"/>
          <w:sz w:val="24"/>
          <w:highlight w:val="none"/>
        </w:rPr>
        <w:t>中写明允许采购进口产品，投标人应保证所投产品可履行合法报通关手续进入中国关境内。</w:t>
      </w:r>
    </w:p>
    <w:p w14:paraId="68DE7FF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若</w:t>
      </w:r>
      <w:r>
        <w:rPr>
          <w:rFonts w:hint="eastAsia" w:ascii="宋体" w:hAnsi="宋体" w:eastAsia="宋体"/>
          <w:color w:val="auto"/>
          <w:sz w:val="24"/>
          <w:highlight w:val="none"/>
          <w:lang w:eastAsia="zh-CN"/>
        </w:rPr>
        <w:t>采购需求</w:t>
      </w:r>
      <w:r>
        <w:rPr>
          <w:rFonts w:hint="eastAsia" w:ascii="宋体" w:hAnsi="宋体" w:eastAsia="宋体"/>
          <w:color w:val="auto"/>
          <w:sz w:val="24"/>
          <w:highlight w:val="none"/>
        </w:rPr>
        <w:t>中未写明允许采购进口产品，如投标人所投产品为进口产品，其投标将被认定为</w:t>
      </w:r>
      <w:r>
        <w:rPr>
          <w:rFonts w:hint="eastAsia" w:ascii="宋体" w:hAnsi="宋体" w:eastAsia="宋体"/>
          <w:b/>
          <w:color w:val="auto"/>
          <w:sz w:val="24"/>
          <w:highlight w:val="none"/>
        </w:rPr>
        <w:t>投标无效</w:t>
      </w:r>
      <w:r>
        <w:rPr>
          <w:rFonts w:hint="eastAsia" w:ascii="宋体" w:hAnsi="宋体" w:eastAsia="宋体"/>
          <w:color w:val="auto"/>
          <w:sz w:val="24"/>
          <w:highlight w:val="none"/>
        </w:rPr>
        <w:t>。</w:t>
      </w:r>
    </w:p>
    <w:p w14:paraId="1424B2E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w:t>
      </w:r>
      <w:r>
        <w:rPr>
          <w:rFonts w:hint="eastAsia" w:ascii="宋体" w:hAnsi="宋体" w:eastAsia="宋体"/>
          <w:color w:val="auto"/>
          <w:sz w:val="24"/>
          <w:highlight w:val="none"/>
        </w:rPr>
        <w:t>若招标公告</w:t>
      </w:r>
      <w:r>
        <w:rPr>
          <w:rFonts w:ascii="宋体" w:hAnsi="宋体" w:eastAsia="宋体"/>
          <w:color w:val="auto"/>
          <w:sz w:val="24"/>
          <w:highlight w:val="none"/>
        </w:rPr>
        <w:t>中允许联合体投标，对联合体规定如下：</w:t>
      </w:r>
    </w:p>
    <w:p w14:paraId="4408BEAC">
      <w:pPr>
        <w:spacing w:line="360" w:lineRule="auto"/>
        <w:ind w:firstLine="480" w:firstLineChars="200"/>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5.1两个以上供应商可以组成一个投标联合体，以一个投标人的身份投标。</w:t>
      </w:r>
      <w:r>
        <w:rPr>
          <w:rFonts w:ascii="宋体" w:hAnsi="宋体" w:eastAsia="宋体"/>
          <w:b w:val="0"/>
          <w:color w:val="auto"/>
          <w:sz w:val="24"/>
          <w:highlight w:val="none"/>
        </w:rPr>
        <w:t>联合体投标的，</w:t>
      </w:r>
      <w:r>
        <w:rPr>
          <w:rFonts w:hint="eastAsia" w:ascii="宋体" w:hAnsi="宋体" w:eastAsia="宋体"/>
          <w:b w:val="0"/>
          <w:color w:val="auto"/>
          <w:sz w:val="24"/>
          <w:highlight w:val="none"/>
        </w:rPr>
        <w:t>招标文件获取</w:t>
      </w:r>
      <w:r>
        <w:rPr>
          <w:rFonts w:ascii="宋体" w:hAnsi="宋体" w:eastAsia="宋体"/>
          <w:b w:val="0"/>
          <w:color w:val="auto"/>
          <w:sz w:val="24"/>
          <w:highlight w:val="none"/>
        </w:rPr>
        <w:t>手续由联合体</w:t>
      </w:r>
      <w:r>
        <w:rPr>
          <w:rFonts w:hint="eastAsia" w:ascii="宋体" w:hAnsi="宋体" w:eastAsia="宋体"/>
          <w:b w:val="0"/>
          <w:color w:val="auto"/>
          <w:sz w:val="24"/>
          <w:highlight w:val="none"/>
        </w:rPr>
        <w:t>中</w:t>
      </w:r>
      <w:r>
        <w:rPr>
          <w:rFonts w:ascii="宋体" w:hAnsi="宋体" w:eastAsia="宋体"/>
          <w:b w:val="0"/>
          <w:color w:val="auto"/>
          <w:sz w:val="24"/>
          <w:highlight w:val="none"/>
        </w:rPr>
        <w:t>任</w:t>
      </w:r>
      <w:r>
        <w:rPr>
          <w:rFonts w:hint="eastAsia" w:ascii="宋体" w:hAnsi="宋体" w:eastAsia="宋体"/>
          <w:b w:val="0"/>
          <w:color w:val="auto"/>
          <w:sz w:val="24"/>
          <w:highlight w:val="none"/>
        </w:rPr>
        <w:t>一成员单位</w:t>
      </w:r>
      <w:r>
        <w:rPr>
          <w:rFonts w:ascii="宋体" w:hAnsi="宋体" w:eastAsia="宋体"/>
          <w:b w:val="0"/>
          <w:color w:val="auto"/>
          <w:sz w:val="24"/>
          <w:highlight w:val="none"/>
        </w:rPr>
        <w:t>办理均可。</w:t>
      </w:r>
    </w:p>
    <w:p w14:paraId="40CFCDB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5.2联合体各方均应符合《中华人民共和国政府采购法》第二十二条规定的条件。</w:t>
      </w:r>
    </w:p>
    <w:p w14:paraId="5E0240A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5.3采购人根据采购项目对投标人的特殊要求，联合体中至少应当有一方符合相关规定。</w:t>
      </w:r>
    </w:p>
    <w:p w14:paraId="47EFF7F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5.4联合体各方应签订</w:t>
      </w:r>
      <w:r>
        <w:rPr>
          <w:rFonts w:hint="eastAsia" w:ascii="宋体" w:hAnsi="宋体" w:eastAsia="宋体"/>
          <w:color w:val="auto"/>
          <w:sz w:val="24"/>
          <w:highlight w:val="none"/>
        </w:rPr>
        <w:t>联合协议</w:t>
      </w:r>
      <w:r>
        <w:rPr>
          <w:rFonts w:ascii="宋体" w:hAnsi="宋体" w:eastAsia="宋体"/>
          <w:color w:val="auto"/>
          <w:sz w:val="24"/>
          <w:highlight w:val="none"/>
        </w:rPr>
        <w:t>，明确约定联合体各方承担的工作和相应的责任，并将</w:t>
      </w:r>
      <w:r>
        <w:rPr>
          <w:rFonts w:hint="eastAsia" w:ascii="宋体" w:hAnsi="宋体" w:eastAsia="宋体"/>
          <w:color w:val="auto"/>
          <w:sz w:val="24"/>
          <w:highlight w:val="none"/>
        </w:rPr>
        <w:t>联合协议</w:t>
      </w:r>
      <w:r>
        <w:rPr>
          <w:rFonts w:ascii="宋体" w:hAnsi="宋体" w:eastAsia="宋体"/>
          <w:color w:val="auto"/>
          <w:sz w:val="24"/>
          <w:highlight w:val="none"/>
        </w:rPr>
        <w:t>作为投标文件</w:t>
      </w:r>
      <w:r>
        <w:rPr>
          <w:rFonts w:hint="eastAsia" w:ascii="宋体" w:hAnsi="宋体" w:eastAsia="宋体"/>
          <w:color w:val="auto"/>
          <w:sz w:val="24"/>
          <w:highlight w:val="none"/>
        </w:rPr>
        <w:t>的</w:t>
      </w:r>
      <w:r>
        <w:rPr>
          <w:rFonts w:ascii="宋体" w:hAnsi="宋体" w:eastAsia="宋体"/>
          <w:color w:val="auto"/>
          <w:sz w:val="24"/>
          <w:highlight w:val="none"/>
        </w:rPr>
        <w:t>一部分提交。</w:t>
      </w:r>
    </w:p>
    <w:p w14:paraId="309D82C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5.5大中型企业、其他自然人、法人或者非法人组织与小型、微型企业组成联合体共同参加投标，</w:t>
      </w:r>
      <w:r>
        <w:rPr>
          <w:rFonts w:hint="eastAsia" w:ascii="宋体" w:hAnsi="宋体" w:eastAsia="宋体"/>
          <w:color w:val="auto"/>
          <w:sz w:val="24"/>
          <w:highlight w:val="none"/>
        </w:rPr>
        <w:t>联合协议中</w:t>
      </w:r>
      <w:r>
        <w:rPr>
          <w:rFonts w:ascii="宋体" w:hAnsi="宋体" w:eastAsia="宋体"/>
          <w:color w:val="auto"/>
          <w:sz w:val="24"/>
          <w:highlight w:val="none"/>
        </w:rPr>
        <w:t>应写明小型、微型企业的协议合同金额占到</w:t>
      </w:r>
      <w:r>
        <w:rPr>
          <w:rFonts w:hint="eastAsia" w:ascii="宋体" w:hAnsi="宋体" w:eastAsia="宋体"/>
          <w:color w:val="auto"/>
          <w:sz w:val="24"/>
          <w:highlight w:val="none"/>
        </w:rPr>
        <w:t>联合协议</w:t>
      </w:r>
      <w:r>
        <w:rPr>
          <w:rFonts w:ascii="宋体" w:hAnsi="宋体" w:eastAsia="宋体"/>
          <w:color w:val="auto"/>
          <w:sz w:val="24"/>
          <w:highlight w:val="none"/>
        </w:rPr>
        <w:t>投标总金额的比例。</w:t>
      </w:r>
    </w:p>
    <w:p w14:paraId="2AFB2F2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5.6</w:t>
      </w:r>
      <w:r>
        <w:rPr>
          <w:rFonts w:hint="eastAsia" w:ascii="宋体" w:hAnsi="宋体" w:eastAsia="宋体"/>
          <w:color w:val="auto"/>
          <w:sz w:val="24"/>
          <w:highlight w:val="none"/>
        </w:rPr>
        <w:t>联合体中有同类资质的供应商按照联合体分工承担相同工作的，</w:t>
      </w:r>
      <w:r>
        <w:rPr>
          <w:rFonts w:ascii="宋体" w:hAnsi="宋体" w:eastAsia="宋体"/>
          <w:color w:val="auto"/>
          <w:sz w:val="24"/>
          <w:highlight w:val="none"/>
        </w:rPr>
        <w:t>应当按照</w:t>
      </w:r>
      <w:r>
        <w:rPr>
          <w:rFonts w:hint="eastAsia" w:ascii="宋体" w:hAnsi="宋体" w:eastAsia="宋体"/>
          <w:color w:val="auto"/>
          <w:sz w:val="24"/>
          <w:highlight w:val="none"/>
        </w:rPr>
        <w:t>资质等级较低的供应商确定资质等级。</w:t>
      </w:r>
    </w:p>
    <w:p w14:paraId="548A912E">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1F1F4BA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w:t>
      </w:r>
      <w:r>
        <w:rPr>
          <w:rFonts w:ascii="宋体" w:hAnsi="宋体" w:eastAsia="宋体"/>
          <w:color w:val="auto"/>
          <w:sz w:val="24"/>
          <w:highlight w:val="none"/>
        </w:rPr>
        <w:t>5.8对联合体投标的其他资格要求见</w:t>
      </w:r>
      <w:r>
        <w:rPr>
          <w:rFonts w:hint="eastAsia" w:ascii="宋体" w:hAnsi="宋体" w:eastAsia="宋体"/>
          <w:color w:val="auto"/>
          <w:sz w:val="24"/>
          <w:highlight w:val="none"/>
          <w:lang w:val="en-US" w:eastAsia="zh-CN"/>
        </w:rPr>
        <w:t>申请人的</w:t>
      </w:r>
      <w:r>
        <w:rPr>
          <w:rFonts w:hint="eastAsia" w:ascii="宋体" w:hAnsi="宋体" w:eastAsia="宋体"/>
          <w:color w:val="auto"/>
          <w:sz w:val="24"/>
          <w:highlight w:val="none"/>
        </w:rPr>
        <w:t>资格</w:t>
      </w:r>
      <w:r>
        <w:rPr>
          <w:rFonts w:hint="eastAsia" w:ascii="宋体" w:hAnsi="宋体" w:eastAsia="宋体"/>
          <w:color w:val="auto"/>
          <w:sz w:val="24"/>
          <w:highlight w:val="none"/>
          <w:lang w:val="en-US" w:eastAsia="zh-CN"/>
        </w:rPr>
        <w:t>要求</w:t>
      </w:r>
      <w:r>
        <w:rPr>
          <w:rFonts w:ascii="宋体" w:hAnsi="宋体" w:eastAsia="宋体"/>
          <w:color w:val="auto"/>
          <w:sz w:val="24"/>
          <w:highlight w:val="none"/>
        </w:rPr>
        <w:t>。</w:t>
      </w:r>
    </w:p>
    <w:p w14:paraId="7B36260B">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2.资金落实情况</w:t>
      </w:r>
    </w:p>
    <w:p w14:paraId="4B5DD7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本</w:t>
      </w:r>
      <w:r>
        <w:rPr>
          <w:rFonts w:hint="eastAsia" w:ascii="宋体" w:hAnsi="宋体" w:eastAsia="宋体"/>
          <w:color w:val="auto"/>
          <w:sz w:val="24"/>
          <w:highlight w:val="none"/>
        </w:rPr>
        <w:t>项目</w:t>
      </w:r>
      <w:r>
        <w:rPr>
          <w:rFonts w:hint="eastAsia" w:asciiTheme="minorEastAsia" w:hAnsiTheme="minorEastAsia" w:eastAsiaTheme="minorEastAsia"/>
          <w:color w:val="auto"/>
          <w:sz w:val="24"/>
          <w:highlight w:val="none"/>
        </w:rPr>
        <w:t>的采购人已获得足以支付本次招标后所签订的合同项下的资金。</w:t>
      </w:r>
    </w:p>
    <w:p w14:paraId="505D2B63">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3.投标费用</w:t>
      </w:r>
    </w:p>
    <w:p w14:paraId="570F4D3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不论投标的结果如何，投标人应承担所有与准备和参加投标有关的费用。</w:t>
      </w:r>
    </w:p>
    <w:p w14:paraId="6E22376B">
      <w:pPr>
        <w:spacing w:line="360" w:lineRule="auto"/>
        <w:ind w:firstLine="437"/>
        <w:outlineLvl w:val="2"/>
        <w:rPr>
          <w:rFonts w:hint="eastAsia"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4.适用法律</w:t>
      </w:r>
    </w:p>
    <w:p w14:paraId="49E2859D">
      <w:pPr>
        <w:spacing w:line="360" w:lineRule="auto"/>
        <w:ind w:firstLine="435"/>
        <w:rPr>
          <w:rFonts w:asciiTheme="minorEastAsia" w:hAnsiTheme="minorEastAsia" w:eastAsiaTheme="minorEastAsia"/>
          <w:color w:val="auto"/>
          <w:sz w:val="24"/>
          <w:highlight w:val="none"/>
        </w:rPr>
      </w:pPr>
      <w:r>
        <w:rPr>
          <w:rFonts w:hint="eastAsia" w:ascii="宋体" w:hAnsi="宋体" w:eastAsia="宋体"/>
          <w:color w:val="auto"/>
          <w:sz w:val="24"/>
          <w:highlight w:val="none"/>
        </w:rPr>
        <w:t>本项目采购人、采购代理机构、投标人、评标委员会的相关行为均受《中华人民共和国政府采购法》、《中</w:t>
      </w:r>
      <w:r>
        <w:rPr>
          <w:rFonts w:hint="eastAsia" w:ascii="宋体" w:hAnsi="宋体" w:eastAsia="宋体"/>
          <w:color w:val="auto"/>
          <w:sz w:val="24"/>
          <w:szCs w:val="22"/>
          <w:highlight w:val="none"/>
        </w:rPr>
        <w:t>华人民共和国政府采购法实施条例》</w:t>
      </w:r>
      <w:r>
        <w:rPr>
          <w:rFonts w:hint="eastAsia" w:ascii="宋体" w:hAnsi="宋体" w:eastAsia="宋体"/>
          <w:color w:val="auto"/>
          <w:sz w:val="24"/>
          <w:szCs w:val="22"/>
          <w:highlight w:val="none"/>
          <w:lang w:val="en-US" w:eastAsia="zh-CN"/>
        </w:rPr>
        <w:t>及</w:t>
      </w:r>
      <w:r>
        <w:rPr>
          <w:rFonts w:hint="eastAsia" w:ascii="宋体" w:hAnsi="宋体" w:eastAsia="宋体"/>
          <w:color w:val="auto"/>
          <w:sz w:val="24"/>
          <w:szCs w:val="22"/>
          <w:highlight w:val="none"/>
        </w:rPr>
        <w:t>本项目本级和上级财政部门、政府采购监督管理部门的政府采购有关规定的约束，其权利受到上述法律法规的保护。</w:t>
      </w:r>
    </w:p>
    <w:p w14:paraId="0F4059E0">
      <w:pPr>
        <w:spacing w:line="360" w:lineRule="auto"/>
        <w:ind w:firstLine="437"/>
        <w:outlineLvl w:val="2"/>
        <w:rPr>
          <w:rFonts w:hint="eastAsia"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5</w:t>
      </w:r>
      <w:r>
        <w:rPr>
          <w:rFonts w:hint="eastAsia" w:asciiTheme="minorEastAsia" w:hAnsiTheme="minorEastAsia" w:eastAsiaTheme="minorEastAsia"/>
          <w:b/>
          <w:color w:val="auto"/>
          <w:sz w:val="24"/>
          <w:highlight w:val="none"/>
        </w:rPr>
        <w:t>.招标文件构成</w:t>
      </w:r>
    </w:p>
    <w:p w14:paraId="5AB9EFFD">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5</w:t>
      </w:r>
      <w:r>
        <w:rPr>
          <w:rFonts w:hint="eastAsia" w:ascii="宋体" w:hAnsi="宋体" w:eastAsia="宋体"/>
          <w:color w:val="auto"/>
          <w:sz w:val="24"/>
          <w:highlight w:val="none"/>
        </w:rPr>
        <w:t>.1招标文件包括下列内容：</w:t>
      </w:r>
    </w:p>
    <w:p w14:paraId="494EA3EA">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第一章</w:t>
      </w:r>
      <w:r>
        <w:rPr>
          <w:rFonts w:asciiTheme="minorEastAsia" w:hAnsiTheme="minorEastAsia" w:eastAsiaTheme="minorEastAsia"/>
          <w:color w:val="auto"/>
          <w:sz w:val="24"/>
          <w:highlight w:val="none"/>
        </w:rPr>
        <w:t xml:space="preserve">  投标邀请</w:t>
      </w:r>
    </w:p>
    <w:p w14:paraId="09BF2730">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第二章</w:t>
      </w:r>
      <w:r>
        <w:rPr>
          <w:rFonts w:asciiTheme="minorEastAsia" w:hAnsiTheme="minorEastAsia" w:eastAsiaTheme="minorEastAsia"/>
          <w:color w:val="auto"/>
          <w:sz w:val="24"/>
          <w:highlight w:val="none"/>
        </w:rPr>
        <w:t xml:space="preserve">  投标人须知</w:t>
      </w:r>
    </w:p>
    <w:p w14:paraId="7CEE7D68">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第三章</w:t>
      </w:r>
      <w:r>
        <w:rPr>
          <w:rFonts w:asciiTheme="minorEastAsia" w:hAnsiTheme="minorEastAsia" w:eastAsiaTheme="minorEastAsia"/>
          <w:color w:val="auto"/>
          <w:sz w:val="24"/>
          <w:highlight w:val="none"/>
        </w:rPr>
        <w:t xml:space="preserve">  采购需求</w:t>
      </w:r>
    </w:p>
    <w:p w14:paraId="348D6CF5">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第四章</w:t>
      </w:r>
      <w:r>
        <w:rPr>
          <w:rFonts w:asciiTheme="minorEastAsia" w:hAnsiTheme="minorEastAsia" w:eastAsiaTheme="minorEastAsia"/>
          <w:color w:val="auto"/>
          <w:sz w:val="24"/>
          <w:highlight w:val="none"/>
        </w:rPr>
        <w:t xml:space="preserve">  评标</w:t>
      </w:r>
      <w:r>
        <w:rPr>
          <w:rFonts w:hint="eastAsia" w:asciiTheme="minorEastAsia" w:hAnsiTheme="minorEastAsia" w:eastAsiaTheme="minorEastAsia"/>
          <w:color w:val="auto"/>
          <w:sz w:val="24"/>
          <w:highlight w:val="none"/>
        </w:rPr>
        <w:t>方法</w:t>
      </w:r>
      <w:r>
        <w:rPr>
          <w:rFonts w:asciiTheme="minorEastAsia" w:hAnsiTheme="minorEastAsia" w:eastAsiaTheme="minorEastAsia"/>
          <w:color w:val="auto"/>
          <w:sz w:val="24"/>
          <w:highlight w:val="none"/>
        </w:rPr>
        <w:t>和标准</w:t>
      </w:r>
    </w:p>
    <w:p w14:paraId="008049A6">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第五章</w:t>
      </w:r>
      <w:r>
        <w:rPr>
          <w:rFonts w:asciiTheme="minorEastAsia" w:hAnsiTheme="minorEastAsia" w:eastAsiaTheme="minorEastAsia"/>
          <w:color w:val="auto"/>
          <w:sz w:val="24"/>
          <w:highlight w:val="none"/>
        </w:rPr>
        <w:t xml:space="preserve">  政府采购合同</w:t>
      </w:r>
    </w:p>
    <w:p w14:paraId="402C599E">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第六章</w:t>
      </w:r>
      <w:r>
        <w:rPr>
          <w:rFonts w:asciiTheme="minorEastAsia" w:hAnsiTheme="minorEastAsia" w:eastAsiaTheme="minorEastAsia"/>
          <w:color w:val="auto"/>
          <w:sz w:val="24"/>
          <w:highlight w:val="none"/>
        </w:rPr>
        <w:t xml:space="preserve">  投标文件格式</w:t>
      </w:r>
    </w:p>
    <w:p w14:paraId="392C6299">
      <w:pPr>
        <w:spacing w:line="360" w:lineRule="auto"/>
        <w:ind w:firstLine="840" w:firstLineChars="350"/>
        <w:outlineLvl w:val="9"/>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第</w:t>
      </w:r>
      <w:r>
        <w:rPr>
          <w:rFonts w:hint="eastAsia" w:asciiTheme="minorEastAsia" w:hAnsiTheme="minorEastAsia" w:eastAsiaTheme="minorEastAsia"/>
          <w:color w:val="auto"/>
          <w:sz w:val="24"/>
          <w:highlight w:val="none"/>
          <w:lang w:val="en-US" w:eastAsia="zh-CN"/>
        </w:rPr>
        <w:t>七</w:t>
      </w:r>
      <w:r>
        <w:rPr>
          <w:rFonts w:hint="eastAsia" w:asciiTheme="minorEastAsia" w:hAnsiTheme="minorEastAsia" w:eastAsiaTheme="minorEastAsia"/>
          <w:color w:val="auto"/>
          <w:sz w:val="24"/>
          <w:highlight w:val="none"/>
        </w:rPr>
        <w:t>章</w:t>
      </w:r>
      <w:r>
        <w:rPr>
          <w:rFonts w:asciiTheme="minorEastAsia" w:hAnsiTheme="minorEastAsia" w:eastAsiaTheme="minorEastAsia"/>
          <w:color w:val="auto"/>
          <w:sz w:val="24"/>
          <w:highlight w:val="none"/>
        </w:rPr>
        <w:t xml:space="preserve">  政府采购</w:t>
      </w:r>
      <w:r>
        <w:rPr>
          <w:rFonts w:hint="eastAsia" w:asciiTheme="minorEastAsia" w:hAnsiTheme="minorEastAsia" w:eastAsiaTheme="minorEastAsia"/>
          <w:color w:val="auto"/>
          <w:sz w:val="24"/>
          <w:highlight w:val="none"/>
          <w:lang w:val="en-US" w:eastAsia="zh-CN"/>
        </w:rPr>
        <w:t>供应商</w:t>
      </w:r>
      <w:r>
        <w:rPr>
          <w:rFonts w:hint="eastAsia" w:asciiTheme="minorEastAsia" w:hAnsiTheme="minorEastAsia" w:eastAsiaTheme="minorEastAsia"/>
          <w:color w:val="auto"/>
          <w:sz w:val="24"/>
          <w:highlight w:val="none"/>
        </w:rPr>
        <w:t>询问函和</w:t>
      </w:r>
      <w:r>
        <w:rPr>
          <w:rFonts w:asciiTheme="minorEastAsia" w:hAnsiTheme="minorEastAsia" w:eastAsiaTheme="minorEastAsia"/>
          <w:color w:val="auto"/>
          <w:sz w:val="24"/>
          <w:highlight w:val="none"/>
        </w:rPr>
        <w:t>质疑函范本</w:t>
      </w:r>
    </w:p>
    <w:p w14:paraId="6BD8338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现场</w:t>
      </w:r>
      <w:r>
        <w:rPr>
          <w:rFonts w:hint="eastAsia" w:asciiTheme="minorEastAsia" w:hAnsiTheme="minorEastAsia" w:eastAsiaTheme="minorEastAsia"/>
          <w:color w:val="auto"/>
          <w:sz w:val="24"/>
          <w:highlight w:val="none"/>
        </w:rPr>
        <w:t>考察</w:t>
      </w:r>
      <w:r>
        <w:rPr>
          <w:rFonts w:hint="eastAsia" w:asciiTheme="minorEastAsia" w:hAnsiTheme="minorEastAsia" w:eastAsiaTheme="minorEastAsia"/>
          <w:color w:val="auto"/>
          <w:sz w:val="24"/>
          <w:highlight w:val="none"/>
          <w:lang w:eastAsia="zh-CN"/>
        </w:rPr>
        <w:t>（</w:t>
      </w:r>
      <w:r>
        <w:rPr>
          <w:rFonts w:hint="eastAsia" w:ascii="宋体" w:hAnsi="宋体" w:eastAsia="宋体" w:cs="@仿宋_GB2312"/>
          <w:b w:val="0"/>
          <w:bCs/>
          <w:color w:val="auto"/>
          <w:kern w:val="2"/>
          <w:sz w:val="24"/>
          <w:szCs w:val="22"/>
          <w:highlight w:val="none"/>
          <w:lang w:val="en-US" w:eastAsia="zh-CN" w:bidi="ar-SA"/>
        </w:rPr>
        <w:t>标前答疑会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及相关事项见</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w:t>
      </w:r>
    </w:p>
    <w:p w14:paraId="6D10DD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5</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投标人应认真阅读招标文件所有的事项、格式、条款和技术规范等。</w:t>
      </w:r>
    </w:p>
    <w:p w14:paraId="30D87AB5">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招标文件的澄清与修改</w:t>
      </w:r>
    </w:p>
    <w:p w14:paraId="73551C1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投标人如对招标文件内容有疑问，必须在</w:t>
      </w:r>
      <w:r>
        <w:rPr>
          <w:rFonts w:ascii="宋体" w:hAnsi="宋体" w:eastAsia="宋体"/>
          <w:color w:val="auto"/>
          <w:sz w:val="24"/>
          <w:highlight w:val="none"/>
          <w:u w:val="single"/>
        </w:rPr>
        <w:t>投标人须知前附表</w:t>
      </w:r>
      <w:r>
        <w:rPr>
          <w:rFonts w:asciiTheme="minorEastAsia" w:hAnsiTheme="minorEastAsia" w:eastAsiaTheme="minorEastAsia"/>
          <w:color w:val="auto"/>
          <w:sz w:val="24"/>
          <w:highlight w:val="none"/>
        </w:rPr>
        <w:t>规定的</w:t>
      </w:r>
      <w:r>
        <w:rPr>
          <w:rFonts w:hint="eastAsia" w:asciiTheme="minorEastAsia" w:hAnsiTheme="minorEastAsia" w:eastAsiaTheme="minorEastAsia"/>
          <w:color w:val="auto"/>
          <w:sz w:val="24"/>
          <w:highlight w:val="none"/>
        </w:rPr>
        <w:t>网上询问</w:t>
      </w:r>
      <w:r>
        <w:rPr>
          <w:rFonts w:asciiTheme="minorEastAsia" w:hAnsiTheme="minorEastAsia" w:eastAsiaTheme="minorEastAsia"/>
          <w:color w:val="auto"/>
          <w:sz w:val="24"/>
          <w:highlight w:val="none"/>
        </w:rPr>
        <w:t>截止时间前以网上提问形式</w:t>
      </w:r>
      <w:r>
        <w:rPr>
          <w:rFonts w:hint="eastAsia" w:asciiTheme="minorEastAsia" w:hAnsiTheme="minorEastAsia" w:eastAsiaTheme="minorEastAsia"/>
          <w:color w:val="auto"/>
          <w:sz w:val="24"/>
          <w:highlight w:val="none"/>
        </w:rPr>
        <w:t>（电子交易系统）</w:t>
      </w:r>
      <w:r>
        <w:rPr>
          <w:rFonts w:asciiTheme="minorEastAsia" w:hAnsiTheme="minorEastAsia" w:eastAsiaTheme="minorEastAsia"/>
          <w:color w:val="auto"/>
          <w:sz w:val="24"/>
          <w:highlight w:val="none"/>
        </w:rPr>
        <w:t>提交给采购代理机构。</w:t>
      </w:r>
    </w:p>
    <w:p w14:paraId="4CFC92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2采购人可主动地或在</w:t>
      </w:r>
      <w:r>
        <w:rPr>
          <w:rFonts w:hint="eastAsia" w:asciiTheme="minorEastAsia" w:hAnsiTheme="minorEastAsia" w:eastAsiaTheme="minorEastAsia"/>
          <w:color w:val="auto"/>
          <w:sz w:val="24"/>
          <w:highlight w:val="none"/>
          <w:lang w:val="en-US" w:eastAsia="zh-CN"/>
        </w:rPr>
        <w:t>答复</w:t>
      </w:r>
      <w:r>
        <w:rPr>
          <w:rFonts w:hint="eastAsia" w:asciiTheme="minorEastAsia" w:hAnsiTheme="minorEastAsia" w:eastAsiaTheme="minorEastAsia"/>
          <w:color w:val="auto"/>
          <w:sz w:val="24"/>
          <w:highlight w:val="none"/>
        </w:rPr>
        <w:t>投标人提出的</w:t>
      </w:r>
      <w:r>
        <w:rPr>
          <w:rFonts w:hint="eastAsia" w:asciiTheme="minorEastAsia" w:hAnsiTheme="minorEastAsia" w:eastAsiaTheme="minorEastAsia"/>
          <w:color w:val="auto"/>
          <w:sz w:val="24"/>
          <w:highlight w:val="none"/>
          <w:lang w:val="en-US" w:eastAsia="zh-CN"/>
        </w:rPr>
        <w:t>询问</w:t>
      </w:r>
      <w:r>
        <w:rPr>
          <w:rFonts w:hint="eastAsia" w:asciiTheme="minorEastAsia" w:hAnsiTheme="minorEastAsia" w:eastAsiaTheme="minorEastAsia"/>
          <w:color w:val="auto"/>
          <w:sz w:val="24"/>
          <w:highlight w:val="none"/>
        </w:rPr>
        <w:t>时对招标文件进行澄清与修改。</w:t>
      </w:r>
      <w:r>
        <w:rPr>
          <w:rFonts w:asciiTheme="minorEastAsia" w:hAnsiTheme="minorEastAsia" w:eastAsiaTheme="minorEastAsia"/>
          <w:color w:val="auto"/>
          <w:sz w:val="24"/>
          <w:highlight w:val="none"/>
        </w:rPr>
        <w:t>采购代理机构将</w:t>
      </w:r>
      <w:r>
        <w:rPr>
          <w:rFonts w:hint="eastAsia" w:asciiTheme="minorEastAsia" w:hAnsiTheme="minorEastAsia" w:eastAsiaTheme="minorEastAsia"/>
          <w:color w:val="auto"/>
          <w:sz w:val="24"/>
          <w:highlight w:val="none"/>
        </w:rPr>
        <w:t>在安徽省政府采购网以发布更正公告的方式</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澄清或修改招标文件，更正公告的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color w:val="auto"/>
          <w:sz w:val="24"/>
          <w:highlight w:val="none"/>
        </w:rPr>
        <w:t>作</w:t>
      </w:r>
      <w:r>
        <w:rPr>
          <w:rFonts w:asciiTheme="minorEastAsia" w:hAnsiTheme="minorEastAsia" w:eastAsiaTheme="minorEastAsia"/>
          <w:color w:val="auto"/>
          <w:sz w:val="24"/>
          <w:highlight w:val="none"/>
        </w:rPr>
        <w:t>为招标文件</w:t>
      </w:r>
      <w:r>
        <w:rPr>
          <w:rFonts w:hint="eastAsia" w:asciiTheme="minorEastAsia" w:hAnsiTheme="minorEastAsia" w:eastAsiaTheme="minorEastAsia"/>
          <w:color w:val="auto"/>
          <w:sz w:val="24"/>
          <w:highlight w:val="none"/>
        </w:rPr>
        <w:t>的</w:t>
      </w:r>
      <w:r>
        <w:rPr>
          <w:rFonts w:asciiTheme="minorEastAsia" w:hAnsiTheme="minorEastAsia" w:eastAsiaTheme="minorEastAsia"/>
          <w:color w:val="auto"/>
          <w:sz w:val="24"/>
          <w:highlight w:val="none"/>
        </w:rPr>
        <w:t>组成部分，对投标人起约束作用</w:t>
      </w:r>
      <w:r>
        <w:rPr>
          <w:rFonts w:hint="eastAsia" w:asciiTheme="minorEastAsia" w:hAnsiTheme="minorEastAsia" w:eastAsiaTheme="minorEastAsia"/>
          <w:color w:val="auto"/>
          <w:sz w:val="24"/>
          <w:highlight w:val="none"/>
        </w:rPr>
        <w:t>。投标人应主动上网查询。采购代理机构不承担投标人未及时关注相关信息引发的相关责任。</w:t>
      </w:r>
    </w:p>
    <w:p w14:paraId="4EF96C5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6</w:t>
      </w:r>
      <w:r>
        <w:rPr>
          <w:rFonts w:hint="eastAsia" w:ascii="宋体" w:hAnsi="宋体" w:eastAsia="宋体"/>
          <w:color w:val="auto"/>
          <w:sz w:val="24"/>
          <w:highlight w:val="none"/>
        </w:rPr>
        <w:t>.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3EAA4DD3">
      <w:pPr>
        <w:spacing w:line="360" w:lineRule="auto"/>
        <w:ind w:firstLine="435"/>
        <w:rPr>
          <w:rFonts w:asciiTheme="minorEastAsia" w:hAnsiTheme="minorEastAsia" w:eastAsiaTheme="minorEastAsia"/>
          <w:i/>
          <w:iCs/>
          <w:color w:val="auto"/>
          <w:sz w:val="24"/>
          <w:highlight w:val="none"/>
        </w:rPr>
      </w:pPr>
      <w:r>
        <w:rPr>
          <w:rFonts w:hint="eastAsia" w:asciiTheme="minorEastAsia" w:hAnsiTheme="minorEastAsia" w:eastAsiaTheme="minorEastAsia"/>
          <w:color w:val="auto"/>
          <w:sz w:val="24"/>
          <w:highlight w:val="none"/>
          <w:lang w:val="en-US" w:eastAsia="zh-CN"/>
        </w:rPr>
        <w:t>6</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对于</w:t>
      </w:r>
      <w:r>
        <w:rPr>
          <w:rFonts w:ascii="宋体" w:hAnsi="宋体" w:eastAsia="宋体"/>
          <w:color w:val="auto"/>
          <w:sz w:val="24"/>
          <w:highlight w:val="none"/>
        </w:rPr>
        <w:t>没有</w:t>
      </w:r>
      <w:r>
        <w:rPr>
          <w:rFonts w:asciiTheme="minorEastAsia" w:hAnsiTheme="minorEastAsia" w:eastAsiaTheme="minorEastAsia"/>
          <w:color w:val="auto"/>
          <w:sz w:val="24"/>
          <w:highlight w:val="none"/>
        </w:rPr>
        <w:t>提出</w:t>
      </w:r>
      <w:r>
        <w:rPr>
          <w:rFonts w:hint="eastAsia" w:asciiTheme="minorEastAsia" w:hAnsiTheme="minorEastAsia" w:eastAsiaTheme="minorEastAsia"/>
          <w:color w:val="auto"/>
          <w:sz w:val="24"/>
          <w:highlight w:val="none"/>
        </w:rPr>
        <w:t>疑问</w:t>
      </w:r>
      <w:r>
        <w:rPr>
          <w:rFonts w:asciiTheme="minorEastAsia" w:hAnsiTheme="minorEastAsia" w:eastAsiaTheme="minorEastAsia"/>
          <w:color w:val="auto"/>
          <w:sz w:val="24"/>
          <w:highlight w:val="none"/>
        </w:rPr>
        <w:t>又参与了</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项目投标的</w:t>
      </w:r>
      <w:r>
        <w:rPr>
          <w:rFonts w:hint="eastAsia" w:asciiTheme="minorEastAsia" w:hAnsiTheme="minorEastAsia" w:eastAsiaTheme="minorEastAsia"/>
          <w:color w:val="auto"/>
          <w:sz w:val="24"/>
          <w:highlight w:val="none"/>
        </w:rPr>
        <w:t>投标人</w:t>
      </w:r>
      <w:r>
        <w:rPr>
          <w:rFonts w:asciiTheme="minorEastAsia" w:hAnsiTheme="minorEastAsia" w:eastAsiaTheme="minorEastAsia"/>
          <w:color w:val="auto"/>
          <w:sz w:val="24"/>
          <w:highlight w:val="none"/>
        </w:rPr>
        <w:t>将被视为完全认同</w:t>
      </w:r>
      <w:r>
        <w:rPr>
          <w:rFonts w:hint="eastAsia" w:asciiTheme="minorEastAsia" w:hAnsiTheme="minorEastAsia" w:eastAsiaTheme="minorEastAsia"/>
          <w:color w:val="auto"/>
          <w:sz w:val="24"/>
          <w:highlight w:val="none"/>
        </w:rPr>
        <w:t>本</w:t>
      </w:r>
      <w:r>
        <w:rPr>
          <w:rFonts w:asciiTheme="minorEastAsia" w:hAnsiTheme="minorEastAsia" w:eastAsiaTheme="minorEastAsia"/>
          <w:color w:val="auto"/>
          <w:sz w:val="24"/>
          <w:highlight w:val="none"/>
        </w:rPr>
        <w:t>招标文件（含</w:t>
      </w:r>
      <w:r>
        <w:rPr>
          <w:rFonts w:hint="eastAsia" w:asciiTheme="minorEastAsia" w:hAnsiTheme="minorEastAsia" w:eastAsiaTheme="minorEastAsia"/>
          <w:color w:val="auto"/>
          <w:sz w:val="24"/>
          <w:highlight w:val="none"/>
        </w:rPr>
        <w:t>更正公告的</w:t>
      </w:r>
      <w:r>
        <w:rPr>
          <w:rFonts w:asciiTheme="minorEastAsia" w:hAnsiTheme="minorEastAsia" w:eastAsiaTheme="minorEastAsia"/>
          <w:color w:val="auto"/>
          <w:sz w:val="24"/>
          <w:highlight w:val="none"/>
        </w:rPr>
        <w:t>内容）</w:t>
      </w:r>
      <w:r>
        <w:rPr>
          <w:rFonts w:hint="eastAsia" w:asciiTheme="minorEastAsia" w:hAnsiTheme="minorEastAsia" w:eastAsiaTheme="minorEastAsia"/>
          <w:i/>
          <w:color w:val="auto"/>
          <w:sz w:val="24"/>
          <w:highlight w:val="none"/>
        </w:rPr>
        <w:t>。</w:t>
      </w:r>
    </w:p>
    <w:p w14:paraId="24A69984">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投标范围及投标文件中标准和计量单位的使用</w:t>
      </w:r>
    </w:p>
    <w:p w14:paraId="0DC84AA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.1</w:t>
      </w:r>
      <w:r>
        <w:rPr>
          <w:rFonts w:ascii="宋体" w:hAnsi="宋体" w:eastAsia="宋体"/>
          <w:color w:val="auto"/>
          <w:sz w:val="24"/>
          <w:highlight w:val="none"/>
        </w:rPr>
        <w:t>项目</w:t>
      </w:r>
      <w:r>
        <w:rPr>
          <w:rFonts w:asciiTheme="minorEastAsia" w:hAnsiTheme="minorEastAsia" w:eastAsiaTheme="minorEastAsia"/>
          <w:color w:val="auto"/>
          <w:sz w:val="24"/>
          <w:highlight w:val="none"/>
        </w:rPr>
        <w:t>有分包的，投标人可对招标文件其中某一个或几个分包进行投标，除非在</w:t>
      </w:r>
      <w:r>
        <w:rPr>
          <w:rFonts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中另有规定。</w:t>
      </w:r>
    </w:p>
    <w:p w14:paraId="05B107B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.2投标人应当对所投分包招标文件中“</w:t>
      </w:r>
      <w:r>
        <w:rPr>
          <w:rFonts w:hint="eastAsia" w:asciiTheme="minorEastAsia" w:hAnsiTheme="minorEastAsia" w:eastAsiaTheme="minorEastAsia"/>
          <w:color w:val="auto"/>
          <w:sz w:val="24"/>
          <w:highlight w:val="none"/>
        </w:rPr>
        <w:t>采购</w:t>
      </w:r>
      <w:r>
        <w:rPr>
          <w:rFonts w:asciiTheme="minorEastAsia" w:hAnsiTheme="minorEastAsia" w:eastAsiaTheme="minorEastAsia"/>
          <w:color w:val="auto"/>
          <w:sz w:val="24"/>
          <w:highlight w:val="none"/>
        </w:rPr>
        <w:t>需求”所列的所有内容进行投标，如仅响应</w:t>
      </w:r>
      <w:r>
        <w:rPr>
          <w:rFonts w:hint="eastAsia" w:asciiTheme="minorEastAsia" w:hAnsiTheme="minorEastAsia" w:eastAsiaTheme="minorEastAsia"/>
          <w:color w:val="auto"/>
          <w:sz w:val="24"/>
          <w:highlight w:val="none"/>
        </w:rPr>
        <w:t>所投包别</w:t>
      </w:r>
      <w:r>
        <w:rPr>
          <w:rFonts w:asciiTheme="minorEastAsia" w:hAnsiTheme="minorEastAsia" w:eastAsiaTheme="minorEastAsia"/>
          <w:color w:val="auto"/>
          <w:sz w:val="24"/>
          <w:highlight w:val="none"/>
        </w:rPr>
        <w:t>中的部分内容，其</w:t>
      </w:r>
      <w:r>
        <w:rPr>
          <w:rFonts w:hint="eastAsia" w:asciiTheme="minorEastAsia" w:hAnsiTheme="minorEastAsia" w:eastAsiaTheme="minorEastAsia"/>
          <w:color w:val="auto"/>
          <w:sz w:val="24"/>
          <w:highlight w:val="none"/>
        </w:rPr>
        <w:t>所投包别的</w:t>
      </w:r>
      <w:r>
        <w:rPr>
          <w:rFonts w:asciiTheme="minorEastAsia" w:hAnsiTheme="minorEastAsia" w:eastAsiaTheme="minorEastAsia"/>
          <w:color w:val="auto"/>
          <w:sz w:val="24"/>
          <w:highlight w:val="none"/>
        </w:rPr>
        <w:t>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D1926">
      <w:pPr>
        <w:spacing w:line="360" w:lineRule="auto"/>
        <w:ind w:firstLine="435"/>
        <w:rPr>
          <w:rFonts w:asciiTheme="minorEastAsia" w:hAnsiTheme="minorEastAsia" w:eastAsiaTheme="minorEastAsia"/>
          <w:color w:val="auto"/>
          <w:sz w:val="24"/>
          <w:highlight w:val="none"/>
        </w:rPr>
      </w:pPr>
      <w:bookmarkStart w:id="23" w:name="_Hlk16458980"/>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.3无论招标文件中是否要求，</w:t>
      </w:r>
      <w:r>
        <w:rPr>
          <w:rFonts w:hint="eastAsia" w:asciiTheme="minorEastAsia" w:hAnsiTheme="minorEastAsia" w:eastAsiaTheme="minorEastAsia"/>
          <w:color w:val="auto"/>
          <w:sz w:val="24"/>
          <w:highlight w:val="none"/>
        </w:rPr>
        <w:t>投标人所投货物</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服务</w:t>
      </w:r>
      <w:r>
        <w:rPr>
          <w:rFonts w:hint="eastAsia" w:asciiTheme="minorEastAsia" w:hAnsiTheme="minorEastAsia" w:eastAsiaTheme="minorEastAsia"/>
          <w:color w:val="auto"/>
          <w:sz w:val="24"/>
          <w:highlight w:val="none"/>
          <w:lang w:val="en-US" w:eastAsia="zh-CN"/>
        </w:rPr>
        <w:t>及</w:t>
      </w:r>
      <w:r>
        <w:rPr>
          <w:rFonts w:hint="eastAsia" w:asciiTheme="minorEastAsia" w:hAnsiTheme="minorEastAsia" w:eastAsiaTheme="minorEastAsia"/>
          <w:color w:val="auto"/>
          <w:sz w:val="24"/>
          <w:highlight w:val="none"/>
        </w:rPr>
        <w:t>工程</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i w:val="0"/>
          <w:iCs w:val="0"/>
          <w:color w:val="auto"/>
          <w:sz w:val="24"/>
          <w:highlight w:val="none"/>
          <w:u w:val="none"/>
          <w:lang w:val="en-US" w:eastAsia="zh-CN"/>
        </w:rPr>
        <w:t>如有</w:t>
      </w:r>
      <w:r>
        <w:rPr>
          <w:rFonts w:hint="eastAsia" w:asciiTheme="minorEastAsia" w:hAnsiTheme="minorEastAsia" w:eastAsiaTheme="minorEastAsia"/>
          <w:color w:val="auto"/>
          <w:sz w:val="24"/>
          <w:highlight w:val="none"/>
          <w:lang w:eastAsia="zh-CN"/>
        </w:rPr>
        <w:t>）</w:t>
      </w:r>
      <w:r>
        <w:rPr>
          <w:rFonts w:hint="eastAsia" w:asciiTheme="minorEastAsia" w:hAnsiTheme="minorEastAsia" w:eastAsiaTheme="minorEastAsia"/>
          <w:color w:val="auto"/>
          <w:sz w:val="24"/>
          <w:highlight w:val="none"/>
        </w:rPr>
        <w:t>均应符合国家强制性标准。</w:t>
      </w:r>
    </w:p>
    <w:bookmarkEnd w:id="23"/>
    <w:p w14:paraId="296C83B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4</w:t>
      </w:r>
      <w:r>
        <w:rPr>
          <w:rFonts w:asciiTheme="minorEastAsia" w:hAnsiTheme="minorEastAsia" w:eastAsiaTheme="minorEastAsia"/>
          <w:color w:val="auto"/>
          <w:sz w:val="24"/>
          <w:highlight w:val="none"/>
        </w:rPr>
        <w:t>投标人与采购</w:t>
      </w:r>
      <w:r>
        <w:rPr>
          <w:rFonts w:hint="eastAsia" w:asciiTheme="minorEastAsia" w:hAnsiTheme="minorEastAsia" w:eastAsiaTheme="minorEastAsia"/>
          <w:color w:val="auto"/>
          <w:sz w:val="24"/>
          <w:highlight w:val="none"/>
        </w:rPr>
        <w:t>代理</w:t>
      </w:r>
      <w:r>
        <w:rPr>
          <w:rFonts w:asciiTheme="minorEastAsia" w:hAnsiTheme="minorEastAsia" w:eastAsiaTheme="minorEastAsia"/>
          <w:color w:val="auto"/>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1877C94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7</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除</w:t>
      </w:r>
      <w:r>
        <w:rPr>
          <w:rFonts w:ascii="宋体" w:hAnsi="宋体" w:eastAsia="宋体"/>
          <w:color w:val="auto"/>
          <w:sz w:val="24"/>
          <w:highlight w:val="none"/>
        </w:rPr>
        <w:t>招标文件</w:t>
      </w:r>
      <w:r>
        <w:rPr>
          <w:rFonts w:asciiTheme="minorEastAsia" w:hAnsiTheme="minorEastAsia" w:eastAsiaTheme="minorEastAsia"/>
          <w:color w:val="auto"/>
          <w:sz w:val="24"/>
          <w:highlight w:val="none"/>
        </w:rPr>
        <w:t>中有特殊要求外，投标文件中所使用的计量单位，应采用中华人民共和国法定计量单位。</w:t>
      </w:r>
    </w:p>
    <w:p w14:paraId="52B93DF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投标文件构成</w:t>
      </w:r>
    </w:p>
    <w:p w14:paraId="4E7F6A9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w:t>
      </w:r>
      <w:r>
        <w:rPr>
          <w:rFonts w:asciiTheme="minorEastAsia" w:hAnsiTheme="minorEastAsia" w:eastAsiaTheme="minorEastAsia"/>
          <w:color w:val="auto"/>
          <w:sz w:val="24"/>
          <w:highlight w:val="none"/>
        </w:rPr>
        <w:t>.1</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应完整地按招标文件提供的投标文件格式及要求</w:t>
      </w:r>
      <w:r>
        <w:rPr>
          <w:rFonts w:hint="eastAsia" w:asciiTheme="minorEastAsia" w:hAnsiTheme="minorEastAsia" w:eastAsiaTheme="minorEastAsia"/>
          <w:color w:val="auto"/>
          <w:sz w:val="24"/>
          <w:highlight w:val="none"/>
        </w:rPr>
        <w:t>编</w:t>
      </w:r>
      <w:r>
        <w:rPr>
          <w:rFonts w:asciiTheme="minorEastAsia" w:hAnsiTheme="minorEastAsia" w:eastAsiaTheme="minorEastAsia"/>
          <w:color w:val="auto"/>
          <w:sz w:val="24"/>
          <w:highlight w:val="none"/>
        </w:rPr>
        <w:t>写投标文件，</w:t>
      </w:r>
      <w:r>
        <w:rPr>
          <w:rFonts w:hint="eastAsia" w:asciiTheme="minorEastAsia" w:hAnsiTheme="minorEastAsia" w:eastAsiaTheme="minorEastAsia"/>
          <w:color w:val="auto"/>
          <w:sz w:val="24"/>
          <w:highlight w:val="none"/>
        </w:rPr>
        <w:t>具体内容详见本项目投标文件格式的相关内容。</w:t>
      </w:r>
    </w:p>
    <w:p w14:paraId="7FD55D88">
      <w:pPr>
        <w:spacing w:line="360" w:lineRule="auto"/>
        <w:ind w:firstLine="435"/>
        <w:rPr>
          <w:rFonts w:hint="eastAsia" w:asciiTheme="minorEastAsia" w:hAnsiTheme="minorEastAsia" w:eastAsiaTheme="minorEastAsia"/>
          <w:color w:val="auto"/>
          <w:sz w:val="24"/>
          <w:highlight w:val="none"/>
          <w:lang w:val="en-US" w:eastAsia="zh-CN"/>
        </w:rPr>
      </w:pPr>
      <w:r>
        <w:rPr>
          <w:rFonts w:hint="eastAsia" w:asciiTheme="minorEastAsia" w:hAnsiTheme="minorEastAsia" w:eastAsiaTheme="minorEastAsia"/>
          <w:color w:val="auto"/>
          <w:sz w:val="24"/>
          <w:highlight w:val="none"/>
          <w:lang w:val="en-US" w:eastAsia="zh-CN"/>
        </w:rPr>
        <w:t>8.2</w:t>
      </w:r>
      <w:r>
        <w:rPr>
          <w:rFonts w:ascii="宋体" w:hAnsi="宋体" w:eastAsia="宋体"/>
          <w:color w:val="auto"/>
          <w:sz w:val="24"/>
          <w:highlight w:val="none"/>
        </w:rPr>
        <w:t>投标人</w:t>
      </w:r>
      <w:r>
        <w:rPr>
          <w:rFonts w:asciiTheme="minorEastAsia" w:hAnsiTheme="minorEastAsia" w:eastAsiaTheme="minorEastAsia"/>
          <w:color w:val="auto"/>
          <w:sz w:val="24"/>
          <w:highlight w:val="none"/>
        </w:rPr>
        <w:t>应提交</w:t>
      </w:r>
      <w:r>
        <w:rPr>
          <w:rFonts w:hint="eastAsia" w:asciiTheme="minorEastAsia" w:hAnsiTheme="minorEastAsia" w:eastAsiaTheme="minorEastAsia"/>
          <w:color w:val="auto"/>
          <w:sz w:val="24"/>
          <w:highlight w:val="none"/>
        </w:rPr>
        <w:t>招标文件要求的</w:t>
      </w:r>
      <w:r>
        <w:rPr>
          <w:rFonts w:asciiTheme="minorEastAsia" w:hAnsiTheme="minorEastAsia" w:eastAsiaTheme="minorEastAsia"/>
          <w:color w:val="auto"/>
          <w:sz w:val="24"/>
          <w:highlight w:val="none"/>
        </w:rPr>
        <w:t>证明文件，证明其投标内容符合招标文件规定</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该证明文件是投标文件的一部分</w:t>
      </w:r>
      <w:r>
        <w:rPr>
          <w:rFonts w:hint="eastAsia" w:asciiTheme="minorEastAsia" w:hAnsiTheme="minorEastAsia" w:eastAsiaTheme="minorEastAsia"/>
          <w:color w:val="auto"/>
          <w:sz w:val="24"/>
          <w:highlight w:val="none"/>
          <w:lang w:eastAsia="zh-CN"/>
        </w:rPr>
        <w:t>。</w:t>
      </w:r>
      <w:r>
        <w:rPr>
          <w:rFonts w:asciiTheme="minorEastAsia" w:hAnsiTheme="minorEastAsia" w:eastAsiaTheme="minorEastAsia"/>
          <w:color w:val="auto"/>
          <w:sz w:val="24"/>
          <w:highlight w:val="none"/>
        </w:rPr>
        <w:t>证明文件</w:t>
      </w:r>
      <w:r>
        <w:rPr>
          <w:rFonts w:hint="eastAsia" w:asciiTheme="minorEastAsia" w:hAnsiTheme="minorEastAsia" w:eastAsiaTheme="minorEastAsia"/>
          <w:color w:val="auto"/>
          <w:sz w:val="24"/>
          <w:highlight w:val="none"/>
          <w:lang w:val="en-US" w:eastAsia="zh-CN"/>
        </w:rPr>
        <w:t>形式</w:t>
      </w:r>
      <w:r>
        <w:rPr>
          <w:rFonts w:asciiTheme="minorEastAsia" w:hAnsiTheme="minorEastAsia" w:eastAsiaTheme="minorEastAsia"/>
          <w:color w:val="auto"/>
          <w:sz w:val="24"/>
          <w:highlight w:val="none"/>
        </w:rPr>
        <w:t>可以是文字资料、图纸和数据</w:t>
      </w:r>
      <w:bookmarkStart w:id="24" w:name="_Hlk11703583"/>
      <w:r>
        <w:rPr>
          <w:rFonts w:hint="eastAsia" w:asciiTheme="minorEastAsia" w:hAnsiTheme="minorEastAsia" w:eastAsiaTheme="minorEastAsia"/>
          <w:color w:val="auto"/>
          <w:sz w:val="24"/>
          <w:highlight w:val="none"/>
          <w:lang w:val="en-US" w:eastAsia="zh-CN"/>
        </w:rPr>
        <w:t>等。</w:t>
      </w:r>
    </w:p>
    <w:bookmarkEnd w:id="24"/>
    <w:p w14:paraId="451C6F5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8.3</w:t>
      </w:r>
      <w:r>
        <w:rPr>
          <w:rFonts w:asciiTheme="minorEastAsia" w:hAnsiTheme="minorEastAsia" w:eastAsiaTheme="minorEastAsia"/>
          <w:color w:val="auto"/>
          <w:sz w:val="24"/>
          <w:highlight w:val="none"/>
        </w:rPr>
        <w:t>为保证</w:t>
      </w:r>
      <w:r>
        <w:rPr>
          <w:rFonts w:ascii="宋体" w:hAnsi="宋体" w:eastAsia="宋体"/>
          <w:color w:val="auto"/>
          <w:sz w:val="24"/>
          <w:highlight w:val="none"/>
        </w:rPr>
        <w:t>公平</w:t>
      </w:r>
      <w:r>
        <w:rPr>
          <w:rFonts w:asciiTheme="minorEastAsia" w:hAnsiTheme="minorEastAsia" w:eastAsiaTheme="minorEastAsia"/>
          <w:color w:val="auto"/>
          <w:sz w:val="24"/>
          <w:highlight w:val="none"/>
        </w:rPr>
        <w:t>公正，除非另有规定或说明，投标人对同一项目投标时，不得同时提供</w:t>
      </w:r>
      <w:r>
        <w:rPr>
          <w:rFonts w:hint="eastAsia" w:asciiTheme="minorEastAsia" w:hAnsiTheme="minorEastAsia" w:eastAsiaTheme="minorEastAsia"/>
          <w:color w:val="auto"/>
          <w:sz w:val="24"/>
          <w:highlight w:val="none"/>
        </w:rPr>
        <w:t>备选</w:t>
      </w:r>
      <w:r>
        <w:rPr>
          <w:rFonts w:asciiTheme="minorEastAsia" w:hAnsiTheme="minorEastAsia" w:eastAsiaTheme="minorEastAsia"/>
          <w:color w:val="auto"/>
          <w:sz w:val="24"/>
          <w:highlight w:val="none"/>
        </w:rPr>
        <w:t>投标方案。</w:t>
      </w:r>
    </w:p>
    <w:p w14:paraId="675E38D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投标报价</w:t>
      </w:r>
    </w:p>
    <w:p w14:paraId="7C765D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9.1</w:t>
      </w:r>
      <w:r>
        <w:rPr>
          <w:rFonts w:asciiTheme="minorEastAsia" w:hAnsiTheme="minorEastAsia" w:eastAsiaTheme="minorEastAsia"/>
          <w:color w:val="auto"/>
          <w:sz w:val="24"/>
          <w:highlight w:val="none"/>
        </w:rPr>
        <w:t>投标人的报价应当包括满足本次招标全部采购需求</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除招标文件另有规定外，</w:t>
      </w:r>
      <w:r>
        <w:rPr>
          <w:rFonts w:hint="eastAsia" w:asciiTheme="minorEastAsia" w:hAnsiTheme="minorEastAsia" w:eastAsiaTheme="minorEastAsia"/>
          <w:color w:val="auto"/>
          <w:sz w:val="24"/>
          <w:highlight w:val="none"/>
        </w:rPr>
        <w:t>所有投标均应以人民币报价。投标人的投标报价应遵守《中华人民共和国价格法》。</w:t>
      </w:r>
    </w:p>
    <w:p w14:paraId="50D4E06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.2投标人报价超过招标文件规定的预算金额或者分项、分包最高限价，其投标将被认定为</w:t>
      </w:r>
      <w:r>
        <w:rPr>
          <w:rFonts w:asciiTheme="minorEastAsia" w:hAnsiTheme="minorEastAsia" w:eastAsiaTheme="minorEastAsia"/>
          <w:b/>
          <w:bCs/>
          <w:color w:val="auto"/>
          <w:sz w:val="24"/>
          <w:highlight w:val="none"/>
        </w:rPr>
        <w:t>投标无效</w:t>
      </w:r>
      <w:r>
        <w:rPr>
          <w:rFonts w:asciiTheme="minorEastAsia" w:hAnsiTheme="minorEastAsia" w:eastAsiaTheme="minorEastAsia"/>
          <w:color w:val="auto"/>
          <w:sz w:val="24"/>
          <w:highlight w:val="none"/>
        </w:rPr>
        <w:t>。</w:t>
      </w:r>
    </w:p>
    <w:p w14:paraId="52D8ECA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投标报价</w:t>
      </w:r>
      <w:r>
        <w:rPr>
          <w:rFonts w:asciiTheme="minorEastAsia" w:hAnsiTheme="minorEastAsia" w:eastAsiaTheme="minorEastAsia"/>
          <w:color w:val="auto"/>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6A328C33">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9</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采购人不接受具有附加条件的报价。</w:t>
      </w:r>
    </w:p>
    <w:p w14:paraId="0149BCD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投标保证金</w:t>
      </w:r>
    </w:p>
    <w:p w14:paraId="4D03492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0</w:t>
      </w:r>
      <w:r>
        <w:rPr>
          <w:rFonts w:hint="eastAsia" w:asciiTheme="minorEastAsia" w:hAnsiTheme="minorEastAsia" w:eastAsiaTheme="minorEastAsia"/>
          <w:color w:val="auto"/>
          <w:sz w:val="24"/>
          <w:highlight w:val="none"/>
        </w:rPr>
        <w:t>.1本项目不收取投标保证金。</w:t>
      </w:r>
    </w:p>
    <w:p w14:paraId="4E74BDC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投标有效期</w:t>
      </w:r>
    </w:p>
    <w:p w14:paraId="7ED6649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.1投标有效期为从投标截止之日算起的日历天数，投标有效期详见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0176B33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color w:val="auto"/>
          <w:sz w:val="24"/>
          <w:highlight w:val="none"/>
        </w:rPr>
        <w:t>投标无效</w:t>
      </w:r>
      <w:r>
        <w:rPr>
          <w:rFonts w:hint="eastAsia" w:asciiTheme="minorEastAsia" w:hAnsiTheme="minorEastAsia" w:eastAsiaTheme="minorEastAsia"/>
          <w:color w:val="auto"/>
          <w:sz w:val="24"/>
          <w:highlight w:val="none"/>
        </w:rPr>
        <w:t>。</w:t>
      </w:r>
    </w:p>
    <w:p w14:paraId="26CE2F5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76BD46B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投标文件的递交、修改与撤回</w:t>
      </w:r>
    </w:p>
    <w:p w14:paraId="6379D381">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.1投标人应当在</w:t>
      </w:r>
      <w:r>
        <w:rPr>
          <w:rFonts w:hint="eastAsia" w:asciiTheme="minorEastAsia" w:hAnsiTheme="minorEastAsia" w:eastAsiaTheme="minorEastAsia"/>
          <w:color w:val="auto"/>
          <w:sz w:val="24"/>
          <w:highlight w:val="none"/>
          <w:lang w:val="en-US" w:eastAsia="zh-CN"/>
        </w:rPr>
        <w:t>招标公告</w:t>
      </w:r>
      <w:r>
        <w:rPr>
          <w:rFonts w:hint="eastAsia" w:asciiTheme="minorEastAsia" w:hAnsiTheme="minorEastAsia" w:eastAsiaTheme="minorEastAsia"/>
          <w:color w:val="auto"/>
          <w:sz w:val="24"/>
          <w:highlight w:val="none"/>
        </w:rPr>
        <w:t>规定的投标截止时间前</w:t>
      </w:r>
      <w:r>
        <w:rPr>
          <w:rFonts w:asciiTheme="minorEastAsia" w:hAnsiTheme="minorEastAsia" w:eastAsiaTheme="minorEastAsia"/>
          <w:color w:val="auto"/>
          <w:sz w:val="24"/>
          <w:highlight w:val="none"/>
        </w:rPr>
        <w:t>，将加密的投标文件</w:t>
      </w:r>
      <w:r>
        <w:rPr>
          <w:rFonts w:hint="eastAsia" w:asciiTheme="minorEastAsia" w:hAnsiTheme="minorEastAsia" w:eastAsiaTheme="minorEastAsia"/>
          <w:color w:val="auto"/>
          <w:sz w:val="24"/>
          <w:highlight w:val="none"/>
        </w:rPr>
        <w:t>在电子交易系统</w:t>
      </w:r>
      <w:r>
        <w:rPr>
          <w:rFonts w:asciiTheme="minorEastAsia" w:hAnsiTheme="minorEastAsia" w:eastAsiaTheme="minorEastAsia"/>
          <w:color w:val="auto"/>
          <w:sz w:val="24"/>
          <w:highlight w:val="none"/>
        </w:rPr>
        <w:t>上传。</w:t>
      </w:r>
    </w:p>
    <w:p w14:paraId="0B0ECA6B">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5F6056C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开标</w:t>
      </w:r>
    </w:p>
    <w:p w14:paraId="3CE2651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开标时，</w:t>
      </w:r>
      <w:r>
        <w:rPr>
          <w:rFonts w:ascii="宋体" w:hAnsi="宋体" w:eastAsia="宋体" w:cs="宋体"/>
          <w:color w:val="auto"/>
          <w:sz w:val="24"/>
          <w:szCs w:val="24"/>
          <w:highlight w:val="none"/>
        </w:rPr>
        <w:t>各投标人应在</w:t>
      </w:r>
      <w:r>
        <w:rPr>
          <w:rFonts w:ascii="宋体" w:hAnsi="宋体" w:eastAsia="宋体" w:cs="宋体"/>
          <w:color w:val="auto"/>
          <w:sz w:val="24"/>
          <w:szCs w:val="24"/>
          <w:highlight w:val="none"/>
          <w:u w:val="single"/>
        </w:rPr>
        <w:t>投标人须知前附表</w:t>
      </w:r>
      <w:r>
        <w:rPr>
          <w:rFonts w:ascii="宋体" w:hAnsi="宋体" w:eastAsia="宋体" w:cs="宋体"/>
          <w:color w:val="auto"/>
          <w:sz w:val="24"/>
          <w:szCs w:val="24"/>
          <w:highlight w:val="none"/>
        </w:rPr>
        <w:t>规定的解密时间前</w:t>
      </w:r>
      <w:r>
        <w:rPr>
          <w:rFonts w:asciiTheme="minorEastAsia" w:hAnsiTheme="minorEastAsia" w:eastAsiaTheme="minorEastAsia"/>
          <w:color w:val="auto"/>
          <w:sz w:val="24"/>
          <w:highlight w:val="none"/>
        </w:rPr>
        <w:t>对</w:t>
      </w:r>
      <w:r>
        <w:rPr>
          <w:rFonts w:hint="eastAsia" w:ascii="宋体" w:hAnsi="宋体" w:eastAsia="宋体" w:cs="宋体"/>
          <w:color w:val="auto"/>
          <w:sz w:val="24"/>
          <w:szCs w:val="24"/>
          <w:highlight w:val="none"/>
          <w:lang w:val="en-US" w:eastAsia="zh-CN"/>
        </w:rPr>
        <w:t>其</w:t>
      </w:r>
      <w:r>
        <w:rPr>
          <w:rFonts w:asciiTheme="minorEastAsia" w:hAnsiTheme="minorEastAsia" w:eastAsiaTheme="minorEastAsia"/>
          <w:color w:val="auto"/>
          <w:sz w:val="24"/>
          <w:highlight w:val="none"/>
        </w:rPr>
        <w:t>投标文件</w:t>
      </w:r>
      <w:r>
        <w:rPr>
          <w:rFonts w:hint="eastAsia" w:asciiTheme="minorEastAsia" w:hAnsiTheme="minorEastAsia" w:eastAsiaTheme="minorEastAsia"/>
          <w:color w:val="auto"/>
          <w:sz w:val="24"/>
          <w:highlight w:val="none"/>
        </w:rPr>
        <w:t>进行</w:t>
      </w:r>
      <w:r>
        <w:rPr>
          <w:rFonts w:asciiTheme="minorEastAsia" w:hAnsiTheme="minorEastAsia" w:eastAsiaTheme="minorEastAsia"/>
          <w:color w:val="auto"/>
          <w:sz w:val="24"/>
          <w:highlight w:val="none"/>
        </w:rPr>
        <w:t>解密。</w:t>
      </w:r>
    </w:p>
    <w:p w14:paraId="2916EAD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开标时，采购代理机构将通过网上开标系统公布</w:t>
      </w:r>
      <w:r>
        <w:rPr>
          <w:rFonts w:hint="eastAsia" w:asciiTheme="minorEastAsia" w:hAnsiTheme="minorEastAsia" w:eastAsiaTheme="minorEastAsia"/>
          <w:color w:val="auto"/>
          <w:sz w:val="24"/>
          <w:highlight w:val="none"/>
        </w:rPr>
        <w:t>开标结果，公布内容包括投标人名称、投标价格及招标文件规定的内容。</w:t>
      </w:r>
    </w:p>
    <w:p w14:paraId="2E2468C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采购人或采购代理机构将对开标过程进行记录，由参加开标的各投标人代表和相关工作人员签字确认，并存档备查。</w:t>
      </w:r>
    </w:p>
    <w:p w14:paraId="32509C8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投标人未派代表参加开标的，视同投标人认可开标结果。</w:t>
      </w:r>
    </w:p>
    <w:p w14:paraId="7054F89E">
      <w:pPr>
        <w:spacing w:line="360" w:lineRule="auto"/>
        <w:ind w:firstLine="435"/>
        <w:rPr>
          <w:rFonts w:asciiTheme="minorEastAsia" w:hAnsiTheme="minorEastAsia" w:eastAsiaTheme="minorEastAsia"/>
          <w:color w:val="auto"/>
          <w:sz w:val="28"/>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投标人代表对开标过程和开标记录有疑义，以及认为采购人、采购代理机构相关工作人员有需要回避的情形的，应当场提出询问或者回避申请。</w:t>
      </w:r>
    </w:p>
    <w:p w14:paraId="7CEA839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资格审查及组建评标委员会</w:t>
      </w:r>
    </w:p>
    <w:p w14:paraId="52BA6D6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.1采购人或采购代理机构依据法律法规和招标文件中规定的内</w:t>
      </w:r>
      <w:r>
        <w:rPr>
          <w:rFonts w:asciiTheme="minorEastAsia" w:hAnsiTheme="minorEastAsia" w:eastAsiaTheme="minorEastAsia"/>
          <w:color w:val="auto"/>
          <w:sz w:val="24"/>
          <w:highlight w:val="none"/>
        </w:rPr>
        <w:t>容</w:t>
      </w:r>
      <w:r>
        <w:rPr>
          <w:rFonts w:hint="eastAsia" w:asciiTheme="minorEastAsia" w:hAnsiTheme="minorEastAsia" w:eastAsiaTheme="minorEastAsia"/>
          <w:color w:val="auto"/>
          <w:sz w:val="24"/>
          <w:highlight w:val="none"/>
        </w:rPr>
        <w:t>，对投标人资格进行审查，未</w:t>
      </w:r>
      <w:r>
        <w:rPr>
          <w:rFonts w:asciiTheme="minorEastAsia" w:hAnsiTheme="minorEastAsia" w:eastAsiaTheme="minorEastAsia"/>
          <w:color w:val="auto"/>
          <w:sz w:val="24"/>
          <w:highlight w:val="none"/>
        </w:rPr>
        <w:t>通过资格审查的投标人</w:t>
      </w:r>
      <w:r>
        <w:rPr>
          <w:rFonts w:hint="eastAsia" w:asciiTheme="minorEastAsia" w:hAnsiTheme="minorEastAsia" w:eastAsiaTheme="minorEastAsia"/>
          <w:color w:val="auto"/>
          <w:sz w:val="24"/>
          <w:highlight w:val="none"/>
        </w:rPr>
        <w:t>不</w:t>
      </w:r>
      <w:r>
        <w:rPr>
          <w:rFonts w:asciiTheme="minorEastAsia" w:hAnsiTheme="minorEastAsia" w:eastAsiaTheme="minorEastAsia"/>
          <w:color w:val="auto"/>
          <w:sz w:val="24"/>
          <w:highlight w:val="none"/>
        </w:rPr>
        <w:t>进入评标</w:t>
      </w:r>
      <w:r>
        <w:rPr>
          <w:rFonts w:hint="eastAsia" w:asciiTheme="minorEastAsia" w:hAnsiTheme="minorEastAsia" w:eastAsiaTheme="minorEastAsia"/>
          <w:color w:val="auto"/>
          <w:sz w:val="24"/>
          <w:highlight w:val="none"/>
        </w:rPr>
        <w:t>。</w:t>
      </w:r>
    </w:p>
    <w:p w14:paraId="088A4EAF">
      <w:pPr>
        <w:spacing w:line="360" w:lineRule="auto"/>
        <w:ind w:firstLine="435"/>
        <w:rPr>
          <w:rFonts w:hint="eastAsia" w:ascii="宋体" w:hAnsi="宋体" w:eastAsia="宋体" w:cs="宋体"/>
          <w:color w:val="auto"/>
          <w:sz w:val="24"/>
          <w:szCs w:val="24"/>
          <w:highlight w:val="none"/>
        </w:rPr>
      </w:pPr>
      <w:bookmarkStart w:id="25" w:name="_Hlk24663244"/>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rPr>
        <w:t>.2采购人或采购代理机构将在投标截止时间后至评审结束前通过“信用中国”网站(www.creditchina.gov.cn)、中国政府采购网(www.ccgp.gov.cn)查询相关投标人信用记录，并对</w:t>
      </w:r>
      <w:r>
        <w:rPr>
          <w:rFonts w:hint="eastAsia" w:ascii="宋体" w:hAnsi="宋体" w:eastAsia="宋体" w:cs="宋体"/>
          <w:color w:val="auto"/>
          <w:sz w:val="24"/>
          <w:szCs w:val="24"/>
          <w:highlight w:val="none"/>
          <w:lang w:val="en-US" w:eastAsia="zh-CN"/>
        </w:rPr>
        <w:t>投标人</w:t>
      </w:r>
      <w:r>
        <w:rPr>
          <w:rFonts w:hint="eastAsia" w:ascii="宋体" w:hAnsi="宋体" w:eastAsia="宋体" w:cs="宋体"/>
          <w:color w:val="auto"/>
          <w:sz w:val="24"/>
          <w:szCs w:val="24"/>
          <w:highlight w:val="none"/>
        </w:rPr>
        <w:t>信用记录进行甄别，对列入“信用中国”网站(www.creditchina.gov.cn)失信被执行人名单、重大税收违法案件当事人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038ADF34">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以联合体形式参加投标的，联合体成员存在以上不良信用记录的，联合体投标将被认定为</w:t>
      </w:r>
      <w:r>
        <w:rPr>
          <w:rFonts w:hint="eastAsia" w:ascii="宋体" w:hAnsi="宋体" w:eastAsia="宋体" w:cs="宋体"/>
          <w:b/>
          <w:color w:val="auto"/>
          <w:sz w:val="24"/>
          <w:szCs w:val="24"/>
          <w:highlight w:val="none"/>
        </w:rPr>
        <w:t>投标无效</w:t>
      </w:r>
      <w:r>
        <w:rPr>
          <w:rFonts w:hint="eastAsia" w:ascii="宋体" w:hAnsi="宋体" w:eastAsia="宋体" w:cs="宋体"/>
          <w:color w:val="auto"/>
          <w:sz w:val="24"/>
          <w:szCs w:val="24"/>
          <w:highlight w:val="none"/>
        </w:rPr>
        <w:t>。</w:t>
      </w:r>
    </w:p>
    <w:p w14:paraId="6F831D8E">
      <w:pPr>
        <w:spacing w:line="360" w:lineRule="auto"/>
        <w:ind w:firstLine="435"/>
        <w:rPr>
          <w:rFonts w:asciiTheme="minorEastAsia" w:hAnsiTheme="minorEastAsia" w:eastAsiaTheme="minorEastAsia"/>
          <w:color w:val="auto"/>
          <w:sz w:val="24"/>
          <w:highlight w:val="none"/>
        </w:rPr>
      </w:pPr>
      <w:r>
        <w:rPr>
          <w:rFonts w:hint="eastAsia" w:ascii="宋体" w:hAnsi="宋体" w:eastAsia="宋体" w:cs="宋体"/>
          <w:color w:val="auto"/>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w:t>
      </w:r>
    </w:p>
    <w:bookmarkEnd w:id="25"/>
    <w:p w14:paraId="4839F539">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.3按照</w:t>
      </w:r>
      <w:r>
        <w:rPr>
          <w:rFonts w:hint="eastAsia" w:ascii="宋体" w:hAnsi="宋体" w:eastAsia="宋体"/>
          <w:color w:val="auto"/>
          <w:sz w:val="24"/>
          <w:highlight w:val="none"/>
        </w:rPr>
        <w:t>《</w:t>
      </w:r>
      <w:r>
        <w:rPr>
          <w:rFonts w:ascii="宋体" w:hAnsi="宋体" w:eastAsia="宋体"/>
          <w:color w:val="auto"/>
          <w:sz w:val="24"/>
          <w:highlight w:val="none"/>
        </w:rPr>
        <w:t>中华人民共和国政府采购法》</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《中华人民共和国政府采购</w:t>
      </w:r>
      <w:r>
        <w:rPr>
          <w:rFonts w:hint="eastAsia" w:asciiTheme="minorEastAsia" w:hAnsiTheme="minorEastAsia" w:eastAsiaTheme="minorEastAsia"/>
          <w:color w:val="auto"/>
          <w:sz w:val="24"/>
          <w:highlight w:val="none"/>
        </w:rPr>
        <w:t>法</w:t>
      </w:r>
      <w:r>
        <w:rPr>
          <w:rFonts w:asciiTheme="minorEastAsia" w:hAnsiTheme="minorEastAsia" w:eastAsiaTheme="minorEastAsia"/>
          <w:color w:val="auto"/>
          <w:sz w:val="24"/>
          <w:highlight w:val="none"/>
        </w:rPr>
        <w:t>实施条例》</w:t>
      </w:r>
      <w:r>
        <w:rPr>
          <w:rFonts w:hint="eastAsia" w:asciiTheme="minorEastAsia" w:hAnsiTheme="minorEastAsia" w:eastAsiaTheme="minorEastAsia"/>
          <w:color w:val="auto"/>
          <w:sz w:val="24"/>
          <w:highlight w:val="none"/>
        </w:rPr>
        <w:t>及本项目本级</w:t>
      </w:r>
      <w:r>
        <w:rPr>
          <w:rFonts w:asciiTheme="minorEastAsia" w:hAnsiTheme="minorEastAsia" w:eastAsiaTheme="minorEastAsia"/>
          <w:color w:val="auto"/>
          <w:sz w:val="24"/>
          <w:highlight w:val="none"/>
        </w:rPr>
        <w:t>和上级财政部门</w:t>
      </w:r>
      <w:r>
        <w:rPr>
          <w:rFonts w:hint="eastAsia" w:asciiTheme="minorEastAsia" w:hAnsiTheme="minorEastAsia" w:eastAsiaTheme="minorEastAsia"/>
          <w:color w:val="auto"/>
          <w:sz w:val="24"/>
          <w:highlight w:val="none"/>
        </w:rPr>
        <w:t>、政府采购监督管理部门的有关规定依法组建的</w:t>
      </w:r>
      <w:r>
        <w:rPr>
          <w:rFonts w:asciiTheme="minorEastAsia" w:hAnsiTheme="minorEastAsia" w:eastAsiaTheme="minorEastAsia"/>
          <w:color w:val="auto"/>
          <w:sz w:val="24"/>
          <w:highlight w:val="none"/>
        </w:rPr>
        <w:t>评标委员会</w:t>
      </w:r>
      <w:r>
        <w:rPr>
          <w:rFonts w:hint="eastAsia" w:asciiTheme="minorEastAsia" w:hAnsiTheme="minorEastAsia" w:eastAsiaTheme="minorEastAsia"/>
          <w:color w:val="auto"/>
          <w:sz w:val="24"/>
          <w:highlight w:val="none"/>
        </w:rPr>
        <w:t>，负责本项目评标工作。</w:t>
      </w:r>
    </w:p>
    <w:p w14:paraId="2B128BFE">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投标文件符合性审查与澄清</w:t>
      </w:r>
    </w:p>
    <w:p w14:paraId="0AB1414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15</w:t>
      </w:r>
      <w:r>
        <w:rPr>
          <w:rFonts w:asciiTheme="minorEastAsia" w:hAnsiTheme="minorEastAsia" w:eastAsiaTheme="minorEastAsia"/>
          <w:color w:val="auto"/>
          <w:sz w:val="24"/>
          <w:highlight w:val="none"/>
        </w:rPr>
        <w:t>.1符合性审查是指依据招标文件的规定，从投标文件的有效性和完整性对招标文件的响应程度</w:t>
      </w:r>
      <w:r>
        <w:rPr>
          <w:rFonts w:ascii="宋体" w:hAnsi="宋体" w:eastAsia="宋体"/>
          <w:color w:val="auto"/>
          <w:sz w:val="24"/>
          <w:highlight w:val="none"/>
        </w:rPr>
        <w:t>进行</w:t>
      </w:r>
      <w:r>
        <w:rPr>
          <w:rFonts w:asciiTheme="minorEastAsia" w:hAnsiTheme="minorEastAsia" w:eastAsiaTheme="minorEastAsia"/>
          <w:color w:val="auto"/>
          <w:sz w:val="24"/>
          <w:highlight w:val="none"/>
        </w:rPr>
        <w:t>审查，以确定是否对招标文件的实质性要求做出响应。</w:t>
      </w:r>
    </w:p>
    <w:p w14:paraId="26C7965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投标文件的澄清</w:t>
      </w:r>
    </w:p>
    <w:p w14:paraId="7399CD7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15</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.1为有助于投标</w:t>
      </w:r>
      <w:r>
        <w:rPr>
          <w:rFonts w:hint="eastAsia" w:ascii="宋体" w:hAnsi="宋体" w:eastAsia="宋体"/>
          <w:color w:val="auto"/>
          <w:sz w:val="24"/>
          <w:highlight w:val="none"/>
        </w:rPr>
        <w:t>文件</w:t>
      </w:r>
      <w:r>
        <w:rPr>
          <w:rFonts w:ascii="宋体" w:hAnsi="宋体" w:eastAsia="宋体"/>
          <w:color w:val="auto"/>
          <w:sz w:val="24"/>
          <w:highlight w:val="none"/>
        </w:rPr>
        <w:t>的审查、评价和比较，在评标期间，评标委员会将以书面</w:t>
      </w:r>
      <w:r>
        <w:rPr>
          <w:rFonts w:hint="eastAsia" w:ascii="宋体" w:hAnsi="宋体" w:eastAsia="宋体"/>
          <w:color w:val="auto"/>
          <w:sz w:val="24"/>
          <w:highlight w:val="none"/>
        </w:rPr>
        <w:t>方式（询标）</w:t>
      </w:r>
      <w:r>
        <w:rPr>
          <w:rFonts w:ascii="宋体" w:hAnsi="宋体" w:eastAsia="宋体"/>
          <w:color w:val="auto"/>
          <w:sz w:val="24"/>
          <w:highlight w:val="none"/>
        </w:rPr>
        <w:t>要求投标人对其投标文件中含义不明确、对同类问题表述不一致或者有明显文字和计算错误的内容</w:t>
      </w:r>
      <w:r>
        <w:rPr>
          <w:rFonts w:hint="eastAsia" w:ascii="宋体" w:hAnsi="宋体" w:eastAsia="宋体"/>
          <w:color w:val="auto"/>
          <w:sz w:val="24"/>
          <w:highlight w:val="none"/>
          <w:lang w:val="en-US" w:eastAsia="zh-CN"/>
        </w:rPr>
        <w:t>等</w:t>
      </w:r>
      <w:r>
        <w:rPr>
          <w:rFonts w:ascii="宋体" w:hAnsi="宋体" w:eastAsia="宋体"/>
          <w:color w:val="auto"/>
          <w:sz w:val="24"/>
          <w:highlight w:val="none"/>
        </w:rPr>
        <w:t>作必要的澄清、说明或补正。投标人的澄清、说明或补正应在评标委员会规定的时间内以书面</w:t>
      </w:r>
      <w:r>
        <w:rPr>
          <w:rFonts w:hint="eastAsia" w:ascii="宋体" w:hAnsi="宋体" w:eastAsia="宋体"/>
          <w:color w:val="auto"/>
          <w:sz w:val="24"/>
          <w:highlight w:val="none"/>
        </w:rPr>
        <w:t>方式</w:t>
      </w:r>
      <w:r>
        <w:rPr>
          <w:rFonts w:ascii="宋体" w:hAnsi="宋体" w:eastAsia="宋体"/>
          <w:color w:val="auto"/>
          <w:sz w:val="24"/>
          <w:highlight w:val="none"/>
        </w:rPr>
        <w:t>进行，并不得超出投标文件范围或者改变投标文件的实质性内容。</w:t>
      </w:r>
    </w:p>
    <w:p w14:paraId="41A4F53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2A298B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15.</w:t>
      </w:r>
      <w:r>
        <w:rPr>
          <w:rFonts w:hint="eastAsia" w:asciiTheme="minorEastAsia" w:hAnsiTheme="minorEastAsia" w:eastAsiaTheme="minorEastAsia"/>
          <w:color w:val="auto"/>
          <w:sz w:val="24"/>
          <w:highlight w:val="none"/>
          <w:lang w:val="en-US" w:eastAsia="zh-CN"/>
        </w:rPr>
        <w:t>2</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投标人的澄清、说明或补正将作为投标文件的一部分。</w:t>
      </w:r>
    </w:p>
    <w:p w14:paraId="56771C7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.3评标委员会对投标人提交的澄清、说明或补正有疑问的，可以要求投标人进一步澄清、说明或补正，直至满足评标委员会的要求。</w:t>
      </w:r>
    </w:p>
    <w:p w14:paraId="7F73064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投标文件报价出现前后不一致的，按照下列规定修正：</w:t>
      </w:r>
    </w:p>
    <w:p w14:paraId="4CC914C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1</w:t>
      </w:r>
      <w:r>
        <w:rPr>
          <w:rFonts w:ascii="宋体" w:hAnsi="宋体" w:eastAsia="宋体"/>
          <w:color w:val="auto"/>
          <w:sz w:val="24"/>
          <w:highlight w:val="none"/>
        </w:rPr>
        <w:t>）投标文件中开标一览表内容与投标文件中相应内容不一致的，以开标一览表为准；</w:t>
      </w:r>
    </w:p>
    <w:p w14:paraId="38A11D54">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2</w:t>
      </w:r>
      <w:r>
        <w:rPr>
          <w:rFonts w:ascii="宋体" w:hAnsi="宋体" w:eastAsia="宋体"/>
          <w:color w:val="auto"/>
          <w:sz w:val="24"/>
          <w:highlight w:val="none"/>
        </w:rPr>
        <w:t>）大写金额和小写金额不一致的，以大写金额为准；</w:t>
      </w:r>
    </w:p>
    <w:p w14:paraId="4CA8D87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3</w:t>
      </w:r>
      <w:r>
        <w:rPr>
          <w:rFonts w:ascii="宋体" w:hAnsi="宋体" w:eastAsia="宋体"/>
          <w:color w:val="auto"/>
          <w:sz w:val="24"/>
          <w:highlight w:val="none"/>
        </w:rPr>
        <w:t>）单价金额小数点或者百分比有明显错位的，以开标一览表的总价为准，并修改单价；</w:t>
      </w:r>
    </w:p>
    <w:p w14:paraId="4AE8A2FF">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w:t>
      </w:r>
      <w:r>
        <w:rPr>
          <w:rFonts w:hint="eastAsia" w:ascii="宋体" w:hAnsi="宋体" w:eastAsia="宋体"/>
          <w:color w:val="auto"/>
          <w:sz w:val="24"/>
          <w:highlight w:val="none"/>
        </w:rPr>
        <w:t>4</w:t>
      </w:r>
      <w:r>
        <w:rPr>
          <w:rFonts w:ascii="宋体" w:hAnsi="宋体" w:eastAsia="宋体"/>
          <w:color w:val="auto"/>
          <w:sz w:val="24"/>
          <w:highlight w:val="none"/>
        </w:rPr>
        <w:t>）总价金额与按单价汇总金额不一致的，以单价金额计算结果为准。</w:t>
      </w:r>
    </w:p>
    <w:p w14:paraId="147C8B09">
      <w:pPr>
        <w:spacing w:line="360" w:lineRule="auto"/>
        <w:ind w:firstLine="435"/>
        <w:rPr>
          <w:rFonts w:ascii="宋体" w:hAnsi="宋体" w:eastAsia="宋体"/>
          <w:color w:val="auto"/>
          <w:sz w:val="24"/>
          <w:highlight w:val="none"/>
        </w:rPr>
      </w:pPr>
      <w:r>
        <w:rPr>
          <w:rFonts w:ascii="宋体" w:hAnsi="宋体" w:eastAsia="宋体"/>
          <w:color w:val="auto"/>
          <w:sz w:val="24"/>
          <w:highlight w:val="none"/>
        </w:rPr>
        <w:t>同时出现两种以上不一致的，按照前款规定的顺序修正。修正后的报价按照第</w:t>
      </w:r>
      <w:r>
        <w:rPr>
          <w:rFonts w:hint="eastAsia" w:ascii="宋体" w:hAnsi="宋体" w:eastAsia="宋体"/>
          <w:color w:val="auto"/>
          <w:sz w:val="24"/>
          <w:highlight w:val="none"/>
          <w:lang w:eastAsia="zh-CN"/>
        </w:rPr>
        <w:t>15.</w:t>
      </w:r>
      <w:r>
        <w:rPr>
          <w:rFonts w:hint="eastAsia" w:ascii="宋体" w:hAnsi="宋体" w:eastAsia="宋体"/>
          <w:color w:val="auto"/>
          <w:sz w:val="24"/>
          <w:highlight w:val="none"/>
          <w:lang w:val="en-US" w:eastAsia="zh-CN"/>
        </w:rPr>
        <w:t>3</w:t>
      </w:r>
      <w:r>
        <w:rPr>
          <w:rFonts w:ascii="宋体" w:hAnsi="宋体" w:eastAsia="宋体"/>
          <w:color w:val="auto"/>
          <w:sz w:val="24"/>
          <w:highlight w:val="none"/>
        </w:rPr>
        <w:t>条的规定经投标人确认后产生约束力，投标人不确认的，其投标将被认定为</w:t>
      </w:r>
      <w:r>
        <w:rPr>
          <w:rFonts w:ascii="宋体" w:hAnsi="宋体" w:eastAsia="宋体"/>
          <w:b/>
          <w:color w:val="auto"/>
          <w:sz w:val="24"/>
          <w:highlight w:val="none"/>
        </w:rPr>
        <w:t>投标无效</w:t>
      </w:r>
      <w:r>
        <w:rPr>
          <w:rFonts w:ascii="宋体" w:hAnsi="宋体" w:eastAsia="宋体"/>
          <w:color w:val="auto"/>
          <w:sz w:val="24"/>
          <w:highlight w:val="none"/>
        </w:rPr>
        <w:t>。</w:t>
      </w:r>
    </w:p>
    <w:p w14:paraId="5D3AA14C">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rPr>
        <w:t>对不同文字文本投标文件的解释发生异议的，以中文文本为准。</w:t>
      </w:r>
    </w:p>
    <w:p w14:paraId="6F260EE6">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16.</w:t>
      </w:r>
      <w:r>
        <w:rPr>
          <w:rFonts w:hint="eastAsia" w:asciiTheme="minorEastAsia" w:hAnsiTheme="minorEastAsia" w:eastAsiaTheme="minorEastAsia"/>
          <w:b/>
          <w:color w:val="auto"/>
          <w:sz w:val="24"/>
          <w:highlight w:val="none"/>
        </w:rPr>
        <w:t>投标无效</w:t>
      </w:r>
    </w:p>
    <w:p w14:paraId="177CC9F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1根据本</w:t>
      </w:r>
      <w:r>
        <w:rPr>
          <w:rFonts w:hint="eastAsia" w:asciiTheme="minorEastAsia" w:hAnsiTheme="minorEastAsia" w:eastAsiaTheme="minorEastAsia"/>
          <w:color w:val="auto"/>
          <w:sz w:val="24"/>
          <w:highlight w:val="none"/>
        </w:rPr>
        <w:t>招标文件</w:t>
      </w:r>
      <w:r>
        <w:rPr>
          <w:rFonts w:asciiTheme="minorEastAsia" w:hAnsiTheme="minorEastAsia" w:eastAsiaTheme="minorEastAsia"/>
          <w:color w:val="auto"/>
          <w:sz w:val="24"/>
          <w:highlight w:val="none"/>
        </w:rPr>
        <w:t>的规定，评标委员会要审查每份投标文件是否实质上响应了招标文件的要求。投标人不得通过修正或撤销不符合要求的偏离，从而使其投标成为实质上响应的投标。</w:t>
      </w:r>
    </w:p>
    <w:p w14:paraId="1290257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评标委员会决定投标的响应性只根据招标文件要求和投标文件内容。</w:t>
      </w:r>
    </w:p>
    <w:p w14:paraId="0AD3BBA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无论何种原因，即使投标人投标时携带了证书材料的原件，但投标文件中未提供与之内容完全一致的扫描件的，评标委员会视同其未提供。</w:t>
      </w:r>
    </w:p>
    <w:p w14:paraId="0D84B94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16.</w:t>
      </w:r>
      <w:r>
        <w:rPr>
          <w:rFonts w:asciiTheme="minorEastAsia" w:hAnsiTheme="minorEastAsia" w:eastAsiaTheme="minorEastAsia"/>
          <w:color w:val="auto"/>
          <w:sz w:val="24"/>
          <w:highlight w:val="none"/>
        </w:rPr>
        <w:t>2如发现下列情况之一的，其投标将被认定为</w:t>
      </w:r>
      <w:r>
        <w:rPr>
          <w:rFonts w:asciiTheme="minorEastAsia" w:hAnsiTheme="minorEastAsia" w:eastAsiaTheme="minorEastAsia"/>
          <w:b/>
          <w:color w:val="auto"/>
          <w:sz w:val="24"/>
          <w:highlight w:val="none"/>
        </w:rPr>
        <w:t>投标无效</w:t>
      </w:r>
      <w:r>
        <w:rPr>
          <w:rFonts w:asciiTheme="minorEastAsia" w:hAnsiTheme="minorEastAsia" w:eastAsiaTheme="minorEastAsia"/>
          <w:color w:val="auto"/>
          <w:sz w:val="24"/>
          <w:highlight w:val="none"/>
        </w:rPr>
        <w:t>：</w:t>
      </w:r>
    </w:p>
    <w:p w14:paraId="52F807F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1）投标文件未按照招标文件规定要求签署、盖章的；</w:t>
      </w:r>
    </w:p>
    <w:p w14:paraId="2E2D2E0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2）不具备招标文件中规定的资格要求的；</w:t>
      </w:r>
    </w:p>
    <w:p w14:paraId="53854F5E">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3）报价超过招标文件中规定的预算金额或者最高限价的；</w:t>
      </w:r>
    </w:p>
    <w:p w14:paraId="674CDB9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4）投标文件含有采购人不能接受的附加条件的；</w:t>
      </w:r>
    </w:p>
    <w:p w14:paraId="1CB531C5">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5）法律、法规和招标文件规定的其他无效情形。</w:t>
      </w:r>
    </w:p>
    <w:p w14:paraId="26D6C6E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eastAsia="zh-CN"/>
        </w:rPr>
        <w:t>17.</w:t>
      </w:r>
      <w:r>
        <w:rPr>
          <w:rFonts w:hint="eastAsia" w:asciiTheme="minorEastAsia" w:hAnsiTheme="minorEastAsia" w:eastAsiaTheme="minorEastAsia"/>
          <w:b/>
          <w:color w:val="auto"/>
          <w:sz w:val="24"/>
          <w:highlight w:val="none"/>
        </w:rPr>
        <w:t>比较与评价</w:t>
      </w:r>
    </w:p>
    <w:p w14:paraId="6FECBBB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1经符合性审查合格</w:t>
      </w:r>
      <w:r>
        <w:rPr>
          <w:rFonts w:hint="eastAsia" w:ascii="宋体" w:hAnsi="宋体" w:eastAsia="宋体" w:cs="Times New Roman"/>
          <w:color w:val="auto"/>
          <w:sz w:val="24"/>
          <w:highlight w:val="none"/>
          <w:lang w:val="en-US" w:eastAsia="zh-CN"/>
        </w:rPr>
        <w:t>并通过异常低价投标审查</w:t>
      </w:r>
      <w:r>
        <w:rPr>
          <w:rFonts w:hint="eastAsia" w:asciiTheme="minorEastAsia" w:hAnsiTheme="minorEastAsia" w:eastAsiaTheme="minorEastAsia"/>
          <w:color w:val="auto"/>
          <w:sz w:val="24"/>
          <w:highlight w:val="none"/>
        </w:rPr>
        <w:t>的投标文件，评标委员会将根据招标文件确定的评标方法和标准，对其投标文件作进一步的比较与评价。</w:t>
      </w:r>
    </w:p>
    <w:p w14:paraId="7FE8A2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eastAsia="zh-CN"/>
        </w:rPr>
        <w:t>17.</w:t>
      </w:r>
      <w:r>
        <w:rPr>
          <w:rFonts w:hint="eastAsia" w:asciiTheme="minorEastAsia" w:hAnsiTheme="minorEastAsia" w:eastAsiaTheme="minorEastAsia"/>
          <w:color w:val="auto"/>
          <w:sz w:val="24"/>
          <w:highlight w:val="none"/>
        </w:rPr>
        <w:t>2评标严格按照</w:t>
      </w:r>
      <w:r>
        <w:rPr>
          <w:rFonts w:hint="eastAsia" w:ascii="宋体" w:hAnsi="宋体" w:eastAsia="宋体"/>
          <w:color w:val="auto"/>
          <w:sz w:val="24"/>
          <w:highlight w:val="none"/>
        </w:rPr>
        <w:t>招标文件</w:t>
      </w:r>
      <w:r>
        <w:rPr>
          <w:rFonts w:hint="eastAsia" w:asciiTheme="minorEastAsia" w:hAnsiTheme="minorEastAsia" w:eastAsiaTheme="minorEastAsia"/>
          <w:color w:val="auto"/>
          <w:sz w:val="24"/>
          <w:highlight w:val="none"/>
        </w:rPr>
        <w:t>的要求和条件进行。根据实际情况，在</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中规定采用下列一种评标方法，详细评标方法和标准见招标文件第四章：</w:t>
      </w:r>
    </w:p>
    <w:p w14:paraId="411CEA0E">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1）最低评标价法，是指</w:t>
      </w:r>
      <w:r>
        <w:rPr>
          <w:rFonts w:ascii="宋体" w:hAnsi="宋体" w:eastAsia="宋体"/>
          <w:color w:val="auto"/>
          <w:sz w:val="24"/>
          <w:highlight w:val="none"/>
        </w:rPr>
        <w:t>投标文件满足招标文件全部实质性要求</w:t>
      </w:r>
      <w:r>
        <w:rPr>
          <w:rFonts w:hint="eastAsia" w:ascii="宋体" w:hAnsi="宋体" w:eastAsia="宋体"/>
          <w:color w:val="auto"/>
          <w:sz w:val="24"/>
          <w:highlight w:val="none"/>
        </w:rPr>
        <w:t>，</w:t>
      </w:r>
      <w:r>
        <w:rPr>
          <w:rFonts w:ascii="宋体" w:hAnsi="宋体" w:eastAsia="宋体"/>
          <w:color w:val="auto"/>
          <w:sz w:val="24"/>
          <w:highlight w:val="none"/>
        </w:rPr>
        <w:t>且投标报价最低的</w:t>
      </w:r>
      <w:r>
        <w:rPr>
          <w:rFonts w:hint="eastAsia" w:ascii="宋体" w:hAnsi="宋体" w:eastAsia="宋体"/>
          <w:color w:val="auto"/>
          <w:sz w:val="24"/>
          <w:highlight w:val="none"/>
        </w:rPr>
        <w:t>投标人</w:t>
      </w:r>
      <w:r>
        <w:rPr>
          <w:rFonts w:ascii="宋体" w:hAnsi="宋体" w:eastAsia="宋体"/>
          <w:color w:val="auto"/>
          <w:sz w:val="24"/>
          <w:highlight w:val="none"/>
        </w:rPr>
        <w:t>为中标</w:t>
      </w:r>
      <w:r>
        <w:rPr>
          <w:rFonts w:hint="eastAsia" w:ascii="宋体" w:hAnsi="宋体" w:eastAsia="宋体"/>
          <w:color w:val="auto"/>
          <w:sz w:val="24"/>
          <w:highlight w:val="none"/>
        </w:rPr>
        <w:t>候选</w:t>
      </w:r>
      <w:r>
        <w:rPr>
          <w:rFonts w:ascii="宋体" w:hAnsi="宋体" w:eastAsia="宋体"/>
          <w:color w:val="auto"/>
          <w:sz w:val="24"/>
          <w:highlight w:val="none"/>
        </w:rPr>
        <w:t>人的评标方法</w:t>
      </w:r>
      <w:r>
        <w:rPr>
          <w:rFonts w:hint="eastAsia" w:ascii="宋体" w:hAnsi="宋体" w:eastAsia="宋体"/>
          <w:color w:val="auto"/>
          <w:sz w:val="24"/>
          <w:highlight w:val="none"/>
        </w:rPr>
        <w:t>。</w:t>
      </w:r>
    </w:p>
    <w:p w14:paraId="6D80998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（2）综合评分法，是</w:t>
      </w:r>
      <w:r>
        <w:rPr>
          <w:rFonts w:ascii="宋体" w:hAnsi="宋体" w:eastAsia="宋体"/>
          <w:color w:val="auto"/>
          <w:sz w:val="24"/>
          <w:highlight w:val="none"/>
        </w:rPr>
        <w:t>指投标文件满足招标</w:t>
      </w:r>
      <w:r>
        <w:rPr>
          <w:rFonts w:hint="eastAsia" w:ascii="宋体" w:hAnsi="宋体" w:eastAsia="宋体"/>
          <w:color w:val="auto"/>
          <w:sz w:val="24"/>
          <w:highlight w:val="none"/>
        </w:rPr>
        <w:t>文件</w:t>
      </w:r>
      <w:r>
        <w:rPr>
          <w:rFonts w:ascii="宋体" w:hAnsi="宋体" w:eastAsia="宋体"/>
          <w:color w:val="auto"/>
          <w:sz w:val="24"/>
          <w:highlight w:val="none"/>
        </w:rPr>
        <w:t>全部实质性要求</w:t>
      </w:r>
      <w:r>
        <w:rPr>
          <w:rFonts w:hint="eastAsia" w:ascii="宋体" w:hAnsi="宋体" w:eastAsia="宋体"/>
          <w:color w:val="auto"/>
          <w:sz w:val="24"/>
          <w:highlight w:val="none"/>
        </w:rPr>
        <w:t>，</w:t>
      </w:r>
      <w:r>
        <w:rPr>
          <w:rFonts w:ascii="宋体" w:hAnsi="宋体" w:eastAsia="宋体"/>
          <w:color w:val="auto"/>
          <w:sz w:val="24"/>
          <w:highlight w:val="none"/>
        </w:rPr>
        <w:t>且按照评审因素的</w:t>
      </w:r>
      <w:r>
        <w:rPr>
          <w:rFonts w:hint="eastAsia" w:ascii="宋体" w:hAnsi="宋体" w:eastAsia="宋体"/>
          <w:color w:val="auto"/>
          <w:sz w:val="24"/>
          <w:highlight w:val="none"/>
        </w:rPr>
        <w:t>量化</w:t>
      </w:r>
      <w:r>
        <w:rPr>
          <w:rFonts w:ascii="宋体" w:hAnsi="宋体" w:eastAsia="宋体"/>
          <w:color w:val="auto"/>
          <w:sz w:val="24"/>
          <w:highlight w:val="none"/>
        </w:rPr>
        <w:t>指标评审得分最高的</w:t>
      </w:r>
      <w:r>
        <w:rPr>
          <w:rFonts w:hint="eastAsia" w:ascii="宋体" w:hAnsi="宋体" w:eastAsia="宋体"/>
          <w:color w:val="auto"/>
          <w:sz w:val="24"/>
          <w:highlight w:val="none"/>
        </w:rPr>
        <w:t>投标人</w:t>
      </w:r>
      <w:r>
        <w:rPr>
          <w:rFonts w:ascii="宋体" w:hAnsi="宋体" w:eastAsia="宋体"/>
          <w:color w:val="auto"/>
          <w:sz w:val="24"/>
          <w:highlight w:val="none"/>
        </w:rPr>
        <w:t>为中标候选人的评标方法。</w:t>
      </w:r>
    </w:p>
    <w:p w14:paraId="688F1FD3">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17.</w:t>
      </w:r>
      <w:r>
        <w:rPr>
          <w:rFonts w:ascii="宋体" w:hAnsi="宋体" w:eastAsia="宋体"/>
          <w:color w:val="auto"/>
          <w:sz w:val="24"/>
          <w:highlight w:val="none"/>
        </w:rPr>
        <w:t>3根据《政府采购促进中小企业发展管理办法》（财库〔2020〕46号）、《三部门联合发布关于促进残疾人就业政府采购政策的通知》（财库〔2017〕141号）</w:t>
      </w:r>
      <w:r>
        <w:rPr>
          <w:rFonts w:hint="eastAsia" w:ascii="宋体" w:hAnsi="宋体" w:eastAsia="宋体"/>
          <w:color w:val="auto"/>
          <w:sz w:val="24"/>
          <w:highlight w:val="none"/>
          <w:lang w:val="en-US" w:eastAsia="zh-CN"/>
        </w:rPr>
        <w:t>和</w:t>
      </w:r>
      <w:r>
        <w:rPr>
          <w:rFonts w:ascii="宋体" w:hAnsi="宋体" w:eastAsia="宋体"/>
          <w:color w:val="auto"/>
          <w:sz w:val="24"/>
          <w:highlight w:val="none"/>
        </w:rPr>
        <w:t>《财政部 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中规定的标准扣除后的价格参与评审。对于同时属于小微企</w:t>
      </w:r>
      <w:r>
        <w:rPr>
          <w:rFonts w:hint="eastAsia" w:ascii="宋体" w:hAnsi="宋体" w:eastAsia="宋体"/>
          <w:color w:val="auto"/>
          <w:sz w:val="24"/>
          <w:highlight w:val="none"/>
        </w:rPr>
        <w:t>业、监狱企业或残疾人福利性单位的，不重复进行投标报价扣除。</w:t>
      </w:r>
    </w:p>
    <w:p w14:paraId="36F7E44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color w:val="auto"/>
          <w:sz w:val="24"/>
          <w:highlight w:val="none"/>
        </w:rPr>
        <w:t>30%以上的，可给予联合体或者大中型企业的投标报价按照</w:t>
      </w:r>
      <w:r>
        <w:rPr>
          <w:rFonts w:ascii="宋体" w:hAnsi="宋体" w:eastAsia="宋体"/>
          <w:color w:val="auto"/>
          <w:sz w:val="24"/>
          <w:highlight w:val="none"/>
          <w:u w:val="single"/>
        </w:rPr>
        <w:t>投标人须知前附表</w:t>
      </w:r>
      <w:r>
        <w:rPr>
          <w:rFonts w:ascii="宋体" w:hAnsi="宋体" w:eastAsia="宋体"/>
          <w:color w:val="auto"/>
          <w:sz w:val="24"/>
          <w:highlight w:val="none"/>
        </w:rPr>
        <w:t>中规定的标准扣除后的价格参与评审。组成联合体或者接受分包的小微企业与联合体内其他企业、分包企业之间存在直接控股、管理关系的，不享受价格扣除优惠政策。</w:t>
      </w:r>
    </w:p>
    <w:p w14:paraId="788C85AD">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以联合体形式参加政府采购活动，联合体各方均为中小企业的，联合体视同中小企业。其中，联合体各方均为小微企业的，联合体视同小微企业。</w:t>
      </w:r>
    </w:p>
    <w:p w14:paraId="220EF5B1">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6434D486">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0" w:firstLineChars="100"/>
        <w:jc w:val="both"/>
        <w:textAlignment w:val="auto"/>
        <w:rPr>
          <w:rFonts w:hint="eastAsia" w:ascii="宋体" w:hAnsi="宋体" w:eastAsia="宋体" w:cs="宋体"/>
          <w:b w:val="0"/>
          <w:i w:val="0"/>
          <w:iCs w:val="0"/>
          <w:color w:val="auto"/>
          <w:sz w:val="24"/>
          <w:szCs w:val="24"/>
          <w:highlight w:val="none"/>
          <w:lang w:val="en-US" w:eastAsia="zh-CN"/>
        </w:rPr>
      </w:pPr>
      <w:r>
        <w:rPr>
          <w:rFonts w:hint="eastAsia" w:ascii="宋体" w:hAnsi="宋体" w:eastAsia="宋体" w:cs="宋体"/>
          <w:b w:val="0"/>
          <w:i w:val="0"/>
          <w:iCs w:val="0"/>
          <w:color w:val="auto"/>
          <w:sz w:val="24"/>
          <w:szCs w:val="24"/>
          <w:highlight w:val="none"/>
          <w:lang w:val="en-US" w:eastAsia="zh-CN"/>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39D84708">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240" w:firstLineChars="100"/>
        <w:jc w:val="both"/>
        <w:textAlignment w:val="auto"/>
        <w:rPr>
          <w:color w:val="auto"/>
          <w:highlight w:val="none"/>
        </w:rPr>
      </w:pPr>
      <w:r>
        <w:rPr>
          <w:rFonts w:hint="eastAsia" w:ascii="宋体" w:hAnsi="宋体" w:eastAsia="宋体" w:cs="宋体"/>
          <w:b w:val="0"/>
          <w:i w:val="0"/>
          <w:iCs w:val="0"/>
          <w:color w:val="auto"/>
          <w:sz w:val="24"/>
          <w:szCs w:val="24"/>
          <w:highlight w:val="none"/>
          <w:lang w:val="en-US" w:eastAsia="zh-CN"/>
        </w:rPr>
        <w:t>17.5同时符合17.3和17.4的价格评审优惠时，评标价为投标报价分别扣除促进中小企业发展政策的价格评审优惠和本国产品支持政策的价格评审优惠后的价格。</w:t>
      </w:r>
    </w:p>
    <w:p w14:paraId="1E8B7020">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废标、重新招标与变更采购方式</w:t>
      </w:r>
    </w:p>
    <w:p w14:paraId="23CFDDD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.1出现下列情形之一，将导致项目废标：</w:t>
      </w:r>
    </w:p>
    <w:p w14:paraId="3B99799C">
      <w:pPr>
        <w:spacing w:line="360" w:lineRule="auto"/>
        <w:ind w:firstLine="435"/>
        <w:rPr>
          <w:rFonts w:ascii="宋体" w:hAnsi="宋体" w:eastAsia="宋体"/>
          <w:color w:val="auto"/>
          <w:sz w:val="24"/>
          <w:highlight w:val="none"/>
        </w:rPr>
      </w:pPr>
      <w:r>
        <w:rPr>
          <w:rFonts w:hint="eastAsia" w:asciiTheme="minorEastAsia" w:hAnsiTheme="minorEastAsia" w:eastAsiaTheme="minorEastAsia"/>
          <w:color w:val="auto"/>
          <w:sz w:val="24"/>
          <w:highlight w:val="none"/>
        </w:rPr>
        <w:t>（</w:t>
      </w:r>
      <w:r>
        <w:rPr>
          <w:rFonts w:hint="eastAsia" w:ascii="宋体" w:hAnsi="宋体" w:eastAsia="宋体"/>
          <w:color w:val="auto"/>
          <w:sz w:val="24"/>
          <w:highlight w:val="none"/>
        </w:rPr>
        <w:t>1）符合专业条件的供应商或者对招标文件做实质性响应的供应商不足规定数量的；</w:t>
      </w:r>
    </w:p>
    <w:p w14:paraId="0A0E79CC">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（2）出现影响采购公正的违法、违规行为的；</w:t>
      </w:r>
    </w:p>
    <w:p w14:paraId="1B020BCB">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（3）投标人的报价均超过了采购预算，采购人不能支付的；</w:t>
      </w:r>
    </w:p>
    <w:p w14:paraId="599F42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（4）因重大变故，采购任务取消的。</w:t>
      </w:r>
    </w:p>
    <w:p w14:paraId="03D78EF8">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18</w:t>
      </w:r>
      <w:r>
        <w:rPr>
          <w:rFonts w:hint="eastAsia" w:asciiTheme="minorEastAsia" w:hAnsiTheme="minorEastAsia" w:eastAsiaTheme="minorEastAsia"/>
          <w:color w:val="auto"/>
          <w:sz w:val="24"/>
          <w:highlight w:val="none"/>
        </w:rPr>
        <w:t>.2公开招标数额标准以上的采购项目，投标截止后投标人不足</w:t>
      </w:r>
      <w:r>
        <w:rPr>
          <w:rFonts w:asciiTheme="minorEastAsia" w:hAnsiTheme="minorEastAsia" w:eastAsiaTheme="minorEastAsia"/>
          <w:color w:val="auto"/>
          <w:sz w:val="24"/>
          <w:highlight w:val="none"/>
        </w:rPr>
        <w:t>3家或者通过</w:t>
      </w:r>
      <w:r>
        <w:rPr>
          <w:rFonts w:hint="eastAsia" w:asciiTheme="minorEastAsia" w:hAnsiTheme="minorEastAsia" w:eastAsiaTheme="minorEastAsia"/>
          <w:color w:val="auto"/>
          <w:sz w:val="24"/>
          <w:highlight w:val="none"/>
        </w:rPr>
        <w:t>资格审查或符合性审查</w:t>
      </w:r>
      <w:r>
        <w:rPr>
          <w:rFonts w:hint="eastAsia" w:ascii="宋体" w:hAnsi="宋体" w:eastAsia="宋体" w:cs="Times New Roman"/>
          <w:color w:val="auto"/>
          <w:sz w:val="24"/>
          <w:highlight w:val="none"/>
        </w:rPr>
        <w:t>或异常低价投标审查</w:t>
      </w:r>
      <w:r>
        <w:rPr>
          <w:rFonts w:hint="eastAsia" w:asciiTheme="minorEastAsia" w:hAnsiTheme="minorEastAsia" w:eastAsiaTheme="minorEastAsia"/>
          <w:color w:val="auto"/>
          <w:sz w:val="24"/>
          <w:highlight w:val="none"/>
        </w:rPr>
        <w:t>的投标人不足</w:t>
      </w:r>
      <w:r>
        <w:rPr>
          <w:rFonts w:asciiTheme="minorEastAsia" w:hAnsiTheme="minorEastAsia" w:eastAsiaTheme="minorEastAsia"/>
          <w:color w:val="auto"/>
          <w:sz w:val="24"/>
          <w:highlight w:val="none"/>
        </w:rPr>
        <w:t>3家的，除采购任务取消情形外，按照以下方式处理：</w:t>
      </w:r>
    </w:p>
    <w:p w14:paraId="3BD4346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（1）招标文件存在不合理条款或者招标程序不符合规定的，采购人、采购代理机构改正后依法重新招标；</w:t>
      </w:r>
    </w:p>
    <w:p w14:paraId="54F4C7C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（2）招标文件没有不合理条款、招标程序符合规定，需要采用其他采购方式采购的，采购人应当依法报</w:t>
      </w:r>
      <w:r>
        <w:rPr>
          <w:rFonts w:hint="eastAsia" w:ascii="宋体" w:hAnsi="宋体" w:eastAsia="宋体" w:cs="宋体"/>
          <w:b w:val="0"/>
          <w:bCs w:val="0"/>
          <w:color w:val="auto"/>
          <w:kern w:val="2"/>
          <w:sz w:val="24"/>
          <w:szCs w:val="24"/>
          <w:highlight w:val="none"/>
          <w:u w:val="none"/>
          <w:lang w:val="en-US" w:eastAsia="zh-CN" w:bidi="ar-SA"/>
        </w:rPr>
        <w:t>政府采购监督管理部门</w:t>
      </w:r>
      <w:r>
        <w:rPr>
          <w:rFonts w:hint="eastAsia" w:asciiTheme="minorEastAsia" w:hAnsiTheme="minorEastAsia" w:eastAsiaTheme="minorEastAsia"/>
          <w:color w:val="auto"/>
          <w:sz w:val="24"/>
          <w:highlight w:val="none"/>
        </w:rPr>
        <w:t>批准。</w:t>
      </w:r>
    </w:p>
    <w:p w14:paraId="577C964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19</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保密要求</w:t>
      </w:r>
    </w:p>
    <w:p w14:paraId="7C00708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.1评标将在严格保密的情况下进行。</w:t>
      </w:r>
    </w:p>
    <w:p w14:paraId="4AC8F8D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19</w:t>
      </w:r>
      <w:r>
        <w:rPr>
          <w:rFonts w:hint="eastAsia" w:ascii="宋体" w:hAnsi="宋体" w:eastAsia="宋体"/>
          <w:color w:val="auto"/>
          <w:sz w:val="24"/>
          <w:highlight w:val="none"/>
        </w:rPr>
        <w:t>.2有关人员</w:t>
      </w:r>
      <w:r>
        <w:rPr>
          <w:rFonts w:ascii="宋体" w:hAnsi="宋体" w:eastAsia="宋体"/>
          <w:color w:val="auto"/>
          <w:sz w:val="24"/>
          <w:highlight w:val="none"/>
        </w:rPr>
        <w:t>应当</w:t>
      </w:r>
      <w:r>
        <w:rPr>
          <w:rFonts w:hint="eastAsia" w:ascii="宋体" w:hAnsi="宋体" w:eastAsia="宋体"/>
          <w:color w:val="auto"/>
          <w:sz w:val="24"/>
          <w:highlight w:val="none"/>
        </w:rPr>
        <w:t>遵</w:t>
      </w:r>
      <w:r>
        <w:rPr>
          <w:rFonts w:ascii="宋体" w:hAnsi="宋体" w:eastAsia="宋体"/>
          <w:color w:val="auto"/>
          <w:sz w:val="24"/>
          <w:highlight w:val="none"/>
        </w:rPr>
        <w:t>守评</w:t>
      </w:r>
      <w:r>
        <w:rPr>
          <w:rFonts w:hint="eastAsia" w:ascii="宋体" w:hAnsi="宋体" w:eastAsia="宋体"/>
          <w:color w:val="auto"/>
          <w:sz w:val="24"/>
          <w:highlight w:val="none"/>
        </w:rPr>
        <w:t>标</w:t>
      </w:r>
      <w:r>
        <w:rPr>
          <w:rFonts w:ascii="宋体" w:hAnsi="宋体" w:eastAsia="宋体"/>
          <w:color w:val="auto"/>
          <w:sz w:val="24"/>
          <w:highlight w:val="none"/>
        </w:rPr>
        <w:t>工作纪律，不得</w:t>
      </w:r>
      <w:r>
        <w:rPr>
          <w:rFonts w:hint="eastAsia" w:ascii="宋体" w:hAnsi="宋体" w:eastAsia="宋体"/>
          <w:color w:val="auto"/>
          <w:sz w:val="24"/>
          <w:highlight w:val="none"/>
        </w:rPr>
        <w:t>泄露</w:t>
      </w:r>
      <w:r>
        <w:rPr>
          <w:rFonts w:ascii="宋体" w:hAnsi="宋体" w:eastAsia="宋体"/>
          <w:color w:val="auto"/>
          <w:sz w:val="24"/>
          <w:highlight w:val="none"/>
        </w:rPr>
        <w:t>评</w:t>
      </w:r>
      <w:r>
        <w:rPr>
          <w:rFonts w:hint="eastAsia" w:ascii="宋体" w:hAnsi="宋体" w:eastAsia="宋体"/>
          <w:color w:val="auto"/>
          <w:sz w:val="24"/>
          <w:highlight w:val="none"/>
        </w:rPr>
        <w:t>标文件</w:t>
      </w:r>
      <w:r>
        <w:rPr>
          <w:rFonts w:ascii="宋体" w:hAnsi="宋体" w:eastAsia="宋体"/>
          <w:color w:val="auto"/>
          <w:sz w:val="24"/>
          <w:highlight w:val="none"/>
        </w:rPr>
        <w:t>、评</w:t>
      </w:r>
      <w:r>
        <w:rPr>
          <w:rFonts w:hint="eastAsia" w:ascii="宋体" w:hAnsi="宋体" w:eastAsia="宋体"/>
          <w:color w:val="auto"/>
          <w:sz w:val="24"/>
          <w:highlight w:val="none"/>
        </w:rPr>
        <w:t>标</w:t>
      </w:r>
      <w:r>
        <w:rPr>
          <w:rFonts w:ascii="宋体" w:hAnsi="宋体" w:eastAsia="宋体"/>
          <w:color w:val="auto"/>
          <w:sz w:val="24"/>
          <w:highlight w:val="none"/>
        </w:rPr>
        <w:t>情况和评</w:t>
      </w:r>
      <w:r>
        <w:rPr>
          <w:rFonts w:hint="eastAsia" w:ascii="宋体" w:hAnsi="宋体" w:eastAsia="宋体"/>
          <w:color w:val="auto"/>
          <w:sz w:val="24"/>
          <w:highlight w:val="none"/>
        </w:rPr>
        <w:t>标</w:t>
      </w:r>
      <w:r>
        <w:rPr>
          <w:rFonts w:ascii="宋体" w:hAnsi="宋体" w:eastAsia="宋体"/>
          <w:color w:val="auto"/>
          <w:sz w:val="24"/>
          <w:highlight w:val="none"/>
        </w:rPr>
        <w:t>中获悉的</w:t>
      </w:r>
      <w:r>
        <w:rPr>
          <w:rFonts w:hint="eastAsia" w:ascii="宋体" w:hAnsi="宋体" w:eastAsia="宋体"/>
          <w:color w:val="auto"/>
          <w:sz w:val="24"/>
          <w:highlight w:val="none"/>
        </w:rPr>
        <w:t>国家秘密、</w:t>
      </w:r>
      <w:r>
        <w:rPr>
          <w:rFonts w:ascii="宋体" w:hAnsi="宋体" w:eastAsia="宋体"/>
          <w:color w:val="auto"/>
          <w:sz w:val="24"/>
          <w:highlight w:val="none"/>
        </w:rPr>
        <w:t>商业秘密。</w:t>
      </w:r>
    </w:p>
    <w:p w14:paraId="6AC0D6CD">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0</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中标候选人的确定原则及标准</w:t>
      </w:r>
    </w:p>
    <w:p w14:paraId="14B8DD5D">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20.1</w:t>
      </w:r>
      <w:r>
        <w:rPr>
          <w:rFonts w:asciiTheme="minorEastAsia" w:hAnsiTheme="minorEastAsia" w:eastAsiaTheme="minorEastAsia"/>
          <w:color w:val="auto"/>
          <w:sz w:val="24"/>
          <w:highlight w:val="none"/>
        </w:rPr>
        <w:t>评</w:t>
      </w:r>
      <w:r>
        <w:rPr>
          <w:rFonts w:hint="eastAsia" w:asciiTheme="minorEastAsia" w:hAnsiTheme="minorEastAsia" w:eastAsiaTheme="minorEastAsia"/>
          <w:color w:val="auto"/>
          <w:sz w:val="24"/>
          <w:highlight w:val="none"/>
        </w:rPr>
        <w:t>标</w:t>
      </w:r>
      <w:r>
        <w:rPr>
          <w:rFonts w:asciiTheme="minorEastAsia" w:hAnsiTheme="minorEastAsia" w:eastAsiaTheme="minorEastAsia"/>
          <w:color w:val="auto"/>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color w:val="auto"/>
          <w:sz w:val="24"/>
          <w:highlight w:val="none"/>
        </w:rPr>
        <w:t>，确定中标候选人</w:t>
      </w:r>
      <w:r>
        <w:rPr>
          <w:rFonts w:asciiTheme="minorEastAsia" w:hAnsiTheme="minorEastAsia" w:eastAsiaTheme="minorEastAsia"/>
          <w:color w:val="auto"/>
          <w:sz w:val="24"/>
          <w:highlight w:val="none"/>
        </w:rPr>
        <w:t>：</w:t>
      </w:r>
    </w:p>
    <w:p w14:paraId="14658EC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color w:val="auto"/>
          <w:sz w:val="24"/>
          <w:highlight w:val="none"/>
        </w:rPr>
        <w:t>出现两家或两家以上相同者，采取评标委员会随机抽取的方式确定中标候选顺序。</w:t>
      </w:r>
    </w:p>
    <w:p w14:paraId="074E44F3">
      <w:pPr>
        <w:spacing w:line="360" w:lineRule="auto"/>
        <w:ind w:firstLine="435"/>
        <w:rPr>
          <w:rFonts w:hint="default" w:eastAsiaTheme="minorEastAsia"/>
          <w:color w:val="auto"/>
          <w:highlight w:val="none"/>
          <w:lang w:val="en-US" w:eastAsia="zh-CN"/>
        </w:rPr>
      </w:pP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2）采用综合评分法的，评标结果按评审后得分由高到低顺序排列。得分相同的，</w:t>
      </w:r>
      <w:r>
        <w:rPr>
          <w:rFonts w:hint="eastAsia" w:asciiTheme="minorEastAsia" w:hAnsiTheme="minorEastAsia" w:eastAsiaTheme="minorEastAsia"/>
          <w:color w:val="auto"/>
          <w:sz w:val="24"/>
          <w:highlight w:val="none"/>
        </w:rPr>
        <w:t>按投标报价由低到高顺序排列。</w:t>
      </w:r>
      <w:r>
        <w:rPr>
          <w:rFonts w:asciiTheme="minorEastAsia" w:hAnsiTheme="minorEastAsia" w:eastAsiaTheme="minorEastAsia"/>
          <w:color w:val="auto"/>
          <w:sz w:val="24"/>
          <w:highlight w:val="none"/>
        </w:rPr>
        <w:t>得分与投标报价均相同的</w:t>
      </w:r>
      <w:r>
        <w:rPr>
          <w:rFonts w:hint="eastAsia" w:asciiTheme="minorEastAsia" w:hAnsiTheme="minorEastAsia" w:eastAsiaTheme="minorEastAsia"/>
          <w:color w:val="auto"/>
          <w:sz w:val="24"/>
          <w:highlight w:val="none"/>
        </w:rPr>
        <w:t>，则采取评标委员会随机抽取的方式确定中标候选顺序。</w:t>
      </w:r>
    </w:p>
    <w:p w14:paraId="28EBA742">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确定中标候选人和中标人</w:t>
      </w:r>
    </w:p>
    <w:p w14:paraId="7580AA9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.1评标委员会将根据评标标准，按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中规定数量推荐中标候选人。</w:t>
      </w:r>
    </w:p>
    <w:p w14:paraId="674B3F2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.2按</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hint="eastAsia" w:asciiTheme="minorEastAsia" w:hAnsiTheme="minorEastAsia" w:eastAsiaTheme="minorEastAsia"/>
          <w:color w:val="auto"/>
          <w:sz w:val="24"/>
          <w:highlight w:val="none"/>
        </w:rPr>
        <w:t>中规定，</w:t>
      </w:r>
      <w:r>
        <w:rPr>
          <w:rFonts w:asciiTheme="minorEastAsia" w:hAnsiTheme="minorEastAsia" w:eastAsiaTheme="minorEastAsia"/>
          <w:color w:val="auto"/>
          <w:sz w:val="24"/>
          <w:highlight w:val="none"/>
        </w:rPr>
        <w:t>由评标委员会或采购人确定中标人。</w:t>
      </w:r>
    </w:p>
    <w:p w14:paraId="3BBC155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1</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因重大变故采购任务取消时，采购人有权拒绝任何投标人中标，且对受影响的投标人不承担任何责任。</w:t>
      </w:r>
    </w:p>
    <w:p w14:paraId="01087E68">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编写评标报告</w:t>
      </w:r>
    </w:p>
    <w:p w14:paraId="3A75AC1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3BC625CF">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3</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中标结果公告</w:t>
      </w:r>
    </w:p>
    <w:p w14:paraId="5E2898F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除</w:t>
      </w:r>
      <w:r>
        <w:rPr>
          <w:rFonts w:asciiTheme="minorEastAsia" w:hAnsiTheme="minorEastAsia" w:eastAsiaTheme="minorEastAsia"/>
          <w:color w:val="auto"/>
          <w:sz w:val="24"/>
          <w:highlight w:val="none"/>
          <w:u w:val="single"/>
        </w:rPr>
        <w:t>投标</w:t>
      </w:r>
      <w:r>
        <w:rPr>
          <w:rFonts w:hint="eastAsia" w:asciiTheme="minorEastAsia" w:hAnsiTheme="minorEastAsia" w:eastAsiaTheme="minorEastAsia"/>
          <w:color w:val="auto"/>
          <w:sz w:val="24"/>
          <w:highlight w:val="none"/>
          <w:u w:val="single"/>
        </w:rPr>
        <w:t>人</w:t>
      </w:r>
      <w:r>
        <w:rPr>
          <w:rFonts w:asciiTheme="minorEastAsia" w:hAnsiTheme="minorEastAsia" w:eastAsiaTheme="minorEastAsia"/>
          <w:color w:val="auto"/>
          <w:sz w:val="24"/>
          <w:highlight w:val="none"/>
          <w:u w:val="single"/>
        </w:rPr>
        <w:t>须知前附表</w:t>
      </w:r>
      <w:r>
        <w:rPr>
          <w:rFonts w:asciiTheme="minorEastAsia" w:hAnsiTheme="minorEastAsia" w:eastAsiaTheme="minorEastAsia"/>
          <w:color w:val="auto"/>
          <w:sz w:val="24"/>
          <w:highlight w:val="none"/>
        </w:rPr>
        <w:t>规定由评标委员会直接确定中标</w:t>
      </w:r>
      <w:r>
        <w:rPr>
          <w:rFonts w:hint="eastAsia" w:asciiTheme="minorEastAsia" w:hAnsiTheme="minorEastAsia" w:eastAsiaTheme="minorEastAsia"/>
          <w:color w:val="auto"/>
          <w:sz w:val="24"/>
          <w:highlight w:val="none"/>
        </w:rPr>
        <w:t>人外，</w:t>
      </w:r>
      <w:r>
        <w:rPr>
          <w:rFonts w:asciiTheme="minorEastAsia" w:hAnsiTheme="minorEastAsia" w:eastAsiaTheme="minorEastAsia"/>
          <w:color w:val="auto"/>
          <w:sz w:val="24"/>
          <w:highlight w:val="none"/>
        </w:rPr>
        <w:t>在评标结束后2个工作日内</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采购代理机构将评标报告送采购人。采购人应当自收到评标报告之日起</w:t>
      </w:r>
      <w:r>
        <w:rPr>
          <w:rFonts w:hint="eastAsia" w:asciiTheme="minorEastAsia" w:hAnsiTheme="minorEastAsia" w:eastAsiaTheme="minorEastAsia"/>
          <w:color w:val="auto"/>
          <w:sz w:val="24"/>
          <w:highlight w:val="none"/>
        </w:rPr>
        <w:t>5</w:t>
      </w:r>
      <w:r>
        <w:rPr>
          <w:rFonts w:asciiTheme="minorEastAsia" w:hAnsiTheme="minorEastAsia" w:eastAsiaTheme="minorEastAsia"/>
          <w:color w:val="auto"/>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16C96A09">
      <w:pPr>
        <w:spacing w:line="360" w:lineRule="auto"/>
        <w:ind w:firstLine="435"/>
        <w:rPr>
          <w:rFonts w:ascii="宋体" w:hAnsi="宋体" w:eastAsia="宋体"/>
          <w:color w:val="auto"/>
          <w:sz w:val="24"/>
          <w:szCs w:val="18"/>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asciiTheme="minorEastAsia" w:hAnsiTheme="minorEastAsia" w:eastAsiaTheme="minorEastAsia"/>
          <w:color w:val="auto"/>
          <w:sz w:val="24"/>
          <w:highlight w:val="none"/>
        </w:rPr>
        <w:t>.2</w:t>
      </w:r>
      <w:r>
        <w:rPr>
          <w:rFonts w:hint="eastAsia" w:ascii="宋体" w:hAnsi="宋体" w:eastAsia="宋体"/>
          <w:color w:val="auto"/>
          <w:sz w:val="24"/>
          <w:szCs w:val="18"/>
          <w:highlight w:val="none"/>
        </w:rPr>
        <w:t>自中标人确定之日起2个工作日内，采购代理机构将在安徽省政府采购网（www.ccgp-anhui.gov.cn）上发布中标结果公告。</w:t>
      </w:r>
    </w:p>
    <w:p w14:paraId="3B4BD237">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.3</w:t>
      </w:r>
      <w:r>
        <w:rPr>
          <w:rFonts w:asciiTheme="minorEastAsia" w:hAnsiTheme="minorEastAsia" w:eastAsiaTheme="minorEastAsia"/>
          <w:color w:val="auto"/>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heme="minorEastAsia" w:hAnsiTheme="minorEastAsia" w:eastAsiaTheme="minorEastAsia"/>
          <w:color w:val="auto"/>
          <w:sz w:val="24"/>
          <w:highlight w:val="none"/>
          <w:u w:val="single"/>
        </w:rPr>
        <w:t>投标人须知前附表</w:t>
      </w:r>
      <w:r>
        <w:rPr>
          <w:rFonts w:asciiTheme="minorEastAsia" w:hAnsiTheme="minorEastAsia" w:eastAsiaTheme="minorEastAsia"/>
          <w:color w:val="auto"/>
          <w:sz w:val="24"/>
          <w:highlight w:val="none"/>
        </w:rPr>
        <w:t>中约定进行公告的内容。中标公告期限为1个工作日。</w:t>
      </w:r>
    </w:p>
    <w:p w14:paraId="30E5D14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2</w:t>
      </w:r>
      <w:r>
        <w:rPr>
          <w:rFonts w:hint="eastAsia" w:asciiTheme="minorEastAsia" w:hAnsiTheme="minorEastAsia" w:eastAsiaTheme="minorEastAsia"/>
          <w:b/>
          <w:color w:val="auto"/>
          <w:sz w:val="24"/>
          <w:highlight w:val="none"/>
          <w:lang w:val="en-US" w:eastAsia="zh-CN"/>
        </w:rPr>
        <w:t>4</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中标通知书</w:t>
      </w:r>
    </w:p>
    <w:p w14:paraId="1FC3E75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.1采购代理机构</w:t>
      </w:r>
      <w:r>
        <w:rPr>
          <w:rFonts w:ascii="宋体" w:hAnsi="宋体" w:eastAsia="宋体"/>
          <w:color w:val="auto"/>
          <w:sz w:val="24"/>
          <w:highlight w:val="none"/>
        </w:rPr>
        <w:t>发布</w:t>
      </w:r>
      <w:r>
        <w:rPr>
          <w:rFonts w:asciiTheme="minorEastAsia" w:hAnsiTheme="minorEastAsia" w:eastAsiaTheme="minorEastAsia"/>
          <w:color w:val="auto"/>
          <w:sz w:val="24"/>
          <w:highlight w:val="none"/>
        </w:rPr>
        <w:t>中标结果公告</w:t>
      </w:r>
      <w:r>
        <w:rPr>
          <w:rFonts w:hint="eastAsia" w:asciiTheme="minorEastAsia" w:hAnsiTheme="minorEastAsia" w:eastAsiaTheme="minorEastAsia"/>
          <w:iCs/>
          <w:color w:val="auto"/>
          <w:sz w:val="24"/>
          <w:highlight w:val="none"/>
        </w:rPr>
        <w:t>的</w:t>
      </w:r>
      <w:r>
        <w:rPr>
          <w:rFonts w:asciiTheme="minorEastAsia" w:hAnsiTheme="minorEastAsia" w:eastAsiaTheme="minorEastAsia"/>
          <w:color w:val="auto"/>
          <w:sz w:val="24"/>
          <w:highlight w:val="none"/>
        </w:rPr>
        <w:t>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形式向中标人发出中标通知书。</w:t>
      </w:r>
    </w:p>
    <w:p w14:paraId="7664DF9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.2中标通知书对采购人和中标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具有同等法律效力。中标通知书发出以后，采购人改变中标结果或者中标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放弃中标，应当承担相应的法律责任。</w:t>
      </w:r>
    </w:p>
    <w:p w14:paraId="718DD099">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.3中标通知书是</w:t>
      </w:r>
      <w:r>
        <w:rPr>
          <w:rFonts w:ascii="宋体" w:hAnsi="宋体" w:eastAsia="宋体"/>
          <w:color w:val="auto"/>
          <w:sz w:val="24"/>
          <w:highlight w:val="none"/>
        </w:rPr>
        <w:t>合同</w:t>
      </w:r>
      <w:r>
        <w:rPr>
          <w:rFonts w:asciiTheme="minorEastAsia" w:hAnsiTheme="minorEastAsia" w:eastAsiaTheme="minorEastAsia"/>
          <w:color w:val="auto"/>
          <w:sz w:val="24"/>
          <w:highlight w:val="none"/>
        </w:rPr>
        <w:t>的组成部分。</w:t>
      </w:r>
    </w:p>
    <w:p w14:paraId="6BA6D197">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25</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告知招标结果</w:t>
      </w:r>
    </w:p>
    <w:p w14:paraId="7D112912">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25</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在公告</w:t>
      </w:r>
      <w:r>
        <w:rPr>
          <w:rFonts w:asciiTheme="minorEastAsia" w:hAnsiTheme="minorEastAsia" w:eastAsiaTheme="minorEastAsia"/>
          <w:color w:val="auto"/>
          <w:sz w:val="24"/>
          <w:highlight w:val="none"/>
        </w:rPr>
        <w:t>中标结果的同时，采购代理机构同时以</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规定的</w:t>
      </w:r>
      <w:r>
        <w:rPr>
          <w:rFonts w:asciiTheme="minorEastAsia" w:hAnsiTheme="minorEastAsia" w:eastAsiaTheme="minorEastAsia"/>
          <w:color w:val="auto"/>
          <w:sz w:val="24"/>
          <w:highlight w:val="none"/>
        </w:rPr>
        <w:t>形式</w:t>
      </w:r>
      <w:r>
        <w:rPr>
          <w:rFonts w:hint="eastAsia" w:asciiTheme="minorEastAsia" w:hAnsiTheme="minorEastAsia" w:eastAsiaTheme="minorEastAsia"/>
          <w:color w:val="auto"/>
          <w:sz w:val="24"/>
          <w:highlight w:val="none"/>
        </w:rPr>
        <w:t>告知未通过资格审查的投标人未通过的原因；采用综合评分法评审的，还将告知未中标人本人的评审得分和排序。</w:t>
      </w:r>
    </w:p>
    <w:p w14:paraId="5C12738A">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26</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履约保证金</w:t>
      </w:r>
    </w:p>
    <w:p w14:paraId="1504A69B">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.1中标人应按照</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规定缴纳履约保证金。</w:t>
      </w:r>
    </w:p>
    <w:p w14:paraId="75F9861E">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color w:val="auto"/>
          <w:sz w:val="24"/>
          <w:highlight w:val="none"/>
          <w:lang w:val="en-US" w:eastAsia="zh-CN"/>
        </w:rPr>
        <w:t>26</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2</w:t>
      </w:r>
      <w:r>
        <w:rPr>
          <w:rFonts w:hint="eastAsia" w:ascii="宋体" w:hAnsi="宋体" w:eastAsia="宋体"/>
          <w:color w:val="auto"/>
          <w:sz w:val="24"/>
          <w:highlight w:val="none"/>
        </w:rPr>
        <w:t>如果</w:t>
      </w:r>
      <w:r>
        <w:rPr>
          <w:rFonts w:hint="eastAsia" w:asciiTheme="minorEastAsia" w:hAnsiTheme="minorEastAsia" w:eastAsiaTheme="minorEastAsia"/>
          <w:color w:val="auto"/>
          <w:sz w:val="24"/>
          <w:highlight w:val="none"/>
        </w:rPr>
        <w:t>中标人没有按照上述履约保证金的规定执行，将视为放弃中标资格。在此情况下，采购人可</w:t>
      </w:r>
      <w:r>
        <w:rPr>
          <w:rFonts w:asciiTheme="minorEastAsia" w:hAnsiTheme="minorEastAsia" w:eastAsiaTheme="minorEastAsia"/>
          <w:color w:val="auto"/>
          <w:sz w:val="24"/>
          <w:highlight w:val="none"/>
        </w:rPr>
        <w:t>确定下一</w:t>
      </w:r>
      <w:r>
        <w:rPr>
          <w:rFonts w:hint="eastAsia" w:ascii="宋体" w:hAnsi="宋体" w:eastAsia="宋体"/>
          <w:color w:val="auto"/>
          <w:sz w:val="24"/>
          <w:highlight w:val="none"/>
        </w:rPr>
        <w:t>中标</w:t>
      </w:r>
      <w:r>
        <w:rPr>
          <w:rFonts w:hint="eastAsia" w:asciiTheme="minorEastAsia" w:hAnsiTheme="minorEastAsia" w:eastAsiaTheme="minorEastAsia"/>
          <w:color w:val="auto"/>
          <w:sz w:val="24"/>
          <w:highlight w:val="none"/>
        </w:rPr>
        <w:t>候选</w:t>
      </w:r>
      <w:r>
        <w:rPr>
          <w:rFonts w:asciiTheme="minorEastAsia" w:hAnsiTheme="minorEastAsia" w:eastAsiaTheme="minorEastAsia"/>
          <w:color w:val="auto"/>
          <w:sz w:val="24"/>
          <w:highlight w:val="none"/>
        </w:rPr>
        <w:t>人为中标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，也可以重新开展采购活动。</w:t>
      </w:r>
    </w:p>
    <w:p w14:paraId="4BC8FF19">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lang w:val="en-US" w:eastAsia="zh-CN"/>
        </w:rPr>
        <w:t>27</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签订合同</w:t>
      </w:r>
    </w:p>
    <w:p w14:paraId="3EF80486">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.1</w:t>
      </w:r>
      <w:r>
        <w:rPr>
          <w:rFonts w:hint="eastAsia" w:ascii="宋体" w:hAnsi="宋体" w:eastAsia="宋体" w:cs="宋体"/>
          <w:color w:val="auto"/>
          <w:sz w:val="24"/>
          <w:szCs w:val="24"/>
          <w:highlight w:val="none"/>
          <w:u w:val="none"/>
          <w:lang w:val="en-US" w:eastAsia="zh-CN"/>
        </w:rPr>
        <w:t>采购人与中标人应当按照</w:t>
      </w:r>
      <w:r>
        <w:rPr>
          <w:rFonts w:hint="eastAsia" w:ascii="宋体" w:hAnsi="宋体" w:eastAsia="宋体" w:cs="宋体"/>
          <w:color w:val="auto"/>
          <w:sz w:val="24"/>
          <w:szCs w:val="24"/>
          <w:highlight w:val="none"/>
          <w:u w:val="single"/>
        </w:rPr>
        <w:t>投标人须知前附表</w:t>
      </w:r>
      <w:r>
        <w:rPr>
          <w:rFonts w:hint="eastAsia" w:ascii="宋体" w:hAnsi="宋体" w:eastAsia="宋体" w:cs="宋体"/>
          <w:color w:val="auto"/>
          <w:sz w:val="24"/>
          <w:szCs w:val="24"/>
          <w:highlight w:val="none"/>
          <w:u w:val="none"/>
        </w:rPr>
        <w:t>规定</w:t>
      </w:r>
      <w:r>
        <w:rPr>
          <w:rFonts w:hint="eastAsia" w:ascii="宋体" w:hAnsi="宋体" w:eastAsia="宋体" w:cs="宋体"/>
          <w:color w:val="auto"/>
          <w:sz w:val="24"/>
          <w:szCs w:val="24"/>
          <w:highlight w:val="none"/>
          <w:lang w:val="en-US" w:eastAsia="zh-CN"/>
        </w:rPr>
        <w:t>的时间内完成政府采购合同签订及合同公告。</w:t>
      </w:r>
    </w:p>
    <w:p w14:paraId="66C17B72">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27</w:t>
      </w:r>
      <w:r>
        <w:rPr>
          <w:rFonts w:hint="eastAsia" w:ascii="宋体" w:hAnsi="宋体" w:eastAsia="宋体"/>
          <w:color w:val="auto"/>
          <w:sz w:val="24"/>
          <w:highlight w:val="none"/>
        </w:rPr>
        <w:t>.2招标文件、中标人的投标文件及其澄清文件等，均为签订合同的依据。</w:t>
      </w:r>
    </w:p>
    <w:p w14:paraId="0635126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3中</w:t>
      </w:r>
      <w:r>
        <w:rPr>
          <w:rFonts w:ascii="宋体" w:hAnsi="宋体" w:eastAsia="宋体"/>
          <w:color w:val="auto"/>
          <w:sz w:val="24"/>
          <w:highlight w:val="none"/>
        </w:rPr>
        <w:t>标</w:t>
      </w:r>
      <w:r>
        <w:rPr>
          <w:rFonts w:hint="eastAsia" w:ascii="宋体" w:hAnsi="宋体" w:eastAsia="宋体"/>
          <w:color w:val="auto"/>
          <w:sz w:val="24"/>
          <w:highlight w:val="none"/>
        </w:rPr>
        <w:t>人</w:t>
      </w:r>
      <w:r>
        <w:rPr>
          <w:rFonts w:ascii="宋体" w:hAnsi="宋体" w:eastAsia="宋体"/>
          <w:color w:val="auto"/>
          <w:sz w:val="24"/>
          <w:highlight w:val="none"/>
        </w:rPr>
        <w:t>拒绝与采购人签订合同的，采购人可以按照评审报告推荐的中标候选人</w:t>
      </w:r>
      <w:r>
        <w:rPr>
          <w:rFonts w:hint="eastAsia" w:ascii="宋体" w:hAnsi="宋体" w:eastAsia="宋体"/>
          <w:color w:val="auto"/>
          <w:sz w:val="24"/>
          <w:highlight w:val="none"/>
        </w:rPr>
        <w:t>名单</w:t>
      </w:r>
      <w:r>
        <w:rPr>
          <w:rFonts w:ascii="宋体" w:hAnsi="宋体" w:eastAsia="宋体"/>
          <w:color w:val="auto"/>
          <w:sz w:val="24"/>
          <w:highlight w:val="none"/>
        </w:rPr>
        <w:t>排序</w:t>
      </w:r>
      <w:r>
        <w:rPr>
          <w:rFonts w:hint="eastAsia" w:ascii="宋体" w:hAnsi="宋体" w:eastAsia="宋体"/>
          <w:color w:val="auto"/>
          <w:sz w:val="24"/>
          <w:highlight w:val="none"/>
        </w:rPr>
        <w:t>，</w:t>
      </w:r>
      <w:r>
        <w:rPr>
          <w:rFonts w:ascii="宋体" w:hAnsi="宋体" w:eastAsia="宋体"/>
          <w:color w:val="auto"/>
          <w:sz w:val="24"/>
          <w:highlight w:val="none"/>
        </w:rPr>
        <w:t>确定下一</w:t>
      </w:r>
      <w:r>
        <w:rPr>
          <w:rFonts w:hint="eastAsia" w:ascii="宋体" w:hAnsi="宋体" w:eastAsia="宋体"/>
          <w:color w:val="auto"/>
          <w:sz w:val="24"/>
          <w:highlight w:val="none"/>
        </w:rPr>
        <w:t>中标候选</w:t>
      </w:r>
      <w:r>
        <w:rPr>
          <w:rFonts w:ascii="宋体" w:hAnsi="宋体" w:eastAsia="宋体"/>
          <w:color w:val="auto"/>
          <w:sz w:val="24"/>
          <w:highlight w:val="none"/>
        </w:rPr>
        <w:t>人为中标</w:t>
      </w:r>
      <w:r>
        <w:rPr>
          <w:rFonts w:hint="eastAsia" w:ascii="宋体" w:hAnsi="宋体" w:eastAsia="宋体"/>
          <w:color w:val="auto"/>
          <w:sz w:val="24"/>
          <w:highlight w:val="none"/>
        </w:rPr>
        <w:t>人</w:t>
      </w:r>
      <w:r>
        <w:rPr>
          <w:rFonts w:ascii="宋体" w:hAnsi="宋体" w:eastAsia="宋体"/>
          <w:color w:val="auto"/>
          <w:sz w:val="24"/>
          <w:highlight w:val="none"/>
        </w:rPr>
        <w:t>，也可以重新开展政府采购活动。</w:t>
      </w:r>
    </w:p>
    <w:p w14:paraId="248670C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w:t>
      </w:r>
      <w:r>
        <w:rPr>
          <w:rFonts w:hint="eastAsia" w:ascii="宋体" w:hAnsi="宋体" w:eastAsia="宋体"/>
          <w:color w:val="auto"/>
          <w:sz w:val="24"/>
          <w:highlight w:val="none"/>
          <w:lang w:val="en-US" w:eastAsia="zh-CN"/>
        </w:rPr>
        <w:t>7</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4</w:t>
      </w:r>
      <w:r>
        <w:rPr>
          <w:rFonts w:hint="eastAsia" w:ascii="宋体" w:hAnsi="宋体" w:eastAsia="宋体"/>
          <w:color w:val="auto"/>
          <w:sz w:val="24"/>
          <w:highlight w:val="none"/>
        </w:rPr>
        <w:t>依据《政府采购促进中小企业发展管理办法》（财库〔</w:t>
      </w:r>
      <w:r>
        <w:rPr>
          <w:rFonts w:ascii="宋体" w:hAnsi="宋体" w:eastAsia="宋体"/>
          <w:color w:val="auto"/>
          <w:sz w:val="24"/>
          <w:highlight w:val="none"/>
        </w:rPr>
        <w:t>2020〕46号</w:t>
      </w:r>
      <w:r>
        <w:rPr>
          <w:rFonts w:hint="eastAsia" w:ascii="宋体" w:hAnsi="宋体" w:eastAsia="宋体"/>
          <w:color w:val="auto"/>
          <w:sz w:val="24"/>
          <w:highlight w:val="none"/>
        </w:rPr>
        <w:t>）规定享受扶持政策获得政府采购合同的，小微企业不得将合同分包给大中型企业，中型企业不得将合同分包给大型企业。</w:t>
      </w:r>
    </w:p>
    <w:p w14:paraId="658FD914">
      <w:pPr>
        <w:spacing w:line="360" w:lineRule="auto"/>
        <w:ind w:firstLine="437"/>
        <w:outlineLvl w:val="2"/>
        <w:rPr>
          <w:rFonts w:hint="default" w:asciiTheme="minorEastAsia" w:hAnsiTheme="minorEastAsia" w:eastAsiaTheme="minorEastAsia"/>
          <w:b/>
          <w:color w:val="auto"/>
          <w:sz w:val="24"/>
          <w:highlight w:val="none"/>
          <w:lang w:val="en-US" w:eastAsia="zh-CN"/>
        </w:rPr>
      </w:pPr>
      <w:r>
        <w:rPr>
          <w:rFonts w:hint="eastAsia" w:asciiTheme="minorEastAsia" w:hAnsiTheme="minorEastAsia" w:eastAsiaTheme="minorEastAsia"/>
          <w:b/>
          <w:color w:val="auto"/>
          <w:sz w:val="24"/>
          <w:highlight w:val="none"/>
          <w:lang w:val="en-US" w:eastAsia="zh-CN"/>
        </w:rPr>
        <w:t>28</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lang w:val="en-US" w:eastAsia="zh-CN"/>
        </w:rPr>
        <w:t>代理费用</w:t>
      </w:r>
    </w:p>
    <w:p w14:paraId="6A1079E4">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val="en-US" w:eastAsia="zh-CN"/>
        </w:rPr>
        <w:t>28</w:t>
      </w:r>
      <w:r>
        <w:rPr>
          <w:rFonts w:ascii="宋体" w:hAnsi="宋体" w:eastAsia="宋体"/>
          <w:color w:val="auto"/>
          <w:sz w:val="24"/>
          <w:highlight w:val="none"/>
        </w:rPr>
        <w:t>.1</w:t>
      </w:r>
      <w:r>
        <w:rPr>
          <w:rFonts w:hint="eastAsia" w:ascii="宋体" w:hAnsi="宋体" w:eastAsia="宋体"/>
          <w:color w:val="auto"/>
          <w:sz w:val="24"/>
          <w:highlight w:val="none"/>
        </w:rPr>
        <w:t>本项目</w:t>
      </w:r>
      <w:r>
        <w:rPr>
          <w:rFonts w:hint="eastAsia" w:ascii="宋体" w:hAnsi="宋体" w:eastAsia="宋体"/>
          <w:color w:val="auto"/>
          <w:sz w:val="24"/>
          <w:highlight w:val="none"/>
          <w:lang w:val="en-US" w:eastAsia="zh-CN"/>
        </w:rPr>
        <w:t>代理费用</w:t>
      </w:r>
      <w:r>
        <w:rPr>
          <w:rFonts w:hint="eastAsia" w:ascii="宋体" w:hAnsi="宋体" w:eastAsia="宋体"/>
          <w:color w:val="auto"/>
          <w:sz w:val="24"/>
          <w:highlight w:val="none"/>
        </w:rPr>
        <w:t>的收取按</w:t>
      </w:r>
      <w:r>
        <w:rPr>
          <w:rFonts w:hint="eastAsia" w:asciiTheme="minorEastAsia" w:hAnsiTheme="minorEastAsia" w:eastAsiaTheme="minorEastAsia"/>
          <w:color w:val="auto"/>
          <w:sz w:val="24"/>
          <w:highlight w:val="none"/>
          <w:u w:val="single"/>
        </w:rPr>
        <w:t>投标人须知前附表的</w:t>
      </w:r>
      <w:r>
        <w:rPr>
          <w:rFonts w:hint="eastAsia" w:ascii="宋体" w:hAnsi="宋体" w:eastAsia="宋体"/>
          <w:color w:val="auto"/>
          <w:sz w:val="24"/>
          <w:highlight w:val="none"/>
        </w:rPr>
        <w:t>规定执行</w:t>
      </w:r>
      <w:r>
        <w:rPr>
          <w:rFonts w:hint="eastAsia" w:asciiTheme="minorEastAsia" w:hAnsiTheme="minorEastAsia" w:eastAsiaTheme="minorEastAsia"/>
          <w:color w:val="auto"/>
          <w:sz w:val="24"/>
          <w:highlight w:val="none"/>
        </w:rPr>
        <w:t>。</w:t>
      </w:r>
    </w:p>
    <w:p w14:paraId="387DA24B">
      <w:pPr>
        <w:spacing w:line="360" w:lineRule="auto"/>
        <w:ind w:firstLine="437"/>
        <w:outlineLvl w:val="2"/>
        <w:rPr>
          <w:rFonts w:asciiTheme="minorEastAsia" w:hAnsiTheme="minorEastAsia" w:eastAsiaTheme="minorEastAsia"/>
          <w:b/>
          <w:color w:val="auto"/>
          <w:sz w:val="24"/>
          <w:highlight w:val="none"/>
        </w:rPr>
      </w:pPr>
      <w:bookmarkStart w:id="26" w:name="_Toc518923100"/>
      <w:bookmarkStart w:id="27" w:name="_Toc2583661"/>
      <w:r>
        <w:rPr>
          <w:rFonts w:hint="eastAsia" w:asciiTheme="minorEastAsia" w:hAnsiTheme="minorEastAsia" w:eastAsiaTheme="minorEastAsia"/>
          <w:b/>
          <w:color w:val="auto"/>
          <w:sz w:val="24"/>
          <w:highlight w:val="none"/>
          <w:lang w:eastAsia="zh-CN"/>
        </w:rPr>
        <w:t>29.</w:t>
      </w:r>
      <w:r>
        <w:rPr>
          <w:rFonts w:hint="eastAsia" w:asciiTheme="minorEastAsia" w:hAnsiTheme="minorEastAsia" w:eastAsiaTheme="minorEastAsia"/>
          <w:b/>
          <w:color w:val="auto"/>
          <w:sz w:val="24"/>
          <w:highlight w:val="none"/>
        </w:rPr>
        <w:t>廉洁自律</w:t>
      </w:r>
      <w:r>
        <w:rPr>
          <w:rFonts w:asciiTheme="minorEastAsia" w:hAnsiTheme="minorEastAsia" w:eastAsiaTheme="minorEastAsia"/>
          <w:b/>
          <w:color w:val="auto"/>
          <w:sz w:val="24"/>
          <w:highlight w:val="none"/>
        </w:rPr>
        <w:t>规定</w:t>
      </w:r>
      <w:bookmarkEnd w:id="26"/>
      <w:bookmarkEnd w:id="27"/>
    </w:p>
    <w:p w14:paraId="4F9EC111">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hint="eastAsia" w:ascii="宋体" w:hAnsi="宋体" w:eastAsia="宋体"/>
          <w:color w:val="auto"/>
          <w:sz w:val="24"/>
          <w:highlight w:val="none"/>
        </w:rPr>
        <w:t>1采购代理机构</w:t>
      </w:r>
      <w:r>
        <w:rPr>
          <w:rFonts w:ascii="宋体" w:hAnsi="宋体" w:eastAsia="宋体"/>
          <w:color w:val="auto"/>
          <w:sz w:val="24"/>
          <w:highlight w:val="none"/>
        </w:rPr>
        <w:t>工作人员</w:t>
      </w:r>
      <w:r>
        <w:rPr>
          <w:rFonts w:hint="eastAsia" w:ascii="宋体" w:hAnsi="宋体" w:eastAsia="宋体"/>
          <w:color w:val="auto"/>
          <w:sz w:val="24"/>
          <w:highlight w:val="none"/>
        </w:rPr>
        <w:t>不得以不正当手段获取政府采购代理业务，不得与采购人、供应商恶意串通。</w:t>
      </w:r>
    </w:p>
    <w:p w14:paraId="495EDB40">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lang w:eastAsia="zh-CN"/>
        </w:rPr>
        <w:t>29.</w:t>
      </w:r>
      <w:r>
        <w:rPr>
          <w:rFonts w:ascii="宋体" w:hAnsi="宋体" w:eastAsia="宋体"/>
          <w:color w:val="auto"/>
          <w:sz w:val="24"/>
          <w:highlight w:val="none"/>
        </w:rPr>
        <w:t>2</w:t>
      </w:r>
      <w:r>
        <w:rPr>
          <w:rFonts w:hint="eastAsia" w:ascii="宋体" w:hAnsi="宋体" w:eastAsia="宋体"/>
          <w:color w:val="auto"/>
          <w:sz w:val="24"/>
          <w:highlight w:val="none"/>
        </w:rPr>
        <w:t>采购代理机构工作人员不得接受采购人或者供应商组织的宴请、旅游、娱乐，不得收受礼品、现金、有价证券等，不得向采购人或者供应商报销应当由个人承担的费用。</w:t>
      </w:r>
    </w:p>
    <w:p w14:paraId="1BCA439D">
      <w:pPr>
        <w:spacing w:line="360" w:lineRule="auto"/>
        <w:ind w:firstLine="437"/>
        <w:outlineLvl w:val="2"/>
        <w:rPr>
          <w:rFonts w:asciiTheme="minorEastAsia" w:hAnsiTheme="minorEastAsia" w:eastAsiaTheme="minorEastAsia"/>
          <w:b/>
          <w:color w:val="auto"/>
          <w:sz w:val="24"/>
          <w:highlight w:val="none"/>
        </w:rPr>
      </w:pPr>
      <w:bookmarkStart w:id="28" w:name="_Toc2583662"/>
      <w:bookmarkStart w:id="29" w:name="_Toc518923101"/>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0</w:t>
      </w:r>
      <w:r>
        <w:rPr>
          <w:rFonts w:hint="eastAsia" w:asciiTheme="minorEastAsia" w:hAnsiTheme="minorEastAsia" w:eastAsiaTheme="minorEastAsia"/>
          <w:b/>
          <w:color w:val="auto"/>
          <w:sz w:val="24"/>
          <w:highlight w:val="none"/>
        </w:rPr>
        <w:t>.人员回避</w:t>
      </w:r>
      <w:bookmarkEnd w:id="28"/>
      <w:bookmarkEnd w:id="29"/>
    </w:p>
    <w:p w14:paraId="078ED923">
      <w:pPr>
        <w:spacing w:line="360" w:lineRule="auto"/>
        <w:ind w:firstLine="435"/>
        <w:rPr>
          <w:rFonts w:ascii="仿宋_GB2312" w:hAnsi="宋体" w:eastAsia="仿宋_GB2312"/>
          <w:color w:val="auto"/>
          <w:sz w:val="24"/>
          <w:highlight w:val="none"/>
        </w:rPr>
      </w:pPr>
      <w:r>
        <w:rPr>
          <w:rFonts w:hint="eastAsia" w:ascii="宋体" w:hAnsi="宋体" w:eastAsia="宋体"/>
          <w:color w:val="auto"/>
          <w:sz w:val="24"/>
          <w:highlight w:val="none"/>
        </w:rPr>
        <w:t>投标人</w:t>
      </w:r>
      <w:r>
        <w:rPr>
          <w:rFonts w:ascii="宋体" w:hAnsi="宋体" w:eastAsia="宋体"/>
          <w:color w:val="auto"/>
          <w:sz w:val="24"/>
          <w:highlight w:val="none"/>
        </w:rPr>
        <w:t>认为采购人员</w:t>
      </w:r>
      <w:r>
        <w:rPr>
          <w:rFonts w:hint="eastAsia" w:ascii="宋体" w:hAnsi="宋体" w:eastAsia="宋体"/>
          <w:color w:val="auto"/>
          <w:sz w:val="24"/>
          <w:highlight w:val="none"/>
        </w:rPr>
        <w:t>及其</w:t>
      </w:r>
      <w:r>
        <w:rPr>
          <w:rFonts w:ascii="宋体" w:hAnsi="宋体" w:eastAsia="宋体"/>
          <w:color w:val="auto"/>
          <w:sz w:val="24"/>
          <w:highlight w:val="none"/>
        </w:rPr>
        <w:t>相关人员有</w:t>
      </w:r>
      <w:r>
        <w:rPr>
          <w:rFonts w:hint="eastAsia" w:ascii="宋体" w:hAnsi="宋体" w:eastAsia="宋体"/>
          <w:color w:val="auto"/>
          <w:sz w:val="24"/>
          <w:highlight w:val="none"/>
        </w:rPr>
        <w:t>法律</w:t>
      </w:r>
      <w:r>
        <w:rPr>
          <w:rFonts w:ascii="宋体" w:hAnsi="宋体" w:eastAsia="宋体"/>
          <w:color w:val="auto"/>
          <w:sz w:val="24"/>
          <w:highlight w:val="none"/>
        </w:rPr>
        <w:t>法规所列与其他供应商</w:t>
      </w:r>
      <w:r>
        <w:rPr>
          <w:rFonts w:hint="eastAsia" w:ascii="宋体" w:hAnsi="宋体" w:eastAsia="宋体"/>
          <w:color w:val="auto"/>
          <w:sz w:val="24"/>
          <w:highlight w:val="none"/>
        </w:rPr>
        <w:t>有</w:t>
      </w:r>
      <w:r>
        <w:rPr>
          <w:rFonts w:ascii="宋体" w:hAnsi="宋体" w:eastAsia="宋体"/>
          <w:color w:val="auto"/>
          <w:sz w:val="24"/>
          <w:highlight w:val="none"/>
        </w:rPr>
        <w:t>利害关系的，可以向</w:t>
      </w:r>
      <w:r>
        <w:rPr>
          <w:rFonts w:hint="eastAsia" w:ascii="宋体" w:hAnsi="宋体" w:eastAsia="宋体"/>
          <w:color w:val="auto"/>
          <w:sz w:val="24"/>
          <w:highlight w:val="none"/>
        </w:rPr>
        <w:t>采购人或</w:t>
      </w:r>
      <w:r>
        <w:rPr>
          <w:rFonts w:ascii="宋体" w:hAnsi="宋体" w:eastAsia="宋体"/>
          <w:color w:val="auto"/>
          <w:sz w:val="24"/>
          <w:highlight w:val="none"/>
        </w:rPr>
        <w:t>采购代理机构书面提出回避申请，并说明理由。</w:t>
      </w:r>
    </w:p>
    <w:p w14:paraId="7C5F1823">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1</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质疑的提出与接收</w:t>
      </w:r>
    </w:p>
    <w:p w14:paraId="4AEF8575">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.1投标人认为招标文件、招标过程和中标结果使自己的权益受到损害的，可以在知道或者应知其权益受到损害之日起七个工作日内，以书面形式向采购人或其委托的采购代理机构提出质疑。</w:t>
      </w:r>
    </w:p>
    <w:p w14:paraId="18B2B729">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hint="eastAsia" w:ascii="宋体" w:hAnsi="宋体" w:eastAsia="宋体"/>
          <w:color w:val="auto"/>
          <w:sz w:val="24"/>
          <w:highlight w:val="none"/>
        </w:rPr>
        <w:t>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388C0B5F">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rPr>
        <w:t>3</w:t>
      </w:r>
      <w:r>
        <w:rPr>
          <w:rFonts w:hint="eastAsia" w:ascii="宋体" w:hAnsi="宋体" w:eastAsia="宋体"/>
          <w:color w:val="auto"/>
          <w:sz w:val="24"/>
          <w:highlight w:val="none"/>
          <w:lang w:val="en-US" w:eastAsia="zh-CN"/>
        </w:rPr>
        <w:t>1</w:t>
      </w:r>
      <w:r>
        <w:rPr>
          <w:rFonts w:hint="eastAsia" w:ascii="宋体" w:hAnsi="宋体" w:eastAsia="宋体"/>
          <w:color w:val="auto"/>
          <w:sz w:val="24"/>
          <w:highlight w:val="none"/>
        </w:rPr>
        <w:t>.</w:t>
      </w:r>
      <w:r>
        <w:rPr>
          <w:rFonts w:hint="eastAsia" w:ascii="宋体" w:hAnsi="宋体" w:eastAsia="宋体"/>
          <w:color w:val="auto"/>
          <w:sz w:val="24"/>
          <w:highlight w:val="none"/>
          <w:lang w:val="en-US" w:eastAsia="zh-CN"/>
        </w:rPr>
        <w:t>3</w:t>
      </w:r>
      <w:r>
        <w:rPr>
          <w:rFonts w:hint="eastAsia" w:ascii="宋体" w:hAnsi="宋体" w:eastAsia="宋体"/>
          <w:color w:val="auto"/>
          <w:sz w:val="24"/>
          <w:highlight w:val="none"/>
        </w:rPr>
        <w:t>采购代理机构质疑函接收部门、联系电话和通讯地址，见</w:t>
      </w:r>
      <w:r>
        <w:rPr>
          <w:rFonts w:hint="eastAsia" w:ascii="宋体" w:hAnsi="宋体" w:eastAsia="宋体"/>
          <w:color w:val="auto"/>
          <w:sz w:val="24"/>
          <w:highlight w:val="none"/>
          <w:u w:val="single"/>
        </w:rPr>
        <w:t>投标人须知前附表</w:t>
      </w:r>
      <w:r>
        <w:rPr>
          <w:rFonts w:hint="eastAsia" w:ascii="宋体" w:hAnsi="宋体" w:eastAsia="宋体"/>
          <w:color w:val="auto"/>
          <w:sz w:val="24"/>
          <w:highlight w:val="none"/>
        </w:rPr>
        <w:t>。</w:t>
      </w:r>
    </w:p>
    <w:p w14:paraId="0EE63D38">
      <w:pPr>
        <w:spacing w:line="360" w:lineRule="auto"/>
        <w:ind w:firstLine="435"/>
        <w:rPr>
          <w:rFonts w:hint="eastAsia" w:ascii="宋体" w:hAnsi="宋体" w:eastAsia="宋体"/>
          <w:color w:val="auto"/>
          <w:sz w:val="24"/>
          <w:highlight w:val="none"/>
        </w:rPr>
      </w:pPr>
      <w:r>
        <w:rPr>
          <w:rFonts w:hint="eastAsia" w:ascii="宋体" w:hAnsi="宋体" w:eastAsia="宋体"/>
          <w:color w:val="auto"/>
          <w:sz w:val="24"/>
          <w:highlight w:val="none"/>
          <w:lang w:val="en-US" w:eastAsia="zh-CN"/>
        </w:rPr>
        <w:t>注：上述条款中所要求的书面形式包含通过电子交易系统递交方式。</w:t>
      </w:r>
    </w:p>
    <w:p w14:paraId="5F15E1DB">
      <w:pPr>
        <w:spacing w:line="360" w:lineRule="auto"/>
        <w:ind w:firstLine="437"/>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3</w:t>
      </w:r>
      <w:r>
        <w:rPr>
          <w:rFonts w:hint="eastAsia" w:asciiTheme="minorEastAsia" w:hAnsiTheme="minorEastAsia" w:eastAsiaTheme="minorEastAsia"/>
          <w:b/>
          <w:color w:val="auto"/>
          <w:sz w:val="24"/>
          <w:highlight w:val="none"/>
          <w:lang w:val="en-US" w:eastAsia="zh-CN"/>
        </w:rPr>
        <w:t>2</w:t>
      </w:r>
      <w:r>
        <w:rPr>
          <w:rFonts w:asciiTheme="minorEastAsia" w:hAnsiTheme="minorEastAsia" w:eastAsiaTheme="minorEastAsia"/>
          <w:b/>
          <w:color w:val="auto"/>
          <w:sz w:val="24"/>
          <w:highlight w:val="none"/>
        </w:rPr>
        <w:t>.</w:t>
      </w:r>
      <w:r>
        <w:rPr>
          <w:rFonts w:hint="eastAsia" w:asciiTheme="minorEastAsia" w:hAnsiTheme="minorEastAsia" w:eastAsiaTheme="minorEastAsia"/>
          <w:b/>
          <w:color w:val="auto"/>
          <w:sz w:val="24"/>
          <w:highlight w:val="none"/>
        </w:rPr>
        <w:t>需要补充的其他内容</w:t>
      </w:r>
    </w:p>
    <w:p w14:paraId="00C0CF19">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需要补充的其他内容，见</w:t>
      </w:r>
      <w:r>
        <w:rPr>
          <w:rFonts w:hint="eastAsia" w:asciiTheme="minorEastAsia" w:hAnsiTheme="minorEastAsia" w:eastAsiaTheme="minorEastAsia"/>
          <w:color w:val="auto"/>
          <w:sz w:val="24"/>
          <w:highlight w:val="none"/>
          <w:u w:val="single"/>
        </w:rPr>
        <w:t>投标人须知前附表</w:t>
      </w:r>
      <w:r>
        <w:rPr>
          <w:rFonts w:hint="eastAsia" w:asciiTheme="minorEastAsia" w:hAnsiTheme="minorEastAsia" w:eastAsiaTheme="minorEastAsia"/>
          <w:color w:val="auto"/>
          <w:sz w:val="24"/>
          <w:highlight w:val="none"/>
        </w:rPr>
        <w:t>。</w:t>
      </w:r>
    </w:p>
    <w:p w14:paraId="77CC4155">
      <w:pPr>
        <w:widowControl/>
        <w:jc w:val="left"/>
        <w:rPr>
          <w:rFonts w:asciiTheme="minorEastAsia" w:hAnsiTheme="minorEastAsia" w:eastAsiaTheme="minorEastAsia"/>
          <w:b/>
          <w:color w:val="auto"/>
          <w:sz w:val="28"/>
          <w:highlight w:val="none"/>
        </w:rPr>
      </w:pPr>
      <w:r>
        <w:rPr>
          <w:rFonts w:asciiTheme="minorEastAsia" w:hAnsiTheme="minorEastAsia" w:eastAsiaTheme="minorEastAsia"/>
          <w:color w:val="auto"/>
          <w:sz w:val="24"/>
          <w:highlight w:val="none"/>
        </w:rPr>
        <w:br w:type="page"/>
      </w:r>
    </w:p>
    <w:p w14:paraId="3F56975D">
      <w:pPr>
        <w:numPr>
          <w:ilvl w:val="0"/>
          <w:numId w:val="1"/>
        </w:numPr>
        <w:spacing w:line="360" w:lineRule="auto"/>
        <w:jc w:val="center"/>
        <w:outlineLvl w:val="0"/>
        <w:rPr>
          <w:rFonts w:hint="eastAsia" w:asciiTheme="minorEastAsia" w:hAnsiTheme="minorEastAsia" w:eastAsiaTheme="minorEastAsia"/>
          <w:b/>
          <w:color w:val="auto"/>
          <w:sz w:val="28"/>
          <w:highlight w:val="none"/>
          <w:lang w:eastAsia="zh-CN"/>
        </w:rPr>
      </w:pPr>
      <w:r>
        <w:rPr>
          <w:rFonts w:hint="eastAsia" w:asciiTheme="minorEastAsia" w:hAnsiTheme="minorEastAsia" w:eastAsiaTheme="minorEastAsia"/>
          <w:b/>
          <w:color w:val="auto"/>
          <w:sz w:val="28"/>
          <w:highlight w:val="none"/>
        </w:rPr>
        <w:t xml:space="preserve"> </w:t>
      </w:r>
      <w:bookmarkStart w:id="30" w:name="_Toc22605"/>
      <w:r>
        <w:rPr>
          <w:rFonts w:hint="eastAsia" w:asciiTheme="minorEastAsia" w:hAnsiTheme="minorEastAsia" w:eastAsiaTheme="minorEastAsia"/>
          <w:b/>
          <w:color w:val="auto"/>
          <w:sz w:val="28"/>
          <w:highlight w:val="none"/>
        </w:rPr>
        <w:t>采购需求</w:t>
      </w:r>
      <w:bookmarkEnd w:id="30"/>
    </w:p>
    <w:p w14:paraId="6A5DD343">
      <w:pPr>
        <w:spacing w:line="360" w:lineRule="auto"/>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前注：</w:t>
      </w:r>
    </w:p>
    <w:p w14:paraId="0553225B">
      <w:pPr>
        <w:spacing w:line="360" w:lineRule="auto"/>
        <w:ind w:firstLine="435"/>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rPr>
        <w:t>本采购需求中提出的服务方案仅为参考，如无明确限制，投标人可以进行优化，提供满足采购人实际需要的更优（或者性能实质上不低于的）服务方案，且此方案须经评标委员会评审认可。</w:t>
      </w:r>
    </w:p>
    <w:p w14:paraId="1B2FF7F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w:t>
      </w:r>
      <w:r>
        <w:rPr>
          <w:rFonts w:ascii="宋体" w:hAnsi="宋体" w:eastAsia="宋体" w:cs="宋体"/>
          <w:color w:val="auto"/>
          <w:sz w:val="24"/>
          <w:szCs w:val="24"/>
          <w:highlight w:val="none"/>
        </w:rPr>
        <w:t>政府采购政策（包括但不限于下列具体政策要求</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p>
    <w:p w14:paraId="5C5786C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64B27F2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08BF27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ascii="宋体" w:hAnsi="宋体" w:eastAsia="宋体"/>
          <w:bCs/>
          <w:color w:val="auto"/>
          <w:sz w:val="24"/>
          <w:szCs w:val="18"/>
          <w:highlight w:val="none"/>
        </w:rPr>
      </w:pPr>
      <w:r>
        <w:rPr>
          <w:rFonts w:hint="eastAsia" w:ascii="宋体" w:hAnsi="宋体" w:eastAsia="宋体" w:cs="宋体"/>
          <w:color w:val="auto"/>
          <w:sz w:val="24"/>
          <w:szCs w:val="24"/>
          <w:highlight w:val="none"/>
        </w:rPr>
        <w:t>3.如采购人允许采用分包方式履行合同的，应当明确可以分包履行的相关内容。</w:t>
      </w:r>
    </w:p>
    <w:p w14:paraId="04C4E16E">
      <w:pPr>
        <w:spacing w:line="360" w:lineRule="auto"/>
        <w:ind w:firstLine="437"/>
        <w:outlineLvl w:val="1"/>
        <w:rPr>
          <w:rFonts w:ascii="宋体" w:hAnsi="宋体" w:eastAsia="宋体"/>
          <w:b/>
          <w:color w:val="auto"/>
          <w:sz w:val="24"/>
          <w:szCs w:val="18"/>
          <w:highlight w:val="none"/>
        </w:rPr>
      </w:pPr>
      <w:bookmarkStart w:id="31" w:name="_Toc4148"/>
      <w:bookmarkStart w:id="32" w:name="_Toc21798"/>
      <w:bookmarkStart w:id="33" w:name="_Hlk23621890"/>
      <w:r>
        <w:rPr>
          <w:rFonts w:hint="eastAsia" w:ascii="宋体" w:hAnsi="宋体" w:eastAsia="宋体"/>
          <w:b/>
          <w:color w:val="auto"/>
          <w:sz w:val="24"/>
          <w:szCs w:val="18"/>
          <w:highlight w:val="none"/>
        </w:rPr>
        <w:t>一、采购需求前附表</w:t>
      </w:r>
      <w:bookmarkEnd w:id="31"/>
      <w:bookmarkEnd w:id="32"/>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6"/>
        <w:gridCol w:w="2032"/>
        <w:gridCol w:w="5484"/>
      </w:tblGrid>
      <w:tr w14:paraId="4D85B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05142892">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color w:val="auto"/>
                <w:kern w:val="2"/>
                <w:sz w:val="24"/>
                <w:szCs w:val="24"/>
                <w:highlight w:val="none"/>
              </w:rPr>
            </w:pPr>
            <w:r>
              <w:rPr>
                <w:rFonts w:hint="eastAsia" w:asciiTheme="minorEastAsia" w:hAnsiTheme="minorEastAsia" w:eastAsiaTheme="minorEastAsia" w:cstheme="minorEastAsia"/>
                <w:b/>
                <w:color w:val="auto"/>
                <w:kern w:val="2"/>
                <w:sz w:val="24"/>
                <w:szCs w:val="24"/>
                <w:highlight w:val="none"/>
              </w:rPr>
              <w:t>序号</w:t>
            </w:r>
          </w:p>
        </w:tc>
        <w:tc>
          <w:tcPr>
            <w:tcW w:w="1192" w:type="pct"/>
            <w:vAlign w:val="center"/>
          </w:tcPr>
          <w:p w14:paraId="3383168B">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eastAsia" w:asciiTheme="minorEastAsia" w:hAnsiTheme="minorEastAsia" w:eastAsiaTheme="minorEastAsia" w:cstheme="minorEastAsia"/>
                <w:bCs w:val="0"/>
                <w:color w:val="auto"/>
                <w:sz w:val="24"/>
                <w:szCs w:val="24"/>
                <w:highlight w:val="none"/>
              </w:rPr>
            </w:pPr>
            <w:r>
              <w:rPr>
                <w:rFonts w:hint="eastAsia" w:asciiTheme="minorEastAsia" w:hAnsiTheme="minorEastAsia" w:eastAsiaTheme="minorEastAsia" w:cstheme="minorEastAsia"/>
                <w:bCs w:val="0"/>
                <w:color w:val="auto"/>
                <w:sz w:val="24"/>
                <w:szCs w:val="24"/>
                <w:highlight w:val="none"/>
              </w:rPr>
              <w:t>条款名称</w:t>
            </w:r>
          </w:p>
        </w:tc>
        <w:tc>
          <w:tcPr>
            <w:tcW w:w="3217" w:type="pct"/>
            <w:vAlign w:val="center"/>
          </w:tcPr>
          <w:p w14:paraId="58F59389">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eastAsia" w:asciiTheme="minorEastAsia" w:hAnsiTheme="minorEastAsia" w:eastAsiaTheme="minorEastAsia" w:cstheme="minorEastAsia"/>
                <w:bCs w:val="0"/>
                <w:color w:val="auto"/>
                <w:sz w:val="24"/>
                <w:szCs w:val="24"/>
                <w:highlight w:val="none"/>
              </w:rPr>
            </w:pPr>
            <w:r>
              <w:rPr>
                <w:rFonts w:hint="eastAsia" w:asciiTheme="minorEastAsia" w:hAnsiTheme="minorEastAsia" w:eastAsiaTheme="minorEastAsia" w:cstheme="minorEastAsia"/>
                <w:bCs w:val="0"/>
                <w:color w:val="auto"/>
                <w:sz w:val="24"/>
                <w:szCs w:val="24"/>
                <w:highlight w:val="none"/>
              </w:rPr>
              <w:t>内容、说明与要求</w:t>
            </w:r>
          </w:p>
        </w:tc>
      </w:tr>
      <w:tr w14:paraId="33237D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33BE52A7">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1</w:t>
            </w:r>
          </w:p>
        </w:tc>
        <w:tc>
          <w:tcPr>
            <w:tcW w:w="1192" w:type="pct"/>
            <w:vAlign w:val="center"/>
          </w:tcPr>
          <w:p w14:paraId="1BFE8AAF">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付款方式</w:t>
            </w:r>
          </w:p>
        </w:tc>
        <w:tc>
          <w:tcPr>
            <w:tcW w:w="3217" w:type="pct"/>
            <w:vAlign w:val="center"/>
          </w:tcPr>
          <w:p w14:paraId="278847DB">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cs="@仿宋_GB2312" w:asciiTheme="minorEastAsia" w:hAnsiTheme="minorEastAsia" w:eastAsiaTheme="minorEastAsia"/>
                <w:b w:val="0"/>
                <w:bCs w:val="0"/>
                <w:color w:val="auto"/>
                <w:kern w:val="2"/>
                <w:sz w:val="24"/>
                <w:szCs w:val="20"/>
                <w:highlight w:val="none"/>
                <w:lang w:val="en-US" w:eastAsia="zh-CN" w:bidi="ar-SA"/>
              </w:rPr>
            </w:pPr>
            <w:r>
              <w:rPr>
                <w:rFonts w:hint="eastAsia" w:cs="@仿宋_GB2312" w:asciiTheme="minorEastAsia" w:hAnsiTheme="minorEastAsia" w:eastAsiaTheme="minorEastAsia"/>
                <w:b w:val="0"/>
                <w:bCs w:val="0"/>
                <w:color w:val="auto"/>
                <w:kern w:val="2"/>
                <w:sz w:val="24"/>
                <w:szCs w:val="20"/>
                <w:highlight w:val="none"/>
                <w:lang w:val="en-US" w:eastAsia="zh-CN" w:bidi="ar-SA"/>
              </w:rPr>
              <w:t>每个单孔开孔前，采购人在收到中标人提供的等额增值税专用发票后，支付该孔设计孔深×对应中标单价的40%作为本孔预付款，预付款在该孔最终结算价款中全额抵扣。中标人未按期进场、擅自停工或撤场的，采购人有权暂停支付后续预付款，并要求中标人返还已支付尚未抵扣的预付款。</w:t>
            </w:r>
          </w:p>
          <w:p w14:paraId="7D027178">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 w:val="0"/>
                <w:color w:val="auto"/>
                <w:sz w:val="24"/>
                <w:szCs w:val="24"/>
                <w:highlight w:val="none"/>
                <w:u w:val="single"/>
              </w:rPr>
            </w:pPr>
            <w:r>
              <w:rPr>
                <w:rFonts w:hint="eastAsia" w:cs="@仿宋_GB2312" w:asciiTheme="minorEastAsia" w:hAnsiTheme="minorEastAsia" w:eastAsiaTheme="minorEastAsia"/>
                <w:b w:val="0"/>
                <w:bCs w:val="0"/>
                <w:color w:val="auto"/>
                <w:kern w:val="2"/>
                <w:sz w:val="24"/>
                <w:szCs w:val="20"/>
                <w:highlight w:val="none"/>
                <w:lang w:val="en-US" w:eastAsia="zh-CN" w:bidi="ar-SA"/>
              </w:rPr>
              <w:t>本项目最终结算工作量以采购人统筹安排、现场验收合格且经双方共同确认的实际完成工作量为准，结算价款按经确认的实际完成工作量及合同约定单价计取。待采购人项目经费到账，中标人提交双方共同签字确认的工作量结算单，并按结算净额（扣除对应单孔已付预付款）开具等额增值税专用发票后，采购人在收到完整结算资料且审核无误后支付剩余款项。中标人提交的结算资料不完整、不准确或未按采购人要求补正的，付款期限自补正完成之日起重新计算，因中标人原因造成的付款延迟采购人不承担逾期责任。采购人对结算资料的审核确认，不构成对中标人施工质量、工期违约责任及采购人其他权利的放弃。</w:t>
            </w:r>
          </w:p>
        </w:tc>
      </w:tr>
      <w:tr w14:paraId="56E57D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49EC4161">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2</w:t>
            </w:r>
          </w:p>
        </w:tc>
        <w:tc>
          <w:tcPr>
            <w:tcW w:w="1192" w:type="pct"/>
            <w:vAlign w:val="center"/>
          </w:tcPr>
          <w:p w14:paraId="1C182C68">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服务地点</w:t>
            </w:r>
          </w:p>
        </w:tc>
        <w:tc>
          <w:tcPr>
            <w:tcW w:w="3217" w:type="pct"/>
            <w:vAlign w:val="center"/>
          </w:tcPr>
          <w:p w14:paraId="3F86AE39">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滁州市凤阳县大溪河镇</w:t>
            </w:r>
          </w:p>
        </w:tc>
      </w:tr>
      <w:tr w14:paraId="436CD6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27C3119">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2"/>
                <w:sz w:val="24"/>
                <w:szCs w:val="24"/>
                <w:highlight w:val="none"/>
              </w:rPr>
            </w:pPr>
            <w:r>
              <w:rPr>
                <w:rFonts w:hint="eastAsia" w:asciiTheme="minorEastAsia" w:hAnsiTheme="minorEastAsia" w:eastAsiaTheme="minorEastAsia" w:cstheme="minorEastAsia"/>
                <w:bCs/>
                <w:color w:val="auto"/>
                <w:kern w:val="2"/>
                <w:sz w:val="24"/>
                <w:szCs w:val="24"/>
                <w:highlight w:val="none"/>
              </w:rPr>
              <w:t>3</w:t>
            </w:r>
          </w:p>
        </w:tc>
        <w:tc>
          <w:tcPr>
            <w:tcW w:w="1192" w:type="pct"/>
            <w:vAlign w:val="center"/>
          </w:tcPr>
          <w:p w14:paraId="616F3567">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服务期限</w:t>
            </w:r>
          </w:p>
        </w:tc>
        <w:tc>
          <w:tcPr>
            <w:tcW w:w="3217" w:type="pct"/>
            <w:vAlign w:val="center"/>
          </w:tcPr>
          <w:p w14:paraId="229F6D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olor w:val="auto"/>
                <w:sz w:val="24"/>
                <w:highlight w:val="none"/>
              </w:rPr>
              <w:t>合同签订后，具体工作由</w:t>
            </w:r>
            <w:r>
              <w:rPr>
                <w:rFonts w:hint="eastAsia" w:asciiTheme="minorEastAsia" w:hAnsiTheme="minorEastAsia" w:eastAsiaTheme="minorEastAsia"/>
                <w:color w:val="auto"/>
                <w:sz w:val="24"/>
                <w:highlight w:val="none"/>
                <w:lang w:val="en-US" w:eastAsia="zh-CN"/>
              </w:rPr>
              <w:t>采购人</w:t>
            </w:r>
            <w:r>
              <w:rPr>
                <w:rFonts w:hint="eastAsia" w:asciiTheme="minorEastAsia" w:hAnsiTheme="minorEastAsia" w:eastAsiaTheme="minorEastAsia"/>
                <w:color w:val="auto"/>
                <w:sz w:val="24"/>
                <w:highlight w:val="none"/>
              </w:rPr>
              <w:t>根据项目进度以书面形式（含电子邮件、传真）通知安排。自</w:t>
            </w:r>
            <w:r>
              <w:rPr>
                <w:rFonts w:hint="eastAsia" w:asciiTheme="minorEastAsia" w:hAnsiTheme="minorEastAsia" w:eastAsiaTheme="minorEastAsia"/>
                <w:color w:val="auto"/>
                <w:sz w:val="24"/>
                <w:highlight w:val="none"/>
                <w:lang w:val="en-US" w:eastAsia="zh-CN"/>
              </w:rPr>
              <w:t>采购人</w:t>
            </w:r>
            <w:r>
              <w:rPr>
                <w:rFonts w:hint="eastAsia" w:asciiTheme="minorEastAsia" w:hAnsiTheme="minorEastAsia" w:eastAsiaTheme="minorEastAsia"/>
                <w:color w:val="auto"/>
                <w:sz w:val="24"/>
                <w:highlight w:val="none"/>
              </w:rPr>
              <w:t>书面通知进场之日起，单孔60个日历天内完成该孔设计工作量并通过</w:t>
            </w:r>
            <w:r>
              <w:rPr>
                <w:rFonts w:hint="eastAsia" w:asciiTheme="minorEastAsia" w:hAnsiTheme="minorEastAsia" w:eastAsiaTheme="minorEastAsia"/>
                <w:color w:val="auto"/>
                <w:sz w:val="24"/>
                <w:highlight w:val="none"/>
                <w:lang w:val="en-US" w:eastAsia="zh-CN"/>
              </w:rPr>
              <w:t>采购人</w:t>
            </w:r>
            <w:r>
              <w:rPr>
                <w:rFonts w:hint="eastAsia" w:asciiTheme="minorEastAsia" w:hAnsiTheme="minorEastAsia" w:eastAsiaTheme="minorEastAsia"/>
                <w:color w:val="auto"/>
                <w:sz w:val="24"/>
                <w:highlight w:val="none"/>
              </w:rPr>
              <w:t>验收，同时提交符合要求的岩心、班报表及原始记录等资料。预计2028年4月前完成全部钻探工作量，全部工作量最迟不得晚于2028年4月30日完成。</w:t>
            </w:r>
          </w:p>
        </w:tc>
      </w:tr>
      <w:tr w14:paraId="4FB50E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90" w:type="pct"/>
            <w:vAlign w:val="center"/>
          </w:tcPr>
          <w:p w14:paraId="569363AF">
            <w:pPr>
              <w:pStyle w:val="40"/>
              <w:keepNext w:val="0"/>
              <w:keepLines w:val="0"/>
              <w:pageBreakBefore w:val="0"/>
              <w:widowControl w:val="0"/>
              <w:pBdr>
                <w:bottom w:val="none" w:color="auto" w:sz="0" w:space="0"/>
              </w:pBdr>
              <w:tabs>
                <w:tab w:val="clear" w:pos="4153"/>
                <w:tab w:val="clear" w:pos="8306"/>
              </w:tabs>
              <w:kinsoku/>
              <w:wordWrap/>
              <w:overflowPunct/>
              <w:topLinePunct w:val="0"/>
              <w:autoSpaceDE/>
              <w:autoSpaceDN/>
              <w:bidi w:val="0"/>
              <w:adjustRightInd/>
              <w:snapToGrid/>
              <w:spacing w:line="360" w:lineRule="auto"/>
              <w:textAlignment w:val="auto"/>
              <w:rPr>
                <w:rFonts w:hint="eastAsia" w:asciiTheme="minorEastAsia" w:hAnsiTheme="minorEastAsia" w:eastAsiaTheme="minorEastAsia" w:cstheme="minorEastAsia"/>
                <w:bCs/>
                <w:color w:val="auto"/>
                <w:kern w:val="2"/>
                <w:sz w:val="24"/>
                <w:szCs w:val="24"/>
                <w:highlight w:val="none"/>
                <w:lang w:val="en-US" w:eastAsia="zh-CN"/>
              </w:rPr>
            </w:pPr>
            <w:r>
              <w:rPr>
                <w:rFonts w:hint="eastAsia" w:asciiTheme="minorEastAsia" w:hAnsiTheme="minorEastAsia" w:eastAsiaTheme="minorEastAsia" w:cstheme="minorEastAsia"/>
                <w:bCs/>
                <w:color w:val="auto"/>
                <w:kern w:val="2"/>
                <w:sz w:val="24"/>
                <w:szCs w:val="24"/>
                <w:highlight w:val="none"/>
                <w:lang w:val="en-US" w:eastAsia="zh-CN"/>
              </w:rPr>
              <w:t>4</w:t>
            </w:r>
          </w:p>
        </w:tc>
        <w:tc>
          <w:tcPr>
            <w:tcW w:w="1192" w:type="pct"/>
            <w:vAlign w:val="center"/>
          </w:tcPr>
          <w:p w14:paraId="51BB34FC">
            <w:pPr>
              <w:pStyle w:val="39"/>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eastAsia" w:asciiTheme="minorEastAsia" w:hAnsiTheme="minorEastAsia" w:eastAsiaTheme="minorEastAsia" w:cstheme="minorEastAsia"/>
                <w:b w:val="0"/>
                <w:color w:val="auto"/>
                <w:sz w:val="24"/>
                <w:szCs w:val="24"/>
                <w:highlight w:val="none"/>
              </w:rPr>
            </w:pPr>
            <w:r>
              <w:rPr>
                <w:rFonts w:hint="eastAsia" w:asciiTheme="minorEastAsia" w:hAnsiTheme="minorEastAsia" w:eastAsiaTheme="minorEastAsia" w:cstheme="minorEastAsia"/>
                <w:b w:val="0"/>
                <w:color w:val="auto"/>
                <w:sz w:val="24"/>
                <w:szCs w:val="24"/>
                <w:highlight w:val="none"/>
              </w:rPr>
              <w:t>本项目采购标的名称及所属行业</w:t>
            </w:r>
          </w:p>
        </w:tc>
        <w:tc>
          <w:tcPr>
            <w:tcW w:w="3217" w:type="pct"/>
            <w:vAlign w:val="center"/>
          </w:tcPr>
          <w:p w14:paraId="74EDA201">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标的名称：安徽省凤阳县梅家庄-圣庙地区金钼多金属矿普查（续作）矿产地质钻探技术服务项目</w:t>
            </w:r>
          </w:p>
          <w:p w14:paraId="5625FDBC">
            <w:pPr>
              <w:keepNext w:val="0"/>
              <w:keepLines w:val="0"/>
              <w:pageBreakBefore w:val="0"/>
              <w:widowControl w:val="0"/>
              <w:kinsoku/>
              <w:wordWrap/>
              <w:overflowPunct/>
              <w:topLinePunct w:val="0"/>
              <w:autoSpaceDE/>
              <w:autoSpaceDN/>
              <w:bidi w:val="0"/>
              <w:adjustRightInd/>
              <w:snapToGrid/>
              <w:spacing w:line="360" w:lineRule="auto"/>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sz w:val="24"/>
                <w:szCs w:val="24"/>
                <w:highlight w:val="none"/>
              </w:rPr>
              <w:t>所属行业：其他未列明行业</w:t>
            </w:r>
          </w:p>
        </w:tc>
      </w:tr>
    </w:tbl>
    <w:p w14:paraId="44B8D379">
      <w:pPr>
        <w:spacing w:line="360" w:lineRule="auto"/>
        <w:ind w:firstLine="437"/>
        <w:outlineLvl w:val="1"/>
        <w:rPr>
          <w:rFonts w:hint="eastAsia" w:ascii="宋体" w:hAnsi="宋体" w:eastAsia="宋体"/>
          <w:b/>
          <w:color w:val="auto"/>
          <w:sz w:val="24"/>
          <w:szCs w:val="18"/>
          <w:highlight w:val="none"/>
        </w:rPr>
      </w:pPr>
      <w:bookmarkStart w:id="34" w:name="_Toc16543"/>
      <w:bookmarkStart w:id="35" w:name="_Toc8753"/>
      <w:bookmarkStart w:id="36" w:name="_Hlk16461016"/>
      <w:r>
        <w:rPr>
          <w:rFonts w:hint="eastAsia" w:ascii="宋体" w:hAnsi="宋体" w:eastAsia="宋体"/>
          <w:b/>
          <w:color w:val="auto"/>
          <w:sz w:val="24"/>
          <w:szCs w:val="18"/>
          <w:highlight w:val="none"/>
          <w:lang w:val="en-US" w:eastAsia="zh-CN"/>
        </w:rPr>
        <w:t>二、</w:t>
      </w:r>
      <w:r>
        <w:rPr>
          <w:rFonts w:hint="eastAsia" w:ascii="宋体" w:hAnsi="宋体" w:eastAsia="宋体"/>
          <w:b/>
          <w:color w:val="auto"/>
          <w:sz w:val="24"/>
          <w:szCs w:val="18"/>
          <w:highlight w:val="none"/>
        </w:rPr>
        <w:t>项目概况</w:t>
      </w:r>
      <w:bookmarkEnd w:id="34"/>
      <w:bookmarkEnd w:id="35"/>
    </w:p>
    <w:p w14:paraId="0ACC2FC1">
      <w:pPr>
        <w:pStyle w:val="8"/>
        <w:keepNext w:val="0"/>
        <w:keepLines w:val="0"/>
        <w:pageBreakBefore w:val="0"/>
        <w:widowControl w:val="0"/>
        <w:numPr>
          <w:ilvl w:val="0"/>
          <w:numId w:val="0"/>
        </w:numPr>
        <w:kinsoku/>
        <w:wordWrap/>
        <w:overflowPunct/>
        <w:topLinePunct w:val="0"/>
        <w:autoSpaceDE/>
        <w:autoSpaceDN/>
        <w:bidi w:val="0"/>
        <w:adjustRightInd/>
        <w:snapToGrid/>
        <w:spacing w:after="0" w:line="360" w:lineRule="auto"/>
        <w:textAlignment w:val="auto"/>
        <w:rPr>
          <w:rFonts w:hint="eastAsia" w:asciiTheme="minorEastAsia" w:hAnsiTheme="minorEastAsia" w:eastAsiaTheme="minorEastAsia" w:cstheme="minorEastAsia"/>
          <w:color w:val="auto"/>
          <w:kern w:val="2"/>
          <w:sz w:val="24"/>
          <w:szCs w:val="24"/>
          <w:highlight w:val="none"/>
          <w:lang w:val="en-US" w:eastAsia="zh-CN" w:bidi="ar-SA"/>
        </w:rPr>
      </w:pPr>
      <w:r>
        <w:rPr>
          <w:rFonts w:hint="eastAsia" w:asciiTheme="minorEastAsia" w:hAnsiTheme="minorEastAsia" w:eastAsiaTheme="minorEastAsia" w:cstheme="minorEastAsia"/>
          <w:color w:val="auto"/>
          <w:kern w:val="2"/>
          <w:sz w:val="24"/>
          <w:szCs w:val="24"/>
          <w:highlight w:val="none"/>
          <w:lang w:val="en-US" w:eastAsia="zh-CN" w:bidi="ar-SA"/>
        </w:rPr>
        <w:t>勘查区岩石级别Ⅶ级，设计6个钻孔，设计工作量共计5200m（见表1；以最终实际完成工作量为准）。</w:t>
      </w:r>
    </w:p>
    <w:p w14:paraId="535FD7AC">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lang w:val="en-US" w:eastAsia="zh-CN" w:bidi="ar-SA"/>
        </w:rPr>
        <w:t>表1  钻孔设计情况一览表</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7"/>
        <w:gridCol w:w="902"/>
        <w:gridCol w:w="1419"/>
        <w:gridCol w:w="1419"/>
        <w:gridCol w:w="1420"/>
        <w:gridCol w:w="1420"/>
        <w:gridCol w:w="1420"/>
      </w:tblGrid>
      <w:tr w14:paraId="69ADF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noWrap w:val="0"/>
            <w:vAlign w:val="center"/>
          </w:tcPr>
          <w:p w14:paraId="3F2549E1">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序号</w:t>
            </w:r>
          </w:p>
        </w:tc>
        <w:tc>
          <w:tcPr>
            <w:tcW w:w="902" w:type="dxa"/>
            <w:noWrap w:val="0"/>
            <w:vAlign w:val="center"/>
          </w:tcPr>
          <w:p w14:paraId="3C3439DB">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工作项目</w:t>
            </w:r>
          </w:p>
        </w:tc>
        <w:tc>
          <w:tcPr>
            <w:tcW w:w="1419" w:type="dxa"/>
            <w:noWrap w:val="0"/>
            <w:vAlign w:val="center"/>
          </w:tcPr>
          <w:p w14:paraId="1ABE58C8">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岩石级别</w:t>
            </w:r>
          </w:p>
        </w:tc>
        <w:tc>
          <w:tcPr>
            <w:tcW w:w="1419" w:type="dxa"/>
            <w:noWrap w:val="0"/>
            <w:vAlign w:val="center"/>
          </w:tcPr>
          <w:p w14:paraId="2FFE4A27">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方位角(°)</w:t>
            </w:r>
          </w:p>
        </w:tc>
        <w:tc>
          <w:tcPr>
            <w:tcW w:w="1420" w:type="dxa"/>
            <w:noWrap w:val="0"/>
            <w:vAlign w:val="center"/>
          </w:tcPr>
          <w:p w14:paraId="5BC3F8B4">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倾角(°)</w:t>
            </w:r>
          </w:p>
        </w:tc>
        <w:tc>
          <w:tcPr>
            <w:tcW w:w="1420" w:type="dxa"/>
            <w:noWrap w:val="0"/>
            <w:vAlign w:val="center"/>
          </w:tcPr>
          <w:p w14:paraId="74CB3ED8">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孔深(米)</w:t>
            </w:r>
          </w:p>
        </w:tc>
        <w:tc>
          <w:tcPr>
            <w:tcW w:w="1420" w:type="dxa"/>
            <w:noWrap w:val="0"/>
            <w:vAlign w:val="center"/>
          </w:tcPr>
          <w:p w14:paraId="51CE6294">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设计工作量(米)</w:t>
            </w:r>
          </w:p>
        </w:tc>
      </w:tr>
      <w:tr w14:paraId="512D7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noWrap w:val="0"/>
            <w:vAlign w:val="center"/>
          </w:tcPr>
          <w:p w14:paraId="613A4FBF">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1</w:t>
            </w:r>
          </w:p>
        </w:tc>
        <w:tc>
          <w:tcPr>
            <w:tcW w:w="902" w:type="dxa"/>
            <w:noWrap w:val="0"/>
            <w:vAlign w:val="center"/>
          </w:tcPr>
          <w:p w14:paraId="66115EBD">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钻探</w:t>
            </w:r>
          </w:p>
        </w:tc>
        <w:tc>
          <w:tcPr>
            <w:tcW w:w="1419" w:type="dxa"/>
            <w:noWrap w:val="0"/>
            <w:vAlign w:val="center"/>
          </w:tcPr>
          <w:p w14:paraId="51C632C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lang w:val="en-US" w:eastAsia="zh-CN" w:bidi="ar-SA"/>
              </w:rPr>
              <w:t>Ⅶ</w:t>
            </w:r>
          </w:p>
        </w:tc>
        <w:tc>
          <w:tcPr>
            <w:tcW w:w="1419" w:type="dxa"/>
            <w:noWrap w:val="0"/>
            <w:vAlign w:val="center"/>
          </w:tcPr>
          <w:p w14:paraId="1870C038">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w:t>
            </w:r>
          </w:p>
        </w:tc>
        <w:tc>
          <w:tcPr>
            <w:tcW w:w="1420" w:type="dxa"/>
            <w:noWrap w:val="0"/>
            <w:vAlign w:val="center"/>
          </w:tcPr>
          <w:p w14:paraId="21D990BD">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90</w:t>
            </w:r>
          </w:p>
        </w:tc>
        <w:tc>
          <w:tcPr>
            <w:tcW w:w="1420" w:type="dxa"/>
            <w:noWrap w:val="0"/>
            <w:vAlign w:val="center"/>
          </w:tcPr>
          <w:p w14:paraId="4D9B99F0">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0-800</w:t>
            </w:r>
          </w:p>
        </w:tc>
        <w:tc>
          <w:tcPr>
            <w:tcW w:w="1420" w:type="dxa"/>
            <w:noWrap w:val="0"/>
            <w:vAlign w:val="center"/>
          </w:tcPr>
          <w:p w14:paraId="5D7863B5">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800</w:t>
            </w:r>
          </w:p>
        </w:tc>
      </w:tr>
      <w:tr w14:paraId="12DC4B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noWrap w:val="0"/>
            <w:vAlign w:val="center"/>
          </w:tcPr>
          <w:p w14:paraId="4849ABB1">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2</w:t>
            </w:r>
          </w:p>
        </w:tc>
        <w:tc>
          <w:tcPr>
            <w:tcW w:w="902" w:type="dxa"/>
            <w:noWrap w:val="0"/>
            <w:vAlign w:val="center"/>
          </w:tcPr>
          <w:p w14:paraId="7055F7CF">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钻探</w:t>
            </w:r>
          </w:p>
        </w:tc>
        <w:tc>
          <w:tcPr>
            <w:tcW w:w="1419" w:type="dxa"/>
            <w:noWrap w:val="0"/>
            <w:vAlign w:val="center"/>
          </w:tcPr>
          <w:p w14:paraId="1D0D4CDD">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lang w:val="en-US" w:eastAsia="zh-CN" w:bidi="ar-SA"/>
              </w:rPr>
              <w:t>Ⅶ</w:t>
            </w:r>
          </w:p>
        </w:tc>
        <w:tc>
          <w:tcPr>
            <w:tcW w:w="1419" w:type="dxa"/>
            <w:noWrap w:val="0"/>
            <w:vAlign w:val="center"/>
          </w:tcPr>
          <w:p w14:paraId="234C0474">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w:t>
            </w:r>
          </w:p>
        </w:tc>
        <w:tc>
          <w:tcPr>
            <w:tcW w:w="1420" w:type="dxa"/>
            <w:noWrap w:val="0"/>
            <w:vAlign w:val="center"/>
          </w:tcPr>
          <w:p w14:paraId="2D5658F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90</w:t>
            </w:r>
          </w:p>
        </w:tc>
        <w:tc>
          <w:tcPr>
            <w:tcW w:w="1420" w:type="dxa"/>
            <w:noWrap w:val="0"/>
            <w:vAlign w:val="center"/>
          </w:tcPr>
          <w:p w14:paraId="431D3743">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0-800</w:t>
            </w:r>
          </w:p>
        </w:tc>
        <w:tc>
          <w:tcPr>
            <w:tcW w:w="1420" w:type="dxa"/>
            <w:noWrap w:val="0"/>
            <w:vAlign w:val="center"/>
          </w:tcPr>
          <w:p w14:paraId="12C6ABBB">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800</w:t>
            </w:r>
          </w:p>
        </w:tc>
      </w:tr>
      <w:tr w14:paraId="639DA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noWrap w:val="0"/>
            <w:vAlign w:val="center"/>
          </w:tcPr>
          <w:p w14:paraId="4513D85B">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3</w:t>
            </w:r>
          </w:p>
        </w:tc>
        <w:tc>
          <w:tcPr>
            <w:tcW w:w="902" w:type="dxa"/>
            <w:noWrap w:val="0"/>
            <w:vAlign w:val="center"/>
          </w:tcPr>
          <w:p w14:paraId="62193195">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钻探</w:t>
            </w:r>
          </w:p>
        </w:tc>
        <w:tc>
          <w:tcPr>
            <w:tcW w:w="1419" w:type="dxa"/>
            <w:noWrap w:val="0"/>
            <w:vAlign w:val="center"/>
          </w:tcPr>
          <w:p w14:paraId="11688E8D">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lang w:val="en-US" w:eastAsia="zh-CN" w:bidi="ar-SA"/>
              </w:rPr>
              <w:t>Ⅶ</w:t>
            </w:r>
          </w:p>
        </w:tc>
        <w:tc>
          <w:tcPr>
            <w:tcW w:w="1419" w:type="dxa"/>
            <w:noWrap w:val="0"/>
            <w:vAlign w:val="center"/>
          </w:tcPr>
          <w:p w14:paraId="64D6056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w:t>
            </w:r>
          </w:p>
        </w:tc>
        <w:tc>
          <w:tcPr>
            <w:tcW w:w="1420" w:type="dxa"/>
            <w:noWrap w:val="0"/>
            <w:vAlign w:val="center"/>
          </w:tcPr>
          <w:p w14:paraId="6A2AEC88">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90</w:t>
            </w:r>
          </w:p>
        </w:tc>
        <w:tc>
          <w:tcPr>
            <w:tcW w:w="1420" w:type="dxa"/>
            <w:noWrap w:val="0"/>
            <w:vAlign w:val="center"/>
          </w:tcPr>
          <w:p w14:paraId="008A4353">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0-800</w:t>
            </w:r>
          </w:p>
        </w:tc>
        <w:tc>
          <w:tcPr>
            <w:tcW w:w="1420" w:type="dxa"/>
            <w:noWrap w:val="0"/>
            <w:vAlign w:val="center"/>
          </w:tcPr>
          <w:p w14:paraId="7DCECEFF">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800</w:t>
            </w:r>
          </w:p>
        </w:tc>
      </w:tr>
      <w:tr w14:paraId="531920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noWrap w:val="0"/>
            <w:vAlign w:val="center"/>
          </w:tcPr>
          <w:p w14:paraId="44BA79A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4</w:t>
            </w:r>
          </w:p>
        </w:tc>
        <w:tc>
          <w:tcPr>
            <w:tcW w:w="902" w:type="dxa"/>
            <w:noWrap w:val="0"/>
            <w:vAlign w:val="center"/>
          </w:tcPr>
          <w:p w14:paraId="6942F6E0">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钻探</w:t>
            </w:r>
          </w:p>
        </w:tc>
        <w:tc>
          <w:tcPr>
            <w:tcW w:w="1419" w:type="dxa"/>
            <w:noWrap w:val="0"/>
            <w:vAlign w:val="center"/>
          </w:tcPr>
          <w:p w14:paraId="51A3CE67">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lang w:val="en-US" w:eastAsia="zh-CN" w:bidi="ar-SA"/>
              </w:rPr>
              <w:t>Ⅶ</w:t>
            </w:r>
          </w:p>
        </w:tc>
        <w:tc>
          <w:tcPr>
            <w:tcW w:w="1419" w:type="dxa"/>
            <w:noWrap w:val="0"/>
            <w:vAlign w:val="center"/>
          </w:tcPr>
          <w:p w14:paraId="276FA5F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w:t>
            </w:r>
          </w:p>
        </w:tc>
        <w:tc>
          <w:tcPr>
            <w:tcW w:w="1420" w:type="dxa"/>
            <w:noWrap w:val="0"/>
            <w:vAlign w:val="center"/>
          </w:tcPr>
          <w:p w14:paraId="5BD37195">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90</w:t>
            </w:r>
          </w:p>
        </w:tc>
        <w:tc>
          <w:tcPr>
            <w:tcW w:w="1420" w:type="dxa"/>
            <w:noWrap w:val="0"/>
            <w:vAlign w:val="center"/>
          </w:tcPr>
          <w:p w14:paraId="12466FD5">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0-900</w:t>
            </w:r>
          </w:p>
        </w:tc>
        <w:tc>
          <w:tcPr>
            <w:tcW w:w="1420" w:type="dxa"/>
            <w:noWrap w:val="0"/>
            <w:vAlign w:val="center"/>
          </w:tcPr>
          <w:p w14:paraId="197B52B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850</w:t>
            </w:r>
          </w:p>
        </w:tc>
      </w:tr>
      <w:tr w14:paraId="7121A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noWrap w:val="0"/>
            <w:vAlign w:val="center"/>
          </w:tcPr>
          <w:p w14:paraId="469C291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5</w:t>
            </w:r>
          </w:p>
        </w:tc>
        <w:tc>
          <w:tcPr>
            <w:tcW w:w="902" w:type="dxa"/>
            <w:noWrap w:val="0"/>
            <w:vAlign w:val="center"/>
          </w:tcPr>
          <w:p w14:paraId="039479D8">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钻探</w:t>
            </w:r>
          </w:p>
        </w:tc>
        <w:tc>
          <w:tcPr>
            <w:tcW w:w="1419" w:type="dxa"/>
            <w:noWrap w:val="0"/>
            <w:vAlign w:val="center"/>
          </w:tcPr>
          <w:p w14:paraId="42991715">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lang w:val="en-US" w:eastAsia="zh-CN" w:bidi="ar-SA"/>
              </w:rPr>
              <w:t>Ⅶ</w:t>
            </w:r>
          </w:p>
        </w:tc>
        <w:tc>
          <w:tcPr>
            <w:tcW w:w="1419" w:type="dxa"/>
            <w:noWrap w:val="0"/>
            <w:vAlign w:val="center"/>
          </w:tcPr>
          <w:p w14:paraId="4C5E64E6">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w:t>
            </w:r>
          </w:p>
        </w:tc>
        <w:tc>
          <w:tcPr>
            <w:tcW w:w="1420" w:type="dxa"/>
            <w:noWrap w:val="0"/>
            <w:vAlign w:val="center"/>
          </w:tcPr>
          <w:p w14:paraId="78DAF454">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90</w:t>
            </w:r>
          </w:p>
        </w:tc>
        <w:tc>
          <w:tcPr>
            <w:tcW w:w="1420" w:type="dxa"/>
            <w:noWrap w:val="0"/>
            <w:vAlign w:val="center"/>
          </w:tcPr>
          <w:p w14:paraId="56F10F5F">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0-1000</w:t>
            </w:r>
          </w:p>
        </w:tc>
        <w:tc>
          <w:tcPr>
            <w:tcW w:w="1420" w:type="dxa"/>
            <w:noWrap w:val="0"/>
            <w:vAlign w:val="center"/>
          </w:tcPr>
          <w:p w14:paraId="1F43BC1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1000</w:t>
            </w:r>
          </w:p>
        </w:tc>
      </w:tr>
      <w:tr w14:paraId="77834A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17" w:type="dxa"/>
            <w:noWrap w:val="0"/>
            <w:vAlign w:val="center"/>
          </w:tcPr>
          <w:p w14:paraId="43E839C0">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6</w:t>
            </w:r>
          </w:p>
        </w:tc>
        <w:tc>
          <w:tcPr>
            <w:tcW w:w="902" w:type="dxa"/>
            <w:noWrap w:val="0"/>
            <w:vAlign w:val="center"/>
          </w:tcPr>
          <w:p w14:paraId="5632915E">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钻探</w:t>
            </w:r>
          </w:p>
        </w:tc>
        <w:tc>
          <w:tcPr>
            <w:tcW w:w="1419" w:type="dxa"/>
            <w:noWrap w:val="0"/>
            <w:vAlign w:val="center"/>
          </w:tcPr>
          <w:p w14:paraId="6F1A69E0">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lang w:val="en-US" w:eastAsia="zh-CN" w:bidi="ar-SA"/>
              </w:rPr>
              <w:t>Ⅶ</w:t>
            </w:r>
          </w:p>
        </w:tc>
        <w:tc>
          <w:tcPr>
            <w:tcW w:w="1419" w:type="dxa"/>
            <w:noWrap w:val="0"/>
            <w:vAlign w:val="center"/>
          </w:tcPr>
          <w:p w14:paraId="2210286A">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w:t>
            </w:r>
          </w:p>
        </w:tc>
        <w:tc>
          <w:tcPr>
            <w:tcW w:w="1420" w:type="dxa"/>
            <w:noWrap w:val="0"/>
            <w:vAlign w:val="center"/>
          </w:tcPr>
          <w:p w14:paraId="6ACFFA41">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90</w:t>
            </w:r>
          </w:p>
        </w:tc>
        <w:tc>
          <w:tcPr>
            <w:tcW w:w="1420" w:type="dxa"/>
            <w:noWrap w:val="0"/>
            <w:vAlign w:val="center"/>
          </w:tcPr>
          <w:p w14:paraId="15F875A3">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0-1000</w:t>
            </w:r>
          </w:p>
        </w:tc>
        <w:tc>
          <w:tcPr>
            <w:tcW w:w="1420" w:type="dxa"/>
            <w:noWrap w:val="0"/>
            <w:vAlign w:val="center"/>
          </w:tcPr>
          <w:p w14:paraId="0609E7CA">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pPr>
            <w:r>
              <w:rPr>
                <w:rFonts w:hint="eastAsia" w:asciiTheme="minorEastAsia" w:hAnsiTheme="minorEastAsia" w:eastAsiaTheme="minorEastAsia" w:cstheme="minorEastAsia"/>
                <w:b w:val="0"/>
                <w:bCs w:val="0"/>
                <w:color w:val="auto"/>
                <w:kern w:val="2"/>
                <w:sz w:val="24"/>
                <w:szCs w:val="24"/>
                <w:highlight w:val="none"/>
                <w:u w:val="none"/>
                <w:vertAlign w:val="baseline"/>
                <w:lang w:val="en-US" w:eastAsia="zh-CN" w:bidi="ar-SA"/>
              </w:rPr>
              <w:t>950</w:t>
            </w:r>
          </w:p>
        </w:tc>
      </w:tr>
    </w:tbl>
    <w:p w14:paraId="73351B3C">
      <w:pPr>
        <w:spacing w:line="360" w:lineRule="auto"/>
        <w:ind w:firstLine="437"/>
        <w:outlineLvl w:val="1"/>
        <w:rPr>
          <w:rFonts w:hint="eastAsia" w:ascii="宋体" w:hAnsi="宋体" w:eastAsia="宋体"/>
          <w:b/>
          <w:color w:val="auto"/>
          <w:sz w:val="24"/>
          <w:szCs w:val="18"/>
          <w:highlight w:val="none"/>
        </w:rPr>
      </w:pPr>
      <w:bookmarkStart w:id="37" w:name="_Toc27920"/>
      <w:bookmarkStart w:id="38" w:name="_Toc13016"/>
      <w:r>
        <w:rPr>
          <w:rFonts w:hint="eastAsia" w:ascii="宋体" w:hAnsi="宋体" w:eastAsia="宋体"/>
          <w:b/>
          <w:color w:val="auto"/>
          <w:sz w:val="24"/>
          <w:szCs w:val="18"/>
          <w:highlight w:val="none"/>
          <w:lang w:val="en-US" w:eastAsia="zh-CN"/>
        </w:rPr>
        <w:t>三、</w:t>
      </w:r>
      <w:bookmarkEnd w:id="37"/>
      <w:bookmarkEnd w:id="38"/>
      <w:r>
        <w:rPr>
          <w:rFonts w:hint="eastAsia" w:ascii="宋体" w:hAnsi="宋体" w:eastAsia="宋体"/>
          <w:b/>
          <w:color w:val="auto"/>
          <w:sz w:val="24"/>
          <w:szCs w:val="18"/>
          <w:highlight w:val="none"/>
          <w:lang w:val="en-US" w:eastAsia="zh-CN"/>
        </w:rPr>
        <w:t>工作技术要求</w:t>
      </w:r>
    </w:p>
    <w:p w14:paraId="3522E4B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1）执行技术标准：按照《固体矿产勘查工作规范》（GB/T 33444-2016）、《地质岩心钻探</w:t>
      </w:r>
      <w:r>
        <w:rPr>
          <w:rFonts w:hint="eastAsia" w:asciiTheme="majorEastAsia" w:hAnsiTheme="majorEastAsia" w:eastAsiaTheme="majorEastAsia" w:cstheme="majorEastAsia"/>
          <w:b w:val="0"/>
          <w:bCs w:val="0"/>
          <w:color w:val="auto"/>
          <w:kern w:val="2"/>
          <w:sz w:val="24"/>
          <w:szCs w:val="24"/>
          <w:highlight w:val="none"/>
          <w:u w:val="none"/>
          <w:lang w:val="zh-CN" w:eastAsia="zh-CN" w:bidi="ar-SA"/>
        </w:rPr>
        <w:t>规程</w:t>
      </w: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》（DZ/T 0227-2010）、《地质勘查钻探岩矿心管理通则》及行业有关规范、标准执行；</w:t>
      </w:r>
    </w:p>
    <w:p w14:paraId="45EC14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2）岩矿心采取率：矿体、矿化带不低于80%，矿体顶底板、重要标志层不低于75%，一般岩层不低于70%；</w:t>
      </w:r>
    </w:p>
    <w:p w14:paraId="774180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3）钻孔弯曲度测量：开孔25米、直孔每钻进100米、斜孔每钻进50米及终孔后采用测斜仪测量一次钻孔顶角和方位角，矿体顶底板加测一次倾角和方位角，允许误差为每100米直孔不超过2度，斜孔不超过3°，方位角每100米不超过2°。</w:t>
      </w:r>
    </w:p>
    <w:p w14:paraId="0E1336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4）孔深验证：直孔每钻进100米、斜孔每钻进50米、下套管前、主矿体顶底板和终孔后，均需验证孔深。孔深校正最大允许误差为千分之一。超出允许误差时应及时校正孔深。</w:t>
      </w:r>
    </w:p>
    <w:p w14:paraId="1CAAB6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5）简易水文观测：每台班至少观测水位1～2回次，终孔后测量24h静止水位。</w:t>
      </w:r>
    </w:p>
    <w:p w14:paraId="446DC5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6）原始记录报表：原始记录报表由专人负责，记录须及时、准确、详细、整洁，认真填写，妥善保管；岩心牌内容应与报表相关内容一致。</w:t>
      </w:r>
    </w:p>
    <w:p w14:paraId="214B261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7）岩矿心保管：岩心按顺序摆放，严防岩矿心次序混乱或倒置；长度大于5cm的岩心均须用油漆进行编号。施工过程中所取岩矿芯由机长负责妥善保管，施工结束后移交项目组。</w:t>
      </w:r>
    </w:p>
    <w:p w14:paraId="61C110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8）封孔：钻孔施工完成后，严格按封孔设计要求进行全孔封孔，并在孔口中心位置设立水泥标志桩。</w:t>
      </w:r>
    </w:p>
    <w:p w14:paraId="34E9BFE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9）严格落实绿色勘查要求。</w:t>
      </w:r>
    </w:p>
    <w:p w14:paraId="143B5C39">
      <w:pPr>
        <w:spacing w:line="360" w:lineRule="auto"/>
        <w:ind w:firstLine="437"/>
        <w:outlineLvl w:val="1"/>
        <w:rPr>
          <w:rFonts w:hint="eastAsia" w:ascii="宋体" w:hAnsi="宋体" w:eastAsia="宋体"/>
          <w:b/>
          <w:color w:val="auto"/>
          <w:sz w:val="24"/>
          <w:szCs w:val="18"/>
          <w:highlight w:val="none"/>
          <w:lang w:val="en-US"/>
        </w:rPr>
      </w:pPr>
      <w:bookmarkStart w:id="39" w:name="_Toc20717"/>
      <w:bookmarkStart w:id="40" w:name="_Toc16414"/>
      <w:r>
        <w:rPr>
          <w:rFonts w:hint="eastAsia" w:ascii="宋体" w:hAnsi="宋体" w:eastAsia="宋体"/>
          <w:b/>
          <w:color w:val="auto"/>
          <w:sz w:val="24"/>
          <w:szCs w:val="18"/>
          <w:highlight w:val="none"/>
          <w:lang w:val="en-US" w:eastAsia="zh-CN"/>
        </w:rPr>
        <w:t>四、</w:t>
      </w:r>
      <w:bookmarkEnd w:id="39"/>
      <w:bookmarkEnd w:id="40"/>
      <w:r>
        <w:rPr>
          <w:rFonts w:hint="eastAsia" w:ascii="宋体" w:hAnsi="宋体" w:eastAsia="宋体"/>
          <w:b/>
          <w:color w:val="auto"/>
          <w:sz w:val="24"/>
          <w:szCs w:val="18"/>
          <w:highlight w:val="none"/>
          <w:lang w:val="en-US" w:eastAsia="zh-CN"/>
        </w:rPr>
        <w:t>最高限价一览表</w:t>
      </w:r>
    </w:p>
    <w:p w14:paraId="058EB2F6">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240" w:firstLineChars="1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1.每米单价限价见下表；总价最高限价为4463300.00元。</w:t>
      </w:r>
    </w:p>
    <w:p w14:paraId="2F3461ED">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最高限价一览表</w:t>
      </w:r>
    </w:p>
    <w:tbl>
      <w:tblPr>
        <w:tblStyle w:val="22"/>
        <w:tblW w:w="4997"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76"/>
        <w:gridCol w:w="895"/>
        <w:gridCol w:w="1404"/>
        <w:gridCol w:w="1409"/>
        <w:gridCol w:w="1414"/>
        <w:gridCol w:w="1409"/>
        <w:gridCol w:w="1410"/>
      </w:tblGrid>
      <w:tr w14:paraId="74511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 w:type="pct"/>
            <w:noWrap w:val="0"/>
            <w:vAlign w:val="center"/>
          </w:tcPr>
          <w:p w14:paraId="06BC6E8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序号</w:t>
            </w:r>
          </w:p>
        </w:tc>
        <w:tc>
          <w:tcPr>
            <w:tcW w:w="525" w:type="pct"/>
            <w:noWrap w:val="0"/>
            <w:vAlign w:val="center"/>
          </w:tcPr>
          <w:p w14:paraId="503CDE3E">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工作项目</w:t>
            </w:r>
          </w:p>
        </w:tc>
        <w:tc>
          <w:tcPr>
            <w:tcW w:w="824" w:type="pct"/>
            <w:noWrap w:val="0"/>
            <w:vAlign w:val="center"/>
          </w:tcPr>
          <w:p w14:paraId="1057DB76">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岩石</w:t>
            </w:r>
          </w:p>
          <w:p w14:paraId="11AFB3F1">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级别</w:t>
            </w:r>
          </w:p>
        </w:tc>
        <w:tc>
          <w:tcPr>
            <w:tcW w:w="827" w:type="pct"/>
            <w:noWrap w:val="0"/>
            <w:vAlign w:val="center"/>
          </w:tcPr>
          <w:p w14:paraId="2F6D7B8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倾角(°)</w:t>
            </w:r>
          </w:p>
        </w:tc>
        <w:tc>
          <w:tcPr>
            <w:tcW w:w="830" w:type="pct"/>
            <w:noWrap w:val="0"/>
            <w:vAlign w:val="center"/>
          </w:tcPr>
          <w:p w14:paraId="4EC7DBBA">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孔深(米)</w:t>
            </w:r>
          </w:p>
        </w:tc>
        <w:tc>
          <w:tcPr>
            <w:tcW w:w="827" w:type="pct"/>
            <w:noWrap w:val="0"/>
            <w:vAlign w:val="center"/>
          </w:tcPr>
          <w:p w14:paraId="40B2A58E">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设计工作量(米)</w:t>
            </w:r>
          </w:p>
        </w:tc>
        <w:tc>
          <w:tcPr>
            <w:tcW w:w="827" w:type="pct"/>
            <w:noWrap w:val="0"/>
            <w:vAlign w:val="center"/>
          </w:tcPr>
          <w:p w14:paraId="650CD34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最高限价（元/米）</w:t>
            </w:r>
          </w:p>
        </w:tc>
      </w:tr>
      <w:tr w14:paraId="09D1D7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 w:type="pct"/>
            <w:noWrap w:val="0"/>
            <w:vAlign w:val="center"/>
          </w:tcPr>
          <w:p w14:paraId="54B126ED">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1</w:t>
            </w:r>
          </w:p>
        </w:tc>
        <w:tc>
          <w:tcPr>
            <w:tcW w:w="525" w:type="pct"/>
            <w:noWrap w:val="0"/>
            <w:vAlign w:val="center"/>
          </w:tcPr>
          <w:p w14:paraId="4E9F6ABB">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钻探</w:t>
            </w:r>
          </w:p>
        </w:tc>
        <w:tc>
          <w:tcPr>
            <w:tcW w:w="824" w:type="pct"/>
            <w:noWrap w:val="0"/>
            <w:vAlign w:val="center"/>
          </w:tcPr>
          <w:p w14:paraId="3F05F487">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Ⅶ</w:t>
            </w:r>
          </w:p>
        </w:tc>
        <w:tc>
          <w:tcPr>
            <w:tcW w:w="827" w:type="pct"/>
            <w:noWrap w:val="0"/>
            <w:vAlign w:val="center"/>
          </w:tcPr>
          <w:p w14:paraId="608FA7B5">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90</w:t>
            </w:r>
          </w:p>
        </w:tc>
        <w:tc>
          <w:tcPr>
            <w:tcW w:w="830" w:type="pct"/>
            <w:noWrap w:val="0"/>
            <w:vAlign w:val="center"/>
          </w:tcPr>
          <w:p w14:paraId="2A2BD1DE">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0-800</w:t>
            </w:r>
          </w:p>
        </w:tc>
        <w:tc>
          <w:tcPr>
            <w:tcW w:w="827" w:type="pct"/>
            <w:noWrap w:val="0"/>
            <w:vAlign w:val="center"/>
          </w:tcPr>
          <w:p w14:paraId="34F78213">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2400</w:t>
            </w:r>
          </w:p>
        </w:tc>
        <w:tc>
          <w:tcPr>
            <w:tcW w:w="827" w:type="pct"/>
            <w:noWrap w:val="0"/>
            <w:vAlign w:val="center"/>
          </w:tcPr>
          <w:p w14:paraId="72F5D4E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819</w:t>
            </w:r>
          </w:p>
        </w:tc>
      </w:tr>
      <w:tr w14:paraId="3B8F2F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 w:type="pct"/>
            <w:noWrap w:val="0"/>
            <w:vAlign w:val="center"/>
          </w:tcPr>
          <w:p w14:paraId="3EC7508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2</w:t>
            </w:r>
          </w:p>
        </w:tc>
        <w:tc>
          <w:tcPr>
            <w:tcW w:w="525" w:type="pct"/>
            <w:noWrap w:val="0"/>
            <w:vAlign w:val="center"/>
          </w:tcPr>
          <w:p w14:paraId="6873914A">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钻探</w:t>
            </w:r>
          </w:p>
        </w:tc>
        <w:tc>
          <w:tcPr>
            <w:tcW w:w="824" w:type="pct"/>
            <w:noWrap w:val="0"/>
            <w:vAlign w:val="center"/>
          </w:tcPr>
          <w:p w14:paraId="33267D07">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Ⅶ</w:t>
            </w:r>
          </w:p>
        </w:tc>
        <w:tc>
          <w:tcPr>
            <w:tcW w:w="827" w:type="pct"/>
            <w:noWrap w:val="0"/>
            <w:vAlign w:val="center"/>
          </w:tcPr>
          <w:p w14:paraId="04ACC80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90</w:t>
            </w:r>
          </w:p>
        </w:tc>
        <w:tc>
          <w:tcPr>
            <w:tcW w:w="830" w:type="pct"/>
            <w:noWrap w:val="0"/>
            <w:vAlign w:val="center"/>
          </w:tcPr>
          <w:p w14:paraId="7657DF5E">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0-900</w:t>
            </w:r>
          </w:p>
        </w:tc>
        <w:tc>
          <w:tcPr>
            <w:tcW w:w="827" w:type="pct"/>
            <w:noWrap w:val="0"/>
            <w:vAlign w:val="center"/>
          </w:tcPr>
          <w:p w14:paraId="76EF5683">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default"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850</w:t>
            </w:r>
          </w:p>
        </w:tc>
        <w:tc>
          <w:tcPr>
            <w:tcW w:w="827" w:type="pct"/>
            <w:noWrap w:val="0"/>
            <w:vAlign w:val="center"/>
          </w:tcPr>
          <w:p w14:paraId="1804AC51">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860</w:t>
            </w:r>
          </w:p>
        </w:tc>
      </w:tr>
      <w:tr w14:paraId="36398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8" w:type="pct"/>
            <w:noWrap w:val="0"/>
            <w:vAlign w:val="center"/>
          </w:tcPr>
          <w:p w14:paraId="059BC81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3</w:t>
            </w:r>
          </w:p>
        </w:tc>
        <w:tc>
          <w:tcPr>
            <w:tcW w:w="525" w:type="pct"/>
            <w:noWrap w:val="0"/>
            <w:vAlign w:val="center"/>
          </w:tcPr>
          <w:p w14:paraId="55C168E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钻探</w:t>
            </w:r>
          </w:p>
        </w:tc>
        <w:tc>
          <w:tcPr>
            <w:tcW w:w="824" w:type="pct"/>
            <w:noWrap w:val="0"/>
            <w:vAlign w:val="center"/>
          </w:tcPr>
          <w:p w14:paraId="68685565">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Ⅶ</w:t>
            </w:r>
          </w:p>
        </w:tc>
        <w:tc>
          <w:tcPr>
            <w:tcW w:w="827" w:type="pct"/>
            <w:noWrap w:val="0"/>
            <w:vAlign w:val="center"/>
          </w:tcPr>
          <w:p w14:paraId="72821E7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90</w:t>
            </w:r>
          </w:p>
        </w:tc>
        <w:tc>
          <w:tcPr>
            <w:tcW w:w="830" w:type="pct"/>
            <w:noWrap w:val="0"/>
            <w:vAlign w:val="center"/>
          </w:tcPr>
          <w:p w14:paraId="23966E9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0-1000</w:t>
            </w:r>
          </w:p>
        </w:tc>
        <w:tc>
          <w:tcPr>
            <w:tcW w:w="827" w:type="pct"/>
            <w:noWrap w:val="0"/>
            <w:vAlign w:val="center"/>
          </w:tcPr>
          <w:p w14:paraId="2CAFE863">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1950</w:t>
            </w:r>
          </w:p>
        </w:tc>
        <w:tc>
          <w:tcPr>
            <w:tcW w:w="827" w:type="pct"/>
            <w:noWrap w:val="0"/>
            <w:vAlign w:val="center"/>
          </w:tcPr>
          <w:p w14:paraId="1701BBF6">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906</w:t>
            </w:r>
          </w:p>
        </w:tc>
      </w:tr>
    </w:tbl>
    <w:p w14:paraId="566607D0">
      <w:pPr>
        <w:pStyle w:val="2"/>
        <w:keepNext w:val="0"/>
        <w:keepLines w:val="0"/>
        <w:pageBreakBefore w:val="0"/>
        <w:widowControl w:val="0"/>
        <w:kinsoku/>
        <w:wordWrap/>
        <w:overflowPunct/>
        <w:topLinePunct w:val="0"/>
        <w:autoSpaceDE/>
        <w:autoSpaceDN/>
        <w:bidi w:val="0"/>
        <w:adjustRightInd/>
        <w:snapToGrid/>
        <w:spacing w:line="360" w:lineRule="auto"/>
        <w:ind w:left="0" w:leftChars="0" w:firstLine="240" w:firstLineChars="100"/>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注：鉴于勘查区地下地质条件存在不确定性，钻探实施过程中如遇矿化蚀变体等情况需加深钻进的，0-1100米、0-1200米深度钻探工作量统一按0-1000米深度单价进行结算，乙方不得另行主张加深、加价等费用。</w:t>
      </w:r>
    </w:p>
    <w:p w14:paraId="75DCDDA7">
      <w:pPr>
        <w:spacing w:line="360" w:lineRule="auto"/>
        <w:ind w:firstLine="437"/>
        <w:outlineLvl w:val="1"/>
        <w:rPr>
          <w:rFonts w:hint="eastAsia" w:ascii="宋体" w:hAnsi="宋体" w:eastAsia="宋体"/>
          <w:b/>
          <w:color w:val="auto"/>
          <w:sz w:val="24"/>
          <w:szCs w:val="18"/>
          <w:highlight w:val="none"/>
          <w:lang w:val="en-US" w:eastAsia="zh-CN"/>
        </w:rPr>
      </w:pPr>
      <w:bookmarkStart w:id="41" w:name="_Toc8283"/>
      <w:bookmarkStart w:id="42" w:name="_Toc18794"/>
      <w:r>
        <w:rPr>
          <w:rFonts w:hint="eastAsia" w:ascii="宋体" w:hAnsi="宋体" w:eastAsia="宋体"/>
          <w:b/>
          <w:color w:val="auto"/>
          <w:sz w:val="24"/>
          <w:szCs w:val="18"/>
          <w:highlight w:val="none"/>
          <w:lang w:val="en-US" w:eastAsia="zh-CN"/>
        </w:rPr>
        <w:t>五、报价要求</w:t>
      </w:r>
    </w:p>
    <w:p w14:paraId="16F4081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heme="majorEastAsia" w:hAnsiTheme="majorEastAsia" w:eastAsiaTheme="majorEastAsia" w:cstheme="majorEastAsia"/>
          <w:color w:val="auto"/>
          <w:sz w:val="24"/>
          <w:szCs w:val="24"/>
          <w:highlight w:val="none"/>
          <w:lang w:val="en-US" w:eastAsia="zh-CN"/>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1.投标人所报综合单价包含提供以上服务所需全部费用，综合单价为含税全费用综合单价，已包含完成相应工作量所需的人工、材料、设备及设备进出场与搬迁、水电、泥浆及废浆处理、道路修筑与维护、场地平整与恢复、安全文明施工、劳动保护、保险、岩矿心运输及装卸、原始资料整理、管理费、利润、税金及政策性规定应计取的全部费用（青苗及地上附着物补偿由甲方负责）。除本合同另有约定或经甲方书面确认的设计变更外，乙方不得以任何理由另行主张费用。乙方应按国家规定适用税率开具增值税专用发票；因税收政策调整导致税率变化的，不含税价不变，税额及价税合计相应调整。</w:t>
      </w:r>
    </w:p>
    <w:p w14:paraId="27A68CC2">
      <w:pPr>
        <w:spacing w:line="360" w:lineRule="auto"/>
        <w:ind w:firstLine="437"/>
        <w:outlineLvl w:val="1"/>
        <w:rPr>
          <w:rFonts w:hint="eastAsia" w:ascii="宋体" w:hAnsi="宋体" w:eastAsia="宋体"/>
          <w:b/>
          <w:color w:val="auto"/>
          <w:sz w:val="24"/>
          <w:szCs w:val="18"/>
          <w:highlight w:val="none"/>
        </w:rPr>
      </w:pPr>
      <w:r>
        <w:rPr>
          <w:rFonts w:hint="eastAsia" w:ascii="宋体" w:hAnsi="宋体" w:eastAsia="宋体"/>
          <w:b/>
          <w:color w:val="auto"/>
          <w:sz w:val="24"/>
          <w:szCs w:val="18"/>
          <w:highlight w:val="none"/>
          <w:lang w:val="en-US" w:eastAsia="zh-CN"/>
        </w:rPr>
        <w:t>六</w:t>
      </w:r>
      <w:r>
        <w:rPr>
          <w:rFonts w:hint="eastAsia" w:ascii="宋体" w:hAnsi="宋体" w:eastAsia="宋体"/>
          <w:b/>
          <w:color w:val="auto"/>
          <w:sz w:val="24"/>
          <w:szCs w:val="18"/>
          <w:highlight w:val="none"/>
        </w:rPr>
        <w:t>、其他要求</w:t>
      </w:r>
      <w:bookmarkEnd w:id="41"/>
      <w:bookmarkEnd w:id="42"/>
    </w:p>
    <w:bookmarkEnd w:id="33"/>
    <w:bookmarkEnd w:id="36"/>
    <w:p w14:paraId="4804E526">
      <w:pPr>
        <w:pStyle w:val="8"/>
        <w:keepNext w:val="0"/>
        <w:keepLines w:val="0"/>
        <w:pageBreakBefore w:val="0"/>
        <w:widowControl w:val="0"/>
        <w:numPr>
          <w:ilvl w:val="0"/>
          <w:numId w:val="0"/>
        </w:numPr>
        <w:kinsoku/>
        <w:wordWrap/>
        <w:overflowPunct/>
        <w:topLinePunct w:val="0"/>
        <w:bidi w:val="0"/>
        <w:snapToGrid/>
        <w:spacing w:after="0"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1.钻探实施期间，现场协调、青苗及地上附着物补偿、施工用地手续办理及绿色勘查配套设施保障工作由采购人负责。</w:t>
      </w:r>
    </w:p>
    <w:p w14:paraId="466CC599">
      <w:pPr>
        <w:pStyle w:val="8"/>
        <w:keepNext w:val="0"/>
        <w:keepLines w:val="0"/>
        <w:pageBreakBefore w:val="0"/>
        <w:widowControl w:val="0"/>
        <w:numPr>
          <w:ilvl w:val="0"/>
          <w:numId w:val="0"/>
        </w:numPr>
        <w:kinsoku/>
        <w:wordWrap/>
        <w:overflowPunct/>
        <w:topLinePunct w:val="0"/>
        <w:bidi w:val="0"/>
        <w:snapToGrid/>
        <w:spacing w:after="0" w:line="360" w:lineRule="auto"/>
        <w:ind w:firstLine="480" w:firstLineChars="200"/>
        <w:textAlignment w:val="auto"/>
        <w:rPr>
          <w:rFonts w:hint="eastAsia" w:asciiTheme="majorEastAsia" w:hAnsiTheme="majorEastAsia" w:eastAsiaTheme="majorEastAsia" w:cstheme="majorEastAsia"/>
          <w:b w:val="0"/>
          <w:bCs w:val="0"/>
          <w:color w:val="auto"/>
          <w:kern w:val="2"/>
          <w:sz w:val="24"/>
          <w:szCs w:val="24"/>
          <w:highlight w:val="none"/>
          <w:u w:val="no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2.本项目采用固定单价合同，中标后，中标综合单价不予调整，最终以经确认的实际完成工作量(米数）为准，即本项目最终服务费=Σ各项中标综合单价*经确认的实际完成工作量(米数）。</w:t>
      </w:r>
    </w:p>
    <w:p w14:paraId="2A1481A5">
      <w:pPr>
        <w:pStyle w:val="8"/>
        <w:numPr>
          <w:ilvl w:val="0"/>
          <w:numId w:val="0"/>
        </w:numPr>
        <w:rPr>
          <w:rFonts w:hint="eastAsia"/>
          <w:b w:val="0"/>
          <w:bCs/>
          <w:color w:val="auto"/>
          <w:highlight w:val="none"/>
          <w:lang w:eastAsia="zh-CN"/>
        </w:rPr>
      </w:pPr>
    </w:p>
    <w:p w14:paraId="6B498DBD">
      <w:pPr>
        <w:pStyle w:val="8"/>
        <w:numPr>
          <w:ilvl w:val="0"/>
          <w:numId w:val="0"/>
        </w:numPr>
        <w:rPr>
          <w:rFonts w:hint="eastAsia"/>
          <w:b w:val="0"/>
          <w:bCs/>
          <w:color w:val="auto"/>
          <w:highlight w:val="none"/>
          <w:lang w:eastAsia="zh-CN"/>
        </w:rPr>
      </w:pPr>
    </w:p>
    <w:p w14:paraId="03632BEF">
      <w:pPr>
        <w:pStyle w:val="8"/>
        <w:numPr>
          <w:ilvl w:val="0"/>
          <w:numId w:val="0"/>
        </w:numPr>
        <w:rPr>
          <w:rFonts w:hint="eastAsia"/>
          <w:b w:val="0"/>
          <w:bCs/>
          <w:color w:val="auto"/>
          <w:highlight w:val="none"/>
          <w:lang w:eastAsia="zh-CN"/>
        </w:rPr>
      </w:pPr>
    </w:p>
    <w:p w14:paraId="052175EA">
      <w:pPr>
        <w:pStyle w:val="8"/>
        <w:numPr>
          <w:ilvl w:val="0"/>
          <w:numId w:val="0"/>
        </w:numPr>
        <w:rPr>
          <w:rFonts w:hint="eastAsia"/>
          <w:b w:val="0"/>
          <w:bCs/>
          <w:color w:val="auto"/>
          <w:highlight w:val="none"/>
          <w:lang w:eastAsia="zh-CN"/>
        </w:rPr>
      </w:pPr>
    </w:p>
    <w:p w14:paraId="6C041071">
      <w:pPr>
        <w:rPr>
          <w:rFonts w:hint="eastAsia"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br w:type="page"/>
      </w:r>
    </w:p>
    <w:p w14:paraId="32912B33">
      <w:pPr>
        <w:spacing w:line="360" w:lineRule="auto"/>
        <w:jc w:val="center"/>
        <w:outlineLvl w:val="0"/>
        <w:rPr>
          <w:rFonts w:asciiTheme="minorEastAsia" w:hAnsiTheme="minorEastAsia" w:eastAsiaTheme="minorEastAsia"/>
          <w:b/>
          <w:color w:val="auto"/>
          <w:sz w:val="28"/>
          <w:highlight w:val="none"/>
        </w:rPr>
      </w:pPr>
      <w:bookmarkStart w:id="43" w:name="_Toc30824"/>
      <w:r>
        <w:rPr>
          <w:rFonts w:hint="eastAsia" w:asciiTheme="minorEastAsia" w:hAnsiTheme="minorEastAsia" w:eastAsiaTheme="minorEastAsia"/>
          <w:b/>
          <w:color w:val="auto"/>
          <w:sz w:val="28"/>
          <w:highlight w:val="none"/>
        </w:rPr>
        <w:t>第四章  评标方法和标准（综合评分法）</w:t>
      </w:r>
      <w:bookmarkEnd w:id="43"/>
    </w:p>
    <w:p w14:paraId="487E5BFF">
      <w:pPr>
        <w:keepNext w:val="0"/>
        <w:pageBreakBefore w:val="0"/>
        <w:wordWrap/>
        <w:overflowPunct/>
        <w:topLinePunct w:val="0"/>
        <w:bidi w:val="0"/>
        <w:spacing w:line="520" w:lineRule="exact"/>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一、总则</w:t>
      </w:r>
    </w:p>
    <w:p w14:paraId="0434D246">
      <w:pPr>
        <w:keepNext w:val="0"/>
        <w:pageBreakBefore w:val="0"/>
        <w:wordWrap/>
        <w:overflowPunct/>
        <w:topLinePunct w:val="0"/>
        <w:bidi w:val="0"/>
        <w:spacing w:line="52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本项目将按照招标文件第二章投标人须知的相关要求</w:t>
      </w:r>
      <w:r>
        <w:rPr>
          <w:rFonts w:asciiTheme="minorEastAsia" w:hAnsiTheme="minorEastAsia" w:eastAsiaTheme="minorEastAsia"/>
          <w:color w:val="auto"/>
          <w:sz w:val="24"/>
          <w:highlight w:val="none"/>
        </w:rPr>
        <w:t>及本章的规定评标。</w:t>
      </w:r>
    </w:p>
    <w:p w14:paraId="71A3ED9D">
      <w:pPr>
        <w:keepNext w:val="0"/>
        <w:pageBreakBefore w:val="0"/>
        <w:wordWrap/>
        <w:overflowPunct/>
        <w:topLinePunct w:val="0"/>
        <w:bidi w:val="0"/>
        <w:spacing w:line="520" w:lineRule="exact"/>
        <w:ind w:firstLine="437"/>
        <w:outlineLvl w:val="1"/>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二、评标方法</w:t>
      </w:r>
    </w:p>
    <w:p w14:paraId="3D0F44B6">
      <w:pPr>
        <w:keepNext w:val="0"/>
        <w:pageBreakBefore w:val="0"/>
        <w:wordWrap/>
        <w:overflowPunct/>
        <w:topLinePunct w:val="0"/>
        <w:bidi w:val="0"/>
        <w:spacing w:line="520" w:lineRule="exact"/>
        <w:ind w:firstLine="437"/>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2.1资格审查</w:t>
      </w:r>
    </w:p>
    <w:tbl>
      <w:tblPr>
        <w:tblStyle w:val="21"/>
        <w:tblW w:w="514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9"/>
        <w:gridCol w:w="1651"/>
        <w:gridCol w:w="4557"/>
        <w:gridCol w:w="1894"/>
      </w:tblGrid>
      <w:tr w14:paraId="255054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5000" w:type="pct"/>
            <w:gridSpan w:val="4"/>
            <w:tcBorders>
              <w:bottom w:val="single" w:color="auto" w:sz="4" w:space="0"/>
            </w:tcBorders>
            <w:vAlign w:val="center"/>
          </w:tcPr>
          <w:p w14:paraId="11DA17E4">
            <w:pPr>
              <w:keepNext w:val="0"/>
              <w:pageBreakBefore w:val="0"/>
              <w:wordWrap/>
              <w:overflowPunct/>
              <w:topLinePunct w:val="0"/>
              <w:bidi w:val="0"/>
              <w:adjustRightInd w:val="0"/>
              <w:snapToGrid w:val="0"/>
              <w:spacing w:line="520" w:lineRule="exact"/>
              <w:ind w:right="-10"/>
              <w:jc w:val="center"/>
              <w:rPr>
                <w:rFonts w:ascii="宋体" w:hAnsi="宋体" w:eastAsia="宋体"/>
                <w:color w:val="auto"/>
                <w:sz w:val="24"/>
                <w:highlight w:val="none"/>
              </w:rPr>
            </w:pPr>
            <w:r>
              <w:rPr>
                <w:rFonts w:hint="eastAsia" w:ascii="宋体" w:hAnsi="宋体" w:eastAsia="宋体"/>
                <w:b/>
                <w:color w:val="auto"/>
                <w:sz w:val="24"/>
                <w:szCs w:val="22"/>
                <w:highlight w:val="none"/>
              </w:rPr>
              <w:t>资格审查表</w:t>
            </w:r>
          </w:p>
        </w:tc>
      </w:tr>
      <w:tr w14:paraId="49A85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tcBorders>
              <w:bottom w:val="single" w:color="auto" w:sz="4" w:space="0"/>
            </w:tcBorders>
            <w:vAlign w:val="center"/>
          </w:tcPr>
          <w:p w14:paraId="724A439E">
            <w:pPr>
              <w:keepNext w:val="0"/>
              <w:pageBreakBefore w:val="0"/>
              <w:wordWrap/>
              <w:overflowPunct/>
              <w:topLinePunct w:val="0"/>
              <w:bidi w:val="0"/>
              <w:adjustRightInd w:val="0"/>
              <w:snapToGrid w:val="0"/>
              <w:spacing w:line="520" w:lineRule="exact"/>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942" w:type="pct"/>
            <w:tcBorders>
              <w:bottom w:val="single" w:color="auto" w:sz="4" w:space="0"/>
            </w:tcBorders>
            <w:vAlign w:val="center"/>
          </w:tcPr>
          <w:p w14:paraId="0A3ED8F5">
            <w:pPr>
              <w:pStyle w:val="40"/>
              <w:keepNext w:val="0"/>
              <w:pageBreakBefore w:val="0"/>
              <w:pBdr>
                <w:bottom w:val="none" w:color="auto" w:sz="0" w:space="0"/>
              </w:pBdr>
              <w:tabs>
                <w:tab w:val="clear" w:pos="4153"/>
                <w:tab w:val="clear" w:pos="8306"/>
              </w:tabs>
              <w:wordWrap/>
              <w:overflowPunct/>
              <w:topLinePunct w:val="0"/>
              <w:bidi w:val="0"/>
              <w:snapToGrid w:val="0"/>
              <w:spacing w:line="520" w:lineRule="exact"/>
              <w:ind w:right="-10" w:rightChars="0"/>
              <w:textAlignment w:val="auto"/>
              <w:rPr>
                <w:rFonts w:hint="default" w:ascii="宋体" w:hAnsi="宋体" w:eastAsia="宋体"/>
                <w:color w:val="auto"/>
                <w:kern w:val="2"/>
                <w:szCs w:val="24"/>
                <w:highlight w:val="none"/>
                <w:lang w:val="en-US"/>
              </w:rPr>
            </w:pPr>
            <w:r>
              <w:rPr>
                <w:rFonts w:hint="eastAsia" w:ascii="宋体" w:hAnsi="宋体" w:eastAsia="宋体"/>
                <w:color w:val="auto"/>
                <w:kern w:val="2"/>
                <w:szCs w:val="24"/>
                <w:highlight w:val="none"/>
                <w:lang w:val="en-US" w:eastAsia="zh-CN"/>
              </w:rPr>
              <w:t>审查指标</w:t>
            </w:r>
          </w:p>
        </w:tc>
        <w:tc>
          <w:tcPr>
            <w:tcW w:w="2601" w:type="pct"/>
            <w:tcBorders>
              <w:bottom w:val="single" w:color="auto" w:sz="4" w:space="0"/>
            </w:tcBorders>
            <w:vAlign w:val="center"/>
          </w:tcPr>
          <w:p w14:paraId="47DE9F08">
            <w:pPr>
              <w:keepNext w:val="0"/>
              <w:pageBreakBefore w:val="0"/>
              <w:wordWrap/>
              <w:overflowPunct/>
              <w:topLinePunct w:val="0"/>
              <w:bidi w:val="0"/>
              <w:adjustRightInd w:val="0"/>
              <w:snapToGrid w:val="0"/>
              <w:spacing w:line="520" w:lineRule="exact"/>
              <w:ind w:right="-10" w:rightChars="0"/>
              <w:jc w:val="center"/>
              <w:rPr>
                <w:rFonts w:hint="default"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审查标准</w:t>
            </w:r>
          </w:p>
        </w:tc>
        <w:tc>
          <w:tcPr>
            <w:tcW w:w="1079" w:type="pct"/>
            <w:tcBorders>
              <w:bottom w:val="single" w:color="auto" w:sz="4" w:space="0"/>
            </w:tcBorders>
            <w:vAlign w:val="center"/>
          </w:tcPr>
          <w:p w14:paraId="64334099">
            <w:pPr>
              <w:keepNext w:val="0"/>
              <w:pageBreakBefore w:val="0"/>
              <w:wordWrap/>
              <w:overflowPunct/>
              <w:topLinePunct w:val="0"/>
              <w:bidi w:val="0"/>
              <w:adjustRightInd w:val="0"/>
              <w:snapToGrid w:val="0"/>
              <w:spacing w:line="520" w:lineRule="exact"/>
              <w:ind w:right="-10" w:rightChars="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5DFF0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6" w:type="pct"/>
            <w:tcBorders>
              <w:bottom w:val="single" w:color="auto" w:sz="4" w:space="0"/>
            </w:tcBorders>
            <w:vAlign w:val="center"/>
          </w:tcPr>
          <w:p w14:paraId="232BD0EB">
            <w:pPr>
              <w:keepNext w:val="0"/>
              <w:pageBreakBefore w:val="0"/>
              <w:wordWrap/>
              <w:overflowPunct/>
              <w:topLinePunct w:val="0"/>
              <w:bidi w:val="0"/>
              <w:adjustRightInd w:val="0"/>
              <w:snapToGrid w:val="0"/>
              <w:spacing w:line="520" w:lineRule="exact"/>
              <w:ind w:right="-10" w:rightChars="0"/>
              <w:jc w:val="center"/>
              <w:rPr>
                <w:rFonts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rPr>
              <w:t>1</w:t>
            </w:r>
          </w:p>
        </w:tc>
        <w:tc>
          <w:tcPr>
            <w:tcW w:w="942" w:type="pct"/>
            <w:tcBorders>
              <w:bottom w:val="single" w:color="auto" w:sz="4" w:space="0"/>
            </w:tcBorders>
            <w:vAlign w:val="center"/>
          </w:tcPr>
          <w:p w14:paraId="75931460">
            <w:pPr>
              <w:keepNext w:val="0"/>
              <w:pageBreakBefore w:val="0"/>
              <w:wordWrap/>
              <w:overflowPunct/>
              <w:topLinePunct w:val="0"/>
              <w:bidi w:val="0"/>
              <w:spacing w:line="520" w:lineRule="exact"/>
              <w:ind w:right="-10" w:rightChars="0"/>
              <w:jc w:val="center"/>
              <w:rPr>
                <w:rFonts w:ascii="宋体" w:hAnsi="宋体" w:eastAsia="宋体" w:cs="@仿宋_GB2312"/>
                <w:color w:val="auto"/>
                <w:kern w:val="2"/>
                <w:sz w:val="24"/>
                <w:szCs w:val="28"/>
                <w:highlight w:val="none"/>
                <w:lang w:val="en-US" w:eastAsia="zh-CN" w:bidi="ar-SA"/>
              </w:rPr>
            </w:pPr>
            <w:r>
              <w:rPr>
                <w:rFonts w:ascii="宋体" w:hAnsi="宋体" w:eastAsia="宋体" w:cs="宋体"/>
                <w:color w:val="auto"/>
                <w:spacing w:val="9"/>
                <w:sz w:val="24"/>
                <w:szCs w:val="24"/>
                <w:highlight w:val="none"/>
              </w:rPr>
              <w:t>营业执照等证明</w:t>
            </w:r>
            <w:r>
              <w:rPr>
                <w:rFonts w:ascii="宋体" w:hAnsi="宋体" w:eastAsia="宋体" w:cs="宋体"/>
                <w:color w:val="auto"/>
                <w:spacing w:val="-3"/>
                <w:sz w:val="24"/>
                <w:szCs w:val="24"/>
                <w:highlight w:val="none"/>
              </w:rPr>
              <w:t>文件</w:t>
            </w:r>
          </w:p>
        </w:tc>
        <w:tc>
          <w:tcPr>
            <w:tcW w:w="2601" w:type="pct"/>
            <w:tcBorders>
              <w:bottom w:val="single" w:color="auto" w:sz="4" w:space="0"/>
            </w:tcBorders>
            <w:vAlign w:val="center"/>
          </w:tcPr>
          <w:p w14:paraId="3DD54C8C">
            <w:pPr>
              <w:keepNext w:val="0"/>
              <w:pageBreakBefore w:val="0"/>
              <w:wordWrap/>
              <w:overflowPunct/>
              <w:topLinePunct w:val="0"/>
              <w:bidi w:val="0"/>
              <w:spacing w:line="520" w:lineRule="exact"/>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1</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投标人为企业（包括合伙企业）的，应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供有效的营业执照；</w:t>
            </w:r>
          </w:p>
          <w:p w14:paraId="1125E9F9">
            <w:pPr>
              <w:keepNext w:val="0"/>
              <w:pageBreakBefore w:val="0"/>
              <w:wordWrap/>
              <w:overflowPunct/>
              <w:topLinePunct w:val="0"/>
              <w:bidi w:val="0"/>
              <w:spacing w:line="520" w:lineRule="exact"/>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投标人为事业单位的，应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供有效的事业单位法人证书；</w:t>
            </w:r>
          </w:p>
          <w:p w14:paraId="7AD21032">
            <w:pPr>
              <w:keepNext w:val="0"/>
              <w:pageBreakBefore w:val="0"/>
              <w:wordWrap/>
              <w:overflowPunct/>
              <w:topLinePunct w:val="0"/>
              <w:bidi w:val="0"/>
              <w:spacing w:line="520" w:lineRule="exact"/>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3</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投标人是非企业机构的，应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供有效的执业许可证</w:t>
            </w:r>
            <w:r>
              <w:rPr>
                <w:rFonts w:hint="eastAsia" w:ascii="宋体" w:hAnsi="宋体" w:eastAsia="宋体" w:cs="宋体"/>
                <w:color w:val="auto"/>
                <w:sz w:val="24"/>
                <w:szCs w:val="24"/>
                <w:highlight w:val="none"/>
                <w:lang w:val="en-US" w:eastAsia="zh-CN"/>
              </w:rPr>
              <w:t>或</w:t>
            </w:r>
            <w:r>
              <w:rPr>
                <w:rFonts w:ascii="宋体" w:hAnsi="宋体" w:eastAsia="宋体" w:cs="宋体"/>
                <w:color w:val="auto"/>
                <w:sz w:val="24"/>
                <w:szCs w:val="24"/>
                <w:highlight w:val="none"/>
              </w:rPr>
              <w:t>登记证书等证明文件；</w:t>
            </w:r>
          </w:p>
          <w:p w14:paraId="1B1B38D9">
            <w:pPr>
              <w:keepNext w:val="0"/>
              <w:pageBreakBefore w:val="0"/>
              <w:wordWrap/>
              <w:overflowPunct/>
              <w:topLinePunct w:val="0"/>
              <w:bidi w:val="0"/>
              <w:spacing w:line="520" w:lineRule="exact"/>
              <w:ind w:right="-10" w:rightChars="0"/>
              <w:jc w:val="left"/>
              <w:rPr>
                <w:rFonts w:ascii="宋体" w:hAnsi="宋体" w:eastAsia="宋体" w:cs="宋体"/>
                <w:color w:val="auto"/>
                <w:sz w:val="24"/>
                <w:szCs w:val="24"/>
                <w:highlight w:val="none"/>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投标人是个体工商户的，应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供有效的个体工商户营业执照；</w:t>
            </w:r>
          </w:p>
          <w:p w14:paraId="2E17528B">
            <w:pPr>
              <w:keepNext w:val="0"/>
              <w:pageBreakBefore w:val="0"/>
              <w:wordWrap/>
              <w:overflowPunct/>
              <w:topLinePunct w:val="0"/>
              <w:bidi w:val="0"/>
              <w:spacing w:line="520" w:lineRule="exact"/>
              <w:ind w:right="-10" w:rightChars="0"/>
              <w:jc w:val="left"/>
              <w:rPr>
                <w:rFonts w:hint="default" w:ascii="宋体" w:hAnsi="宋体" w:eastAsia="宋体" w:cs="@仿宋_GB2312"/>
                <w:color w:val="auto"/>
                <w:kern w:val="2"/>
                <w:sz w:val="24"/>
                <w:szCs w:val="28"/>
                <w:highlight w:val="none"/>
                <w:lang w:val="en-US" w:eastAsia="zh-CN" w:bidi="ar-SA"/>
              </w:rPr>
            </w:pP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5</w:t>
            </w:r>
            <w:r>
              <w:rPr>
                <w:rFonts w:hint="eastAsia" w:ascii="宋体" w:hAnsi="宋体" w:eastAsia="宋体" w:cs="宋体"/>
                <w:color w:val="auto"/>
                <w:sz w:val="24"/>
                <w:szCs w:val="24"/>
                <w:highlight w:val="none"/>
                <w:lang w:eastAsia="zh-CN"/>
              </w:rPr>
              <w:t>）</w:t>
            </w:r>
            <w:r>
              <w:rPr>
                <w:rFonts w:ascii="宋体" w:hAnsi="宋体" w:eastAsia="宋体" w:cs="宋体"/>
                <w:color w:val="auto"/>
                <w:sz w:val="24"/>
                <w:szCs w:val="24"/>
                <w:highlight w:val="none"/>
              </w:rPr>
              <w:t>投标人是自然人的，应</w:t>
            </w: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供有效的自然人身份证明</w:t>
            </w:r>
            <w:r>
              <w:rPr>
                <w:rFonts w:hint="eastAsia" w:ascii="宋体" w:hAnsi="宋体" w:eastAsia="宋体" w:cs="宋体"/>
                <w:color w:val="auto"/>
                <w:sz w:val="24"/>
                <w:szCs w:val="24"/>
                <w:highlight w:val="none"/>
                <w:lang w:eastAsia="zh-CN"/>
              </w:rPr>
              <w:t>；</w:t>
            </w:r>
          </w:p>
        </w:tc>
        <w:tc>
          <w:tcPr>
            <w:tcW w:w="1079" w:type="pct"/>
            <w:vAlign w:val="center"/>
          </w:tcPr>
          <w:p w14:paraId="0F8BEBF7">
            <w:pPr>
              <w:keepNext w:val="0"/>
              <w:pageBreakBefore w:val="0"/>
              <w:wordWrap/>
              <w:overflowPunct/>
              <w:topLinePunct w:val="0"/>
              <w:bidi w:val="0"/>
              <w:spacing w:line="520" w:lineRule="exact"/>
              <w:jc w:val="left"/>
              <w:rPr>
                <w:rFonts w:ascii="宋体" w:hAnsi="宋体" w:eastAsia="宋体" w:cs="@仿宋_GB2312"/>
                <w:color w:val="auto"/>
                <w:kern w:val="2"/>
                <w:sz w:val="24"/>
                <w:highlight w:val="none"/>
                <w:lang w:val="en-US" w:eastAsia="zh-CN" w:bidi="ar-SA"/>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全部内容。联合体投标的联合体各方均须提供。</w:t>
            </w:r>
          </w:p>
        </w:tc>
      </w:tr>
      <w:tr w14:paraId="67ABA6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6" w:type="pct"/>
            <w:tcBorders>
              <w:bottom w:val="single" w:color="auto" w:sz="4" w:space="0"/>
            </w:tcBorders>
            <w:vAlign w:val="center"/>
          </w:tcPr>
          <w:p w14:paraId="7BD9320B">
            <w:pPr>
              <w:keepNext w:val="0"/>
              <w:pageBreakBefore w:val="0"/>
              <w:wordWrap/>
              <w:overflowPunct/>
              <w:topLinePunct w:val="0"/>
              <w:bidi w:val="0"/>
              <w:adjustRightInd w:val="0"/>
              <w:snapToGrid w:val="0"/>
              <w:spacing w:line="520" w:lineRule="exact"/>
              <w:ind w:right="-10" w:rightChars="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2</w:t>
            </w:r>
          </w:p>
        </w:tc>
        <w:tc>
          <w:tcPr>
            <w:tcW w:w="942" w:type="pct"/>
            <w:tcBorders>
              <w:bottom w:val="single" w:color="auto" w:sz="4" w:space="0"/>
            </w:tcBorders>
            <w:vAlign w:val="center"/>
          </w:tcPr>
          <w:p w14:paraId="54A7BC58">
            <w:pPr>
              <w:keepNext w:val="0"/>
              <w:pageBreakBefore w:val="0"/>
              <w:wordWrap/>
              <w:overflowPunct/>
              <w:topLinePunct w:val="0"/>
              <w:bidi w:val="0"/>
              <w:spacing w:line="520" w:lineRule="exact"/>
              <w:ind w:right="-10" w:rightChars="0"/>
              <w:jc w:val="center"/>
              <w:rPr>
                <w:rFonts w:hint="default" w:ascii="宋体" w:hAnsi="宋体" w:eastAsia="宋体"/>
                <w:color w:val="auto"/>
                <w:sz w:val="24"/>
                <w:szCs w:val="28"/>
                <w:highlight w:val="none"/>
                <w:lang w:val="en-US"/>
              </w:rPr>
            </w:pPr>
            <w:r>
              <w:rPr>
                <w:rFonts w:hint="eastAsia" w:ascii="宋体" w:hAnsi="宋体" w:eastAsia="宋体"/>
                <w:color w:val="auto"/>
                <w:sz w:val="24"/>
                <w:szCs w:val="18"/>
                <w:highlight w:val="none"/>
                <w:lang w:val="en-US" w:eastAsia="zh-CN"/>
              </w:rPr>
              <w:t>投标人资格声明书</w:t>
            </w:r>
          </w:p>
        </w:tc>
        <w:tc>
          <w:tcPr>
            <w:tcW w:w="2601" w:type="pct"/>
            <w:tcBorders>
              <w:bottom w:val="single" w:color="auto" w:sz="4" w:space="0"/>
            </w:tcBorders>
            <w:vAlign w:val="center"/>
          </w:tcPr>
          <w:p w14:paraId="6FF85E6A">
            <w:pPr>
              <w:keepNext w:val="0"/>
              <w:pageBreakBefore w:val="0"/>
              <w:wordWrap/>
              <w:overflowPunct/>
              <w:topLinePunct w:val="0"/>
              <w:bidi w:val="0"/>
              <w:spacing w:line="520" w:lineRule="exact"/>
              <w:ind w:right="-10" w:rightChars="0"/>
              <w:jc w:val="left"/>
              <w:rPr>
                <w:rFonts w:hint="eastAsia" w:ascii="宋体" w:hAnsi="宋体" w:eastAsia="宋体"/>
                <w:color w:val="auto"/>
                <w:sz w:val="24"/>
                <w:szCs w:val="28"/>
                <w:highlight w:val="none"/>
              </w:rPr>
            </w:pPr>
            <w:r>
              <w:rPr>
                <w:rFonts w:hint="eastAsia" w:ascii="宋体" w:hAnsi="宋体" w:eastAsia="宋体" w:cs="宋体"/>
                <w:color w:val="auto"/>
                <w:sz w:val="24"/>
                <w:szCs w:val="24"/>
                <w:highlight w:val="none"/>
                <w:lang w:val="en-US" w:eastAsia="zh-CN"/>
              </w:rPr>
              <w:t>提</w:t>
            </w:r>
            <w:r>
              <w:rPr>
                <w:rFonts w:ascii="宋体" w:hAnsi="宋体" w:eastAsia="宋体" w:cs="宋体"/>
                <w:color w:val="auto"/>
                <w:sz w:val="24"/>
                <w:szCs w:val="24"/>
                <w:highlight w:val="none"/>
              </w:rPr>
              <w:t>供符合招标文件要求的《投标人资格声明书》</w:t>
            </w:r>
            <w:r>
              <w:rPr>
                <w:rFonts w:hint="eastAsia" w:ascii="宋体" w:hAnsi="宋体" w:eastAsia="宋体" w:cs="宋体"/>
                <w:color w:val="auto"/>
                <w:sz w:val="24"/>
                <w:szCs w:val="24"/>
                <w:highlight w:val="none"/>
                <w:lang w:eastAsia="zh-CN"/>
              </w:rPr>
              <w:t>。</w:t>
            </w:r>
          </w:p>
        </w:tc>
        <w:tc>
          <w:tcPr>
            <w:tcW w:w="1079" w:type="pct"/>
            <w:vAlign w:val="center"/>
          </w:tcPr>
          <w:p w14:paraId="6EBDE370">
            <w:pPr>
              <w:keepNext w:val="0"/>
              <w:pageBreakBefore w:val="0"/>
              <w:wordWrap/>
              <w:overflowPunct/>
              <w:topLinePunct w:val="0"/>
              <w:bidi w:val="0"/>
              <w:spacing w:line="520" w:lineRule="exact"/>
              <w:jc w:val="left"/>
              <w:rPr>
                <w:rFonts w:hint="eastAsia" w:ascii="宋体" w:hAnsi="宋体" w:eastAsia="宋体" w:cs="宋体"/>
                <w:b w:val="0"/>
                <w:bCs w:val="0"/>
                <w:color w:val="auto"/>
                <w:sz w:val="24"/>
                <w:szCs w:val="24"/>
                <w:highlight w:val="none"/>
                <w:lang w:val="en-US" w:eastAsia="zh-CN"/>
              </w:rPr>
            </w:pPr>
            <w:r>
              <w:rPr>
                <w:rFonts w:hint="eastAsia" w:ascii="宋体" w:hAnsi="宋体" w:eastAsia="宋体"/>
                <w:color w:val="auto"/>
                <w:sz w:val="24"/>
                <w:highlight w:val="none"/>
              </w:rPr>
              <w:t>详见第六章投标文件格式</w:t>
            </w:r>
            <w:r>
              <w:rPr>
                <w:rFonts w:hint="eastAsia" w:ascii="宋体" w:hAnsi="宋体" w:eastAsia="宋体"/>
                <w:color w:val="auto"/>
                <w:sz w:val="24"/>
                <w:highlight w:val="none"/>
                <w:lang w:eastAsia="zh-CN"/>
              </w:rPr>
              <w:t>。</w:t>
            </w:r>
          </w:p>
        </w:tc>
      </w:tr>
      <w:tr w14:paraId="207DE3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tcBorders>
              <w:bottom w:val="single" w:color="auto" w:sz="4" w:space="0"/>
            </w:tcBorders>
            <w:vAlign w:val="center"/>
          </w:tcPr>
          <w:p w14:paraId="7265D114">
            <w:pPr>
              <w:keepNext w:val="0"/>
              <w:pageBreakBefore w:val="0"/>
              <w:wordWrap/>
              <w:overflowPunct/>
              <w:topLinePunct w:val="0"/>
              <w:bidi w:val="0"/>
              <w:adjustRightInd w:val="0"/>
              <w:snapToGrid w:val="0"/>
              <w:spacing w:line="520" w:lineRule="exact"/>
              <w:ind w:right="-10"/>
              <w:jc w:val="center"/>
              <w:rPr>
                <w:rFonts w:hint="eastAsia" w:ascii="宋体" w:hAnsi="宋体" w:eastAsia="宋体"/>
                <w:color w:val="auto"/>
                <w:sz w:val="24"/>
                <w:highlight w:val="none"/>
                <w:lang w:val="en-US" w:eastAsia="zh-CN"/>
              </w:rPr>
            </w:pPr>
            <w:r>
              <w:rPr>
                <w:rFonts w:hint="eastAsia" w:ascii="宋体" w:hAnsi="宋体" w:eastAsia="宋体"/>
                <w:color w:val="auto"/>
                <w:sz w:val="24"/>
                <w:highlight w:val="none"/>
                <w:lang w:val="en-US" w:eastAsia="zh-CN"/>
              </w:rPr>
              <w:t>3</w:t>
            </w:r>
          </w:p>
        </w:tc>
        <w:tc>
          <w:tcPr>
            <w:tcW w:w="942" w:type="pct"/>
            <w:tcBorders>
              <w:bottom w:val="single" w:color="auto" w:sz="4" w:space="0"/>
            </w:tcBorders>
            <w:vAlign w:val="center"/>
          </w:tcPr>
          <w:p w14:paraId="7B997111">
            <w:pPr>
              <w:keepNext w:val="0"/>
              <w:pageBreakBefore w:val="0"/>
              <w:wordWrap/>
              <w:overflowPunct/>
              <w:topLinePunct w:val="0"/>
              <w:bidi w:val="0"/>
              <w:spacing w:line="520" w:lineRule="exact"/>
              <w:ind w:right="-10"/>
              <w:jc w:val="center"/>
              <w:rPr>
                <w:rFonts w:ascii="宋体" w:hAnsi="宋体" w:eastAsia="宋体"/>
                <w:color w:val="auto"/>
                <w:sz w:val="24"/>
                <w:szCs w:val="28"/>
                <w:highlight w:val="none"/>
              </w:rPr>
            </w:pPr>
            <w:r>
              <w:rPr>
                <w:rFonts w:hint="eastAsia" w:ascii="宋体" w:hAnsi="宋体" w:eastAsia="宋体" w:cs="宋体"/>
                <w:color w:val="auto"/>
                <w:sz w:val="24"/>
                <w:szCs w:val="24"/>
                <w:highlight w:val="none"/>
              </w:rPr>
              <w:t>投标人信用记录</w:t>
            </w:r>
          </w:p>
        </w:tc>
        <w:tc>
          <w:tcPr>
            <w:tcW w:w="2601" w:type="pct"/>
            <w:tcBorders>
              <w:bottom w:val="single" w:color="auto" w:sz="4" w:space="0"/>
            </w:tcBorders>
            <w:vAlign w:val="center"/>
          </w:tcPr>
          <w:p w14:paraId="7AF5B36E">
            <w:pPr>
              <w:keepNext w:val="0"/>
              <w:pageBreakBefore w:val="0"/>
              <w:wordWrap/>
              <w:overflowPunct/>
              <w:topLinePunct w:val="0"/>
              <w:bidi w:val="0"/>
              <w:spacing w:line="520" w:lineRule="exact"/>
              <w:ind w:right="-10" w:rightChars="0"/>
              <w:jc w:val="left"/>
              <w:rPr>
                <w:color w:val="auto"/>
                <w:highlight w:val="none"/>
              </w:rPr>
            </w:pPr>
            <w:r>
              <w:rPr>
                <w:rFonts w:hint="eastAsia" w:ascii="宋体" w:hAnsi="宋体" w:eastAsia="宋体" w:cs="宋体"/>
                <w:color w:val="auto"/>
                <w:sz w:val="24"/>
                <w:szCs w:val="24"/>
                <w:highlight w:val="none"/>
                <w:lang w:val="zh-CN" w:eastAsia="zh-CN"/>
              </w:rPr>
              <w:t>投标人不得存在投标人须知正文第1</w:t>
            </w:r>
            <w:r>
              <w:rPr>
                <w:rFonts w:hint="eastAsia" w:ascii="宋体" w:hAnsi="宋体" w:eastAsia="宋体" w:cs="宋体"/>
                <w:color w:val="auto"/>
                <w:sz w:val="24"/>
                <w:szCs w:val="24"/>
                <w:highlight w:val="none"/>
                <w:lang w:val="en-US" w:eastAsia="zh-CN"/>
              </w:rPr>
              <w:t>4</w:t>
            </w:r>
            <w:r>
              <w:rPr>
                <w:rFonts w:hint="eastAsia" w:ascii="宋体" w:hAnsi="宋体" w:eastAsia="宋体" w:cs="宋体"/>
                <w:color w:val="auto"/>
                <w:sz w:val="24"/>
                <w:szCs w:val="24"/>
                <w:highlight w:val="none"/>
                <w:lang w:val="zh-CN" w:eastAsia="zh-CN"/>
              </w:rPr>
              <w:t>.2</w:t>
            </w:r>
            <w:r>
              <w:rPr>
                <w:rFonts w:hint="eastAsia" w:ascii="宋体" w:hAnsi="宋体" w:eastAsia="宋体" w:cs="宋体"/>
                <w:color w:val="auto"/>
                <w:sz w:val="24"/>
                <w:szCs w:val="24"/>
                <w:highlight w:val="none"/>
                <w:lang w:val="en-US" w:eastAsia="zh-CN"/>
              </w:rPr>
              <w:t>条中</w:t>
            </w:r>
            <w:r>
              <w:rPr>
                <w:rFonts w:hint="eastAsia" w:ascii="宋体" w:hAnsi="宋体" w:eastAsia="宋体"/>
                <w:color w:val="auto"/>
                <w:sz w:val="24"/>
                <w:szCs w:val="28"/>
                <w:highlight w:val="none"/>
              </w:rPr>
              <w:t>的</w:t>
            </w:r>
            <w:r>
              <w:rPr>
                <w:rFonts w:hint="eastAsia" w:ascii="宋体" w:hAnsi="宋体" w:eastAsia="宋体"/>
                <w:color w:val="auto"/>
                <w:sz w:val="24"/>
                <w:szCs w:val="18"/>
                <w:highlight w:val="none"/>
              </w:rPr>
              <w:t>不良信用记录情形</w:t>
            </w:r>
          </w:p>
        </w:tc>
        <w:tc>
          <w:tcPr>
            <w:tcW w:w="1079" w:type="pct"/>
            <w:tcBorders>
              <w:bottom w:val="single" w:color="auto" w:sz="4" w:space="0"/>
            </w:tcBorders>
            <w:vAlign w:val="center"/>
          </w:tcPr>
          <w:p w14:paraId="62B5FC4D">
            <w:pPr>
              <w:keepNext w:val="0"/>
              <w:pageBreakBefore w:val="0"/>
              <w:wordWrap/>
              <w:overflowPunct/>
              <w:topLinePunct w:val="0"/>
              <w:bidi w:val="0"/>
              <w:spacing w:line="520" w:lineRule="exact"/>
              <w:jc w:val="left"/>
              <w:rPr>
                <w:rFonts w:ascii="@仿宋_GB2312" w:hAnsi="@仿宋_GB2312" w:eastAsia="@仿宋_GB2312" w:cs="@仿宋_GB2312"/>
                <w:color w:val="auto"/>
                <w:kern w:val="2"/>
                <w:sz w:val="21"/>
                <w:highlight w:val="none"/>
                <w:lang w:val="en-US" w:eastAsia="zh-CN" w:bidi="ar-SA"/>
              </w:rPr>
            </w:pPr>
            <w:r>
              <w:rPr>
                <w:rFonts w:hint="eastAsia" w:ascii="宋体" w:hAnsi="宋体" w:eastAsia="宋体" w:cs="宋体"/>
                <w:color w:val="auto"/>
                <w:sz w:val="24"/>
                <w:szCs w:val="24"/>
                <w:highlight w:val="none"/>
              </w:rPr>
              <w:t>无须投标人</w:t>
            </w:r>
            <w:r>
              <w:rPr>
                <w:rFonts w:hint="eastAsia" w:ascii="宋体" w:hAnsi="宋体" w:eastAsia="宋体" w:cs="宋体"/>
                <w:color w:val="auto"/>
                <w:sz w:val="24"/>
                <w:szCs w:val="24"/>
                <w:highlight w:val="none"/>
                <w:lang w:val="en-US" w:eastAsia="zh-CN"/>
              </w:rPr>
              <w:t>提</w:t>
            </w:r>
            <w:r>
              <w:rPr>
                <w:rFonts w:hint="eastAsia" w:ascii="宋体" w:hAnsi="宋体" w:eastAsia="宋体" w:cs="宋体"/>
                <w:color w:val="auto"/>
                <w:sz w:val="24"/>
                <w:szCs w:val="24"/>
                <w:highlight w:val="none"/>
              </w:rPr>
              <w:t>供，由采购人或采购代理机构查询。</w:t>
            </w:r>
          </w:p>
        </w:tc>
      </w:tr>
      <w:tr w14:paraId="22A8D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6" w:type="pct"/>
            <w:vAlign w:val="center"/>
          </w:tcPr>
          <w:p w14:paraId="362562EA">
            <w:pPr>
              <w:keepNext w:val="0"/>
              <w:pageBreakBefore w:val="0"/>
              <w:wordWrap/>
              <w:overflowPunct/>
              <w:topLinePunct w:val="0"/>
              <w:bidi w:val="0"/>
              <w:adjustRightInd w:val="0"/>
              <w:snapToGrid w:val="0"/>
              <w:spacing w:line="520" w:lineRule="exact"/>
              <w:ind w:right="-10" w:rightChars="0"/>
              <w:jc w:val="center"/>
              <w:rPr>
                <w:rFonts w:hint="eastAsia" w:ascii="宋体" w:hAnsi="宋体" w:eastAsia="宋体" w:cs="@仿宋_GB2312"/>
                <w:color w:val="auto"/>
                <w:kern w:val="2"/>
                <w:sz w:val="24"/>
                <w:highlight w:val="none"/>
                <w:lang w:val="en-US" w:eastAsia="zh-CN" w:bidi="ar-SA"/>
              </w:rPr>
            </w:pPr>
            <w:r>
              <w:rPr>
                <w:rFonts w:hint="eastAsia" w:ascii="宋体" w:hAnsi="宋体" w:eastAsia="宋体"/>
                <w:color w:val="auto"/>
                <w:sz w:val="24"/>
                <w:highlight w:val="none"/>
                <w:lang w:val="en-US" w:eastAsia="zh-CN"/>
              </w:rPr>
              <w:t>4</w:t>
            </w:r>
          </w:p>
        </w:tc>
        <w:tc>
          <w:tcPr>
            <w:tcW w:w="942" w:type="pct"/>
            <w:vAlign w:val="center"/>
          </w:tcPr>
          <w:p w14:paraId="53E5A89D">
            <w:pPr>
              <w:keepNext w:val="0"/>
              <w:pageBreakBefore w:val="0"/>
              <w:wordWrap/>
              <w:overflowPunct/>
              <w:topLinePunct w:val="0"/>
              <w:bidi w:val="0"/>
              <w:spacing w:line="520" w:lineRule="exact"/>
              <w:ind w:right="-10"/>
              <w:jc w:val="both"/>
              <w:rPr>
                <w:rFonts w:ascii="宋体" w:hAnsi="宋体" w:eastAsia="宋体" w:cs="宋体"/>
                <w:color w:val="auto"/>
                <w:spacing w:val="10"/>
                <w:sz w:val="24"/>
                <w:szCs w:val="24"/>
                <w:highlight w:val="none"/>
                <w:lang w:val="en-US" w:eastAsia="zh-CN"/>
              </w:rPr>
            </w:pPr>
            <w:r>
              <w:rPr>
                <w:rFonts w:ascii="宋体" w:hAnsi="宋体" w:eastAsia="宋体" w:cs="宋体"/>
                <w:color w:val="auto"/>
                <w:spacing w:val="10"/>
                <w:sz w:val="24"/>
                <w:szCs w:val="24"/>
                <w:highlight w:val="none"/>
              </w:rPr>
              <w:t>本项目的特定资格要求</w:t>
            </w:r>
          </w:p>
        </w:tc>
        <w:tc>
          <w:tcPr>
            <w:tcW w:w="2601" w:type="pct"/>
            <w:vAlign w:val="center"/>
          </w:tcPr>
          <w:p w14:paraId="7F1FF652">
            <w:pPr>
              <w:keepNext w:val="0"/>
              <w:pageBreakBefore w:val="0"/>
              <w:wordWrap/>
              <w:overflowPunct/>
              <w:topLinePunct w:val="0"/>
              <w:bidi w:val="0"/>
              <w:spacing w:line="520" w:lineRule="exact"/>
              <w:ind w:right="-10"/>
              <w:jc w:val="both"/>
              <w:rPr>
                <w:rFonts w:ascii="宋体" w:hAnsi="宋体" w:eastAsia="宋体" w:cs="宋体"/>
                <w:color w:val="auto"/>
                <w:spacing w:val="10"/>
                <w:sz w:val="24"/>
                <w:szCs w:val="24"/>
                <w:highlight w:val="none"/>
              </w:rPr>
            </w:pPr>
            <w:r>
              <w:rPr>
                <w:rFonts w:ascii="宋体" w:hAnsi="宋体" w:eastAsia="宋体" w:cs="宋体"/>
                <w:color w:val="auto"/>
                <w:spacing w:val="10"/>
                <w:sz w:val="24"/>
                <w:szCs w:val="24"/>
                <w:highlight w:val="none"/>
              </w:rPr>
              <w:t>如有，见第一章《投标邀请》</w:t>
            </w:r>
          </w:p>
        </w:tc>
        <w:tc>
          <w:tcPr>
            <w:tcW w:w="1079" w:type="pct"/>
            <w:vAlign w:val="center"/>
          </w:tcPr>
          <w:p w14:paraId="2E821F3D">
            <w:pPr>
              <w:keepNext w:val="0"/>
              <w:pageBreakBefore w:val="0"/>
              <w:wordWrap/>
              <w:overflowPunct/>
              <w:topLinePunct w:val="0"/>
              <w:bidi w:val="0"/>
              <w:spacing w:line="520" w:lineRule="exact"/>
              <w:ind w:right="-10"/>
              <w:jc w:val="both"/>
              <w:rPr>
                <w:rFonts w:ascii="宋体" w:hAnsi="宋体" w:eastAsia="宋体" w:cs="宋体"/>
                <w:color w:val="auto"/>
                <w:spacing w:val="10"/>
                <w:sz w:val="24"/>
                <w:szCs w:val="24"/>
                <w:highlight w:val="none"/>
              </w:rPr>
            </w:pPr>
            <w:r>
              <w:rPr>
                <w:rFonts w:hint="eastAsia" w:ascii="宋体" w:hAnsi="宋体" w:eastAsia="宋体" w:cs="宋体"/>
                <w:b w:val="0"/>
                <w:bCs w:val="0"/>
                <w:color w:val="auto"/>
                <w:sz w:val="24"/>
                <w:szCs w:val="24"/>
                <w:highlight w:val="none"/>
              </w:rPr>
              <w:t>提供</w:t>
            </w:r>
            <w:r>
              <w:rPr>
                <w:rFonts w:hint="eastAsia" w:ascii="宋体" w:hAnsi="宋体" w:eastAsia="宋体" w:cs="宋体"/>
                <w:b w:val="0"/>
                <w:bCs w:val="0"/>
                <w:color w:val="auto"/>
                <w:sz w:val="24"/>
                <w:szCs w:val="24"/>
                <w:highlight w:val="none"/>
                <w:lang w:val="en-US" w:eastAsia="zh-CN"/>
              </w:rPr>
              <w:t>材料</w:t>
            </w:r>
            <w:r>
              <w:rPr>
                <w:rFonts w:hint="eastAsia" w:ascii="宋体" w:hAnsi="宋体" w:eastAsia="宋体" w:cs="宋体"/>
                <w:b w:val="0"/>
                <w:bCs w:val="0"/>
                <w:color w:val="auto"/>
                <w:sz w:val="24"/>
                <w:szCs w:val="24"/>
                <w:highlight w:val="none"/>
              </w:rPr>
              <w:t>扫描件</w:t>
            </w:r>
            <w:r>
              <w:rPr>
                <w:rFonts w:hint="eastAsia" w:ascii="宋体" w:hAnsi="宋体" w:eastAsia="宋体" w:cs="宋体"/>
                <w:b w:val="0"/>
                <w:bCs w:val="0"/>
                <w:color w:val="auto"/>
                <w:sz w:val="24"/>
                <w:szCs w:val="24"/>
                <w:highlight w:val="none"/>
                <w:lang w:val="en-US" w:eastAsia="zh-CN"/>
              </w:rPr>
              <w:t>或电子证照</w:t>
            </w:r>
            <w:r>
              <w:rPr>
                <w:rFonts w:hint="eastAsia" w:ascii="宋体" w:hAnsi="宋体" w:eastAsia="宋体" w:cs="宋体"/>
                <w:b w:val="0"/>
                <w:bCs w:val="0"/>
                <w:color w:val="auto"/>
                <w:sz w:val="24"/>
                <w:szCs w:val="24"/>
                <w:highlight w:val="none"/>
              </w:rPr>
              <w:t>，应完整的体现出</w:t>
            </w:r>
            <w:r>
              <w:rPr>
                <w:rFonts w:hint="eastAsia" w:ascii="宋体" w:hAnsi="宋体" w:eastAsia="宋体" w:cs="宋体"/>
                <w:b w:val="0"/>
                <w:bCs w:val="0"/>
                <w:color w:val="auto"/>
                <w:sz w:val="24"/>
                <w:szCs w:val="24"/>
                <w:highlight w:val="none"/>
                <w:lang w:val="en-US" w:eastAsia="zh-CN"/>
              </w:rPr>
              <w:t>材料或电子证照</w:t>
            </w:r>
            <w:r>
              <w:rPr>
                <w:rFonts w:hint="eastAsia" w:ascii="宋体" w:hAnsi="宋体" w:eastAsia="宋体" w:cs="宋体"/>
                <w:b w:val="0"/>
                <w:bCs w:val="0"/>
                <w:color w:val="auto"/>
                <w:sz w:val="24"/>
                <w:szCs w:val="24"/>
                <w:highlight w:val="none"/>
              </w:rPr>
              <w:t>全部内容。</w:t>
            </w:r>
          </w:p>
        </w:tc>
      </w:tr>
    </w:tbl>
    <w:p w14:paraId="43630C17">
      <w:pPr>
        <w:keepNext w:val="0"/>
        <w:pageBreakBefore w:val="0"/>
        <w:wordWrap/>
        <w:overflowPunct/>
        <w:topLinePunct w:val="0"/>
        <w:bidi w:val="0"/>
        <w:spacing w:line="520" w:lineRule="exact"/>
        <w:ind w:firstLine="435"/>
        <w:rPr>
          <w:rFonts w:asciiTheme="minorEastAsia" w:hAnsiTheme="minorEastAsia" w:eastAsiaTheme="minorEastAsia"/>
          <w:color w:val="auto"/>
          <w:sz w:val="24"/>
          <w:highlight w:val="none"/>
        </w:rPr>
      </w:pPr>
      <w:r>
        <w:rPr>
          <w:rFonts w:hint="eastAsia" w:ascii="宋体" w:hAnsi="宋体" w:eastAsia="宋体"/>
          <w:b/>
          <w:bCs/>
          <w:color w:val="auto"/>
          <w:sz w:val="24"/>
          <w:highlight w:val="none"/>
        </w:rPr>
        <w:t>资格审查指标通过标准：</w:t>
      </w:r>
      <w:r>
        <w:rPr>
          <w:rFonts w:hint="eastAsia" w:ascii="宋体" w:hAnsi="宋体" w:eastAsia="宋体"/>
          <w:color w:val="auto"/>
          <w:sz w:val="24"/>
          <w:highlight w:val="none"/>
        </w:rPr>
        <w:t>投标人必须通过资格审查表中的全部评审指标。</w:t>
      </w:r>
    </w:p>
    <w:p w14:paraId="48E8F41D">
      <w:pPr>
        <w:keepNext w:val="0"/>
        <w:pageBreakBefore w:val="0"/>
        <w:wordWrap/>
        <w:overflowPunct/>
        <w:topLinePunct w:val="0"/>
        <w:bidi w:val="0"/>
        <w:spacing w:line="520" w:lineRule="exact"/>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2.2符合性审查</w:t>
      </w:r>
    </w:p>
    <w:p w14:paraId="048E187D">
      <w:pPr>
        <w:keepNext w:val="0"/>
        <w:pageBreakBefore w:val="0"/>
        <w:wordWrap/>
        <w:overflowPunct/>
        <w:topLinePunct w:val="0"/>
        <w:bidi w:val="0"/>
        <w:spacing w:line="52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评标委员会对通过资格审查的投标人的投标文件进行符合性审查，以确定其是否满足招标文件的实质性要求。符合性审查表如下：</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5"/>
        <w:gridCol w:w="2115"/>
        <w:gridCol w:w="3128"/>
        <w:gridCol w:w="2514"/>
      </w:tblGrid>
      <w:tr w14:paraId="299F01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jc w:val="center"/>
        </w:trPr>
        <w:tc>
          <w:tcPr>
            <w:tcW w:w="5000" w:type="pct"/>
            <w:gridSpan w:val="4"/>
            <w:tcBorders>
              <w:bottom w:val="single" w:color="auto" w:sz="4" w:space="0"/>
            </w:tcBorders>
            <w:vAlign w:val="center"/>
          </w:tcPr>
          <w:p w14:paraId="12E6E0C4">
            <w:pPr>
              <w:keepNext w:val="0"/>
              <w:pageBreakBefore w:val="0"/>
              <w:wordWrap/>
              <w:overflowPunct/>
              <w:topLinePunct w:val="0"/>
              <w:bidi w:val="0"/>
              <w:adjustRightInd w:val="0"/>
              <w:snapToGrid w:val="0"/>
              <w:spacing w:line="520" w:lineRule="exact"/>
              <w:ind w:right="-10"/>
              <w:jc w:val="center"/>
              <w:rPr>
                <w:rFonts w:ascii="宋体" w:hAnsi="宋体" w:eastAsia="宋体"/>
                <w:b/>
                <w:bCs/>
                <w:color w:val="auto"/>
                <w:sz w:val="24"/>
                <w:highlight w:val="none"/>
              </w:rPr>
            </w:pPr>
            <w:r>
              <w:rPr>
                <w:rFonts w:hint="eastAsia" w:ascii="宋体" w:hAnsi="宋体" w:eastAsia="宋体"/>
                <w:b/>
                <w:bCs/>
                <w:color w:val="auto"/>
                <w:sz w:val="24"/>
                <w:highlight w:val="none"/>
              </w:rPr>
              <w:t>符合性审查表</w:t>
            </w:r>
          </w:p>
        </w:tc>
      </w:tr>
      <w:tr w14:paraId="3F3781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0" w:hRule="atLeast"/>
          <w:jc w:val="center"/>
        </w:trPr>
        <w:tc>
          <w:tcPr>
            <w:tcW w:w="449" w:type="pct"/>
            <w:tcBorders>
              <w:bottom w:val="single" w:color="auto" w:sz="4" w:space="0"/>
            </w:tcBorders>
            <w:vAlign w:val="center"/>
          </w:tcPr>
          <w:p w14:paraId="79E9126C">
            <w:pPr>
              <w:keepNext w:val="0"/>
              <w:pageBreakBefore w:val="0"/>
              <w:wordWrap/>
              <w:overflowPunct/>
              <w:topLinePunct w:val="0"/>
              <w:bidi w:val="0"/>
              <w:adjustRightInd w:val="0"/>
              <w:snapToGrid w:val="0"/>
              <w:spacing w:line="520" w:lineRule="exact"/>
              <w:ind w:right="-10"/>
              <w:jc w:val="center"/>
              <w:rPr>
                <w:rFonts w:ascii="宋体" w:hAnsi="宋体" w:eastAsia="宋体"/>
                <w:color w:val="auto"/>
                <w:sz w:val="24"/>
                <w:highlight w:val="none"/>
              </w:rPr>
            </w:pPr>
            <w:r>
              <w:rPr>
                <w:rFonts w:hint="eastAsia" w:ascii="宋体" w:hAnsi="宋体" w:eastAsia="宋体"/>
                <w:color w:val="auto"/>
                <w:sz w:val="24"/>
                <w:highlight w:val="none"/>
              </w:rPr>
              <w:t>序号</w:t>
            </w:r>
          </w:p>
        </w:tc>
        <w:tc>
          <w:tcPr>
            <w:tcW w:w="1241" w:type="pct"/>
            <w:tcBorders>
              <w:bottom w:val="single" w:color="auto" w:sz="4" w:space="0"/>
            </w:tcBorders>
            <w:vAlign w:val="center"/>
          </w:tcPr>
          <w:p w14:paraId="0AABD9E9">
            <w:pPr>
              <w:pStyle w:val="40"/>
              <w:keepNext w:val="0"/>
              <w:pageBreakBefore w:val="0"/>
              <w:pBdr>
                <w:bottom w:val="none" w:color="auto" w:sz="0" w:space="0"/>
              </w:pBdr>
              <w:tabs>
                <w:tab w:val="clear" w:pos="4153"/>
                <w:tab w:val="clear" w:pos="8306"/>
              </w:tabs>
              <w:wordWrap/>
              <w:overflowPunct/>
              <w:topLinePunct w:val="0"/>
              <w:bidi w:val="0"/>
              <w:snapToGrid w:val="0"/>
              <w:spacing w:line="520" w:lineRule="exact"/>
              <w:ind w:right="-10"/>
              <w:textAlignment w:val="auto"/>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审查指标</w:t>
            </w:r>
          </w:p>
        </w:tc>
        <w:tc>
          <w:tcPr>
            <w:tcW w:w="1835" w:type="pct"/>
            <w:tcBorders>
              <w:bottom w:val="single" w:color="auto" w:sz="4" w:space="0"/>
            </w:tcBorders>
            <w:vAlign w:val="center"/>
          </w:tcPr>
          <w:p w14:paraId="7624E701">
            <w:pPr>
              <w:keepNext w:val="0"/>
              <w:pageBreakBefore w:val="0"/>
              <w:wordWrap/>
              <w:overflowPunct/>
              <w:topLinePunct w:val="0"/>
              <w:bidi w:val="0"/>
              <w:adjustRightInd w:val="0"/>
              <w:snapToGrid w:val="0"/>
              <w:spacing w:line="520" w:lineRule="exact"/>
              <w:ind w:right="-10"/>
              <w:jc w:val="center"/>
              <w:rPr>
                <w:rFonts w:hint="eastAsia" w:ascii="宋体" w:hAnsi="宋体" w:eastAsia="宋体" w:cs="@仿宋_GB2312"/>
                <w:color w:val="auto"/>
                <w:kern w:val="2"/>
                <w:sz w:val="24"/>
                <w:szCs w:val="20"/>
                <w:highlight w:val="none"/>
                <w:lang w:val="en-US" w:eastAsia="zh-CN" w:bidi="ar-SA"/>
              </w:rPr>
            </w:pPr>
            <w:r>
              <w:rPr>
                <w:rFonts w:hint="eastAsia" w:ascii="宋体" w:hAnsi="宋体" w:eastAsia="宋体" w:cs="@仿宋_GB2312"/>
                <w:color w:val="auto"/>
                <w:kern w:val="2"/>
                <w:sz w:val="24"/>
                <w:szCs w:val="20"/>
                <w:highlight w:val="none"/>
                <w:lang w:val="en-US" w:eastAsia="zh-CN" w:bidi="ar-SA"/>
              </w:rPr>
              <w:t>审查标准</w:t>
            </w:r>
          </w:p>
        </w:tc>
        <w:tc>
          <w:tcPr>
            <w:tcW w:w="1472" w:type="pct"/>
            <w:tcBorders>
              <w:bottom w:val="single" w:color="auto" w:sz="4" w:space="0"/>
            </w:tcBorders>
            <w:vAlign w:val="center"/>
          </w:tcPr>
          <w:p w14:paraId="33651E94">
            <w:pPr>
              <w:keepNext w:val="0"/>
              <w:pageBreakBefore w:val="0"/>
              <w:wordWrap/>
              <w:overflowPunct/>
              <w:topLinePunct w:val="0"/>
              <w:bidi w:val="0"/>
              <w:adjustRightInd w:val="0"/>
              <w:snapToGrid w:val="0"/>
              <w:spacing w:line="520" w:lineRule="exact"/>
              <w:ind w:right="-10"/>
              <w:jc w:val="center"/>
              <w:rPr>
                <w:rFonts w:ascii="宋体" w:hAnsi="宋体" w:eastAsia="宋体"/>
                <w:color w:val="auto"/>
                <w:sz w:val="24"/>
                <w:highlight w:val="none"/>
              </w:rPr>
            </w:pPr>
            <w:r>
              <w:rPr>
                <w:rFonts w:hint="eastAsia" w:ascii="宋体" w:hAnsi="宋体" w:eastAsia="宋体"/>
                <w:color w:val="auto"/>
                <w:sz w:val="24"/>
                <w:highlight w:val="none"/>
              </w:rPr>
              <w:t>格式要求</w:t>
            </w:r>
          </w:p>
        </w:tc>
      </w:tr>
      <w:tr w14:paraId="33E9C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473FF9EC">
            <w:pPr>
              <w:keepNext w:val="0"/>
              <w:pageBreakBefore w:val="0"/>
              <w:wordWrap/>
              <w:overflowPunct/>
              <w:topLinePunct w:val="0"/>
              <w:bidi w:val="0"/>
              <w:adjustRightInd w:val="0"/>
              <w:snapToGrid w:val="0"/>
              <w:spacing w:line="520" w:lineRule="exact"/>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p>
        </w:tc>
        <w:tc>
          <w:tcPr>
            <w:tcW w:w="1241" w:type="pct"/>
            <w:vAlign w:val="center"/>
          </w:tcPr>
          <w:p w14:paraId="28475418">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highlight w:val="none"/>
              </w:rPr>
              <w:t>开标一览表</w:t>
            </w:r>
          </w:p>
        </w:tc>
        <w:tc>
          <w:tcPr>
            <w:tcW w:w="1835" w:type="pct"/>
            <w:vAlign w:val="center"/>
          </w:tcPr>
          <w:p w14:paraId="2A2F41CC">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5F016177">
            <w:pPr>
              <w:keepNext w:val="0"/>
              <w:pageBreakBefore w:val="0"/>
              <w:wordWrap/>
              <w:overflowPunct/>
              <w:topLinePunct w:val="0"/>
              <w:bidi w:val="0"/>
              <w:adjustRightInd w:val="0"/>
              <w:snapToGrid w:val="0"/>
              <w:spacing w:line="520" w:lineRule="exact"/>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56523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2576DD36">
            <w:pPr>
              <w:keepNext w:val="0"/>
              <w:pageBreakBefore w:val="0"/>
              <w:wordWrap/>
              <w:overflowPunct/>
              <w:topLinePunct w:val="0"/>
              <w:bidi w:val="0"/>
              <w:adjustRightInd w:val="0"/>
              <w:snapToGrid w:val="0"/>
              <w:spacing w:line="520" w:lineRule="exact"/>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241" w:type="pct"/>
            <w:vAlign w:val="center"/>
          </w:tcPr>
          <w:p w14:paraId="1D82D5FC">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投标函</w:t>
            </w:r>
          </w:p>
        </w:tc>
        <w:tc>
          <w:tcPr>
            <w:tcW w:w="1835" w:type="pct"/>
            <w:vAlign w:val="center"/>
          </w:tcPr>
          <w:p w14:paraId="268E5862">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5B04D856">
            <w:pPr>
              <w:keepNext w:val="0"/>
              <w:pageBreakBefore w:val="0"/>
              <w:wordWrap/>
              <w:overflowPunct/>
              <w:topLinePunct w:val="0"/>
              <w:bidi w:val="0"/>
              <w:adjustRightInd w:val="0"/>
              <w:snapToGrid w:val="0"/>
              <w:spacing w:line="520" w:lineRule="exact"/>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770D7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6C10A536">
            <w:pPr>
              <w:keepNext w:val="0"/>
              <w:pageBreakBefore w:val="0"/>
              <w:wordWrap/>
              <w:overflowPunct/>
              <w:topLinePunct w:val="0"/>
              <w:bidi w:val="0"/>
              <w:adjustRightInd w:val="0"/>
              <w:snapToGrid w:val="0"/>
              <w:spacing w:line="520" w:lineRule="exact"/>
              <w:ind w:right="-10"/>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3</w:t>
            </w:r>
          </w:p>
        </w:tc>
        <w:tc>
          <w:tcPr>
            <w:tcW w:w="1241" w:type="pct"/>
            <w:vAlign w:val="center"/>
          </w:tcPr>
          <w:p w14:paraId="120BDA65">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授权书</w:t>
            </w:r>
          </w:p>
        </w:tc>
        <w:tc>
          <w:tcPr>
            <w:tcW w:w="1835" w:type="pct"/>
            <w:vAlign w:val="center"/>
          </w:tcPr>
          <w:p w14:paraId="028890AB">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格式、填写要求符合招标文件规定并加盖投标人电子签章</w:t>
            </w:r>
          </w:p>
        </w:tc>
        <w:tc>
          <w:tcPr>
            <w:tcW w:w="1472" w:type="pct"/>
            <w:vAlign w:val="center"/>
          </w:tcPr>
          <w:p w14:paraId="72165FB0">
            <w:pPr>
              <w:keepNext w:val="0"/>
              <w:pageBreakBefore w:val="0"/>
              <w:wordWrap/>
              <w:overflowPunct/>
              <w:topLinePunct w:val="0"/>
              <w:bidi w:val="0"/>
              <w:adjustRightInd w:val="0"/>
              <w:snapToGrid w:val="0"/>
              <w:spacing w:line="520" w:lineRule="exact"/>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法定代表人参加投标的无需此件，提供身份证明即可。详见第六章投标文件格式</w:t>
            </w:r>
            <w:r>
              <w:rPr>
                <w:rFonts w:hint="eastAsia" w:asciiTheme="minorEastAsia" w:hAnsiTheme="minorEastAsia" w:eastAsiaTheme="minorEastAsia"/>
                <w:color w:val="auto"/>
                <w:sz w:val="24"/>
                <w:highlight w:val="none"/>
                <w:lang w:eastAsia="zh-CN"/>
              </w:rPr>
              <w:t>。</w:t>
            </w:r>
          </w:p>
        </w:tc>
      </w:tr>
      <w:tr w14:paraId="0CCD2E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6C74BDB0">
            <w:pPr>
              <w:keepNext w:val="0"/>
              <w:pageBreakBefore w:val="0"/>
              <w:wordWrap/>
              <w:overflowPunct/>
              <w:topLinePunct w:val="0"/>
              <w:bidi w:val="0"/>
              <w:adjustRightInd w:val="0"/>
              <w:snapToGrid w:val="0"/>
              <w:spacing w:line="520" w:lineRule="exact"/>
              <w:ind w:right="-10"/>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w:t>
            </w:r>
          </w:p>
        </w:tc>
        <w:tc>
          <w:tcPr>
            <w:tcW w:w="1241" w:type="pct"/>
            <w:vAlign w:val="center"/>
          </w:tcPr>
          <w:p w14:paraId="37DAA337">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投标报价</w:t>
            </w:r>
          </w:p>
        </w:tc>
        <w:tc>
          <w:tcPr>
            <w:tcW w:w="1835" w:type="pct"/>
            <w:vAlign w:val="center"/>
          </w:tcPr>
          <w:p w14:paraId="08E253F7">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w:t>
            </w:r>
            <w:r>
              <w:rPr>
                <w:rFonts w:hint="eastAsia" w:asciiTheme="minorEastAsia" w:hAnsiTheme="minorEastAsia" w:eastAsiaTheme="minorEastAsia"/>
                <w:color w:val="auto"/>
                <w:sz w:val="24"/>
                <w:highlight w:val="none"/>
              </w:rPr>
              <w:t>招标文件投标人须知正文第</w:t>
            </w:r>
            <w:r>
              <w:rPr>
                <w:rFonts w:hint="eastAsia" w:asciiTheme="minorEastAsia" w:hAnsiTheme="minorEastAsia" w:eastAsiaTheme="minorEastAsia"/>
                <w:color w:val="auto"/>
                <w:sz w:val="24"/>
                <w:highlight w:val="none"/>
                <w:lang w:val="en-US" w:eastAsia="zh-CN"/>
              </w:rPr>
              <w:t>9</w:t>
            </w:r>
            <w:r>
              <w:rPr>
                <w:rFonts w:hint="eastAsia" w:asciiTheme="minorEastAsia" w:hAnsiTheme="minorEastAsia" w:eastAsiaTheme="minorEastAsia"/>
                <w:color w:val="auto"/>
                <w:sz w:val="24"/>
                <w:highlight w:val="none"/>
              </w:rPr>
              <w:t>条要求</w:t>
            </w:r>
          </w:p>
        </w:tc>
        <w:tc>
          <w:tcPr>
            <w:tcW w:w="1472" w:type="pct"/>
            <w:vAlign w:val="center"/>
          </w:tcPr>
          <w:p w14:paraId="5276F47C">
            <w:pPr>
              <w:keepNext w:val="0"/>
              <w:pageBreakBefore w:val="0"/>
              <w:wordWrap/>
              <w:overflowPunct/>
              <w:topLinePunct w:val="0"/>
              <w:bidi w:val="0"/>
              <w:adjustRightInd w:val="0"/>
              <w:snapToGrid w:val="0"/>
              <w:spacing w:line="520" w:lineRule="exact"/>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030B7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07B15A1A">
            <w:pPr>
              <w:keepNext w:val="0"/>
              <w:pageBreakBefore w:val="0"/>
              <w:wordWrap/>
              <w:overflowPunct/>
              <w:topLinePunct w:val="0"/>
              <w:bidi w:val="0"/>
              <w:adjustRightInd w:val="0"/>
              <w:snapToGrid w:val="0"/>
              <w:spacing w:line="520" w:lineRule="exact"/>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5</w:t>
            </w:r>
          </w:p>
        </w:tc>
        <w:tc>
          <w:tcPr>
            <w:tcW w:w="1241" w:type="pct"/>
            <w:vAlign w:val="center"/>
          </w:tcPr>
          <w:p w14:paraId="300D485F">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商务响应情况</w:t>
            </w:r>
          </w:p>
        </w:tc>
        <w:tc>
          <w:tcPr>
            <w:tcW w:w="1835" w:type="pct"/>
            <w:vAlign w:val="center"/>
          </w:tcPr>
          <w:p w14:paraId="7CFA0A44">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符合招标文件采购需求中对付款方式、</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地点、</w:t>
            </w:r>
            <w:r>
              <w:rPr>
                <w:rFonts w:hint="eastAsia" w:asciiTheme="minorEastAsia" w:hAnsiTheme="minorEastAsia" w:eastAsiaTheme="minorEastAsia"/>
                <w:color w:val="auto"/>
                <w:sz w:val="24"/>
                <w:szCs w:val="28"/>
                <w:highlight w:val="none"/>
                <w:lang w:val="en-US" w:eastAsia="zh-CN"/>
              </w:rPr>
              <w:t>服务</w:t>
            </w:r>
            <w:r>
              <w:rPr>
                <w:rFonts w:hint="eastAsia" w:asciiTheme="minorEastAsia" w:hAnsiTheme="minorEastAsia" w:eastAsiaTheme="minorEastAsia"/>
                <w:color w:val="auto"/>
                <w:sz w:val="24"/>
                <w:szCs w:val="28"/>
                <w:highlight w:val="none"/>
              </w:rPr>
              <w:t>期限</w:t>
            </w:r>
            <w:r>
              <w:rPr>
                <w:rFonts w:hint="eastAsia" w:asciiTheme="minorEastAsia" w:hAnsiTheme="minorEastAsia" w:eastAsiaTheme="minorEastAsia"/>
                <w:color w:val="auto"/>
                <w:sz w:val="24"/>
                <w:szCs w:val="28"/>
                <w:highlight w:val="none"/>
                <w:lang w:val="en-US" w:eastAsia="zh-CN"/>
              </w:rPr>
              <w:t>等实质性</w:t>
            </w:r>
            <w:r>
              <w:rPr>
                <w:rFonts w:hint="eastAsia" w:asciiTheme="minorEastAsia" w:hAnsiTheme="minorEastAsia" w:eastAsiaTheme="minorEastAsia"/>
                <w:color w:val="auto"/>
                <w:sz w:val="24"/>
                <w:szCs w:val="28"/>
                <w:highlight w:val="none"/>
              </w:rPr>
              <w:t>要求</w:t>
            </w:r>
          </w:p>
        </w:tc>
        <w:tc>
          <w:tcPr>
            <w:tcW w:w="1472" w:type="pct"/>
            <w:vAlign w:val="center"/>
          </w:tcPr>
          <w:p w14:paraId="3B4964DE">
            <w:pPr>
              <w:keepNext w:val="0"/>
              <w:pageBreakBefore w:val="0"/>
              <w:wordWrap/>
              <w:overflowPunct/>
              <w:topLinePunct w:val="0"/>
              <w:bidi w:val="0"/>
              <w:adjustRightInd w:val="0"/>
              <w:snapToGrid w:val="0"/>
              <w:spacing w:line="520" w:lineRule="exact"/>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rPr>
              <w:t>详见第六章投标文件格式</w:t>
            </w:r>
            <w:r>
              <w:rPr>
                <w:rFonts w:hint="eastAsia" w:asciiTheme="minorEastAsia" w:hAnsiTheme="minorEastAsia" w:eastAsiaTheme="minorEastAsia"/>
                <w:color w:val="auto"/>
                <w:sz w:val="24"/>
                <w:highlight w:val="none"/>
                <w:lang w:eastAsia="zh-CN"/>
              </w:rPr>
              <w:t>。</w:t>
            </w:r>
          </w:p>
        </w:tc>
      </w:tr>
      <w:tr w14:paraId="520B07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49" w:type="pct"/>
            <w:vAlign w:val="center"/>
          </w:tcPr>
          <w:p w14:paraId="32E70D0F">
            <w:pPr>
              <w:keepNext w:val="0"/>
              <w:pageBreakBefore w:val="0"/>
              <w:wordWrap/>
              <w:overflowPunct/>
              <w:topLinePunct w:val="0"/>
              <w:bidi w:val="0"/>
              <w:adjustRightInd w:val="0"/>
              <w:snapToGrid w:val="0"/>
              <w:spacing w:line="520" w:lineRule="exact"/>
              <w:ind w:right="-10"/>
              <w:jc w:val="center"/>
              <w:rPr>
                <w:rFonts w:hint="eastAsia" w:asciiTheme="minorEastAsia" w:hAnsiTheme="minorEastAsia" w:eastAsiaTheme="minorEastAsia"/>
                <w:color w:val="auto"/>
                <w:sz w:val="24"/>
                <w:highlight w:val="none"/>
                <w:lang w:eastAsia="zh-CN"/>
              </w:rPr>
            </w:pPr>
            <w:r>
              <w:rPr>
                <w:rFonts w:hint="eastAsia" w:asciiTheme="minorEastAsia" w:hAnsiTheme="minorEastAsia" w:eastAsiaTheme="minorEastAsia"/>
                <w:color w:val="auto"/>
                <w:sz w:val="24"/>
                <w:highlight w:val="none"/>
                <w:lang w:val="en-US" w:eastAsia="zh-CN"/>
              </w:rPr>
              <w:t>6</w:t>
            </w:r>
          </w:p>
        </w:tc>
        <w:tc>
          <w:tcPr>
            <w:tcW w:w="1241" w:type="pct"/>
            <w:vAlign w:val="center"/>
          </w:tcPr>
          <w:p w14:paraId="773FF377">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其他要求</w:t>
            </w:r>
          </w:p>
        </w:tc>
        <w:tc>
          <w:tcPr>
            <w:tcW w:w="1835" w:type="pct"/>
            <w:vAlign w:val="center"/>
          </w:tcPr>
          <w:p w14:paraId="307F9DA0">
            <w:pPr>
              <w:keepNext w:val="0"/>
              <w:pageBreakBefore w:val="0"/>
              <w:wordWrap/>
              <w:overflowPunct/>
              <w:topLinePunct w:val="0"/>
              <w:bidi w:val="0"/>
              <w:spacing w:line="520" w:lineRule="exact"/>
              <w:ind w:right="-10"/>
              <w:jc w:val="center"/>
              <w:rPr>
                <w:rFonts w:asciiTheme="minorEastAsia" w:hAnsiTheme="minorEastAsia" w:eastAsiaTheme="minorEastAsia"/>
                <w:color w:val="auto"/>
                <w:sz w:val="24"/>
                <w:szCs w:val="28"/>
                <w:highlight w:val="none"/>
              </w:rPr>
            </w:pPr>
            <w:r>
              <w:rPr>
                <w:rFonts w:hint="eastAsia" w:asciiTheme="minorEastAsia" w:hAnsiTheme="minorEastAsia" w:eastAsiaTheme="minorEastAsia"/>
                <w:color w:val="auto"/>
                <w:sz w:val="24"/>
                <w:szCs w:val="28"/>
                <w:highlight w:val="none"/>
              </w:rPr>
              <w:t>符合法律、行政法规规定的其他条件或招标文件列明的其他</w:t>
            </w:r>
            <w:r>
              <w:rPr>
                <w:rFonts w:hint="eastAsia" w:asciiTheme="minorEastAsia" w:hAnsiTheme="minorEastAsia" w:eastAsiaTheme="minorEastAsia"/>
                <w:color w:val="auto"/>
                <w:sz w:val="24"/>
                <w:szCs w:val="28"/>
                <w:highlight w:val="none"/>
                <w:lang w:val="en-US" w:eastAsia="zh-CN"/>
              </w:rPr>
              <w:t>实质性</w:t>
            </w:r>
            <w:r>
              <w:rPr>
                <w:rFonts w:hint="eastAsia" w:asciiTheme="minorEastAsia" w:hAnsiTheme="minorEastAsia" w:eastAsiaTheme="minorEastAsia"/>
                <w:color w:val="auto"/>
                <w:sz w:val="24"/>
                <w:szCs w:val="28"/>
                <w:highlight w:val="none"/>
              </w:rPr>
              <w:t>要求</w:t>
            </w:r>
          </w:p>
        </w:tc>
        <w:tc>
          <w:tcPr>
            <w:tcW w:w="1472" w:type="pct"/>
            <w:vAlign w:val="center"/>
          </w:tcPr>
          <w:p w14:paraId="57DB4A65">
            <w:pPr>
              <w:keepNext w:val="0"/>
              <w:pageBreakBefore w:val="0"/>
              <w:wordWrap/>
              <w:overflowPunct/>
              <w:topLinePunct w:val="0"/>
              <w:bidi w:val="0"/>
              <w:adjustRightInd w:val="0"/>
              <w:snapToGrid w:val="0"/>
              <w:spacing w:line="520" w:lineRule="exact"/>
              <w:ind w:right="-10"/>
              <w:jc w:val="center"/>
              <w:rPr>
                <w:rFonts w:asciiTheme="minorEastAsia" w:hAnsiTheme="minorEastAsia" w:eastAsiaTheme="minorEastAsia"/>
                <w:color w:val="auto"/>
                <w:sz w:val="24"/>
                <w:highlight w:val="none"/>
              </w:rPr>
            </w:pPr>
          </w:p>
        </w:tc>
      </w:tr>
    </w:tbl>
    <w:p w14:paraId="4E7A1F9D">
      <w:pPr>
        <w:keepNext w:val="0"/>
        <w:pageBreakBefore w:val="0"/>
        <w:wordWrap/>
        <w:overflowPunct/>
        <w:topLinePunct w:val="0"/>
        <w:bidi w:val="0"/>
        <w:spacing w:line="520" w:lineRule="exact"/>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b/>
          <w:bCs/>
          <w:color w:val="auto"/>
          <w:sz w:val="24"/>
          <w:highlight w:val="none"/>
        </w:rPr>
        <w:t>符合性审查指标通过标准：</w:t>
      </w:r>
      <w:r>
        <w:rPr>
          <w:rFonts w:hint="eastAsia" w:asciiTheme="minorEastAsia" w:hAnsiTheme="minorEastAsia" w:eastAsiaTheme="minorEastAsia"/>
          <w:color w:val="auto"/>
          <w:sz w:val="24"/>
          <w:highlight w:val="none"/>
        </w:rPr>
        <w:t>投标人必须通过符合性审查表中的全部评审指标。</w:t>
      </w:r>
    </w:p>
    <w:p w14:paraId="4BD1B2FA">
      <w:pPr>
        <w:keepNext w:val="0"/>
        <w:pageBreakBefore w:val="0"/>
        <w:wordWrap/>
        <w:overflowPunct/>
        <w:topLinePunct w:val="0"/>
        <w:bidi w:val="0"/>
        <w:spacing w:line="520" w:lineRule="exact"/>
        <w:ind w:firstLine="435"/>
        <w:outlineLvl w:val="2"/>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2.3</w:t>
      </w:r>
      <w:r>
        <w:rPr>
          <w:rFonts w:hint="eastAsia" w:asciiTheme="minorEastAsia" w:hAnsiTheme="minorEastAsia" w:eastAsiaTheme="minorEastAsia"/>
          <w:color w:val="auto"/>
          <w:sz w:val="24"/>
          <w:highlight w:val="none"/>
        </w:rPr>
        <w:t>异常低价</w:t>
      </w:r>
      <w:r>
        <w:rPr>
          <w:rFonts w:hint="eastAsia" w:asciiTheme="minorEastAsia" w:hAnsiTheme="minorEastAsia" w:eastAsiaTheme="minorEastAsia"/>
          <w:color w:val="auto"/>
          <w:sz w:val="24"/>
          <w:highlight w:val="none"/>
          <w:lang w:val="en-US" w:eastAsia="zh-CN"/>
        </w:rPr>
        <w:t>投标</w:t>
      </w:r>
      <w:r>
        <w:rPr>
          <w:rFonts w:hint="eastAsia" w:asciiTheme="minorEastAsia" w:hAnsiTheme="minorEastAsia" w:eastAsiaTheme="minorEastAsia"/>
          <w:color w:val="auto"/>
          <w:sz w:val="24"/>
          <w:highlight w:val="none"/>
        </w:rPr>
        <w:t>审查</w:t>
      </w:r>
    </w:p>
    <w:tbl>
      <w:tblPr>
        <w:tblStyle w:val="21"/>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08269A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49BFD9D9">
            <w:pPr>
              <w:keepNext w:val="0"/>
              <w:pageBreakBefore w:val="0"/>
              <w:wordWrap/>
              <w:overflowPunct/>
              <w:topLinePunct w:val="0"/>
              <w:bidi w:val="0"/>
              <w:adjustRightInd w:val="0"/>
              <w:snapToGrid w:val="0"/>
              <w:spacing w:line="520" w:lineRule="exact"/>
              <w:ind w:right="-10" w:rightChars="0"/>
              <w:jc w:val="center"/>
              <w:rPr>
                <w:rFonts w:ascii="宋体" w:hAnsi="宋体" w:eastAsia="宋体"/>
                <w:color w:val="auto"/>
                <w:sz w:val="24"/>
                <w:highlight w:val="none"/>
              </w:rPr>
            </w:pPr>
            <w:r>
              <w:rPr>
                <w:rFonts w:hint="eastAsia" w:ascii="宋体" w:hAnsi="宋体" w:eastAsia="宋体" w:cs="Times New Roman"/>
                <w:b/>
                <w:bCs/>
                <w:color w:val="auto"/>
                <w:sz w:val="24"/>
                <w:highlight w:val="none"/>
                <w:lang w:val="en-US" w:eastAsia="zh-CN"/>
              </w:rPr>
              <w:t>异常低价投标审查表</w:t>
            </w:r>
          </w:p>
        </w:tc>
      </w:tr>
      <w:tr w14:paraId="73DA1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071876E8">
            <w:pPr>
              <w:keepNext w:val="0"/>
              <w:pageBreakBefore w:val="0"/>
              <w:wordWrap/>
              <w:overflowPunct/>
              <w:topLinePunct w:val="0"/>
              <w:bidi w:val="0"/>
              <w:spacing w:line="520" w:lineRule="exact"/>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序号</w:t>
            </w:r>
          </w:p>
        </w:tc>
        <w:tc>
          <w:tcPr>
            <w:tcW w:w="1450" w:type="dxa"/>
            <w:tcBorders>
              <w:bottom w:val="single" w:color="auto" w:sz="4" w:space="0"/>
            </w:tcBorders>
            <w:vAlign w:val="center"/>
          </w:tcPr>
          <w:p w14:paraId="60D99ED7">
            <w:pPr>
              <w:keepNext w:val="0"/>
              <w:pageBreakBefore w:val="0"/>
              <w:wordWrap/>
              <w:overflowPunct/>
              <w:topLinePunct w:val="0"/>
              <w:bidi w:val="0"/>
              <w:spacing w:line="520" w:lineRule="exact"/>
              <w:ind w:firstLine="240" w:firstLineChars="100"/>
              <w:jc w:val="center"/>
              <w:rPr>
                <w:rFonts w:ascii="宋体" w:hAnsi="宋体" w:eastAsia="宋体"/>
                <w:color w:val="auto"/>
                <w:kern w:val="2"/>
                <w:szCs w:val="24"/>
                <w:highlight w:val="none"/>
              </w:rPr>
            </w:pPr>
            <w:r>
              <w:rPr>
                <w:rFonts w:hint="eastAsia" w:ascii="宋体" w:hAnsi="宋体" w:eastAsia="宋体" w:cs="Times New Roman"/>
                <w:color w:val="auto"/>
                <w:sz w:val="24"/>
                <w:highlight w:val="none"/>
                <w:lang w:val="en-US" w:eastAsia="zh-CN"/>
              </w:rPr>
              <w:t>评审指标</w:t>
            </w:r>
          </w:p>
        </w:tc>
        <w:tc>
          <w:tcPr>
            <w:tcW w:w="4439" w:type="dxa"/>
            <w:tcBorders>
              <w:bottom w:val="single" w:color="auto" w:sz="4" w:space="0"/>
            </w:tcBorders>
            <w:vAlign w:val="center"/>
          </w:tcPr>
          <w:p w14:paraId="1BAEB2C5">
            <w:pPr>
              <w:keepNext w:val="0"/>
              <w:pageBreakBefore w:val="0"/>
              <w:wordWrap/>
              <w:overflowPunct/>
              <w:topLinePunct w:val="0"/>
              <w:bidi w:val="0"/>
              <w:spacing w:line="520" w:lineRule="exact"/>
              <w:ind w:firstLine="240" w:firstLineChars="100"/>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评审标准</w:t>
            </w:r>
          </w:p>
        </w:tc>
        <w:tc>
          <w:tcPr>
            <w:tcW w:w="2260" w:type="dxa"/>
            <w:tcBorders>
              <w:bottom w:val="single" w:color="auto" w:sz="4" w:space="0"/>
            </w:tcBorders>
            <w:vAlign w:val="center"/>
          </w:tcPr>
          <w:p w14:paraId="2979FDE4">
            <w:pPr>
              <w:keepNext w:val="0"/>
              <w:pageBreakBefore w:val="0"/>
              <w:wordWrap/>
              <w:overflowPunct/>
              <w:topLinePunct w:val="0"/>
              <w:bidi w:val="0"/>
              <w:spacing w:line="520" w:lineRule="exact"/>
              <w:jc w:val="center"/>
              <w:rPr>
                <w:rFonts w:ascii="宋体" w:hAnsi="宋体" w:eastAsia="宋体"/>
                <w:color w:val="auto"/>
                <w:sz w:val="24"/>
                <w:highlight w:val="none"/>
              </w:rPr>
            </w:pPr>
            <w:r>
              <w:rPr>
                <w:rFonts w:hint="eastAsia" w:ascii="宋体" w:hAnsi="宋体" w:eastAsia="宋体" w:cs="Times New Roman"/>
                <w:color w:val="auto"/>
                <w:sz w:val="24"/>
                <w:highlight w:val="none"/>
                <w:lang w:val="en-US" w:eastAsia="zh-CN"/>
              </w:rPr>
              <w:t>格式及材料要求</w:t>
            </w:r>
          </w:p>
        </w:tc>
      </w:tr>
      <w:tr w14:paraId="5BD77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59" w:hRule="atLeast"/>
          <w:jc w:val="center"/>
        </w:trPr>
        <w:tc>
          <w:tcPr>
            <w:tcW w:w="805" w:type="dxa"/>
            <w:tcBorders>
              <w:bottom w:val="single" w:color="auto" w:sz="4" w:space="0"/>
            </w:tcBorders>
            <w:vAlign w:val="center"/>
          </w:tcPr>
          <w:p w14:paraId="201505BF">
            <w:pPr>
              <w:keepNext w:val="0"/>
              <w:pageBreakBefore w:val="0"/>
              <w:wordWrap/>
              <w:overflowPunct/>
              <w:topLinePunct w:val="0"/>
              <w:bidi w:val="0"/>
              <w:spacing w:line="520" w:lineRule="exact"/>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w:t>
            </w:r>
          </w:p>
        </w:tc>
        <w:tc>
          <w:tcPr>
            <w:tcW w:w="1450" w:type="dxa"/>
            <w:tcBorders>
              <w:bottom w:val="single" w:color="auto" w:sz="4" w:space="0"/>
            </w:tcBorders>
            <w:vAlign w:val="center"/>
          </w:tcPr>
          <w:p w14:paraId="19444857">
            <w:pPr>
              <w:keepNext w:val="0"/>
              <w:pageBreakBefore w:val="0"/>
              <w:wordWrap/>
              <w:overflowPunct/>
              <w:topLinePunct w:val="0"/>
              <w:bidi w:val="0"/>
              <w:spacing w:line="520" w:lineRule="exact"/>
              <w:rPr>
                <w:rFonts w:hint="eastAsia" w:ascii="宋体" w:hAnsi="宋体" w:eastAsia="宋体" w:cs="宋体"/>
                <w:color w:val="auto"/>
                <w:sz w:val="24"/>
                <w:szCs w:val="28"/>
                <w:highlight w:val="none"/>
              </w:rPr>
            </w:pPr>
            <w:r>
              <w:rPr>
                <w:rFonts w:hint="eastAsia" w:ascii="宋体" w:hAnsi="宋体" w:eastAsia="宋体" w:cs="宋体"/>
                <w:color w:val="auto"/>
                <w:sz w:val="24"/>
                <w:highlight w:val="none"/>
                <w:lang w:val="en-US" w:eastAsia="zh-CN"/>
              </w:rPr>
              <w:t>异常低价投标审查</w:t>
            </w:r>
          </w:p>
        </w:tc>
        <w:tc>
          <w:tcPr>
            <w:tcW w:w="4439" w:type="dxa"/>
            <w:tcBorders>
              <w:bottom w:val="single" w:color="auto" w:sz="4" w:space="0"/>
            </w:tcBorders>
            <w:vAlign w:val="center"/>
          </w:tcPr>
          <w:p w14:paraId="5383B152">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（1）投标报价＜全部通过符合性审查投标人投标报价平均值×</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49FEFA27">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（2）投标报价＜通过符合性审查的次低报价投标人投标报价×</w:t>
            </w:r>
            <w:r>
              <w:rPr>
                <w:rFonts w:hint="eastAsia" w:ascii="宋体" w:hAnsi="宋体" w:eastAsia="宋体" w:cs="宋体"/>
                <w:b w:val="0"/>
                <w:bCs w:val="0"/>
                <w:i w:val="0"/>
                <w:iCs w:val="0"/>
                <w:color w:val="auto"/>
                <w:sz w:val="24"/>
                <w:szCs w:val="24"/>
                <w:highlight w:val="none"/>
                <w:u w:val="single"/>
                <w:lang w:val="en-US" w:eastAsia="zh-CN"/>
              </w:rPr>
              <w:t>50%</w:t>
            </w:r>
            <w:r>
              <w:rPr>
                <w:rFonts w:hint="eastAsia" w:ascii="宋体" w:hAnsi="宋体" w:eastAsia="宋体" w:cs="宋体"/>
                <w:b w:val="0"/>
                <w:bCs w:val="0"/>
                <w:i w:val="0"/>
                <w:iCs w:val="0"/>
                <w:color w:val="auto"/>
                <w:sz w:val="24"/>
                <w:szCs w:val="24"/>
                <w:highlight w:val="none"/>
                <w:u w:val="none"/>
                <w:lang w:val="en-US" w:eastAsia="zh-CN"/>
              </w:rPr>
              <w:t>；</w:t>
            </w:r>
          </w:p>
          <w:p w14:paraId="2EE2767C">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val="0"/>
                <w:bCs w:val="0"/>
                <w:i w:val="0"/>
                <w:iCs w:val="0"/>
                <w:color w:val="auto"/>
                <w:sz w:val="24"/>
                <w:szCs w:val="24"/>
                <w:highlight w:val="none"/>
                <w:u w:val="none"/>
                <w:lang w:val="en-US" w:eastAsia="zh-CN"/>
              </w:rPr>
            </w:pPr>
            <w:r>
              <w:rPr>
                <w:rFonts w:hint="eastAsia" w:ascii="宋体" w:hAnsi="宋体" w:eastAsia="宋体" w:cs="宋体"/>
                <w:b w:val="0"/>
                <w:bCs w:val="0"/>
                <w:i w:val="0"/>
                <w:iCs w:val="0"/>
                <w:color w:val="auto"/>
                <w:sz w:val="24"/>
                <w:szCs w:val="24"/>
                <w:highlight w:val="none"/>
                <w:u w:val="none"/>
                <w:lang w:val="en-US" w:eastAsia="zh-CN"/>
              </w:rPr>
              <w:t>（3）投标报价＜采购项目最高限价（</w:t>
            </w:r>
            <w:r>
              <w:rPr>
                <w:rFonts w:hint="eastAsia" w:ascii="宋体" w:hAnsi="宋体" w:eastAsia="宋体" w:cs="宋体"/>
                <w:b w:val="0"/>
                <w:bCs w:val="0"/>
                <w:color w:val="auto"/>
                <w:sz w:val="24"/>
                <w:highlight w:val="none"/>
                <w:lang w:val="en-US" w:eastAsia="zh-CN"/>
              </w:rPr>
              <w:t>如采购项目未设定最高限价的，以采购项目预算金额作为最高限价</w:t>
            </w:r>
            <w:r>
              <w:rPr>
                <w:rFonts w:hint="eastAsia" w:ascii="宋体" w:hAnsi="宋体" w:eastAsia="宋体" w:cs="宋体"/>
                <w:b w:val="0"/>
                <w:bCs w:val="0"/>
                <w:i w:val="0"/>
                <w:iCs w:val="0"/>
                <w:color w:val="auto"/>
                <w:sz w:val="24"/>
                <w:szCs w:val="24"/>
                <w:highlight w:val="none"/>
                <w:u w:val="none"/>
                <w:lang w:val="en-US" w:eastAsia="zh-CN"/>
              </w:rPr>
              <w:t>）×</w:t>
            </w:r>
            <w:r>
              <w:rPr>
                <w:rFonts w:hint="eastAsia" w:ascii="宋体" w:hAnsi="宋体" w:eastAsia="宋体" w:cs="宋体"/>
                <w:b w:val="0"/>
                <w:bCs w:val="0"/>
                <w:i w:val="0"/>
                <w:iCs w:val="0"/>
                <w:color w:val="auto"/>
                <w:sz w:val="24"/>
                <w:szCs w:val="24"/>
                <w:highlight w:val="none"/>
                <w:u w:val="single"/>
                <w:lang w:val="en-US" w:eastAsia="zh-CN"/>
              </w:rPr>
              <w:t>45%</w:t>
            </w:r>
            <w:r>
              <w:rPr>
                <w:rFonts w:hint="eastAsia" w:ascii="宋体" w:hAnsi="宋体" w:eastAsia="宋体" w:cs="宋体"/>
                <w:b w:val="0"/>
                <w:bCs w:val="0"/>
                <w:i w:val="0"/>
                <w:iCs w:val="0"/>
                <w:color w:val="auto"/>
                <w:sz w:val="24"/>
                <w:szCs w:val="24"/>
                <w:highlight w:val="none"/>
                <w:u w:val="none"/>
                <w:lang w:val="en-US" w:eastAsia="zh-CN"/>
              </w:rPr>
              <w:t>；</w:t>
            </w:r>
          </w:p>
          <w:p w14:paraId="2CF53D31">
            <w:pPr>
              <w:pStyle w:val="7"/>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（4）评标委员会基于专业判断，认为投标人报价过低，有可能影响产品质量或者不能诚信履约的其他情形。</w:t>
            </w:r>
          </w:p>
          <w:p w14:paraId="1D143708">
            <w:pPr>
              <w:pStyle w:val="7"/>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b/>
                <w:bCs/>
                <w:color w:val="auto"/>
                <w:sz w:val="24"/>
                <w:highlight w:val="none"/>
                <w:lang w:val="en-US" w:eastAsia="zh-CN"/>
              </w:rPr>
            </w:pPr>
            <w:r>
              <w:rPr>
                <w:rFonts w:hint="eastAsia" w:ascii="宋体" w:hAnsi="宋体" w:eastAsia="宋体" w:cs="宋体"/>
                <w:b/>
                <w:bCs/>
                <w:color w:val="auto"/>
                <w:sz w:val="24"/>
                <w:highlight w:val="none"/>
                <w:lang w:val="en-US" w:eastAsia="zh-CN"/>
              </w:rPr>
              <w:t>提醒：</w:t>
            </w:r>
          </w:p>
          <w:p w14:paraId="67BF4130">
            <w:pPr>
              <w:pStyle w:val="7"/>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highlight w:val="none"/>
                <w:lang w:val="en-US" w:eastAsia="zh-CN"/>
              </w:rPr>
            </w:pPr>
            <w:r>
              <w:rPr>
                <w:rFonts w:hint="eastAsia" w:ascii="宋体" w:hAnsi="宋体" w:eastAsia="宋体" w:cs="宋体"/>
                <w:color w:val="auto"/>
                <w:sz w:val="24"/>
                <w:highlight w:val="none"/>
                <w:lang w:val="en-US" w:eastAsia="zh-CN"/>
              </w:rPr>
              <w:t>上述</w:t>
            </w:r>
            <w:r>
              <w:rPr>
                <w:rFonts w:hint="eastAsia" w:ascii="宋体" w:hAnsi="宋体" w:eastAsia="宋体" w:cs="Arial"/>
                <w:color w:val="auto"/>
                <w:sz w:val="24"/>
                <w:highlight w:val="none"/>
                <w:lang w:val="en-US" w:eastAsia="zh-CN"/>
              </w:rPr>
              <w:t>第（1）项数值计算：涉及总价、单价的</w:t>
            </w:r>
            <w:r>
              <w:rPr>
                <w:rFonts w:hint="eastAsia" w:ascii="宋体" w:hAnsi="宋体" w:eastAsia="宋体"/>
                <w:color w:val="auto"/>
                <w:sz w:val="24"/>
                <w:highlight w:val="none"/>
                <w:lang w:val="en-US" w:eastAsia="zh-CN"/>
              </w:rPr>
              <w:t>精确到“分”并四舍五入，涉及费率的精确到小数点后两位，第三位四舍五入（例：如平均值为123.456元，即为123.46元；如平均值为80.126%，即为80.13%）。</w:t>
            </w:r>
          </w:p>
        </w:tc>
        <w:tc>
          <w:tcPr>
            <w:tcW w:w="2260" w:type="dxa"/>
            <w:vAlign w:val="center"/>
          </w:tcPr>
          <w:p w14:paraId="389C104C">
            <w:pPr>
              <w:keepNext w:val="0"/>
              <w:pageBreakBefore w:val="0"/>
              <w:wordWrap/>
              <w:overflowPunct/>
              <w:topLinePunct w:val="0"/>
              <w:bidi w:val="0"/>
              <w:spacing w:line="520" w:lineRule="exact"/>
              <w:ind w:firstLine="240" w:firstLineChars="1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投标人在评审现场合理的时间内对投标价格作出解释，提供项目具体成本测算等与报价合理性相关的书面说明及必要的证明材料，包括但不限于原材料成本、人工成本、制造费用等。</w:t>
            </w:r>
          </w:p>
        </w:tc>
      </w:tr>
    </w:tbl>
    <w:p w14:paraId="457C863D">
      <w:pPr>
        <w:keepNext w:val="0"/>
        <w:pageBreakBefore w:val="0"/>
        <w:wordWrap/>
        <w:overflowPunct/>
        <w:topLinePunct w:val="0"/>
        <w:bidi w:val="0"/>
        <w:spacing w:line="520" w:lineRule="exact"/>
        <w:rPr>
          <w:rFonts w:hint="eastAsia" w:ascii="宋体" w:hAnsi="宋体" w:eastAsia="宋体" w:cs="Arial"/>
          <w:color w:val="auto"/>
          <w:sz w:val="24"/>
          <w:highlight w:val="none"/>
          <w:lang w:val="en-US" w:eastAsia="zh-CN"/>
        </w:rPr>
      </w:pPr>
      <w:r>
        <w:rPr>
          <w:rFonts w:hint="eastAsia" w:ascii="宋体" w:hAnsi="宋体" w:eastAsia="宋体" w:cs="Times New Roman"/>
          <w:color w:val="auto"/>
          <w:sz w:val="24"/>
          <w:highlight w:val="none"/>
          <w:lang w:val="en-US" w:eastAsia="zh-CN"/>
        </w:rPr>
        <w:t>注：</w:t>
      </w:r>
    </w:p>
    <w:p w14:paraId="3525FBE0">
      <w:pPr>
        <w:keepNext w:val="0"/>
        <w:pageBreakBefore w:val="0"/>
        <w:wordWrap/>
        <w:overflowPunct/>
        <w:topLinePunct w:val="0"/>
        <w:bidi w:val="0"/>
        <w:spacing w:line="520" w:lineRule="exact"/>
        <w:ind w:firstLine="480" w:firstLineChars="200"/>
        <w:rPr>
          <w:rFonts w:hint="eastAsia" w:ascii="宋体" w:hAnsi="宋体" w:eastAsia="宋体"/>
          <w:color w:val="auto"/>
          <w:sz w:val="24"/>
          <w:highlight w:val="none"/>
        </w:rPr>
      </w:pPr>
      <w:r>
        <w:rPr>
          <w:rFonts w:hint="eastAsia" w:ascii="宋体" w:hAnsi="宋体" w:eastAsia="宋体"/>
          <w:color w:val="auto"/>
          <w:sz w:val="24"/>
          <w:highlight w:val="none"/>
        </w:rPr>
        <w:t>根据《</w:t>
      </w:r>
      <w:r>
        <w:rPr>
          <w:rFonts w:hint="eastAsia" w:ascii="宋体" w:hAnsi="宋体" w:eastAsia="宋体"/>
          <w:color w:val="auto"/>
          <w:sz w:val="24"/>
          <w:highlight w:val="none"/>
          <w:lang w:val="en-US" w:eastAsia="zh-CN"/>
        </w:rPr>
        <w:t>关于推进解决政府采购异常低价问题的通知</w:t>
      </w:r>
      <w:r>
        <w:rPr>
          <w:rFonts w:hint="eastAsia" w:ascii="宋体" w:hAnsi="宋体" w:eastAsia="宋体"/>
          <w:color w:val="auto"/>
          <w:sz w:val="24"/>
          <w:highlight w:val="none"/>
        </w:rPr>
        <w:t>》（财库〔</w:t>
      </w:r>
      <w:r>
        <w:rPr>
          <w:rFonts w:ascii="宋体" w:hAnsi="宋体" w:eastAsia="宋体"/>
          <w:color w:val="auto"/>
          <w:sz w:val="24"/>
          <w:highlight w:val="none"/>
        </w:rPr>
        <w:t>202</w:t>
      </w:r>
      <w:r>
        <w:rPr>
          <w:rFonts w:hint="eastAsia" w:ascii="宋体" w:hAnsi="宋体" w:eastAsia="宋体"/>
          <w:color w:val="auto"/>
          <w:sz w:val="24"/>
          <w:highlight w:val="none"/>
          <w:lang w:val="en-US" w:eastAsia="zh-CN"/>
        </w:rPr>
        <w:t>6</w:t>
      </w:r>
      <w:r>
        <w:rPr>
          <w:rFonts w:ascii="宋体" w:hAnsi="宋体" w:eastAsia="宋体"/>
          <w:color w:val="auto"/>
          <w:sz w:val="24"/>
          <w:highlight w:val="none"/>
        </w:rPr>
        <w:t>〕</w:t>
      </w:r>
      <w:r>
        <w:rPr>
          <w:rFonts w:hint="eastAsia" w:ascii="宋体" w:hAnsi="宋体" w:eastAsia="宋体"/>
          <w:color w:val="auto"/>
          <w:sz w:val="24"/>
          <w:highlight w:val="none"/>
          <w:lang w:val="en-US" w:eastAsia="zh-CN"/>
        </w:rPr>
        <w:t>2</w:t>
      </w:r>
      <w:r>
        <w:rPr>
          <w:rFonts w:ascii="宋体" w:hAnsi="宋体" w:eastAsia="宋体"/>
          <w:color w:val="auto"/>
          <w:sz w:val="24"/>
          <w:highlight w:val="none"/>
        </w:rPr>
        <w:t>号</w:t>
      </w:r>
      <w:r>
        <w:rPr>
          <w:rFonts w:hint="eastAsia" w:ascii="宋体" w:hAnsi="宋体" w:eastAsia="宋体"/>
          <w:color w:val="auto"/>
          <w:sz w:val="24"/>
          <w:highlight w:val="none"/>
        </w:rPr>
        <w:t>）</w:t>
      </w:r>
      <w:r>
        <w:rPr>
          <w:rFonts w:hint="eastAsia" w:ascii="宋体" w:hAnsi="宋体" w:eastAsia="宋体"/>
          <w:color w:val="auto"/>
          <w:sz w:val="24"/>
          <w:highlight w:val="none"/>
          <w:lang w:eastAsia="zh-CN"/>
        </w:rPr>
        <w:t>，</w:t>
      </w:r>
      <w:r>
        <w:rPr>
          <w:rFonts w:hint="eastAsia" w:ascii="宋体" w:hAnsi="宋体" w:eastAsia="宋体"/>
          <w:color w:val="auto"/>
          <w:sz w:val="24"/>
          <w:highlight w:val="none"/>
          <w:lang w:val="en-US" w:eastAsia="zh-CN"/>
        </w:rPr>
        <w:t>采购人可以结合具体项目实际情况，提高上述</w:t>
      </w:r>
      <w:r>
        <w:rPr>
          <w:rFonts w:hint="eastAsia" w:ascii="宋体" w:hAnsi="宋体" w:eastAsia="宋体" w:cs="Times New Roman"/>
          <w:color w:val="auto"/>
          <w:sz w:val="24"/>
          <w:highlight w:val="none"/>
          <w:lang w:val="en-US" w:eastAsia="zh-CN"/>
        </w:rPr>
        <w:t>评审标准</w:t>
      </w:r>
      <w:r>
        <w:rPr>
          <w:rFonts w:hint="eastAsia" w:ascii="宋体" w:hAnsi="宋体" w:eastAsia="宋体"/>
          <w:color w:val="auto"/>
          <w:sz w:val="24"/>
          <w:highlight w:val="none"/>
          <w:lang w:val="en-US" w:eastAsia="zh-CN"/>
        </w:rPr>
        <w:t>第（1）项至第（3）项中的数值标准，但是最高不得超过65%。</w:t>
      </w:r>
    </w:p>
    <w:p w14:paraId="00BEA2B6">
      <w:pPr>
        <w:keepNext w:val="0"/>
        <w:pageBreakBefore w:val="0"/>
        <w:wordWrap/>
        <w:overflowPunct/>
        <w:topLinePunct w:val="0"/>
        <w:bidi w:val="0"/>
        <w:spacing w:line="520" w:lineRule="exact"/>
        <w:ind w:firstLine="480" w:firstLineChars="200"/>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color w:val="auto"/>
          <w:sz w:val="24"/>
          <w:highlight w:val="none"/>
          <w:lang w:val="en-US" w:eastAsia="zh-CN"/>
        </w:rPr>
        <w:t>（3）</w:t>
      </w:r>
      <w:r>
        <w:rPr>
          <w:rFonts w:hint="eastAsia" w:ascii="宋体" w:hAnsi="宋体" w:eastAsia="宋体" w:cs="Arial"/>
          <w:color w:val="auto"/>
          <w:sz w:val="24"/>
          <w:highlight w:val="none"/>
          <w:lang w:val="en-US" w:eastAsia="zh-CN"/>
        </w:rPr>
        <w:t>项情形，投标人已随投标文件一并提交相关书面说明及必要的证明材料的，在评审现场可不再重复提交。</w:t>
      </w:r>
    </w:p>
    <w:p w14:paraId="43599E42">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eastAsia" w:ascii="宋体" w:hAnsi="宋体" w:eastAsia="宋体" w:cs="Arial"/>
          <w:color w:val="auto"/>
          <w:sz w:val="24"/>
          <w:highlight w:val="none"/>
          <w:lang w:val="en-US" w:eastAsia="zh-CN"/>
        </w:rPr>
      </w:pPr>
      <w:r>
        <w:rPr>
          <w:rFonts w:hint="eastAsia" w:ascii="宋体" w:hAnsi="宋体" w:eastAsia="宋体" w:cs="Arial"/>
          <w:color w:val="auto"/>
          <w:sz w:val="24"/>
          <w:highlight w:val="none"/>
          <w:lang w:val="en-US" w:eastAsia="zh-CN"/>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cs="Arial"/>
          <w:b/>
          <w:bCs/>
          <w:color w:val="auto"/>
          <w:sz w:val="24"/>
          <w:highlight w:val="none"/>
          <w:lang w:val="en-US" w:eastAsia="zh-CN"/>
        </w:rPr>
        <w:t>无效投标</w:t>
      </w:r>
      <w:r>
        <w:rPr>
          <w:rFonts w:hint="eastAsia" w:ascii="宋体" w:hAnsi="宋体" w:eastAsia="宋体" w:cs="Arial"/>
          <w:color w:val="auto"/>
          <w:sz w:val="24"/>
          <w:highlight w:val="none"/>
          <w:lang w:val="en-US" w:eastAsia="zh-CN"/>
        </w:rPr>
        <w:t>处理。</w:t>
      </w:r>
    </w:p>
    <w:p w14:paraId="34731129">
      <w:pPr>
        <w:pStyle w:val="7"/>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rPr>
          <w:rFonts w:hint="default" w:ascii="宋体" w:hAnsi="宋体" w:eastAsia="宋体"/>
          <w:color w:val="auto"/>
          <w:sz w:val="24"/>
          <w:highlight w:val="none"/>
          <w:lang w:val="en-US" w:eastAsia="zh-CN"/>
        </w:rPr>
      </w:pP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借助互联网等渠道查询相关信息的，应当严格遵守评审工作纪律，不得实施影响评审公正的行为</w:t>
      </w:r>
      <w:r>
        <w:rPr>
          <w:rFonts w:hint="eastAsia" w:ascii="宋体" w:hAnsi="宋体" w:eastAsia="宋体"/>
          <w:color w:val="auto"/>
          <w:sz w:val="24"/>
          <w:highlight w:val="none"/>
          <w:lang w:eastAsia="zh-CN"/>
        </w:rPr>
        <w:t>。</w:t>
      </w:r>
      <w:r>
        <w:rPr>
          <w:rFonts w:hint="eastAsia" w:ascii="宋体" w:hAnsi="宋体" w:eastAsia="宋体"/>
          <w:color w:val="auto"/>
          <w:sz w:val="24"/>
          <w:highlight w:val="none"/>
        </w:rPr>
        <w:t>异常低价响应审查的启动原因、审查意见和审查结果应当在评审报告中记录，并随</w:t>
      </w:r>
      <w:r>
        <w:rPr>
          <w:rFonts w:hint="eastAsia" w:ascii="宋体" w:hAnsi="宋体" w:eastAsia="宋体"/>
          <w:color w:val="auto"/>
          <w:sz w:val="24"/>
          <w:highlight w:val="none"/>
          <w:lang w:val="en-US" w:eastAsia="zh-CN"/>
        </w:rPr>
        <w:t>投标人</w:t>
      </w:r>
      <w:r>
        <w:rPr>
          <w:rFonts w:hint="eastAsia" w:ascii="宋体" w:hAnsi="宋体" w:eastAsia="宋体"/>
          <w:color w:val="auto"/>
          <w:sz w:val="24"/>
          <w:highlight w:val="none"/>
        </w:rPr>
        <w:t>提供的相关书面说明及证明材料，以及</w:t>
      </w:r>
      <w:r>
        <w:rPr>
          <w:rFonts w:hint="eastAsia" w:ascii="宋体" w:hAnsi="宋体" w:eastAsia="宋体" w:cs="Arial"/>
          <w:color w:val="auto"/>
          <w:sz w:val="24"/>
          <w:highlight w:val="none"/>
          <w:lang w:val="en-US" w:eastAsia="zh-CN"/>
        </w:rPr>
        <w:t>评标委员会</w:t>
      </w:r>
      <w:r>
        <w:rPr>
          <w:rFonts w:hint="eastAsia" w:ascii="宋体" w:hAnsi="宋体" w:eastAsia="宋体"/>
          <w:color w:val="auto"/>
          <w:sz w:val="24"/>
          <w:highlight w:val="none"/>
        </w:rPr>
        <w:t>有关互联网浏览、查询历史一并归档。</w:t>
      </w:r>
    </w:p>
    <w:p w14:paraId="7293DEB0">
      <w:pPr>
        <w:keepNext w:val="0"/>
        <w:pageBreakBefore w:val="0"/>
        <w:wordWrap/>
        <w:overflowPunct/>
        <w:topLinePunct w:val="0"/>
        <w:bidi w:val="0"/>
        <w:spacing w:line="520" w:lineRule="exact"/>
        <w:ind w:firstLine="437"/>
        <w:outlineLvl w:val="2"/>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详细审查</w:t>
      </w:r>
    </w:p>
    <w:p w14:paraId="2EBB4059">
      <w:pPr>
        <w:keepNext w:val="0"/>
        <w:pageBreakBefore w:val="0"/>
        <w:wordWrap/>
        <w:overflowPunct/>
        <w:topLinePunct w:val="0"/>
        <w:bidi w:val="0"/>
        <w:spacing w:line="52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评标委员会按照下表对投标文件进行详细审查和评分。</w:t>
      </w:r>
    </w:p>
    <w:p w14:paraId="168014DC">
      <w:pPr>
        <w:keepNext w:val="0"/>
        <w:pageBreakBefore w:val="0"/>
        <w:wordWrap/>
        <w:overflowPunct/>
        <w:topLinePunct w:val="0"/>
        <w:bidi w:val="0"/>
        <w:spacing w:line="520" w:lineRule="exact"/>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本项目综合评分满分为1</w:t>
      </w:r>
      <w:r>
        <w:rPr>
          <w:rFonts w:asciiTheme="minorEastAsia" w:hAnsiTheme="minorEastAsia" w:eastAsiaTheme="minorEastAsia"/>
          <w:color w:val="auto"/>
          <w:sz w:val="24"/>
          <w:highlight w:val="none"/>
        </w:rPr>
        <w:t>00</w:t>
      </w:r>
      <w:r>
        <w:rPr>
          <w:rFonts w:hint="eastAsia" w:asciiTheme="minorEastAsia" w:hAnsiTheme="minorEastAsia" w:eastAsiaTheme="minorEastAsia"/>
          <w:color w:val="auto"/>
          <w:sz w:val="24"/>
          <w:highlight w:val="none"/>
        </w:rPr>
        <w:t>分，其中：技术资信分值占总分值的权重为</w:t>
      </w:r>
      <w:r>
        <w:rPr>
          <w:rFonts w:hint="eastAsia" w:asciiTheme="minorEastAsia" w:hAnsiTheme="minorEastAsia" w:eastAsiaTheme="minorEastAsia"/>
          <w:color w:val="auto"/>
          <w:sz w:val="24"/>
          <w:highlight w:val="none"/>
          <w:u w:val="single"/>
          <w:lang w:val="en-US" w:eastAsia="zh-CN"/>
        </w:rPr>
        <w:t>90</w:t>
      </w:r>
      <w:r>
        <w:rPr>
          <w:rFonts w:asciiTheme="minorEastAsia" w:hAnsiTheme="minorEastAsia" w:eastAsiaTheme="minorEastAsia"/>
          <w:color w:val="auto"/>
          <w:sz w:val="24"/>
          <w:highlight w:val="none"/>
        </w:rPr>
        <w:t>%，价格分值占总分值的权重为</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lang w:val="en-US" w:eastAsia="zh-CN"/>
        </w:rPr>
        <w:t>10</w:t>
      </w:r>
      <w:r>
        <w:rPr>
          <w:rFonts w:asciiTheme="minorEastAsia" w:hAnsiTheme="minorEastAsia" w:eastAsiaTheme="minorEastAsia"/>
          <w:color w:val="auto"/>
          <w:sz w:val="24"/>
          <w:highlight w:val="none"/>
        </w:rPr>
        <w:t>%。具体评分细则如下：</w:t>
      </w:r>
    </w:p>
    <w:tbl>
      <w:tblPr>
        <w:tblStyle w:val="21"/>
        <w:tblW w:w="605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9"/>
        <w:gridCol w:w="1221"/>
        <w:gridCol w:w="6981"/>
        <w:gridCol w:w="1281"/>
      </w:tblGrid>
      <w:tr w14:paraId="30CB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402" w:type="pct"/>
            <w:tcBorders>
              <w:top w:val="single" w:color="auto" w:sz="4" w:space="0"/>
              <w:left w:val="single" w:color="auto" w:sz="4" w:space="0"/>
              <w:bottom w:val="single" w:color="auto" w:sz="4" w:space="0"/>
              <w:right w:val="single" w:color="auto" w:sz="4" w:space="0"/>
            </w:tcBorders>
            <w:vAlign w:val="center"/>
          </w:tcPr>
          <w:p w14:paraId="108556FD">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类别</w:t>
            </w:r>
          </w:p>
        </w:tc>
        <w:tc>
          <w:tcPr>
            <w:tcW w:w="592" w:type="pct"/>
            <w:tcBorders>
              <w:top w:val="single" w:color="auto" w:sz="4" w:space="0"/>
              <w:left w:val="single" w:color="auto" w:sz="4" w:space="0"/>
              <w:bottom w:val="single" w:color="auto" w:sz="4" w:space="0"/>
              <w:right w:val="single" w:color="auto" w:sz="4" w:space="0"/>
            </w:tcBorders>
            <w:vAlign w:val="center"/>
          </w:tcPr>
          <w:p w14:paraId="6D34D381">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评分内容</w:t>
            </w:r>
          </w:p>
        </w:tc>
        <w:tc>
          <w:tcPr>
            <w:tcW w:w="3384" w:type="pct"/>
            <w:tcBorders>
              <w:top w:val="single" w:color="auto" w:sz="4" w:space="0"/>
              <w:left w:val="single" w:color="auto" w:sz="4" w:space="0"/>
              <w:bottom w:val="single" w:color="auto" w:sz="4" w:space="0"/>
              <w:right w:val="single" w:color="auto" w:sz="4" w:space="0"/>
            </w:tcBorders>
            <w:vAlign w:val="center"/>
          </w:tcPr>
          <w:p w14:paraId="1E158CD0">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评分标准</w:t>
            </w:r>
          </w:p>
        </w:tc>
        <w:tc>
          <w:tcPr>
            <w:tcW w:w="619" w:type="pct"/>
            <w:tcBorders>
              <w:top w:val="single" w:color="auto" w:sz="4" w:space="0"/>
              <w:left w:val="single" w:color="auto" w:sz="4" w:space="0"/>
              <w:bottom w:val="single" w:color="auto" w:sz="4" w:space="0"/>
              <w:right w:val="single" w:color="auto" w:sz="4" w:space="0"/>
            </w:tcBorders>
            <w:vAlign w:val="center"/>
          </w:tcPr>
          <w:p w14:paraId="58CF8B66">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分值范围</w:t>
            </w:r>
          </w:p>
        </w:tc>
      </w:tr>
      <w:tr w14:paraId="1BDBE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restart"/>
            <w:tcBorders>
              <w:top w:val="single" w:color="auto" w:sz="4" w:space="0"/>
              <w:left w:val="single" w:color="auto" w:sz="4" w:space="0"/>
              <w:right w:val="single" w:color="auto" w:sz="4" w:space="0"/>
            </w:tcBorders>
            <w:vAlign w:val="center"/>
          </w:tcPr>
          <w:p w14:paraId="6AC1B208">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资信分</w:t>
            </w:r>
          </w:p>
          <w:p w14:paraId="6B75535A">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u w:val="single"/>
                <w:lang w:val="en-US" w:eastAsia="zh-CN"/>
              </w:rPr>
              <w:t>34</w:t>
            </w:r>
            <w:r>
              <w:rPr>
                <w:rFonts w:hint="eastAsia" w:asciiTheme="minorEastAsia" w:hAnsiTheme="minorEastAsia" w:eastAsiaTheme="minorEastAsia" w:cstheme="minorEastAsia"/>
                <w:color w:val="auto"/>
                <w:sz w:val="21"/>
                <w:szCs w:val="21"/>
                <w:highlight w:val="none"/>
              </w:rPr>
              <w:t>分）</w:t>
            </w:r>
          </w:p>
        </w:tc>
        <w:tc>
          <w:tcPr>
            <w:tcW w:w="592" w:type="pct"/>
            <w:tcBorders>
              <w:top w:val="single" w:color="auto" w:sz="4" w:space="0"/>
              <w:left w:val="single" w:color="auto" w:sz="4" w:space="0"/>
              <w:bottom w:val="single" w:color="auto" w:sz="4" w:space="0"/>
              <w:right w:val="single" w:color="auto" w:sz="4" w:space="0"/>
            </w:tcBorders>
            <w:vAlign w:val="center"/>
          </w:tcPr>
          <w:p w14:paraId="5FB0F83A">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投标人业绩</w:t>
            </w:r>
          </w:p>
        </w:tc>
        <w:tc>
          <w:tcPr>
            <w:tcW w:w="3384" w:type="pct"/>
            <w:tcBorders>
              <w:top w:val="single" w:color="auto" w:sz="4" w:space="0"/>
              <w:left w:val="single" w:color="auto" w:sz="4" w:space="0"/>
              <w:bottom w:val="single" w:color="auto" w:sz="4" w:space="0"/>
              <w:right w:val="single" w:color="auto" w:sz="4" w:space="0"/>
            </w:tcBorders>
            <w:vAlign w:val="center"/>
          </w:tcPr>
          <w:p w14:paraId="4A581B11">
            <w:pPr>
              <w:keepNext w:val="0"/>
              <w:pageBreakBefore w:val="0"/>
              <w:wordWrap/>
              <w:overflowPunct/>
              <w:topLinePunct w:val="0"/>
              <w:bidi w:val="0"/>
              <w:adjustRightInd/>
              <w:snapToGrid/>
              <w:spacing w:line="50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rPr>
              <w:t>自202</w:t>
            </w:r>
            <w:r>
              <w:rPr>
                <w:rFonts w:hint="eastAsia" w:asciiTheme="minorEastAsia" w:hAnsiTheme="minorEastAsia" w:eastAsiaTheme="minorEastAsia" w:cstheme="minorEastAsia"/>
                <w:color w:val="auto"/>
                <w:sz w:val="21"/>
                <w:szCs w:val="21"/>
                <w:highlight w:val="none"/>
                <w:lang w:val="en-US" w:eastAsia="zh-CN"/>
              </w:rPr>
              <w:t>3</w:t>
            </w:r>
            <w:r>
              <w:rPr>
                <w:rFonts w:hint="eastAsia" w:asciiTheme="minorEastAsia" w:hAnsiTheme="minorEastAsia" w:eastAsiaTheme="minorEastAsia" w:cstheme="minorEastAsia"/>
                <w:color w:val="auto"/>
                <w:sz w:val="21"/>
                <w:szCs w:val="21"/>
                <w:highlight w:val="none"/>
              </w:rPr>
              <w:t>年</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月</w:t>
            </w:r>
            <w:r>
              <w:rPr>
                <w:rFonts w:hint="eastAsia" w:asciiTheme="minorEastAsia" w:hAnsiTheme="minorEastAsia" w:eastAsiaTheme="minorEastAsia" w:cstheme="minorEastAsia"/>
                <w:color w:val="auto"/>
                <w:sz w:val="21"/>
                <w:szCs w:val="21"/>
                <w:highlight w:val="none"/>
                <w:lang w:val="en-US" w:eastAsia="zh-CN"/>
              </w:rPr>
              <w:t>1</w:t>
            </w:r>
            <w:r>
              <w:rPr>
                <w:rFonts w:hint="eastAsia" w:asciiTheme="minorEastAsia" w:hAnsiTheme="minorEastAsia" w:eastAsiaTheme="minorEastAsia" w:cstheme="minorEastAsia"/>
                <w:color w:val="auto"/>
                <w:sz w:val="21"/>
                <w:szCs w:val="21"/>
                <w:highlight w:val="none"/>
              </w:rPr>
              <w:t>日以来</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以合同签订时间为准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rPr>
              <w:t>，投标人</w:t>
            </w:r>
            <w:r>
              <w:rPr>
                <w:rFonts w:hint="eastAsia" w:asciiTheme="minorEastAsia" w:hAnsiTheme="minorEastAsia" w:eastAsiaTheme="minorEastAsia" w:cstheme="minorEastAsia"/>
                <w:color w:val="auto"/>
                <w:sz w:val="21"/>
                <w:szCs w:val="21"/>
                <w:highlight w:val="none"/>
                <w:lang w:val="en-US" w:eastAsia="zh-CN"/>
              </w:rPr>
              <w:t>承担过金属矿地质勘查项目业绩（含钻探工程）的，</w:t>
            </w:r>
            <w:r>
              <w:rPr>
                <w:rFonts w:hint="eastAsia" w:asciiTheme="minorEastAsia" w:hAnsiTheme="minorEastAsia" w:eastAsiaTheme="minorEastAsia" w:cstheme="minorEastAsia"/>
                <w:color w:val="auto"/>
                <w:sz w:val="21"/>
                <w:szCs w:val="21"/>
                <w:highlight w:val="none"/>
              </w:rPr>
              <w:t>得</w:t>
            </w: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分</w:t>
            </w:r>
            <w:r>
              <w:rPr>
                <w:rFonts w:hint="eastAsia" w:asciiTheme="minorEastAsia" w:hAnsiTheme="minorEastAsia" w:eastAsiaTheme="minorEastAsia" w:cstheme="minorEastAsia"/>
                <w:color w:val="auto"/>
                <w:sz w:val="21"/>
                <w:szCs w:val="21"/>
                <w:highlight w:val="none"/>
                <w:lang w:eastAsia="zh-CN"/>
              </w:rPr>
              <w:t>，</w:t>
            </w:r>
            <w:r>
              <w:rPr>
                <w:rFonts w:hint="eastAsia" w:asciiTheme="minorEastAsia" w:hAnsiTheme="minorEastAsia" w:eastAsiaTheme="minorEastAsia" w:cstheme="minorEastAsia"/>
                <w:color w:val="auto"/>
                <w:sz w:val="21"/>
                <w:szCs w:val="21"/>
                <w:highlight w:val="none"/>
                <w:lang w:val="en-US" w:eastAsia="zh-CN"/>
              </w:rPr>
              <w:t>满分2分。</w:t>
            </w:r>
          </w:p>
          <w:p w14:paraId="717F510A">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bCs/>
                <w:color w:val="auto"/>
                <w:sz w:val="21"/>
                <w:szCs w:val="21"/>
                <w:highlight w:val="none"/>
              </w:rPr>
            </w:pPr>
            <w:r>
              <w:rPr>
                <w:rFonts w:hint="eastAsia" w:asciiTheme="minorEastAsia" w:hAnsiTheme="minorEastAsia" w:eastAsiaTheme="minorEastAsia" w:cstheme="minorEastAsia"/>
                <w:b/>
                <w:bCs/>
                <w:color w:val="auto"/>
                <w:sz w:val="21"/>
                <w:szCs w:val="21"/>
                <w:highlight w:val="none"/>
              </w:rPr>
              <w:t>注：</w:t>
            </w:r>
            <w:r>
              <w:rPr>
                <w:rFonts w:hint="eastAsia" w:asciiTheme="minorEastAsia" w:hAnsiTheme="minorEastAsia" w:eastAsiaTheme="minorEastAsia" w:cstheme="minorEastAsia"/>
                <w:b/>
                <w:bCs/>
                <w:color w:val="auto"/>
                <w:sz w:val="21"/>
                <w:szCs w:val="21"/>
                <w:highlight w:val="none"/>
                <w:lang w:val="en-US" w:eastAsia="zh-CN"/>
              </w:rPr>
              <w:t>投标文件中须同时提供业绩合同和评审意见书（或结算书）扫描件，如上述材料无法体现相关钻探工程信息，可附成果资料等其他佐证材料扫描件。</w:t>
            </w:r>
          </w:p>
        </w:tc>
        <w:tc>
          <w:tcPr>
            <w:tcW w:w="619" w:type="pct"/>
            <w:tcBorders>
              <w:top w:val="single" w:color="auto" w:sz="4" w:space="0"/>
              <w:left w:val="single" w:color="auto" w:sz="4" w:space="0"/>
              <w:bottom w:val="single" w:color="auto" w:sz="4" w:space="0"/>
              <w:right w:val="single" w:color="auto" w:sz="4" w:space="0"/>
            </w:tcBorders>
            <w:vAlign w:val="center"/>
          </w:tcPr>
          <w:p w14:paraId="7402D9F9">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0-2分</w:t>
            </w:r>
          </w:p>
        </w:tc>
      </w:tr>
      <w:tr w14:paraId="471CA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2B73A3BE">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08C4082F">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w:t>
            </w:r>
            <w:r>
              <w:rPr>
                <w:rFonts w:hint="eastAsia" w:asciiTheme="minorEastAsia" w:hAnsiTheme="minorEastAsia" w:eastAsiaTheme="minorEastAsia" w:cstheme="minorEastAsia"/>
                <w:color w:val="auto"/>
                <w:sz w:val="21"/>
                <w:szCs w:val="21"/>
                <w:highlight w:val="none"/>
              </w:rPr>
              <w:t>项目负责人</w:t>
            </w:r>
            <w:r>
              <w:rPr>
                <w:rFonts w:hint="eastAsia" w:asciiTheme="minorEastAsia" w:hAnsiTheme="minorEastAsia" w:eastAsiaTheme="minorEastAsia" w:cstheme="minorEastAsia"/>
                <w:color w:val="auto"/>
                <w:sz w:val="21"/>
                <w:szCs w:val="21"/>
                <w:highlight w:val="none"/>
                <w:lang w:val="en-US" w:eastAsia="zh-CN"/>
              </w:rPr>
              <w:t>能力</w:t>
            </w:r>
          </w:p>
        </w:tc>
        <w:tc>
          <w:tcPr>
            <w:tcW w:w="3384" w:type="pct"/>
            <w:tcBorders>
              <w:top w:val="single" w:color="auto" w:sz="4" w:space="0"/>
              <w:left w:val="single" w:color="auto" w:sz="4" w:space="0"/>
              <w:bottom w:val="single" w:color="auto" w:sz="4" w:space="0"/>
              <w:right w:val="single" w:color="auto" w:sz="4" w:space="0"/>
            </w:tcBorders>
            <w:vAlign w:val="center"/>
          </w:tcPr>
          <w:p w14:paraId="2ED5AB15">
            <w:pPr>
              <w:keepNext w:val="0"/>
              <w:pageBreakBefore w:val="0"/>
              <w:wordWrap/>
              <w:overflowPunct/>
              <w:topLinePunct w:val="0"/>
              <w:bidi w:val="0"/>
              <w:adjustRightInd/>
              <w:snapToGrid/>
              <w:spacing w:line="500" w:lineRule="exac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投标人拟派项目负责人具有探矿工程专业高级及以上职称证书得2分，高中级职称证书得1分。满分2分。</w:t>
            </w:r>
          </w:p>
          <w:p w14:paraId="0F252D57">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z w:val="21"/>
                <w:szCs w:val="21"/>
                <w:highlight w:val="none"/>
                <w:lang w:val="en-US" w:eastAsia="zh-CN"/>
              </w:rPr>
              <w:t>注：投标文件中提供证书扫描件及社保部门出具的本单位为其缴纳的投标前近三个月内任意一月的养老保险证明（含官网在线打印件）（或投标人提供承诺已为上述人员缴纳养老保险证明的承诺书（格式自拟））。</w:t>
            </w:r>
          </w:p>
        </w:tc>
        <w:tc>
          <w:tcPr>
            <w:tcW w:w="619" w:type="pct"/>
            <w:tcBorders>
              <w:top w:val="single" w:color="auto" w:sz="4" w:space="0"/>
              <w:left w:val="single" w:color="auto" w:sz="4" w:space="0"/>
              <w:bottom w:val="single" w:color="auto" w:sz="4" w:space="0"/>
              <w:right w:val="single" w:color="auto" w:sz="4" w:space="0"/>
            </w:tcBorders>
            <w:vAlign w:val="center"/>
          </w:tcPr>
          <w:p w14:paraId="521F0D2A">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0-2分</w:t>
            </w:r>
          </w:p>
        </w:tc>
      </w:tr>
      <w:tr w14:paraId="0FEC9D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4EB5BC50">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5EDC3179">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3.团队人员配备</w:t>
            </w:r>
          </w:p>
        </w:tc>
        <w:tc>
          <w:tcPr>
            <w:tcW w:w="3384" w:type="pct"/>
            <w:tcBorders>
              <w:top w:val="single" w:color="auto" w:sz="4" w:space="0"/>
              <w:left w:val="single" w:color="auto" w:sz="4" w:space="0"/>
              <w:bottom w:val="single" w:color="auto" w:sz="4" w:space="0"/>
              <w:right w:val="single" w:color="auto" w:sz="4" w:space="0"/>
            </w:tcBorders>
            <w:vAlign w:val="center"/>
          </w:tcPr>
          <w:p w14:paraId="167F9C02">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除项目负责人外，投标人拟配备的团队其他人员具有下列专业职称证书的：</w:t>
            </w:r>
          </w:p>
          <w:p w14:paraId="4E36DB63">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1.探矿工程专业的技术人员：具有高级及以上职称证书的得2分/个，中级职称得1分/个，其它不得分。</w:t>
            </w:r>
            <w:r>
              <w:rPr>
                <w:rFonts w:hint="eastAsia" w:asciiTheme="minorEastAsia" w:hAnsiTheme="minorEastAsia" w:eastAsiaTheme="minorEastAsia" w:cstheme="minorEastAsia"/>
                <w:color w:val="auto"/>
                <w:sz w:val="21"/>
                <w:szCs w:val="21"/>
                <w:highlight w:val="none"/>
                <w:lang w:val="en-US" w:eastAsia="zh-CN"/>
              </w:rPr>
              <w:t>满分2分。</w:t>
            </w:r>
          </w:p>
          <w:p w14:paraId="74DB3CDB">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2.机长：具有探矿工程高级及以上职称证书得2分/个，中级职称证书得1分/个，其它不得分。</w:t>
            </w:r>
            <w:r>
              <w:rPr>
                <w:rFonts w:hint="eastAsia" w:asciiTheme="minorEastAsia" w:hAnsiTheme="minorEastAsia" w:eastAsiaTheme="minorEastAsia" w:cstheme="minorEastAsia"/>
                <w:color w:val="auto"/>
                <w:sz w:val="21"/>
                <w:szCs w:val="21"/>
                <w:highlight w:val="none"/>
                <w:lang w:val="en-US" w:eastAsia="zh-CN"/>
              </w:rPr>
              <w:t>满分4分。</w:t>
            </w:r>
          </w:p>
          <w:p w14:paraId="416915AD">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3.班长：具有探矿工程类高级及以上职称证书得2分/个，探矿工程类中级职称证书得1分/个，其它不得分。</w:t>
            </w:r>
            <w:r>
              <w:rPr>
                <w:rFonts w:hint="eastAsia" w:asciiTheme="minorEastAsia" w:hAnsiTheme="minorEastAsia" w:eastAsiaTheme="minorEastAsia" w:cstheme="minorEastAsia"/>
                <w:color w:val="auto"/>
                <w:sz w:val="21"/>
                <w:szCs w:val="21"/>
                <w:highlight w:val="none"/>
                <w:lang w:val="en-US" w:eastAsia="zh-CN"/>
              </w:rPr>
              <w:t>满分12分。</w:t>
            </w:r>
          </w:p>
          <w:p w14:paraId="72038C64">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
                <w:bCs/>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4.安全人员（仅限1人）：同时具有安全工程专业高级及以上职称证书及注册安全工程师证书，得2分；同时具有安全工程专业中级职称证书及注册安全工程证书得1分，其它不得分。</w:t>
            </w:r>
            <w:r>
              <w:rPr>
                <w:rFonts w:hint="eastAsia" w:asciiTheme="minorEastAsia" w:hAnsiTheme="minorEastAsia" w:eastAsiaTheme="minorEastAsia" w:cstheme="minorEastAsia"/>
                <w:color w:val="auto"/>
                <w:sz w:val="21"/>
                <w:szCs w:val="21"/>
                <w:highlight w:val="none"/>
                <w:lang w:val="en-US" w:eastAsia="zh-CN"/>
              </w:rPr>
              <w:t>满分2分。</w:t>
            </w:r>
            <w:r>
              <w:rPr>
                <w:rFonts w:hint="eastAsia" w:asciiTheme="minorEastAsia" w:hAnsiTheme="minorEastAsia" w:eastAsiaTheme="minorEastAsia" w:cstheme="minorEastAsia"/>
                <w:b/>
                <w:bCs/>
                <w:color w:val="auto"/>
                <w:spacing w:val="0"/>
                <w:kern w:val="2"/>
                <w:sz w:val="21"/>
                <w:szCs w:val="21"/>
                <w:highlight w:val="none"/>
                <w:lang w:val="en-US" w:eastAsia="zh-CN" w:bidi="ar-SA"/>
              </w:rPr>
              <w:t>注：1.投标文件中须同时提供证书扫描件、团队人员配备名单（格式自拟）及社保部门出具的本单位为其缴纳的投标前近三个月内任意一月的养老保险证明（含官网在线打印件）</w:t>
            </w:r>
            <w:r>
              <w:rPr>
                <w:rFonts w:hint="eastAsia" w:asciiTheme="minorEastAsia" w:hAnsiTheme="minorEastAsia" w:eastAsiaTheme="minorEastAsia" w:cstheme="minorEastAsia"/>
                <w:b/>
                <w:bCs/>
                <w:color w:val="auto"/>
                <w:sz w:val="21"/>
                <w:szCs w:val="21"/>
                <w:highlight w:val="none"/>
                <w:lang w:val="en-US" w:eastAsia="zh-CN"/>
              </w:rPr>
              <w:t>（或投标人提供承诺已为上述人员缴纳养老保险证明的承诺书（格式自拟））</w:t>
            </w:r>
            <w:r>
              <w:rPr>
                <w:rFonts w:hint="eastAsia" w:asciiTheme="minorEastAsia" w:hAnsiTheme="minorEastAsia" w:eastAsiaTheme="minorEastAsia" w:cstheme="minorEastAsia"/>
                <w:b/>
                <w:bCs/>
                <w:color w:val="auto"/>
                <w:spacing w:val="0"/>
                <w:kern w:val="2"/>
                <w:sz w:val="21"/>
                <w:szCs w:val="21"/>
                <w:highlight w:val="none"/>
                <w:lang w:val="en-US" w:eastAsia="zh-CN" w:bidi="ar-SA"/>
              </w:rPr>
              <w:t>。</w:t>
            </w:r>
          </w:p>
          <w:p w14:paraId="7945F8C6">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0"/>
                <w:kern w:val="2"/>
                <w:sz w:val="21"/>
                <w:szCs w:val="21"/>
                <w:highlight w:val="none"/>
                <w:lang w:val="en-US" w:eastAsia="zh-CN" w:bidi="ar-SA"/>
              </w:rPr>
              <w:t>2.同一人具有多个证书的，不重复计分，仅以最高级别证书计分一次。</w:t>
            </w:r>
          </w:p>
        </w:tc>
        <w:tc>
          <w:tcPr>
            <w:tcW w:w="619" w:type="pct"/>
            <w:tcBorders>
              <w:top w:val="single" w:color="auto" w:sz="4" w:space="0"/>
              <w:left w:val="single" w:color="auto" w:sz="4" w:space="0"/>
              <w:bottom w:val="single" w:color="auto" w:sz="4" w:space="0"/>
              <w:right w:val="single" w:color="auto" w:sz="4" w:space="0"/>
            </w:tcBorders>
            <w:vAlign w:val="center"/>
          </w:tcPr>
          <w:p w14:paraId="7562B7CC">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0-20分</w:t>
            </w:r>
          </w:p>
        </w:tc>
      </w:tr>
      <w:tr w14:paraId="70F3A6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45256E1B">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4FA3CD7C">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4.设备配置</w:t>
            </w:r>
          </w:p>
        </w:tc>
        <w:tc>
          <w:tcPr>
            <w:tcW w:w="3384" w:type="pct"/>
            <w:tcBorders>
              <w:top w:val="single" w:color="auto" w:sz="4" w:space="0"/>
              <w:left w:val="single" w:color="auto" w:sz="4" w:space="0"/>
              <w:bottom w:val="single" w:color="auto" w:sz="4" w:space="0"/>
              <w:right w:val="single" w:color="auto" w:sz="4" w:space="0"/>
            </w:tcBorders>
            <w:vAlign w:val="center"/>
          </w:tcPr>
          <w:p w14:paraId="7AEE36B9">
            <w:pPr>
              <w:keepNext w:val="0"/>
              <w:keepLines w:val="0"/>
              <w:pageBreakBefore w:val="0"/>
              <w:widowControl/>
              <w:suppressLineNumbers w:val="0"/>
              <w:wordWrap/>
              <w:overflowPunct/>
              <w:topLinePunct w:val="0"/>
              <w:bidi w:val="0"/>
              <w:adjustRightInd/>
              <w:snapToGrid/>
              <w:spacing w:line="500" w:lineRule="exact"/>
              <w:jc w:val="left"/>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1.投标人提供满足本项目钻探深度要求的钻机（口径95mm、钻探深度达到千米级），每台钻探须配备泥浆处理离心机设备，每提供一台类型（型号）钻机设备得2分，满分4分。</w:t>
            </w:r>
          </w:p>
          <w:p w14:paraId="287512E9">
            <w:pPr>
              <w:keepNext w:val="0"/>
              <w:keepLines w:val="0"/>
              <w:pageBreakBefore w:val="0"/>
              <w:widowControl/>
              <w:suppressLineNumbers w:val="0"/>
              <w:wordWrap/>
              <w:overflowPunct/>
              <w:topLinePunct w:val="0"/>
              <w:bidi w:val="0"/>
              <w:adjustRightInd/>
              <w:snapToGrid/>
              <w:spacing w:line="500" w:lineRule="exact"/>
              <w:jc w:val="left"/>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2.投标人能提供满足本项目需求的</w:t>
            </w:r>
            <w:r>
              <w:rPr>
                <w:rFonts w:hint="default" w:asciiTheme="minorEastAsia" w:hAnsiTheme="minorEastAsia" w:eastAsiaTheme="minorEastAsia" w:cstheme="minorEastAsia"/>
                <w:bCs w:val="0"/>
                <w:color w:val="auto"/>
                <w:spacing w:val="0"/>
                <w:kern w:val="2"/>
                <w:sz w:val="21"/>
                <w:szCs w:val="21"/>
                <w:highlight w:val="none"/>
                <w:lang w:val="en-US" w:eastAsia="zh-CN" w:bidi="ar-SA"/>
              </w:rPr>
              <w:t>光纤陀螺测斜仪</w:t>
            </w:r>
            <w:r>
              <w:rPr>
                <w:rFonts w:hint="eastAsia" w:asciiTheme="minorEastAsia" w:hAnsiTheme="minorEastAsia" w:eastAsiaTheme="minorEastAsia" w:cstheme="minorEastAsia"/>
                <w:bCs w:val="0"/>
                <w:color w:val="auto"/>
                <w:spacing w:val="0"/>
                <w:kern w:val="2"/>
                <w:sz w:val="21"/>
                <w:szCs w:val="21"/>
                <w:highlight w:val="none"/>
                <w:lang w:val="en-US" w:eastAsia="zh-CN" w:bidi="ar-SA"/>
              </w:rPr>
              <w:t>，得2分，满分2分。</w:t>
            </w:r>
          </w:p>
          <w:p w14:paraId="5F6296FF">
            <w:pPr>
              <w:keepNext w:val="0"/>
              <w:keepLines w:val="0"/>
              <w:pageBreakBefore w:val="0"/>
              <w:widowControl/>
              <w:suppressLineNumbers w:val="0"/>
              <w:wordWrap/>
              <w:overflowPunct/>
              <w:topLinePunct w:val="0"/>
              <w:bidi w:val="0"/>
              <w:adjustRightInd/>
              <w:snapToGrid/>
              <w:spacing w:line="500" w:lineRule="exact"/>
              <w:jc w:val="left"/>
              <w:rPr>
                <w:rFonts w:hint="default"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3.投标人能提供满足本项目需求的小口径无线随钻测量系统，得2分，满分2分。</w:t>
            </w:r>
          </w:p>
          <w:p w14:paraId="29C45E13">
            <w:pPr>
              <w:keepNext w:val="0"/>
              <w:pageBreakBefore w:val="0"/>
              <w:wordWrap/>
              <w:overflowPunct/>
              <w:topLinePunct w:val="0"/>
              <w:bidi w:val="0"/>
              <w:adjustRightInd/>
              <w:snapToGrid/>
              <w:spacing w:line="500" w:lineRule="exact"/>
              <w:jc w:val="left"/>
              <w:rPr>
                <w:rFonts w:hint="eastAsia"/>
                <w:color w:val="auto"/>
                <w:highlight w:val="none"/>
                <w:lang w:val="en-US" w:eastAsia="zh-CN"/>
              </w:rPr>
            </w:pPr>
            <w:r>
              <w:rPr>
                <w:rFonts w:hint="eastAsia" w:asciiTheme="minorEastAsia" w:hAnsiTheme="minorEastAsia" w:eastAsiaTheme="minorEastAsia" w:cstheme="minorEastAsia"/>
                <w:b/>
                <w:bCs/>
                <w:color w:val="auto"/>
                <w:spacing w:val="0"/>
                <w:kern w:val="2"/>
                <w:sz w:val="21"/>
                <w:szCs w:val="21"/>
                <w:highlight w:val="none"/>
                <w:lang w:val="en-US" w:eastAsia="zh-CN" w:bidi="ar-SA"/>
              </w:rPr>
              <w:t>注：自有设备：投标人须提供与投标人名称一致的设备购置发票；口径及钻探深度等钻机性能须提供设备说明书或其他相关证明材料，否则不得分。</w:t>
            </w:r>
          </w:p>
          <w:p w14:paraId="51C4785D">
            <w:pPr>
              <w:keepNext w:val="0"/>
              <w:pageBreakBefore w:val="0"/>
              <w:wordWrap/>
              <w:overflowPunct/>
              <w:topLinePunct w:val="0"/>
              <w:bidi w:val="0"/>
              <w:adjustRightInd/>
              <w:snapToGrid/>
              <w:spacing w:line="500" w:lineRule="exact"/>
              <w:jc w:val="left"/>
              <w:rPr>
                <w:rFonts w:hint="default"/>
                <w:color w:val="auto"/>
                <w:highlight w:val="none"/>
                <w:lang w:val="en-US"/>
              </w:rPr>
            </w:pPr>
            <w:r>
              <w:rPr>
                <w:rFonts w:hint="eastAsia" w:asciiTheme="minorEastAsia" w:hAnsiTheme="minorEastAsia" w:eastAsiaTheme="minorEastAsia" w:cstheme="minorEastAsia"/>
                <w:b/>
                <w:bCs/>
                <w:color w:val="auto"/>
                <w:spacing w:val="0"/>
                <w:kern w:val="2"/>
                <w:sz w:val="21"/>
                <w:szCs w:val="21"/>
                <w:highlight w:val="none"/>
                <w:lang w:val="en-US" w:eastAsia="zh-CN" w:bidi="ar-SA"/>
              </w:rPr>
              <w:t>租赁设备：投标人须提供租赁合同(租赁合同乙方与投标人名称一致，且租赁期限不短于本项目服务期），口径及钻探深度等钻机性能须提供设备说明书或其他相关证明材料，否则不得分。</w:t>
            </w:r>
          </w:p>
        </w:tc>
        <w:tc>
          <w:tcPr>
            <w:tcW w:w="619" w:type="pct"/>
            <w:tcBorders>
              <w:top w:val="single" w:color="auto" w:sz="4" w:space="0"/>
              <w:left w:val="single" w:color="auto" w:sz="4" w:space="0"/>
              <w:bottom w:val="single" w:color="auto" w:sz="4" w:space="0"/>
              <w:right w:val="single" w:color="auto" w:sz="4" w:space="0"/>
            </w:tcBorders>
            <w:vAlign w:val="center"/>
          </w:tcPr>
          <w:p w14:paraId="58912BB4">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0-8分</w:t>
            </w:r>
          </w:p>
        </w:tc>
      </w:tr>
      <w:tr w14:paraId="1F5464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548553F8">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vAlign w:val="center"/>
          </w:tcPr>
          <w:p w14:paraId="607317B8">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lang w:val="en-US" w:eastAsia="zh-CN"/>
              </w:rPr>
              <w:t>5.荣誉奖项</w:t>
            </w:r>
          </w:p>
        </w:tc>
        <w:tc>
          <w:tcPr>
            <w:tcW w:w="3384" w:type="pct"/>
            <w:tcBorders>
              <w:top w:val="single" w:color="auto" w:sz="4" w:space="0"/>
              <w:left w:val="single" w:color="auto" w:sz="4" w:space="0"/>
              <w:bottom w:val="single" w:color="auto" w:sz="4" w:space="0"/>
              <w:right w:val="single" w:color="auto" w:sz="4" w:space="0"/>
            </w:tcBorders>
            <w:vAlign w:val="center"/>
          </w:tcPr>
          <w:p w14:paraId="3DC99AC2">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投标人自2023年1月1日以来（以荣誉或奖项颁发时间为准），获得党政机关（或事业单位）颁发的探矿工程或地质调查与矿产勘查方向荣誉（或奖项）的，得2分。</w:t>
            </w:r>
          </w:p>
          <w:p w14:paraId="29663780">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
                <w:bCs/>
                <w:color w:val="auto"/>
                <w:spacing w:val="0"/>
                <w:kern w:val="2"/>
                <w:sz w:val="21"/>
                <w:szCs w:val="21"/>
                <w:highlight w:val="none"/>
                <w:lang w:val="en-US" w:eastAsia="zh-CN" w:bidi="ar-SA"/>
              </w:rPr>
            </w:pPr>
            <w:r>
              <w:rPr>
                <w:rFonts w:hint="eastAsia" w:asciiTheme="minorEastAsia" w:hAnsiTheme="minorEastAsia" w:eastAsiaTheme="minorEastAsia" w:cstheme="minorEastAsia"/>
                <w:b/>
                <w:bCs/>
                <w:color w:val="auto"/>
                <w:spacing w:val="0"/>
                <w:kern w:val="2"/>
                <w:sz w:val="21"/>
                <w:szCs w:val="21"/>
                <w:highlight w:val="none"/>
                <w:lang w:val="en-US" w:eastAsia="zh-CN" w:bidi="ar-SA"/>
              </w:rPr>
              <w:t>注：1.投标文件中须提供获奖证书、批复、颁奖单位颁奖文件、网上公示截图（具有其中之一即可），以上材料提供扫描件，提供的材料须能体现投标人名称，如无法体现，须另附颁奖单位的相关证明材料扫描件。</w:t>
            </w:r>
          </w:p>
          <w:p w14:paraId="08964E3C">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b/>
                <w:bCs/>
                <w:color w:val="auto"/>
                <w:spacing w:val="0"/>
                <w:kern w:val="2"/>
                <w:sz w:val="21"/>
                <w:szCs w:val="21"/>
                <w:highlight w:val="none"/>
                <w:lang w:val="en-US" w:eastAsia="zh-CN" w:bidi="ar-SA"/>
              </w:rPr>
              <w:t>2.党政机关包括党的机关、人大机关、行政机关、政协机关、审判机关、检察机关，及各级党政机关派出机构、直属事业单位及工会、共青团、妇联等。</w:t>
            </w:r>
          </w:p>
        </w:tc>
        <w:tc>
          <w:tcPr>
            <w:tcW w:w="619" w:type="pct"/>
            <w:tcBorders>
              <w:top w:val="single" w:color="auto" w:sz="4" w:space="0"/>
              <w:left w:val="single" w:color="auto" w:sz="4" w:space="0"/>
              <w:bottom w:val="single" w:color="auto" w:sz="4" w:space="0"/>
              <w:right w:val="single" w:color="auto" w:sz="4" w:space="0"/>
            </w:tcBorders>
            <w:vAlign w:val="center"/>
          </w:tcPr>
          <w:p w14:paraId="0F2BD0B3">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0-2分</w:t>
            </w:r>
          </w:p>
        </w:tc>
      </w:tr>
      <w:tr w14:paraId="2458F9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restart"/>
            <w:tcBorders>
              <w:left w:val="single" w:color="auto" w:sz="4" w:space="0"/>
              <w:right w:val="single" w:color="auto" w:sz="4" w:space="0"/>
            </w:tcBorders>
            <w:vAlign w:val="center"/>
          </w:tcPr>
          <w:p w14:paraId="45EB531B">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技术分</w:t>
            </w: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u w:val="single"/>
                <w:lang w:val="en-US" w:eastAsia="zh-CN"/>
              </w:rPr>
              <w:t>56</w:t>
            </w:r>
            <w:r>
              <w:rPr>
                <w:rFonts w:hint="eastAsia" w:asciiTheme="minorEastAsia" w:hAnsiTheme="minorEastAsia" w:eastAsiaTheme="minorEastAsia" w:cstheme="minorEastAsia"/>
                <w:color w:val="auto"/>
                <w:sz w:val="21"/>
                <w:szCs w:val="21"/>
                <w:highlight w:val="none"/>
              </w:rPr>
              <w:t>分）</w:t>
            </w: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742734A6">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1.项目总体认识</w:t>
            </w:r>
          </w:p>
        </w:tc>
        <w:tc>
          <w:tcPr>
            <w:tcW w:w="3384" w:type="pct"/>
            <w:tcBorders>
              <w:top w:val="single" w:color="auto" w:sz="4" w:space="0"/>
              <w:left w:val="single" w:color="auto" w:sz="4" w:space="0"/>
              <w:bottom w:val="single" w:color="auto" w:sz="4" w:space="0"/>
              <w:right w:val="single" w:color="auto" w:sz="4" w:space="0"/>
            </w:tcBorders>
            <w:shd w:val="clear" w:color="auto" w:fill="auto"/>
            <w:vAlign w:val="top"/>
          </w:tcPr>
          <w:p w14:paraId="260D8983">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评标委员会对投标人提供的本项目工作区域地质背景、地质条件，工作内容、项目实施风险、工作流程等方面内容描述进行综合评审打分：</w:t>
            </w:r>
          </w:p>
          <w:p w14:paraId="4C13C3BF">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（1）资料收集齐全，分析到位，项目理解总体思路全面、内容翔实具体，完全符合或多于采购需求，得5分；</w:t>
            </w:r>
          </w:p>
          <w:p w14:paraId="6C7A0A8D">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（2）资料收集齐全，分析到位，项目理解总体思路清晰完整，符合需求，得3分；</w:t>
            </w:r>
          </w:p>
          <w:p w14:paraId="45269781">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（3）资料收集不足，分析缺失，项目理解总体思路需进一步有待完善，得1分；</w:t>
            </w:r>
          </w:p>
          <w:p w14:paraId="26155E95">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（4）未提供不得分。</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7D888654">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0-5分</w:t>
            </w:r>
          </w:p>
        </w:tc>
      </w:tr>
      <w:tr w14:paraId="3A063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32172E5A">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b/>
                <w:bCs/>
                <w:color w:val="auto"/>
                <w:sz w:val="21"/>
                <w:szCs w:val="21"/>
                <w:highlight w:val="none"/>
                <w:lang w:val="en-US" w:eastAsia="zh-CN"/>
              </w:rPr>
            </w:pP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4ED4B3B5">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2.地质条件熟悉程度</w:t>
            </w:r>
          </w:p>
          <w:p w14:paraId="508BF320">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p>
        </w:tc>
        <w:tc>
          <w:tcPr>
            <w:tcW w:w="3384" w:type="pct"/>
            <w:tcBorders>
              <w:top w:val="single" w:color="auto" w:sz="4" w:space="0"/>
              <w:left w:val="single" w:color="auto" w:sz="4" w:space="0"/>
              <w:bottom w:val="single" w:color="auto" w:sz="4" w:space="0"/>
              <w:right w:val="single" w:color="auto" w:sz="4" w:space="0"/>
            </w:tcBorders>
            <w:shd w:val="clear" w:color="auto" w:fill="auto"/>
            <w:vAlign w:val="center"/>
          </w:tcPr>
          <w:p w14:paraId="5C4B77A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评标委员会根据招标文件要求及投标人提供对本地区了解熟悉程度进行综合打分：</w:t>
            </w:r>
          </w:p>
          <w:p w14:paraId="0A342127">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（1）熟悉场区地质条件，准确识别地质风险，分析贴合本项目，得5分；</w:t>
            </w:r>
          </w:p>
          <w:p w14:paraId="52914803">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（2）了解区域基本地质情况，分析内容符合要求，得3分；</w:t>
            </w:r>
          </w:p>
          <w:p w14:paraId="451B1796">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（3）内容笼统，针对性有待提升，得 1分；</w:t>
            </w:r>
          </w:p>
          <w:p w14:paraId="6A49B11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（4）</w:t>
            </w:r>
            <w:r>
              <w:rPr>
                <w:rFonts w:hint="eastAsia" w:asciiTheme="minorEastAsia" w:hAnsiTheme="minorEastAsia" w:eastAsiaTheme="minorEastAsia" w:cstheme="minorEastAsia"/>
                <w:color w:val="auto"/>
                <w:sz w:val="21"/>
                <w:szCs w:val="21"/>
                <w:highlight w:val="none"/>
                <w:lang w:val="en-US" w:eastAsia="zh-CN"/>
              </w:rPr>
              <w:t>未提供不得分</w:t>
            </w:r>
            <w:r>
              <w:rPr>
                <w:rFonts w:hint="eastAsia" w:asciiTheme="minorEastAsia" w:hAnsiTheme="minorEastAsia" w:eastAsiaTheme="minorEastAsia" w:cstheme="minorEastAsia"/>
                <w:bCs w:val="0"/>
                <w:color w:val="auto"/>
                <w:spacing w:val="0"/>
                <w:kern w:val="2"/>
                <w:sz w:val="21"/>
                <w:szCs w:val="21"/>
                <w:highlight w:val="none"/>
                <w:lang w:val="en-US" w:eastAsia="zh-CN" w:bidi="ar-SA"/>
              </w:rPr>
              <w:t>。</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0FBB2EE3">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0-5分</w:t>
            </w:r>
          </w:p>
        </w:tc>
      </w:tr>
      <w:tr w14:paraId="7359FF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7908A279">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70CE5EF5">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3.项目实施方案</w:t>
            </w:r>
          </w:p>
        </w:tc>
        <w:tc>
          <w:tcPr>
            <w:tcW w:w="3384" w:type="pct"/>
            <w:tcBorders>
              <w:top w:val="single" w:color="auto" w:sz="4" w:space="0"/>
              <w:left w:val="single" w:color="auto" w:sz="4" w:space="0"/>
              <w:bottom w:val="single" w:color="auto" w:sz="4" w:space="0"/>
              <w:right w:val="single" w:color="auto" w:sz="4" w:space="0"/>
            </w:tcBorders>
            <w:shd w:val="clear" w:color="auto" w:fill="auto"/>
            <w:vAlign w:val="center"/>
          </w:tcPr>
          <w:p w14:paraId="19FF7B04">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评标委员会对投标人提供的项目实施方案进行评审打分：</w:t>
            </w:r>
          </w:p>
          <w:p w14:paraId="546E8E6A">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（1）实施方案全面、内容详实具体，完全符合或多于采购需求，得5分；</w:t>
            </w:r>
          </w:p>
          <w:p w14:paraId="7CA3B42B">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（2）实施方案清晰完整，符合需求，得3分；</w:t>
            </w:r>
          </w:p>
          <w:p w14:paraId="686F836B">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（3）实施方案需进一步有待完善， 得1分；</w:t>
            </w:r>
          </w:p>
          <w:p w14:paraId="0DDEB101">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（4）未提供不得分。</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13BF4476">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0-5分</w:t>
            </w:r>
          </w:p>
        </w:tc>
      </w:tr>
      <w:tr w14:paraId="05A986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45073BC6">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06888C4E">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4.机构设置和岗位职责</w:t>
            </w:r>
          </w:p>
          <w:p w14:paraId="13F81D8C">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default" w:asciiTheme="minorEastAsia" w:hAnsiTheme="minorEastAsia" w:eastAsiaTheme="minorEastAsia" w:cstheme="minorEastAsia"/>
                <w:bCs w:val="0"/>
                <w:color w:val="auto"/>
                <w:spacing w:val="0"/>
                <w:kern w:val="2"/>
                <w:sz w:val="21"/>
                <w:szCs w:val="21"/>
                <w:highlight w:val="none"/>
                <w:lang w:val="en-US" w:eastAsia="zh-CN" w:bidi="ar-SA"/>
              </w:rPr>
            </w:pPr>
          </w:p>
        </w:tc>
        <w:tc>
          <w:tcPr>
            <w:tcW w:w="3384" w:type="pct"/>
            <w:tcBorders>
              <w:top w:val="single" w:color="auto" w:sz="4" w:space="0"/>
              <w:left w:val="single" w:color="auto" w:sz="4" w:space="0"/>
              <w:bottom w:val="single" w:color="auto" w:sz="4" w:space="0"/>
              <w:right w:val="single" w:color="auto" w:sz="4" w:space="0"/>
            </w:tcBorders>
            <w:shd w:val="clear" w:color="auto" w:fill="auto"/>
            <w:vAlign w:val="center"/>
          </w:tcPr>
          <w:p w14:paraId="15E3A8B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根据投标文件中项目实施的机构设置、岗位职责，进行综合评审：</w:t>
            </w:r>
          </w:p>
          <w:p w14:paraId="0DF1DE0C">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（1）机构设置合理，岗位责任清晰，利于项目实施，</w:t>
            </w:r>
            <w:r>
              <w:rPr>
                <w:rFonts w:hint="eastAsia" w:asciiTheme="minorEastAsia" w:hAnsiTheme="minorEastAsia" w:eastAsiaTheme="minorEastAsia" w:cstheme="minorEastAsia"/>
                <w:color w:val="auto"/>
                <w:sz w:val="21"/>
                <w:szCs w:val="21"/>
                <w:highlight w:val="none"/>
                <w:lang w:val="en-US" w:eastAsia="zh-CN"/>
              </w:rPr>
              <w:t>完全响应</w:t>
            </w:r>
            <w:r>
              <w:rPr>
                <w:rFonts w:hint="eastAsia" w:asciiTheme="minorEastAsia" w:hAnsiTheme="minorEastAsia" w:eastAsiaTheme="minorEastAsia" w:cstheme="minorEastAsia"/>
                <w:bCs w:val="0"/>
                <w:color w:val="auto"/>
                <w:spacing w:val="0"/>
                <w:kern w:val="2"/>
                <w:sz w:val="21"/>
                <w:szCs w:val="21"/>
                <w:highlight w:val="none"/>
                <w:lang w:val="en-US" w:eastAsia="zh-CN" w:bidi="ar-SA"/>
              </w:rPr>
              <w:t>本项目采购需求的，得5分；</w:t>
            </w:r>
          </w:p>
          <w:p w14:paraId="67067FFA">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（2）机构设置合理，岗位责任清晰，适合本项目采购需求的，得3分；</w:t>
            </w:r>
          </w:p>
          <w:p w14:paraId="3CA5B30F">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（3）机构设置不合理，岗位责任不清，</w:t>
            </w:r>
            <w:bookmarkStart w:id="113" w:name="_GoBack"/>
            <w:bookmarkEnd w:id="113"/>
            <w:r>
              <w:rPr>
                <w:rFonts w:hint="eastAsia" w:asciiTheme="minorEastAsia" w:hAnsiTheme="minorEastAsia" w:eastAsiaTheme="minorEastAsia" w:cstheme="minorEastAsia"/>
                <w:bCs w:val="0"/>
                <w:color w:val="auto"/>
                <w:spacing w:val="0"/>
                <w:kern w:val="2"/>
                <w:sz w:val="21"/>
                <w:szCs w:val="21"/>
                <w:highlight w:val="none"/>
                <w:lang w:val="en-US" w:eastAsia="zh-CN" w:bidi="ar-SA"/>
              </w:rPr>
              <w:t>有待改善，得1分；</w:t>
            </w:r>
          </w:p>
          <w:p w14:paraId="6095EA08">
            <w:pPr>
              <w:keepNext w:val="0"/>
              <w:keepLines w:val="0"/>
              <w:pageBreakBefore w:val="0"/>
              <w:widowControl w:val="0"/>
              <w:kinsoku/>
              <w:wordWrap/>
              <w:overflowPunct/>
              <w:topLinePunct w:val="0"/>
              <w:autoSpaceDE/>
              <w:autoSpaceDN/>
              <w:bidi w:val="0"/>
              <w:adjustRightInd/>
              <w:snapToGrid/>
              <w:spacing w:line="500" w:lineRule="exact"/>
              <w:jc w:val="left"/>
              <w:textAlignment w:val="auto"/>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（4）</w:t>
            </w:r>
            <w:r>
              <w:rPr>
                <w:rFonts w:hint="eastAsia" w:asciiTheme="minorEastAsia" w:hAnsiTheme="minorEastAsia" w:eastAsiaTheme="minorEastAsia" w:cstheme="minorEastAsia"/>
                <w:color w:val="auto"/>
                <w:sz w:val="21"/>
                <w:szCs w:val="21"/>
                <w:highlight w:val="none"/>
                <w:lang w:val="en-US" w:eastAsia="zh-CN"/>
              </w:rPr>
              <w:t>未提供不得分</w:t>
            </w:r>
            <w:r>
              <w:rPr>
                <w:rFonts w:hint="eastAsia" w:asciiTheme="minorEastAsia" w:hAnsiTheme="minorEastAsia" w:eastAsiaTheme="minorEastAsia" w:cstheme="minorEastAsia"/>
                <w:bCs w:val="0"/>
                <w:color w:val="auto"/>
                <w:spacing w:val="0"/>
                <w:kern w:val="2"/>
                <w:sz w:val="21"/>
                <w:szCs w:val="21"/>
                <w:highlight w:val="none"/>
                <w:lang w:val="en-US" w:eastAsia="zh-CN" w:bidi="ar-SA"/>
              </w:rPr>
              <w:t>。</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36F3ADC6">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0-5分</w:t>
            </w:r>
          </w:p>
        </w:tc>
      </w:tr>
      <w:tr w14:paraId="1F25B1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04B6665A">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16CD4920">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5.拟投入的机械设备</w:t>
            </w:r>
          </w:p>
        </w:tc>
        <w:tc>
          <w:tcPr>
            <w:tcW w:w="3384" w:type="pct"/>
            <w:tcBorders>
              <w:top w:val="single" w:color="auto" w:sz="4" w:space="0"/>
              <w:left w:val="single" w:color="auto" w:sz="4" w:space="0"/>
              <w:bottom w:val="single" w:color="auto" w:sz="4" w:space="0"/>
              <w:right w:val="single" w:color="auto" w:sz="4" w:space="0"/>
            </w:tcBorders>
            <w:shd w:val="clear" w:color="auto" w:fill="auto"/>
            <w:vAlign w:val="center"/>
          </w:tcPr>
          <w:p w14:paraId="7640CDF4">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评标委员会对投标人提供的拟投入的机械设备进行评审打分：</w:t>
            </w:r>
          </w:p>
          <w:p w14:paraId="111CD83B">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（1）机械设备配备较为齐全，完全满足或多于项目实施需求，得5分；</w:t>
            </w:r>
          </w:p>
          <w:p w14:paraId="59920B6F">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（2）机械设备配备符合需求，得3分；</w:t>
            </w:r>
          </w:p>
          <w:p w14:paraId="3279E9AF">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（3）机械设备配备有待完善、存在缺失，得1分；</w:t>
            </w:r>
          </w:p>
          <w:p w14:paraId="17387AB2">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（4）未提供不得分。</w:t>
            </w:r>
          </w:p>
          <w:p w14:paraId="19F135C6">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b/>
                <w:bCs/>
                <w:color w:val="auto"/>
                <w:sz w:val="21"/>
                <w:szCs w:val="21"/>
                <w:highlight w:val="none"/>
                <w:lang w:val="en-US" w:eastAsia="zh-CN"/>
              </w:rPr>
              <w:t>注：投标人投入的设备中应包含陀螺测斜仪和小口径无线随钻测量系统（提供投标人购买发票或租赁合同（租赁期不短于服务期）），否则设备方案项计0分。</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3EB9E94E">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0-5分</w:t>
            </w:r>
          </w:p>
        </w:tc>
      </w:tr>
      <w:tr w14:paraId="18EA1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5C76E0E0">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3911F160">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6.项目重难点分析及措施</w:t>
            </w:r>
          </w:p>
        </w:tc>
        <w:tc>
          <w:tcPr>
            <w:tcW w:w="3384" w:type="pct"/>
            <w:tcBorders>
              <w:top w:val="single" w:color="auto" w:sz="4" w:space="0"/>
              <w:left w:val="single" w:color="auto" w:sz="4" w:space="0"/>
              <w:bottom w:val="single" w:color="auto" w:sz="4" w:space="0"/>
              <w:right w:val="single" w:color="auto" w:sz="4" w:space="0"/>
            </w:tcBorders>
            <w:shd w:val="clear" w:color="auto" w:fill="auto"/>
            <w:vAlign w:val="center"/>
          </w:tcPr>
          <w:p w14:paraId="4564BC52">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评标委员会对项目的重难点分析及措施进行评审打分：</w:t>
            </w:r>
          </w:p>
          <w:p w14:paraId="5B837B44">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（1）项目的重点难点分析准确、制定的措施方案切实可行，对项目质量提升具有显著作用，得5分；</w:t>
            </w:r>
          </w:p>
          <w:p w14:paraId="5C253948">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（2）项目的重点难点分析比较符合实际，制定的措施方案存在缺点，整体对项目质量具有提升作用，得3分；</w:t>
            </w:r>
          </w:p>
          <w:p w14:paraId="36A02758">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（3）项目的重点难点分析及应对措施有待提升完善的，得1分；</w:t>
            </w:r>
          </w:p>
          <w:p w14:paraId="5194DEB3">
            <w:pPr>
              <w:keepNext w:val="0"/>
              <w:pageBreakBefore w:val="0"/>
              <w:wordWrap/>
              <w:overflowPunct/>
              <w:topLinePunct w:val="0"/>
              <w:bidi w:val="0"/>
              <w:adjustRightInd/>
              <w:snapToGrid/>
              <w:spacing w:line="500" w:lineRule="exact"/>
              <w:jc w:val="left"/>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（4）未提供不得分。</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46A01227">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0-5分</w:t>
            </w:r>
          </w:p>
        </w:tc>
      </w:tr>
      <w:tr w14:paraId="0EC768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5604EC79">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0D06B30B">
            <w:pPr>
              <w:pStyle w:val="67"/>
              <w:keepNext w:val="0"/>
              <w:keepLines/>
              <w:pageBreakBefore w:val="0"/>
              <w:widowControl/>
              <w:kinsoku w:val="0"/>
              <w:wordWrap/>
              <w:overflowPunct/>
              <w:topLinePunct w:val="0"/>
              <w:autoSpaceDE w:val="0"/>
              <w:autoSpaceDN w:val="0"/>
              <w:bidi w:val="0"/>
              <w:adjustRightInd/>
              <w:snapToGrid/>
              <w:spacing w:before="0" w:after="0" w:line="500" w:lineRule="exact"/>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7.绿色勘查措施</w:t>
            </w:r>
          </w:p>
        </w:tc>
        <w:tc>
          <w:tcPr>
            <w:tcW w:w="3384" w:type="pct"/>
            <w:tcBorders>
              <w:top w:val="single" w:color="auto" w:sz="4" w:space="0"/>
              <w:left w:val="single" w:color="auto" w:sz="4" w:space="0"/>
              <w:bottom w:val="single" w:color="auto" w:sz="4" w:space="0"/>
              <w:right w:val="single" w:color="auto" w:sz="4" w:space="0"/>
            </w:tcBorders>
            <w:shd w:val="clear" w:color="auto" w:fill="auto"/>
            <w:vAlign w:val="center"/>
          </w:tcPr>
          <w:p w14:paraId="4B5CC626">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评标委员会对投标人提供的本项目绿色勘查措施进行评审打分：</w:t>
            </w:r>
          </w:p>
          <w:p w14:paraId="60DE1B03">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（1）措施实施方案全面、内容详实具体，完全符合</w:t>
            </w:r>
            <w:r>
              <w:rPr>
                <w:rFonts w:hint="eastAsia" w:asciiTheme="minorEastAsia" w:hAnsiTheme="minorEastAsia" w:eastAsiaTheme="minorEastAsia" w:cstheme="minorEastAsia"/>
                <w:color w:val="auto"/>
                <w:sz w:val="21"/>
                <w:szCs w:val="21"/>
                <w:highlight w:val="none"/>
                <w:lang w:val="en-US" w:eastAsia="zh-CN"/>
              </w:rPr>
              <w:t>或多于采购需求</w:t>
            </w:r>
            <w:r>
              <w:rPr>
                <w:rFonts w:hint="eastAsia" w:asciiTheme="minorEastAsia" w:hAnsiTheme="minorEastAsia" w:eastAsiaTheme="minorEastAsia" w:cstheme="minorEastAsia"/>
                <w:bCs w:val="0"/>
                <w:color w:val="auto"/>
                <w:spacing w:val="0"/>
                <w:kern w:val="2"/>
                <w:sz w:val="21"/>
                <w:szCs w:val="21"/>
                <w:highlight w:val="none"/>
                <w:lang w:val="en-US" w:eastAsia="zh-CN" w:bidi="ar-SA"/>
              </w:rPr>
              <w:t>，得5分；</w:t>
            </w:r>
          </w:p>
          <w:p w14:paraId="44802625">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（2）措施实施方案清晰完整，符合需求，得3分；</w:t>
            </w:r>
          </w:p>
          <w:p w14:paraId="125B7E65">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（3）措施实施方案需进一步有待完善，得1分；</w:t>
            </w:r>
          </w:p>
          <w:p w14:paraId="65243800">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（4）未提供不得分。</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59991CF4">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0-5分</w:t>
            </w:r>
          </w:p>
        </w:tc>
      </w:tr>
      <w:tr w14:paraId="76B74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5BD94114">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20847844">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8.确保质量的措施</w:t>
            </w:r>
          </w:p>
        </w:tc>
        <w:tc>
          <w:tcPr>
            <w:tcW w:w="3384" w:type="pct"/>
            <w:tcBorders>
              <w:top w:val="single" w:color="auto" w:sz="4" w:space="0"/>
              <w:left w:val="single" w:color="auto" w:sz="4" w:space="0"/>
              <w:bottom w:val="single" w:color="auto" w:sz="4" w:space="0"/>
              <w:right w:val="single" w:color="auto" w:sz="4" w:space="0"/>
            </w:tcBorders>
            <w:shd w:val="clear" w:color="auto" w:fill="auto"/>
            <w:vAlign w:val="center"/>
          </w:tcPr>
          <w:p w14:paraId="22B97D14">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评标委员会对投标人提供的质量技术管理班子和制度、质量技术保证措施、自控体系方面进行评审打分：</w:t>
            </w:r>
          </w:p>
          <w:p w14:paraId="6DCA6C79">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（1）措施实施方案全面、内容详实具体，完全符合</w:t>
            </w:r>
            <w:r>
              <w:rPr>
                <w:rFonts w:hint="eastAsia" w:asciiTheme="minorEastAsia" w:hAnsiTheme="minorEastAsia" w:eastAsiaTheme="minorEastAsia" w:cstheme="minorEastAsia"/>
                <w:color w:val="auto"/>
                <w:sz w:val="21"/>
                <w:szCs w:val="21"/>
                <w:highlight w:val="none"/>
                <w:lang w:val="en-US" w:eastAsia="zh-CN"/>
              </w:rPr>
              <w:t>或多于采购需求</w:t>
            </w:r>
            <w:r>
              <w:rPr>
                <w:rFonts w:hint="eastAsia" w:asciiTheme="minorEastAsia" w:hAnsiTheme="minorEastAsia" w:eastAsiaTheme="minorEastAsia" w:cstheme="minorEastAsia"/>
                <w:bCs w:val="0"/>
                <w:color w:val="auto"/>
                <w:spacing w:val="0"/>
                <w:kern w:val="2"/>
                <w:sz w:val="21"/>
                <w:szCs w:val="21"/>
                <w:highlight w:val="none"/>
                <w:lang w:val="en-US" w:eastAsia="zh-CN" w:bidi="ar-SA"/>
              </w:rPr>
              <w:t>，得5分；</w:t>
            </w:r>
          </w:p>
          <w:p w14:paraId="104F2668">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（2）措施实施方案清晰完整，符合需求，得3分；</w:t>
            </w:r>
          </w:p>
          <w:p w14:paraId="76C56851">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（3）措施实施方案需进一步有待完善，得1分；</w:t>
            </w:r>
          </w:p>
          <w:p w14:paraId="6D574528">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（4）未提供不得分。</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7612444D">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0-5分</w:t>
            </w:r>
          </w:p>
        </w:tc>
      </w:tr>
      <w:tr w14:paraId="27923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10AC8925">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76145740">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9.确保安全生产的措施</w:t>
            </w:r>
          </w:p>
        </w:tc>
        <w:tc>
          <w:tcPr>
            <w:tcW w:w="3384" w:type="pct"/>
            <w:tcBorders>
              <w:top w:val="single" w:color="auto" w:sz="4" w:space="0"/>
              <w:left w:val="single" w:color="auto" w:sz="4" w:space="0"/>
              <w:bottom w:val="single" w:color="auto" w:sz="4" w:space="0"/>
              <w:right w:val="single" w:color="auto" w:sz="4" w:space="0"/>
            </w:tcBorders>
            <w:shd w:val="clear" w:color="auto" w:fill="auto"/>
            <w:vAlign w:val="center"/>
          </w:tcPr>
          <w:p w14:paraId="7C961AE0">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评标委员会对投标人提供的安全管理人员和制度、安全技术措施方面进行评审打分：</w:t>
            </w:r>
          </w:p>
          <w:p w14:paraId="7B6C8E68">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（1）措施实施方案全面、内容详实具体，完全符合</w:t>
            </w:r>
            <w:r>
              <w:rPr>
                <w:rFonts w:hint="eastAsia" w:asciiTheme="minorEastAsia" w:hAnsiTheme="minorEastAsia" w:eastAsiaTheme="minorEastAsia" w:cstheme="minorEastAsia"/>
                <w:color w:val="auto"/>
                <w:sz w:val="21"/>
                <w:szCs w:val="21"/>
                <w:highlight w:val="none"/>
                <w:lang w:val="en-US" w:eastAsia="zh-CN"/>
              </w:rPr>
              <w:t>或多于采购需求</w:t>
            </w:r>
            <w:r>
              <w:rPr>
                <w:rFonts w:hint="eastAsia" w:asciiTheme="minorEastAsia" w:hAnsiTheme="minorEastAsia" w:eastAsiaTheme="minorEastAsia" w:cstheme="minorEastAsia"/>
                <w:bCs w:val="0"/>
                <w:color w:val="auto"/>
                <w:spacing w:val="0"/>
                <w:kern w:val="2"/>
                <w:sz w:val="21"/>
                <w:szCs w:val="21"/>
                <w:highlight w:val="none"/>
                <w:lang w:val="en-US" w:eastAsia="zh-CN" w:bidi="ar-SA"/>
              </w:rPr>
              <w:t>，得4分；</w:t>
            </w:r>
          </w:p>
          <w:p w14:paraId="1D786F32">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（2）措施实施方案清晰完整，符合需求，得2分；</w:t>
            </w:r>
          </w:p>
          <w:p w14:paraId="78C6B65B">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（3）措施实施方案需进一步有待完善，得1分；</w:t>
            </w:r>
          </w:p>
          <w:p w14:paraId="75C0532E">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（4）未提供不得分。</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191C06A9">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0-4分</w:t>
            </w:r>
          </w:p>
        </w:tc>
      </w:tr>
      <w:tr w14:paraId="3B74EE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0CEE616B">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592" w:type="pct"/>
            <w:tcBorders>
              <w:top w:val="single" w:color="auto" w:sz="4" w:space="0"/>
              <w:left w:val="single" w:color="auto" w:sz="4" w:space="0"/>
              <w:bottom w:val="single" w:color="auto" w:sz="4" w:space="0"/>
              <w:right w:val="single" w:color="auto" w:sz="4" w:space="0"/>
            </w:tcBorders>
            <w:shd w:val="clear" w:color="auto" w:fill="auto"/>
            <w:vAlign w:val="center"/>
          </w:tcPr>
          <w:p w14:paraId="4B29EEA3">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10.确保工期的措施</w:t>
            </w:r>
          </w:p>
        </w:tc>
        <w:tc>
          <w:tcPr>
            <w:tcW w:w="3384" w:type="pct"/>
            <w:tcBorders>
              <w:top w:val="single" w:color="auto" w:sz="4" w:space="0"/>
              <w:left w:val="single" w:color="auto" w:sz="4" w:space="0"/>
              <w:bottom w:val="single" w:color="auto" w:sz="4" w:space="0"/>
              <w:right w:val="single" w:color="auto" w:sz="4" w:space="0"/>
            </w:tcBorders>
            <w:shd w:val="clear" w:color="auto" w:fill="auto"/>
            <w:vAlign w:val="center"/>
          </w:tcPr>
          <w:p w14:paraId="5CAE3CAE">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评标委员会对投标人提供的保障工期的技术措施、进度计划等方面进行评审打分：</w:t>
            </w:r>
          </w:p>
          <w:p w14:paraId="4D073616">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（1）保障工期的技术措施、进度计划全面、内容详实，完全符合</w:t>
            </w:r>
            <w:r>
              <w:rPr>
                <w:rFonts w:hint="eastAsia" w:asciiTheme="minorEastAsia" w:hAnsiTheme="minorEastAsia" w:eastAsiaTheme="minorEastAsia" w:cstheme="minorEastAsia"/>
                <w:color w:val="auto"/>
                <w:sz w:val="21"/>
                <w:szCs w:val="21"/>
                <w:highlight w:val="none"/>
                <w:lang w:val="en-US" w:eastAsia="zh-CN"/>
              </w:rPr>
              <w:t>或多于采购需求</w:t>
            </w:r>
            <w:r>
              <w:rPr>
                <w:rFonts w:hint="eastAsia" w:asciiTheme="minorEastAsia" w:hAnsiTheme="minorEastAsia" w:eastAsiaTheme="minorEastAsia" w:cstheme="minorEastAsia"/>
                <w:bCs w:val="0"/>
                <w:color w:val="auto"/>
                <w:spacing w:val="0"/>
                <w:kern w:val="2"/>
                <w:sz w:val="21"/>
                <w:szCs w:val="21"/>
                <w:highlight w:val="none"/>
                <w:lang w:val="en-US" w:eastAsia="zh-CN" w:bidi="ar-SA"/>
              </w:rPr>
              <w:t>，得4分；</w:t>
            </w:r>
          </w:p>
          <w:p w14:paraId="277AEC42">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（2）保障工期的技术措施、进度计划清晰，符合需求，得2分；</w:t>
            </w:r>
          </w:p>
          <w:p w14:paraId="164409A1">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（3）保障工期的技术措施、进度计划需进一步有待完善，得1分；</w:t>
            </w:r>
          </w:p>
          <w:p w14:paraId="376F7BF1">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（4）未提供不得分。</w:t>
            </w:r>
          </w:p>
        </w:tc>
        <w:tc>
          <w:tcPr>
            <w:tcW w:w="619" w:type="pct"/>
            <w:tcBorders>
              <w:top w:val="single" w:color="auto" w:sz="4" w:space="0"/>
              <w:left w:val="single" w:color="auto" w:sz="4" w:space="0"/>
              <w:bottom w:val="single" w:color="auto" w:sz="4" w:space="0"/>
              <w:right w:val="single" w:color="auto" w:sz="4" w:space="0"/>
            </w:tcBorders>
            <w:shd w:val="clear" w:color="auto" w:fill="auto"/>
            <w:vAlign w:val="center"/>
          </w:tcPr>
          <w:p w14:paraId="592E460A">
            <w:pPr>
              <w:pStyle w:val="67"/>
              <w:keepNext w:val="0"/>
              <w:keepLines/>
              <w:pageBreakBefore w:val="0"/>
              <w:widowControl/>
              <w:kinsoku w:val="0"/>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bCs w:val="0"/>
                <w:color w:val="auto"/>
                <w:spacing w:val="0"/>
                <w:kern w:val="2"/>
                <w:sz w:val="21"/>
                <w:szCs w:val="21"/>
                <w:highlight w:val="none"/>
                <w:lang w:val="en-US" w:eastAsia="zh-CN" w:bidi="ar-SA"/>
              </w:rPr>
              <w:t>0-4分</w:t>
            </w:r>
          </w:p>
        </w:tc>
      </w:tr>
      <w:tr w14:paraId="278A2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6F9F5F4A">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7D2C04C5">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11.合理化建议</w:t>
            </w:r>
          </w:p>
        </w:tc>
        <w:tc>
          <w:tcPr>
            <w:tcW w:w="6981" w:type="dxa"/>
            <w:tcBorders>
              <w:top w:val="single" w:color="auto" w:sz="4" w:space="0"/>
              <w:left w:val="single" w:color="auto" w:sz="4" w:space="0"/>
              <w:bottom w:val="single" w:color="auto" w:sz="4" w:space="0"/>
              <w:right w:val="single" w:color="auto" w:sz="4" w:space="0"/>
            </w:tcBorders>
            <w:shd w:val="clear" w:color="auto" w:fill="auto"/>
            <w:vAlign w:val="center"/>
          </w:tcPr>
          <w:p w14:paraId="342767A0">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投标人针对本项目提出切实可行的合理化优化建议：</w:t>
            </w:r>
          </w:p>
          <w:p w14:paraId="4E312630">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（1）贴合项目、针对性强，具备可实施性，能产生正向效益，得4分；</w:t>
            </w:r>
          </w:p>
          <w:p w14:paraId="58839466">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（2）有相关建议，具有可行性，得2分；</w:t>
            </w:r>
          </w:p>
          <w:p w14:paraId="364ECD83">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（3）建议空洞、无关联性，得1分；</w:t>
            </w:r>
          </w:p>
          <w:p w14:paraId="0AA5F333">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（4）未提供不得分。</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57DE312D">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0-4分</w:t>
            </w:r>
          </w:p>
        </w:tc>
      </w:tr>
      <w:tr w14:paraId="34CE50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vMerge w:val="continue"/>
            <w:tcBorders>
              <w:left w:val="single" w:color="auto" w:sz="4" w:space="0"/>
              <w:right w:val="single" w:color="auto" w:sz="4" w:space="0"/>
            </w:tcBorders>
            <w:vAlign w:val="center"/>
          </w:tcPr>
          <w:p w14:paraId="37BCED61">
            <w:pPr>
              <w:keepNext w:val="0"/>
              <w:pageBreakBefore w:val="0"/>
              <w:wordWrap/>
              <w:overflowPunct/>
              <w:topLinePunct w:val="0"/>
              <w:bidi w:val="0"/>
              <w:adjustRightInd/>
              <w:snapToGrid/>
              <w:spacing w:line="500" w:lineRule="exact"/>
              <w:ind w:firstLine="435"/>
              <w:jc w:val="center"/>
              <w:rPr>
                <w:rFonts w:hint="eastAsia" w:asciiTheme="minorEastAsia" w:hAnsiTheme="minorEastAsia" w:eastAsiaTheme="minorEastAsia" w:cstheme="minorEastAsia"/>
                <w:b/>
                <w:bCs/>
                <w:color w:val="auto"/>
                <w:sz w:val="21"/>
                <w:szCs w:val="21"/>
                <w:highlight w:val="none"/>
              </w:rPr>
            </w:pPr>
          </w:p>
        </w:tc>
        <w:tc>
          <w:tcPr>
            <w:tcW w:w="1223" w:type="dxa"/>
            <w:tcBorders>
              <w:top w:val="single" w:color="auto" w:sz="4" w:space="0"/>
              <w:left w:val="single" w:color="auto" w:sz="4" w:space="0"/>
              <w:bottom w:val="single" w:color="auto" w:sz="4" w:space="0"/>
              <w:right w:val="single" w:color="auto" w:sz="4" w:space="0"/>
            </w:tcBorders>
            <w:shd w:val="clear" w:color="auto" w:fill="auto"/>
            <w:vAlign w:val="center"/>
          </w:tcPr>
          <w:p w14:paraId="6D1D7F12">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12.服务承诺</w:t>
            </w:r>
          </w:p>
        </w:tc>
        <w:tc>
          <w:tcPr>
            <w:tcW w:w="6981" w:type="dxa"/>
            <w:tcBorders>
              <w:top w:val="single" w:color="auto" w:sz="4" w:space="0"/>
              <w:left w:val="single" w:color="auto" w:sz="4" w:space="0"/>
              <w:bottom w:val="single" w:color="auto" w:sz="4" w:space="0"/>
              <w:right w:val="single" w:color="auto" w:sz="4" w:space="0"/>
            </w:tcBorders>
            <w:shd w:val="clear" w:color="auto" w:fill="auto"/>
            <w:vAlign w:val="center"/>
          </w:tcPr>
          <w:p w14:paraId="28F5CFEC">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投标人结合项目现场实施特点，就技术服务质量、现场人员派驻、资料交付等作出承诺：</w:t>
            </w:r>
          </w:p>
          <w:p w14:paraId="1DA83242">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（1）承诺内容完整具体，保障措施明确，完全响应招标文件的服务保障，得4分；</w:t>
            </w:r>
          </w:p>
          <w:p w14:paraId="27E03013">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（2）满足招标文件基本服务要求，承诺内容常规，得2分；</w:t>
            </w:r>
          </w:p>
          <w:p w14:paraId="0137BCBA">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color w:val="auto"/>
                <w:sz w:val="21"/>
                <w:szCs w:val="21"/>
                <w:highlight w:val="none"/>
                <w:lang w:val="en-US" w:eastAsia="zh-CN"/>
              </w:rPr>
            </w:pPr>
            <w:r>
              <w:rPr>
                <w:rFonts w:hint="eastAsia" w:asciiTheme="minorEastAsia" w:hAnsiTheme="minorEastAsia" w:eastAsiaTheme="minorEastAsia" w:cstheme="minorEastAsia"/>
                <w:color w:val="auto"/>
                <w:sz w:val="21"/>
                <w:szCs w:val="21"/>
                <w:highlight w:val="none"/>
                <w:lang w:val="en-US" w:eastAsia="zh-CN"/>
              </w:rPr>
              <w:t>（3）承诺简单空洞，关键内容缺失，得1分；</w:t>
            </w:r>
          </w:p>
          <w:p w14:paraId="0B952A99">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left"/>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（4）未提供不得分。</w:t>
            </w:r>
          </w:p>
        </w:tc>
        <w:tc>
          <w:tcPr>
            <w:tcW w:w="1277" w:type="dxa"/>
            <w:tcBorders>
              <w:top w:val="single" w:color="auto" w:sz="4" w:space="0"/>
              <w:left w:val="single" w:color="auto" w:sz="4" w:space="0"/>
              <w:bottom w:val="single" w:color="auto" w:sz="4" w:space="0"/>
              <w:right w:val="single" w:color="auto" w:sz="4" w:space="0"/>
            </w:tcBorders>
            <w:shd w:val="clear" w:color="auto" w:fill="auto"/>
            <w:vAlign w:val="center"/>
          </w:tcPr>
          <w:p w14:paraId="75DBD090">
            <w:pPr>
              <w:pStyle w:val="67"/>
              <w:keepNext w:val="0"/>
              <w:keepLines/>
              <w:pageBreakBefore w:val="0"/>
              <w:widowControl/>
              <w:kinsoku/>
              <w:wordWrap/>
              <w:overflowPunct/>
              <w:topLinePunct w:val="0"/>
              <w:autoSpaceDE w:val="0"/>
              <w:autoSpaceDN w:val="0"/>
              <w:bidi w:val="0"/>
              <w:adjustRightInd/>
              <w:snapToGrid/>
              <w:spacing w:before="0" w:after="0" w:line="500" w:lineRule="exact"/>
              <w:ind w:firstLine="0" w:firstLineChars="0"/>
              <w:jc w:val="center"/>
              <w:textAlignment w:val="baseline"/>
              <w:rPr>
                <w:rFonts w:hint="eastAsia" w:asciiTheme="minorEastAsia" w:hAnsiTheme="minorEastAsia" w:eastAsiaTheme="minorEastAsia" w:cstheme="minorEastAsia"/>
                <w:bCs w:val="0"/>
                <w:color w:val="auto"/>
                <w:spacing w:val="0"/>
                <w:kern w:val="2"/>
                <w:sz w:val="21"/>
                <w:szCs w:val="21"/>
                <w:highlight w:val="none"/>
                <w:lang w:val="en-US" w:eastAsia="zh-CN" w:bidi="ar-SA"/>
              </w:rPr>
            </w:pPr>
            <w:r>
              <w:rPr>
                <w:rFonts w:hint="eastAsia" w:asciiTheme="minorEastAsia" w:hAnsiTheme="minorEastAsia" w:eastAsiaTheme="minorEastAsia" w:cstheme="minorEastAsia"/>
                <w:color w:val="auto"/>
                <w:sz w:val="21"/>
                <w:szCs w:val="21"/>
                <w:highlight w:val="none"/>
                <w:lang w:val="en-US" w:eastAsia="zh-CN"/>
              </w:rPr>
              <w:t>0-4分</w:t>
            </w:r>
          </w:p>
        </w:tc>
      </w:tr>
      <w:tr w14:paraId="5F3831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02" w:type="pct"/>
            <w:tcBorders>
              <w:left w:val="single" w:color="auto" w:sz="4" w:space="0"/>
              <w:right w:val="single" w:color="auto" w:sz="4" w:space="0"/>
            </w:tcBorders>
            <w:vAlign w:val="center"/>
          </w:tcPr>
          <w:p w14:paraId="1504E4CF">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价格分</w:t>
            </w:r>
          </w:p>
          <w:p w14:paraId="76C96425">
            <w:pPr>
              <w:keepNext w:val="0"/>
              <w:pageBreakBefore w:val="0"/>
              <w:wordWrap/>
              <w:overflowPunct/>
              <w:topLinePunct w:val="0"/>
              <w:bidi w:val="0"/>
              <w:adjustRightInd/>
              <w:snapToGrid/>
              <w:spacing w:line="500" w:lineRule="exact"/>
              <w:jc w:val="center"/>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z w:val="21"/>
                <w:szCs w:val="21"/>
                <w:highlight w:val="none"/>
              </w:rPr>
              <w:t>（</w:t>
            </w:r>
            <w:r>
              <w:rPr>
                <w:rFonts w:hint="eastAsia" w:asciiTheme="minorEastAsia" w:hAnsiTheme="minorEastAsia" w:eastAsiaTheme="minorEastAsia" w:cstheme="minorEastAsia"/>
                <w:color w:val="auto"/>
                <w:sz w:val="21"/>
                <w:szCs w:val="21"/>
                <w:highlight w:val="none"/>
                <w:u w:val="single"/>
              </w:rPr>
              <w:t xml:space="preserve"> </w:t>
            </w:r>
            <w:r>
              <w:rPr>
                <w:rFonts w:hint="eastAsia" w:asciiTheme="minorEastAsia" w:hAnsiTheme="minorEastAsia" w:eastAsiaTheme="minorEastAsia" w:cstheme="minorEastAsia"/>
                <w:color w:val="auto"/>
                <w:sz w:val="21"/>
                <w:szCs w:val="21"/>
                <w:highlight w:val="none"/>
                <w:u w:val="single"/>
                <w:lang w:val="en-US" w:eastAsia="zh-CN"/>
              </w:rPr>
              <w:t>10</w:t>
            </w:r>
            <w:r>
              <w:rPr>
                <w:rFonts w:hint="eastAsia" w:asciiTheme="minorEastAsia" w:hAnsiTheme="minorEastAsia" w:eastAsiaTheme="minorEastAsia" w:cstheme="minorEastAsia"/>
                <w:color w:val="auto"/>
                <w:sz w:val="21"/>
                <w:szCs w:val="21"/>
                <w:highlight w:val="none"/>
              </w:rPr>
              <w:t>分）</w:t>
            </w:r>
          </w:p>
        </w:tc>
        <w:tc>
          <w:tcPr>
            <w:tcW w:w="4597" w:type="pct"/>
            <w:gridSpan w:val="3"/>
            <w:tcBorders>
              <w:top w:val="single" w:color="auto" w:sz="4" w:space="0"/>
              <w:left w:val="single" w:color="auto" w:sz="4" w:space="0"/>
              <w:bottom w:val="single" w:color="auto" w:sz="4" w:space="0"/>
              <w:right w:val="single" w:color="auto" w:sz="4" w:space="0"/>
            </w:tcBorders>
            <w:vAlign w:val="center"/>
          </w:tcPr>
          <w:p w14:paraId="365E7BFE">
            <w:pPr>
              <w:keepNext w:val="0"/>
              <w:pageBreakBefore w:val="0"/>
              <w:wordWrap/>
              <w:overflowPunct/>
              <w:topLinePunct w:val="0"/>
              <w:bidi w:val="0"/>
              <w:adjustRightInd/>
              <w:snapToGrid/>
              <w:spacing w:line="500" w:lineRule="exact"/>
              <w:rPr>
                <w:rFonts w:hint="eastAsia" w:asciiTheme="minorEastAsia" w:hAnsiTheme="minorEastAsia" w:eastAsiaTheme="minorEastAsia" w:cstheme="minorEastAsia"/>
                <w:color w:val="auto"/>
                <w:sz w:val="21"/>
                <w:szCs w:val="21"/>
                <w:highlight w:val="none"/>
              </w:rPr>
            </w:pPr>
            <w:r>
              <w:rPr>
                <w:rFonts w:hint="eastAsia" w:asciiTheme="minorEastAsia" w:hAnsiTheme="minorEastAsia" w:eastAsiaTheme="minorEastAsia" w:cstheme="minorEastAsia"/>
                <w:color w:val="auto"/>
                <w:sz w:val="21"/>
                <w:szCs w:val="21"/>
                <w:highlight w:val="none"/>
              </w:rPr>
              <w:t>价格分统一采用低价优先法，即满足招标文件要求且投标价格最低的投标报价为评标基准价，其价格分为满分</w:t>
            </w:r>
            <w:r>
              <w:rPr>
                <w:rFonts w:hint="eastAsia" w:asciiTheme="minorEastAsia" w:hAnsiTheme="minorEastAsia" w:eastAsiaTheme="minorEastAsia" w:cstheme="minorEastAsia"/>
                <w:color w:val="auto"/>
                <w:sz w:val="21"/>
                <w:szCs w:val="21"/>
                <w:highlight w:val="none"/>
                <w:u w:val="single"/>
                <w:lang w:val="en-US" w:eastAsia="zh-CN"/>
              </w:rPr>
              <w:t>10</w:t>
            </w:r>
            <w:r>
              <w:rPr>
                <w:rFonts w:hint="eastAsia" w:asciiTheme="minorEastAsia" w:hAnsiTheme="minorEastAsia" w:eastAsiaTheme="minorEastAsia" w:cstheme="minorEastAsia"/>
                <w:color w:val="auto"/>
                <w:sz w:val="21"/>
                <w:szCs w:val="21"/>
                <w:highlight w:val="none"/>
              </w:rPr>
              <w:t>分。其他投标人的价格分统一按照下列公式计算：</w:t>
            </w:r>
          </w:p>
          <w:p w14:paraId="4E0DD46B">
            <w:pPr>
              <w:keepNext w:val="0"/>
              <w:pageBreakBefore w:val="0"/>
              <w:wordWrap/>
              <w:overflowPunct/>
              <w:topLinePunct w:val="0"/>
              <w:bidi w:val="0"/>
              <w:adjustRightInd/>
              <w:snapToGrid/>
              <w:spacing w:line="500" w:lineRule="exact"/>
              <w:rPr>
                <w:rFonts w:hint="eastAsia" w:asciiTheme="minorEastAsia" w:hAnsiTheme="minorEastAsia" w:eastAsiaTheme="minorEastAsia" w:cstheme="minorEastAsia"/>
                <w:b/>
                <w:bCs/>
                <w:color w:val="auto"/>
                <w:sz w:val="21"/>
                <w:szCs w:val="21"/>
                <w:highlight w:val="none"/>
              </w:rPr>
            </w:pPr>
            <w:r>
              <w:rPr>
                <w:rFonts w:hint="eastAsia" w:asciiTheme="minorEastAsia" w:hAnsiTheme="minorEastAsia" w:eastAsiaTheme="minorEastAsia" w:cstheme="minorEastAsia"/>
                <w:color w:val="auto"/>
                <w:sz w:val="21"/>
                <w:szCs w:val="21"/>
                <w:highlight w:val="none"/>
              </w:rPr>
              <w:t>投标报价得分＝（评标基准价/投标报价）×</w:t>
            </w:r>
            <w:r>
              <w:rPr>
                <w:rFonts w:hint="eastAsia" w:asciiTheme="minorEastAsia" w:hAnsiTheme="minorEastAsia" w:eastAsiaTheme="minorEastAsia" w:cstheme="minorEastAsia"/>
                <w:color w:val="auto"/>
                <w:sz w:val="21"/>
                <w:szCs w:val="21"/>
                <w:highlight w:val="none"/>
                <w:u w:val="single"/>
                <w:lang w:val="en-US" w:eastAsia="zh-CN"/>
              </w:rPr>
              <w:t>10</w:t>
            </w:r>
            <w:r>
              <w:rPr>
                <w:rFonts w:hint="eastAsia" w:asciiTheme="minorEastAsia" w:hAnsiTheme="minorEastAsia" w:eastAsiaTheme="minorEastAsia" w:cstheme="minorEastAsia"/>
                <w:color w:val="auto"/>
                <w:sz w:val="21"/>
                <w:szCs w:val="21"/>
                <w:highlight w:val="none"/>
              </w:rPr>
              <w:t>％×100</w:t>
            </w:r>
          </w:p>
        </w:tc>
      </w:tr>
    </w:tbl>
    <w:p w14:paraId="2776C0FF">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w:t>
      </w:r>
      <w:r>
        <w:rPr>
          <w:rFonts w:hint="eastAsia" w:asciiTheme="minorEastAsia" w:hAnsiTheme="minorEastAsia" w:eastAsiaTheme="minorEastAsia"/>
          <w:color w:val="auto"/>
          <w:sz w:val="24"/>
          <w:highlight w:val="none"/>
          <w:lang w:val="en-US" w:eastAsia="zh-CN"/>
        </w:rPr>
        <w:t>4</w:t>
      </w:r>
      <w:r>
        <w:rPr>
          <w:rFonts w:asciiTheme="minorEastAsia" w:hAnsiTheme="minorEastAsia" w:eastAsiaTheme="minorEastAsia"/>
          <w:color w:val="auto"/>
          <w:sz w:val="24"/>
          <w:highlight w:val="none"/>
        </w:rPr>
        <w:t>.3</w:t>
      </w:r>
      <w:r>
        <w:rPr>
          <w:rFonts w:hint="eastAsia" w:asciiTheme="minorEastAsia" w:hAnsiTheme="minorEastAsia" w:eastAsiaTheme="minorEastAsia"/>
          <w:color w:val="auto"/>
          <w:sz w:val="24"/>
          <w:highlight w:val="none"/>
        </w:rPr>
        <w:t>分值汇总</w:t>
      </w:r>
    </w:p>
    <w:p w14:paraId="4110BCBA">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w:t>
      </w:r>
      <w:r>
        <w:rPr>
          <w:rFonts w:asciiTheme="minorEastAsia" w:hAnsiTheme="minorEastAsia" w:eastAsiaTheme="minorEastAsia"/>
          <w:color w:val="auto"/>
          <w:sz w:val="24"/>
          <w:highlight w:val="none"/>
        </w:rPr>
        <w:t>评标委员会各成员应当独立对每个</w:t>
      </w:r>
      <w:r>
        <w:rPr>
          <w:rFonts w:hint="eastAsia" w:asciiTheme="minorEastAsia" w:hAnsiTheme="minorEastAsia" w:eastAsiaTheme="minorEastAsia"/>
          <w:color w:val="auto"/>
          <w:sz w:val="24"/>
          <w:highlight w:val="none"/>
        </w:rPr>
        <w:t>有效</w:t>
      </w:r>
      <w:r>
        <w:rPr>
          <w:rFonts w:asciiTheme="minorEastAsia" w:hAnsiTheme="minorEastAsia" w:eastAsiaTheme="minorEastAsia"/>
          <w:color w:val="auto"/>
          <w:sz w:val="24"/>
          <w:highlight w:val="none"/>
        </w:rPr>
        <w:t>投标人的投标文件进行评</w:t>
      </w:r>
      <w:r>
        <w:rPr>
          <w:rFonts w:hint="eastAsia" w:asciiTheme="minorEastAsia" w:hAnsiTheme="minorEastAsia" w:eastAsiaTheme="minorEastAsia"/>
          <w:color w:val="auto"/>
          <w:sz w:val="24"/>
          <w:highlight w:val="none"/>
        </w:rPr>
        <w:t>分</w:t>
      </w:r>
      <w:r>
        <w:rPr>
          <w:rFonts w:asciiTheme="minorEastAsia" w:hAnsiTheme="minorEastAsia" w:eastAsiaTheme="minorEastAsia"/>
          <w:color w:val="auto"/>
          <w:sz w:val="24"/>
          <w:highlight w:val="none"/>
        </w:rPr>
        <w:t>，并汇总每个投</w:t>
      </w:r>
      <w:r>
        <w:rPr>
          <w:rFonts w:hint="eastAsia" w:asciiTheme="minorEastAsia" w:hAnsiTheme="minorEastAsia" w:eastAsiaTheme="minorEastAsia"/>
          <w:color w:val="auto"/>
          <w:sz w:val="24"/>
          <w:highlight w:val="none"/>
        </w:rPr>
        <w:t>标人的得分。取各位评委评分之平均值，四舍五入保留至小数点后两位数，</w:t>
      </w:r>
      <w:r>
        <w:rPr>
          <w:rFonts w:asciiTheme="minorEastAsia" w:hAnsiTheme="minorEastAsia" w:eastAsiaTheme="minorEastAsia"/>
          <w:color w:val="auto"/>
          <w:sz w:val="24"/>
          <w:highlight w:val="none"/>
        </w:rPr>
        <w:t>得到该投标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w:t>
      </w:r>
      <w:r>
        <w:rPr>
          <w:rFonts w:hint="eastAsia" w:asciiTheme="minorEastAsia" w:hAnsiTheme="minorEastAsia" w:eastAsiaTheme="minorEastAsia"/>
          <w:color w:val="auto"/>
          <w:sz w:val="24"/>
          <w:highlight w:val="none"/>
        </w:rPr>
        <w:t>。</w:t>
      </w:r>
    </w:p>
    <w:p w14:paraId="0FFD3BCA">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r>
        <w:rPr>
          <w:rFonts w:asciiTheme="minorEastAsia" w:hAnsiTheme="minorEastAsia" w:eastAsiaTheme="minorEastAsia"/>
          <w:color w:val="auto"/>
          <w:sz w:val="24"/>
          <w:highlight w:val="none"/>
        </w:rPr>
        <w:t>将投标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的技术资信分加上根据上述标准计算出的价格分，即为该投标</w:t>
      </w:r>
      <w:r>
        <w:rPr>
          <w:rFonts w:hint="eastAsia" w:asciiTheme="minorEastAsia" w:hAnsiTheme="minorEastAsia" w:eastAsiaTheme="minorEastAsia"/>
          <w:color w:val="auto"/>
          <w:sz w:val="24"/>
          <w:highlight w:val="none"/>
        </w:rPr>
        <w:t>人</w:t>
      </w:r>
      <w:r>
        <w:rPr>
          <w:rFonts w:asciiTheme="minorEastAsia" w:hAnsiTheme="minorEastAsia" w:eastAsiaTheme="minorEastAsia"/>
          <w:color w:val="auto"/>
          <w:sz w:val="24"/>
          <w:highlight w:val="none"/>
        </w:rPr>
        <w:t>的综合总得分。</w:t>
      </w:r>
    </w:p>
    <w:p w14:paraId="6D3444FE">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b/>
          <w:color w:val="auto"/>
          <w:sz w:val="24"/>
          <w:highlight w:val="none"/>
        </w:rPr>
      </w:pPr>
      <w:r>
        <w:rPr>
          <w:rFonts w:hint="eastAsia" w:ascii="宋体" w:hAnsi="宋体" w:eastAsia="宋体" w:cs="宋体"/>
          <w:b/>
          <w:color w:val="auto"/>
          <w:sz w:val="24"/>
          <w:highlight w:val="none"/>
        </w:rPr>
        <w:t>三、无效投标条款</w:t>
      </w:r>
    </w:p>
    <w:p w14:paraId="0947C3F4">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3.1投标文件有下列情形之一的,其投标文件拒收:</w:t>
      </w:r>
    </w:p>
    <w:p w14:paraId="21352EE6">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 未在开标截止时间前通过网上招标投标系统递交有效电子投标文件的，开标系统不予接收，投标将被拒绝。</w:t>
      </w:r>
    </w:p>
    <w:p w14:paraId="1054FD6E">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(2)投标企业接到远程解密指令后，须在规定时间内解密。因投标人自身原因导致投标文件在规定时间内未能解密、解密失败或解密超时，投标文件无效；解密时间：从本项目解密程序开始时计时，至完成投标文件解密时间，不得超过60分钟，否则投标文件将被拒绝。</w:t>
      </w:r>
    </w:p>
    <w:p w14:paraId="278B3091">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3.2投标人有下列情形之一的,资格审查后其投标作无效投标处理：</w:t>
      </w:r>
    </w:p>
    <w:p w14:paraId="21D2E8B8">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(1)投标人为本项目提供招标代理服务的；</w:t>
      </w:r>
    </w:p>
    <w:p w14:paraId="33369D9B">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(2)投标人与在本项目代理机构存在相互任职或工作的；</w:t>
      </w:r>
    </w:p>
    <w:p w14:paraId="51491714">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w:t>
      </w:r>
      <w:r>
        <w:rPr>
          <w:rFonts w:hint="eastAsia" w:ascii="宋体" w:hAnsi="宋体" w:eastAsia="宋体" w:cs="宋体"/>
          <w:color w:val="auto"/>
          <w:kern w:val="0"/>
          <w:sz w:val="24"/>
          <w:szCs w:val="24"/>
          <w:highlight w:val="none"/>
          <w:lang w:bidi="ar"/>
        </w:rPr>
        <w:t>与采购人存在利害关系可能影响采购公正性的法人、其他组织或者个人；</w:t>
      </w:r>
    </w:p>
    <w:p w14:paraId="7C0736F3">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(4)招标公告写明专门面向中小企业采购，投标人提供的货物非中小企业制造的；</w:t>
      </w:r>
    </w:p>
    <w:p w14:paraId="3BD3FC91">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(5)要求供应商以联合体形式参加采购活动，投标人非联合体或者联合协议中中小企业合同金额未达到应当达到的比例；</w:t>
      </w:r>
    </w:p>
    <w:p w14:paraId="4E8D1CEB">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(6)要求获得采购合同的供应商向中小企业分包，投标人未提供分包意向协议或者分包意向协议中中小企业合同金额未达到应当达到的比例；</w:t>
      </w:r>
    </w:p>
    <w:p w14:paraId="169B3FD6">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(7)评标专家无法查看并检验电子投标文件中相关资料的；</w:t>
      </w:r>
    </w:p>
    <w:p w14:paraId="5CECADC3">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(8)联合体投标未提交联合体协议的；</w:t>
      </w:r>
    </w:p>
    <w:p w14:paraId="7ED2F471">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(9)责令停产停业的；</w:t>
      </w:r>
    </w:p>
    <w:p w14:paraId="7DF894C0">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(10)暂停或者取消参与政府采购项目资格的；</w:t>
      </w:r>
    </w:p>
    <w:p w14:paraId="446F73C6">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(11)投标人单位负责人为同一人或者存在直接控股、管理关系的不同单位的；</w:t>
      </w:r>
    </w:p>
    <w:p w14:paraId="02B94DAC">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(12)投标人基本资格条件和特定资格条件中有一项及以上不符合要求的；</w:t>
      </w:r>
    </w:p>
    <w:p w14:paraId="19E571B0">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(13)开标时查询投标文件制作机器码、文件创建标识码及造价软件加密锁号。若存在投标文件制作机器码或创建标识码或造价软件加密锁号信息与其他投标人雷同的，投标无效、进行信用信息披露，行政监管部门将依据线索依法查处；</w:t>
      </w:r>
    </w:p>
    <w:p w14:paraId="12473B3E">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(14)其它情形，经评标委员会委提出按无效投标处理，并经公共资源交易监督部门核准的；</w:t>
      </w:r>
    </w:p>
    <w:p w14:paraId="51B87CE2">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(15)投标人投标MAC地址一致，由评标委员会否决其投标；</w:t>
      </w:r>
    </w:p>
    <w:p w14:paraId="2D9BCF42">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(16)投标人单方面出现其他投标人材料的；</w:t>
      </w:r>
    </w:p>
    <w:p w14:paraId="4D6AD2B2">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(17)投标人联系人或联系电话相同的，由评标委员会否决其投标，并报告监管部门作不良行为处理和进一步调查；</w:t>
      </w:r>
    </w:p>
    <w:p w14:paraId="1621C797">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(18)招标公告未写明允许采购进口产品，投标人所投产品为进口产品的；</w:t>
      </w:r>
    </w:p>
    <w:p w14:paraId="28F2A5ED">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(19)招标文件规定的其它无效投标情形。</w:t>
      </w:r>
    </w:p>
    <w:p w14:paraId="7FD4462B">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3.3 投标人有下列情形之一的,符合性审查后其投标按无效投标处理：</w:t>
      </w:r>
    </w:p>
    <w:p w14:paraId="0D94CDFE">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(1)投标文件签字、盖章不全，经评标委员会一致认定对开评标内容有实质性影响并经公共资源交易监督部门核准的；</w:t>
      </w:r>
    </w:p>
    <w:p w14:paraId="20AF522E">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(2)未按规定的格式填写导致实质性内容不全以及实质上不响应，或者关键字迹模糊、无法辨认； 经公共资源交易监督部门核准的；</w:t>
      </w:r>
    </w:p>
    <w:p w14:paraId="00F07E70">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(3)同一投标人提交两个以上不同的投标文件或者投标报价，但招标文件规定提交备选方案的除外；</w:t>
      </w:r>
    </w:p>
    <w:p w14:paraId="252F4C5B">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(4)投标文件没有对招标文件的实质性要求和条件作出响应;</w:t>
      </w:r>
    </w:p>
    <w:p w14:paraId="22910558">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(5)投标报价超出规定的投标限价或公布的采购预算的或投标人的投标报价各项单价高于招标文件给定的单价最高限价；</w:t>
      </w:r>
    </w:p>
    <w:p w14:paraId="3086CE7C">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(6)不按评标委员会要求澄清、说明或补正的，或者评标委员会根据招标文件的规定对投标文件的计算错误进行修正后，投标人不接受修正的投标报价的。</w:t>
      </w:r>
    </w:p>
    <w:p w14:paraId="3EAC2E25">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(7)其它情形，经评标委员会委提出按无效投标处理，并经公共资源交易监督部门核准的；</w:t>
      </w:r>
    </w:p>
    <w:p w14:paraId="6E732162">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(8)投标文件含有采购人不能接受的附加条件的；</w:t>
      </w:r>
    </w:p>
    <w:p w14:paraId="51D4B053">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(9)招标文件规定的其它无效投标情形。</w:t>
      </w:r>
    </w:p>
    <w:p w14:paraId="677D4694">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3.4 投标人有下列情形之一的, 详细评审后其投标按无效投标处理：</w:t>
      </w:r>
    </w:p>
    <w:p w14:paraId="4C098138">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(1)投标产品不符合必须强制执行的国家标准的；</w:t>
      </w:r>
    </w:p>
    <w:p w14:paraId="23AF18F0">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(2)投标人有串通投标、弄虚作假、行贿等违法行为；</w:t>
      </w:r>
    </w:p>
    <w:p w14:paraId="0F5C6FA1">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(3)投标文件含有违反国家法律、法规的内容，或附有采购人不能接受的条件的；</w:t>
      </w:r>
    </w:p>
    <w:p w14:paraId="68332F0E">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(4)拒不确认评标委员会评审修正的投标无效；</w:t>
      </w:r>
    </w:p>
    <w:p w14:paraId="0EA11570">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宋体" w:hAnsi="宋体" w:eastAsia="宋体" w:cs="宋体"/>
          <w:color w:val="auto"/>
          <w:sz w:val="24"/>
          <w:highlight w:val="none"/>
        </w:rPr>
      </w:pPr>
      <w:r>
        <w:rPr>
          <w:rFonts w:hint="eastAsia" w:ascii="宋体" w:hAnsi="宋体" w:eastAsia="宋体" w:cs="宋体"/>
          <w:color w:val="auto"/>
          <w:sz w:val="24"/>
          <w:highlight w:val="none"/>
        </w:rPr>
        <w:t>(5)其它情形，经评标委员会委提出按无效投标处理，并经公共资源交易监督部门核准的；</w:t>
      </w:r>
    </w:p>
    <w:p w14:paraId="4B5BC3B6">
      <w:pPr>
        <w:keepNext w:val="0"/>
        <w:keepLines w:val="0"/>
        <w:pageBreakBefore w:val="0"/>
        <w:widowControl w:val="0"/>
        <w:kinsoku/>
        <w:wordWrap/>
        <w:overflowPunct/>
        <w:topLinePunct w:val="0"/>
        <w:autoSpaceDE/>
        <w:autoSpaceDN/>
        <w:bidi w:val="0"/>
        <w:adjustRightInd/>
        <w:snapToGrid/>
        <w:spacing w:line="520" w:lineRule="exact"/>
        <w:ind w:firstLine="437"/>
        <w:textAlignment w:val="auto"/>
        <w:rPr>
          <w:rFonts w:asciiTheme="minorEastAsia" w:hAnsiTheme="minorEastAsia" w:eastAsiaTheme="minorEastAsia"/>
          <w:color w:val="auto"/>
          <w:sz w:val="24"/>
          <w:highlight w:val="none"/>
        </w:rPr>
      </w:pPr>
      <w:r>
        <w:rPr>
          <w:rFonts w:hint="eastAsia" w:ascii="宋体" w:hAnsi="宋体" w:eastAsia="宋体" w:cs="宋体"/>
          <w:color w:val="auto"/>
          <w:sz w:val="24"/>
          <w:highlight w:val="none"/>
        </w:rPr>
        <w:t>(6)招标文件规定的其它无效投标情形。</w:t>
      </w:r>
      <w:r>
        <w:rPr>
          <w:rFonts w:asciiTheme="minorEastAsia" w:hAnsiTheme="minorEastAsia" w:eastAsiaTheme="minorEastAsia"/>
          <w:color w:val="auto"/>
          <w:sz w:val="24"/>
          <w:highlight w:val="none"/>
        </w:rPr>
        <w:br w:type="page"/>
      </w:r>
    </w:p>
    <w:p w14:paraId="3467FE52">
      <w:pPr>
        <w:spacing w:line="360" w:lineRule="auto"/>
        <w:jc w:val="center"/>
        <w:outlineLvl w:val="0"/>
        <w:rPr>
          <w:rFonts w:cs="Times New Roman" w:asciiTheme="minorEastAsia" w:hAnsiTheme="minorEastAsia" w:eastAsiaTheme="minorEastAsia"/>
          <w:b/>
          <w:color w:val="auto"/>
          <w:sz w:val="28"/>
          <w:szCs w:val="28"/>
          <w:highlight w:val="none"/>
        </w:rPr>
      </w:pPr>
      <w:bookmarkStart w:id="44" w:name="_Toc20405"/>
      <w:r>
        <w:rPr>
          <w:rFonts w:hint="eastAsia" w:asciiTheme="minorEastAsia" w:hAnsiTheme="minorEastAsia" w:eastAsiaTheme="minorEastAsia"/>
          <w:b/>
          <w:color w:val="auto"/>
          <w:sz w:val="28"/>
          <w:highlight w:val="none"/>
        </w:rPr>
        <w:t xml:space="preserve">第五章  </w:t>
      </w:r>
      <w:r>
        <w:rPr>
          <w:rFonts w:asciiTheme="minorEastAsia" w:hAnsiTheme="minorEastAsia" w:eastAsiaTheme="minorEastAsia"/>
          <w:b/>
          <w:color w:val="auto"/>
          <w:sz w:val="28"/>
          <w:highlight w:val="none"/>
        </w:rPr>
        <w:t>政府采购合同</w:t>
      </w:r>
      <w:bookmarkEnd w:id="44"/>
      <w:bookmarkStart w:id="45" w:name="_Toc331685784"/>
    </w:p>
    <w:p w14:paraId="01299DE6">
      <w:pPr>
        <w:spacing w:line="360" w:lineRule="auto"/>
        <w:jc w:val="center"/>
        <w:outlineLvl w:val="0"/>
        <w:rPr>
          <w:rFonts w:hint="eastAsia" w:ascii="仿宋" w:hAnsi="仿宋" w:eastAsia="仿宋" w:cs="仿宋"/>
          <w:b/>
          <w:color w:val="auto"/>
          <w:sz w:val="32"/>
          <w:szCs w:val="32"/>
          <w:highlight w:val="none"/>
          <w:lang w:eastAsia="zh-CN"/>
        </w:rPr>
      </w:pPr>
      <w:bookmarkStart w:id="46" w:name="bookmark3"/>
      <w:bookmarkStart w:id="47" w:name="bookmark5"/>
      <w:bookmarkStart w:id="48" w:name="bookmark4"/>
      <w:r>
        <w:rPr>
          <w:rFonts w:hint="default" w:ascii="仿宋" w:hAnsi="仿宋" w:eastAsia="仿宋" w:cs="仿宋"/>
          <w:b/>
          <w:color w:val="auto"/>
          <w:sz w:val="32"/>
          <w:szCs w:val="32"/>
          <w:highlight w:val="none"/>
          <w:lang w:val="en-US" w:eastAsia="zh-CN"/>
        </w:rPr>
        <w:t>安徽省凤阳县梅家庄-圣庙地区金</w:t>
      </w:r>
      <w:r>
        <w:rPr>
          <w:rFonts w:hint="eastAsia" w:ascii="仿宋" w:hAnsi="仿宋" w:eastAsia="仿宋" w:cs="仿宋"/>
          <w:b/>
          <w:color w:val="auto"/>
          <w:sz w:val="32"/>
          <w:szCs w:val="32"/>
          <w:highlight w:val="none"/>
          <w:lang w:val="en-US" w:eastAsia="zh-CN"/>
        </w:rPr>
        <w:t>钼</w:t>
      </w:r>
      <w:r>
        <w:rPr>
          <w:rFonts w:hint="default" w:ascii="仿宋" w:hAnsi="仿宋" w:eastAsia="仿宋" w:cs="仿宋"/>
          <w:b/>
          <w:color w:val="auto"/>
          <w:sz w:val="32"/>
          <w:szCs w:val="32"/>
          <w:highlight w:val="none"/>
          <w:lang w:val="en-US" w:eastAsia="zh-CN"/>
        </w:rPr>
        <w:t>多金属矿普查</w:t>
      </w:r>
      <w:r>
        <w:rPr>
          <w:rFonts w:hint="eastAsia" w:ascii="仿宋" w:hAnsi="仿宋" w:eastAsia="仿宋" w:cs="仿宋"/>
          <w:b/>
          <w:color w:val="auto"/>
          <w:sz w:val="32"/>
          <w:szCs w:val="32"/>
          <w:highlight w:val="none"/>
          <w:lang w:val="en-US" w:eastAsia="zh-CN"/>
        </w:rPr>
        <w:t>（续作）</w:t>
      </w:r>
      <w:r>
        <w:rPr>
          <w:rFonts w:hint="default" w:ascii="仿宋" w:hAnsi="仿宋" w:eastAsia="仿宋" w:cs="仿宋"/>
          <w:b/>
          <w:color w:val="auto"/>
          <w:sz w:val="32"/>
          <w:szCs w:val="32"/>
          <w:highlight w:val="none"/>
          <w:lang w:val="en-US" w:eastAsia="zh-CN"/>
        </w:rPr>
        <w:t>矿产地质钻探技术服务项目</w:t>
      </w:r>
      <w:r>
        <w:rPr>
          <w:rFonts w:hint="eastAsia" w:ascii="仿宋" w:hAnsi="仿宋" w:eastAsia="仿宋" w:cs="仿宋"/>
          <w:b/>
          <w:color w:val="auto"/>
          <w:sz w:val="32"/>
          <w:szCs w:val="32"/>
          <w:highlight w:val="none"/>
          <w:lang w:eastAsia="zh-CN"/>
        </w:rPr>
        <w:t>合同书</w:t>
      </w:r>
      <w:bookmarkEnd w:id="46"/>
      <w:bookmarkEnd w:id="47"/>
      <w:bookmarkEnd w:id="48"/>
    </w:p>
    <w:p w14:paraId="53CE9B69">
      <w:pPr>
        <w:spacing w:line="400" w:lineRule="exact"/>
        <w:jc w:val="center"/>
        <w:rPr>
          <w:rFonts w:hint="eastAsia" w:ascii="仿宋" w:hAnsi="仿宋" w:eastAsia="仿宋" w:cs="仿宋"/>
          <w:color w:val="auto"/>
          <w:sz w:val="32"/>
          <w:szCs w:val="32"/>
          <w:highlight w:val="none"/>
          <w:lang w:eastAsia="zh-CN"/>
        </w:rPr>
      </w:pPr>
    </w:p>
    <w:p w14:paraId="4035A252">
      <w:pPr>
        <w:pStyle w:val="68"/>
        <w:spacing w:after="120" w:line="400" w:lineRule="exact"/>
        <w:ind w:firstLine="0"/>
        <w:jc w:val="both"/>
        <w:outlineLvl w:val="0"/>
        <w:rPr>
          <w:rFonts w:hint="eastAsia" w:ascii="仿宋" w:hAnsi="仿宋" w:eastAsia="仿宋" w:cs="仿宋"/>
          <w:b w:val="0"/>
          <w:bCs w:val="0"/>
          <w:color w:val="auto"/>
          <w:sz w:val="28"/>
          <w:szCs w:val="28"/>
          <w:highlight w:val="none"/>
          <w:lang w:eastAsia="zh-CN"/>
        </w:rPr>
      </w:pPr>
      <w:bookmarkStart w:id="49" w:name="bookmark7"/>
      <w:bookmarkStart w:id="50" w:name="bookmark8"/>
      <w:bookmarkStart w:id="51" w:name="bookmark6"/>
      <w:r>
        <w:rPr>
          <w:rFonts w:hint="eastAsia" w:ascii="仿宋" w:hAnsi="仿宋" w:eastAsia="仿宋" w:cs="仿宋"/>
          <w:b w:val="0"/>
          <w:bCs w:val="0"/>
          <w:color w:val="auto"/>
          <w:sz w:val="28"/>
          <w:szCs w:val="28"/>
          <w:highlight w:val="none"/>
        </w:rPr>
        <w:t>甲方：</w:t>
      </w:r>
      <w:r>
        <w:rPr>
          <w:rFonts w:hint="eastAsia" w:ascii="仿宋" w:hAnsi="仿宋" w:eastAsia="仿宋" w:cs="仿宋"/>
          <w:b w:val="0"/>
          <w:bCs w:val="0"/>
          <w:color w:val="auto"/>
          <w:sz w:val="28"/>
          <w:szCs w:val="28"/>
          <w:highlight w:val="none"/>
          <w:u w:val="single" w:color="auto"/>
          <w:lang w:val="en-US" w:eastAsia="zh-CN"/>
        </w:rPr>
        <w:t xml:space="preserve"> 华东冶金地质勘查局八一一地质队 </w:t>
      </w:r>
      <w:r>
        <w:rPr>
          <w:rFonts w:hint="eastAsia" w:ascii="仿宋" w:hAnsi="仿宋" w:eastAsia="仿宋" w:cs="仿宋"/>
          <w:b w:val="0"/>
          <w:bCs w:val="0"/>
          <w:color w:val="auto"/>
          <w:sz w:val="28"/>
          <w:szCs w:val="28"/>
          <w:highlight w:val="none"/>
          <w:lang w:val="en-US" w:eastAsia="zh-CN"/>
        </w:rPr>
        <w:t xml:space="preserve"> </w:t>
      </w:r>
    </w:p>
    <w:p w14:paraId="6E19A74A">
      <w:pPr>
        <w:pStyle w:val="69"/>
        <w:widowControl/>
        <w:snapToGrid/>
        <w:spacing w:before="312" w:beforeAutospacing="1" w:after="312" w:afterAutospacing="1" w:line="400" w:lineRule="exact"/>
        <w:jc w:val="both"/>
        <w:textAlignment w:val="baseline"/>
        <w:rPr>
          <w:rFonts w:hint="eastAsia" w:ascii="仿宋" w:hAnsi="仿宋" w:eastAsia="仿宋" w:cs="仿宋"/>
          <w:b/>
          <w:bCs/>
          <w:color w:val="auto"/>
          <w:sz w:val="28"/>
          <w:szCs w:val="28"/>
          <w:highlight w:val="none"/>
          <w:lang w:eastAsia="zh-CN"/>
        </w:rPr>
      </w:pPr>
      <w:r>
        <w:rPr>
          <w:rFonts w:hint="eastAsia" w:ascii="仿宋" w:hAnsi="仿宋" w:eastAsia="仿宋" w:cs="仿宋"/>
          <w:b w:val="0"/>
          <w:bCs w:val="0"/>
          <w:color w:val="auto"/>
          <w:sz w:val="28"/>
          <w:szCs w:val="28"/>
          <w:highlight w:val="none"/>
        </w:rPr>
        <w:t>乙方：</w:t>
      </w:r>
      <w:bookmarkEnd w:id="49"/>
      <w:bookmarkEnd w:id="50"/>
      <w:bookmarkEnd w:id="51"/>
      <w:r>
        <w:rPr>
          <w:rFonts w:hint="eastAsia" w:ascii="仿宋" w:hAnsi="仿宋" w:eastAsia="仿宋" w:cs="仿宋"/>
          <w:b w:val="0"/>
          <w:bCs w:val="0"/>
          <w:color w:val="auto"/>
          <w:kern w:val="0"/>
          <w:sz w:val="28"/>
          <w:szCs w:val="28"/>
          <w:highlight w:val="none"/>
          <w:u w:val="single" w:color="auto"/>
          <w:lang w:val="en-US" w:eastAsia="zh-CN" w:bidi="ar-SA"/>
        </w:rPr>
        <w:t xml:space="preserve">                               </w:t>
      </w:r>
      <w:r>
        <w:rPr>
          <w:rFonts w:hint="eastAsia" w:ascii="仿宋" w:hAnsi="仿宋" w:eastAsia="仿宋" w:cs="仿宋"/>
          <w:b w:val="0"/>
          <w:bCs w:val="0"/>
          <w:color w:val="auto"/>
          <w:sz w:val="28"/>
          <w:szCs w:val="28"/>
          <w:highlight w:val="none"/>
          <w:u w:val="single" w:color="auto"/>
          <w:lang w:val="en-US" w:eastAsia="zh-CN"/>
        </w:rPr>
        <w:t xml:space="preserve"> </w:t>
      </w:r>
      <w:r>
        <w:rPr>
          <w:rFonts w:hint="eastAsia" w:ascii="仿宋" w:hAnsi="仿宋" w:eastAsia="仿宋" w:cs="仿宋"/>
          <w:b w:val="0"/>
          <w:bCs w:val="0"/>
          <w:color w:val="auto"/>
          <w:sz w:val="28"/>
          <w:szCs w:val="28"/>
          <w:highlight w:val="none"/>
          <w:lang w:val="en-US" w:eastAsia="zh-CN"/>
        </w:rPr>
        <w:t xml:space="preserve"> </w:t>
      </w:r>
    </w:p>
    <w:p w14:paraId="26CF95E4">
      <w:pPr>
        <w:keepNext w:val="0"/>
        <w:keepLines w:val="0"/>
        <w:pageBreakBefore w:val="0"/>
        <w:widowControl w:val="0"/>
        <w:kinsoku/>
        <w:wordWrap/>
        <w:overflowPunct/>
        <w:topLinePunct w:val="0"/>
        <w:autoSpaceDE/>
        <w:autoSpaceDN/>
        <w:bidi w:val="0"/>
        <w:adjustRightInd/>
        <w:snapToGrid/>
        <w:spacing w:line="540" w:lineRule="exact"/>
        <w:ind w:firstLine="560" w:firstLineChars="200"/>
        <w:jc w:val="both"/>
        <w:textAlignment w:val="auto"/>
        <w:outlineLvl w:val="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eastAsia="zh-CN"/>
        </w:rPr>
        <w:t>甲方</w:t>
      </w:r>
      <w:r>
        <w:rPr>
          <w:rFonts w:hint="eastAsia" w:ascii="仿宋" w:hAnsi="仿宋" w:eastAsia="仿宋" w:cs="仿宋"/>
          <w:color w:val="auto"/>
          <w:sz w:val="28"/>
          <w:szCs w:val="28"/>
          <w:highlight w:val="none"/>
          <w:u w:val="none" w:color="auto"/>
          <w:lang w:val="en-US" w:eastAsia="zh-CN"/>
        </w:rPr>
        <w:t>通过公开招标方式委托乙方承担</w:t>
      </w:r>
      <w:r>
        <w:rPr>
          <w:rFonts w:hint="default" w:ascii="仿宋" w:hAnsi="仿宋" w:eastAsia="仿宋" w:cs="仿宋"/>
          <w:color w:val="auto"/>
          <w:sz w:val="28"/>
          <w:szCs w:val="28"/>
          <w:highlight w:val="none"/>
          <w:u w:val="single" w:color="auto"/>
          <w:lang w:val="en-US" w:eastAsia="zh-CN"/>
        </w:rPr>
        <w:t>安徽省凤阳县梅家庄-圣庙地区金</w:t>
      </w:r>
      <w:r>
        <w:rPr>
          <w:rFonts w:hint="eastAsia" w:ascii="仿宋" w:hAnsi="仿宋" w:eastAsia="仿宋" w:cs="仿宋"/>
          <w:color w:val="auto"/>
          <w:sz w:val="28"/>
          <w:szCs w:val="28"/>
          <w:highlight w:val="none"/>
          <w:u w:val="single" w:color="auto"/>
          <w:lang w:val="en-US" w:eastAsia="zh-CN"/>
        </w:rPr>
        <w:t>钼</w:t>
      </w:r>
      <w:r>
        <w:rPr>
          <w:rFonts w:hint="default" w:ascii="仿宋" w:hAnsi="仿宋" w:eastAsia="仿宋" w:cs="仿宋"/>
          <w:color w:val="auto"/>
          <w:sz w:val="28"/>
          <w:szCs w:val="28"/>
          <w:highlight w:val="none"/>
          <w:u w:val="single" w:color="auto"/>
          <w:lang w:val="en-US" w:eastAsia="zh-CN"/>
        </w:rPr>
        <w:t>多金属矿普查</w:t>
      </w:r>
      <w:r>
        <w:rPr>
          <w:rFonts w:hint="eastAsia" w:ascii="仿宋" w:hAnsi="仿宋" w:eastAsia="仿宋" w:cs="仿宋"/>
          <w:color w:val="auto"/>
          <w:sz w:val="28"/>
          <w:szCs w:val="28"/>
          <w:highlight w:val="none"/>
          <w:u w:val="single" w:color="auto"/>
          <w:lang w:val="en-US" w:eastAsia="zh-CN"/>
        </w:rPr>
        <w:t>（续作）</w:t>
      </w:r>
      <w:r>
        <w:rPr>
          <w:rFonts w:hint="default" w:ascii="仿宋" w:hAnsi="仿宋" w:eastAsia="仿宋" w:cs="仿宋"/>
          <w:color w:val="auto"/>
          <w:sz w:val="28"/>
          <w:szCs w:val="28"/>
          <w:highlight w:val="none"/>
          <w:u w:val="single" w:color="auto"/>
          <w:lang w:val="en-US" w:eastAsia="zh-CN"/>
        </w:rPr>
        <w:t>矿产地质钻探技术服务项目</w:t>
      </w:r>
      <w:r>
        <w:rPr>
          <w:rFonts w:hint="eastAsia" w:ascii="仿宋" w:hAnsi="仿宋" w:eastAsia="仿宋" w:cs="仿宋"/>
          <w:color w:val="auto"/>
          <w:sz w:val="28"/>
          <w:szCs w:val="28"/>
          <w:highlight w:val="none"/>
          <w:u w:val="none" w:color="auto"/>
          <w:lang w:val="en-US" w:eastAsia="zh-CN"/>
        </w:rPr>
        <w:t>。根据</w:t>
      </w:r>
      <w:r>
        <w:rPr>
          <w:rFonts w:hint="eastAsia" w:ascii="仿宋" w:hAnsi="仿宋" w:eastAsia="仿宋" w:cs="仿宋"/>
          <w:color w:val="auto"/>
          <w:sz w:val="28"/>
          <w:szCs w:val="28"/>
          <w:highlight w:val="none"/>
        </w:rPr>
        <w:t>《中华人民共和国民法典》及有关</w:t>
      </w:r>
      <w:r>
        <w:rPr>
          <w:rFonts w:hint="eastAsia" w:ascii="仿宋" w:hAnsi="仿宋" w:eastAsia="仿宋" w:cs="仿宋"/>
          <w:color w:val="auto"/>
          <w:sz w:val="28"/>
          <w:szCs w:val="28"/>
          <w:highlight w:val="none"/>
          <w:lang w:eastAsia="zh-CN"/>
        </w:rPr>
        <w:t>法律</w:t>
      </w:r>
      <w:r>
        <w:rPr>
          <w:rFonts w:hint="eastAsia" w:ascii="仿宋" w:hAnsi="仿宋" w:eastAsia="仿宋" w:cs="仿宋"/>
          <w:color w:val="auto"/>
          <w:sz w:val="28"/>
          <w:szCs w:val="28"/>
          <w:highlight w:val="none"/>
        </w:rPr>
        <w:t>规定，结合本项目</w:t>
      </w:r>
      <w:r>
        <w:rPr>
          <w:rFonts w:hint="eastAsia" w:ascii="仿宋" w:hAnsi="仿宋" w:eastAsia="仿宋" w:cs="仿宋"/>
          <w:color w:val="auto"/>
          <w:sz w:val="28"/>
          <w:szCs w:val="28"/>
          <w:highlight w:val="none"/>
          <w:lang w:val="en-US" w:eastAsia="zh-CN"/>
        </w:rPr>
        <w:t>实际</w:t>
      </w:r>
      <w:r>
        <w:rPr>
          <w:rFonts w:hint="eastAsia" w:ascii="仿宋" w:hAnsi="仿宋" w:eastAsia="仿宋" w:cs="仿宋"/>
          <w:color w:val="auto"/>
          <w:sz w:val="28"/>
          <w:szCs w:val="28"/>
          <w:highlight w:val="none"/>
        </w:rPr>
        <w:t>情况，</w:t>
      </w:r>
      <w:r>
        <w:rPr>
          <w:rFonts w:hint="eastAsia" w:ascii="仿宋" w:hAnsi="仿宋" w:eastAsia="仿宋" w:cs="仿宋"/>
          <w:color w:val="auto"/>
          <w:sz w:val="28"/>
          <w:szCs w:val="28"/>
          <w:highlight w:val="none"/>
          <w:lang w:eastAsia="zh-CN"/>
        </w:rPr>
        <w:t>为</w:t>
      </w:r>
      <w:r>
        <w:rPr>
          <w:rFonts w:hint="eastAsia" w:ascii="仿宋" w:hAnsi="仿宋" w:eastAsia="仿宋" w:cs="仿宋"/>
          <w:color w:val="auto"/>
          <w:sz w:val="28"/>
          <w:szCs w:val="28"/>
          <w:highlight w:val="none"/>
          <w:lang w:val="en-US" w:eastAsia="zh-CN"/>
        </w:rPr>
        <w:t>明晰双方权责，保障</w:t>
      </w:r>
      <w:r>
        <w:rPr>
          <w:rFonts w:hint="eastAsia" w:ascii="仿宋" w:hAnsi="仿宋" w:eastAsia="仿宋" w:cs="仿宋"/>
          <w:color w:val="auto"/>
          <w:sz w:val="28"/>
          <w:szCs w:val="28"/>
          <w:highlight w:val="none"/>
          <w:lang w:eastAsia="zh-CN"/>
        </w:rPr>
        <w:t>项目按</w:t>
      </w:r>
      <w:r>
        <w:rPr>
          <w:rFonts w:hint="eastAsia" w:ascii="仿宋" w:hAnsi="仿宋" w:eastAsia="仿宋" w:cs="仿宋"/>
          <w:color w:val="auto"/>
          <w:sz w:val="28"/>
          <w:szCs w:val="28"/>
          <w:highlight w:val="none"/>
          <w:lang w:val="en-US" w:eastAsia="zh-CN"/>
        </w:rPr>
        <w:t>期实施</w:t>
      </w:r>
      <w:r>
        <w:rPr>
          <w:rFonts w:hint="eastAsia" w:ascii="仿宋" w:hAnsi="仿宋" w:eastAsia="仿宋" w:cs="仿宋"/>
          <w:color w:val="auto"/>
          <w:sz w:val="28"/>
          <w:szCs w:val="28"/>
          <w:highlight w:val="none"/>
          <w:lang w:eastAsia="zh-CN"/>
        </w:rPr>
        <w:t>、保质保量完成，</w:t>
      </w:r>
      <w:r>
        <w:rPr>
          <w:rFonts w:hint="eastAsia" w:ascii="仿宋" w:hAnsi="仿宋" w:eastAsia="仿宋" w:cs="仿宋"/>
          <w:color w:val="auto"/>
          <w:sz w:val="28"/>
          <w:szCs w:val="28"/>
          <w:highlight w:val="none"/>
        </w:rPr>
        <w:t>经双方</w:t>
      </w:r>
      <w:r>
        <w:rPr>
          <w:rFonts w:hint="eastAsia" w:ascii="仿宋" w:hAnsi="仿宋" w:eastAsia="仿宋" w:cs="仿宋"/>
          <w:color w:val="auto"/>
          <w:sz w:val="28"/>
          <w:szCs w:val="28"/>
          <w:highlight w:val="none"/>
          <w:lang w:val="en-US" w:eastAsia="zh-CN"/>
        </w:rPr>
        <w:t>平等</w:t>
      </w:r>
      <w:r>
        <w:rPr>
          <w:rFonts w:hint="eastAsia" w:ascii="仿宋" w:hAnsi="仿宋" w:eastAsia="仿宋" w:cs="仿宋"/>
          <w:color w:val="auto"/>
          <w:sz w:val="28"/>
          <w:szCs w:val="28"/>
          <w:highlight w:val="none"/>
        </w:rPr>
        <w:t>协商一致，签订本合同。</w:t>
      </w:r>
    </w:p>
    <w:p w14:paraId="56C3B0F0">
      <w:pPr>
        <w:pStyle w:val="68"/>
        <w:keepNext w:val="0"/>
        <w:keepLines w:val="0"/>
        <w:pageBreakBefore w:val="0"/>
        <w:widowControl w:val="0"/>
        <w:tabs>
          <w:tab w:val="left" w:pos="1031"/>
        </w:tabs>
        <w:kinsoku/>
        <w:wordWrap/>
        <w:overflowPunct/>
        <w:topLinePunct w:val="0"/>
        <w:autoSpaceDE/>
        <w:autoSpaceDN/>
        <w:bidi w:val="0"/>
        <w:adjustRightInd/>
        <w:snapToGrid/>
        <w:spacing w:before="0" w:after="0" w:line="540" w:lineRule="exact"/>
        <w:ind w:right="0" w:firstLine="520"/>
        <w:jc w:val="both"/>
        <w:textAlignment w:val="auto"/>
        <w:outlineLvl w:val="0"/>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eastAsia="zh-CN"/>
        </w:rPr>
        <w:t>第一条：工程概况</w:t>
      </w:r>
    </w:p>
    <w:p w14:paraId="3C0794E3">
      <w:pPr>
        <w:keepNext w:val="0"/>
        <w:keepLines w:val="0"/>
        <w:pageBreakBefore w:val="0"/>
        <w:widowControl w:val="0"/>
        <w:kinsoku/>
        <w:wordWrap/>
        <w:overflowPunct/>
        <w:topLinePunct w:val="0"/>
        <w:autoSpaceDE/>
        <w:autoSpaceDN/>
        <w:bidi w:val="0"/>
        <w:adjustRightInd/>
        <w:snapToGrid/>
        <w:spacing w:line="540" w:lineRule="exact"/>
        <w:ind w:firstLine="560"/>
        <w:jc w:val="both"/>
        <w:textAlignment w:val="auto"/>
        <w:outlineLvl w:val="0"/>
        <w:rPr>
          <w:rFonts w:hint="eastAsia" w:ascii="仿宋" w:hAnsi="仿宋" w:eastAsia="仿宋" w:cs="仿宋"/>
          <w:color w:val="auto"/>
          <w:sz w:val="28"/>
          <w:szCs w:val="28"/>
          <w:highlight w:val="none"/>
          <w:u w:val="none" w:color="auto"/>
          <w:lang w:val="en-US" w:eastAsia="zh-CN"/>
        </w:rPr>
      </w:pPr>
      <w:r>
        <w:rPr>
          <w:rFonts w:hint="eastAsia" w:ascii="仿宋" w:hAnsi="仿宋" w:eastAsia="仿宋" w:cs="仿宋"/>
          <w:color w:val="auto"/>
          <w:sz w:val="28"/>
          <w:szCs w:val="28"/>
          <w:highlight w:val="none"/>
          <w:u w:val="none" w:color="auto"/>
          <w:lang w:val="en-US" w:eastAsia="zh-CN" w:bidi="ar-SA"/>
        </w:rPr>
        <w:t>1.1工程名称：</w:t>
      </w:r>
      <w:r>
        <w:rPr>
          <w:rFonts w:hint="default" w:ascii="仿宋" w:hAnsi="仿宋" w:eastAsia="仿宋" w:cs="仿宋"/>
          <w:color w:val="auto"/>
          <w:sz w:val="28"/>
          <w:szCs w:val="28"/>
          <w:highlight w:val="none"/>
          <w:u w:val="none" w:color="auto"/>
          <w:lang w:val="en-US" w:eastAsia="zh-CN"/>
        </w:rPr>
        <w:t>安徽省凤阳县梅家庄-圣庙地区金</w:t>
      </w:r>
      <w:r>
        <w:rPr>
          <w:rFonts w:hint="eastAsia" w:ascii="仿宋" w:hAnsi="仿宋" w:eastAsia="仿宋" w:cs="仿宋"/>
          <w:color w:val="auto"/>
          <w:sz w:val="28"/>
          <w:szCs w:val="28"/>
          <w:highlight w:val="none"/>
          <w:u w:val="none" w:color="auto"/>
          <w:lang w:val="en-US" w:eastAsia="zh-CN"/>
        </w:rPr>
        <w:t>钼</w:t>
      </w:r>
      <w:r>
        <w:rPr>
          <w:rFonts w:hint="default" w:ascii="仿宋" w:hAnsi="仿宋" w:eastAsia="仿宋" w:cs="仿宋"/>
          <w:color w:val="auto"/>
          <w:sz w:val="28"/>
          <w:szCs w:val="28"/>
          <w:highlight w:val="none"/>
          <w:u w:val="none" w:color="auto"/>
          <w:lang w:val="en-US" w:eastAsia="zh-CN"/>
        </w:rPr>
        <w:t>多金属矿普查</w:t>
      </w:r>
      <w:r>
        <w:rPr>
          <w:rFonts w:hint="eastAsia" w:ascii="仿宋" w:hAnsi="仿宋" w:eastAsia="仿宋" w:cs="仿宋"/>
          <w:color w:val="auto"/>
          <w:sz w:val="28"/>
          <w:szCs w:val="28"/>
          <w:highlight w:val="none"/>
          <w:u w:val="none" w:color="auto"/>
          <w:lang w:val="en-US" w:eastAsia="zh-CN"/>
        </w:rPr>
        <w:t>（续作）</w:t>
      </w:r>
      <w:r>
        <w:rPr>
          <w:rFonts w:hint="default" w:ascii="仿宋" w:hAnsi="仿宋" w:eastAsia="仿宋" w:cs="仿宋"/>
          <w:color w:val="auto"/>
          <w:sz w:val="28"/>
          <w:szCs w:val="28"/>
          <w:highlight w:val="none"/>
          <w:u w:val="none" w:color="auto"/>
          <w:lang w:val="en-US" w:eastAsia="zh-CN"/>
        </w:rPr>
        <w:t>矿产地质钻探技术服务项目</w:t>
      </w:r>
    </w:p>
    <w:p w14:paraId="3E6781FA">
      <w:pPr>
        <w:pStyle w:val="68"/>
        <w:keepNext w:val="0"/>
        <w:keepLines w:val="0"/>
        <w:pageBreakBefore w:val="0"/>
        <w:widowControl w:val="0"/>
        <w:tabs>
          <w:tab w:val="left" w:pos="1031"/>
        </w:tabs>
        <w:kinsoku/>
        <w:wordWrap/>
        <w:overflowPunct/>
        <w:topLinePunct w:val="0"/>
        <w:autoSpaceDE/>
        <w:autoSpaceDN/>
        <w:bidi w:val="0"/>
        <w:adjustRightInd/>
        <w:snapToGrid/>
        <w:spacing w:before="0" w:after="0" w:line="540" w:lineRule="exact"/>
        <w:ind w:right="0" w:firstLine="520"/>
        <w:jc w:val="both"/>
        <w:textAlignment w:val="auto"/>
        <w:outlineLvl w:val="0"/>
        <w:rPr>
          <w:rFonts w:hint="eastAsia" w:ascii="仿宋" w:hAnsi="仿宋" w:eastAsia="仿宋" w:cs="仿宋"/>
          <w:color w:val="auto"/>
          <w:sz w:val="28"/>
          <w:szCs w:val="28"/>
          <w:highlight w:val="none"/>
          <w:u w:val="none" w:color="auto"/>
          <w:lang w:val="en-US" w:eastAsia="zh-CN"/>
        </w:rPr>
      </w:pPr>
      <w:r>
        <w:rPr>
          <w:rFonts w:hint="eastAsia" w:ascii="仿宋" w:hAnsi="仿宋" w:eastAsia="仿宋" w:cs="仿宋"/>
          <w:color w:val="auto"/>
          <w:sz w:val="28"/>
          <w:szCs w:val="28"/>
          <w:highlight w:val="none"/>
          <w:u w:val="none" w:color="auto"/>
          <w:lang w:val="en-US" w:eastAsia="zh-CN"/>
        </w:rPr>
        <w:t>1.2工程建设地点：滁州市凤阳县</w:t>
      </w:r>
    </w:p>
    <w:p w14:paraId="4506F2C1">
      <w:pPr>
        <w:pStyle w:val="68"/>
        <w:keepNext w:val="0"/>
        <w:keepLines w:val="0"/>
        <w:pageBreakBefore w:val="0"/>
        <w:widowControl w:val="0"/>
        <w:tabs>
          <w:tab w:val="left" w:pos="1031"/>
        </w:tabs>
        <w:kinsoku/>
        <w:wordWrap/>
        <w:overflowPunct/>
        <w:topLinePunct w:val="0"/>
        <w:autoSpaceDE/>
        <w:autoSpaceDN/>
        <w:bidi w:val="0"/>
        <w:adjustRightInd/>
        <w:snapToGrid/>
        <w:spacing w:before="0" w:after="0" w:line="540" w:lineRule="exact"/>
        <w:ind w:right="0" w:firstLine="520"/>
        <w:jc w:val="both"/>
        <w:textAlignment w:val="auto"/>
        <w:outlineLvl w:val="0"/>
        <w:rPr>
          <w:rFonts w:hint="eastAsia" w:ascii="仿宋" w:hAnsi="仿宋" w:eastAsia="仿宋" w:cs="仿宋"/>
          <w:color w:val="auto"/>
          <w:sz w:val="28"/>
          <w:szCs w:val="28"/>
          <w:highlight w:val="none"/>
          <w:u w:val="none" w:color="auto"/>
          <w:lang w:val="en-US" w:eastAsia="zh-CN"/>
        </w:rPr>
      </w:pPr>
      <w:r>
        <w:rPr>
          <w:rFonts w:hint="eastAsia" w:ascii="仿宋" w:hAnsi="仿宋" w:eastAsia="仿宋" w:cs="仿宋"/>
          <w:color w:val="auto"/>
          <w:sz w:val="28"/>
          <w:szCs w:val="28"/>
          <w:highlight w:val="none"/>
          <w:u w:val="none" w:color="auto"/>
          <w:lang w:val="en-US" w:eastAsia="zh-CN"/>
        </w:rPr>
        <w:t>1.3预计工作量：矿产地质钻探5200米/6孔，单孔设计孔深及倾角以甲方下达的开孔通知书为准。上述工作量为预计量，不构成甲方必须委托的最低工作量。甲方有权根据勘查进展、经费到位情况及地质认识变化，对钻孔数量、孔位、孔深及施工顺序进行调整，乙方应无条件配合，按实际完成的合格工作量结算，不得因此主张任何补偿、索赔或调整单价。</w:t>
      </w:r>
    </w:p>
    <w:p w14:paraId="646521CE">
      <w:pPr>
        <w:pStyle w:val="68"/>
        <w:keepNext w:val="0"/>
        <w:keepLines w:val="0"/>
        <w:pageBreakBefore w:val="0"/>
        <w:widowControl w:val="0"/>
        <w:tabs>
          <w:tab w:val="left" w:pos="1031"/>
        </w:tabs>
        <w:kinsoku/>
        <w:wordWrap/>
        <w:overflowPunct/>
        <w:topLinePunct w:val="0"/>
        <w:autoSpaceDE/>
        <w:autoSpaceDN/>
        <w:bidi w:val="0"/>
        <w:adjustRightInd/>
        <w:snapToGrid/>
        <w:spacing w:before="0" w:after="0" w:line="540" w:lineRule="exact"/>
        <w:ind w:right="0" w:firstLine="520"/>
        <w:jc w:val="both"/>
        <w:textAlignment w:val="auto"/>
        <w:outlineLvl w:val="0"/>
        <w:rPr>
          <w:rFonts w:hint="default" w:ascii="仿宋" w:hAnsi="仿宋" w:eastAsia="仿宋" w:cs="仿宋"/>
          <w:color w:val="auto"/>
          <w:sz w:val="28"/>
          <w:szCs w:val="28"/>
          <w:highlight w:val="none"/>
          <w:u w:val="none" w:color="auto"/>
          <w:lang w:val="en-US" w:eastAsia="zh-CN"/>
        </w:rPr>
      </w:pPr>
      <w:r>
        <w:rPr>
          <w:rFonts w:hint="eastAsia" w:ascii="仿宋" w:hAnsi="仿宋" w:eastAsia="仿宋" w:cs="仿宋"/>
          <w:color w:val="auto"/>
          <w:sz w:val="28"/>
          <w:szCs w:val="28"/>
          <w:highlight w:val="none"/>
          <w:u w:val="none" w:color="auto"/>
          <w:lang w:val="en-US" w:eastAsia="zh-CN"/>
        </w:rPr>
        <w:t>1.4合同文件组成及解释顺序：下列文件均为本合同组成部分，与本合同具有同等法律效力——本合同书；中标通知书；招标文件及其补遗书、答疑纪要；乙方投标文件及其澄清、承诺文件；经双方书面确认的技术交底、设计变更及会议纪要；《安全生产管理协议》《廉政合同》《法定代表人授权委托书》。上述文件内容不一致时，按前述排列顺序在先者优先解释；同一顺序内，以形成时间在后或对甲方保护更为有利的约定为准。</w:t>
      </w:r>
    </w:p>
    <w:p w14:paraId="7B4C24BC">
      <w:pPr>
        <w:pStyle w:val="68"/>
        <w:keepNext w:val="0"/>
        <w:keepLines w:val="0"/>
        <w:pageBreakBefore w:val="0"/>
        <w:widowControl w:val="0"/>
        <w:tabs>
          <w:tab w:val="left" w:pos="1031"/>
        </w:tabs>
        <w:kinsoku/>
        <w:wordWrap/>
        <w:overflowPunct/>
        <w:topLinePunct w:val="0"/>
        <w:autoSpaceDE/>
        <w:autoSpaceDN/>
        <w:bidi w:val="0"/>
        <w:adjustRightInd/>
        <w:snapToGrid/>
        <w:spacing w:before="0" w:after="0" w:line="540" w:lineRule="exact"/>
        <w:ind w:left="0" w:leftChars="0" w:right="0" w:firstLine="562" w:firstLineChars="200"/>
        <w:jc w:val="both"/>
        <w:textAlignment w:val="auto"/>
        <w:outlineLvl w:val="0"/>
        <w:rPr>
          <w:rFonts w:hint="eastAsia" w:ascii="仿宋" w:hAnsi="仿宋" w:eastAsia="仿宋" w:cs="仿宋"/>
          <w:b/>
          <w:bCs/>
          <w:color w:val="auto"/>
          <w:sz w:val="28"/>
          <w:szCs w:val="28"/>
          <w:highlight w:val="none"/>
        </w:rPr>
      </w:pPr>
      <w:bookmarkStart w:id="52" w:name="bookmark10"/>
      <w:r>
        <w:rPr>
          <w:rFonts w:hint="eastAsia" w:ascii="仿宋" w:hAnsi="仿宋" w:eastAsia="仿宋" w:cs="仿宋"/>
          <w:b/>
          <w:bCs/>
          <w:color w:val="auto"/>
          <w:sz w:val="28"/>
          <w:szCs w:val="28"/>
          <w:highlight w:val="none"/>
          <w:lang w:eastAsia="zh-CN"/>
        </w:rPr>
        <w:t>第二条：执行的技术标准和质量要求</w:t>
      </w:r>
    </w:p>
    <w:p w14:paraId="502C354E">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2.1</w:t>
      </w:r>
      <w:bookmarkEnd w:id="52"/>
      <w:bookmarkStart w:id="53" w:name="bookmark20"/>
      <w:r>
        <w:rPr>
          <w:rFonts w:hint="eastAsia" w:ascii="仿宋" w:hAnsi="仿宋" w:eastAsia="仿宋" w:cs="仿宋"/>
          <w:color w:val="auto"/>
          <w:sz w:val="28"/>
          <w:szCs w:val="28"/>
          <w:highlight w:val="none"/>
          <w:lang w:val="en-US" w:eastAsia="zh-CN" w:bidi="ar-SA"/>
        </w:rPr>
        <w:t>执行技术标准</w:t>
      </w:r>
    </w:p>
    <w:p w14:paraId="59E6A7C9">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ar-SA"/>
        </w:rPr>
        <w:t>按照《固体矿产勘查工作规范》（GB/T 33444-2016）、《地质岩心钻探规程》（DZ/T 0227-2010）、《地质勘查钻探岩矿心管理通则》及行业有关规范、标准执行</w:t>
      </w:r>
      <w:r>
        <w:rPr>
          <w:rFonts w:hint="eastAsia" w:ascii="仿宋" w:hAnsi="仿宋" w:eastAsia="仿宋" w:cs="仿宋"/>
          <w:color w:val="auto"/>
          <w:sz w:val="28"/>
          <w:szCs w:val="28"/>
          <w:highlight w:val="none"/>
        </w:rPr>
        <w:t>。</w:t>
      </w:r>
    </w:p>
    <w:p w14:paraId="7BF3C12C">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2.2</w:t>
      </w:r>
      <w:r>
        <w:rPr>
          <w:rFonts w:hint="eastAsia" w:ascii="仿宋" w:hAnsi="仿宋" w:eastAsia="仿宋" w:cs="仿宋"/>
          <w:color w:val="auto"/>
          <w:sz w:val="28"/>
          <w:szCs w:val="28"/>
          <w:highlight w:val="none"/>
          <w:u w:val="none" w:color="auto"/>
          <w:lang w:val="en-US" w:eastAsia="zh-CN"/>
        </w:rPr>
        <w:t>矿产地质钻探</w:t>
      </w:r>
      <w:r>
        <w:rPr>
          <w:rFonts w:hint="eastAsia" w:ascii="仿宋" w:hAnsi="仿宋" w:eastAsia="仿宋" w:cs="仿宋"/>
          <w:color w:val="auto"/>
          <w:sz w:val="28"/>
          <w:szCs w:val="28"/>
          <w:highlight w:val="none"/>
          <w:lang w:val="en-US" w:eastAsia="zh-CN"/>
        </w:rPr>
        <w:t>质量要求</w:t>
      </w:r>
    </w:p>
    <w:p w14:paraId="742E00ED">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bidi="ar-SA"/>
        </w:rPr>
      </w:pPr>
      <w:bookmarkStart w:id="54" w:name="bookmark11"/>
      <w:bookmarkEnd w:id="54"/>
      <w:bookmarkStart w:id="55" w:name="bookmark12"/>
      <w:bookmarkEnd w:id="55"/>
      <w:r>
        <w:rPr>
          <w:rFonts w:hint="eastAsia" w:ascii="仿宋" w:hAnsi="仿宋" w:eastAsia="仿宋" w:cs="仿宋"/>
          <w:color w:val="auto"/>
          <w:sz w:val="28"/>
          <w:szCs w:val="28"/>
          <w:highlight w:val="none"/>
          <w:lang w:val="en-US" w:eastAsia="zh-CN" w:bidi="ar-SA"/>
        </w:rPr>
        <w:t>2.2.1岩矿心采取率：矿体、矿化带不低于80%，矿体顶底板、重要标志层不低于75%，一般岩层不低于70%。</w:t>
      </w:r>
    </w:p>
    <w:p w14:paraId="42A07A8E">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bidi="ar-SA"/>
        </w:rPr>
      </w:pPr>
      <w:bookmarkStart w:id="56" w:name="bookmark13"/>
      <w:bookmarkEnd w:id="56"/>
      <w:r>
        <w:rPr>
          <w:rFonts w:hint="eastAsia" w:ascii="仿宋" w:hAnsi="仿宋" w:eastAsia="仿宋" w:cs="仿宋"/>
          <w:color w:val="auto"/>
          <w:sz w:val="28"/>
          <w:szCs w:val="28"/>
          <w:highlight w:val="none"/>
          <w:lang w:val="en-US" w:eastAsia="zh-CN" w:bidi="ar-SA"/>
        </w:rPr>
        <w:t>2.2.2钻孔弯曲度测量：开孔25米、直孔每钻进100米、斜孔每钻进50米及终孔后采用测斜仪测量一次钻孔顶角和方位角，矿体顶底板加测一次倾角和方位角，允许误差为每100米直孔不超过2度，斜孔不超过3°，方位角每100米不超过2°。</w:t>
      </w:r>
    </w:p>
    <w:p w14:paraId="0DEF9E3C">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2.2.3孔深验证：直孔每钻进100米、斜孔每钻进50米、下套管前、主矿体顶底板和终孔后，均需验证孔深。孔深校正最大允许误差为千分之一。超出允许误差时应及时校正孔深。</w:t>
      </w:r>
    </w:p>
    <w:p w14:paraId="13569BD0">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bidi="ar-SA"/>
        </w:rPr>
      </w:pPr>
      <w:bookmarkStart w:id="57" w:name="bookmark15"/>
      <w:bookmarkEnd w:id="57"/>
      <w:bookmarkStart w:id="58" w:name="bookmark14"/>
      <w:bookmarkEnd w:id="58"/>
      <w:bookmarkStart w:id="59" w:name="bookmark16"/>
      <w:bookmarkEnd w:id="59"/>
      <w:r>
        <w:rPr>
          <w:rFonts w:hint="eastAsia" w:ascii="仿宋" w:hAnsi="仿宋" w:eastAsia="仿宋" w:cs="仿宋"/>
          <w:color w:val="auto"/>
          <w:sz w:val="28"/>
          <w:szCs w:val="28"/>
          <w:highlight w:val="none"/>
          <w:lang w:val="en-US" w:eastAsia="zh-CN" w:bidi="ar-SA"/>
        </w:rPr>
        <w:t>2.2.4原始记录报表：原始记录报表由专人负责，记录须及时、准确、详细、整洁，认真填写，妥善保管；岩心牌内容应与报表相关内容一致，终孔后汇订成册，验收后移交甲方归档存查。</w:t>
      </w:r>
    </w:p>
    <w:p w14:paraId="6AAA31E0">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2.2.5封孔：钻孔施工完成后，严格按封孔设计要求进行全孔封孔，并在孔口中心位置设立水泥标志桩。</w:t>
      </w:r>
    </w:p>
    <w:p w14:paraId="5CB5F6E0">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bidi="ar-SA"/>
        </w:rPr>
      </w:pPr>
      <w:bookmarkStart w:id="60" w:name="bookmark18"/>
      <w:bookmarkEnd w:id="60"/>
      <w:r>
        <w:rPr>
          <w:rFonts w:hint="eastAsia" w:ascii="仿宋" w:hAnsi="仿宋" w:eastAsia="仿宋" w:cs="仿宋"/>
          <w:color w:val="auto"/>
          <w:sz w:val="28"/>
          <w:szCs w:val="28"/>
          <w:highlight w:val="none"/>
          <w:lang w:val="en-US" w:eastAsia="zh-CN" w:bidi="ar-SA"/>
        </w:rPr>
        <w:t>2.2.6岩矿心保管：岩心按顺序摆放，严防岩矿心次序混乱或倒置；长度大于5cm的岩心均须用油漆进行编号。施工过程中所取岩矿心由机长负责妥善保管，施工结束后移交项目组。</w:t>
      </w:r>
    </w:p>
    <w:p w14:paraId="7CB0CEDC">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bidi="ar-SA"/>
        </w:rPr>
      </w:pPr>
      <w:bookmarkStart w:id="61" w:name="bookmark19"/>
      <w:bookmarkEnd w:id="61"/>
      <w:r>
        <w:rPr>
          <w:rFonts w:hint="eastAsia" w:ascii="仿宋" w:hAnsi="仿宋" w:eastAsia="仿宋" w:cs="仿宋"/>
          <w:color w:val="auto"/>
          <w:sz w:val="28"/>
          <w:szCs w:val="28"/>
          <w:highlight w:val="none"/>
          <w:lang w:val="en-US" w:eastAsia="zh-CN" w:bidi="ar-SA"/>
        </w:rPr>
        <w:t>2.2.7简易水文观测：每台班至少观测水位1～2回次，终孔后测量24h静止水位每班必须有简易水文观测记录，观测内容一般包括孔内静止水位，冲洗液消耗量，涌水位置、涌水量及水头高度，漏失位置和漏失量等。</w:t>
      </w:r>
    </w:p>
    <w:p w14:paraId="03AEBCE4">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default"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2.2.8严格落实绿色勘查要求，施工结束后按要求完成封孔、场地恢复与复绿，并接受甲方及主管部门检查验收。</w:t>
      </w:r>
    </w:p>
    <w:p w14:paraId="6A1E6EB7">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2.2.9钻孔终孔时按本合同质量要求和有关规范、规程进行验收。</w:t>
      </w:r>
    </w:p>
    <w:bookmarkEnd w:id="53"/>
    <w:p w14:paraId="31DAF20F">
      <w:pPr>
        <w:keepNext w:val="0"/>
        <w:keepLines w:val="0"/>
        <w:pageBreakBefore w:val="0"/>
        <w:widowControl w:val="0"/>
        <w:kinsoku/>
        <w:wordWrap/>
        <w:overflowPunct/>
        <w:topLinePunct w:val="0"/>
        <w:autoSpaceDE/>
        <w:autoSpaceDN/>
        <w:bidi w:val="0"/>
        <w:adjustRightInd/>
        <w:snapToGrid/>
        <w:spacing w:before="0" w:after="0" w:line="540" w:lineRule="exact"/>
        <w:ind w:left="0" w:leftChars="0" w:right="0" w:firstLine="560" w:firstLineChars="200"/>
        <w:textAlignment w:val="auto"/>
        <w:rPr>
          <w:rFonts w:hint="default"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2.3质量责任期：自单孔验收合格之日起至本项目野外验收合格并完成资料汇交之日止。责任期内发现因乙方施工原因造成的质量问题（包括但不限于岩矿心采取率不足、孔斜或孔深超差、封孔不合格、原始记录缺失或失真）的，乙方应无偿返工处理并承担全部费用；无法返工的，甲方有权拒付该孔工程款、要求乙方退还已付款项并追究违约责任。</w:t>
      </w:r>
    </w:p>
    <w:p w14:paraId="4EBEBAD5">
      <w:pPr>
        <w:pStyle w:val="68"/>
        <w:keepNext w:val="0"/>
        <w:keepLines w:val="0"/>
        <w:pageBreakBefore w:val="0"/>
        <w:widowControl w:val="0"/>
        <w:tabs>
          <w:tab w:val="left" w:pos="1075"/>
        </w:tabs>
        <w:kinsoku/>
        <w:wordWrap/>
        <w:overflowPunct/>
        <w:topLinePunct w:val="0"/>
        <w:autoSpaceDE/>
        <w:autoSpaceDN/>
        <w:bidi w:val="0"/>
        <w:adjustRightInd/>
        <w:snapToGrid/>
        <w:spacing w:before="0" w:after="0" w:line="540" w:lineRule="exact"/>
        <w:ind w:left="0" w:leftChars="0" w:right="0" w:firstLine="562" w:firstLineChars="200"/>
        <w:textAlignment w:val="auto"/>
        <w:rPr>
          <w:rFonts w:hint="eastAsia" w:ascii="仿宋" w:hAnsi="仿宋" w:eastAsia="仿宋" w:cs="仿宋"/>
          <w:b/>
          <w:bCs/>
          <w:color w:val="auto"/>
          <w:sz w:val="28"/>
          <w:szCs w:val="28"/>
          <w:highlight w:val="none"/>
          <w:lang w:eastAsia="zh-CN"/>
        </w:rPr>
      </w:pPr>
      <w:r>
        <w:rPr>
          <w:rFonts w:hint="eastAsia" w:ascii="仿宋" w:hAnsi="仿宋" w:eastAsia="仿宋" w:cs="仿宋"/>
          <w:b/>
          <w:bCs/>
          <w:color w:val="auto"/>
          <w:sz w:val="28"/>
          <w:szCs w:val="28"/>
          <w:highlight w:val="none"/>
          <w:lang w:eastAsia="zh-CN"/>
        </w:rPr>
        <w:t>第三条：工期要求</w:t>
      </w:r>
    </w:p>
    <w:p w14:paraId="0ED80366">
      <w:pPr>
        <w:pStyle w:val="68"/>
        <w:keepNext w:val="0"/>
        <w:keepLines w:val="0"/>
        <w:pageBreakBefore w:val="0"/>
        <w:widowControl w:val="0"/>
        <w:tabs>
          <w:tab w:val="left" w:pos="1075"/>
        </w:tabs>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b w:val="0"/>
          <w:bCs w:val="0"/>
          <w:color w:val="auto"/>
          <w:sz w:val="28"/>
          <w:szCs w:val="28"/>
          <w:highlight w:val="none"/>
          <w:u w:val="none"/>
          <w:lang w:val="en-US" w:eastAsia="zh-CN"/>
        </w:rPr>
      </w:pPr>
      <w:bookmarkStart w:id="62" w:name="bookmark57"/>
      <w:r>
        <w:rPr>
          <w:rFonts w:hint="eastAsia" w:ascii="仿宋" w:hAnsi="仿宋" w:eastAsia="仿宋" w:cs="仿宋"/>
          <w:b w:val="0"/>
          <w:bCs w:val="0"/>
          <w:color w:val="auto"/>
          <w:sz w:val="28"/>
          <w:szCs w:val="28"/>
          <w:highlight w:val="none"/>
          <w:u w:val="none"/>
          <w:lang w:val="en-US" w:eastAsia="zh-CN"/>
        </w:rPr>
        <w:t>合同签订后，具体工作由甲方根据项目进度以书面形式（含电子邮件、传真）通知安排。自甲方书面通知进场之日起，单孔60个日历天内完成该孔设计工作量并通过甲方验收，同时提交符合要求的岩心、班报表及原始记录等资料。预计2028年4月前完成全部钻探工作量，全部工作量最迟不得晚于2028年4月30日完成。</w:t>
      </w:r>
    </w:p>
    <w:p w14:paraId="7AD28663">
      <w:pPr>
        <w:pStyle w:val="68"/>
        <w:keepNext w:val="0"/>
        <w:keepLines w:val="0"/>
        <w:pageBreakBefore w:val="0"/>
        <w:widowControl w:val="0"/>
        <w:tabs>
          <w:tab w:val="left" w:pos="1075"/>
        </w:tabs>
        <w:kinsoku/>
        <w:wordWrap/>
        <w:overflowPunct/>
        <w:topLinePunct w:val="0"/>
        <w:autoSpaceDE/>
        <w:autoSpaceDN/>
        <w:bidi w:val="0"/>
        <w:adjustRightInd/>
        <w:snapToGrid/>
        <w:spacing w:before="0" w:after="0" w:line="540" w:lineRule="exact"/>
        <w:ind w:left="0" w:leftChars="0" w:right="0" w:firstLine="560" w:firstLineChars="200"/>
        <w:textAlignment w:val="auto"/>
        <w:rPr>
          <w:rFonts w:hint="eastAsia" w:ascii="仿宋" w:hAnsi="仿宋" w:eastAsia="仿宋" w:cs="仿宋"/>
          <w:b w:val="0"/>
          <w:bCs w:val="0"/>
          <w:color w:val="auto"/>
          <w:kern w:val="2"/>
          <w:sz w:val="28"/>
          <w:szCs w:val="28"/>
          <w:highlight w:val="none"/>
          <w:u w:val="none"/>
          <w:lang w:val="en-US" w:eastAsia="zh-CN" w:bidi="ar-SA"/>
        </w:rPr>
      </w:pPr>
      <w:r>
        <w:rPr>
          <w:rFonts w:hint="eastAsia" w:ascii="仿宋" w:hAnsi="仿宋" w:eastAsia="仿宋" w:cs="仿宋"/>
          <w:b w:val="0"/>
          <w:bCs w:val="0"/>
          <w:color w:val="auto"/>
          <w:sz w:val="28"/>
          <w:szCs w:val="28"/>
          <w:highlight w:val="none"/>
          <w:u w:val="none"/>
          <w:lang w:val="en-US" w:eastAsia="zh-CN"/>
        </w:rPr>
        <w:t>因下列非乙方原因导致工期延误的，乙方应在原因发生后3日内书面报告甲方，经甲方书面确认后相应顺延工期；乙方逾期未报告或未取得甲方书面确认的，视为放弃顺延权利：（1）甲方未按约定提供孔位、开孔通知书等技术资料；（2）甲方书面要求变更孔位、孔深或暂停施工；（3）不可抗力。除上述情形外，工期一律不予顺延。甲方要求加快施工进度的，乙方应通过增加钻机、人员等方式予以配合，不得据此要求增加费用。</w:t>
      </w:r>
    </w:p>
    <w:p w14:paraId="73D4B41A">
      <w:pPr>
        <w:pStyle w:val="68"/>
        <w:keepNext w:val="0"/>
        <w:keepLines w:val="0"/>
        <w:pageBreakBefore w:val="0"/>
        <w:widowControl w:val="0"/>
        <w:tabs>
          <w:tab w:val="left" w:pos="1075"/>
        </w:tabs>
        <w:kinsoku/>
        <w:wordWrap/>
        <w:overflowPunct/>
        <w:topLinePunct w:val="0"/>
        <w:autoSpaceDE/>
        <w:autoSpaceDN/>
        <w:bidi w:val="0"/>
        <w:adjustRightInd/>
        <w:snapToGrid/>
        <w:spacing w:before="0" w:after="0" w:line="540" w:lineRule="exact"/>
        <w:ind w:left="0" w:leftChars="0" w:right="0" w:firstLine="562" w:firstLineChars="20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eastAsia="zh-CN"/>
        </w:rPr>
        <w:t>第四条：</w:t>
      </w:r>
      <w:bookmarkEnd w:id="62"/>
      <w:r>
        <w:rPr>
          <w:rFonts w:hint="eastAsia" w:ascii="仿宋" w:hAnsi="仿宋" w:eastAsia="仿宋" w:cs="仿宋"/>
          <w:b/>
          <w:bCs/>
          <w:color w:val="auto"/>
          <w:sz w:val="28"/>
          <w:szCs w:val="28"/>
          <w:highlight w:val="none"/>
          <w:lang w:val="en-US" w:eastAsia="zh-CN"/>
        </w:rPr>
        <w:t>项目费用及结算方式</w:t>
      </w:r>
    </w:p>
    <w:p w14:paraId="293E47F1">
      <w:pPr>
        <w:pStyle w:val="68"/>
        <w:keepNext w:val="0"/>
        <w:keepLines w:val="0"/>
        <w:pageBreakBefore w:val="0"/>
        <w:widowControl w:val="0"/>
        <w:tabs>
          <w:tab w:val="left" w:pos="914"/>
        </w:tabs>
        <w:kinsoku/>
        <w:wordWrap/>
        <w:overflowPunct/>
        <w:topLinePunct w:val="0"/>
        <w:autoSpaceDE/>
        <w:autoSpaceDN/>
        <w:bidi w:val="0"/>
        <w:adjustRightInd/>
        <w:snapToGrid/>
        <w:spacing w:before="0" w:line="540" w:lineRule="exact"/>
        <w:ind w:right="0" w:firstLine="500"/>
        <w:jc w:val="both"/>
        <w:textAlignment w:val="auto"/>
        <w:rPr>
          <w:rFonts w:hint="eastAsia" w:ascii="仿宋" w:hAnsi="仿宋" w:eastAsia="仿宋" w:cs="仿宋"/>
          <w:color w:val="auto"/>
          <w:sz w:val="28"/>
          <w:szCs w:val="28"/>
          <w:highlight w:val="none"/>
          <w:lang w:val="en-US" w:eastAsia="zh-CN" w:bidi="ar-SA"/>
        </w:rPr>
      </w:pPr>
      <w:bookmarkStart w:id="63" w:name="bookmark58"/>
      <w:r>
        <w:rPr>
          <w:rFonts w:hint="eastAsia" w:ascii="仿宋" w:hAnsi="仿宋" w:eastAsia="仿宋" w:cs="仿宋"/>
          <w:color w:val="auto"/>
          <w:sz w:val="28"/>
          <w:szCs w:val="28"/>
          <w:highlight w:val="none"/>
          <w:lang w:val="en-US" w:eastAsia="zh-CN" w:bidi="ar-SA"/>
        </w:rPr>
        <w:t>4.1项目费用：</w:t>
      </w:r>
    </w:p>
    <w:p w14:paraId="7A3161E4">
      <w:pPr>
        <w:pStyle w:val="68"/>
        <w:keepNext w:val="0"/>
        <w:keepLines w:val="0"/>
        <w:pageBreakBefore w:val="0"/>
        <w:widowControl w:val="0"/>
        <w:tabs>
          <w:tab w:val="left" w:pos="914"/>
        </w:tabs>
        <w:kinsoku/>
        <w:wordWrap/>
        <w:overflowPunct/>
        <w:topLinePunct w:val="0"/>
        <w:autoSpaceDE/>
        <w:autoSpaceDN/>
        <w:bidi w:val="0"/>
        <w:adjustRightInd/>
        <w:snapToGrid/>
        <w:spacing w:before="0" w:line="540" w:lineRule="exact"/>
        <w:ind w:right="0" w:firstLine="5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最终结算价以实际完成工作量(米数）乘以对应综合单价进行计算，各钻探工程单价见下表。</w:t>
      </w:r>
    </w:p>
    <w:p w14:paraId="776B67A8">
      <w:pPr>
        <w:pStyle w:val="68"/>
        <w:keepNext w:val="0"/>
        <w:keepLines w:val="0"/>
        <w:pageBreakBefore w:val="0"/>
        <w:widowControl w:val="0"/>
        <w:tabs>
          <w:tab w:val="left" w:pos="914"/>
        </w:tabs>
        <w:kinsoku/>
        <w:wordWrap/>
        <w:overflowPunct/>
        <w:topLinePunct w:val="0"/>
        <w:autoSpaceDE/>
        <w:autoSpaceDN/>
        <w:bidi w:val="0"/>
        <w:adjustRightInd/>
        <w:snapToGrid/>
        <w:spacing w:before="0" w:line="540" w:lineRule="exact"/>
        <w:ind w:right="0" w:firstLine="5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上述综合单价为含税全费用综合单价，已包含完成相应工作量所需的人工、材料、设备及设备进出场与搬迁、水电、泥浆及废浆处理、道路修筑与维护、场地平整与恢复、安全文明施工、劳动保护、保险、岩矿心运输及装卸、原始资料整理、管理费、利润、税金及政策性规定应计取的全部费用（青苗及地上附着物补偿由甲方负责）。除本合同另有约定或经甲方书面确认的设计变更外，乙方不得以任何理由另行主张费用。乙方应按国家规定适用税率开具增值税专用发票；因税收政策调整导致税率变化的，不含税价不变，税额及价税合计相应调整。</w:t>
      </w:r>
    </w:p>
    <w:p w14:paraId="511FA423">
      <w:pPr>
        <w:pStyle w:val="68"/>
        <w:keepNext w:val="0"/>
        <w:keepLines w:val="0"/>
        <w:pageBreakBefore w:val="0"/>
        <w:widowControl w:val="0"/>
        <w:tabs>
          <w:tab w:val="left" w:pos="914"/>
        </w:tabs>
        <w:kinsoku/>
        <w:wordWrap/>
        <w:overflowPunct/>
        <w:topLinePunct w:val="0"/>
        <w:autoSpaceDE/>
        <w:autoSpaceDN/>
        <w:bidi w:val="0"/>
        <w:adjustRightInd/>
        <w:snapToGrid/>
        <w:spacing w:before="0" w:line="540" w:lineRule="exact"/>
        <w:ind w:right="0" w:firstLine="500"/>
        <w:jc w:val="center"/>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钻探单价表</w:t>
      </w:r>
    </w:p>
    <w:tbl>
      <w:tblPr>
        <w:tblStyle w:val="22"/>
        <w:tblW w:w="49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900"/>
        <w:gridCol w:w="1045"/>
        <w:gridCol w:w="1062"/>
        <w:gridCol w:w="1655"/>
        <w:gridCol w:w="1732"/>
        <w:gridCol w:w="1353"/>
      </w:tblGrid>
      <w:tr w14:paraId="1DB9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noWrap w:val="0"/>
            <w:vAlign w:val="center"/>
          </w:tcPr>
          <w:p w14:paraId="04698F4F">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color w:val="auto"/>
                <w:kern w:val="2"/>
                <w:sz w:val="24"/>
                <w:szCs w:val="24"/>
                <w:highlight w:val="none"/>
                <w:u w:val="none"/>
                <w:vertAlign w:val="baseline"/>
                <w:lang w:val="en-US" w:eastAsia="zh-CN" w:bidi="ar-SA"/>
              </w:rPr>
            </w:pPr>
            <w:r>
              <w:rPr>
                <w:rFonts w:hint="eastAsia" w:ascii="仿宋" w:hAnsi="仿宋" w:eastAsia="仿宋" w:cs="仿宋"/>
                <w:b/>
                <w:bCs/>
                <w:color w:val="auto"/>
                <w:kern w:val="2"/>
                <w:sz w:val="24"/>
                <w:szCs w:val="24"/>
                <w:highlight w:val="none"/>
                <w:u w:val="none"/>
                <w:vertAlign w:val="baseline"/>
                <w:lang w:val="en-US" w:eastAsia="zh-CN" w:bidi="ar-SA"/>
              </w:rPr>
              <w:t>序号</w:t>
            </w:r>
          </w:p>
        </w:tc>
        <w:tc>
          <w:tcPr>
            <w:tcW w:w="528" w:type="pct"/>
            <w:noWrap w:val="0"/>
            <w:vAlign w:val="center"/>
          </w:tcPr>
          <w:p w14:paraId="3791C7EB">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color w:val="auto"/>
                <w:kern w:val="2"/>
                <w:sz w:val="24"/>
                <w:szCs w:val="24"/>
                <w:highlight w:val="none"/>
                <w:u w:val="none"/>
                <w:vertAlign w:val="baseline"/>
                <w:lang w:val="en-US" w:eastAsia="zh-CN" w:bidi="ar-SA"/>
              </w:rPr>
            </w:pPr>
            <w:r>
              <w:rPr>
                <w:rFonts w:hint="eastAsia" w:ascii="仿宋" w:hAnsi="仿宋" w:eastAsia="仿宋" w:cs="仿宋"/>
                <w:b/>
                <w:bCs/>
                <w:color w:val="auto"/>
                <w:kern w:val="2"/>
                <w:sz w:val="24"/>
                <w:szCs w:val="24"/>
                <w:highlight w:val="none"/>
                <w:u w:val="none"/>
                <w:vertAlign w:val="baseline"/>
                <w:lang w:val="en-US" w:eastAsia="zh-CN" w:bidi="ar-SA"/>
              </w:rPr>
              <w:t>工作项目</w:t>
            </w:r>
          </w:p>
        </w:tc>
        <w:tc>
          <w:tcPr>
            <w:tcW w:w="613" w:type="pct"/>
            <w:noWrap w:val="0"/>
            <w:vAlign w:val="center"/>
          </w:tcPr>
          <w:p w14:paraId="7EF0A9BE">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color w:val="auto"/>
                <w:kern w:val="2"/>
                <w:sz w:val="24"/>
                <w:szCs w:val="24"/>
                <w:highlight w:val="none"/>
                <w:u w:val="none"/>
                <w:vertAlign w:val="baseline"/>
                <w:lang w:val="en-US" w:eastAsia="zh-CN" w:bidi="ar-SA"/>
              </w:rPr>
            </w:pPr>
            <w:r>
              <w:rPr>
                <w:rFonts w:hint="eastAsia" w:ascii="仿宋" w:hAnsi="仿宋" w:eastAsia="仿宋" w:cs="仿宋"/>
                <w:b/>
                <w:bCs/>
                <w:color w:val="auto"/>
                <w:kern w:val="2"/>
                <w:sz w:val="24"/>
                <w:szCs w:val="24"/>
                <w:highlight w:val="none"/>
                <w:u w:val="none"/>
                <w:vertAlign w:val="baseline"/>
                <w:lang w:val="en-US" w:eastAsia="zh-CN" w:bidi="ar-SA"/>
              </w:rPr>
              <w:t>岩石</w:t>
            </w:r>
          </w:p>
          <w:p w14:paraId="0203D048">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color w:val="auto"/>
                <w:kern w:val="2"/>
                <w:sz w:val="24"/>
                <w:szCs w:val="24"/>
                <w:highlight w:val="none"/>
                <w:u w:val="none"/>
                <w:vertAlign w:val="baseline"/>
                <w:lang w:val="en-US" w:eastAsia="zh-CN" w:bidi="ar-SA"/>
              </w:rPr>
            </w:pPr>
            <w:r>
              <w:rPr>
                <w:rFonts w:hint="eastAsia" w:ascii="仿宋" w:hAnsi="仿宋" w:eastAsia="仿宋" w:cs="仿宋"/>
                <w:b/>
                <w:bCs/>
                <w:color w:val="auto"/>
                <w:kern w:val="2"/>
                <w:sz w:val="24"/>
                <w:szCs w:val="24"/>
                <w:highlight w:val="none"/>
                <w:u w:val="none"/>
                <w:vertAlign w:val="baseline"/>
                <w:lang w:val="en-US" w:eastAsia="zh-CN" w:bidi="ar-SA"/>
              </w:rPr>
              <w:t>级别</w:t>
            </w:r>
          </w:p>
        </w:tc>
        <w:tc>
          <w:tcPr>
            <w:tcW w:w="623" w:type="pct"/>
            <w:noWrap w:val="0"/>
            <w:vAlign w:val="center"/>
          </w:tcPr>
          <w:p w14:paraId="2AE59A0E">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color w:val="auto"/>
                <w:kern w:val="2"/>
                <w:sz w:val="24"/>
                <w:szCs w:val="24"/>
                <w:highlight w:val="none"/>
                <w:u w:val="none"/>
                <w:vertAlign w:val="baseline"/>
                <w:lang w:val="en-US" w:eastAsia="zh-CN" w:bidi="ar-SA"/>
              </w:rPr>
            </w:pPr>
            <w:r>
              <w:rPr>
                <w:rFonts w:hint="eastAsia" w:ascii="仿宋" w:hAnsi="仿宋" w:eastAsia="仿宋" w:cs="仿宋"/>
                <w:b/>
                <w:bCs/>
                <w:color w:val="auto"/>
                <w:kern w:val="2"/>
                <w:sz w:val="24"/>
                <w:szCs w:val="24"/>
                <w:highlight w:val="none"/>
                <w:u w:val="none"/>
                <w:vertAlign w:val="baseline"/>
                <w:lang w:val="en-US" w:eastAsia="zh-CN" w:bidi="ar-SA"/>
              </w:rPr>
              <w:t>倾角(°)</w:t>
            </w:r>
          </w:p>
        </w:tc>
        <w:tc>
          <w:tcPr>
            <w:tcW w:w="971" w:type="pct"/>
            <w:noWrap w:val="0"/>
            <w:vAlign w:val="center"/>
          </w:tcPr>
          <w:p w14:paraId="6CC4C39B">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color w:val="auto"/>
                <w:kern w:val="2"/>
                <w:sz w:val="24"/>
                <w:szCs w:val="24"/>
                <w:highlight w:val="none"/>
                <w:u w:val="none"/>
                <w:vertAlign w:val="baseline"/>
                <w:lang w:val="en-US" w:eastAsia="zh-CN" w:bidi="ar-SA"/>
              </w:rPr>
            </w:pPr>
            <w:r>
              <w:rPr>
                <w:rFonts w:hint="eastAsia" w:ascii="仿宋" w:hAnsi="仿宋" w:eastAsia="仿宋" w:cs="仿宋"/>
                <w:b/>
                <w:bCs/>
                <w:color w:val="auto"/>
                <w:kern w:val="2"/>
                <w:sz w:val="24"/>
                <w:szCs w:val="24"/>
                <w:highlight w:val="none"/>
                <w:u w:val="none"/>
                <w:vertAlign w:val="baseline"/>
                <w:lang w:val="en-US" w:eastAsia="zh-CN" w:bidi="ar-SA"/>
              </w:rPr>
              <w:t>孔深(米)</w:t>
            </w:r>
          </w:p>
        </w:tc>
        <w:tc>
          <w:tcPr>
            <w:tcW w:w="1016" w:type="pct"/>
            <w:noWrap w:val="0"/>
            <w:vAlign w:val="center"/>
          </w:tcPr>
          <w:p w14:paraId="4ABAC5EA">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color w:val="auto"/>
                <w:kern w:val="2"/>
                <w:sz w:val="24"/>
                <w:szCs w:val="24"/>
                <w:highlight w:val="none"/>
                <w:u w:val="none"/>
                <w:vertAlign w:val="baseline"/>
                <w:lang w:val="en-US" w:eastAsia="zh-CN" w:bidi="ar-SA"/>
              </w:rPr>
            </w:pPr>
            <w:r>
              <w:rPr>
                <w:rFonts w:hint="eastAsia" w:ascii="仿宋" w:hAnsi="仿宋" w:eastAsia="仿宋" w:cs="仿宋"/>
                <w:b/>
                <w:bCs/>
                <w:color w:val="auto"/>
                <w:kern w:val="2"/>
                <w:sz w:val="24"/>
                <w:szCs w:val="24"/>
                <w:highlight w:val="none"/>
                <w:u w:val="none"/>
                <w:vertAlign w:val="baseline"/>
                <w:lang w:val="en-US" w:eastAsia="zh-CN" w:bidi="ar-SA"/>
              </w:rPr>
              <w:t>综合单价</w:t>
            </w:r>
          </w:p>
          <w:p w14:paraId="2430A660">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color w:val="auto"/>
                <w:kern w:val="2"/>
                <w:sz w:val="24"/>
                <w:szCs w:val="24"/>
                <w:highlight w:val="none"/>
                <w:u w:val="none"/>
                <w:vertAlign w:val="baseline"/>
                <w:lang w:val="en-US" w:eastAsia="zh-CN" w:bidi="ar-SA"/>
              </w:rPr>
            </w:pPr>
            <w:r>
              <w:rPr>
                <w:rFonts w:hint="eastAsia" w:ascii="仿宋" w:hAnsi="仿宋" w:eastAsia="仿宋" w:cs="仿宋"/>
                <w:b/>
                <w:bCs/>
                <w:color w:val="auto"/>
                <w:kern w:val="2"/>
                <w:sz w:val="24"/>
                <w:szCs w:val="24"/>
                <w:highlight w:val="none"/>
                <w:u w:val="none"/>
                <w:vertAlign w:val="baseline"/>
                <w:lang w:val="en-US" w:eastAsia="zh-CN" w:bidi="ar-SA"/>
              </w:rPr>
              <w:t>（元/米）</w:t>
            </w:r>
          </w:p>
        </w:tc>
        <w:tc>
          <w:tcPr>
            <w:tcW w:w="794" w:type="pct"/>
            <w:noWrap w:val="0"/>
            <w:vAlign w:val="center"/>
          </w:tcPr>
          <w:p w14:paraId="734AC6C7">
            <w:pPr>
              <w:pStyle w:val="2"/>
              <w:keepNext w:val="0"/>
              <w:keepLines w:val="0"/>
              <w:pageBreakBefore w:val="0"/>
              <w:widowControl w:val="0"/>
              <w:kinsoku/>
              <w:wordWrap/>
              <w:overflowPunct/>
              <w:topLinePunct w:val="0"/>
              <w:autoSpaceDE/>
              <w:autoSpaceDN/>
              <w:bidi w:val="0"/>
              <w:adjustRightInd/>
              <w:snapToGrid/>
              <w:spacing w:line="360" w:lineRule="exact"/>
              <w:ind w:firstLine="0" w:firstLineChars="0"/>
              <w:jc w:val="center"/>
              <w:textAlignment w:val="auto"/>
              <w:rPr>
                <w:rFonts w:hint="eastAsia" w:ascii="仿宋" w:hAnsi="仿宋" w:eastAsia="仿宋" w:cs="仿宋"/>
                <w:b/>
                <w:bCs/>
                <w:color w:val="auto"/>
                <w:kern w:val="2"/>
                <w:sz w:val="24"/>
                <w:szCs w:val="24"/>
                <w:highlight w:val="none"/>
                <w:u w:val="none"/>
                <w:vertAlign w:val="baseline"/>
                <w:lang w:val="en-US" w:eastAsia="zh-CN" w:bidi="ar-SA"/>
              </w:rPr>
            </w:pPr>
            <w:r>
              <w:rPr>
                <w:rFonts w:hint="eastAsia" w:ascii="仿宋" w:hAnsi="仿宋" w:eastAsia="仿宋" w:cs="仿宋"/>
                <w:b/>
                <w:bCs/>
                <w:color w:val="auto"/>
                <w:kern w:val="2"/>
                <w:sz w:val="24"/>
                <w:szCs w:val="24"/>
                <w:highlight w:val="none"/>
                <w:u w:val="none"/>
                <w:vertAlign w:val="baseline"/>
                <w:lang w:val="en-US" w:eastAsia="zh-CN" w:bidi="ar-SA"/>
              </w:rPr>
              <w:t>小计（元）</w:t>
            </w:r>
          </w:p>
        </w:tc>
      </w:tr>
      <w:tr w14:paraId="66BA78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noWrap w:val="0"/>
            <w:vAlign w:val="center"/>
          </w:tcPr>
          <w:p w14:paraId="26DE9000">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vertAlign w:val="baseline"/>
                <w:lang w:val="en-US" w:eastAsia="zh-CN" w:bidi="ar-SA"/>
              </w:rPr>
              <w:t>1</w:t>
            </w:r>
          </w:p>
        </w:tc>
        <w:tc>
          <w:tcPr>
            <w:tcW w:w="528" w:type="pct"/>
            <w:noWrap w:val="0"/>
            <w:vAlign w:val="center"/>
          </w:tcPr>
          <w:p w14:paraId="0BD6E705">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vertAlign w:val="baseline"/>
                <w:lang w:val="en-US" w:eastAsia="zh-CN" w:bidi="ar-SA"/>
              </w:rPr>
              <w:t>钻探</w:t>
            </w:r>
          </w:p>
        </w:tc>
        <w:tc>
          <w:tcPr>
            <w:tcW w:w="613" w:type="pct"/>
            <w:noWrap w:val="0"/>
            <w:vAlign w:val="center"/>
          </w:tcPr>
          <w:p w14:paraId="2CBF4B34">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lang w:val="en-US" w:eastAsia="zh-CN" w:bidi="ar-SA"/>
              </w:rPr>
              <w:t>Ⅶ</w:t>
            </w:r>
          </w:p>
        </w:tc>
        <w:tc>
          <w:tcPr>
            <w:tcW w:w="623" w:type="pct"/>
            <w:noWrap w:val="0"/>
            <w:vAlign w:val="center"/>
          </w:tcPr>
          <w:p w14:paraId="5698D7AE">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vertAlign w:val="baseline"/>
                <w:lang w:val="en-US" w:eastAsia="zh-CN" w:bidi="ar-SA"/>
              </w:rPr>
              <w:t>90</w:t>
            </w:r>
          </w:p>
        </w:tc>
        <w:tc>
          <w:tcPr>
            <w:tcW w:w="971" w:type="pct"/>
            <w:noWrap w:val="0"/>
            <w:vAlign w:val="center"/>
          </w:tcPr>
          <w:p w14:paraId="352285F3">
            <w:pPr>
              <w:pStyle w:val="2"/>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8"/>
                <w:szCs w:val="28"/>
                <w:highlight w:val="none"/>
                <w:u w:val="none"/>
                <w:vertAlign w:val="baseline"/>
                <w:lang w:val="en-US" w:eastAsia="zh-CN" w:bidi="ar-SA"/>
              </w:rPr>
              <w:t>0-800</w:t>
            </w:r>
          </w:p>
        </w:tc>
        <w:tc>
          <w:tcPr>
            <w:tcW w:w="1016" w:type="pct"/>
            <w:noWrap w:val="0"/>
            <w:vAlign w:val="center"/>
          </w:tcPr>
          <w:p w14:paraId="5CBE4C46">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p>
        </w:tc>
        <w:tc>
          <w:tcPr>
            <w:tcW w:w="794" w:type="pct"/>
            <w:noWrap w:val="0"/>
            <w:vAlign w:val="center"/>
          </w:tcPr>
          <w:p w14:paraId="4D6E21FD">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p>
        </w:tc>
      </w:tr>
      <w:tr w14:paraId="3E6C7E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noWrap w:val="0"/>
            <w:vAlign w:val="center"/>
          </w:tcPr>
          <w:p w14:paraId="07057F6A">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vertAlign w:val="baseline"/>
                <w:lang w:val="en-US" w:eastAsia="zh-CN" w:bidi="ar-SA"/>
              </w:rPr>
              <w:t>2</w:t>
            </w:r>
          </w:p>
        </w:tc>
        <w:tc>
          <w:tcPr>
            <w:tcW w:w="528" w:type="pct"/>
            <w:noWrap w:val="0"/>
            <w:vAlign w:val="center"/>
          </w:tcPr>
          <w:p w14:paraId="33487BC5">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vertAlign w:val="baseline"/>
                <w:lang w:val="en-US" w:eastAsia="zh-CN" w:bidi="ar-SA"/>
              </w:rPr>
              <w:t>钻探</w:t>
            </w:r>
          </w:p>
        </w:tc>
        <w:tc>
          <w:tcPr>
            <w:tcW w:w="613" w:type="pct"/>
            <w:noWrap w:val="0"/>
            <w:vAlign w:val="center"/>
          </w:tcPr>
          <w:p w14:paraId="25572558">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lang w:val="en-US" w:eastAsia="zh-CN" w:bidi="ar-SA"/>
              </w:rPr>
              <w:t>Ⅶ</w:t>
            </w:r>
          </w:p>
        </w:tc>
        <w:tc>
          <w:tcPr>
            <w:tcW w:w="623" w:type="pct"/>
            <w:noWrap w:val="0"/>
            <w:vAlign w:val="center"/>
          </w:tcPr>
          <w:p w14:paraId="234B7631">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default"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vertAlign w:val="baseline"/>
                <w:lang w:val="en-US" w:eastAsia="zh-CN" w:bidi="ar-SA"/>
              </w:rPr>
              <w:t>90</w:t>
            </w:r>
          </w:p>
        </w:tc>
        <w:tc>
          <w:tcPr>
            <w:tcW w:w="971" w:type="pct"/>
            <w:noWrap w:val="0"/>
            <w:vAlign w:val="center"/>
          </w:tcPr>
          <w:p w14:paraId="5DB508F9">
            <w:pPr>
              <w:pStyle w:val="2"/>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8"/>
                <w:szCs w:val="28"/>
                <w:highlight w:val="none"/>
                <w:u w:val="none"/>
                <w:vertAlign w:val="baseline"/>
                <w:lang w:val="en-US" w:eastAsia="zh-CN" w:bidi="ar-SA"/>
              </w:rPr>
              <w:t>0-900</w:t>
            </w:r>
          </w:p>
        </w:tc>
        <w:tc>
          <w:tcPr>
            <w:tcW w:w="1016" w:type="pct"/>
            <w:noWrap w:val="0"/>
            <w:vAlign w:val="center"/>
          </w:tcPr>
          <w:p w14:paraId="234CE6C8">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p>
        </w:tc>
        <w:tc>
          <w:tcPr>
            <w:tcW w:w="794" w:type="pct"/>
            <w:noWrap w:val="0"/>
            <w:vAlign w:val="center"/>
          </w:tcPr>
          <w:p w14:paraId="5A0B5EE6">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p>
        </w:tc>
      </w:tr>
      <w:tr w14:paraId="7F595F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52" w:type="pct"/>
            <w:noWrap w:val="0"/>
            <w:vAlign w:val="center"/>
          </w:tcPr>
          <w:p w14:paraId="07EC1A24">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vertAlign w:val="baseline"/>
                <w:lang w:val="en-US" w:eastAsia="zh-CN" w:bidi="ar-SA"/>
              </w:rPr>
              <w:t>3</w:t>
            </w:r>
          </w:p>
        </w:tc>
        <w:tc>
          <w:tcPr>
            <w:tcW w:w="528" w:type="pct"/>
            <w:noWrap w:val="0"/>
            <w:vAlign w:val="center"/>
          </w:tcPr>
          <w:p w14:paraId="36796CBD">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vertAlign w:val="baseline"/>
                <w:lang w:val="en-US" w:eastAsia="zh-CN" w:bidi="ar-SA"/>
              </w:rPr>
              <w:t>钻探</w:t>
            </w:r>
          </w:p>
        </w:tc>
        <w:tc>
          <w:tcPr>
            <w:tcW w:w="613" w:type="pct"/>
            <w:noWrap w:val="0"/>
            <w:vAlign w:val="center"/>
          </w:tcPr>
          <w:p w14:paraId="59F5BCC3">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lang w:val="en-US" w:eastAsia="zh-CN" w:bidi="ar-SA"/>
              </w:rPr>
            </w:pPr>
            <w:r>
              <w:rPr>
                <w:rFonts w:hint="eastAsia" w:ascii="仿宋" w:hAnsi="仿宋" w:eastAsia="仿宋" w:cs="仿宋"/>
                <w:b w:val="0"/>
                <w:bCs w:val="0"/>
                <w:color w:val="auto"/>
                <w:kern w:val="2"/>
                <w:sz w:val="24"/>
                <w:szCs w:val="24"/>
                <w:highlight w:val="none"/>
                <w:u w:val="none"/>
                <w:lang w:val="en-US" w:eastAsia="zh-CN" w:bidi="ar-SA"/>
              </w:rPr>
              <w:t>Ⅶ</w:t>
            </w:r>
          </w:p>
        </w:tc>
        <w:tc>
          <w:tcPr>
            <w:tcW w:w="623" w:type="pct"/>
            <w:noWrap w:val="0"/>
            <w:vAlign w:val="center"/>
          </w:tcPr>
          <w:p w14:paraId="23C36317">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4"/>
                <w:szCs w:val="24"/>
                <w:highlight w:val="none"/>
                <w:u w:val="none"/>
                <w:vertAlign w:val="baseline"/>
                <w:lang w:val="en-US" w:eastAsia="zh-CN" w:bidi="ar-SA"/>
              </w:rPr>
              <w:t>90</w:t>
            </w:r>
          </w:p>
        </w:tc>
        <w:tc>
          <w:tcPr>
            <w:tcW w:w="971" w:type="pct"/>
            <w:noWrap w:val="0"/>
            <w:vAlign w:val="center"/>
          </w:tcPr>
          <w:p w14:paraId="5B3D3A2B">
            <w:pPr>
              <w:pStyle w:val="2"/>
              <w:keepNext w:val="0"/>
              <w:keepLines w:val="0"/>
              <w:pageBreakBefore w:val="0"/>
              <w:widowControl w:val="0"/>
              <w:kinsoku/>
              <w:wordWrap/>
              <w:overflowPunct/>
              <w:topLinePunct w:val="0"/>
              <w:autoSpaceDE/>
              <w:autoSpaceDN/>
              <w:bidi w:val="0"/>
              <w:adjustRightInd/>
              <w:snapToGrid/>
              <w:spacing w:line="48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r>
              <w:rPr>
                <w:rFonts w:hint="eastAsia" w:ascii="仿宋" w:hAnsi="仿宋" w:eastAsia="仿宋" w:cs="仿宋"/>
                <w:b w:val="0"/>
                <w:bCs w:val="0"/>
                <w:color w:val="auto"/>
                <w:kern w:val="2"/>
                <w:sz w:val="28"/>
                <w:szCs w:val="28"/>
                <w:highlight w:val="none"/>
                <w:u w:val="none"/>
                <w:vertAlign w:val="baseline"/>
                <w:lang w:val="en-US" w:eastAsia="zh-CN" w:bidi="ar-SA"/>
              </w:rPr>
              <w:t>0-1000</w:t>
            </w:r>
          </w:p>
        </w:tc>
        <w:tc>
          <w:tcPr>
            <w:tcW w:w="1016" w:type="pct"/>
            <w:noWrap w:val="0"/>
            <w:vAlign w:val="center"/>
          </w:tcPr>
          <w:p w14:paraId="3EF7B0B9">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p>
        </w:tc>
        <w:tc>
          <w:tcPr>
            <w:tcW w:w="794" w:type="pct"/>
            <w:noWrap w:val="0"/>
            <w:vAlign w:val="center"/>
          </w:tcPr>
          <w:p w14:paraId="066594B0">
            <w:pPr>
              <w:pStyle w:val="2"/>
              <w:keepNext w:val="0"/>
              <w:keepLines w:val="0"/>
              <w:pageBreakBefore w:val="0"/>
              <w:widowControl w:val="0"/>
              <w:kinsoku/>
              <w:wordWrap/>
              <w:overflowPunct/>
              <w:topLinePunct w:val="0"/>
              <w:autoSpaceDE/>
              <w:autoSpaceDN/>
              <w:bidi w:val="0"/>
              <w:adjustRightInd/>
              <w:snapToGrid/>
              <w:spacing w:line="500" w:lineRule="exact"/>
              <w:ind w:firstLine="0" w:firstLineChars="0"/>
              <w:jc w:val="center"/>
              <w:textAlignment w:val="auto"/>
              <w:rPr>
                <w:rFonts w:hint="eastAsia" w:ascii="仿宋" w:hAnsi="仿宋" w:eastAsia="仿宋" w:cs="仿宋"/>
                <w:b w:val="0"/>
                <w:bCs w:val="0"/>
                <w:color w:val="auto"/>
                <w:kern w:val="2"/>
                <w:sz w:val="24"/>
                <w:szCs w:val="24"/>
                <w:highlight w:val="none"/>
                <w:u w:val="none"/>
                <w:vertAlign w:val="baseline"/>
                <w:lang w:val="en-US" w:eastAsia="zh-CN" w:bidi="ar-SA"/>
              </w:rPr>
            </w:pPr>
          </w:p>
        </w:tc>
      </w:tr>
    </w:tbl>
    <w:p w14:paraId="01A76B7C">
      <w:pPr>
        <w:pStyle w:val="68"/>
        <w:keepNext w:val="0"/>
        <w:keepLines w:val="0"/>
        <w:pageBreakBefore w:val="0"/>
        <w:widowControl w:val="0"/>
        <w:tabs>
          <w:tab w:val="left" w:pos="914"/>
        </w:tabs>
        <w:kinsoku/>
        <w:wordWrap/>
        <w:overflowPunct/>
        <w:topLinePunct w:val="0"/>
        <w:autoSpaceDE/>
        <w:autoSpaceDN/>
        <w:bidi w:val="0"/>
        <w:adjustRightInd/>
        <w:snapToGrid/>
        <w:spacing w:before="0" w:line="540" w:lineRule="exact"/>
        <w:ind w:right="0" w:firstLine="5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注：鉴于勘查区地下地质条件存在不确定性，钻探实施过程中如遇矿化蚀变体等情况需加深钻进的，0-1100米、0-1200米深度钻探工作量统一按0-1000米深度单价进行结算，乙方不得另行主张加深、加价等费用。</w:t>
      </w:r>
    </w:p>
    <w:p w14:paraId="6EF6D83C">
      <w:pPr>
        <w:pStyle w:val="68"/>
        <w:keepNext w:val="0"/>
        <w:keepLines w:val="0"/>
        <w:pageBreakBefore w:val="0"/>
        <w:widowControl w:val="0"/>
        <w:tabs>
          <w:tab w:val="left" w:pos="914"/>
        </w:tabs>
        <w:kinsoku/>
        <w:wordWrap/>
        <w:overflowPunct/>
        <w:topLinePunct w:val="0"/>
        <w:autoSpaceDE/>
        <w:autoSpaceDN/>
        <w:bidi w:val="0"/>
        <w:adjustRightInd/>
        <w:snapToGrid/>
        <w:spacing w:before="0" w:line="540" w:lineRule="exact"/>
        <w:ind w:right="0" w:firstLine="500"/>
        <w:jc w:val="both"/>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4.1.1 合同暂定总价按中标单价与预计工作量计算确定（各孔深区间分别适用对应中标单价），仅作为违约金及变更审批的计算基数，不作为结算依据；最终结算以经双方确认的实际完成合格工作量乘以合同单价为准。</w:t>
      </w:r>
    </w:p>
    <w:p w14:paraId="3A3611B5">
      <w:pPr>
        <w:pStyle w:val="68"/>
        <w:keepNext w:val="0"/>
        <w:keepLines w:val="0"/>
        <w:pageBreakBefore w:val="0"/>
        <w:widowControl w:val="0"/>
        <w:tabs>
          <w:tab w:val="left" w:pos="914"/>
        </w:tabs>
        <w:kinsoku/>
        <w:wordWrap/>
        <w:overflowPunct/>
        <w:topLinePunct w:val="0"/>
        <w:autoSpaceDE/>
        <w:autoSpaceDN/>
        <w:bidi w:val="0"/>
        <w:adjustRightInd/>
        <w:snapToGrid/>
        <w:spacing w:before="0" w:line="540" w:lineRule="exact"/>
        <w:ind w:right="0" w:firstLine="500"/>
        <w:jc w:val="both"/>
        <w:textAlignment w:val="auto"/>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lang w:val="en-US" w:eastAsia="zh-CN"/>
        </w:rPr>
        <w:t>4.2 结算方式</w:t>
      </w:r>
    </w:p>
    <w:bookmarkEnd w:id="63"/>
    <w:p w14:paraId="4F7B4610">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每个单孔开孔前，甲方在收到乙方提供的等额增值税专用发票后，支付该孔设计孔深×对应中标单价的40%作为本孔预付款，预付款在该孔最终结算价款中全额抵扣。乙方未按期进场、擅自停工或撤场的，甲方有权暂停支付后续预付款，并要求乙方返还已支付尚未抵扣的预付款。</w:t>
      </w:r>
    </w:p>
    <w:p w14:paraId="0031F401">
      <w:pPr>
        <w:pStyle w:val="68"/>
        <w:keepNext w:val="0"/>
        <w:keepLines w:val="0"/>
        <w:pageBreakBefore w:val="0"/>
        <w:widowControl w:val="0"/>
        <w:tabs>
          <w:tab w:val="left" w:pos="1075"/>
        </w:tabs>
        <w:kinsoku/>
        <w:wordWrap/>
        <w:overflowPunct/>
        <w:topLinePunct w:val="0"/>
        <w:autoSpaceDE/>
        <w:autoSpaceDN/>
        <w:bidi w:val="0"/>
        <w:adjustRightInd/>
        <w:snapToGrid/>
        <w:spacing w:line="540" w:lineRule="exact"/>
        <w:ind w:firstLine="56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本项目最终结算工作量以甲方统筹安排、现场验收合格且经双方共同确认的实际完成工作量为准，结算价款按经确认的实际完成工作量及合同约定单价计取。待甲方项目经费到账，乙方提交双方共同签字确认的工作量结算单，并按结算净额（扣除对应单孔已付预付款）开具等额增值税专用发票后，甲方在收到完整结算资料且审核无误后支付剩余款项。乙方提交的结算资料不完整、不准确或未按甲方要求补正的，付款期限自补正完成之日起重新计算，因乙方原因造成的付款延迟甲方不承担逾期责任。甲方对结算资料的审核确认，不构成对乙方施工质量、工期违约责任及甲方其他权利的放弃。</w:t>
      </w:r>
    </w:p>
    <w:p w14:paraId="116DA92C">
      <w:pPr>
        <w:pStyle w:val="68"/>
        <w:keepNext w:val="0"/>
        <w:keepLines w:val="0"/>
        <w:pageBreakBefore w:val="0"/>
        <w:widowControl w:val="0"/>
        <w:tabs>
          <w:tab w:val="left" w:pos="1075"/>
        </w:tabs>
        <w:kinsoku/>
        <w:wordWrap/>
        <w:overflowPunct/>
        <w:topLinePunct w:val="0"/>
        <w:autoSpaceDE/>
        <w:autoSpaceDN/>
        <w:bidi w:val="0"/>
        <w:adjustRightInd/>
        <w:snapToGrid/>
        <w:spacing w:line="540" w:lineRule="exact"/>
        <w:ind w:firstLine="56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eastAsia="zh-CN"/>
        </w:rPr>
        <w:t>第五条：</w:t>
      </w:r>
      <w:r>
        <w:rPr>
          <w:rFonts w:hint="eastAsia" w:ascii="仿宋" w:hAnsi="仿宋" w:eastAsia="仿宋" w:cs="仿宋"/>
          <w:b/>
          <w:bCs/>
          <w:color w:val="auto"/>
          <w:sz w:val="28"/>
          <w:szCs w:val="28"/>
          <w:highlight w:val="none"/>
          <w:lang w:val="en-US" w:eastAsia="zh-CN"/>
        </w:rPr>
        <w:t>甲方责任</w:t>
      </w:r>
    </w:p>
    <w:p w14:paraId="1A31B5B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bookmarkStart w:id="64" w:name="bookmark24"/>
      <w:r>
        <w:rPr>
          <w:rFonts w:hint="eastAsia" w:ascii="仿宋" w:hAnsi="仿宋" w:eastAsia="仿宋" w:cs="仿宋"/>
          <w:color w:val="auto"/>
          <w:kern w:val="2"/>
          <w:sz w:val="28"/>
          <w:szCs w:val="28"/>
          <w:highlight w:val="none"/>
          <w:lang w:val="en-US" w:eastAsia="zh-CN" w:bidi="ar-SA"/>
        </w:rPr>
        <w:t>5.1钻探实施期间，甲方负责现场协调、青苗及地上附着物补偿、施工用地手续办理及绿色勘查配套设施保障工作，协助乙方处理施工中的地方关系。场地平整、道路修筑及维护、设备搬迁等辅助工作由乙方负责，相关费用已包含在综合单价内。</w:t>
      </w:r>
    </w:p>
    <w:p w14:paraId="053CD52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5.2及时提供施工钻孔位置、开孔通知书、预想柱状图等相关技术资料并负责现场的地质编录。上述资料以书面或电子邮件方式提供，乙方签收即视为送达。</w:t>
      </w:r>
    </w:p>
    <w:p w14:paraId="42A2D4BE">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5.3甲方有权对乙方施工进度、质量进行监督、检查；按照行业有关规范、标准组织人员对钻探工程进行验收。</w:t>
      </w:r>
    </w:p>
    <w:p w14:paraId="12CB5D2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5.4甲方根据“</w:t>
      </w:r>
      <w:r>
        <w:rPr>
          <w:rFonts w:hint="default" w:ascii="仿宋" w:hAnsi="仿宋" w:eastAsia="仿宋" w:cs="仿宋"/>
          <w:color w:val="auto"/>
          <w:kern w:val="2"/>
          <w:sz w:val="28"/>
          <w:szCs w:val="28"/>
          <w:highlight w:val="none"/>
          <w:lang w:val="en-US" w:eastAsia="zh-CN" w:bidi="ar-SA"/>
        </w:rPr>
        <w:t>安徽省凤阳县梅家庄-圣庙地区金</w:t>
      </w:r>
      <w:r>
        <w:rPr>
          <w:rFonts w:hint="eastAsia" w:ascii="仿宋" w:hAnsi="仿宋" w:eastAsia="仿宋" w:cs="仿宋"/>
          <w:color w:val="auto"/>
          <w:kern w:val="2"/>
          <w:sz w:val="28"/>
          <w:szCs w:val="28"/>
          <w:highlight w:val="none"/>
          <w:lang w:val="en-US" w:eastAsia="zh-CN" w:bidi="ar-SA"/>
        </w:rPr>
        <w:t>钼</w:t>
      </w:r>
      <w:r>
        <w:rPr>
          <w:rFonts w:hint="default" w:ascii="仿宋" w:hAnsi="仿宋" w:eastAsia="仿宋" w:cs="仿宋"/>
          <w:color w:val="auto"/>
          <w:kern w:val="2"/>
          <w:sz w:val="28"/>
          <w:szCs w:val="28"/>
          <w:highlight w:val="none"/>
          <w:lang w:val="en-US" w:eastAsia="zh-CN" w:bidi="ar-SA"/>
        </w:rPr>
        <w:t>多金属矿普查</w:t>
      </w:r>
      <w:r>
        <w:rPr>
          <w:rFonts w:hint="eastAsia" w:ascii="仿宋" w:hAnsi="仿宋" w:eastAsia="仿宋" w:cs="仿宋"/>
          <w:color w:val="auto"/>
          <w:kern w:val="2"/>
          <w:sz w:val="28"/>
          <w:szCs w:val="28"/>
          <w:highlight w:val="none"/>
          <w:lang w:val="en-US" w:eastAsia="zh-CN" w:bidi="ar-SA"/>
        </w:rPr>
        <w:t>（续作）”</w:t>
      </w:r>
      <w:r>
        <w:rPr>
          <w:rFonts w:hint="default" w:ascii="仿宋" w:hAnsi="仿宋" w:eastAsia="仿宋" w:cs="仿宋"/>
          <w:color w:val="auto"/>
          <w:kern w:val="2"/>
          <w:sz w:val="28"/>
          <w:szCs w:val="28"/>
          <w:highlight w:val="none"/>
          <w:lang w:val="en-US" w:eastAsia="zh-CN" w:bidi="ar-SA"/>
        </w:rPr>
        <w:t>矿产地质钻探</w:t>
      </w:r>
      <w:r>
        <w:rPr>
          <w:rFonts w:hint="eastAsia" w:ascii="仿宋" w:hAnsi="仿宋" w:eastAsia="仿宋" w:cs="仿宋"/>
          <w:color w:val="auto"/>
          <w:kern w:val="2"/>
          <w:sz w:val="28"/>
          <w:szCs w:val="28"/>
          <w:highlight w:val="none"/>
          <w:lang w:val="en-US" w:eastAsia="zh-CN" w:bidi="ar-SA"/>
        </w:rPr>
        <w:t>工程情况，有权对工作量进行调整，乙方应无条件配合；因调整增加的工程量按合同单价结算，减少的工程量甲方不承担任何补偿或赔偿责任。</w:t>
      </w:r>
      <w:bookmarkEnd w:id="64"/>
    </w:p>
    <w:p w14:paraId="5B928A8D">
      <w:pPr>
        <w:pStyle w:val="68"/>
        <w:keepNext w:val="0"/>
        <w:keepLines w:val="0"/>
        <w:pageBreakBefore w:val="0"/>
        <w:widowControl w:val="0"/>
        <w:tabs>
          <w:tab w:val="left" w:pos="1075"/>
        </w:tabs>
        <w:kinsoku/>
        <w:wordWrap/>
        <w:overflowPunct/>
        <w:topLinePunct w:val="0"/>
        <w:autoSpaceDE/>
        <w:autoSpaceDN/>
        <w:bidi w:val="0"/>
        <w:adjustRightInd/>
        <w:snapToGrid/>
        <w:spacing w:line="540" w:lineRule="exact"/>
        <w:ind w:firstLine="56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5.5 甲方有权对乙方进场人员、设备的数量、型号、性能及持证情况进行检查，不符合合同约定或施工要求的，甲方有权要求乙方限期更换、补充或整改；乙方拒不整改的，甲方有权暂停支付工程款、责令停工直至解除合同。</w:t>
      </w:r>
    </w:p>
    <w:p w14:paraId="0176FA9B">
      <w:pPr>
        <w:pStyle w:val="68"/>
        <w:keepNext w:val="0"/>
        <w:keepLines w:val="0"/>
        <w:pageBreakBefore w:val="0"/>
        <w:widowControl w:val="0"/>
        <w:tabs>
          <w:tab w:val="left" w:pos="1075"/>
        </w:tabs>
        <w:kinsoku/>
        <w:wordWrap/>
        <w:overflowPunct/>
        <w:topLinePunct w:val="0"/>
        <w:autoSpaceDE/>
        <w:autoSpaceDN/>
        <w:bidi w:val="0"/>
        <w:adjustRightInd/>
        <w:snapToGrid/>
        <w:spacing w:line="540" w:lineRule="exact"/>
        <w:ind w:firstLine="56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eastAsia="zh-CN"/>
        </w:rPr>
        <w:t>第六条：</w:t>
      </w:r>
      <w:r>
        <w:rPr>
          <w:rFonts w:hint="eastAsia" w:ascii="仿宋" w:hAnsi="仿宋" w:eastAsia="仿宋" w:cs="仿宋"/>
          <w:b/>
          <w:bCs/>
          <w:color w:val="auto"/>
          <w:sz w:val="28"/>
          <w:szCs w:val="28"/>
          <w:highlight w:val="none"/>
          <w:lang w:val="en-US" w:eastAsia="zh-CN"/>
        </w:rPr>
        <w:t>乙方责任</w:t>
      </w:r>
    </w:p>
    <w:p w14:paraId="391868B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施工所需的人员、设备、材料以及施工场地平整、道路修筑、场地搬迁等辅助工作和设施均由乙方自行解决。乙方投入本项目的钻机数量、型号及主要技术人员不得低于其投标文件的承诺，确需减少的应事先取得甲方书面同意。</w:t>
      </w:r>
    </w:p>
    <w:p w14:paraId="3D7E3CB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bookmarkStart w:id="65" w:name="bookmark35"/>
      <w:r>
        <w:rPr>
          <w:rFonts w:hint="eastAsia" w:ascii="仿宋" w:hAnsi="仿宋" w:eastAsia="仿宋" w:cs="仿宋"/>
          <w:color w:val="auto"/>
          <w:kern w:val="2"/>
          <w:sz w:val="28"/>
          <w:szCs w:val="28"/>
          <w:highlight w:val="none"/>
          <w:lang w:val="en-US" w:eastAsia="zh-CN" w:bidi="ar-SA"/>
        </w:rPr>
        <w:t>6.2因地面条件或其他原因，乙方需要变动钻孔位置时，必须征得甲方同意。</w:t>
      </w:r>
    </w:p>
    <w:p w14:paraId="7021EF0A">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w:t>
      </w:r>
      <w:bookmarkEnd w:id="65"/>
      <w:r>
        <w:rPr>
          <w:rFonts w:hint="eastAsia" w:ascii="仿宋" w:hAnsi="仿宋" w:eastAsia="仿宋" w:cs="仿宋"/>
          <w:color w:val="auto"/>
          <w:kern w:val="2"/>
          <w:sz w:val="28"/>
          <w:szCs w:val="28"/>
          <w:highlight w:val="none"/>
          <w:lang w:val="en-US" w:eastAsia="zh-CN" w:bidi="ar-SA"/>
        </w:rPr>
        <w:t>3乙方需严格按照行业有关规范、标准及甲方要求开展钻探施工，按本合同要求的时间完成钻探施工任务。由于乙方原因，造成施工质量不合格的，乙方应负责无偿给予补充完善使其达到质量合格，并赔偿由此给甲方造成的损失；若乙方无力补充完善，需另委托其他单位时，乙方应承担相应费用。</w:t>
      </w:r>
    </w:p>
    <w:p w14:paraId="4F1BD253">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6.4协助、配合甲方开展钻孔编录等工作。</w:t>
      </w:r>
    </w:p>
    <w:p w14:paraId="5758F59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6.5乙方现场作业人员需遵守甲方项目管理、安全保卫等有关规章制度。</w:t>
      </w:r>
    </w:p>
    <w:p w14:paraId="560B17E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6.6 乙方应具备有效的营业执照或事业单位法人证书、安全生产许可证，并在进场前将上述证照以及项目负责人、特种作业人员的资格证书复印件加盖公章后报甲方备案。证照失效、被暂扣或吊销的，乙方应在3日内书面告知甲方，甲方有权暂停施工或解除合同。</w:t>
      </w:r>
    </w:p>
    <w:p w14:paraId="03707555">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6.7 乙方应依法为全部现场作业人员缴纳工伤保险或投保团体人身意外伤害保险（每人保额不低于人民币100万元），保险费用由乙方承担，保单复印件报甲方备案。乙方未投保、保额不足或保险失效的，甲方有权代为投保商业意外保险，所产生保险费用由乙方承担，甲方可从应付工程款中直接扣除。</w:t>
      </w:r>
    </w:p>
    <w:p w14:paraId="16455ABD">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6.8 乙方应施工中应严格执行甲方设计要求，未经甲方书面同意不得擅自变更施工方案、终孔或移位。</w:t>
      </w:r>
    </w:p>
    <w:p w14:paraId="43DEBF9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6.9 乙方应落实绿色勘查要求，妥善处置泥浆、废油、生活垃圾等废弃物，施工结束后按要求完成封孔、场地恢复与复绿，并承担相应费用；因乙方施工造成环境污染、生态破坏或第三方人身、财产损失的，由乙方承担全部责任。</w:t>
      </w:r>
    </w:p>
    <w:p w14:paraId="58A59844">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kern w:val="2"/>
          <w:sz w:val="28"/>
          <w:szCs w:val="28"/>
          <w:highlight w:val="none"/>
          <w:lang w:val="en-US" w:eastAsia="zh-CN" w:bidi="ar-SA"/>
        </w:rPr>
      </w:pPr>
      <w:r>
        <w:rPr>
          <w:rFonts w:hint="eastAsia" w:ascii="仿宋" w:hAnsi="仿宋" w:eastAsia="仿宋" w:cs="仿宋"/>
          <w:color w:val="auto"/>
          <w:kern w:val="2"/>
          <w:sz w:val="28"/>
          <w:szCs w:val="28"/>
          <w:highlight w:val="none"/>
          <w:lang w:val="en-US" w:eastAsia="zh-CN" w:bidi="ar-SA"/>
        </w:rPr>
        <w:t>6.10 乙方应妥善保管施工形成的岩（矿）心、原始记录、班报表、测斜及封孔资料，并按甲方要求及时运送至甲方指定岩心库移交；上述岩（矿）心及资料的所有权归甲方所有，乙方不得擅自留存、复制、转让或对外提供。乙方应配合甲方及财政、审计、主管部门的检查审计，按要求提供相关资料。</w:t>
      </w:r>
    </w:p>
    <w:p w14:paraId="21273199">
      <w:pPr>
        <w:pStyle w:val="68"/>
        <w:keepNext w:val="0"/>
        <w:keepLines w:val="0"/>
        <w:pageBreakBefore w:val="0"/>
        <w:widowControl w:val="0"/>
        <w:tabs>
          <w:tab w:val="left" w:pos="1075"/>
        </w:tabs>
        <w:kinsoku/>
        <w:wordWrap/>
        <w:overflowPunct/>
        <w:topLinePunct w:val="0"/>
        <w:autoSpaceDE/>
        <w:autoSpaceDN/>
        <w:bidi w:val="0"/>
        <w:adjustRightInd/>
        <w:snapToGrid/>
        <w:spacing w:line="540" w:lineRule="exact"/>
        <w:ind w:firstLine="56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eastAsia="zh-CN"/>
        </w:rPr>
        <w:t>第</w:t>
      </w:r>
      <w:r>
        <w:rPr>
          <w:rFonts w:hint="eastAsia" w:ascii="仿宋" w:hAnsi="仿宋" w:eastAsia="仿宋" w:cs="仿宋"/>
          <w:b/>
          <w:bCs/>
          <w:color w:val="auto"/>
          <w:sz w:val="28"/>
          <w:szCs w:val="28"/>
          <w:highlight w:val="none"/>
          <w:lang w:val="en-US" w:eastAsia="zh-CN"/>
        </w:rPr>
        <w:t>七</w:t>
      </w:r>
      <w:r>
        <w:rPr>
          <w:rFonts w:hint="eastAsia" w:ascii="仿宋" w:hAnsi="仿宋" w:eastAsia="仿宋" w:cs="仿宋"/>
          <w:b/>
          <w:bCs/>
          <w:color w:val="auto"/>
          <w:sz w:val="28"/>
          <w:szCs w:val="28"/>
          <w:highlight w:val="none"/>
          <w:lang w:eastAsia="zh-CN"/>
        </w:rPr>
        <w:t>条：</w:t>
      </w:r>
      <w:r>
        <w:rPr>
          <w:rFonts w:hint="eastAsia" w:ascii="仿宋" w:hAnsi="仿宋" w:eastAsia="仿宋" w:cs="仿宋"/>
          <w:b/>
          <w:bCs/>
          <w:color w:val="auto"/>
          <w:sz w:val="28"/>
          <w:szCs w:val="28"/>
          <w:highlight w:val="none"/>
          <w:lang w:val="en-US" w:eastAsia="zh-CN"/>
        </w:rPr>
        <w:t>违约责任</w:t>
      </w:r>
    </w:p>
    <w:p w14:paraId="7D0C87DE">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7.1 合同履行过程中发生争议的，在争议解决前，除双方书面同意暂停施工外，双方均应继续履行合同；任何一方擅自停工、停止履行的，按违约处理，并赔偿由此给对方造成的损失。</w:t>
      </w:r>
    </w:p>
    <w:p w14:paraId="7D03C2C1">
      <w:pPr>
        <w:pStyle w:val="68"/>
        <w:keepNext w:val="0"/>
        <w:keepLines w:val="0"/>
        <w:pageBreakBefore w:val="0"/>
        <w:widowControl w:val="0"/>
        <w:tabs>
          <w:tab w:val="left" w:pos="894"/>
        </w:tabs>
        <w:kinsoku/>
        <w:wordWrap/>
        <w:overflowPunct/>
        <w:topLinePunct w:val="0"/>
        <w:autoSpaceDE/>
        <w:autoSpaceDN/>
        <w:bidi w:val="0"/>
        <w:adjustRightInd/>
        <w:snapToGrid/>
        <w:spacing w:before="0" w:line="540" w:lineRule="exact"/>
        <w:ind w:right="0" w:firstLine="540"/>
        <w:jc w:val="both"/>
        <w:textAlignment w:val="auto"/>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rPr>
        <w:t>7.2乙方未能按期、按质、按量完成项目工作的，每延期一日，应按合同暂定总价的千分之一向甲方支付违约金；延期超过30日的，甲方有权解除合同，另行委托第三方完成剩余工作，由此增加的费用及甲方其他损失由乙方承担。违约金累计不超过合同暂定总价的10%。因乙方原因造成钻孔报废、质量不合格需返工的，返工费用及由此产生的工期延误责任由乙方承担。</w:t>
      </w:r>
    </w:p>
    <w:p w14:paraId="1C8CC90E">
      <w:pPr>
        <w:pStyle w:val="68"/>
        <w:keepNext w:val="0"/>
        <w:keepLines w:val="0"/>
        <w:pageBreakBefore w:val="0"/>
        <w:widowControl w:val="0"/>
        <w:tabs>
          <w:tab w:val="left" w:pos="894"/>
        </w:tabs>
        <w:kinsoku/>
        <w:wordWrap/>
        <w:overflowPunct/>
        <w:topLinePunct w:val="0"/>
        <w:autoSpaceDE/>
        <w:autoSpaceDN/>
        <w:bidi w:val="0"/>
        <w:adjustRightInd/>
        <w:snapToGrid/>
        <w:spacing w:before="0" w:line="540" w:lineRule="exact"/>
        <w:ind w:right="0" w:firstLine="540"/>
        <w:jc w:val="both"/>
        <w:textAlignment w:val="auto"/>
        <w:rPr>
          <w:rFonts w:hint="default"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7.3 本项目按照安徽省地质勘查基金管理中心相关要求，严格按规定专账管理，并规范使用项目资金，严禁将本项目全部或部分工作再次转包、分包。一旦查实乙方存在转包、分包行为的，甲方有权单方解除本合同，追回已向乙方支付的全部款项，乙方应承担全部违约责任，并赔偿甲方因此遭受的全部经济损失。</w:t>
      </w:r>
    </w:p>
    <w:p w14:paraId="2B883F36">
      <w:pPr>
        <w:pStyle w:val="68"/>
        <w:keepNext w:val="0"/>
        <w:keepLines w:val="0"/>
        <w:pageBreakBefore w:val="0"/>
        <w:widowControl w:val="0"/>
        <w:tabs>
          <w:tab w:val="left" w:pos="894"/>
        </w:tabs>
        <w:kinsoku/>
        <w:wordWrap/>
        <w:overflowPunct/>
        <w:topLinePunct w:val="0"/>
        <w:autoSpaceDE/>
        <w:autoSpaceDN/>
        <w:bidi w:val="0"/>
        <w:adjustRightInd/>
        <w:snapToGrid/>
        <w:spacing w:before="0" w:line="540" w:lineRule="exact"/>
        <w:ind w:right="0" w:firstLine="540"/>
        <w:jc w:val="both"/>
        <w:textAlignment w:val="auto"/>
        <w:rPr>
          <w:rFonts w:hint="default" w:ascii="仿宋" w:hAnsi="仿宋" w:eastAsia="仿宋" w:cs="仿宋"/>
          <w:color w:val="auto"/>
          <w:sz w:val="28"/>
          <w:szCs w:val="28"/>
          <w:highlight w:val="none"/>
          <w:lang w:val="en-US" w:eastAsia="zh-CN" w:bidi="ar-SA"/>
        </w:rPr>
      </w:pPr>
      <w:r>
        <w:rPr>
          <w:rFonts w:hint="default" w:ascii="仿宋" w:hAnsi="仿宋" w:eastAsia="仿宋" w:cs="仿宋"/>
          <w:color w:val="auto"/>
          <w:sz w:val="28"/>
          <w:szCs w:val="28"/>
          <w:highlight w:val="none"/>
          <w:lang w:val="en-US" w:eastAsia="zh-CN" w:bidi="ar-SA"/>
        </w:rPr>
        <w:t>7.</w:t>
      </w:r>
      <w:r>
        <w:rPr>
          <w:rFonts w:hint="eastAsia" w:ascii="仿宋" w:hAnsi="仿宋" w:eastAsia="仿宋" w:cs="仿宋"/>
          <w:color w:val="auto"/>
          <w:sz w:val="28"/>
          <w:szCs w:val="28"/>
          <w:highlight w:val="none"/>
          <w:lang w:val="en-US" w:eastAsia="zh-CN" w:bidi="ar-SA"/>
        </w:rPr>
        <w:t>4</w:t>
      </w:r>
      <w:r>
        <w:rPr>
          <w:rFonts w:hint="default" w:ascii="仿宋" w:hAnsi="仿宋" w:eastAsia="仿宋" w:cs="仿宋"/>
          <w:color w:val="auto"/>
          <w:sz w:val="28"/>
          <w:szCs w:val="28"/>
          <w:highlight w:val="none"/>
          <w:lang w:val="en-US" w:eastAsia="zh-CN" w:bidi="ar-SA"/>
        </w:rPr>
        <w:t xml:space="preserve"> 乙方应承担的违约金、赔偿金及甲方代为支付的费用，甲方有权从预付款</w:t>
      </w:r>
      <w:r>
        <w:rPr>
          <w:rFonts w:hint="eastAsia" w:ascii="仿宋" w:hAnsi="仿宋" w:eastAsia="仿宋" w:cs="仿宋"/>
          <w:color w:val="auto"/>
          <w:sz w:val="28"/>
          <w:szCs w:val="28"/>
          <w:highlight w:val="none"/>
          <w:lang w:val="en-US" w:eastAsia="zh-CN" w:bidi="ar-SA"/>
        </w:rPr>
        <w:t>或</w:t>
      </w:r>
      <w:r>
        <w:rPr>
          <w:rFonts w:hint="default" w:ascii="仿宋" w:hAnsi="仿宋" w:eastAsia="仿宋" w:cs="仿宋"/>
          <w:color w:val="auto"/>
          <w:sz w:val="28"/>
          <w:szCs w:val="28"/>
          <w:highlight w:val="none"/>
          <w:lang w:val="en-US" w:eastAsia="zh-CN" w:bidi="ar-SA"/>
        </w:rPr>
        <w:t>应付工程款中直接扣除；不足部分，乙方应在收到甲方书面通知后10日内补足。</w:t>
      </w:r>
    </w:p>
    <w:p w14:paraId="22804BB7">
      <w:pPr>
        <w:pStyle w:val="68"/>
        <w:keepNext w:val="0"/>
        <w:keepLines w:val="0"/>
        <w:pageBreakBefore w:val="0"/>
        <w:widowControl w:val="0"/>
        <w:tabs>
          <w:tab w:val="left" w:pos="894"/>
        </w:tabs>
        <w:kinsoku/>
        <w:wordWrap/>
        <w:overflowPunct/>
        <w:topLinePunct w:val="0"/>
        <w:autoSpaceDE/>
        <w:autoSpaceDN/>
        <w:bidi w:val="0"/>
        <w:adjustRightInd/>
        <w:snapToGrid/>
        <w:spacing w:before="0" w:line="540" w:lineRule="exact"/>
        <w:ind w:right="0" w:firstLine="540"/>
        <w:jc w:val="both"/>
        <w:textAlignment w:val="auto"/>
        <w:rPr>
          <w:rFonts w:hint="default" w:ascii="仿宋" w:hAnsi="仿宋" w:eastAsia="仿宋" w:cs="仿宋"/>
          <w:color w:val="auto"/>
          <w:sz w:val="28"/>
          <w:szCs w:val="28"/>
          <w:highlight w:val="none"/>
          <w:lang w:val="en-US" w:eastAsia="zh-CN" w:bidi="ar-SA"/>
        </w:rPr>
      </w:pPr>
      <w:r>
        <w:rPr>
          <w:rFonts w:hint="default" w:ascii="仿宋" w:hAnsi="仿宋" w:eastAsia="仿宋" w:cs="仿宋"/>
          <w:color w:val="auto"/>
          <w:sz w:val="28"/>
          <w:szCs w:val="28"/>
          <w:highlight w:val="none"/>
          <w:lang w:val="en-US" w:eastAsia="zh-CN" w:bidi="ar-SA"/>
        </w:rPr>
        <w:t>7.</w:t>
      </w:r>
      <w:r>
        <w:rPr>
          <w:rFonts w:hint="eastAsia" w:ascii="仿宋" w:hAnsi="仿宋" w:eastAsia="仿宋" w:cs="仿宋"/>
          <w:color w:val="auto"/>
          <w:sz w:val="28"/>
          <w:szCs w:val="28"/>
          <w:highlight w:val="none"/>
          <w:lang w:val="en-US" w:eastAsia="zh-CN" w:bidi="ar-SA"/>
        </w:rPr>
        <w:t>5</w:t>
      </w:r>
      <w:r>
        <w:rPr>
          <w:rFonts w:hint="default" w:ascii="仿宋" w:hAnsi="仿宋" w:eastAsia="仿宋" w:cs="仿宋"/>
          <w:color w:val="auto"/>
          <w:sz w:val="28"/>
          <w:szCs w:val="28"/>
          <w:highlight w:val="none"/>
          <w:lang w:val="en-US" w:eastAsia="zh-CN" w:bidi="ar-SA"/>
        </w:rPr>
        <w:t xml:space="preserve"> 甲方无正当理由逾期支付结算款的，应按同期全国银行间同业拆借中心公布的一年期贷款市场报价利率（LPR）向乙方支付逾期利息；但乙方不得以甲方逾期付款为由停工、拖延施工或解除合同。</w:t>
      </w:r>
    </w:p>
    <w:p w14:paraId="22FD3C6E">
      <w:pPr>
        <w:pStyle w:val="68"/>
        <w:keepNext w:val="0"/>
        <w:keepLines w:val="0"/>
        <w:pageBreakBefore w:val="0"/>
        <w:widowControl w:val="0"/>
        <w:tabs>
          <w:tab w:val="left" w:pos="1075"/>
        </w:tabs>
        <w:kinsoku/>
        <w:wordWrap/>
        <w:overflowPunct/>
        <w:topLinePunct w:val="0"/>
        <w:autoSpaceDE/>
        <w:autoSpaceDN/>
        <w:bidi w:val="0"/>
        <w:adjustRightInd/>
        <w:snapToGrid/>
        <w:spacing w:line="540" w:lineRule="exact"/>
        <w:ind w:firstLine="560"/>
        <w:textAlignment w:val="auto"/>
        <w:rPr>
          <w:rFonts w:hint="eastAsia" w:ascii="仿宋" w:hAnsi="仿宋" w:eastAsia="仿宋" w:cs="仿宋"/>
          <w:b/>
          <w:bCs/>
          <w:color w:val="auto"/>
          <w:sz w:val="28"/>
          <w:szCs w:val="28"/>
          <w:highlight w:val="none"/>
          <w:lang w:val="en-US" w:eastAsia="zh-CN"/>
        </w:rPr>
      </w:pPr>
      <w:bookmarkStart w:id="66" w:name="bookmark55"/>
      <w:bookmarkStart w:id="67" w:name="bookmark56"/>
      <w:bookmarkStart w:id="68" w:name="bookmark54"/>
      <w:bookmarkStart w:id="69" w:name="bookmark53"/>
      <w:r>
        <w:rPr>
          <w:rFonts w:hint="eastAsia" w:ascii="仿宋" w:hAnsi="仿宋" w:eastAsia="仿宋" w:cs="仿宋"/>
          <w:b/>
          <w:bCs/>
          <w:color w:val="auto"/>
          <w:sz w:val="28"/>
          <w:szCs w:val="28"/>
          <w:highlight w:val="none"/>
          <w:lang w:eastAsia="zh-CN"/>
        </w:rPr>
        <w:t>第</w:t>
      </w:r>
      <w:r>
        <w:rPr>
          <w:rFonts w:hint="eastAsia" w:ascii="仿宋" w:hAnsi="仿宋" w:eastAsia="仿宋" w:cs="仿宋"/>
          <w:b/>
          <w:bCs/>
          <w:color w:val="auto"/>
          <w:sz w:val="28"/>
          <w:szCs w:val="28"/>
          <w:highlight w:val="none"/>
          <w:lang w:val="en-US" w:eastAsia="zh-CN"/>
        </w:rPr>
        <w:t>八</w:t>
      </w:r>
      <w:r>
        <w:rPr>
          <w:rFonts w:hint="eastAsia" w:ascii="仿宋" w:hAnsi="仿宋" w:eastAsia="仿宋" w:cs="仿宋"/>
          <w:b/>
          <w:bCs/>
          <w:color w:val="auto"/>
          <w:sz w:val="28"/>
          <w:szCs w:val="28"/>
          <w:highlight w:val="none"/>
          <w:lang w:eastAsia="zh-CN"/>
        </w:rPr>
        <w:t>条：</w:t>
      </w:r>
      <w:bookmarkEnd w:id="66"/>
      <w:r>
        <w:rPr>
          <w:rFonts w:hint="eastAsia" w:ascii="仿宋" w:hAnsi="仿宋" w:eastAsia="仿宋" w:cs="仿宋"/>
          <w:b/>
          <w:bCs/>
          <w:color w:val="auto"/>
          <w:sz w:val="28"/>
          <w:szCs w:val="28"/>
          <w:highlight w:val="none"/>
          <w:lang w:val="en-US" w:eastAsia="zh-CN"/>
        </w:rPr>
        <w:t>安全责任</w:t>
      </w:r>
      <w:bookmarkEnd w:id="67"/>
      <w:bookmarkEnd w:id="68"/>
      <w:bookmarkEnd w:id="69"/>
    </w:p>
    <w:p w14:paraId="45FE3000">
      <w:pPr>
        <w:pStyle w:val="68"/>
        <w:keepNext w:val="0"/>
        <w:keepLines w:val="0"/>
        <w:pageBreakBefore w:val="0"/>
        <w:widowControl w:val="0"/>
        <w:kinsoku/>
        <w:wordWrap/>
        <w:overflowPunct/>
        <w:topLinePunct w:val="0"/>
        <w:autoSpaceDE/>
        <w:autoSpaceDN/>
        <w:bidi w:val="0"/>
        <w:adjustRightInd/>
        <w:snapToGrid/>
        <w:spacing w:before="0" w:line="540" w:lineRule="exact"/>
        <w:ind w:right="0" w:firstLine="540"/>
        <w:jc w:val="both"/>
        <w:textAlignment w:val="auto"/>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安全费用及安全管理费用包括在工程费里，施工过程中发生任何安全事故（特别是人身伤亡和财产损失等）产生的一切费用及责任由乙方承担。乙方为本项目施工安全生产责任主体，对施工过程中发生的生产安全事故承担全部责任。甲方依法履行安全生产统一协调、管理义务，因甲方原因造成事故的，由甲方依法承担相应责任；甲方因乙方事故对外承担责任、受到行政处罚或向第三方赔偿的，有权向乙方全额追偿。发生事故时，乙方严格落实事故报告制度并积极组织救援，尽可能减少人员伤亡和财产损失。乙方应在开工前编制安全专项方案和应急预案，配备必要的安全防护设施和应急救援装备，特种作业人员持证上岗，并按规定提取和使用安全生产费用。</w:t>
      </w:r>
    </w:p>
    <w:p w14:paraId="174D7490">
      <w:pPr>
        <w:pStyle w:val="68"/>
        <w:keepNext w:val="0"/>
        <w:keepLines w:val="0"/>
        <w:pageBreakBefore w:val="0"/>
        <w:widowControl w:val="0"/>
        <w:tabs>
          <w:tab w:val="left" w:pos="1075"/>
        </w:tabs>
        <w:kinsoku/>
        <w:wordWrap/>
        <w:overflowPunct/>
        <w:topLinePunct w:val="0"/>
        <w:autoSpaceDE/>
        <w:autoSpaceDN/>
        <w:bidi w:val="0"/>
        <w:adjustRightInd/>
        <w:snapToGrid/>
        <w:spacing w:line="540" w:lineRule="exact"/>
        <w:ind w:firstLine="560"/>
        <w:textAlignment w:val="auto"/>
        <w:rPr>
          <w:rFonts w:hint="eastAsia" w:ascii="仿宋" w:hAnsi="仿宋" w:eastAsia="仿宋" w:cs="仿宋"/>
          <w:b/>
          <w:bCs/>
          <w:color w:val="auto"/>
          <w:sz w:val="28"/>
          <w:szCs w:val="28"/>
          <w:highlight w:val="none"/>
          <w:lang w:val="en-US" w:eastAsia="zh-CN"/>
        </w:rPr>
      </w:pPr>
      <w:r>
        <w:rPr>
          <w:rFonts w:hint="eastAsia" w:ascii="仿宋" w:hAnsi="仿宋" w:eastAsia="仿宋" w:cs="仿宋"/>
          <w:b/>
          <w:bCs/>
          <w:color w:val="auto"/>
          <w:sz w:val="28"/>
          <w:szCs w:val="28"/>
          <w:highlight w:val="none"/>
          <w:lang w:eastAsia="zh-CN"/>
        </w:rPr>
        <w:t>第</w:t>
      </w:r>
      <w:r>
        <w:rPr>
          <w:rFonts w:hint="eastAsia" w:ascii="仿宋" w:hAnsi="仿宋" w:eastAsia="仿宋" w:cs="仿宋"/>
          <w:b/>
          <w:bCs/>
          <w:color w:val="auto"/>
          <w:sz w:val="28"/>
          <w:szCs w:val="28"/>
          <w:highlight w:val="none"/>
          <w:lang w:val="en-US" w:eastAsia="zh-CN"/>
        </w:rPr>
        <w:t>九</w:t>
      </w:r>
      <w:r>
        <w:rPr>
          <w:rFonts w:hint="eastAsia" w:ascii="仿宋" w:hAnsi="仿宋" w:eastAsia="仿宋" w:cs="仿宋"/>
          <w:b/>
          <w:bCs/>
          <w:color w:val="auto"/>
          <w:sz w:val="28"/>
          <w:szCs w:val="28"/>
          <w:highlight w:val="none"/>
          <w:lang w:eastAsia="zh-CN"/>
        </w:rPr>
        <w:t>条：</w:t>
      </w:r>
      <w:r>
        <w:rPr>
          <w:rFonts w:hint="eastAsia" w:ascii="仿宋" w:hAnsi="仿宋" w:eastAsia="仿宋" w:cs="仿宋"/>
          <w:b/>
          <w:bCs/>
          <w:color w:val="auto"/>
          <w:sz w:val="28"/>
          <w:szCs w:val="28"/>
          <w:highlight w:val="none"/>
          <w:lang w:val="en-US" w:eastAsia="zh-CN"/>
        </w:rPr>
        <w:t>其它约定事项</w:t>
      </w:r>
    </w:p>
    <w:p w14:paraId="4D38D4A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ar-SA"/>
        </w:rPr>
        <w:t>9.1因地震、洪水、疫情、政府行为等不可抗力致使合同无法按期履行的，遭遇方应在事件发生后3日内书面通知对方，并在15日内提供有效证明，经双方确认后相应顺延工期，双方均不承担违约责任。不可抗力持续超过60日或导致合同目的无法实现的，任何一方均有权解除合同，已完成的合格工作量据实结算。</w:t>
      </w:r>
    </w:p>
    <w:p w14:paraId="54C14E98">
      <w:pPr>
        <w:pStyle w:val="68"/>
        <w:keepNext w:val="0"/>
        <w:keepLines w:val="0"/>
        <w:pageBreakBefore w:val="0"/>
        <w:widowControl w:val="0"/>
        <w:kinsoku/>
        <w:wordWrap/>
        <w:overflowPunct/>
        <w:topLinePunct w:val="0"/>
        <w:autoSpaceDE/>
        <w:autoSpaceDN/>
        <w:bidi w:val="0"/>
        <w:adjustRightInd/>
        <w:snapToGrid/>
        <w:spacing w:before="0" w:line="540" w:lineRule="exact"/>
        <w:ind w:right="0" w:firstLine="500"/>
        <w:jc w:val="both"/>
        <w:textAlignment w:val="auto"/>
        <w:outlineLvl w:val="0"/>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9.2甲方“</w:t>
      </w:r>
      <w:r>
        <w:rPr>
          <w:rFonts w:hint="default" w:ascii="仿宋" w:hAnsi="仿宋" w:eastAsia="仿宋" w:cs="仿宋"/>
          <w:color w:val="auto"/>
          <w:sz w:val="28"/>
          <w:szCs w:val="28"/>
          <w:highlight w:val="none"/>
          <w:u w:val="none" w:color="auto"/>
          <w:lang w:val="en-US" w:eastAsia="zh-CN"/>
        </w:rPr>
        <w:t>安徽省凤阳县梅家庄-圣庙地区金</w:t>
      </w:r>
      <w:r>
        <w:rPr>
          <w:rFonts w:hint="eastAsia" w:ascii="仿宋" w:hAnsi="仿宋" w:eastAsia="仿宋" w:cs="仿宋"/>
          <w:color w:val="auto"/>
          <w:sz w:val="28"/>
          <w:szCs w:val="28"/>
          <w:highlight w:val="none"/>
          <w:u w:val="none" w:color="auto"/>
          <w:lang w:val="en-US" w:eastAsia="zh-CN"/>
        </w:rPr>
        <w:t>钼</w:t>
      </w:r>
      <w:r>
        <w:rPr>
          <w:rFonts w:hint="default" w:ascii="仿宋" w:hAnsi="仿宋" w:eastAsia="仿宋" w:cs="仿宋"/>
          <w:color w:val="auto"/>
          <w:sz w:val="28"/>
          <w:szCs w:val="28"/>
          <w:highlight w:val="none"/>
          <w:u w:val="none" w:color="auto"/>
          <w:lang w:val="en-US" w:eastAsia="zh-CN"/>
        </w:rPr>
        <w:t>多金属矿普查</w:t>
      </w:r>
      <w:r>
        <w:rPr>
          <w:rFonts w:hint="eastAsia" w:ascii="仿宋" w:hAnsi="仿宋" w:eastAsia="仿宋" w:cs="仿宋"/>
          <w:color w:val="auto"/>
          <w:sz w:val="28"/>
          <w:szCs w:val="28"/>
          <w:highlight w:val="none"/>
          <w:u w:val="none" w:color="auto"/>
          <w:lang w:val="en-US" w:eastAsia="zh-CN"/>
        </w:rPr>
        <w:t>（续作）</w:t>
      </w:r>
      <w:r>
        <w:rPr>
          <w:rFonts w:hint="eastAsia" w:ascii="仿宋" w:hAnsi="仿宋" w:eastAsia="仿宋" w:cs="仿宋"/>
          <w:color w:val="auto"/>
          <w:sz w:val="28"/>
          <w:szCs w:val="28"/>
          <w:highlight w:val="none"/>
          <w:lang w:val="en-US" w:eastAsia="zh-CN" w:bidi="ar-SA"/>
        </w:rPr>
        <w:t>”</w:t>
      </w:r>
      <w:r>
        <w:rPr>
          <w:rFonts w:hint="default" w:ascii="仿宋" w:hAnsi="仿宋" w:eastAsia="仿宋" w:cs="仿宋"/>
          <w:color w:val="auto"/>
          <w:sz w:val="28"/>
          <w:szCs w:val="28"/>
          <w:highlight w:val="none"/>
          <w:u w:val="none" w:color="auto"/>
          <w:lang w:val="en-US" w:eastAsia="zh-CN"/>
        </w:rPr>
        <w:t>项目</w:t>
      </w:r>
      <w:r>
        <w:rPr>
          <w:rFonts w:hint="eastAsia" w:ascii="仿宋" w:hAnsi="仿宋" w:eastAsia="仿宋" w:cs="仿宋"/>
          <w:color w:val="auto"/>
          <w:sz w:val="28"/>
          <w:szCs w:val="28"/>
          <w:highlight w:val="none"/>
          <w:lang w:val="en-US" w:eastAsia="zh-CN" w:bidi="ar-SA"/>
        </w:rPr>
        <w:t>暂停或终止时，本项目即暂停或终止。项目费用按本合同约定单价根据工程结算单据实结算。乙方应在收到甲方暂停或终止通知后3日内停止相应施工并按甲方要求撤场，妥善移交已完工程、岩（矿）心及全部资料；甲方仅就已完成的合格工作量据实结算，乙方不得主张停工损失、设备闲置费、人员窝工费、预期利润或其他任何补偿。</w:t>
      </w:r>
    </w:p>
    <w:p w14:paraId="7C474FE1">
      <w:pPr>
        <w:pStyle w:val="68"/>
        <w:keepNext w:val="0"/>
        <w:keepLines w:val="0"/>
        <w:pageBreakBefore w:val="0"/>
        <w:widowControl w:val="0"/>
        <w:kinsoku/>
        <w:wordWrap/>
        <w:overflowPunct/>
        <w:topLinePunct w:val="0"/>
        <w:autoSpaceDE/>
        <w:autoSpaceDN/>
        <w:bidi w:val="0"/>
        <w:adjustRightInd/>
        <w:snapToGrid/>
        <w:spacing w:before="0" w:line="540" w:lineRule="exact"/>
        <w:ind w:right="0" w:firstLine="500"/>
        <w:jc w:val="both"/>
        <w:textAlignment w:val="auto"/>
        <w:outlineLvl w:val="0"/>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9.3 工程完工后经甲方验收不合格的，或在甲方未下达终孔通知书的情况下乙方擅自终孔的，该孔按报废孔处理，施工费用由乙方自行承担，甲方不承担任何费用。因乙方原因造成钻孔报废的，乙方还应赔偿甲方重新施工所增加的费用及由此造成的地质资料损失。</w:t>
      </w:r>
    </w:p>
    <w:p w14:paraId="7BF9CD4A">
      <w:pPr>
        <w:pStyle w:val="68"/>
        <w:keepNext w:val="0"/>
        <w:keepLines w:val="0"/>
        <w:pageBreakBefore w:val="0"/>
        <w:widowControl w:val="0"/>
        <w:kinsoku/>
        <w:wordWrap/>
        <w:overflowPunct/>
        <w:topLinePunct w:val="0"/>
        <w:autoSpaceDE/>
        <w:autoSpaceDN/>
        <w:bidi w:val="0"/>
        <w:adjustRightInd/>
        <w:snapToGrid/>
        <w:spacing w:before="0" w:line="540" w:lineRule="exact"/>
        <w:ind w:right="0" w:firstLine="500"/>
        <w:jc w:val="both"/>
        <w:textAlignment w:val="auto"/>
        <w:outlineLvl w:val="0"/>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9.4未尽事宜，双方友好协商解决，协商达成的协议，与本合同具有同等法律效力。</w:t>
      </w:r>
    </w:p>
    <w:p w14:paraId="7386F51C">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9.5</w:t>
      </w:r>
      <w:r>
        <w:rPr>
          <w:rFonts w:hint="eastAsia" w:ascii="仿宋" w:hAnsi="仿宋" w:eastAsia="仿宋" w:cs="仿宋"/>
          <w:color w:val="auto"/>
          <w:sz w:val="28"/>
          <w:szCs w:val="28"/>
          <w:highlight w:val="none"/>
        </w:rPr>
        <w:t>本合同正本一式</w:t>
      </w:r>
      <w:r>
        <w:rPr>
          <w:rFonts w:hint="eastAsia" w:ascii="仿宋" w:hAnsi="仿宋" w:eastAsia="仿宋" w:cs="仿宋"/>
          <w:color w:val="auto"/>
          <w:sz w:val="28"/>
          <w:szCs w:val="28"/>
          <w:highlight w:val="none"/>
          <w:u w:val="single"/>
        </w:rPr>
        <w:t>陆</w:t>
      </w:r>
      <w:r>
        <w:rPr>
          <w:rFonts w:hint="eastAsia" w:ascii="仿宋" w:hAnsi="仿宋" w:eastAsia="仿宋" w:cs="仿宋"/>
          <w:color w:val="auto"/>
          <w:sz w:val="28"/>
          <w:szCs w:val="28"/>
          <w:highlight w:val="none"/>
        </w:rPr>
        <w:t>份，双方各执</w:t>
      </w:r>
      <w:r>
        <w:rPr>
          <w:rFonts w:hint="eastAsia" w:ascii="仿宋" w:hAnsi="仿宋" w:eastAsia="仿宋" w:cs="仿宋"/>
          <w:color w:val="auto"/>
          <w:sz w:val="28"/>
          <w:szCs w:val="28"/>
          <w:highlight w:val="none"/>
          <w:u w:val="single"/>
        </w:rPr>
        <w:t>叁</w:t>
      </w:r>
      <w:r>
        <w:rPr>
          <w:rFonts w:hint="eastAsia" w:ascii="仿宋" w:hAnsi="仿宋" w:eastAsia="仿宋" w:cs="仿宋"/>
          <w:color w:val="auto"/>
          <w:sz w:val="28"/>
          <w:szCs w:val="28"/>
          <w:highlight w:val="none"/>
        </w:rPr>
        <w:t>份；经甲、乙双方签章后生效，双方履行完合同规定的义务后，本合同即行终止。</w:t>
      </w:r>
    </w:p>
    <w:p w14:paraId="5F1DA5B9">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9.6 保密：双方对因履行本合同知悉的对方商业秘密以及本项目地质资料、勘查成果负有保密义务，未经甲方书面同意，乙方不得向任何第三方披露、提供或用于本合同以外的用途。本条约定不因合同的终止、解除或履行完毕而失效。</w:t>
      </w:r>
    </w:p>
    <w:p w14:paraId="3FC7A2C0">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9.7 成果与资料归属：本项目形成的全部原始资料、成果资料、岩（矿）心、数据及衍生成果的所有权、使用权及相关知识产权均归甲方所有，乙方不得以任何形式对外发表、使用或转让。乙方违反本条约定的，应向甲方支付合同暂定总价20%的违约金，并赔偿甲方全部损失。</w:t>
      </w:r>
    </w:p>
    <w:p w14:paraId="22BA8676">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9.8 合同变更：本合同的任何变更、补充均须经双方书面签署并加盖公章后生效；口头承诺及未经双方签章确认的往来函件，不构成对本合同的变更。</w:t>
      </w:r>
    </w:p>
    <w:p w14:paraId="183EB9D7">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9.9 通知与送达：双方在签署页载明的地址、电话、电子邮箱为有效送达地址，一方变更的应在3日内书面通知对方；以邮寄方式发出的文件，自寄出之日起第3日视为送达；以电子邮件、短信等方式发出的，发送成功即视为送达。上述地址同时作为诉讼文书的送达地址。</w:t>
      </w:r>
    </w:p>
    <w:p w14:paraId="08D70E2B">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9.10 附件：本合同附件包括《安全生产管理协议》《廉政合同》《法定代表人授权委托书》，与主合同具有同等法律效力；附件与主合同约定不一致的，以主合同为准，但涉及安全生产、廉政事项的，从其更严格的约定。</w:t>
      </w:r>
    </w:p>
    <w:p w14:paraId="76692C2E">
      <w:pPr>
        <w:keepNext w:val="0"/>
        <w:keepLines w:val="0"/>
        <w:pageBreakBefore w:val="0"/>
        <w:widowControl w:val="0"/>
        <w:kinsoku/>
        <w:wordWrap/>
        <w:overflowPunct/>
        <w:topLinePunct w:val="0"/>
        <w:autoSpaceDE/>
        <w:autoSpaceDN/>
        <w:bidi w:val="0"/>
        <w:adjustRightInd/>
        <w:snapToGrid/>
        <w:spacing w:line="54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rPr>
        <w:t>9.11</w:t>
      </w:r>
      <w:r>
        <w:rPr>
          <w:rFonts w:hint="eastAsia" w:ascii="仿宋" w:hAnsi="仿宋" w:eastAsia="仿宋" w:cs="仿宋"/>
          <w:color w:val="auto"/>
          <w:sz w:val="28"/>
          <w:szCs w:val="28"/>
          <w:highlight w:val="none"/>
        </w:rPr>
        <w:t>本合同发生争议，双方应及时协商解决。协商不成，</w:t>
      </w:r>
      <w:r>
        <w:rPr>
          <w:rFonts w:hint="eastAsia" w:ascii="仿宋" w:hAnsi="仿宋" w:eastAsia="仿宋" w:cs="仿宋"/>
          <w:color w:val="auto"/>
          <w:sz w:val="28"/>
          <w:szCs w:val="28"/>
          <w:highlight w:val="none"/>
          <w:lang w:val="en-US" w:eastAsia="zh-CN"/>
        </w:rPr>
        <w:t>双方同意</w:t>
      </w:r>
      <w:r>
        <w:rPr>
          <w:rFonts w:hint="eastAsia" w:ascii="仿宋" w:hAnsi="仿宋" w:eastAsia="仿宋" w:cs="仿宋"/>
          <w:color w:val="auto"/>
          <w:sz w:val="28"/>
          <w:szCs w:val="28"/>
          <w:highlight w:val="none"/>
        </w:rPr>
        <w:t>向</w:t>
      </w:r>
      <w:r>
        <w:rPr>
          <w:rFonts w:hint="eastAsia" w:ascii="仿宋" w:hAnsi="仿宋" w:eastAsia="仿宋" w:cs="仿宋"/>
          <w:color w:val="auto"/>
          <w:sz w:val="28"/>
          <w:szCs w:val="28"/>
          <w:highlight w:val="none"/>
          <w:lang w:val="en-US" w:eastAsia="zh-CN"/>
        </w:rPr>
        <w:t>甲方所在地人民法院</w:t>
      </w:r>
      <w:r>
        <w:rPr>
          <w:rFonts w:hint="eastAsia" w:ascii="仿宋" w:hAnsi="仿宋" w:eastAsia="仿宋" w:cs="仿宋"/>
          <w:color w:val="auto"/>
          <w:sz w:val="28"/>
          <w:szCs w:val="28"/>
          <w:highlight w:val="none"/>
        </w:rPr>
        <w:t>提起诉讼。</w:t>
      </w:r>
    </w:p>
    <w:p w14:paraId="6CF16970">
      <w:pPr>
        <w:pStyle w:val="68"/>
        <w:widowControl w:val="0"/>
        <w:wordWrap/>
        <w:adjustRightInd/>
        <w:snapToGrid/>
        <w:spacing w:before="0" w:line="500" w:lineRule="exact"/>
        <w:ind w:right="0" w:firstLine="540"/>
        <w:jc w:val="both"/>
        <w:textAlignment w:val="auto"/>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（以下为合同签字盖章内容）</w:t>
      </w:r>
    </w:p>
    <w:p w14:paraId="64F19571">
      <w:pPr>
        <w:pStyle w:val="68"/>
        <w:widowControl w:val="0"/>
        <w:wordWrap/>
        <w:adjustRightInd/>
        <w:snapToGrid/>
        <w:spacing w:before="0" w:line="500" w:lineRule="exact"/>
        <w:ind w:right="0" w:firstLine="540"/>
        <w:jc w:val="both"/>
        <w:textAlignment w:val="auto"/>
        <w:rPr>
          <w:rFonts w:hint="eastAsia" w:ascii="仿宋" w:hAnsi="仿宋" w:eastAsia="仿宋" w:cs="仿宋"/>
          <w:color w:val="auto"/>
          <w:sz w:val="28"/>
          <w:szCs w:val="28"/>
          <w:highlight w:val="none"/>
          <w:lang w:val="en-US" w:eastAsia="zh-CN" w:bidi="ar-SA"/>
        </w:rPr>
      </w:pPr>
    </w:p>
    <w:p w14:paraId="11F58859">
      <w:pPr>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br w:type="page"/>
      </w:r>
    </w:p>
    <w:p w14:paraId="676C228F">
      <w:pPr>
        <w:pStyle w:val="68"/>
        <w:widowControl w:val="0"/>
        <w:wordWrap/>
        <w:adjustRightInd/>
        <w:snapToGrid/>
        <w:spacing w:before="0" w:line="500" w:lineRule="exact"/>
        <w:ind w:right="0" w:firstLine="540"/>
        <w:jc w:val="both"/>
        <w:textAlignment w:val="auto"/>
        <w:rPr>
          <w:rFonts w:hint="eastAsia" w:ascii="仿宋" w:hAnsi="仿宋" w:eastAsia="仿宋" w:cs="仿宋"/>
          <w:color w:val="auto"/>
          <w:sz w:val="28"/>
          <w:szCs w:val="28"/>
          <w:highlight w:val="none"/>
          <w:lang w:val="en-US" w:eastAsia="zh-CN" w:bidi="ar-SA"/>
        </w:rPr>
      </w:pPr>
    </w:p>
    <w:tbl>
      <w:tblPr>
        <w:tblStyle w:val="21"/>
        <w:tblW w:w="9454"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4626"/>
        <w:gridCol w:w="4828"/>
      </w:tblGrid>
      <w:tr w14:paraId="42C166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5" w:hRule="atLeast"/>
          <w:jc w:val="center"/>
        </w:trPr>
        <w:tc>
          <w:tcPr>
            <w:tcW w:w="4626" w:type="dxa"/>
            <w:noWrap w:val="0"/>
            <w:vAlign w:val="center"/>
          </w:tcPr>
          <w:p w14:paraId="76B2ADFD">
            <w:pPr>
              <w:spacing w:line="480" w:lineRule="exact"/>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甲方：</w:t>
            </w:r>
          </w:p>
        </w:tc>
        <w:tc>
          <w:tcPr>
            <w:tcW w:w="4828" w:type="dxa"/>
            <w:noWrap w:val="0"/>
            <w:vAlign w:val="center"/>
          </w:tcPr>
          <w:p w14:paraId="04ADD2AF">
            <w:pPr>
              <w:spacing w:line="480" w:lineRule="exact"/>
              <w:ind w:left="720" w:hanging="840" w:hangingChars="300"/>
              <w:rPr>
                <w:rFonts w:hint="eastAsia" w:ascii="仿宋" w:hAnsi="仿宋" w:eastAsia="仿宋" w:cs="仿宋"/>
                <w:bCs/>
                <w:color w:val="auto"/>
                <w:sz w:val="28"/>
                <w:szCs w:val="28"/>
                <w:highlight w:val="none"/>
                <w:lang w:eastAsia="zh-CN"/>
              </w:rPr>
            </w:pPr>
            <w:r>
              <w:rPr>
                <w:rFonts w:hint="eastAsia" w:ascii="仿宋" w:hAnsi="仿宋" w:eastAsia="仿宋" w:cs="仿宋"/>
                <w:bCs/>
                <w:color w:val="auto"/>
                <w:sz w:val="28"/>
                <w:szCs w:val="28"/>
                <w:highlight w:val="none"/>
              </w:rPr>
              <w:t>乙方：</w:t>
            </w:r>
            <w:r>
              <w:rPr>
                <w:rFonts w:hint="eastAsia" w:ascii="仿宋" w:hAnsi="仿宋" w:eastAsia="仿宋" w:cs="仿宋"/>
                <w:bCs/>
                <w:color w:val="auto"/>
                <w:kern w:val="0"/>
                <w:sz w:val="28"/>
                <w:szCs w:val="28"/>
                <w:highlight w:val="none"/>
                <w:shd w:val="clear" w:color="auto" w:fill="FFFFFF"/>
                <w:lang w:val="en-US" w:eastAsia="zh-CN" w:bidi="ar"/>
              </w:rPr>
              <w:t xml:space="preserve"> </w:t>
            </w:r>
          </w:p>
        </w:tc>
      </w:tr>
      <w:tr w14:paraId="3331D1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4626" w:type="dxa"/>
            <w:noWrap w:val="0"/>
            <w:vAlign w:val="center"/>
          </w:tcPr>
          <w:p w14:paraId="2607AFC5">
            <w:pPr>
              <w:spacing w:line="480" w:lineRule="exact"/>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法定代表人</w:t>
            </w:r>
          </w:p>
          <w:p w14:paraId="4517BC6E">
            <w:pPr>
              <w:spacing w:line="480" w:lineRule="exac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或授权代表</w:t>
            </w:r>
            <w:r>
              <w:rPr>
                <w:rFonts w:hint="eastAsia" w:ascii="仿宋" w:hAnsi="仿宋" w:eastAsia="仿宋" w:cs="仿宋"/>
                <w:bCs/>
                <w:color w:val="auto"/>
                <w:sz w:val="28"/>
                <w:szCs w:val="28"/>
                <w:highlight w:val="none"/>
              </w:rPr>
              <w:t>（签章）：</w:t>
            </w:r>
          </w:p>
        </w:tc>
        <w:tc>
          <w:tcPr>
            <w:tcW w:w="4828" w:type="dxa"/>
            <w:noWrap w:val="0"/>
            <w:vAlign w:val="center"/>
          </w:tcPr>
          <w:p w14:paraId="50E56033">
            <w:pPr>
              <w:spacing w:line="480" w:lineRule="exact"/>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val="en-US" w:eastAsia="zh-CN"/>
              </w:rPr>
              <w:t>法定代表人</w:t>
            </w:r>
          </w:p>
          <w:p w14:paraId="156FB217">
            <w:pPr>
              <w:spacing w:line="480" w:lineRule="exac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或授权代表</w:t>
            </w:r>
            <w:r>
              <w:rPr>
                <w:rFonts w:hint="eastAsia" w:ascii="仿宋" w:hAnsi="仿宋" w:eastAsia="仿宋" w:cs="仿宋"/>
                <w:bCs/>
                <w:color w:val="auto"/>
                <w:sz w:val="28"/>
                <w:szCs w:val="28"/>
                <w:highlight w:val="none"/>
              </w:rPr>
              <w:t>（签章）：</w:t>
            </w:r>
          </w:p>
        </w:tc>
      </w:tr>
      <w:tr w14:paraId="24D74F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4626" w:type="dxa"/>
            <w:noWrap w:val="0"/>
            <w:vAlign w:val="center"/>
          </w:tcPr>
          <w:p w14:paraId="054513E9">
            <w:pPr>
              <w:spacing w:line="480" w:lineRule="exac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地址：</w:t>
            </w:r>
          </w:p>
        </w:tc>
        <w:tc>
          <w:tcPr>
            <w:tcW w:w="4828" w:type="dxa"/>
            <w:noWrap w:val="0"/>
            <w:vAlign w:val="center"/>
          </w:tcPr>
          <w:p w14:paraId="6CF2565E">
            <w:pPr>
              <w:widowControl/>
              <w:spacing w:line="480" w:lineRule="atLeast"/>
              <w:jc w:val="left"/>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地址：</w:t>
            </w:r>
          </w:p>
        </w:tc>
      </w:tr>
      <w:tr w14:paraId="2F06FF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4626" w:type="dxa"/>
            <w:noWrap w:val="0"/>
            <w:vAlign w:val="center"/>
          </w:tcPr>
          <w:p w14:paraId="6930DF8A">
            <w:pPr>
              <w:spacing w:line="480" w:lineRule="exact"/>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电话：</w:t>
            </w:r>
          </w:p>
        </w:tc>
        <w:tc>
          <w:tcPr>
            <w:tcW w:w="4828" w:type="dxa"/>
            <w:noWrap w:val="0"/>
            <w:vAlign w:val="center"/>
          </w:tcPr>
          <w:p w14:paraId="4BE11945">
            <w:pPr>
              <w:widowControl/>
              <w:spacing w:line="480" w:lineRule="atLeast"/>
              <w:jc w:val="left"/>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电话：</w:t>
            </w:r>
          </w:p>
        </w:tc>
      </w:tr>
      <w:tr w14:paraId="04E922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4626" w:type="dxa"/>
            <w:noWrap w:val="0"/>
            <w:vAlign w:val="center"/>
          </w:tcPr>
          <w:p w14:paraId="659D3BF7">
            <w:pPr>
              <w:spacing w:line="480" w:lineRule="exact"/>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rPr>
              <w:t>开户行：</w:t>
            </w:r>
          </w:p>
        </w:tc>
        <w:tc>
          <w:tcPr>
            <w:tcW w:w="4828" w:type="dxa"/>
            <w:noWrap w:val="0"/>
            <w:vAlign w:val="center"/>
          </w:tcPr>
          <w:p w14:paraId="7C1E0FA8">
            <w:pPr>
              <w:widowControl/>
              <w:spacing w:line="480" w:lineRule="atLeast"/>
              <w:jc w:val="lef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开户行：</w:t>
            </w:r>
          </w:p>
        </w:tc>
      </w:tr>
      <w:tr w14:paraId="6B452A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2" w:hRule="atLeast"/>
          <w:jc w:val="center"/>
        </w:trPr>
        <w:tc>
          <w:tcPr>
            <w:tcW w:w="4626" w:type="dxa"/>
            <w:noWrap w:val="0"/>
            <w:vAlign w:val="center"/>
          </w:tcPr>
          <w:p w14:paraId="42D0A54B">
            <w:pPr>
              <w:spacing w:line="480" w:lineRule="exac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户名：</w:t>
            </w:r>
          </w:p>
        </w:tc>
        <w:tc>
          <w:tcPr>
            <w:tcW w:w="4828" w:type="dxa"/>
            <w:noWrap w:val="0"/>
            <w:vAlign w:val="center"/>
          </w:tcPr>
          <w:p w14:paraId="6547A96C">
            <w:pPr>
              <w:spacing w:line="480" w:lineRule="exact"/>
              <w:ind w:left="720" w:hanging="840" w:hangingChars="300"/>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rPr>
              <w:t>户名：</w:t>
            </w:r>
          </w:p>
        </w:tc>
      </w:tr>
      <w:tr w14:paraId="32A80C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48" w:hRule="atLeast"/>
          <w:jc w:val="center"/>
        </w:trPr>
        <w:tc>
          <w:tcPr>
            <w:tcW w:w="4626" w:type="dxa"/>
            <w:noWrap w:val="0"/>
            <w:vAlign w:val="center"/>
          </w:tcPr>
          <w:p w14:paraId="71F9143F">
            <w:pPr>
              <w:spacing w:line="480" w:lineRule="exact"/>
              <w:rPr>
                <w:rFonts w:hint="eastAsia" w:ascii="仿宋" w:hAnsi="仿宋" w:eastAsia="仿宋" w:cs="仿宋"/>
                <w:bCs/>
                <w:color w:val="auto"/>
                <w:sz w:val="28"/>
                <w:szCs w:val="28"/>
                <w:highlight w:val="none"/>
                <w:lang w:val="en-US" w:eastAsia="zh-CN"/>
              </w:rPr>
            </w:pPr>
            <w:r>
              <w:rPr>
                <w:rFonts w:hint="eastAsia" w:ascii="仿宋" w:hAnsi="仿宋" w:eastAsia="仿宋" w:cs="仿宋"/>
                <w:bCs/>
                <w:color w:val="auto"/>
                <w:sz w:val="28"/>
                <w:szCs w:val="28"/>
                <w:highlight w:val="none"/>
                <w:lang w:eastAsia="zh-CN"/>
              </w:rPr>
              <w:t>账号</w:t>
            </w:r>
            <w:r>
              <w:rPr>
                <w:rFonts w:hint="eastAsia" w:ascii="仿宋" w:hAnsi="仿宋" w:eastAsia="仿宋" w:cs="仿宋"/>
                <w:bCs/>
                <w:color w:val="auto"/>
                <w:sz w:val="28"/>
                <w:szCs w:val="28"/>
                <w:highlight w:val="none"/>
              </w:rPr>
              <w:t>：</w:t>
            </w:r>
          </w:p>
        </w:tc>
        <w:tc>
          <w:tcPr>
            <w:tcW w:w="4828" w:type="dxa"/>
            <w:noWrap w:val="0"/>
            <w:vAlign w:val="center"/>
          </w:tcPr>
          <w:p w14:paraId="0A18C92A">
            <w:pPr>
              <w:spacing w:line="480" w:lineRule="exac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eastAsia="zh-CN"/>
              </w:rPr>
              <w:t>账号</w:t>
            </w:r>
            <w:r>
              <w:rPr>
                <w:rFonts w:hint="eastAsia" w:ascii="仿宋" w:hAnsi="仿宋" w:eastAsia="仿宋" w:cs="仿宋"/>
                <w:bCs/>
                <w:color w:val="auto"/>
                <w:sz w:val="28"/>
                <w:szCs w:val="28"/>
                <w:highlight w:val="none"/>
              </w:rPr>
              <w:t>：</w:t>
            </w:r>
          </w:p>
        </w:tc>
      </w:tr>
      <w:tr w14:paraId="269B7C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1" w:hRule="atLeast"/>
          <w:jc w:val="center"/>
        </w:trPr>
        <w:tc>
          <w:tcPr>
            <w:tcW w:w="4626" w:type="dxa"/>
            <w:noWrap w:val="0"/>
            <w:vAlign w:val="center"/>
          </w:tcPr>
          <w:p w14:paraId="2147C8AF">
            <w:pPr>
              <w:spacing w:line="480" w:lineRule="exac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签订</w:t>
            </w:r>
            <w:r>
              <w:rPr>
                <w:rFonts w:hint="eastAsia" w:ascii="仿宋" w:hAnsi="仿宋" w:eastAsia="仿宋" w:cs="仿宋"/>
                <w:bCs/>
                <w:color w:val="auto"/>
                <w:sz w:val="28"/>
                <w:szCs w:val="28"/>
                <w:highlight w:val="none"/>
              </w:rPr>
              <w:t>日期：     年   月   日</w:t>
            </w:r>
          </w:p>
        </w:tc>
        <w:tc>
          <w:tcPr>
            <w:tcW w:w="4828" w:type="dxa"/>
            <w:noWrap w:val="0"/>
            <w:vAlign w:val="center"/>
          </w:tcPr>
          <w:p w14:paraId="5F9F20F4">
            <w:pPr>
              <w:spacing w:line="480" w:lineRule="exact"/>
              <w:rPr>
                <w:rFonts w:hint="eastAsia" w:ascii="仿宋" w:hAnsi="仿宋" w:eastAsia="仿宋" w:cs="仿宋"/>
                <w:bCs/>
                <w:color w:val="auto"/>
                <w:sz w:val="28"/>
                <w:szCs w:val="28"/>
                <w:highlight w:val="none"/>
              </w:rPr>
            </w:pPr>
            <w:r>
              <w:rPr>
                <w:rFonts w:hint="eastAsia" w:ascii="仿宋" w:hAnsi="仿宋" w:eastAsia="仿宋" w:cs="仿宋"/>
                <w:bCs/>
                <w:color w:val="auto"/>
                <w:sz w:val="28"/>
                <w:szCs w:val="28"/>
                <w:highlight w:val="none"/>
                <w:lang w:val="en-US" w:eastAsia="zh-CN"/>
              </w:rPr>
              <w:t>签订</w:t>
            </w:r>
            <w:r>
              <w:rPr>
                <w:rFonts w:hint="eastAsia" w:ascii="仿宋" w:hAnsi="仿宋" w:eastAsia="仿宋" w:cs="仿宋"/>
                <w:bCs/>
                <w:color w:val="auto"/>
                <w:sz w:val="28"/>
                <w:szCs w:val="28"/>
                <w:highlight w:val="none"/>
              </w:rPr>
              <w:t>日期：    年   月   日</w:t>
            </w:r>
          </w:p>
        </w:tc>
      </w:tr>
    </w:tbl>
    <w:p w14:paraId="1D7DE489">
      <w:pPr>
        <w:spacing w:line="360" w:lineRule="auto"/>
        <w:rPr>
          <w:rFonts w:asciiTheme="minorEastAsia" w:hAnsiTheme="minorEastAsia" w:eastAsiaTheme="minorEastAsia"/>
          <w:color w:val="auto"/>
          <w:sz w:val="24"/>
          <w:highlight w:val="none"/>
        </w:rPr>
      </w:pPr>
    </w:p>
    <w:p w14:paraId="4F2C00C8">
      <w:pP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3F6A939">
      <w:pPr>
        <w:pStyle w:val="2"/>
        <w:ind w:left="0" w:leftChars="0" w:firstLine="0" w:firstLineChars="0"/>
        <w:jc w:val="center"/>
        <w:rPr>
          <w:rFonts w:hint="eastAsia" w:ascii="仿宋" w:hAnsi="仿宋" w:eastAsia="仿宋" w:cs="仿宋"/>
          <w:b/>
          <w:bCs w:val="0"/>
          <w:color w:val="auto"/>
          <w:kern w:val="0"/>
          <w:sz w:val="32"/>
          <w:szCs w:val="32"/>
          <w:highlight w:val="none"/>
          <w:lang w:val="en-US" w:eastAsia="en-US" w:bidi="ar-SA"/>
        </w:rPr>
      </w:pPr>
      <w:r>
        <w:rPr>
          <w:rFonts w:hint="eastAsia" w:ascii="仿宋" w:hAnsi="仿宋" w:eastAsia="仿宋" w:cs="仿宋"/>
          <w:b/>
          <w:bCs w:val="0"/>
          <w:color w:val="auto"/>
          <w:kern w:val="0"/>
          <w:sz w:val="32"/>
          <w:szCs w:val="32"/>
          <w:highlight w:val="none"/>
          <w:lang w:val="en-US" w:eastAsia="en-US" w:bidi="ar-SA"/>
        </w:rPr>
        <w:t>法定代表人授权委托书</w:t>
      </w:r>
    </w:p>
    <w:p w14:paraId="5C40912F">
      <w:pPr>
        <w:pStyle w:val="2"/>
        <w:ind w:left="0" w:leftChars="0" w:firstLine="0" w:firstLineChars="0"/>
        <w:jc w:val="center"/>
        <w:rPr>
          <w:rFonts w:hint="eastAsia" w:ascii="仿宋" w:hAnsi="仿宋" w:eastAsia="仿宋" w:cs="仿宋"/>
          <w:bCs/>
          <w:color w:val="auto"/>
          <w:kern w:val="0"/>
          <w:sz w:val="28"/>
          <w:szCs w:val="28"/>
          <w:highlight w:val="none"/>
          <w:u w:val="none"/>
          <w:lang w:val="en-US" w:eastAsia="zh-CN" w:bidi="ar-SA"/>
        </w:rPr>
      </w:pPr>
      <w:r>
        <w:rPr>
          <w:rFonts w:hint="eastAsia" w:ascii="仿宋" w:hAnsi="仿宋" w:eastAsia="仿宋" w:cs="仿宋"/>
          <w:bCs/>
          <w:color w:val="auto"/>
          <w:kern w:val="0"/>
          <w:sz w:val="28"/>
          <w:szCs w:val="28"/>
          <w:highlight w:val="none"/>
          <w:u w:val="none"/>
          <w:lang w:val="en-US" w:eastAsia="zh-CN" w:bidi="ar-SA"/>
        </w:rPr>
        <w:t>（</w:t>
      </w:r>
      <w:r>
        <w:rPr>
          <w:rFonts w:hint="default" w:ascii="仿宋" w:hAnsi="仿宋" w:eastAsia="仿宋" w:cs="仿宋"/>
          <w:bCs/>
          <w:color w:val="auto"/>
          <w:kern w:val="0"/>
          <w:sz w:val="28"/>
          <w:szCs w:val="28"/>
          <w:highlight w:val="none"/>
          <w:u w:val="none"/>
          <w:lang w:val="en-US" w:eastAsia="zh-CN" w:bidi="ar-SA"/>
        </w:rPr>
        <w:t>本合同由授权委托人签署的，须附具本法定代表人授权委托书</w:t>
      </w:r>
      <w:r>
        <w:rPr>
          <w:rFonts w:hint="eastAsia" w:ascii="仿宋" w:hAnsi="仿宋" w:eastAsia="仿宋" w:cs="仿宋"/>
          <w:bCs/>
          <w:color w:val="auto"/>
          <w:kern w:val="0"/>
          <w:sz w:val="28"/>
          <w:szCs w:val="28"/>
          <w:highlight w:val="none"/>
          <w:u w:val="none"/>
          <w:lang w:val="en-US" w:eastAsia="zh-CN" w:bidi="ar-SA"/>
        </w:rPr>
        <w:t>）</w:t>
      </w:r>
    </w:p>
    <w:p w14:paraId="3CB136F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bCs/>
          <w:color w:val="auto"/>
          <w:kern w:val="0"/>
          <w:sz w:val="28"/>
          <w:szCs w:val="28"/>
          <w:highlight w:val="none"/>
          <w:lang w:val="en-US" w:eastAsia="zh-CN" w:bidi="ar-SA"/>
        </w:rPr>
      </w:pPr>
    </w:p>
    <w:p w14:paraId="025E3B1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 w:hAnsi="仿宋" w:eastAsia="仿宋" w:cs="仿宋"/>
          <w:bCs/>
          <w:color w:val="auto"/>
          <w:kern w:val="0"/>
          <w:sz w:val="28"/>
          <w:szCs w:val="28"/>
          <w:highlight w:val="none"/>
          <w:lang w:val="en-US" w:eastAsia="zh-CN" w:bidi="ar-SA"/>
        </w:rPr>
      </w:pPr>
      <w:r>
        <w:rPr>
          <w:rFonts w:hint="eastAsia" w:ascii="仿宋" w:hAnsi="仿宋" w:eastAsia="仿宋" w:cs="仿宋"/>
          <w:bCs/>
          <w:color w:val="auto"/>
          <w:kern w:val="0"/>
          <w:sz w:val="28"/>
          <w:szCs w:val="28"/>
          <w:highlight w:val="none"/>
          <w:lang w:val="en-US" w:eastAsia="zh-CN" w:bidi="ar-SA"/>
        </w:rPr>
        <w:t>本人</w:t>
      </w:r>
      <w:r>
        <w:rPr>
          <w:rFonts w:hint="eastAsia" w:ascii="仿宋" w:hAnsi="仿宋" w:eastAsia="仿宋" w:cs="仿宋"/>
          <w:bCs/>
          <w:color w:val="auto"/>
          <w:kern w:val="0"/>
          <w:sz w:val="28"/>
          <w:szCs w:val="28"/>
          <w:highlight w:val="none"/>
          <w:u w:val="single"/>
          <w:lang w:val="en-US" w:eastAsia="zh-CN" w:bidi="ar-SA"/>
        </w:rPr>
        <w:t xml:space="preserve">          </w:t>
      </w:r>
      <w:r>
        <w:rPr>
          <w:rFonts w:hint="eastAsia" w:ascii="仿宋" w:hAnsi="仿宋" w:eastAsia="仿宋" w:cs="仿宋"/>
          <w:bCs/>
          <w:color w:val="auto"/>
          <w:kern w:val="0"/>
          <w:sz w:val="28"/>
          <w:szCs w:val="28"/>
          <w:highlight w:val="none"/>
          <w:lang w:val="en-US" w:eastAsia="zh-CN" w:bidi="ar-SA"/>
        </w:rPr>
        <w:t>，系</w:t>
      </w:r>
      <w:r>
        <w:rPr>
          <w:rFonts w:hint="eastAsia" w:ascii="仿宋" w:hAnsi="仿宋" w:eastAsia="仿宋" w:cs="仿宋"/>
          <w:bCs/>
          <w:color w:val="auto"/>
          <w:kern w:val="0"/>
          <w:sz w:val="28"/>
          <w:szCs w:val="28"/>
          <w:highlight w:val="none"/>
          <w:u w:val="single"/>
          <w:lang w:val="en-US" w:eastAsia="zh-CN" w:bidi="ar-SA"/>
        </w:rPr>
        <w:t xml:space="preserve">            </w:t>
      </w:r>
      <w:r>
        <w:rPr>
          <w:rFonts w:hint="eastAsia" w:ascii="仿宋" w:hAnsi="仿宋" w:eastAsia="仿宋" w:cs="仿宋"/>
          <w:bCs/>
          <w:color w:val="auto"/>
          <w:kern w:val="0"/>
          <w:sz w:val="28"/>
          <w:szCs w:val="28"/>
          <w:highlight w:val="none"/>
          <w:lang w:val="en-US" w:eastAsia="zh-CN" w:bidi="ar-SA"/>
        </w:rPr>
        <w:t>（单位名称）法定代表人，现委托</w:t>
      </w:r>
      <w:r>
        <w:rPr>
          <w:rFonts w:hint="eastAsia" w:ascii="仿宋" w:hAnsi="仿宋" w:eastAsia="仿宋" w:cs="仿宋"/>
          <w:bCs/>
          <w:color w:val="auto"/>
          <w:kern w:val="0"/>
          <w:sz w:val="28"/>
          <w:szCs w:val="28"/>
          <w:highlight w:val="none"/>
          <w:u w:val="single"/>
          <w:lang w:val="en-US" w:eastAsia="zh-CN" w:bidi="ar-SA"/>
        </w:rPr>
        <w:t xml:space="preserve">        </w:t>
      </w:r>
      <w:r>
        <w:rPr>
          <w:rFonts w:hint="eastAsia" w:ascii="仿宋" w:hAnsi="仿宋" w:eastAsia="仿宋" w:cs="仿宋"/>
          <w:bCs/>
          <w:color w:val="auto"/>
          <w:kern w:val="0"/>
          <w:sz w:val="28"/>
          <w:szCs w:val="28"/>
          <w:highlight w:val="none"/>
          <w:lang w:val="en-US" w:eastAsia="zh-CN" w:bidi="ar-SA"/>
        </w:rPr>
        <w:t>（身份证号：</w:t>
      </w:r>
      <w:r>
        <w:rPr>
          <w:rFonts w:hint="eastAsia" w:ascii="仿宋" w:hAnsi="仿宋" w:eastAsia="仿宋" w:cs="仿宋"/>
          <w:bCs/>
          <w:color w:val="auto"/>
          <w:kern w:val="0"/>
          <w:sz w:val="28"/>
          <w:szCs w:val="28"/>
          <w:highlight w:val="none"/>
          <w:u w:val="single"/>
          <w:lang w:val="en-US" w:eastAsia="zh-CN" w:bidi="ar-SA"/>
        </w:rPr>
        <w:t xml:space="preserve">                 </w:t>
      </w:r>
      <w:r>
        <w:rPr>
          <w:rFonts w:hint="eastAsia" w:ascii="仿宋" w:hAnsi="仿宋" w:eastAsia="仿宋" w:cs="仿宋"/>
          <w:bCs/>
          <w:color w:val="auto"/>
          <w:kern w:val="0"/>
          <w:sz w:val="28"/>
          <w:szCs w:val="28"/>
          <w:highlight w:val="none"/>
          <w:lang w:val="en-US" w:eastAsia="zh-CN" w:bidi="ar-SA"/>
        </w:rPr>
        <w:t>）为我方授权委托人，签署、履行</w:t>
      </w:r>
      <w:r>
        <w:rPr>
          <w:rFonts w:hint="default" w:ascii="仿宋" w:hAnsi="仿宋" w:eastAsia="仿宋" w:cs="仿宋"/>
          <w:bCs/>
          <w:color w:val="auto"/>
          <w:kern w:val="0"/>
          <w:sz w:val="28"/>
          <w:szCs w:val="28"/>
          <w:highlight w:val="none"/>
          <w:u w:val="single"/>
          <w:lang w:val="en-US" w:eastAsia="zh-CN" w:bidi="ar-SA"/>
        </w:rPr>
        <w:t>安徽省凤阳县梅家庄-圣庙地区金</w:t>
      </w:r>
      <w:r>
        <w:rPr>
          <w:rFonts w:hint="eastAsia" w:ascii="仿宋" w:hAnsi="仿宋" w:eastAsia="仿宋" w:cs="仿宋"/>
          <w:bCs/>
          <w:color w:val="auto"/>
          <w:kern w:val="0"/>
          <w:sz w:val="28"/>
          <w:szCs w:val="28"/>
          <w:highlight w:val="none"/>
          <w:u w:val="single"/>
          <w:lang w:val="en-US" w:eastAsia="zh-CN" w:bidi="ar-SA"/>
        </w:rPr>
        <w:t>钼</w:t>
      </w:r>
      <w:r>
        <w:rPr>
          <w:rFonts w:hint="default" w:ascii="仿宋" w:hAnsi="仿宋" w:eastAsia="仿宋" w:cs="仿宋"/>
          <w:bCs/>
          <w:color w:val="auto"/>
          <w:kern w:val="0"/>
          <w:sz w:val="28"/>
          <w:szCs w:val="28"/>
          <w:highlight w:val="none"/>
          <w:u w:val="single"/>
          <w:lang w:val="en-US" w:eastAsia="zh-CN" w:bidi="ar-SA"/>
        </w:rPr>
        <w:t>多金属矿普查</w:t>
      </w:r>
      <w:r>
        <w:rPr>
          <w:rFonts w:hint="eastAsia" w:ascii="仿宋" w:hAnsi="仿宋" w:eastAsia="仿宋" w:cs="仿宋"/>
          <w:bCs/>
          <w:color w:val="auto"/>
          <w:kern w:val="0"/>
          <w:sz w:val="28"/>
          <w:szCs w:val="28"/>
          <w:highlight w:val="none"/>
          <w:u w:val="single"/>
          <w:lang w:val="en-US" w:eastAsia="zh-CN" w:bidi="ar-SA"/>
        </w:rPr>
        <w:t>（续作）</w:t>
      </w:r>
      <w:r>
        <w:rPr>
          <w:rFonts w:hint="default" w:ascii="仿宋" w:hAnsi="仿宋" w:eastAsia="仿宋" w:cs="仿宋"/>
          <w:bCs/>
          <w:color w:val="auto"/>
          <w:kern w:val="0"/>
          <w:sz w:val="28"/>
          <w:szCs w:val="28"/>
          <w:highlight w:val="none"/>
          <w:u w:val="single"/>
          <w:lang w:val="en-US" w:eastAsia="zh-CN" w:bidi="ar-SA"/>
        </w:rPr>
        <w:t>矿产地质钻探技术服务</w:t>
      </w:r>
      <w:r>
        <w:rPr>
          <w:rFonts w:hint="eastAsia" w:ascii="仿宋" w:hAnsi="仿宋" w:eastAsia="仿宋" w:cs="仿宋"/>
          <w:bCs/>
          <w:color w:val="auto"/>
          <w:kern w:val="0"/>
          <w:sz w:val="28"/>
          <w:szCs w:val="28"/>
          <w:highlight w:val="none"/>
          <w:u w:val="single"/>
          <w:lang w:val="en-US" w:eastAsia="zh-CN" w:bidi="ar-SA"/>
        </w:rPr>
        <w:t>_</w:t>
      </w:r>
      <w:r>
        <w:rPr>
          <w:rFonts w:hint="eastAsia" w:ascii="仿宋" w:hAnsi="仿宋" w:eastAsia="仿宋" w:cs="仿宋"/>
          <w:bCs/>
          <w:color w:val="auto"/>
          <w:kern w:val="0"/>
          <w:sz w:val="28"/>
          <w:szCs w:val="28"/>
          <w:highlight w:val="none"/>
          <w:lang w:val="en-US" w:eastAsia="zh-CN" w:bidi="ar-SA"/>
        </w:rPr>
        <w:t>项目合同及相关履约文件，其签署文件法律后果由我方承担。</w:t>
      </w:r>
    </w:p>
    <w:p w14:paraId="25CAC67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560" w:firstLineChars="200"/>
        <w:jc w:val="left"/>
        <w:rPr>
          <w:rFonts w:hint="eastAsia" w:ascii="仿宋" w:hAnsi="仿宋" w:eastAsia="仿宋" w:cs="仿宋"/>
          <w:bCs/>
          <w:color w:val="auto"/>
          <w:kern w:val="0"/>
          <w:sz w:val="28"/>
          <w:szCs w:val="28"/>
          <w:highlight w:val="none"/>
          <w:lang w:val="en-US" w:eastAsia="en-US" w:bidi="ar-SA"/>
        </w:rPr>
      </w:pPr>
      <w:r>
        <w:rPr>
          <w:rFonts w:hint="eastAsia" w:ascii="仿宋" w:hAnsi="仿宋" w:eastAsia="仿宋" w:cs="仿宋"/>
          <w:bCs/>
          <w:color w:val="auto"/>
          <w:kern w:val="0"/>
          <w:sz w:val="28"/>
          <w:szCs w:val="28"/>
          <w:highlight w:val="none"/>
          <w:lang w:val="en-US" w:eastAsia="zh-CN" w:bidi="ar-SA"/>
        </w:rPr>
        <w:t>委托期限：自出具之日起至本合同全部履行完毕。受托人无转委托权。</w:t>
      </w:r>
    </w:p>
    <w:p w14:paraId="135D737B">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jc w:val="left"/>
        <w:rPr>
          <w:rFonts w:hint="eastAsia" w:ascii="仿宋" w:hAnsi="仿宋" w:eastAsia="仿宋" w:cs="仿宋"/>
          <w:bCs/>
          <w:color w:val="auto"/>
          <w:kern w:val="0"/>
          <w:sz w:val="28"/>
          <w:szCs w:val="28"/>
          <w:highlight w:val="none"/>
          <w:lang w:val="en-US" w:eastAsia="zh-CN" w:bidi="ar-SA"/>
        </w:rPr>
      </w:pPr>
    </w:p>
    <w:p w14:paraId="3B9E769E">
      <w:pPr>
        <w:pStyle w:val="2"/>
        <w:rPr>
          <w:rFonts w:hint="eastAsia"/>
          <w:color w:val="auto"/>
          <w:highlight w:val="none"/>
          <w:lang w:val="en-US" w:eastAsia="zh-CN"/>
        </w:rPr>
      </w:pPr>
    </w:p>
    <w:p w14:paraId="519BFD5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right="0" w:firstLine="4200" w:firstLineChars="1500"/>
        <w:jc w:val="left"/>
        <w:rPr>
          <w:rFonts w:hint="eastAsia" w:ascii="仿宋" w:hAnsi="仿宋" w:eastAsia="仿宋" w:cs="仿宋"/>
          <w:bCs/>
          <w:color w:val="auto"/>
          <w:kern w:val="0"/>
          <w:sz w:val="28"/>
          <w:szCs w:val="28"/>
          <w:highlight w:val="none"/>
          <w:lang w:val="en-US" w:eastAsia="zh-CN" w:bidi="ar-SA"/>
        </w:rPr>
      </w:pPr>
      <w:r>
        <w:rPr>
          <w:rFonts w:hint="eastAsia" w:ascii="仿宋" w:hAnsi="仿宋" w:eastAsia="仿宋" w:cs="仿宋"/>
          <w:bCs/>
          <w:color w:val="auto"/>
          <w:kern w:val="0"/>
          <w:sz w:val="28"/>
          <w:szCs w:val="28"/>
          <w:highlight w:val="none"/>
          <w:lang w:val="en-US" w:eastAsia="zh-CN" w:bidi="ar-SA"/>
        </w:rPr>
        <w:t>单位（盖章）：</w:t>
      </w:r>
    </w:p>
    <w:p w14:paraId="15882557">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0" w:firstLineChars="1500"/>
        <w:jc w:val="left"/>
        <w:rPr>
          <w:rFonts w:hint="eastAsia" w:ascii="仿宋" w:hAnsi="仿宋" w:eastAsia="仿宋" w:cs="仿宋"/>
          <w:bCs/>
          <w:color w:val="auto"/>
          <w:kern w:val="0"/>
          <w:sz w:val="28"/>
          <w:szCs w:val="28"/>
          <w:highlight w:val="none"/>
          <w:lang w:val="en-US" w:eastAsia="zh-CN" w:bidi="ar-SA"/>
        </w:rPr>
      </w:pPr>
      <w:r>
        <w:rPr>
          <w:rFonts w:hint="eastAsia" w:ascii="仿宋" w:hAnsi="仿宋" w:eastAsia="仿宋" w:cs="仿宋"/>
          <w:bCs/>
          <w:color w:val="auto"/>
          <w:kern w:val="0"/>
          <w:sz w:val="28"/>
          <w:szCs w:val="28"/>
          <w:highlight w:val="none"/>
          <w:lang w:val="en-US" w:eastAsia="zh-CN" w:bidi="ar-SA"/>
        </w:rPr>
        <w:t>法定代表人（签章）：</w:t>
      </w:r>
    </w:p>
    <w:p w14:paraId="25843DE3">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0" w:firstLineChars="1500"/>
        <w:jc w:val="left"/>
        <w:rPr>
          <w:rFonts w:hint="eastAsia" w:ascii="仿宋" w:hAnsi="仿宋" w:eastAsia="仿宋" w:cs="仿宋"/>
          <w:bCs/>
          <w:color w:val="auto"/>
          <w:kern w:val="0"/>
          <w:sz w:val="28"/>
          <w:szCs w:val="28"/>
          <w:highlight w:val="none"/>
          <w:lang w:val="en-US" w:eastAsia="zh-CN" w:bidi="ar-SA"/>
        </w:rPr>
      </w:pPr>
      <w:r>
        <w:rPr>
          <w:rFonts w:hint="eastAsia" w:ascii="仿宋" w:hAnsi="仿宋" w:eastAsia="仿宋" w:cs="仿宋"/>
          <w:bCs/>
          <w:color w:val="auto"/>
          <w:kern w:val="0"/>
          <w:sz w:val="28"/>
          <w:szCs w:val="28"/>
          <w:highlight w:val="none"/>
          <w:lang w:val="en-US" w:eastAsia="zh-CN" w:bidi="ar-SA"/>
        </w:rPr>
        <w:t>授权委托人（签字）：</w:t>
      </w:r>
    </w:p>
    <w:p w14:paraId="7301E48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firstLine="4200" w:firstLineChars="1500"/>
        <w:jc w:val="left"/>
        <w:rPr>
          <w:rFonts w:hint="eastAsia" w:ascii="仿宋" w:hAnsi="仿宋" w:eastAsia="仿宋" w:cs="仿宋"/>
          <w:bCs/>
          <w:color w:val="auto"/>
          <w:kern w:val="0"/>
          <w:sz w:val="28"/>
          <w:szCs w:val="28"/>
          <w:highlight w:val="none"/>
          <w:lang w:val="en-US" w:eastAsia="en-US" w:bidi="ar-SA"/>
        </w:rPr>
      </w:pPr>
      <w:r>
        <w:rPr>
          <w:rFonts w:hint="eastAsia" w:ascii="仿宋" w:hAnsi="仿宋" w:eastAsia="仿宋" w:cs="仿宋"/>
          <w:bCs/>
          <w:color w:val="auto"/>
          <w:kern w:val="0"/>
          <w:sz w:val="28"/>
          <w:szCs w:val="28"/>
          <w:highlight w:val="none"/>
          <w:lang w:val="en-US" w:eastAsia="zh-CN" w:bidi="ar-SA"/>
        </w:rPr>
        <w:t>日 期：     年    月   日</w:t>
      </w:r>
    </w:p>
    <w:p w14:paraId="20E88D63">
      <w:pPr>
        <w:pStyle w:val="2"/>
        <w:rPr>
          <w:rFonts w:hint="eastAsia" w:ascii="宋体" w:hAnsi="宋体" w:eastAsia="宋体" w:cs="宋体"/>
          <w:color w:val="auto"/>
          <w:sz w:val="24"/>
          <w:szCs w:val="24"/>
          <w:highlight w:val="none"/>
        </w:rPr>
        <w:sectPr>
          <w:footerReference r:id="rId5" w:type="default"/>
          <w:pgSz w:w="11906" w:h="16838"/>
          <w:pgMar w:top="1440" w:right="1800" w:bottom="1440" w:left="1800" w:header="851" w:footer="992" w:gutter="0"/>
          <w:pgNumType w:fmt="numberInDash" w:start="1"/>
          <w:cols w:space="425" w:num="1"/>
          <w:docGrid w:type="lines" w:linePitch="312" w:charSpace="0"/>
        </w:sectPr>
      </w:pPr>
    </w:p>
    <w:p w14:paraId="094ADE28">
      <w:pPr>
        <w:spacing w:line="560" w:lineRule="exact"/>
        <w:jc w:val="center"/>
        <w:rPr>
          <w:rFonts w:hint="eastAsia" w:ascii="仿宋" w:hAnsi="仿宋" w:eastAsia="仿宋" w:cs="仿宋"/>
          <w:b/>
          <w:color w:val="auto"/>
          <w:sz w:val="48"/>
          <w:szCs w:val="48"/>
          <w:highlight w:val="none"/>
        </w:rPr>
      </w:pPr>
      <w:r>
        <w:rPr>
          <w:rFonts w:hint="eastAsia" w:ascii="仿宋" w:hAnsi="仿宋" w:eastAsia="仿宋" w:cs="仿宋"/>
          <w:b/>
          <w:color w:val="auto"/>
          <w:sz w:val="48"/>
          <w:szCs w:val="48"/>
          <w:highlight w:val="none"/>
        </w:rPr>
        <w:t>安全生产管理协议</w:t>
      </w:r>
    </w:p>
    <w:p w14:paraId="37E8F033">
      <w:pPr>
        <w:spacing w:line="560" w:lineRule="exact"/>
        <w:rPr>
          <w:rFonts w:hint="eastAsia" w:ascii="仿宋" w:hAnsi="仿宋" w:eastAsia="仿宋" w:cs="仿宋"/>
          <w:color w:val="auto"/>
          <w:sz w:val="28"/>
          <w:szCs w:val="28"/>
          <w:highlight w:val="none"/>
        </w:rPr>
      </w:pPr>
    </w:p>
    <w:p w14:paraId="000C90CF">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28"/>
          <w:szCs w:val="28"/>
          <w:highlight w:val="none"/>
          <w:u w:val="single"/>
        </w:rPr>
      </w:pPr>
      <w:r>
        <w:rPr>
          <w:rFonts w:hint="eastAsia" w:ascii="仿宋" w:hAnsi="仿宋" w:eastAsia="仿宋" w:cs="仿宋"/>
          <w:color w:val="auto"/>
          <w:sz w:val="28"/>
          <w:szCs w:val="28"/>
          <w:highlight w:val="none"/>
        </w:rPr>
        <w:t>甲方：</w:t>
      </w:r>
      <w:r>
        <w:rPr>
          <w:rFonts w:hint="eastAsia" w:ascii="仿宋" w:hAnsi="仿宋" w:eastAsia="仿宋" w:cs="仿宋"/>
          <w:color w:val="auto"/>
          <w:sz w:val="28"/>
          <w:szCs w:val="28"/>
          <w:highlight w:val="none"/>
          <w:u w:val="single"/>
        </w:rPr>
        <w:t>华东冶金地质勘查局八一一地质队</w:t>
      </w:r>
    </w:p>
    <w:p w14:paraId="1D060DFD">
      <w:pPr>
        <w:keepNext w:val="0"/>
        <w:keepLines w:val="0"/>
        <w:pageBreakBefore w:val="0"/>
        <w:widowControl w:val="0"/>
        <w:kinsoku/>
        <w:wordWrap/>
        <w:overflowPunct/>
        <w:topLinePunct w:val="0"/>
        <w:autoSpaceDE/>
        <w:autoSpaceDN/>
        <w:bidi w:val="0"/>
        <w:adjustRightInd/>
        <w:snapToGrid/>
        <w:spacing w:line="520" w:lineRule="exact"/>
        <w:textAlignment w:val="auto"/>
        <w:rPr>
          <w:rFonts w:hint="default" w:ascii="仿宋" w:hAnsi="仿宋" w:eastAsia="仿宋" w:cs="仿宋"/>
          <w:color w:val="auto"/>
          <w:sz w:val="28"/>
          <w:szCs w:val="28"/>
          <w:highlight w:val="none"/>
          <w:u w:val="single"/>
          <w:lang w:val="en-US" w:eastAsia="zh-CN"/>
        </w:rPr>
      </w:pPr>
      <w:r>
        <w:rPr>
          <w:rFonts w:hint="eastAsia" w:ascii="仿宋" w:hAnsi="仿宋" w:eastAsia="仿宋" w:cs="仿宋"/>
          <w:color w:val="auto"/>
          <w:sz w:val="28"/>
          <w:szCs w:val="28"/>
          <w:highlight w:val="none"/>
        </w:rPr>
        <w:t>乙方：</w:t>
      </w:r>
      <w:r>
        <w:rPr>
          <w:rFonts w:hint="eastAsia" w:ascii="仿宋" w:hAnsi="仿宋" w:eastAsia="仿宋" w:cs="仿宋"/>
          <w:color w:val="auto"/>
          <w:sz w:val="28"/>
          <w:szCs w:val="28"/>
          <w:highlight w:val="none"/>
          <w:u w:val="single"/>
          <w:lang w:val="en-US" w:eastAsia="zh-CN"/>
        </w:rPr>
        <w:t xml:space="preserve">                              </w:t>
      </w:r>
    </w:p>
    <w:p w14:paraId="64D756E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依照</w:t>
      </w:r>
      <w:r>
        <w:rPr>
          <w:rFonts w:hint="eastAsia" w:ascii="仿宋" w:hAnsi="仿宋" w:eastAsia="仿宋" w:cs="仿宋"/>
          <w:color w:val="auto"/>
          <w:sz w:val="28"/>
          <w:szCs w:val="28"/>
          <w:highlight w:val="none"/>
          <w:u w:val="none"/>
        </w:rPr>
        <w:t>《中华人民共和国民法典》</w:t>
      </w:r>
      <w:r>
        <w:rPr>
          <w:rFonts w:hint="eastAsia" w:ascii="仿宋" w:hAnsi="仿宋" w:eastAsia="仿宋" w:cs="仿宋"/>
          <w:color w:val="auto"/>
          <w:sz w:val="28"/>
          <w:szCs w:val="28"/>
          <w:highlight w:val="none"/>
        </w:rPr>
        <w:t>《中华人民共和国安全生产法》及其他有关法律法规，遵循平等、自愿、公平和诚实信用的原则，甲、乙双方就</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u w:val="single"/>
        </w:rPr>
        <w:t>安徽省凤阳县梅家庄-圣庙地区金</w:t>
      </w:r>
      <w:r>
        <w:rPr>
          <w:rFonts w:hint="eastAsia" w:ascii="仿宋" w:hAnsi="仿宋" w:eastAsia="仿宋" w:cs="仿宋"/>
          <w:color w:val="auto"/>
          <w:sz w:val="28"/>
          <w:szCs w:val="28"/>
          <w:highlight w:val="none"/>
          <w:u w:val="single"/>
          <w:lang w:val="en-US" w:eastAsia="zh-CN"/>
        </w:rPr>
        <w:t>钼</w:t>
      </w:r>
      <w:r>
        <w:rPr>
          <w:rFonts w:hint="eastAsia" w:ascii="仿宋" w:hAnsi="仿宋" w:eastAsia="仿宋" w:cs="仿宋"/>
          <w:color w:val="auto"/>
          <w:sz w:val="28"/>
          <w:szCs w:val="28"/>
          <w:highlight w:val="none"/>
          <w:u w:val="single"/>
        </w:rPr>
        <w:t>多金属矿普查</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u w:val="single"/>
          <w:lang w:val="en-US" w:eastAsia="zh-CN"/>
        </w:rPr>
        <w:t>续作</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u w:val="single"/>
        </w:rPr>
        <w:t>矿产地质钻探技术服务项目</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，经协商达成一致意见。为贯彻“安全第一、预防为主、综合治理”的方针，明确双方的安全生产职责和权限，切实</w:t>
      </w:r>
      <w:r>
        <w:rPr>
          <w:rFonts w:hint="eastAsia" w:ascii="仿宋" w:hAnsi="仿宋" w:eastAsia="仿宋" w:cs="仿宋"/>
          <w:color w:val="auto"/>
          <w:sz w:val="28"/>
          <w:szCs w:val="28"/>
          <w:highlight w:val="none"/>
          <w:lang w:val="en-US" w:eastAsia="zh-CN"/>
        </w:rPr>
        <w:t>做</w:t>
      </w:r>
      <w:r>
        <w:rPr>
          <w:rFonts w:hint="eastAsia" w:ascii="仿宋" w:hAnsi="仿宋" w:eastAsia="仿宋" w:cs="仿宋"/>
          <w:color w:val="auto"/>
          <w:sz w:val="28"/>
          <w:szCs w:val="28"/>
          <w:highlight w:val="none"/>
        </w:rPr>
        <w:t>好本项目的安全管理工作，确保施工安全，签订本协议。</w:t>
      </w:r>
    </w:p>
    <w:p w14:paraId="681F856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一、甲方职责</w:t>
      </w:r>
    </w:p>
    <w:p w14:paraId="1905931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严格遵守国家有关安全生产法律法规和强制性规定的要求，认真执行工程合同中有关安全生产的要求。</w:t>
      </w:r>
    </w:p>
    <w:p w14:paraId="478E4B3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甲方不得对乙方提出不符合建设工程安全生产法律法规和强制性规定的要求，不得要求乙方违反安全管理的规定进行施工。</w:t>
      </w:r>
    </w:p>
    <w:p w14:paraId="3C763860">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甲方不得明示或暗示乙方购买、租赁、使用不符合安全施工要求的防护用品、机械设备、施工机具及配件。</w:t>
      </w:r>
    </w:p>
    <w:p w14:paraId="52C2248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定期召开安全生产调度会，及时传达中央及地方有关安全的精神。</w:t>
      </w:r>
    </w:p>
    <w:p w14:paraId="511E685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甲方组织对乙方施工现场安全生产检查，监督乙方及时处理发现的各种安全隐患。</w:t>
      </w:r>
    </w:p>
    <w:p w14:paraId="2184AAB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甲方对乙方的各种违章违约有权做出经济处罚，对乙方违反安全规定冒险蛮干的有权责令其停工整顿、甚至退场。</w:t>
      </w:r>
    </w:p>
    <w:p w14:paraId="678D328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二、乙方责任</w:t>
      </w:r>
    </w:p>
    <w:p w14:paraId="4E08ADD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严格遵守国家有关安全生产的法规，认真执行主合同中有关安全生产的要求，坚持“安全第一，预防为主，综合治理”的方针，乙方对其施工现场、施工过程中发生的安全事故负全责，并独立承担由此造成的经济责任和法律责任。</w:t>
      </w:r>
    </w:p>
    <w:p w14:paraId="38FC62C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乙方应当具有由有关部门颁发的安全生产许可证，乙方主要负责人依法对本单位的安全生产工作全面负责，乙方的项目负责人应取得相应资格的人员担任，对项目的安全施工负责。</w:t>
      </w:r>
    </w:p>
    <w:p w14:paraId="3374408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乙方必须保证安全投入的有效实施，为施工现场人员的安全负责。</w:t>
      </w:r>
    </w:p>
    <w:p w14:paraId="61D0653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乙方应配备安全员一名，专职负责安全生产现场监督检查，发现安全事故隐患，应当及时向项目负责人和安全生产管理机构报告，对违章指挥、违章操作的应当及时制止。</w:t>
      </w:r>
    </w:p>
    <w:p w14:paraId="405AD2E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乙方应当遵守甲方的有关安全生产管理制度，服从甲方安全生产管理，严格按照标准组织施工，接受甲方安全检查人员依法实施的监督检查，采用必要的安全防护措施，消除事故隐患。</w:t>
      </w:r>
    </w:p>
    <w:p w14:paraId="0FF8400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6</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乙方应当建立健全的安全生产责任制度和安全教育培训制度，制度安全生产规章制度和操作规程，对所承担的工程进行定期和不定期的专项安全检查，并作安全检查记录。</w:t>
      </w:r>
    </w:p>
    <w:p w14:paraId="6EE7368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乙方采购、租赁的安全防护用具、机械设备、施工机具及配件，应具有“三证”，即生产许可证、产品合格证和安全鉴定证，必须经验收合格后方能进入现场使用。</w:t>
      </w:r>
    </w:p>
    <w:p w14:paraId="62756C7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8</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危险部分设置明显的安全警示标志，安全警示标志必须符合国家标准。</w:t>
      </w:r>
    </w:p>
    <w:p w14:paraId="7479398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9</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发生安全事故，乙方应按国家相关规定及时、如实的进行上报，不得瞒报或拖延不报。商业保险由乙方承担。</w:t>
      </w:r>
    </w:p>
    <w:p w14:paraId="2053DF0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三、目标控制</w:t>
      </w:r>
    </w:p>
    <w:p w14:paraId="180F478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1</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施工现场安全用电规范化，安全程度达到100%</w:t>
      </w:r>
      <w:r>
        <w:rPr>
          <w:rFonts w:hint="eastAsia" w:ascii="仿宋" w:hAnsi="仿宋" w:eastAsia="仿宋" w:cs="仿宋"/>
          <w:color w:val="auto"/>
          <w:sz w:val="28"/>
          <w:szCs w:val="28"/>
          <w:highlight w:val="none"/>
          <w:lang w:eastAsia="zh-CN"/>
        </w:rPr>
        <w:t>；</w:t>
      </w:r>
    </w:p>
    <w:p w14:paraId="7902B13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2</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对施工人员安全教育、管理普及面达到100%</w:t>
      </w:r>
      <w:r>
        <w:rPr>
          <w:rFonts w:hint="eastAsia" w:ascii="仿宋" w:hAnsi="仿宋" w:eastAsia="仿宋" w:cs="仿宋"/>
          <w:color w:val="auto"/>
          <w:sz w:val="28"/>
          <w:szCs w:val="28"/>
          <w:highlight w:val="none"/>
          <w:lang w:eastAsia="zh-CN"/>
        </w:rPr>
        <w:t>；</w:t>
      </w:r>
    </w:p>
    <w:p w14:paraId="5C8270A6">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3</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特殊工种持证上岗率达到100%</w:t>
      </w:r>
      <w:r>
        <w:rPr>
          <w:rFonts w:hint="eastAsia" w:ascii="仿宋" w:hAnsi="仿宋" w:eastAsia="仿宋" w:cs="仿宋"/>
          <w:color w:val="auto"/>
          <w:sz w:val="28"/>
          <w:szCs w:val="28"/>
          <w:highlight w:val="none"/>
          <w:lang w:eastAsia="zh-CN"/>
        </w:rPr>
        <w:t>；</w:t>
      </w:r>
    </w:p>
    <w:p w14:paraId="7693A0D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4</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施工现场人员无违法乱纪的人和事，控制目标99%</w:t>
      </w:r>
      <w:r>
        <w:rPr>
          <w:rFonts w:hint="eastAsia" w:ascii="仿宋" w:hAnsi="仿宋" w:eastAsia="仿宋" w:cs="仿宋"/>
          <w:color w:val="auto"/>
          <w:sz w:val="28"/>
          <w:szCs w:val="28"/>
          <w:highlight w:val="none"/>
          <w:lang w:eastAsia="zh-CN"/>
        </w:rPr>
        <w:t>；</w:t>
      </w:r>
    </w:p>
    <w:p w14:paraId="2986E50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5</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无火灾事故，消防控制目标为“零”</w:t>
      </w:r>
      <w:r>
        <w:rPr>
          <w:rFonts w:hint="eastAsia" w:ascii="仿宋" w:hAnsi="仿宋" w:eastAsia="仿宋" w:cs="仿宋"/>
          <w:color w:val="auto"/>
          <w:sz w:val="28"/>
          <w:szCs w:val="28"/>
          <w:highlight w:val="none"/>
          <w:lang w:eastAsia="zh-CN"/>
        </w:rPr>
        <w:t>；</w:t>
      </w:r>
    </w:p>
    <w:p w14:paraId="621D91A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rPr>
        <w:t>6</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机械设备事故，事故率为“零”</w:t>
      </w:r>
      <w:r>
        <w:rPr>
          <w:rFonts w:hint="eastAsia" w:ascii="仿宋" w:hAnsi="仿宋" w:eastAsia="仿宋" w:cs="仿宋"/>
          <w:color w:val="auto"/>
          <w:sz w:val="28"/>
          <w:szCs w:val="28"/>
          <w:highlight w:val="none"/>
          <w:lang w:eastAsia="zh-CN"/>
        </w:rPr>
        <w:t>；</w:t>
      </w:r>
    </w:p>
    <w:p w14:paraId="3EE7BD59">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7</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无职工工伤事故，事故率为“零”。</w:t>
      </w:r>
    </w:p>
    <w:p w14:paraId="1EC4F1FF">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四、违约责任:</w:t>
      </w:r>
    </w:p>
    <w:p w14:paraId="14278D1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如因甲方原因导致安全事故，由甲方承担相应责任。</w:t>
      </w:r>
    </w:p>
    <w:p w14:paraId="48CE47B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w:t>
      </w:r>
      <w:r>
        <w:rPr>
          <w:rFonts w:hint="eastAsia" w:ascii="仿宋" w:hAnsi="仿宋" w:eastAsia="仿宋" w:cs="仿宋"/>
          <w:b w:val="0"/>
          <w:bCs w:val="0"/>
          <w:color w:val="auto"/>
          <w:sz w:val="28"/>
          <w:szCs w:val="28"/>
          <w:highlight w:val="none"/>
          <w:lang w:val="en-US" w:eastAsia="zh-CN"/>
        </w:rPr>
        <w:t>．</w:t>
      </w:r>
      <w:r>
        <w:rPr>
          <w:rFonts w:hint="eastAsia" w:ascii="仿宋" w:hAnsi="仿宋" w:eastAsia="仿宋" w:cs="仿宋"/>
          <w:color w:val="auto"/>
          <w:sz w:val="28"/>
          <w:szCs w:val="28"/>
          <w:highlight w:val="none"/>
        </w:rPr>
        <w:t>如因乙方原因发生安全责任事故，若乙方拒绝处理和支付费用而影响工程的正常进行，乙方同意甲方从</w:t>
      </w:r>
      <w:r>
        <w:rPr>
          <w:rFonts w:hint="eastAsia" w:ascii="仿宋" w:hAnsi="仿宋" w:eastAsia="仿宋" w:cs="仿宋"/>
          <w:color w:val="auto"/>
          <w:sz w:val="28"/>
          <w:szCs w:val="28"/>
          <w:highlight w:val="none"/>
          <w:lang w:val="en-US" w:eastAsia="zh-CN"/>
        </w:rPr>
        <w:t>项目</w:t>
      </w:r>
      <w:r>
        <w:rPr>
          <w:rFonts w:hint="eastAsia" w:ascii="仿宋" w:hAnsi="仿宋" w:eastAsia="仿宋" w:cs="仿宋"/>
          <w:color w:val="auto"/>
          <w:sz w:val="28"/>
          <w:szCs w:val="28"/>
          <w:highlight w:val="none"/>
        </w:rPr>
        <w:t>工程款中代为支付安全事故发生的所有费用。</w:t>
      </w:r>
    </w:p>
    <w:p w14:paraId="1D9E984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3．乙方存在安全隐患，经甲方书面通知后逾期未整改或整改不到位的，甲方有权责令乙方停工整改，直至要求乙方无条件退场；由此产生的费用及损失由乙方承担。</w:t>
      </w:r>
    </w:p>
    <w:p w14:paraId="4F9CEAD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五、本协议一式贰份，甲乙双方各执壹份，经双方法定代表人或授权代理人签署并加盖公章后生效，作为主合同的附件，与主合同具有同等法律效力，至本项目全部工程竣工验收合格、款项结清后失效。本协议未尽事宜，按主合同及国家有关安全生产法律法规执行；本协议与主合同约定不一致的，涉及安全生产事项以本协议为准。</w:t>
      </w:r>
    </w:p>
    <w:p w14:paraId="77E0A4C7">
      <w:pPr>
        <w:pStyle w:val="68"/>
        <w:widowControl w:val="0"/>
        <w:wordWrap/>
        <w:adjustRightInd/>
        <w:snapToGrid/>
        <w:spacing w:before="0" w:line="500" w:lineRule="exact"/>
        <w:ind w:right="0" w:firstLine="540"/>
        <w:jc w:val="both"/>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lang w:val="en-US" w:eastAsia="zh-CN" w:bidi="ar-SA"/>
        </w:rPr>
        <w:t>（以下为合同签字盖章内容）</w:t>
      </w:r>
    </w:p>
    <w:p w14:paraId="277944A7">
      <w:pPr>
        <w:pStyle w:val="2"/>
        <w:rPr>
          <w:rFonts w:hint="eastAsia" w:ascii="仿宋" w:hAnsi="仿宋" w:eastAsia="仿宋" w:cs="仿宋"/>
          <w:color w:val="auto"/>
          <w:sz w:val="28"/>
          <w:szCs w:val="28"/>
          <w:highlight w:val="none"/>
        </w:rPr>
      </w:pPr>
    </w:p>
    <w:p w14:paraId="7976EAAE">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仿宋" w:hAnsi="仿宋" w:eastAsia="仿宋" w:cs="仿宋"/>
          <w:color w:val="auto"/>
          <w:sz w:val="28"/>
          <w:szCs w:val="28"/>
          <w:highlight w:val="none"/>
        </w:rPr>
      </w:pPr>
    </w:p>
    <w:p w14:paraId="10E7E47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 方（</w:t>
      </w:r>
      <w:r>
        <w:rPr>
          <w:rFonts w:hint="eastAsia" w:ascii="仿宋" w:hAnsi="仿宋" w:eastAsia="仿宋" w:cs="仿宋"/>
          <w:color w:val="auto"/>
          <w:sz w:val="28"/>
          <w:szCs w:val="28"/>
          <w:highlight w:val="none"/>
          <w:lang w:val="en-US" w:eastAsia="zh-CN"/>
        </w:rPr>
        <w:t>公章</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乙 方（</w:t>
      </w:r>
      <w:r>
        <w:rPr>
          <w:rFonts w:hint="eastAsia" w:ascii="仿宋" w:hAnsi="仿宋" w:eastAsia="仿宋" w:cs="仿宋"/>
          <w:color w:val="auto"/>
          <w:sz w:val="28"/>
          <w:szCs w:val="28"/>
          <w:highlight w:val="none"/>
          <w:lang w:val="en-US" w:eastAsia="zh-CN"/>
        </w:rPr>
        <w:t>公章</w:t>
      </w:r>
      <w:r>
        <w:rPr>
          <w:rFonts w:hint="eastAsia" w:ascii="仿宋" w:hAnsi="仿宋" w:eastAsia="仿宋" w:cs="仿宋"/>
          <w:color w:val="auto"/>
          <w:sz w:val="28"/>
          <w:szCs w:val="28"/>
          <w:highlight w:val="none"/>
        </w:rPr>
        <w:t>）：</w:t>
      </w:r>
    </w:p>
    <w:p w14:paraId="3E613E73">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法定代表人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法定代表人</w:t>
      </w:r>
    </w:p>
    <w:p w14:paraId="4A775C5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或委托</w:t>
      </w:r>
      <w:r>
        <w:rPr>
          <w:rFonts w:hint="eastAsia" w:ascii="仿宋" w:hAnsi="仿宋" w:eastAsia="仿宋" w:cs="仿宋"/>
          <w:color w:val="auto"/>
          <w:sz w:val="28"/>
          <w:szCs w:val="28"/>
          <w:highlight w:val="none"/>
          <w:lang w:val="en-US" w:eastAsia="zh-CN"/>
        </w:rPr>
        <w:t>代表（签章）：</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或委托</w:t>
      </w:r>
      <w:r>
        <w:rPr>
          <w:rFonts w:hint="eastAsia" w:ascii="仿宋" w:hAnsi="仿宋" w:eastAsia="仿宋" w:cs="仿宋"/>
          <w:color w:val="auto"/>
          <w:sz w:val="28"/>
          <w:szCs w:val="28"/>
          <w:highlight w:val="none"/>
          <w:lang w:val="en-US" w:eastAsia="zh-CN"/>
        </w:rPr>
        <w:t>代表（签章）：</w:t>
      </w:r>
    </w:p>
    <w:p w14:paraId="034A21FF">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center"/>
        <w:textAlignment w:val="auto"/>
        <w:rPr>
          <w:rFonts w:hint="eastAsia" w:ascii="仿宋" w:hAnsi="仿宋" w:eastAsia="仿宋" w:cs="仿宋"/>
          <w:color w:val="auto"/>
          <w:sz w:val="28"/>
          <w:szCs w:val="28"/>
          <w:highlight w:val="none"/>
        </w:rPr>
      </w:pPr>
    </w:p>
    <w:p w14:paraId="2BA4C9BA">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b/>
          <w:bCs/>
          <w:color w:val="auto"/>
          <w:spacing w:val="-1"/>
          <w:sz w:val="35"/>
          <w:szCs w:val="35"/>
          <w:highlight w:val="none"/>
        </w:rPr>
      </w:pPr>
      <w:r>
        <w:rPr>
          <w:rFonts w:hint="eastAsia" w:ascii="仿宋" w:hAnsi="仿宋" w:eastAsia="仿宋" w:cs="仿宋"/>
          <w:color w:val="auto"/>
          <w:sz w:val="28"/>
          <w:szCs w:val="28"/>
          <w:highlight w:val="none"/>
        </w:rPr>
        <w:t>签订日期：     年   月   日</w:t>
      </w:r>
    </w:p>
    <w:p w14:paraId="352EDBA6">
      <w:pPr>
        <w:pStyle w:val="8"/>
        <w:spacing w:before="127" w:line="219" w:lineRule="auto"/>
        <w:ind w:left="3434"/>
        <w:outlineLvl w:val="0"/>
        <w:rPr>
          <w:b/>
          <w:bCs/>
          <w:color w:val="auto"/>
          <w:spacing w:val="-1"/>
          <w:sz w:val="35"/>
          <w:szCs w:val="35"/>
          <w:highlight w:val="none"/>
        </w:rPr>
        <w:sectPr>
          <w:pgSz w:w="11906" w:h="16838"/>
          <w:pgMar w:top="1440" w:right="1800" w:bottom="1440" w:left="1800" w:header="851" w:footer="992" w:gutter="0"/>
          <w:pgNumType w:fmt="numberInDash"/>
          <w:cols w:space="425" w:num="1"/>
          <w:docGrid w:type="lines" w:linePitch="312" w:charSpace="0"/>
        </w:sectPr>
      </w:pPr>
    </w:p>
    <w:p w14:paraId="4D637A1D">
      <w:pPr>
        <w:bidi w:val="0"/>
        <w:jc w:val="center"/>
        <w:rPr>
          <w:rFonts w:hint="eastAsia" w:ascii="仿宋" w:hAnsi="仿宋" w:eastAsia="仿宋" w:cs="仿宋"/>
          <w:b/>
          <w:bCs/>
          <w:color w:val="auto"/>
          <w:sz w:val="48"/>
          <w:szCs w:val="48"/>
          <w:highlight w:val="none"/>
        </w:rPr>
      </w:pPr>
      <w:r>
        <w:rPr>
          <w:rFonts w:hint="eastAsia" w:ascii="仿宋" w:hAnsi="仿宋" w:eastAsia="仿宋" w:cs="仿宋"/>
          <w:b/>
          <w:bCs/>
          <w:color w:val="auto"/>
          <w:sz w:val="48"/>
          <w:szCs w:val="48"/>
          <w:highlight w:val="none"/>
        </w:rPr>
        <w:t>廉政合同</w:t>
      </w:r>
    </w:p>
    <w:p w14:paraId="271C7E2A">
      <w:pPr>
        <w:bidi w:val="0"/>
        <w:rPr>
          <w:rFonts w:hint="eastAsia" w:ascii="仿宋" w:hAnsi="仿宋" w:eastAsia="仿宋" w:cs="仿宋"/>
          <w:color w:val="auto"/>
          <w:sz w:val="28"/>
          <w:szCs w:val="28"/>
          <w:highlight w:val="none"/>
        </w:rPr>
      </w:pPr>
    </w:p>
    <w:p w14:paraId="2436A060">
      <w:pPr>
        <w:bidi w:val="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 方 ：</w:t>
      </w:r>
      <w:r>
        <w:rPr>
          <w:rFonts w:hint="eastAsia" w:ascii="仿宋" w:hAnsi="仿宋" w:eastAsia="仿宋" w:cs="仿宋"/>
          <w:color w:val="auto"/>
          <w:sz w:val="28"/>
          <w:szCs w:val="28"/>
          <w:highlight w:val="none"/>
          <w:u w:val="single"/>
        </w:rPr>
        <w:t>华东冶金地质勘查局八一一地质队</w:t>
      </w:r>
    </w:p>
    <w:p w14:paraId="3034A465">
      <w:pPr>
        <w:bidi w:val="0"/>
        <w:rPr>
          <w:rFonts w:hint="default"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乙 方 ：</w:t>
      </w:r>
      <w:r>
        <w:rPr>
          <w:rFonts w:hint="eastAsia" w:ascii="仿宋" w:hAnsi="仿宋" w:eastAsia="仿宋" w:cs="仿宋"/>
          <w:color w:val="auto"/>
          <w:sz w:val="28"/>
          <w:szCs w:val="28"/>
          <w:highlight w:val="none"/>
          <w:u w:val="single"/>
          <w:lang w:val="en-US" w:eastAsia="zh-CN"/>
        </w:rPr>
        <w:t xml:space="preserve">                              </w:t>
      </w:r>
    </w:p>
    <w:p w14:paraId="0DE479B7">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为做好</w:t>
      </w:r>
      <w:r>
        <w:rPr>
          <w:rFonts w:hint="eastAsia" w:ascii="仿宋" w:hAnsi="仿宋" w:eastAsia="仿宋" w:cs="仿宋"/>
          <w:color w:val="auto"/>
          <w:sz w:val="28"/>
          <w:szCs w:val="28"/>
          <w:highlight w:val="none"/>
          <w:u w:val="single"/>
        </w:rPr>
        <w:t xml:space="preserve"> 安徽省凤阳县梅家庄-圣庙地区金</w:t>
      </w:r>
      <w:r>
        <w:rPr>
          <w:rFonts w:hint="eastAsia" w:ascii="仿宋" w:hAnsi="仿宋" w:eastAsia="仿宋" w:cs="仿宋"/>
          <w:color w:val="auto"/>
          <w:sz w:val="28"/>
          <w:szCs w:val="28"/>
          <w:highlight w:val="none"/>
          <w:u w:val="single"/>
          <w:lang w:val="en-US" w:eastAsia="zh-CN"/>
        </w:rPr>
        <w:t>钼</w:t>
      </w:r>
      <w:r>
        <w:rPr>
          <w:rFonts w:hint="eastAsia" w:ascii="仿宋" w:hAnsi="仿宋" w:eastAsia="仿宋" w:cs="仿宋"/>
          <w:color w:val="auto"/>
          <w:sz w:val="28"/>
          <w:szCs w:val="28"/>
          <w:highlight w:val="none"/>
          <w:u w:val="single"/>
        </w:rPr>
        <w:t>多金属矿普查</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u w:val="single"/>
          <w:lang w:val="en-US" w:eastAsia="zh-CN"/>
        </w:rPr>
        <w:t>续作</w:t>
      </w:r>
      <w:r>
        <w:rPr>
          <w:rFonts w:hint="eastAsia" w:ascii="仿宋" w:hAnsi="仿宋" w:eastAsia="仿宋" w:cs="仿宋"/>
          <w:color w:val="auto"/>
          <w:sz w:val="28"/>
          <w:szCs w:val="28"/>
          <w:highlight w:val="none"/>
          <w:u w:val="single"/>
          <w:lang w:eastAsia="zh-CN"/>
        </w:rPr>
        <w:t>）</w:t>
      </w:r>
      <w:r>
        <w:rPr>
          <w:rFonts w:hint="eastAsia" w:ascii="仿宋" w:hAnsi="仿宋" w:eastAsia="仿宋" w:cs="仿宋"/>
          <w:color w:val="auto"/>
          <w:sz w:val="28"/>
          <w:szCs w:val="28"/>
          <w:highlight w:val="none"/>
          <w:u w:val="single"/>
        </w:rPr>
        <w:t>矿产地质钻探技术服务项目</w:t>
      </w:r>
      <w:r>
        <w:rPr>
          <w:rFonts w:hint="eastAsia" w:ascii="仿宋" w:hAnsi="仿宋" w:eastAsia="仿宋" w:cs="仿宋"/>
          <w:color w:val="auto"/>
          <w:sz w:val="28"/>
          <w:szCs w:val="28"/>
          <w:highlight w:val="none"/>
          <w:u w:val="single"/>
          <w:lang w:val="en-US" w:eastAsia="zh-CN"/>
        </w:rPr>
        <w:t xml:space="preserve">  </w:t>
      </w:r>
      <w:r>
        <w:rPr>
          <w:rFonts w:hint="eastAsia" w:ascii="仿宋" w:hAnsi="仿宋" w:eastAsia="仿宋" w:cs="仿宋"/>
          <w:color w:val="auto"/>
          <w:sz w:val="28"/>
          <w:szCs w:val="28"/>
          <w:highlight w:val="none"/>
        </w:rPr>
        <w:t>中的党风廉政建设，维护双方合法权益，保证项目资金的安全和有效使用以及投资效益，特订立如下协议。</w:t>
      </w:r>
    </w:p>
    <w:p w14:paraId="52633B8A">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1</w:t>
      </w:r>
      <w:r>
        <w:rPr>
          <w:rFonts w:hint="eastAsia" w:ascii="仿宋" w:hAnsi="仿宋" w:eastAsia="仿宋" w:cs="仿宋"/>
          <w:b/>
          <w:bCs/>
          <w:color w:val="auto"/>
          <w:sz w:val="28"/>
          <w:szCs w:val="28"/>
          <w:highlight w:val="none"/>
          <w:lang w:val="en-US" w:eastAsia="zh-CN"/>
        </w:rPr>
        <w:t>．</w:t>
      </w:r>
      <w:r>
        <w:rPr>
          <w:rFonts w:hint="eastAsia" w:ascii="仿宋" w:hAnsi="仿宋" w:eastAsia="仿宋" w:cs="仿宋"/>
          <w:b/>
          <w:bCs/>
          <w:color w:val="auto"/>
          <w:sz w:val="28"/>
          <w:szCs w:val="28"/>
          <w:highlight w:val="none"/>
        </w:rPr>
        <w:t>甲乙双方共同责任</w:t>
      </w:r>
    </w:p>
    <w:p w14:paraId="71EF56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(1)严格遵守党的政策规定和国家有关法律法规及有关规定。</w:t>
      </w:r>
    </w:p>
    <w:p w14:paraId="3244DE6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(2)严格执行合同文件(以下简称“主合同”),自觉按合同办事。</w:t>
      </w:r>
    </w:p>
    <w:p w14:paraId="25FA9E9A">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(3)业务活动坚持公开、公正、诚信、透明的原则(法律认定的商业秘密和主合同文件另有规定除外),不得损害国家和集体利益，违反工程管理规章制度。</w:t>
      </w:r>
    </w:p>
    <w:p w14:paraId="1AE932AD">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(4)建立健全廉政制度，开展廉政教育，设立廉政告示牌，公布举报电话，监督并认真查处违法违纪行为。</w:t>
      </w:r>
    </w:p>
    <w:p w14:paraId="45CF9835">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(5)发现对方在业务活动中有违反廉政规定的行为，有及时提醒对方纠正的权利和义务。</w:t>
      </w:r>
    </w:p>
    <w:p w14:paraId="2B54720A">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2</w:t>
      </w:r>
      <w:r>
        <w:rPr>
          <w:rFonts w:hint="eastAsia" w:ascii="仿宋" w:hAnsi="仿宋" w:eastAsia="仿宋" w:cs="仿宋"/>
          <w:b/>
          <w:bCs/>
          <w:color w:val="auto"/>
          <w:sz w:val="28"/>
          <w:szCs w:val="28"/>
          <w:highlight w:val="none"/>
          <w:lang w:val="en-US" w:eastAsia="zh-CN"/>
        </w:rPr>
        <w:t>．</w:t>
      </w:r>
      <w:r>
        <w:rPr>
          <w:rFonts w:hint="eastAsia" w:ascii="仿宋" w:hAnsi="仿宋" w:eastAsia="仿宋" w:cs="仿宋"/>
          <w:b/>
          <w:bCs/>
          <w:color w:val="auto"/>
          <w:sz w:val="28"/>
          <w:szCs w:val="28"/>
          <w:highlight w:val="none"/>
        </w:rPr>
        <w:t>甲方责任</w:t>
      </w:r>
    </w:p>
    <w:p w14:paraId="2C1CF63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(1)甲方及其工作人员不得索要或接受乙方或施工单位的礼金、有价证券和贵重物品，不得在乙方或施工单位报销任何应由甲方或甲方工作人员个人支付的费用等。</w:t>
      </w:r>
    </w:p>
    <w:p w14:paraId="7E7FA6D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(2)甲方工作人员不得参加乙方或施工单位安排的超标准宴请和娱乐活动；不得接受乙方或施工单位提供的通讯工具、高档办公用品等。</w:t>
      </w:r>
    </w:p>
    <w:p w14:paraId="06E712A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(3)甲方及其工作人员不得要求或者接受乙方或施工单位为其住房装修、婚丧嫁娶活动、配偶子女的工作安排以及出国出境、旅游等提供方便等。</w:t>
      </w:r>
    </w:p>
    <w:p w14:paraId="263DEDE1">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(4)甲方工作人员及其配偶、子女不得从事与工程有关的材料设备供应、工程分包、劳务等经济活动。</w:t>
      </w:r>
    </w:p>
    <w:p w14:paraId="0376336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(5)甲方工作人员要秉公办事，不准营私舞弊，不准利用职权从事各种个人有偿中介活动和安排个人施工队伍。</w:t>
      </w:r>
    </w:p>
    <w:p w14:paraId="2BFA3EDD">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lang w:val="en-US" w:eastAsia="zh-CN"/>
        </w:rPr>
        <w:t>3．乙</w:t>
      </w:r>
      <w:r>
        <w:rPr>
          <w:rFonts w:hint="eastAsia" w:ascii="仿宋" w:hAnsi="仿宋" w:eastAsia="仿宋" w:cs="仿宋"/>
          <w:b/>
          <w:bCs/>
          <w:color w:val="auto"/>
          <w:sz w:val="28"/>
          <w:szCs w:val="28"/>
          <w:highlight w:val="none"/>
        </w:rPr>
        <w:t>方责任</w:t>
      </w:r>
    </w:p>
    <w:p w14:paraId="4CE31398">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(1)乙方与甲方工作人员不得私下交易，不得将工程款转入甲方工作人员及其配偶、子女、父母的账户。</w:t>
      </w:r>
    </w:p>
    <w:p w14:paraId="17A894EE">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(2)乙方不得以任何理由向甲方及其工作人员行贿或馈赠礼金、有价证券、贵重礼品。</w:t>
      </w:r>
    </w:p>
    <w:p w14:paraId="12B2286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(3)乙方不得以任何名义为甲方及其工作人员报销应由甲方单位或个人支付的任何费用。</w:t>
      </w:r>
    </w:p>
    <w:p w14:paraId="72F23BE2">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(4)乙方不得以任何理由安排甲方工作人员参加超标准宴请及娱乐活动。</w:t>
      </w:r>
    </w:p>
    <w:p w14:paraId="1C66C3E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(5)乙方不得为甲方单位和个人购置或提供通讯工具、高档办公用品等。</w:t>
      </w:r>
    </w:p>
    <w:p w14:paraId="503EDF96">
      <w:pPr>
        <w:keepNext w:val="0"/>
        <w:keepLines w:val="0"/>
        <w:pageBreakBefore w:val="0"/>
        <w:widowControl w:val="0"/>
        <w:kinsoku/>
        <w:wordWrap/>
        <w:overflowPunct/>
        <w:topLinePunct w:val="0"/>
        <w:autoSpaceDE/>
        <w:autoSpaceDN/>
        <w:bidi w:val="0"/>
        <w:adjustRightInd/>
        <w:snapToGrid/>
        <w:spacing w:line="520" w:lineRule="exact"/>
        <w:ind w:firstLine="562" w:firstLineChars="200"/>
        <w:textAlignment w:val="auto"/>
        <w:rPr>
          <w:rFonts w:hint="eastAsia" w:ascii="仿宋" w:hAnsi="仿宋" w:eastAsia="仿宋" w:cs="仿宋"/>
          <w:b/>
          <w:bCs/>
          <w:color w:val="auto"/>
          <w:sz w:val="28"/>
          <w:szCs w:val="28"/>
          <w:highlight w:val="none"/>
        </w:rPr>
      </w:pPr>
      <w:r>
        <w:rPr>
          <w:rFonts w:hint="eastAsia" w:ascii="仿宋" w:hAnsi="仿宋" w:eastAsia="仿宋" w:cs="仿宋"/>
          <w:b/>
          <w:bCs/>
          <w:color w:val="auto"/>
          <w:sz w:val="28"/>
          <w:szCs w:val="28"/>
          <w:highlight w:val="none"/>
        </w:rPr>
        <w:t>4</w:t>
      </w:r>
      <w:r>
        <w:rPr>
          <w:rFonts w:hint="eastAsia" w:ascii="仿宋" w:hAnsi="仿宋" w:eastAsia="仿宋" w:cs="仿宋"/>
          <w:b/>
          <w:bCs/>
          <w:color w:val="auto"/>
          <w:sz w:val="28"/>
          <w:szCs w:val="28"/>
          <w:highlight w:val="none"/>
          <w:lang w:val="en-US" w:eastAsia="zh-CN"/>
        </w:rPr>
        <w:t>．</w:t>
      </w:r>
      <w:r>
        <w:rPr>
          <w:rFonts w:hint="eastAsia" w:ascii="仿宋" w:hAnsi="仿宋" w:eastAsia="仿宋" w:cs="仿宋"/>
          <w:b/>
          <w:bCs/>
          <w:color w:val="auto"/>
          <w:sz w:val="28"/>
          <w:szCs w:val="28"/>
          <w:highlight w:val="none"/>
        </w:rPr>
        <w:t>违约责任</w:t>
      </w:r>
    </w:p>
    <w:p w14:paraId="33638D8B">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(1)甲方及其工作人员违反本廉政协议第1、2条，按管理权限，依据有关规定给予党纪、政纪或组织处理；涉嫌犯罪的，移交司法机关追究刑事责任；给乙方单位造成经济损失的，应予以赔偿。</w:t>
      </w:r>
    </w:p>
    <w:p w14:paraId="322576E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(2)乙方及其工作人员违反本廉政协议第1、3条，甲方有权单方终止主合同，给甲方单位造成经济损失的，应予以赔偿；情节严重的，甲方</w:t>
      </w:r>
      <w:r>
        <w:rPr>
          <w:rFonts w:hint="eastAsia" w:ascii="仿宋" w:hAnsi="仿宋" w:eastAsia="仿宋" w:cs="仿宋"/>
          <w:color w:val="auto"/>
          <w:sz w:val="28"/>
          <w:szCs w:val="28"/>
          <w:highlight w:val="none"/>
          <w:lang w:val="en-US" w:eastAsia="zh-CN"/>
        </w:rPr>
        <w:t>有权将乙方拉入黑名单</w:t>
      </w:r>
      <w:r>
        <w:rPr>
          <w:rFonts w:hint="eastAsia" w:ascii="仿宋" w:hAnsi="仿宋" w:eastAsia="仿宋" w:cs="仿宋"/>
          <w:color w:val="auto"/>
          <w:sz w:val="28"/>
          <w:szCs w:val="28"/>
          <w:highlight w:val="none"/>
        </w:rPr>
        <w:t>，五年内不能承揽甲方公司的任何工作任务，并有向其上级有关部门举报、建议给予处理的权利。</w:t>
      </w:r>
    </w:p>
    <w:p w14:paraId="233291AC">
      <w:pPr>
        <w:pStyle w:val="68"/>
        <w:widowControl w:val="0"/>
        <w:wordWrap/>
        <w:adjustRightInd/>
        <w:snapToGrid/>
        <w:spacing w:before="0" w:line="500" w:lineRule="exact"/>
        <w:ind w:right="0" w:firstLine="540"/>
        <w:jc w:val="both"/>
        <w:textAlignment w:val="auto"/>
        <w:rPr>
          <w:rFonts w:hint="eastAsia" w:ascii="仿宋" w:hAnsi="仿宋" w:eastAsia="仿宋" w:cs="仿宋"/>
          <w:color w:val="auto"/>
          <w:sz w:val="28"/>
          <w:szCs w:val="28"/>
          <w:highlight w:val="none"/>
          <w:lang w:val="en-US" w:eastAsia="zh-CN" w:bidi="ar-SA"/>
        </w:rPr>
      </w:pPr>
      <w:r>
        <w:rPr>
          <w:rFonts w:hint="eastAsia" w:ascii="仿宋" w:hAnsi="仿宋" w:eastAsia="仿宋" w:cs="仿宋"/>
          <w:color w:val="auto"/>
          <w:sz w:val="28"/>
          <w:szCs w:val="28"/>
          <w:highlight w:val="none"/>
          <w:lang w:val="en-US" w:eastAsia="zh-CN" w:bidi="ar-SA"/>
        </w:rPr>
        <w:t>（以下为合同签字盖章内容）</w:t>
      </w:r>
    </w:p>
    <w:p w14:paraId="763C14B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甲 方（</w:t>
      </w:r>
      <w:r>
        <w:rPr>
          <w:rFonts w:hint="eastAsia" w:ascii="仿宋" w:hAnsi="仿宋" w:eastAsia="仿宋" w:cs="仿宋"/>
          <w:color w:val="auto"/>
          <w:sz w:val="28"/>
          <w:szCs w:val="28"/>
          <w:highlight w:val="none"/>
          <w:lang w:val="en-US" w:eastAsia="zh-CN"/>
        </w:rPr>
        <w:t>公章</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乙 方（</w:t>
      </w:r>
      <w:r>
        <w:rPr>
          <w:rFonts w:hint="eastAsia" w:ascii="仿宋" w:hAnsi="仿宋" w:eastAsia="仿宋" w:cs="仿宋"/>
          <w:color w:val="auto"/>
          <w:sz w:val="28"/>
          <w:szCs w:val="28"/>
          <w:highlight w:val="none"/>
          <w:lang w:val="en-US" w:eastAsia="zh-CN"/>
        </w:rPr>
        <w:t>公章</w:t>
      </w:r>
      <w:r>
        <w:rPr>
          <w:rFonts w:hint="eastAsia" w:ascii="仿宋" w:hAnsi="仿宋" w:eastAsia="仿宋" w:cs="仿宋"/>
          <w:color w:val="auto"/>
          <w:sz w:val="28"/>
          <w:szCs w:val="28"/>
          <w:highlight w:val="none"/>
        </w:rPr>
        <w:t>）：</w:t>
      </w:r>
    </w:p>
    <w:p w14:paraId="00E5706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 xml:space="preserve">法定代表人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法定代表人</w:t>
      </w:r>
    </w:p>
    <w:p w14:paraId="567B92FC">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eastAsia" w:ascii="仿宋" w:hAnsi="仿宋" w:eastAsia="仿宋" w:cs="仿宋"/>
          <w:color w:val="auto"/>
          <w:sz w:val="28"/>
          <w:szCs w:val="28"/>
          <w:highlight w:val="none"/>
          <w:lang w:val="en-US" w:eastAsia="zh-CN"/>
        </w:rPr>
      </w:pPr>
      <w:r>
        <w:rPr>
          <w:rFonts w:hint="eastAsia" w:ascii="仿宋" w:hAnsi="仿宋" w:eastAsia="仿宋" w:cs="仿宋"/>
          <w:color w:val="auto"/>
          <w:sz w:val="28"/>
          <w:szCs w:val="28"/>
          <w:highlight w:val="none"/>
        </w:rPr>
        <w:t>或委托</w:t>
      </w:r>
      <w:r>
        <w:rPr>
          <w:rFonts w:hint="eastAsia" w:ascii="仿宋" w:hAnsi="仿宋" w:eastAsia="仿宋" w:cs="仿宋"/>
          <w:color w:val="auto"/>
          <w:sz w:val="28"/>
          <w:szCs w:val="28"/>
          <w:highlight w:val="none"/>
          <w:lang w:val="en-US" w:eastAsia="zh-CN"/>
        </w:rPr>
        <w:t>代表（签章）：</w:t>
      </w:r>
      <w:r>
        <w:rPr>
          <w:rFonts w:hint="eastAsia" w:ascii="仿宋" w:hAnsi="仿宋" w:eastAsia="仿宋" w:cs="仿宋"/>
          <w:color w:val="auto"/>
          <w:sz w:val="28"/>
          <w:szCs w:val="28"/>
          <w:highlight w:val="none"/>
        </w:rPr>
        <w:t xml:space="preserve"> </w:t>
      </w:r>
      <w:r>
        <w:rPr>
          <w:rFonts w:hint="eastAsia" w:ascii="仿宋" w:hAnsi="仿宋" w:eastAsia="仿宋" w:cs="仿宋"/>
          <w:color w:val="auto"/>
          <w:sz w:val="28"/>
          <w:szCs w:val="28"/>
          <w:highlight w:val="none"/>
          <w:lang w:val="en-US" w:eastAsia="zh-CN"/>
        </w:rPr>
        <w:t xml:space="preserve">    </w:t>
      </w:r>
      <w:r>
        <w:rPr>
          <w:rFonts w:hint="eastAsia" w:ascii="仿宋" w:hAnsi="仿宋" w:eastAsia="仿宋" w:cs="仿宋"/>
          <w:color w:val="auto"/>
          <w:sz w:val="28"/>
          <w:szCs w:val="28"/>
          <w:highlight w:val="none"/>
        </w:rPr>
        <w:t xml:space="preserve">        或委托</w:t>
      </w:r>
      <w:r>
        <w:rPr>
          <w:rFonts w:hint="eastAsia" w:ascii="仿宋" w:hAnsi="仿宋" w:eastAsia="仿宋" w:cs="仿宋"/>
          <w:color w:val="auto"/>
          <w:sz w:val="28"/>
          <w:szCs w:val="28"/>
          <w:highlight w:val="none"/>
          <w:lang w:val="en-US" w:eastAsia="zh-CN"/>
        </w:rPr>
        <w:t>代表（签章）：</w:t>
      </w:r>
    </w:p>
    <w:p w14:paraId="45E5DAB2">
      <w:pPr>
        <w:keepNext w:val="0"/>
        <w:keepLines w:val="0"/>
        <w:pageBreakBefore w:val="0"/>
        <w:widowControl w:val="0"/>
        <w:kinsoku/>
        <w:wordWrap/>
        <w:overflowPunct/>
        <w:topLinePunct w:val="0"/>
        <w:autoSpaceDE/>
        <w:autoSpaceDN/>
        <w:bidi w:val="0"/>
        <w:adjustRightInd/>
        <w:snapToGrid/>
        <w:spacing w:line="520" w:lineRule="exact"/>
        <w:ind w:firstLine="560" w:firstLineChars="200"/>
        <w:jc w:val="center"/>
        <w:textAlignment w:val="auto"/>
        <w:rPr>
          <w:rFonts w:hint="eastAsia" w:ascii="仿宋" w:hAnsi="仿宋" w:eastAsia="仿宋" w:cs="仿宋"/>
          <w:color w:val="auto"/>
          <w:sz w:val="28"/>
          <w:szCs w:val="28"/>
          <w:highlight w:val="none"/>
        </w:rPr>
      </w:pPr>
    </w:p>
    <w:p w14:paraId="48B2603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签订日期：     年   月   日</w:t>
      </w:r>
    </w:p>
    <w:p w14:paraId="2FC11FA1">
      <w:pPr>
        <w:pStyle w:val="2"/>
        <w:rPr>
          <w:color w:val="auto"/>
          <w:highlight w:val="none"/>
        </w:rPr>
      </w:pPr>
    </w:p>
    <w:bookmarkEnd w:id="45"/>
    <w:p w14:paraId="446F2B61">
      <w:pPr>
        <w:rPr>
          <w:rFonts w:hint="eastAsia" w:asciiTheme="minorEastAsia" w:hAnsiTheme="minorEastAsia" w:eastAsiaTheme="minorEastAsia"/>
          <w:b/>
          <w:color w:val="auto"/>
          <w:sz w:val="28"/>
          <w:highlight w:val="none"/>
        </w:rPr>
      </w:pPr>
      <w:bookmarkStart w:id="70" w:name="_Toc13555"/>
      <w:r>
        <w:rPr>
          <w:rFonts w:hint="eastAsia" w:asciiTheme="minorEastAsia" w:hAnsiTheme="minorEastAsia" w:eastAsiaTheme="minorEastAsia"/>
          <w:b/>
          <w:color w:val="auto"/>
          <w:sz w:val="28"/>
          <w:highlight w:val="none"/>
        </w:rPr>
        <w:br w:type="page"/>
      </w:r>
    </w:p>
    <w:p w14:paraId="7CE6F933">
      <w:pPr>
        <w:spacing w:line="360" w:lineRule="auto"/>
        <w:jc w:val="center"/>
        <w:outlineLvl w:val="0"/>
        <w:rPr>
          <w:rFonts w:asciiTheme="minorEastAsia" w:hAnsiTheme="minorEastAsia" w:eastAsiaTheme="minorEastAsia"/>
          <w:b/>
          <w:color w:val="auto"/>
          <w:sz w:val="28"/>
          <w:highlight w:val="none"/>
        </w:rPr>
      </w:pPr>
      <w:r>
        <w:rPr>
          <w:rFonts w:hint="eastAsia" w:asciiTheme="minorEastAsia" w:hAnsiTheme="minorEastAsia" w:eastAsiaTheme="minorEastAsia"/>
          <w:b/>
          <w:color w:val="auto"/>
          <w:sz w:val="28"/>
          <w:highlight w:val="none"/>
        </w:rPr>
        <w:t>第六章  投标文件格式</w:t>
      </w:r>
      <w:bookmarkEnd w:id="70"/>
    </w:p>
    <w:p w14:paraId="173EBABC">
      <w:pPr>
        <w:spacing w:line="900" w:lineRule="exact"/>
        <w:jc w:val="center"/>
        <w:rPr>
          <w:rFonts w:asciiTheme="minorEastAsia" w:hAnsiTheme="minorEastAsia" w:eastAsiaTheme="minorEastAsia"/>
          <w:b/>
          <w:color w:val="auto"/>
          <w:sz w:val="72"/>
          <w:highlight w:val="none"/>
        </w:rPr>
      </w:pPr>
    </w:p>
    <w:p w14:paraId="646B6E81">
      <w:pPr>
        <w:spacing w:line="900" w:lineRule="exact"/>
        <w:jc w:val="center"/>
        <w:outlineLvl w:val="1"/>
        <w:rPr>
          <w:rFonts w:asciiTheme="minorEastAsia" w:hAnsiTheme="minorEastAsia" w:eastAsiaTheme="minorEastAsia"/>
          <w:b/>
          <w:color w:val="auto"/>
          <w:sz w:val="72"/>
          <w:highlight w:val="none"/>
        </w:rPr>
      </w:pPr>
      <w:bookmarkStart w:id="71" w:name="_Toc5119"/>
      <w:r>
        <w:rPr>
          <w:rFonts w:hint="eastAsia" w:asciiTheme="minorEastAsia" w:hAnsiTheme="minorEastAsia" w:eastAsiaTheme="minorEastAsia"/>
          <w:b/>
          <w:color w:val="auto"/>
          <w:sz w:val="72"/>
          <w:highlight w:val="none"/>
        </w:rPr>
        <w:t>投</w:t>
      </w:r>
      <w:bookmarkEnd w:id="71"/>
    </w:p>
    <w:p w14:paraId="68E228AC">
      <w:pPr>
        <w:spacing w:line="900" w:lineRule="exact"/>
        <w:jc w:val="center"/>
        <w:rPr>
          <w:rFonts w:asciiTheme="minorEastAsia" w:hAnsiTheme="minorEastAsia" w:eastAsiaTheme="minorEastAsia"/>
          <w:b/>
          <w:color w:val="auto"/>
          <w:sz w:val="72"/>
          <w:highlight w:val="none"/>
        </w:rPr>
      </w:pPr>
    </w:p>
    <w:p w14:paraId="6EF30245">
      <w:pPr>
        <w:spacing w:line="900" w:lineRule="exact"/>
        <w:jc w:val="center"/>
        <w:outlineLvl w:val="1"/>
        <w:rPr>
          <w:rFonts w:asciiTheme="minorEastAsia" w:hAnsiTheme="minorEastAsia" w:eastAsiaTheme="minorEastAsia"/>
          <w:b/>
          <w:color w:val="auto"/>
          <w:sz w:val="72"/>
          <w:highlight w:val="none"/>
        </w:rPr>
      </w:pPr>
      <w:bookmarkStart w:id="72" w:name="_Toc4782"/>
      <w:r>
        <w:rPr>
          <w:rFonts w:hint="eastAsia" w:asciiTheme="minorEastAsia" w:hAnsiTheme="minorEastAsia" w:eastAsiaTheme="minorEastAsia"/>
          <w:b/>
          <w:color w:val="auto"/>
          <w:sz w:val="72"/>
          <w:highlight w:val="none"/>
        </w:rPr>
        <w:t>标</w:t>
      </w:r>
      <w:bookmarkEnd w:id="72"/>
    </w:p>
    <w:p w14:paraId="29B2755B">
      <w:pPr>
        <w:spacing w:line="900" w:lineRule="exact"/>
        <w:jc w:val="center"/>
        <w:rPr>
          <w:rFonts w:asciiTheme="minorEastAsia" w:hAnsiTheme="minorEastAsia" w:eastAsiaTheme="minorEastAsia"/>
          <w:b/>
          <w:color w:val="auto"/>
          <w:sz w:val="72"/>
          <w:highlight w:val="none"/>
        </w:rPr>
      </w:pPr>
    </w:p>
    <w:p w14:paraId="2E697DE4">
      <w:pPr>
        <w:spacing w:line="900" w:lineRule="exact"/>
        <w:jc w:val="center"/>
        <w:outlineLvl w:val="1"/>
        <w:rPr>
          <w:rFonts w:asciiTheme="minorEastAsia" w:hAnsiTheme="minorEastAsia" w:eastAsiaTheme="minorEastAsia"/>
          <w:b/>
          <w:color w:val="auto"/>
          <w:sz w:val="72"/>
          <w:highlight w:val="none"/>
        </w:rPr>
      </w:pPr>
      <w:bookmarkStart w:id="73" w:name="_Toc19607"/>
      <w:r>
        <w:rPr>
          <w:rFonts w:hint="eastAsia" w:asciiTheme="minorEastAsia" w:hAnsiTheme="minorEastAsia" w:eastAsiaTheme="minorEastAsia"/>
          <w:b/>
          <w:color w:val="auto"/>
          <w:sz w:val="72"/>
          <w:highlight w:val="none"/>
        </w:rPr>
        <w:t>文</w:t>
      </w:r>
      <w:bookmarkEnd w:id="73"/>
    </w:p>
    <w:p w14:paraId="213C712A">
      <w:pPr>
        <w:spacing w:line="900" w:lineRule="exact"/>
        <w:jc w:val="center"/>
        <w:rPr>
          <w:rFonts w:asciiTheme="minorEastAsia" w:hAnsiTheme="minorEastAsia" w:eastAsiaTheme="minorEastAsia"/>
          <w:b/>
          <w:color w:val="auto"/>
          <w:sz w:val="72"/>
          <w:highlight w:val="none"/>
        </w:rPr>
      </w:pPr>
    </w:p>
    <w:p w14:paraId="410238F9">
      <w:pPr>
        <w:jc w:val="center"/>
        <w:outlineLvl w:val="1"/>
        <w:rPr>
          <w:rFonts w:asciiTheme="minorEastAsia" w:hAnsiTheme="minorEastAsia" w:eastAsiaTheme="minorEastAsia"/>
          <w:b/>
          <w:color w:val="auto"/>
          <w:sz w:val="72"/>
          <w:highlight w:val="none"/>
        </w:rPr>
      </w:pPr>
      <w:bookmarkStart w:id="74" w:name="_Toc8365"/>
      <w:r>
        <w:rPr>
          <w:rFonts w:hint="eastAsia" w:asciiTheme="minorEastAsia" w:hAnsiTheme="minorEastAsia" w:eastAsiaTheme="minorEastAsia"/>
          <w:b/>
          <w:color w:val="auto"/>
          <w:sz w:val="72"/>
          <w:highlight w:val="none"/>
        </w:rPr>
        <w:t>件</w:t>
      </w:r>
      <w:bookmarkEnd w:id="74"/>
    </w:p>
    <w:p w14:paraId="34FFCD18">
      <w:pPr>
        <w:spacing w:after="156" w:afterLines="50"/>
        <w:jc w:val="center"/>
        <w:rPr>
          <w:rFonts w:asciiTheme="minorEastAsia" w:hAnsiTheme="minorEastAsia" w:eastAsiaTheme="minorEastAsia"/>
          <w:b/>
          <w:color w:val="auto"/>
          <w:sz w:val="72"/>
          <w:highlight w:val="none"/>
        </w:rPr>
      </w:pPr>
    </w:p>
    <w:p w14:paraId="45F4C76E">
      <w:pPr>
        <w:spacing w:before="156" w:beforeLines="50" w:after="156" w:afterLines="50"/>
        <w:jc w:val="center"/>
        <w:outlineLvl w:val="9"/>
        <w:rPr>
          <w:rFonts w:asciiTheme="minorEastAsia" w:hAnsiTheme="minorEastAsia" w:eastAsiaTheme="minorEastAsia"/>
          <w:b/>
          <w:color w:val="auto"/>
          <w:sz w:val="32"/>
          <w:szCs w:val="32"/>
          <w:highlight w:val="none"/>
        </w:rPr>
      </w:pPr>
    </w:p>
    <w:p w14:paraId="750B84EA">
      <w:pPr>
        <w:spacing w:after="156" w:afterLines="50" w:line="500" w:lineRule="exact"/>
        <w:jc w:val="center"/>
        <w:rPr>
          <w:rFonts w:asciiTheme="minorEastAsia" w:hAnsiTheme="minorEastAsia" w:eastAsiaTheme="minorEastAsia"/>
          <w:b/>
          <w:color w:val="auto"/>
          <w:sz w:val="28"/>
          <w:szCs w:val="28"/>
          <w:highlight w:val="none"/>
        </w:rPr>
      </w:pPr>
    </w:p>
    <w:p w14:paraId="1F452FC9">
      <w:pPr>
        <w:tabs>
          <w:tab w:val="left" w:pos="2410"/>
        </w:tabs>
        <w:autoSpaceDE w:val="0"/>
        <w:autoSpaceDN w:val="0"/>
        <w:adjustRightInd w:val="0"/>
        <w:snapToGrid w:val="0"/>
        <w:spacing w:line="360" w:lineRule="auto"/>
        <w:ind w:firstLine="1928" w:firstLineChars="600"/>
        <w:jc w:val="both"/>
        <w:outlineLvl w:val="9"/>
        <w:rPr>
          <w:rFonts w:hint="default" w:ascii="宋体" w:hAnsi="宋体" w:eastAsia="宋体"/>
          <w:b/>
          <w:color w:val="auto"/>
          <w:spacing w:val="20"/>
          <w:kern w:val="0"/>
          <w:sz w:val="32"/>
          <w:szCs w:val="32"/>
          <w:highlight w:val="none"/>
          <w:lang w:val="en-US" w:eastAsia="zh-CN"/>
        </w:rPr>
      </w:pPr>
      <w:r>
        <w:rPr>
          <w:rFonts w:hint="eastAsia" w:asciiTheme="minorEastAsia" w:hAnsiTheme="minorEastAsia" w:eastAsiaTheme="minorEastAsia"/>
          <w:b/>
          <w:color w:val="auto"/>
          <w:sz w:val="32"/>
          <w:highlight w:val="none"/>
        </w:rPr>
        <w:t>项目名称：</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E299201">
      <w:pPr>
        <w:tabs>
          <w:tab w:val="left" w:pos="2410"/>
        </w:tabs>
        <w:autoSpaceDE w:val="0"/>
        <w:autoSpaceDN w:val="0"/>
        <w:adjustRightInd w:val="0"/>
        <w:snapToGrid w:val="0"/>
        <w:spacing w:line="360" w:lineRule="auto"/>
        <w:ind w:firstLine="1928" w:firstLineChars="600"/>
        <w:jc w:val="both"/>
        <w:outlineLvl w:val="9"/>
        <w:rPr>
          <w:rFonts w:hint="eastAsia"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rPr>
        <w:t>项目编号：</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7DDD9F67">
      <w:pPr>
        <w:tabs>
          <w:tab w:val="left" w:pos="2410"/>
        </w:tabs>
        <w:autoSpaceDE w:val="0"/>
        <w:autoSpaceDN w:val="0"/>
        <w:adjustRightInd w:val="0"/>
        <w:snapToGrid w:val="0"/>
        <w:spacing w:line="360" w:lineRule="auto"/>
        <w:ind w:firstLine="1928" w:firstLineChars="600"/>
        <w:jc w:val="both"/>
        <w:outlineLvl w:val="9"/>
        <w:rPr>
          <w:rFonts w:asciiTheme="minorEastAsia" w:hAnsiTheme="minorEastAsia" w:eastAsiaTheme="minorEastAsia"/>
          <w:b/>
          <w:color w:val="auto"/>
          <w:sz w:val="32"/>
          <w:highlight w:val="none"/>
          <w:u w:val="single"/>
        </w:rPr>
      </w:pPr>
      <w:r>
        <w:rPr>
          <w:rFonts w:hint="eastAsia" w:asciiTheme="minorEastAsia" w:hAnsiTheme="minorEastAsia" w:eastAsiaTheme="minorEastAsia"/>
          <w:b/>
          <w:color w:val="auto"/>
          <w:sz w:val="32"/>
          <w:highlight w:val="none"/>
          <w:lang w:val="en-US" w:eastAsia="zh-CN"/>
        </w:rPr>
        <w:t xml:space="preserve">投 </w:t>
      </w:r>
      <w:r>
        <w:rPr>
          <w:rFonts w:hint="eastAsia" w:asciiTheme="minorEastAsia" w:hAnsiTheme="minorEastAsia" w:eastAsiaTheme="minorEastAsia"/>
          <w:b/>
          <w:color w:val="auto"/>
          <w:sz w:val="32"/>
          <w:highlight w:val="none"/>
        </w:rPr>
        <w:t>标</w:t>
      </w:r>
      <w:r>
        <w:rPr>
          <w:rFonts w:hint="eastAsia" w:asciiTheme="minorEastAsia" w:hAnsiTheme="minorEastAsia" w:eastAsiaTheme="minorEastAsia"/>
          <w:b/>
          <w:color w:val="auto"/>
          <w:sz w:val="32"/>
          <w:highlight w:val="none"/>
          <w:lang w:val="en-US" w:eastAsia="zh-CN"/>
        </w:rPr>
        <w:t xml:space="preserve"> </w:t>
      </w:r>
      <w:r>
        <w:rPr>
          <w:rFonts w:hint="eastAsia" w:asciiTheme="minorEastAsia" w:hAnsiTheme="minorEastAsia" w:eastAsiaTheme="minorEastAsia"/>
          <w:b/>
          <w:color w:val="auto"/>
          <w:sz w:val="32"/>
          <w:highlight w:val="none"/>
        </w:rPr>
        <w:t>人：</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u w:val="single"/>
          <w:lang w:val="en-US" w:eastAsia="zh-CN"/>
        </w:rPr>
        <w:t xml:space="preserve">   </w:t>
      </w:r>
      <w:r>
        <w:rPr>
          <w:rFonts w:hint="eastAsia" w:asciiTheme="minorEastAsia" w:hAnsiTheme="minorEastAsia" w:eastAsiaTheme="minorEastAsia"/>
          <w:b/>
          <w:color w:val="auto"/>
          <w:sz w:val="32"/>
          <w:highlight w:val="none"/>
          <w:u w:val="single"/>
        </w:rPr>
        <w:t xml:space="preserve">    </w:t>
      </w:r>
    </w:p>
    <w:p w14:paraId="4E137C84">
      <w:pPr>
        <w:spacing w:after="156" w:afterLines="50" w:line="500" w:lineRule="exact"/>
        <w:jc w:val="center"/>
        <w:outlineLvl w:val="1"/>
        <w:rPr>
          <w:rFonts w:asciiTheme="minorEastAsia" w:hAnsiTheme="minorEastAsia" w:eastAsiaTheme="minorEastAsia"/>
          <w:b/>
          <w:color w:val="auto"/>
          <w:sz w:val="32"/>
          <w:highlight w:val="none"/>
        </w:rPr>
      </w:pPr>
      <w:r>
        <w:rPr>
          <w:rFonts w:hint="eastAsia" w:asciiTheme="minorEastAsia" w:hAnsiTheme="minorEastAsia" w:eastAsiaTheme="minorEastAsia"/>
          <w:b/>
          <w:color w:val="auto"/>
          <w:sz w:val="32"/>
          <w:highlight w:val="none"/>
          <w:u w:val="single"/>
        </w:rPr>
        <w:t xml:space="preserve">  </w:t>
      </w:r>
      <w:bookmarkStart w:id="75" w:name="_Toc8037"/>
      <w:bookmarkStart w:id="76" w:name="_Toc19687"/>
      <w:r>
        <w:rPr>
          <w:rFonts w:hint="eastAsia" w:asciiTheme="minorEastAsia" w:hAnsiTheme="minorEastAsia" w:eastAsiaTheme="minorEastAsia"/>
          <w:b/>
          <w:color w:val="auto"/>
          <w:sz w:val="32"/>
          <w:highlight w:val="none"/>
        </w:rPr>
        <w:t>年</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月</w:t>
      </w:r>
      <w:r>
        <w:rPr>
          <w:rFonts w:hint="eastAsia" w:asciiTheme="minorEastAsia" w:hAnsiTheme="minorEastAsia" w:eastAsiaTheme="minorEastAsia"/>
          <w:b/>
          <w:color w:val="auto"/>
          <w:sz w:val="32"/>
          <w:highlight w:val="none"/>
          <w:u w:val="single"/>
        </w:rPr>
        <w:t xml:space="preserve">  </w:t>
      </w:r>
      <w:r>
        <w:rPr>
          <w:rFonts w:hint="eastAsia" w:asciiTheme="minorEastAsia" w:hAnsiTheme="minorEastAsia" w:eastAsiaTheme="minorEastAsia"/>
          <w:b/>
          <w:color w:val="auto"/>
          <w:sz w:val="32"/>
          <w:highlight w:val="none"/>
        </w:rPr>
        <w:t>日</w:t>
      </w:r>
      <w:bookmarkEnd w:id="75"/>
      <w:bookmarkEnd w:id="76"/>
    </w:p>
    <w:p w14:paraId="08D11572">
      <w:pPr>
        <w:widowControl/>
        <w:jc w:val="left"/>
        <w:rPr>
          <w:rFonts w:asciiTheme="minorEastAsia" w:hAnsiTheme="minorEastAsia" w:eastAsiaTheme="minorEastAsia"/>
          <w:b/>
          <w:color w:val="auto"/>
          <w:sz w:val="28"/>
          <w:highlight w:val="none"/>
        </w:rPr>
      </w:pPr>
      <w:r>
        <w:rPr>
          <w:rFonts w:asciiTheme="minorEastAsia" w:hAnsiTheme="minorEastAsia" w:eastAsiaTheme="minorEastAsia"/>
          <w:b/>
          <w:color w:val="auto"/>
          <w:sz w:val="28"/>
          <w:highlight w:val="none"/>
        </w:rPr>
        <w:br w:type="page"/>
      </w:r>
    </w:p>
    <w:p w14:paraId="2D4923CA">
      <w:pPr>
        <w:spacing w:line="360" w:lineRule="auto"/>
        <w:jc w:val="center"/>
        <w:outlineLvl w:val="1"/>
        <w:rPr>
          <w:rFonts w:asciiTheme="minorEastAsia" w:hAnsiTheme="minorEastAsia" w:eastAsiaTheme="minorEastAsia"/>
          <w:b/>
          <w:color w:val="auto"/>
          <w:sz w:val="24"/>
          <w:highlight w:val="none"/>
        </w:rPr>
      </w:pPr>
      <w:bookmarkStart w:id="77" w:name="_Toc28960"/>
      <w:bookmarkStart w:id="78" w:name="_Toc17986"/>
      <w:r>
        <w:rPr>
          <w:rFonts w:hint="eastAsia" w:asciiTheme="minorEastAsia" w:hAnsiTheme="minorEastAsia" w:eastAsiaTheme="minorEastAsia"/>
          <w:b/>
          <w:color w:val="auto"/>
          <w:sz w:val="24"/>
          <w:highlight w:val="none"/>
        </w:rPr>
        <w:t>一、开标一览表</w:t>
      </w:r>
      <w:bookmarkEnd w:id="77"/>
      <w:bookmarkEnd w:id="78"/>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3618E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0" w:hRule="atLeast"/>
          <w:jc w:val="center"/>
        </w:trPr>
        <w:tc>
          <w:tcPr>
            <w:tcW w:w="1352" w:type="pct"/>
            <w:tcBorders>
              <w:top w:val="single" w:color="auto" w:sz="4" w:space="0"/>
              <w:bottom w:val="single" w:color="auto" w:sz="4" w:space="0"/>
              <w:right w:val="single" w:color="auto" w:sz="4" w:space="0"/>
            </w:tcBorders>
            <w:vAlign w:val="center"/>
          </w:tcPr>
          <w:p w14:paraId="3A98483B">
            <w:pPr>
              <w:widowControl/>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项目名称</w:t>
            </w:r>
          </w:p>
        </w:tc>
        <w:tc>
          <w:tcPr>
            <w:tcW w:w="3648" w:type="pct"/>
            <w:tcBorders>
              <w:top w:val="single" w:color="auto" w:sz="4" w:space="0"/>
              <w:bottom w:val="single" w:color="auto" w:sz="4" w:space="0"/>
              <w:right w:val="single" w:color="auto" w:sz="4" w:space="0"/>
            </w:tcBorders>
            <w:vAlign w:val="center"/>
          </w:tcPr>
          <w:p w14:paraId="4BD9C6B7">
            <w:pPr>
              <w:spacing w:line="360" w:lineRule="exact"/>
              <w:jc w:val="center"/>
              <w:rPr>
                <w:rFonts w:asciiTheme="minorEastAsia" w:hAnsiTheme="minorEastAsia" w:eastAsiaTheme="minorEastAsia"/>
                <w:bCs/>
                <w:color w:val="auto"/>
                <w:sz w:val="24"/>
                <w:highlight w:val="none"/>
                <w:u w:val="single"/>
              </w:rPr>
            </w:pPr>
          </w:p>
        </w:tc>
      </w:tr>
      <w:tr w14:paraId="71C9AD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B9281ED">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投标人全称</w:t>
            </w:r>
          </w:p>
        </w:tc>
        <w:tc>
          <w:tcPr>
            <w:tcW w:w="3648" w:type="pct"/>
            <w:tcBorders>
              <w:top w:val="nil"/>
            </w:tcBorders>
            <w:vAlign w:val="center"/>
          </w:tcPr>
          <w:p w14:paraId="557B3AB3">
            <w:pPr>
              <w:spacing w:line="360" w:lineRule="auto"/>
              <w:rPr>
                <w:rFonts w:asciiTheme="minorEastAsia" w:hAnsiTheme="minorEastAsia" w:eastAsiaTheme="minorEastAsia"/>
                <w:color w:val="auto"/>
                <w:sz w:val="24"/>
                <w:highlight w:val="none"/>
              </w:rPr>
            </w:pPr>
          </w:p>
        </w:tc>
      </w:tr>
      <w:tr w14:paraId="55BAA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2BD4B12">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投标范围</w:t>
            </w:r>
          </w:p>
        </w:tc>
        <w:tc>
          <w:tcPr>
            <w:tcW w:w="3648" w:type="pct"/>
            <w:tcBorders>
              <w:top w:val="nil"/>
            </w:tcBorders>
            <w:vAlign w:val="center"/>
          </w:tcPr>
          <w:p w14:paraId="752AD2DF">
            <w:pPr>
              <w:keepNext w:val="0"/>
              <w:keepLines w:val="0"/>
              <w:pageBreakBefore w:val="0"/>
              <w:widowControl/>
              <w:kinsoku/>
              <w:wordWrap/>
              <w:overflowPunct/>
              <w:topLinePunct w:val="0"/>
              <w:autoSpaceDE/>
              <w:autoSpaceDN/>
              <w:bidi w:val="0"/>
              <w:adjustRightInd/>
              <w:spacing w:line="360" w:lineRule="auto"/>
              <w:textAlignment w:val="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szCs w:val="28"/>
                <w:highlight w:val="none"/>
              </w:rPr>
              <w:t>全部</w:t>
            </w:r>
          </w:p>
        </w:tc>
      </w:tr>
      <w:tr w14:paraId="2312C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8327A79">
            <w:pPr>
              <w:spacing w:line="360" w:lineRule="exact"/>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投标报价</w:t>
            </w:r>
          </w:p>
        </w:tc>
        <w:tc>
          <w:tcPr>
            <w:tcW w:w="3648" w:type="pct"/>
            <w:tcBorders>
              <w:top w:val="nil"/>
            </w:tcBorders>
            <w:vAlign w:val="center"/>
          </w:tcPr>
          <w:p w14:paraId="4D04ABFC">
            <w:pPr>
              <w:keepNext w:val="0"/>
              <w:keepLines w:val="0"/>
              <w:pageBreakBefore w:val="0"/>
              <w:kinsoku/>
              <w:wordWrap/>
              <w:overflowPunct/>
              <w:topLinePunct w:val="0"/>
              <w:autoSpaceDE/>
              <w:autoSpaceDN/>
              <w:bidi w:val="0"/>
              <w:adjustRightInd/>
              <w:snapToGrid w:val="0"/>
              <w:spacing w:line="360" w:lineRule="auto"/>
              <w:jc w:val="left"/>
              <w:textAlignment w:val="auto"/>
              <w:rPr>
                <w:rFonts w:hint="eastAsia" w:ascii="宋体" w:hAnsi="宋体" w:eastAsia="宋体" w:cs="宋体"/>
                <w:bCs/>
                <w:color w:val="auto"/>
                <w:sz w:val="24"/>
                <w:szCs w:val="24"/>
                <w:highlight w:val="none"/>
                <w:u w:val="single"/>
              </w:rPr>
            </w:pPr>
            <w:r>
              <w:rPr>
                <w:rFonts w:hint="eastAsia" w:ascii="宋体" w:hAnsi="宋体" w:eastAsia="宋体" w:cs="宋体"/>
                <w:bCs/>
                <w:color w:val="auto"/>
                <w:sz w:val="24"/>
                <w:szCs w:val="24"/>
                <w:highlight w:val="none"/>
              </w:rPr>
              <w:t>大写：</w:t>
            </w:r>
            <w:r>
              <w:rPr>
                <w:rFonts w:hint="eastAsia" w:ascii="宋体" w:hAnsi="宋体" w:eastAsia="宋体" w:cs="宋体"/>
                <w:bCs/>
                <w:color w:val="auto"/>
                <w:sz w:val="24"/>
                <w:szCs w:val="24"/>
                <w:highlight w:val="none"/>
                <w:u w:val="single"/>
              </w:rPr>
              <w:t xml:space="preserve">                     </w:t>
            </w:r>
          </w:p>
          <w:p w14:paraId="0A60EACD">
            <w:pPr>
              <w:keepNext w:val="0"/>
              <w:keepLines w:val="0"/>
              <w:pageBreakBefore w:val="0"/>
              <w:kinsoku/>
              <w:wordWrap/>
              <w:overflowPunct/>
              <w:topLinePunct w:val="0"/>
              <w:autoSpaceDE/>
              <w:autoSpaceDN/>
              <w:bidi w:val="0"/>
              <w:adjustRightInd/>
              <w:spacing w:line="360" w:lineRule="auto"/>
              <w:ind w:right="-670"/>
              <w:textAlignment w:val="auto"/>
              <w:rPr>
                <w:rFonts w:asciiTheme="minorEastAsia" w:hAnsiTheme="minorEastAsia" w:eastAsiaTheme="minorEastAsia"/>
                <w:color w:val="auto"/>
                <w:sz w:val="24"/>
                <w:highlight w:val="none"/>
              </w:rPr>
            </w:pPr>
            <w:r>
              <w:rPr>
                <w:rFonts w:hint="eastAsia" w:ascii="宋体" w:hAnsi="宋体" w:eastAsia="宋体" w:cs="宋体"/>
                <w:bCs/>
                <w:color w:val="auto"/>
                <w:sz w:val="24"/>
                <w:szCs w:val="24"/>
                <w:highlight w:val="none"/>
              </w:rPr>
              <w:t>小写：</w:t>
            </w:r>
            <w:r>
              <w:rPr>
                <w:rFonts w:hint="eastAsia" w:ascii="宋体" w:hAnsi="宋体" w:eastAsia="宋体" w:cs="宋体"/>
                <w:bCs/>
                <w:color w:val="auto"/>
                <w:sz w:val="24"/>
                <w:szCs w:val="24"/>
                <w:highlight w:val="none"/>
                <w:u w:val="single"/>
              </w:rPr>
              <w:t xml:space="preserve">                     </w:t>
            </w:r>
          </w:p>
        </w:tc>
      </w:tr>
      <w:tr w14:paraId="049E3F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667A168C">
            <w:pPr>
              <w:spacing w:line="360" w:lineRule="auto"/>
              <w:jc w:val="center"/>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其他</w:t>
            </w:r>
          </w:p>
        </w:tc>
        <w:tc>
          <w:tcPr>
            <w:tcW w:w="3648" w:type="pct"/>
            <w:tcBorders>
              <w:top w:val="nil"/>
            </w:tcBorders>
            <w:vAlign w:val="center"/>
          </w:tcPr>
          <w:p w14:paraId="5D895602">
            <w:pPr>
              <w:spacing w:line="360" w:lineRule="auto"/>
              <w:jc w:val="left"/>
              <w:rPr>
                <w:rFonts w:asciiTheme="minorEastAsia" w:hAnsiTheme="minorEastAsia" w:eastAsiaTheme="minorEastAsia"/>
                <w:color w:val="auto"/>
                <w:sz w:val="24"/>
                <w:szCs w:val="28"/>
                <w:highlight w:val="none"/>
              </w:rPr>
            </w:pPr>
          </w:p>
        </w:tc>
      </w:tr>
    </w:tbl>
    <w:p w14:paraId="4BAA6053">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5F3EC433">
      <w:pPr>
        <w:tabs>
          <w:tab w:val="left" w:pos="630"/>
        </w:tabs>
        <w:spacing w:line="360" w:lineRule="auto"/>
        <w:ind w:firstLine="4800" w:firstLineChars="2000"/>
        <w:rPr>
          <w:rFonts w:asciiTheme="minorEastAsia" w:hAnsiTheme="minorEastAsia" w:eastAsiaTheme="minorEastAsia"/>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42E697A7">
      <w:pPr>
        <w:spacing w:line="360" w:lineRule="auto"/>
        <w:rPr>
          <w:rFonts w:hint="eastAsia" w:asciiTheme="minorEastAsia" w:hAnsiTheme="minorEastAsia" w:eastAsiaTheme="minorEastAsia"/>
          <w:b/>
          <w:color w:val="auto"/>
          <w:sz w:val="24"/>
          <w:highlight w:val="none"/>
          <w:lang w:eastAsia="zh-CN"/>
        </w:rPr>
      </w:pPr>
      <w:r>
        <w:rPr>
          <w:rFonts w:hint="eastAsia" w:asciiTheme="minorEastAsia" w:hAnsiTheme="minorEastAsia" w:eastAsiaTheme="minorEastAsia"/>
          <w:b/>
          <w:color w:val="auto"/>
          <w:sz w:val="24"/>
          <w:highlight w:val="none"/>
          <w:lang w:eastAsia="zh-CN"/>
        </w:rPr>
        <w:t>注：</w:t>
      </w:r>
    </w:p>
    <w:p w14:paraId="403A17C8">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此表用于开标唱标之用。</w:t>
      </w:r>
    </w:p>
    <w:p w14:paraId="2C620D5E">
      <w:pPr>
        <w:spacing w:line="360" w:lineRule="auto"/>
        <w:ind w:firstLine="435"/>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2</w:t>
      </w:r>
      <w:r>
        <w:rPr>
          <w:rFonts w:hint="eastAsia" w:asciiTheme="minorEastAsia" w:hAnsiTheme="minorEastAsia" w:eastAsiaTheme="minorEastAsia"/>
          <w:color w:val="auto"/>
          <w:sz w:val="24"/>
          <w:highlight w:val="none"/>
        </w:rPr>
        <w:t>.</w:t>
      </w:r>
      <w:r>
        <w:rPr>
          <w:rFonts w:asciiTheme="minorEastAsia" w:hAnsiTheme="minorEastAsia" w:eastAsiaTheme="minorEastAsia"/>
          <w:color w:val="auto"/>
          <w:sz w:val="24"/>
          <w:highlight w:val="none"/>
        </w:rPr>
        <w:t>表中投标报价即为优惠后报价，并作为评审及定标依据。任何有选择或有条件的投标报价，或者表中某一包别填写多个报价，均为无效报价。</w:t>
      </w:r>
    </w:p>
    <w:p w14:paraId="011E63B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.表中大写金额与小写金额不一致的，以大写金额为准。</w:t>
      </w:r>
      <w:r>
        <w:rPr>
          <w:rFonts w:asciiTheme="minorEastAsia" w:hAnsiTheme="minorEastAsia" w:eastAsiaTheme="minorEastAsia"/>
          <w:color w:val="auto"/>
          <w:sz w:val="24"/>
          <w:highlight w:val="none"/>
        </w:rPr>
        <w:br w:type="page"/>
      </w:r>
    </w:p>
    <w:p w14:paraId="100974E3">
      <w:pPr>
        <w:spacing w:line="360" w:lineRule="auto"/>
        <w:jc w:val="center"/>
        <w:outlineLvl w:val="1"/>
        <w:rPr>
          <w:rFonts w:asciiTheme="minorEastAsia" w:hAnsiTheme="minorEastAsia" w:eastAsiaTheme="minorEastAsia"/>
          <w:b/>
          <w:color w:val="auto"/>
          <w:sz w:val="24"/>
          <w:highlight w:val="none"/>
        </w:rPr>
      </w:pPr>
      <w:bookmarkStart w:id="79" w:name="_Toc6441"/>
      <w:bookmarkStart w:id="80" w:name="_Toc6120"/>
      <w:r>
        <w:rPr>
          <w:rFonts w:hint="eastAsia" w:asciiTheme="minorEastAsia" w:hAnsiTheme="minorEastAsia" w:eastAsiaTheme="minorEastAsia"/>
          <w:b/>
          <w:color w:val="auto"/>
          <w:sz w:val="24"/>
          <w:highlight w:val="none"/>
        </w:rPr>
        <w:t>二、投标函</w:t>
      </w:r>
      <w:bookmarkEnd w:id="79"/>
      <w:bookmarkEnd w:id="80"/>
    </w:p>
    <w:p w14:paraId="2C84E476">
      <w:pPr>
        <w:pStyle w:val="11"/>
        <w:spacing w:line="360" w:lineRule="auto"/>
        <w:rPr>
          <w:rFonts w:hint="eastAsia" w:ascii="宋体" w:hAnsi="宋体" w:eastAsia="宋体"/>
          <w:color w:val="auto"/>
          <w:sz w:val="24"/>
          <w:highlight w:val="none"/>
          <w:u w:val="singl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04D3251A">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根据贵方的招标公告和投标邀请，我方兹宣布同意如下：</w:t>
      </w:r>
    </w:p>
    <w:p w14:paraId="648C1025">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1</w:t>
      </w:r>
      <w:r>
        <w:rPr>
          <w:rFonts w:hint="eastAsia" w:asciiTheme="minorEastAsia" w:hAnsiTheme="minorEastAsia" w:eastAsiaTheme="minorEastAsia"/>
          <w:color w:val="auto"/>
          <w:sz w:val="24"/>
          <w:highlight w:val="none"/>
        </w:rPr>
        <w:t>.</w:t>
      </w:r>
      <w:r>
        <w:rPr>
          <w:rFonts w:hint="eastAsia" w:ascii="宋体" w:hAnsi="宋体" w:eastAsia="宋体" w:cs="宋体"/>
          <w:color w:val="auto"/>
          <w:sz w:val="24"/>
          <w:szCs w:val="24"/>
          <w:highlight w:val="none"/>
        </w:rPr>
        <w:t>我方根据招标文件的规定，严格履行合同的责任和义务,并保证于买方要求的日期内完成，并通过买方验收。</w:t>
      </w:r>
    </w:p>
    <w:p w14:paraId="4DB02329">
      <w:pPr>
        <w:spacing w:line="360" w:lineRule="auto"/>
        <w:ind w:firstLine="435"/>
        <w:rPr>
          <w:rFonts w:hint="eastAsia"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2</w:t>
      </w:r>
      <w:r>
        <w:rPr>
          <w:rFonts w:hint="eastAsia" w:asciiTheme="minorEastAsia" w:hAnsiTheme="minorEastAsia" w:eastAsiaTheme="minorEastAsia"/>
          <w:color w:val="auto"/>
          <w:sz w:val="24"/>
          <w:highlight w:val="none"/>
        </w:rPr>
        <w:t>.我方已详细审核全部招标文件，包括招标文件</w:t>
      </w:r>
      <w:r>
        <w:rPr>
          <w:rFonts w:hint="eastAsia" w:asciiTheme="minorEastAsia" w:hAnsiTheme="minorEastAsia" w:eastAsiaTheme="minorEastAsia"/>
          <w:color w:val="auto"/>
          <w:sz w:val="24"/>
          <w:highlight w:val="none"/>
          <w:lang w:val="en-US" w:eastAsia="zh-CN"/>
        </w:rPr>
        <w:t>附件及更正公告（如有）</w:t>
      </w:r>
      <w:r>
        <w:rPr>
          <w:rFonts w:hint="eastAsia" w:asciiTheme="minorEastAsia" w:hAnsiTheme="minorEastAsia" w:eastAsiaTheme="minorEastAsia"/>
          <w:color w:val="auto"/>
          <w:sz w:val="24"/>
          <w:highlight w:val="none"/>
        </w:rPr>
        <w:t>，我方正式认可并遵守本次招标文件，并对招标文件各项条款、规定及要求均无异议。</w:t>
      </w:r>
    </w:p>
    <w:p w14:paraId="3CE7B22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3</w:t>
      </w:r>
      <w:r>
        <w:rPr>
          <w:rFonts w:hint="eastAsia" w:asciiTheme="minorEastAsia" w:hAnsiTheme="minorEastAsia" w:eastAsiaTheme="minorEastAsia"/>
          <w:color w:val="auto"/>
          <w:sz w:val="24"/>
          <w:highlight w:val="none"/>
        </w:rPr>
        <w:t>.我方同意从招标文件规定的开标日期起遵循本招标文件，并在招标文件规定的投标有效期之前均具有约束力。</w:t>
      </w:r>
    </w:p>
    <w:p w14:paraId="42D55F7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lang w:val="en-US" w:eastAsia="zh-CN"/>
        </w:rPr>
        <w:t>4</w:t>
      </w:r>
      <w:r>
        <w:rPr>
          <w:rFonts w:hint="eastAsia" w:asciiTheme="minorEastAsia" w:hAnsiTheme="minorEastAsia" w:eastAsiaTheme="minorEastAsia"/>
          <w:color w:val="auto"/>
          <w:sz w:val="24"/>
          <w:highlight w:val="none"/>
        </w:rPr>
        <w:t>.我方声明投标文件所提供的一切资料均真实无误、及时、有效，企业运营正常。由于我方提供资料不实而造成的责任和后果由我方承担。我方同意按照贵方提出的要求，提供与投标有关的任何证据、数据或资料。</w:t>
      </w:r>
    </w:p>
    <w:p w14:paraId="4AB035FC">
      <w:pPr>
        <w:spacing w:line="360" w:lineRule="auto"/>
        <w:ind w:firstLine="4800" w:firstLineChars="2000"/>
        <w:rPr>
          <w:rFonts w:ascii="宋体" w:hAnsi="宋体" w:eastAsia="宋体"/>
          <w:color w:val="auto"/>
          <w:sz w:val="24"/>
          <w:highlight w:val="none"/>
        </w:rPr>
      </w:pPr>
    </w:p>
    <w:p w14:paraId="73B5F411">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p>
    <w:p w14:paraId="144CA916">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日          期：</w:t>
      </w:r>
      <w:r>
        <w:rPr>
          <w:rFonts w:hint="eastAsia" w:ascii="宋体" w:hAnsi="宋体" w:eastAsia="宋体"/>
          <w:color w:val="auto"/>
          <w:sz w:val="24"/>
          <w:highlight w:val="none"/>
          <w:u w:val="single"/>
        </w:rPr>
        <w:t xml:space="preserve">             </w:t>
      </w:r>
    </w:p>
    <w:p w14:paraId="39A79AEE">
      <w:pPr>
        <w:widowControl/>
        <w:jc w:val="left"/>
        <w:rPr>
          <w:rFonts w:ascii="宋体" w:hAnsi="宋体" w:eastAsia="宋体"/>
          <w:color w:val="auto"/>
          <w:sz w:val="24"/>
          <w:highlight w:val="none"/>
          <w:u w:val="single"/>
        </w:rPr>
      </w:pPr>
      <w:r>
        <w:rPr>
          <w:rFonts w:ascii="宋体" w:hAnsi="宋体" w:eastAsia="宋体"/>
          <w:color w:val="auto"/>
          <w:sz w:val="24"/>
          <w:highlight w:val="none"/>
          <w:u w:val="single"/>
        </w:rPr>
        <w:br w:type="page"/>
      </w:r>
    </w:p>
    <w:p w14:paraId="2DD5C84E">
      <w:pPr>
        <w:spacing w:line="360" w:lineRule="auto"/>
        <w:jc w:val="center"/>
        <w:outlineLvl w:val="1"/>
        <w:rPr>
          <w:rFonts w:hint="eastAsia" w:asciiTheme="minorEastAsia" w:hAnsiTheme="minorEastAsia" w:eastAsiaTheme="minorEastAsia"/>
          <w:b/>
          <w:color w:val="auto"/>
          <w:sz w:val="24"/>
          <w:highlight w:val="none"/>
        </w:rPr>
      </w:pPr>
      <w:bookmarkStart w:id="81" w:name="_Toc18881"/>
      <w:r>
        <w:rPr>
          <w:rFonts w:hint="eastAsia" w:asciiTheme="minorEastAsia" w:hAnsiTheme="minorEastAsia" w:eastAsiaTheme="minorEastAsia"/>
          <w:b/>
          <w:color w:val="auto"/>
          <w:sz w:val="24"/>
          <w:highlight w:val="none"/>
          <w:lang w:val="en-US" w:eastAsia="zh-CN"/>
        </w:rPr>
        <w:t>三．投标人资格声明书</w:t>
      </w:r>
      <w:bookmarkEnd w:id="81"/>
      <w:r>
        <w:rPr>
          <w:rFonts w:hint="eastAsia" w:asciiTheme="minorEastAsia" w:hAnsiTheme="minorEastAsia" w:eastAsiaTheme="minorEastAsia"/>
          <w:b/>
          <w:color w:val="auto"/>
          <w:sz w:val="24"/>
          <w:highlight w:val="none"/>
          <w:lang w:val="en-US" w:eastAsia="zh-CN"/>
        </w:rPr>
        <w:t xml:space="preserve"> </w:t>
      </w:r>
    </w:p>
    <w:p w14:paraId="1470E986">
      <w:pPr>
        <w:pStyle w:val="11"/>
        <w:spacing w:line="360" w:lineRule="auto"/>
        <w:rPr>
          <w:rFonts w:hint="eastAsia" w:eastAsia="宋体" w:asciiTheme="minorEastAsia" w:hAnsiTheme="minorEastAsia" w:cstheme="minorEastAsia"/>
          <w:color w:val="auto"/>
          <w:sz w:val="24"/>
          <w:szCs w:val="24"/>
          <w:highlight w:val="none"/>
          <w:lang w:eastAsia="zh-CN"/>
        </w:rPr>
      </w:pPr>
      <w:r>
        <w:rPr>
          <w:rFonts w:hint="eastAsia" w:ascii="宋体" w:hAnsi="宋体"/>
          <w:color w:val="auto"/>
          <w:sz w:val="24"/>
          <w:highlight w:val="none"/>
        </w:rPr>
        <w:t>致：</w:t>
      </w:r>
      <w:r>
        <w:rPr>
          <w:rFonts w:hint="eastAsia" w:ascii="宋体" w:hAnsi="宋体"/>
          <w:color w:val="auto"/>
          <w:sz w:val="24"/>
          <w:highlight w:val="none"/>
          <w:u w:val="single"/>
          <w:lang w:eastAsia="zh-CN"/>
        </w:rPr>
        <w:t>采购人</w:t>
      </w:r>
    </w:p>
    <w:p w14:paraId="41778DC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在参与本次项目投标中，我单位承诺：</w:t>
      </w:r>
    </w:p>
    <w:p w14:paraId="756892F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（一）具有良好的商业信誉和健全的财务会计制度；</w:t>
      </w:r>
    </w:p>
    <w:p w14:paraId="4CFA765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（二）具有履行合同所必需的设备和专业技术能力；</w:t>
      </w:r>
    </w:p>
    <w:p w14:paraId="13EAB60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（三）有依法缴纳税收和社会保障资金的良好记录；</w:t>
      </w:r>
    </w:p>
    <w:p w14:paraId="3F96C12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四）参加政府采购活动前三年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0EE3FA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 xml:space="preserve">（五）我单位不属于政府采购法律、行政法规规定的公益一类事业单位、或使用事业编制且由财政拨款保障的群团组织（仅适用于政府购买服务项目）； </w:t>
      </w:r>
    </w:p>
    <w:p w14:paraId="4E0FD48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rPr>
      </w:pPr>
      <w:r>
        <w:rPr>
          <w:rFonts w:hint="eastAsia" w:asciiTheme="minorEastAsia" w:hAnsiTheme="minorEastAsia" w:eastAsiaTheme="minorEastAsia" w:cstheme="minorEastAsia"/>
          <w:color w:val="auto"/>
          <w:kern w:val="0"/>
          <w:sz w:val="24"/>
          <w:szCs w:val="24"/>
          <w:highlight w:val="none"/>
          <w:lang w:val="en-US" w:eastAsia="zh-CN" w:bidi="ar"/>
        </w:rPr>
        <w:t>（六）我单位不存在为采购项目提供整体设计、规范编制或者项目管理、监理、检测等服务后，再参加该采购项目的其他采购活动的情形（单一来源采购项目除外）；</w:t>
      </w:r>
    </w:p>
    <w:p w14:paraId="5A2954F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heme="minorEastAsia" w:hAnsiTheme="minorEastAsia" w:eastAsiaTheme="minorEastAsia" w:cstheme="minorEastAsia"/>
          <w:color w:val="auto"/>
          <w:kern w:val="0"/>
          <w:sz w:val="24"/>
          <w:szCs w:val="24"/>
          <w:highlight w:val="no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（七）与我单位存在单位负责人为同一人或者存在直接控股、管理关系的其他法人单位信息如下（如有，不论其是否参加同一合同项下的政府采购活动均须填写）：</w:t>
      </w:r>
    </w:p>
    <w:tbl>
      <w:tblPr>
        <w:tblStyle w:val="2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57C11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5BB063C1">
            <w:pPr>
              <w:keepNext w:val="0"/>
              <w:keepLines w:val="0"/>
              <w:pageBreakBefore w:val="0"/>
              <w:widowControl/>
              <w:suppressLineNumbers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序号</w:t>
            </w:r>
          </w:p>
        </w:tc>
        <w:tc>
          <w:tcPr>
            <w:tcW w:w="2841" w:type="dxa"/>
          </w:tcPr>
          <w:p w14:paraId="1419231F">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单位名称</w:t>
            </w:r>
          </w:p>
        </w:tc>
        <w:tc>
          <w:tcPr>
            <w:tcW w:w="2841" w:type="dxa"/>
          </w:tcPr>
          <w:p w14:paraId="2CF9630C">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lang w:val="en-US" w:eastAsia="zh-CN" w:bidi="ar"/>
              </w:rPr>
              <w:t>相互关系</w:t>
            </w:r>
          </w:p>
        </w:tc>
      </w:tr>
      <w:tr w14:paraId="39E5C4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3ED3143">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1</w:t>
            </w:r>
          </w:p>
        </w:tc>
        <w:tc>
          <w:tcPr>
            <w:tcW w:w="2841" w:type="dxa"/>
          </w:tcPr>
          <w:p w14:paraId="21F34B74">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4050F636">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r w14:paraId="7CE1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46DADAE2">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default" w:asciiTheme="minorEastAsia" w:hAnsiTheme="minorEastAsia" w:eastAsiaTheme="minorEastAsia" w:cstheme="minorEastAsia"/>
                <w:color w:val="auto"/>
                <w:kern w:val="0"/>
                <w:sz w:val="24"/>
                <w:szCs w:val="24"/>
                <w:highlight w:val="none"/>
                <w:vertAlign w:val="baseline"/>
                <w:lang w:val="en-US" w:eastAsia="zh-CN" w:bidi="ar"/>
              </w:rPr>
            </w:pPr>
            <w:r>
              <w:rPr>
                <w:rFonts w:hint="eastAsia" w:asciiTheme="minorEastAsia" w:hAnsiTheme="minorEastAsia" w:eastAsiaTheme="minorEastAsia" w:cstheme="minorEastAsia"/>
                <w:color w:val="auto"/>
                <w:kern w:val="0"/>
                <w:sz w:val="24"/>
                <w:szCs w:val="24"/>
                <w:highlight w:val="none"/>
                <w:vertAlign w:val="baseline"/>
                <w:lang w:val="en-US" w:eastAsia="zh-CN" w:bidi="ar"/>
              </w:rPr>
              <w:t>2</w:t>
            </w:r>
          </w:p>
        </w:tc>
        <w:tc>
          <w:tcPr>
            <w:tcW w:w="2841" w:type="dxa"/>
          </w:tcPr>
          <w:p w14:paraId="3CA36E8A">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c>
          <w:tcPr>
            <w:tcW w:w="2841" w:type="dxa"/>
          </w:tcPr>
          <w:p w14:paraId="751CD7DB">
            <w:pPr>
              <w:pStyle w:val="8"/>
              <w:keepNext w:val="0"/>
              <w:keepLines w:val="0"/>
              <w:pageBreakBefore w:val="0"/>
              <w:kinsoku/>
              <w:wordWrap/>
              <w:overflowPunct/>
              <w:topLinePunct w:val="0"/>
              <w:autoSpaceDE/>
              <w:autoSpaceDN/>
              <w:bidi w:val="0"/>
              <w:adjustRightInd/>
              <w:snapToGrid/>
              <w:spacing w:before="0" w:beforeLines="50" w:after="10" w:line="240" w:lineRule="auto"/>
              <w:jc w:val="center"/>
              <w:textAlignment w:val="auto"/>
              <w:rPr>
                <w:rFonts w:hint="eastAsia" w:asciiTheme="minorEastAsia" w:hAnsiTheme="minorEastAsia" w:eastAsiaTheme="minorEastAsia" w:cstheme="minorEastAsia"/>
                <w:color w:val="auto"/>
                <w:kern w:val="0"/>
                <w:sz w:val="24"/>
                <w:szCs w:val="24"/>
                <w:highlight w:val="none"/>
                <w:vertAlign w:val="baseline"/>
                <w:lang w:val="en-US" w:eastAsia="zh-CN" w:bidi="ar"/>
              </w:rPr>
            </w:pPr>
          </w:p>
        </w:tc>
      </w:tr>
    </w:tbl>
    <w:p w14:paraId="3E278577">
      <w:pPr>
        <w:spacing w:line="360" w:lineRule="auto"/>
        <w:ind w:firstLine="435"/>
        <w:rPr>
          <w:rFonts w:ascii="宋体" w:hAnsi="宋体" w:eastAsia="宋体"/>
          <w:color w:val="auto"/>
          <w:sz w:val="24"/>
          <w:highlight w:val="none"/>
        </w:rPr>
      </w:pPr>
      <w:r>
        <w:rPr>
          <w:rFonts w:hint="eastAsia" w:ascii="宋体" w:hAnsi="宋体" w:eastAsia="宋体"/>
          <w:color w:val="auto"/>
          <w:sz w:val="24"/>
          <w:highlight w:val="none"/>
        </w:rPr>
        <w:t>本单位对</w:t>
      </w:r>
      <w:r>
        <w:rPr>
          <w:rFonts w:hint="eastAsia" w:asciiTheme="minorEastAsia" w:hAnsiTheme="minorEastAsia" w:eastAsiaTheme="minorEastAsia"/>
          <w:color w:val="auto"/>
          <w:sz w:val="24"/>
          <w:highlight w:val="none"/>
        </w:rPr>
        <w:t>上述</w:t>
      </w:r>
      <w:r>
        <w:rPr>
          <w:rFonts w:hint="eastAsia" w:ascii="宋体" w:hAnsi="宋体" w:eastAsia="宋体"/>
          <w:color w:val="auto"/>
          <w:sz w:val="24"/>
          <w:highlight w:val="none"/>
        </w:rPr>
        <w:t>声明的真实性负责。如有虚假，将依法承担相应责任。</w:t>
      </w:r>
    </w:p>
    <w:p w14:paraId="16DF782D">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2AF91427">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1993F213">
      <w:pPr>
        <w:rPr>
          <w:rFonts w:hint="eastAsia" w:asciiTheme="minorEastAsia" w:hAnsiTheme="minorEastAsia" w:eastAsiaTheme="minorEastAsia"/>
          <w:b/>
          <w:color w:val="auto"/>
          <w:sz w:val="24"/>
          <w:highlight w:val="none"/>
        </w:rPr>
      </w:pPr>
      <w:bookmarkStart w:id="82" w:name="_Toc11607"/>
      <w:r>
        <w:rPr>
          <w:rFonts w:hint="eastAsia" w:asciiTheme="minorEastAsia" w:hAnsiTheme="minorEastAsia" w:eastAsiaTheme="minorEastAsia"/>
          <w:b/>
          <w:color w:val="auto"/>
          <w:sz w:val="24"/>
          <w:highlight w:val="none"/>
        </w:rPr>
        <w:br w:type="page"/>
      </w:r>
    </w:p>
    <w:p w14:paraId="54A4C2E9">
      <w:pPr>
        <w:spacing w:line="360" w:lineRule="auto"/>
        <w:jc w:val="center"/>
        <w:outlineLvl w:val="1"/>
        <w:rPr>
          <w:rFonts w:asciiTheme="minorEastAsia" w:hAnsiTheme="minorEastAsia" w:eastAsiaTheme="minorEastAsia"/>
          <w:b/>
          <w:color w:val="auto"/>
          <w:sz w:val="24"/>
          <w:highlight w:val="none"/>
        </w:rPr>
      </w:pPr>
      <w:bookmarkStart w:id="83" w:name="_Toc24583"/>
      <w:r>
        <w:rPr>
          <w:rFonts w:hint="eastAsia" w:asciiTheme="minorEastAsia" w:hAnsiTheme="minorEastAsia" w:eastAsiaTheme="minorEastAsia"/>
          <w:b/>
          <w:color w:val="auto"/>
          <w:sz w:val="24"/>
          <w:highlight w:val="none"/>
        </w:rPr>
        <w:t>四、授权书</w:t>
      </w:r>
      <w:bookmarkEnd w:id="82"/>
      <w:bookmarkEnd w:id="83"/>
    </w:p>
    <w:p w14:paraId="79ED74C6">
      <w:pPr>
        <w:pStyle w:val="10"/>
        <w:snapToGrid w:val="0"/>
        <w:spacing w:line="360" w:lineRule="auto"/>
        <w:ind w:firstLine="480" w:firstLineChars="200"/>
        <w:jc w:val="left"/>
        <w:rPr>
          <w:rFonts w:hAnsi="宋体" w:eastAsia="宋体"/>
          <w:color w:val="auto"/>
          <w:sz w:val="24"/>
          <w:szCs w:val="28"/>
          <w:highlight w:val="none"/>
        </w:rPr>
      </w:pPr>
    </w:p>
    <w:p w14:paraId="5F522437">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w:t>
      </w:r>
      <w:r>
        <w:rPr>
          <w:rFonts w:hint="eastAsia" w:asciiTheme="minorEastAsia" w:hAnsiTheme="minorEastAsia" w:eastAsiaTheme="minorEastAsia"/>
          <w:color w:val="auto"/>
          <w:sz w:val="24"/>
          <w:highlight w:val="none"/>
        </w:rPr>
        <w:t>授权</w:t>
      </w:r>
      <w:r>
        <w:rPr>
          <w:rFonts w:hint="eastAsia" w:hAnsi="宋体" w:eastAsia="宋体"/>
          <w:color w:val="auto"/>
          <w:sz w:val="24"/>
          <w:szCs w:val="28"/>
          <w:highlight w:val="none"/>
        </w:rPr>
        <w:t>书声明：</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（投标人名称）授权</w:t>
      </w:r>
      <w:r>
        <w:rPr>
          <w:rFonts w:hint="eastAsia" w:hAnsi="宋体" w:eastAsia="宋体"/>
          <w:color w:val="auto"/>
          <w:sz w:val="24"/>
          <w:szCs w:val="28"/>
          <w:highlight w:val="none"/>
          <w:u w:val="single"/>
        </w:rPr>
        <w:t xml:space="preserve">       </w:t>
      </w:r>
      <w:r>
        <w:rPr>
          <w:rFonts w:hint="eastAsia" w:hAnsi="宋体" w:eastAsia="宋体"/>
          <w:color w:val="auto"/>
          <w:sz w:val="24"/>
          <w:szCs w:val="28"/>
          <w:highlight w:val="none"/>
        </w:rPr>
        <w:t>（投标人授权代表姓名）代表我方参加本项目</w:t>
      </w:r>
      <w:r>
        <w:rPr>
          <w:rFonts w:hint="eastAsia" w:hAnsi="宋体" w:eastAsia="宋体"/>
          <w:bCs/>
          <w:color w:val="auto"/>
          <w:sz w:val="24"/>
          <w:szCs w:val="28"/>
          <w:highlight w:val="none"/>
        </w:rPr>
        <w:t>采购活动</w:t>
      </w:r>
      <w:r>
        <w:rPr>
          <w:rFonts w:hint="eastAsia" w:hAnsi="宋体" w:eastAsia="宋体"/>
          <w:color w:val="auto"/>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624553D2">
      <w:pPr>
        <w:spacing w:line="360" w:lineRule="auto"/>
        <w:ind w:firstLine="435"/>
        <w:rPr>
          <w:rFonts w:hAnsi="宋体" w:eastAsia="宋体"/>
          <w:color w:val="auto"/>
          <w:sz w:val="24"/>
          <w:szCs w:val="28"/>
          <w:highlight w:val="none"/>
        </w:rPr>
      </w:pPr>
      <w:r>
        <w:rPr>
          <w:rFonts w:hint="eastAsia" w:hAnsi="宋体" w:eastAsia="宋体"/>
          <w:color w:val="auto"/>
          <w:sz w:val="24"/>
          <w:szCs w:val="28"/>
          <w:highlight w:val="none"/>
        </w:rPr>
        <w:t>本授权书自出具之日起生效。</w:t>
      </w:r>
    </w:p>
    <w:p w14:paraId="1AD19E9C">
      <w:pPr>
        <w:spacing w:line="360" w:lineRule="auto"/>
        <w:ind w:firstLine="435"/>
        <w:rPr>
          <w:rFonts w:hAnsi="宋体" w:eastAsia="宋体"/>
          <w:color w:val="auto"/>
          <w:sz w:val="24"/>
          <w:highlight w:val="none"/>
        </w:rPr>
      </w:pPr>
      <w:r>
        <w:rPr>
          <w:rFonts w:hint="eastAsia" w:hAnsi="宋体" w:eastAsia="宋体"/>
          <w:color w:val="auto"/>
          <w:sz w:val="24"/>
          <w:szCs w:val="28"/>
          <w:highlight w:val="none"/>
        </w:rPr>
        <w:t>授权</w:t>
      </w:r>
      <w:r>
        <w:rPr>
          <w:rFonts w:hint="eastAsia" w:asciiTheme="minorEastAsia" w:hAnsiTheme="minorEastAsia" w:eastAsiaTheme="minorEastAsia"/>
          <w:color w:val="auto"/>
          <w:sz w:val="24"/>
          <w:highlight w:val="none"/>
        </w:rPr>
        <w:t>代表</w:t>
      </w:r>
      <w:r>
        <w:rPr>
          <w:rFonts w:hint="eastAsia" w:hAnsi="宋体" w:eastAsia="宋体"/>
          <w:color w:val="auto"/>
          <w:sz w:val="24"/>
          <w:highlight w:val="none"/>
        </w:rPr>
        <w:t>身份证明扫描件：</w:t>
      </w:r>
    </w:p>
    <w:p w14:paraId="3FF74B93">
      <w:pPr>
        <w:spacing w:line="360" w:lineRule="auto"/>
        <w:ind w:firstLine="435"/>
        <w:rPr>
          <w:rFonts w:asciiTheme="minorEastAsia" w:hAnsiTheme="minorEastAsia" w:eastAsiaTheme="minorEastAsia"/>
          <w:color w:val="auto"/>
          <w:sz w:val="24"/>
          <w:highlight w:val="none"/>
        </w:rPr>
      </w:pPr>
    </w:p>
    <w:p w14:paraId="0F399850">
      <w:pPr>
        <w:spacing w:line="360" w:lineRule="auto"/>
        <w:ind w:firstLine="435"/>
        <w:rPr>
          <w:rFonts w:asciiTheme="minorEastAsia" w:hAnsiTheme="minorEastAsia" w:eastAsiaTheme="minorEastAsia"/>
          <w:color w:val="auto"/>
          <w:sz w:val="24"/>
          <w:highlight w:val="none"/>
        </w:rPr>
      </w:pPr>
    </w:p>
    <w:p w14:paraId="776598C0">
      <w:pPr>
        <w:spacing w:line="360" w:lineRule="auto"/>
        <w:ind w:firstLine="435"/>
        <w:rPr>
          <w:rFonts w:asciiTheme="minorEastAsia" w:hAnsiTheme="minorEastAsia" w:eastAsiaTheme="minorEastAsia"/>
          <w:color w:val="auto"/>
          <w:sz w:val="24"/>
          <w:highlight w:val="none"/>
        </w:rPr>
      </w:pPr>
    </w:p>
    <w:p w14:paraId="123D485F">
      <w:pPr>
        <w:spacing w:line="360" w:lineRule="auto"/>
        <w:ind w:firstLine="435"/>
        <w:rPr>
          <w:rFonts w:hAnsi="宋体" w:eastAsia="宋体"/>
          <w:color w:val="auto"/>
          <w:sz w:val="24"/>
          <w:szCs w:val="28"/>
          <w:highlight w:val="none"/>
          <w:u w:val="single"/>
          <w:lang w:val="zh-CN"/>
        </w:rPr>
      </w:pPr>
      <w:r>
        <w:rPr>
          <w:rFonts w:hint="eastAsia" w:hAnsi="宋体" w:eastAsia="宋体"/>
          <w:color w:val="auto"/>
          <w:sz w:val="24"/>
          <w:szCs w:val="28"/>
          <w:highlight w:val="none"/>
        </w:rPr>
        <w:t>授权代表联系方式：</w:t>
      </w:r>
      <w:r>
        <w:rPr>
          <w:rFonts w:hint="eastAsia" w:hAnsi="宋体" w:eastAsia="宋体"/>
          <w:color w:val="auto"/>
          <w:sz w:val="24"/>
          <w:szCs w:val="28"/>
          <w:highlight w:val="none"/>
          <w:u w:val="single"/>
        </w:rPr>
        <w:t xml:space="preserve">          （请填写手机号码）</w:t>
      </w:r>
    </w:p>
    <w:p w14:paraId="177779EF">
      <w:pPr>
        <w:spacing w:line="360" w:lineRule="auto"/>
        <w:ind w:firstLine="435"/>
        <w:rPr>
          <w:rFonts w:hAnsi="宋体" w:eastAsia="宋体"/>
          <w:color w:val="auto"/>
          <w:sz w:val="24"/>
          <w:szCs w:val="28"/>
          <w:highlight w:val="none"/>
          <w:lang w:val="zh-CN"/>
        </w:rPr>
      </w:pPr>
    </w:p>
    <w:p w14:paraId="4CA7E01C">
      <w:pPr>
        <w:spacing w:line="360" w:lineRule="auto"/>
        <w:ind w:firstLine="435"/>
        <w:rPr>
          <w:rFonts w:ascii="宋体" w:hAnsi="宋体" w:eastAsia="宋体"/>
          <w:color w:val="auto"/>
          <w:sz w:val="24"/>
          <w:szCs w:val="28"/>
          <w:highlight w:val="none"/>
        </w:rPr>
      </w:pPr>
      <w:r>
        <w:rPr>
          <w:rFonts w:hint="eastAsia" w:asciiTheme="minorEastAsia" w:hAnsiTheme="minorEastAsia" w:eastAsiaTheme="minorEastAsia"/>
          <w:color w:val="auto"/>
          <w:sz w:val="24"/>
          <w:highlight w:val="none"/>
        </w:rPr>
        <w:t>特此</w:t>
      </w:r>
      <w:r>
        <w:rPr>
          <w:rFonts w:hint="eastAsia" w:ascii="宋体" w:hAnsi="宋体" w:eastAsia="宋体"/>
          <w:color w:val="auto"/>
          <w:sz w:val="24"/>
          <w:szCs w:val="28"/>
          <w:highlight w:val="none"/>
        </w:rPr>
        <w:t>声明。</w:t>
      </w:r>
    </w:p>
    <w:p w14:paraId="4CEAB8C5">
      <w:pPr>
        <w:spacing w:line="360" w:lineRule="auto"/>
        <w:rPr>
          <w:rFonts w:ascii="宋体" w:hAnsi="宋体" w:eastAsia="宋体"/>
          <w:color w:val="auto"/>
          <w:sz w:val="24"/>
          <w:szCs w:val="28"/>
          <w:highlight w:val="none"/>
        </w:rPr>
      </w:pPr>
    </w:p>
    <w:p w14:paraId="503C7A11">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154D925B">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3752C2DD">
      <w:pPr>
        <w:spacing w:line="360" w:lineRule="auto"/>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注：</w:t>
      </w:r>
    </w:p>
    <w:p w14:paraId="77E46EE1">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1.本项目只允许有唯一的投标人授权代表，提供身份证明扫描件；</w:t>
      </w:r>
    </w:p>
    <w:p w14:paraId="7F490E76">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2.法定代表人参加投标的无需提供授权书，提供身份证明扫描件。</w:t>
      </w:r>
    </w:p>
    <w:p w14:paraId="654C1F90">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044730DE">
      <w:pPr>
        <w:spacing w:line="360" w:lineRule="auto"/>
        <w:jc w:val="center"/>
        <w:outlineLvl w:val="1"/>
        <w:rPr>
          <w:rFonts w:hint="eastAsia" w:ascii="宋体" w:hAnsi="宋体" w:eastAsia="宋体"/>
          <w:b/>
          <w:bCs/>
          <w:color w:val="auto"/>
          <w:highlight w:val="none"/>
          <w:lang w:val="en-US" w:eastAsia="zh-CN"/>
        </w:rPr>
      </w:pPr>
      <w:bookmarkStart w:id="84" w:name="_Toc31027"/>
      <w:bookmarkStart w:id="85" w:name="_Toc32226"/>
      <w:r>
        <w:rPr>
          <w:rFonts w:hint="eastAsia" w:asciiTheme="minorEastAsia" w:hAnsiTheme="minorEastAsia" w:eastAsiaTheme="minorEastAsia"/>
          <w:b/>
          <w:color w:val="auto"/>
          <w:sz w:val="24"/>
          <w:highlight w:val="none"/>
        </w:rPr>
        <w:t>五、投标分项报价表</w:t>
      </w:r>
      <w:bookmarkEnd w:id="84"/>
      <w:bookmarkEnd w:id="85"/>
    </w:p>
    <w:p w14:paraId="4C7090A7">
      <w:pPr>
        <w:pStyle w:val="47"/>
        <w:jc w:val="both"/>
        <w:rPr>
          <w:rFonts w:hint="default" w:ascii="宋体" w:hAnsi="宋体" w:eastAsia="宋体"/>
          <w:b/>
          <w:bCs/>
          <w:i/>
          <w:iCs/>
          <w:color w:val="auto"/>
          <w:highlight w:val="none"/>
          <w:lang w:val="en-US" w:eastAsia="zh-CN"/>
        </w:rPr>
      </w:pPr>
      <w:r>
        <w:rPr>
          <w:rFonts w:hint="eastAsia" w:ascii="宋体" w:hAnsi="宋体" w:eastAsia="宋体"/>
          <w:b/>
          <w:bCs/>
          <w:color w:val="auto"/>
          <w:highlight w:val="none"/>
          <w:lang w:val="en-US" w:eastAsia="zh-CN"/>
        </w:rPr>
        <w:t>5-</w:t>
      </w:r>
      <w:r>
        <w:rPr>
          <w:rFonts w:hint="eastAsia" w:ascii="宋体" w:hAnsi="宋体"/>
          <w:b/>
          <w:bCs/>
          <w:color w:val="auto"/>
          <w:highlight w:val="none"/>
          <w:lang w:val="en-US" w:eastAsia="zh-CN"/>
        </w:rPr>
        <w:t>1</w:t>
      </w:r>
      <w:r>
        <w:rPr>
          <w:rFonts w:hint="eastAsia" w:ascii="宋体" w:hAnsi="宋体" w:eastAsia="宋体"/>
          <w:b/>
          <w:bCs/>
          <w:color w:val="auto"/>
          <w:highlight w:val="none"/>
          <w:lang w:val="en-US" w:eastAsia="zh-CN"/>
        </w:rPr>
        <w:t>服务部分</w:t>
      </w:r>
      <w:r>
        <w:rPr>
          <w:rFonts w:hint="eastAsia" w:ascii="宋体" w:hAnsi="宋体" w:eastAsia="宋体"/>
          <w:b/>
          <w:bCs/>
          <w:i/>
          <w:iCs/>
          <w:color w:val="auto"/>
          <w:highlight w:val="none"/>
        </w:rPr>
        <w:t>（仅供参考，投标人可自行制作格式</w:t>
      </w:r>
      <w:r>
        <w:rPr>
          <w:rFonts w:hint="eastAsia" w:ascii="宋体" w:hAnsi="宋体"/>
          <w:b/>
          <w:bCs/>
          <w:i/>
          <w:iCs/>
          <w:color w:val="auto"/>
          <w:highlight w:val="none"/>
          <w:lang w:eastAsia="zh-CN"/>
        </w:rPr>
        <w:t>，</w:t>
      </w:r>
      <w:r>
        <w:rPr>
          <w:rFonts w:hint="eastAsia" w:ascii="宋体" w:hAnsi="宋体"/>
          <w:b/>
          <w:bCs/>
          <w:i/>
          <w:iCs/>
          <w:color w:val="auto"/>
          <w:highlight w:val="none"/>
          <w:lang w:val="en-US" w:eastAsia="zh-CN"/>
        </w:rPr>
        <w:t>但实质性内容不得调整</w:t>
      </w:r>
      <w:r>
        <w:rPr>
          <w:rFonts w:hint="eastAsia" w:ascii="宋体" w:hAnsi="宋体" w:eastAsia="宋体"/>
          <w:b/>
          <w:bCs/>
          <w:i/>
          <w:iCs/>
          <w:color w:val="auto"/>
          <w:highlight w:val="none"/>
        </w:rPr>
        <w:t>）</w:t>
      </w:r>
    </w:p>
    <w:tbl>
      <w:tblPr>
        <w:tblStyle w:val="21"/>
        <w:tblW w:w="599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0"/>
        <w:gridCol w:w="1269"/>
        <w:gridCol w:w="409"/>
        <w:gridCol w:w="884"/>
        <w:gridCol w:w="1445"/>
        <w:gridCol w:w="1419"/>
        <w:gridCol w:w="1213"/>
        <w:gridCol w:w="1391"/>
        <w:gridCol w:w="1391"/>
      </w:tblGrid>
      <w:tr w14:paraId="1266D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03" w:hRule="atLeast"/>
          <w:jc w:val="center"/>
        </w:trPr>
        <w:tc>
          <w:tcPr>
            <w:tcW w:w="386" w:type="pct"/>
            <w:noWrap w:val="0"/>
            <w:vAlign w:val="center"/>
          </w:tcPr>
          <w:p w14:paraId="1CDA59DE">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b/>
                <w:color w:val="auto"/>
                <w:sz w:val="24"/>
                <w:highlight w:val="none"/>
              </w:rPr>
            </w:pPr>
            <w:r>
              <w:rPr>
                <w:rFonts w:hint="eastAsia" w:ascii="宋体" w:hAnsi="宋体" w:eastAsia="宋体"/>
                <w:b/>
                <w:color w:val="auto"/>
                <w:sz w:val="24"/>
                <w:highlight w:val="none"/>
              </w:rPr>
              <w:t>序号</w:t>
            </w:r>
          </w:p>
        </w:tc>
        <w:tc>
          <w:tcPr>
            <w:tcW w:w="621" w:type="pct"/>
            <w:noWrap w:val="0"/>
            <w:vAlign w:val="center"/>
          </w:tcPr>
          <w:p w14:paraId="17CB7DC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b/>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工作项目</w:t>
            </w:r>
          </w:p>
        </w:tc>
        <w:tc>
          <w:tcPr>
            <w:tcW w:w="633" w:type="pct"/>
            <w:gridSpan w:val="2"/>
            <w:noWrap w:val="0"/>
            <w:vAlign w:val="center"/>
          </w:tcPr>
          <w:p w14:paraId="1F54A0F7">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岩石</w:t>
            </w:r>
          </w:p>
          <w:p w14:paraId="5943F24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b/>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级别</w:t>
            </w:r>
          </w:p>
        </w:tc>
        <w:tc>
          <w:tcPr>
            <w:tcW w:w="707" w:type="pct"/>
            <w:noWrap w:val="0"/>
            <w:vAlign w:val="center"/>
          </w:tcPr>
          <w:p w14:paraId="3C73F4D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b/>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倾角(°)</w:t>
            </w:r>
          </w:p>
        </w:tc>
        <w:tc>
          <w:tcPr>
            <w:tcW w:w="694" w:type="pct"/>
            <w:noWrap w:val="0"/>
            <w:vAlign w:val="center"/>
          </w:tcPr>
          <w:p w14:paraId="2BED4E47">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宋体" w:hAnsi="宋体" w:eastAsia="宋体"/>
                <w:b/>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孔深(米)</w:t>
            </w:r>
          </w:p>
        </w:tc>
        <w:tc>
          <w:tcPr>
            <w:tcW w:w="593" w:type="pct"/>
            <w:shd w:val="clear" w:color="auto" w:fill="auto"/>
            <w:noWrap w:val="0"/>
            <w:vAlign w:val="center"/>
          </w:tcPr>
          <w:p w14:paraId="151823B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设计工作量(米)</w:t>
            </w:r>
          </w:p>
        </w:tc>
        <w:tc>
          <w:tcPr>
            <w:tcW w:w="681" w:type="pct"/>
            <w:noWrap w:val="0"/>
            <w:vAlign w:val="center"/>
          </w:tcPr>
          <w:p w14:paraId="18231BFF">
            <w:pPr>
              <w:keepNext w:val="0"/>
              <w:keepLines w:val="0"/>
              <w:pageBreakBefore w:val="0"/>
              <w:widowControl w:val="0"/>
              <w:kinsoku/>
              <w:wordWrap/>
              <w:overflowPunct/>
              <w:topLinePunct w:val="0"/>
              <w:autoSpaceDE/>
              <w:autoSpaceDN/>
              <w:bidi w:val="0"/>
              <w:adjustRightInd/>
              <w:snapToGrid/>
              <w:jc w:val="center"/>
              <w:textAlignment w:val="auto"/>
              <w:rPr>
                <w:rFonts w:hint="default" w:ascii="宋体" w:hAnsi="宋体" w:eastAsia="宋体"/>
                <w:b/>
                <w:color w:val="auto"/>
                <w:sz w:val="24"/>
                <w:highlight w:val="none"/>
                <w:lang w:val="en-US" w:eastAsia="zh-CN"/>
              </w:rPr>
            </w:pPr>
            <w:r>
              <w:rPr>
                <w:rFonts w:hint="eastAsia" w:ascii="宋体" w:hAnsi="宋体" w:eastAsia="宋体"/>
                <w:b/>
                <w:color w:val="auto"/>
                <w:sz w:val="24"/>
                <w:highlight w:val="none"/>
                <w:lang w:val="en-US" w:eastAsia="zh-CN"/>
              </w:rPr>
              <w:t>综合单价（元/米）</w:t>
            </w:r>
          </w:p>
        </w:tc>
        <w:tc>
          <w:tcPr>
            <w:tcW w:w="681" w:type="pct"/>
            <w:noWrap w:val="0"/>
            <w:vAlign w:val="center"/>
          </w:tcPr>
          <w:p w14:paraId="21DE877F">
            <w:pPr>
              <w:keepNext w:val="0"/>
              <w:keepLines w:val="0"/>
              <w:pageBreakBefore w:val="0"/>
              <w:widowControl w:val="0"/>
              <w:kinsoku/>
              <w:wordWrap/>
              <w:overflowPunct/>
              <w:topLinePunct w:val="0"/>
              <w:autoSpaceDE/>
              <w:autoSpaceDN/>
              <w:bidi w:val="0"/>
              <w:adjustRightInd/>
              <w:snapToGrid/>
              <w:jc w:val="center"/>
              <w:textAlignment w:val="auto"/>
              <w:rPr>
                <w:rFonts w:hint="eastAsia" w:ascii="宋体" w:hAnsi="宋体" w:eastAsia="宋体"/>
                <w:b/>
                <w:color w:val="auto"/>
                <w:sz w:val="24"/>
                <w:highlight w:val="none"/>
              </w:rPr>
            </w:pPr>
            <w:r>
              <w:rPr>
                <w:rFonts w:hint="eastAsia" w:ascii="宋体" w:hAnsi="宋体" w:eastAsia="宋体"/>
                <w:b/>
                <w:color w:val="auto"/>
                <w:sz w:val="24"/>
                <w:highlight w:val="none"/>
              </w:rPr>
              <w:t>小计（元）</w:t>
            </w:r>
          </w:p>
        </w:tc>
      </w:tr>
      <w:tr w14:paraId="4E9A15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6" w:type="pct"/>
            <w:tcBorders>
              <w:bottom w:val="single" w:color="auto" w:sz="4" w:space="0"/>
            </w:tcBorders>
            <w:noWrap w:val="0"/>
            <w:vAlign w:val="center"/>
          </w:tcPr>
          <w:p w14:paraId="3C2A5816">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1</w:t>
            </w:r>
          </w:p>
        </w:tc>
        <w:tc>
          <w:tcPr>
            <w:tcW w:w="621" w:type="pct"/>
            <w:noWrap w:val="0"/>
            <w:vAlign w:val="center"/>
          </w:tcPr>
          <w:p w14:paraId="176E8AA8">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钻探</w:t>
            </w:r>
          </w:p>
        </w:tc>
        <w:tc>
          <w:tcPr>
            <w:tcW w:w="633" w:type="pct"/>
            <w:gridSpan w:val="2"/>
            <w:noWrap w:val="0"/>
            <w:vAlign w:val="center"/>
          </w:tcPr>
          <w:p w14:paraId="2C5909C3">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Ⅶ</w:t>
            </w:r>
          </w:p>
        </w:tc>
        <w:tc>
          <w:tcPr>
            <w:tcW w:w="707" w:type="pct"/>
            <w:noWrap w:val="0"/>
            <w:vAlign w:val="center"/>
          </w:tcPr>
          <w:p w14:paraId="575AA4E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90</w:t>
            </w:r>
          </w:p>
        </w:tc>
        <w:tc>
          <w:tcPr>
            <w:tcW w:w="694" w:type="pct"/>
            <w:noWrap w:val="0"/>
            <w:vAlign w:val="center"/>
          </w:tcPr>
          <w:p w14:paraId="60C54B4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0-800</w:t>
            </w:r>
          </w:p>
        </w:tc>
        <w:tc>
          <w:tcPr>
            <w:tcW w:w="1213" w:type="dxa"/>
            <w:shd w:val="clear" w:color="auto" w:fill="auto"/>
            <w:noWrap w:val="0"/>
            <w:vAlign w:val="center"/>
          </w:tcPr>
          <w:p w14:paraId="3D23932B">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2400</w:t>
            </w:r>
          </w:p>
        </w:tc>
        <w:tc>
          <w:tcPr>
            <w:tcW w:w="681" w:type="pct"/>
            <w:noWrap w:val="0"/>
            <w:vAlign w:val="center"/>
          </w:tcPr>
          <w:p w14:paraId="56AE20A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681" w:type="pct"/>
            <w:noWrap w:val="0"/>
            <w:vAlign w:val="center"/>
          </w:tcPr>
          <w:p w14:paraId="7B8DD6D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6151BF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6" w:type="pct"/>
            <w:noWrap w:val="0"/>
            <w:vAlign w:val="center"/>
          </w:tcPr>
          <w:p w14:paraId="1D70D3F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2</w:t>
            </w:r>
          </w:p>
        </w:tc>
        <w:tc>
          <w:tcPr>
            <w:tcW w:w="621" w:type="pct"/>
            <w:noWrap w:val="0"/>
            <w:vAlign w:val="center"/>
          </w:tcPr>
          <w:p w14:paraId="72BE9378">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钻探</w:t>
            </w:r>
          </w:p>
        </w:tc>
        <w:tc>
          <w:tcPr>
            <w:tcW w:w="633" w:type="pct"/>
            <w:gridSpan w:val="2"/>
            <w:noWrap w:val="0"/>
            <w:vAlign w:val="center"/>
          </w:tcPr>
          <w:p w14:paraId="6158F3C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Ⅶ</w:t>
            </w:r>
          </w:p>
        </w:tc>
        <w:tc>
          <w:tcPr>
            <w:tcW w:w="707" w:type="pct"/>
            <w:noWrap w:val="0"/>
            <w:vAlign w:val="center"/>
          </w:tcPr>
          <w:p w14:paraId="6122CBD2">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90</w:t>
            </w:r>
          </w:p>
        </w:tc>
        <w:tc>
          <w:tcPr>
            <w:tcW w:w="694" w:type="pct"/>
            <w:noWrap w:val="0"/>
            <w:vAlign w:val="center"/>
          </w:tcPr>
          <w:p w14:paraId="560FF55C">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0-900</w:t>
            </w:r>
          </w:p>
        </w:tc>
        <w:tc>
          <w:tcPr>
            <w:tcW w:w="1213" w:type="dxa"/>
            <w:shd w:val="clear" w:color="auto" w:fill="auto"/>
            <w:noWrap w:val="0"/>
            <w:vAlign w:val="center"/>
          </w:tcPr>
          <w:p w14:paraId="1423904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850</w:t>
            </w:r>
          </w:p>
        </w:tc>
        <w:tc>
          <w:tcPr>
            <w:tcW w:w="681" w:type="pct"/>
            <w:noWrap w:val="0"/>
            <w:vAlign w:val="center"/>
          </w:tcPr>
          <w:p w14:paraId="6CB94197">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681" w:type="pct"/>
            <w:noWrap w:val="0"/>
            <w:vAlign w:val="center"/>
          </w:tcPr>
          <w:p w14:paraId="5CAA0A9A">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751D6E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386" w:type="pct"/>
            <w:noWrap w:val="0"/>
            <w:vAlign w:val="center"/>
          </w:tcPr>
          <w:p w14:paraId="63730EC5">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color w:val="auto"/>
                <w:sz w:val="24"/>
                <w:highlight w:val="none"/>
              </w:rPr>
              <w:t>3</w:t>
            </w:r>
          </w:p>
        </w:tc>
        <w:tc>
          <w:tcPr>
            <w:tcW w:w="621" w:type="pct"/>
            <w:noWrap w:val="0"/>
            <w:vAlign w:val="center"/>
          </w:tcPr>
          <w:p w14:paraId="666FC2C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钻探</w:t>
            </w:r>
          </w:p>
        </w:tc>
        <w:tc>
          <w:tcPr>
            <w:tcW w:w="633" w:type="pct"/>
            <w:gridSpan w:val="2"/>
            <w:noWrap w:val="0"/>
            <w:vAlign w:val="center"/>
          </w:tcPr>
          <w:p w14:paraId="210A8638">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lang w:val="en-US" w:eastAsia="zh-CN" w:bidi="ar-SA"/>
              </w:rPr>
              <w:t>Ⅶ</w:t>
            </w:r>
          </w:p>
        </w:tc>
        <w:tc>
          <w:tcPr>
            <w:tcW w:w="707" w:type="pct"/>
            <w:noWrap w:val="0"/>
            <w:vAlign w:val="center"/>
          </w:tcPr>
          <w:p w14:paraId="6D90EEB9">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90</w:t>
            </w:r>
          </w:p>
        </w:tc>
        <w:tc>
          <w:tcPr>
            <w:tcW w:w="694" w:type="pct"/>
            <w:noWrap w:val="0"/>
            <w:vAlign w:val="center"/>
          </w:tcPr>
          <w:p w14:paraId="2087A30E">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ascii="宋体" w:hAnsi="宋体" w:eastAsia="宋体"/>
                <w:color w:val="auto"/>
                <w:sz w:val="24"/>
                <w:highlight w:val="none"/>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0-1000</w:t>
            </w:r>
          </w:p>
        </w:tc>
        <w:tc>
          <w:tcPr>
            <w:tcW w:w="1213" w:type="dxa"/>
            <w:shd w:val="clear" w:color="auto" w:fill="auto"/>
            <w:noWrap w:val="0"/>
            <w:vAlign w:val="center"/>
          </w:tcPr>
          <w:p w14:paraId="52567B76">
            <w:pPr>
              <w:pStyle w:val="2"/>
              <w:keepNext w:val="0"/>
              <w:keepLines w:val="0"/>
              <w:pageBreakBefore w:val="0"/>
              <w:widowControl w:val="0"/>
              <w:kinsoku/>
              <w:wordWrap/>
              <w:overflowPunct/>
              <w:topLinePunct w:val="0"/>
              <w:autoSpaceDE/>
              <w:autoSpaceDN/>
              <w:bidi w:val="0"/>
              <w:adjustRightInd/>
              <w:snapToGrid/>
              <w:spacing w:line="360" w:lineRule="auto"/>
              <w:ind w:firstLine="0" w:firstLineChars="0"/>
              <w:jc w:val="center"/>
              <w:textAlignment w:val="auto"/>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pPr>
            <w:r>
              <w:rPr>
                <w:rFonts w:hint="eastAsia" w:asciiTheme="majorEastAsia" w:hAnsiTheme="majorEastAsia" w:eastAsiaTheme="majorEastAsia" w:cstheme="majorEastAsia"/>
                <w:b w:val="0"/>
                <w:bCs w:val="0"/>
                <w:color w:val="auto"/>
                <w:kern w:val="2"/>
                <w:sz w:val="24"/>
                <w:szCs w:val="24"/>
                <w:highlight w:val="none"/>
                <w:u w:val="none"/>
                <w:vertAlign w:val="baseline"/>
                <w:lang w:val="en-US" w:eastAsia="zh-CN" w:bidi="ar-SA"/>
              </w:rPr>
              <w:t>1950</w:t>
            </w:r>
          </w:p>
        </w:tc>
        <w:tc>
          <w:tcPr>
            <w:tcW w:w="681" w:type="pct"/>
            <w:noWrap w:val="0"/>
            <w:vAlign w:val="center"/>
          </w:tcPr>
          <w:p w14:paraId="770F6F59">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c>
          <w:tcPr>
            <w:tcW w:w="681" w:type="pct"/>
            <w:noWrap w:val="0"/>
            <w:vAlign w:val="center"/>
          </w:tcPr>
          <w:p w14:paraId="488692D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r w14:paraId="1CB35D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7" w:hRule="atLeast"/>
          <w:jc w:val="center"/>
        </w:trPr>
        <w:tc>
          <w:tcPr>
            <w:tcW w:w="1208" w:type="pct"/>
            <w:gridSpan w:val="3"/>
            <w:noWrap w:val="0"/>
            <w:vAlign w:val="center"/>
          </w:tcPr>
          <w:p w14:paraId="6FBEAEBD">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r>
              <w:rPr>
                <w:rFonts w:hint="eastAsia" w:ascii="宋体" w:hAnsi="宋体" w:eastAsia="宋体"/>
                <w:b/>
                <w:color w:val="auto"/>
                <w:sz w:val="24"/>
                <w:highlight w:val="none"/>
              </w:rPr>
              <w:t>合计金额（元）</w:t>
            </w:r>
          </w:p>
        </w:tc>
        <w:tc>
          <w:tcPr>
            <w:tcW w:w="3791" w:type="pct"/>
            <w:gridSpan w:val="6"/>
            <w:noWrap w:val="0"/>
            <w:vAlign w:val="center"/>
          </w:tcPr>
          <w:p w14:paraId="15D5855C">
            <w:pPr>
              <w:keepNext w:val="0"/>
              <w:keepLines w:val="0"/>
              <w:pageBreakBefore w:val="0"/>
              <w:widowControl w:val="0"/>
              <w:kinsoku/>
              <w:wordWrap/>
              <w:overflowPunct/>
              <w:topLinePunct w:val="0"/>
              <w:autoSpaceDE/>
              <w:autoSpaceDN/>
              <w:bidi w:val="0"/>
              <w:adjustRightInd/>
              <w:snapToGrid/>
              <w:jc w:val="center"/>
              <w:textAlignment w:val="auto"/>
              <w:rPr>
                <w:rFonts w:ascii="宋体" w:hAnsi="宋体" w:eastAsia="宋体"/>
                <w:color w:val="auto"/>
                <w:sz w:val="24"/>
                <w:highlight w:val="none"/>
              </w:rPr>
            </w:pPr>
          </w:p>
        </w:tc>
      </w:tr>
    </w:tbl>
    <w:p w14:paraId="2EF4B9CB">
      <w:pPr>
        <w:spacing w:line="360" w:lineRule="auto"/>
        <w:rPr>
          <w:rFonts w:hint="eastAsia" w:ascii="宋体" w:hAnsi="宋体" w:eastAsia="宋体"/>
          <w:b/>
          <w:bCs/>
          <w:color w:val="auto"/>
          <w:sz w:val="21"/>
          <w:szCs w:val="21"/>
          <w:highlight w:val="none"/>
          <w:lang w:eastAsia="zh-CN"/>
        </w:rPr>
      </w:pPr>
    </w:p>
    <w:p w14:paraId="725986D4">
      <w:pPr>
        <w:spacing w:line="360" w:lineRule="auto"/>
        <w:ind w:firstLine="4800" w:firstLineChars="2000"/>
        <w:jc w:val="center"/>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43493136">
      <w:pPr>
        <w:tabs>
          <w:tab w:val="left" w:pos="630"/>
        </w:tabs>
        <w:spacing w:line="360" w:lineRule="auto"/>
        <w:ind w:firstLine="4800" w:firstLineChars="2000"/>
        <w:jc w:val="center"/>
        <w:rPr>
          <w:rFonts w:ascii="宋体" w:hAnsi="宋体" w:eastAsia="宋体"/>
          <w:color w:val="auto"/>
          <w:sz w:val="24"/>
          <w:highlight w:val="non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192633EA">
      <w:pPr>
        <w:pStyle w:val="8"/>
        <w:rPr>
          <w:rFonts w:hint="eastAsia" w:asciiTheme="minorEastAsia" w:hAnsiTheme="minorEastAsia" w:eastAsiaTheme="minorEastAsia"/>
          <w:color w:val="auto"/>
          <w:sz w:val="24"/>
          <w:highlight w:val="none"/>
        </w:rPr>
      </w:pPr>
    </w:p>
    <w:p w14:paraId="5393638D">
      <w:pPr>
        <w:rPr>
          <w:rFonts w:hint="eastAsia" w:asciiTheme="minorEastAsia" w:hAnsiTheme="minorEastAsia" w:eastAsiaTheme="minorEastAsia"/>
          <w:b/>
          <w:color w:val="auto"/>
          <w:sz w:val="24"/>
          <w:highlight w:val="none"/>
        </w:rPr>
      </w:pPr>
      <w:bookmarkStart w:id="86" w:name="_Toc20329"/>
      <w:r>
        <w:rPr>
          <w:rFonts w:hint="eastAsia" w:asciiTheme="minorEastAsia" w:hAnsiTheme="minorEastAsia" w:eastAsiaTheme="minorEastAsia"/>
          <w:b/>
          <w:color w:val="auto"/>
          <w:sz w:val="24"/>
          <w:highlight w:val="none"/>
        </w:rPr>
        <w:br w:type="page"/>
      </w:r>
    </w:p>
    <w:p w14:paraId="5DEDB01C">
      <w:pPr>
        <w:spacing w:line="360" w:lineRule="auto"/>
        <w:jc w:val="center"/>
        <w:outlineLvl w:val="1"/>
        <w:rPr>
          <w:rFonts w:hint="default" w:asciiTheme="minorEastAsia" w:hAnsiTheme="minorEastAsia" w:eastAsiaTheme="minorEastAsia"/>
          <w:b/>
          <w:color w:val="auto"/>
          <w:sz w:val="24"/>
          <w:highlight w:val="none"/>
          <w:lang w:val="en-US" w:eastAsia="zh-CN"/>
        </w:rPr>
      </w:pPr>
      <w:bookmarkStart w:id="87" w:name="_Toc15209"/>
      <w:r>
        <w:rPr>
          <w:rFonts w:hint="eastAsia" w:asciiTheme="minorEastAsia" w:hAnsiTheme="minorEastAsia" w:eastAsiaTheme="minorEastAsia"/>
          <w:b/>
          <w:color w:val="auto"/>
          <w:sz w:val="24"/>
          <w:highlight w:val="none"/>
        </w:rPr>
        <w:t>六、投标响应表</w:t>
      </w:r>
      <w:bookmarkEnd w:id="86"/>
      <w:bookmarkEnd w:id="87"/>
    </w:p>
    <w:p w14:paraId="4D3FEC0F">
      <w:pPr>
        <w:spacing w:line="360" w:lineRule="auto"/>
        <w:ind w:firstLine="435"/>
        <w:outlineLvl w:val="2"/>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6</w:t>
      </w:r>
      <w:r>
        <w:rPr>
          <w:rFonts w:asciiTheme="minorEastAsia" w:hAnsiTheme="minorEastAsia" w:eastAsiaTheme="minorEastAsia"/>
          <w:b/>
          <w:color w:val="auto"/>
          <w:sz w:val="24"/>
          <w:highlight w:val="none"/>
        </w:rPr>
        <w:t>.1</w:t>
      </w:r>
      <w:r>
        <w:rPr>
          <w:rFonts w:hint="eastAsia" w:asciiTheme="minorEastAsia" w:hAnsiTheme="minorEastAsia" w:eastAsiaTheme="minorEastAsia"/>
          <w:b/>
          <w:color w:val="auto"/>
          <w:sz w:val="24"/>
          <w:highlight w:val="none"/>
        </w:rPr>
        <w:t>商务响应表</w:t>
      </w:r>
    </w:p>
    <w:tbl>
      <w:tblPr>
        <w:tblStyle w:val="21"/>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3"/>
        <w:gridCol w:w="1916"/>
        <w:gridCol w:w="2498"/>
        <w:gridCol w:w="2575"/>
        <w:gridCol w:w="810"/>
      </w:tblGrid>
      <w:tr w14:paraId="20D1F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20FAFC0C">
            <w:pPr>
              <w:pStyle w:val="1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序号</w:t>
            </w:r>
          </w:p>
        </w:tc>
        <w:tc>
          <w:tcPr>
            <w:tcW w:w="1124" w:type="pct"/>
            <w:vAlign w:val="center"/>
          </w:tcPr>
          <w:p w14:paraId="2FA34CBE">
            <w:pPr>
              <w:pStyle w:val="10"/>
              <w:jc w:val="center"/>
              <w:rPr>
                <w:rFonts w:cs="Wingdings" w:asciiTheme="minorEastAsia" w:hAnsiTheme="minorEastAsia"/>
                <w:b/>
                <w:color w:val="auto"/>
                <w:sz w:val="24"/>
                <w:highlight w:val="none"/>
              </w:rPr>
            </w:pPr>
            <w:r>
              <w:rPr>
                <w:rFonts w:hint="eastAsia" w:asciiTheme="minorEastAsia" w:hAnsiTheme="minorEastAsia"/>
                <w:b/>
                <w:bCs/>
                <w:color w:val="auto"/>
                <w:sz w:val="24"/>
                <w:szCs w:val="24"/>
                <w:highlight w:val="none"/>
              </w:rPr>
              <w:t>商务条款</w:t>
            </w:r>
          </w:p>
        </w:tc>
        <w:tc>
          <w:tcPr>
            <w:tcW w:w="1465" w:type="pct"/>
            <w:vAlign w:val="center"/>
          </w:tcPr>
          <w:p w14:paraId="74A19CF6">
            <w:pPr>
              <w:pStyle w:val="1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招标文件要求</w:t>
            </w:r>
          </w:p>
        </w:tc>
        <w:tc>
          <w:tcPr>
            <w:tcW w:w="1510" w:type="pct"/>
            <w:vAlign w:val="center"/>
          </w:tcPr>
          <w:p w14:paraId="6BA3BA1F">
            <w:pPr>
              <w:pStyle w:val="1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投标人承诺</w:t>
            </w:r>
          </w:p>
        </w:tc>
        <w:tc>
          <w:tcPr>
            <w:tcW w:w="475" w:type="pct"/>
            <w:vAlign w:val="center"/>
          </w:tcPr>
          <w:p w14:paraId="7E68FBD3">
            <w:pPr>
              <w:pStyle w:val="10"/>
              <w:jc w:val="center"/>
              <w:rPr>
                <w:rFonts w:cs="Wingdings" w:asciiTheme="minorEastAsia" w:hAnsiTheme="minorEastAsia"/>
                <w:b/>
                <w:color w:val="auto"/>
                <w:sz w:val="24"/>
                <w:highlight w:val="none"/>
              </w:rPr>
            </w:pPr>
            <w:r>
              <w:rPr>
                <w:rFonts w:hint="eastAsia" w:cs="Wingdings" w:asciiTheme="minorEastAsia" w:hAnsiTheme="minorEastAsia"/>
                <w:b/>
                <w:color w:val="auto"/>
                <w:sz w:val="24"/>
                <w:highlight w:val="none"/>
              </w:rPr>
              <w:t>偏离说明</w:t>
            </w:r>
          </w:p>
        </w:tc>
      </w:tr>
      <w:tr w14:paraId="12BE1A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3FF509F9">
            <w:pPr>
              <w:jc w:val="center"/>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t>1</w:t>
            </w:r>
          </w:p>
        </w:tc>
        <w:tc>
          <w:tcPr>
            <w:tcW w:w="1124" w:type="pct"/>
            <w:vAlign w:val="center"/>
          </w:tcPr>
          <w:p w14:paraId="7D50C9E8">
            <w:pPr>
              <w:jc w:val="center"/>
              <w:rPr>
                <w:rFonts w:ascii="宋体" w:hAnsi="宋体" w:eastAsia="宋体"/>
                <w:color w:val="auto"/>
                <w:sz w:val="24"/>
                <w:highlight w:val="none"/>
              </w:rPr>
            </w:pPr>
            <w:r>
              <w:rPr>
                <w:rFonts w:asciiTheme="minorEastAsia" w:hAnsiTheme="minorEastAsia" w:eastAsiaTheme="minorEastAsia"/>
                <w:color w:val="auto"/>
                <w:sz w:val="24"/>
                <w:highlight w:val="none"/>
              </w:rPr>
              <w:t>付款方式</w:t>
            </w:r>
          </w:p>
        </w:tc>
        <w:tc>
          <w:tcPr>
            <w:tcW w:w="1465" w:type="pct"/>
            <w:vAlign w:val="center"/>
          </w:tcPr>
          <w:p w14:paraId="0A2F25C5">
            <w:pPr>
              <w:jc w:val="center"/>
              <w:rPr>
                <w:rFonts w:asciiTheme="minorEastAsia" w:hAnsiTheme="minorEastAsia" w:eastAsiaTheme="minorEastAsia"/>
                <w:color w:val="auto"/>
                <w:sz w:val="24"/>
                <w:highlight w:val="none"/>
              </w:rPr>
            </w:pPr>
          </w:p>
        </w:tc>
        <w:tc>
          <w:tcPr>
            <w:tcW w:w="1510" w:type="pct"/>
            <w:vAlign w:val="center"/>
          </w:tcPr>
          <w:p w14:paraId="4AACB388">
            <w:pPr>
              <w:jc w:val="center"/>
              <w:rPr>
                <w:rFonts w:asciiTheme="minorEastAsia" w:hAnsiTheme="minorEastAsia" w:eastAsiaTheme="minorEastAsia"/>
                <w:color w:val="auto"/>
                <w:sz w:val="24"/>
                <w:highlight w:val="none"/>
              </w:rPr>
            </w:pPr>
          </w:p>
        </w:tc>
        <w:tc>
          <w:tcPr>
            <w:tcW w:w="475" w:type="pct"/>
            <w:vAlign w:val="center"/>
          </w:tcPr>
          <w:p w14:paraId="169FC21D">
            <w:pPr>
              <w:jc w:val="center"/>
              <w:rPr>
                <w:rFonts w:asciiTheme="minorEastAsia" w:hAnsiTheme="minorEastAsia" w:eastAsiaTheme="minorEastAsia"/>
                <w:color w:val="auto"/>
                <w:sz w:val="24"/>
                <w:highlight w:val="none"/>
              </w:rPr>
            </w:pPr>
          </w:p>
        </w:tc>
      </w:tr>
      <w:tr w14:paraId="56471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1F4B95">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w:t>
            </w:r>
          </w:p>
        </w:tc>
        <w:tc>
          <w:tcPr>
            <w:tcW w:w="1124" w:type="pct"/>
            <w:vAlign w:val="center"/>
          </w:tcPr>
          <w:p w14:paraId="24201629">
            <w:pPr>
              <w:jc w:val="center"/>
              <w:rPr>
                <w:rFonts w:ascii="宋体" w:hAnsi="宋体" w:eastAsia="宋体"/>
                <w:color w:val="auto"/>
                <w:sz w:val="24"/>
                <w:highlight w:val="none"/>
              </w:rPr>
            </w:pPr>
            <w:r>
              <w:rPr>
                <w:rFonts w:hint="eastAsia" w:ascii="宋体" w:hAnsi="宋体" w:eastAsia="宋体"/>
                <w:color w:val="auto"/>
                <w:sz w:val="24"/>
                <w:highlight w:val="none"/>
              </w:rPr>
              <w:t>服务地点</w:t>
            </w:r>
          </w:p>
        </w:tc>
        <w:tc>
          <w:tcPr>
            <w:tcW w:w="1465" w:type="pct"/>
            <w:vAlign w:val="center"/>
          </w:tcPr>
          <w:p w14:paraId="67F4817C">
            <w:pPr>
              <w:jc w:val="center"/>
              <w:rPr>
                <w:rFonts w:asciiTheme="minorEastAsia" w:hAnsiTheme="minorEastAsia" w:eastAsiaTheme="minorEastAsia"/>
                <w:color w:val="auto"/>
                <w:sz w:val="24"/>
                <w:highlight w:val="none"/>
              </w:rPr>
            </w:pPr>
          </w:p>
        </w:tc>
        <w:tc>
          <w:tcPr>
            <w:tcW w:w="1510" w:type="pct"/>
            <w:vAlign w:val="center"/>
          </w:tcPr>
          <w:p w14:paraId="41802496">
            <w:pPr>
              <w:jc w:val="center"/>
              <w:rPr>
                <w:rFonts w:asciiTheme="minorEastAsia" w:hAnsiTheme="minorEastAsia" w:eastAsiaTheme="minorEastAsia"/>
                <w:color w:val="auto"/>
                <w:sz w:val="24"/>
                <w:highlight w:val="none"/>
              </w:rPr>
            </w:pPr>
          </w:p>
        </w:tc>
        <w:tc>
          <w:tcPr>
            <w:tcW w:w="475" w:type="pct"/>
            <w:vAlign w:val="center"/>
          </w:tcPr>
          <w:p w14:paraId="05FCF4B6">
            <w:pPr>
              <w:jc w:val="center"/>
              <w:rPr>
                <w:rFonts w:asciiTheme="minorEastAsia" w:hAnsiTheme="minorEastAsia" w:eastAsiaTheme="minorEastAsia"/>
                <w:color w:val="auto"/>
                <w:sz w:val="24"/>
                <w:highlight w:val="none"/>
              </w:rPr>
            </w:pPr>
          </w:p>
        </w:tc>
      </w:tr>
      <w:tr w14:paraId="19E7E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AF782D0">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w:t>
            </w:r>
          </w:p>
        </w:tc>
        <w:tc>
          <w:tcPr>
            <w:tcW w:w="1124" w:type="pct"/>
            <w:vAlign w:val="center"/>
          </w:tcPr>
          <w:p w14:paraId="23B144F3">
            <w:pPr>
              <w:jc w:val="center"/>
              <w:rPr>
                <w:rFonts w:ascii="宋体" w:hAnsi="宋体" w:eastAsia="宋体"/>
                <w:color w:val="auto"/>
                <w:sz w:val="24"/>
                <w:highlight w:val="none"/>
              </w:rPr>
            </w:pPr>
            <w:r>
              <w:rPr>
                <w:rFonts w:hint="eastAsia" w:ascii="宋体" w:hAnsi="宋体" w:eastAsia="宋体"/>
                <w:color w:val="auto"/>
                <w:sz w:val="24"/>
                <w:highlight w:val="none"/>
              </w:rPr>
              <w:t>服务期限</w:t>
            </w:r>
          </w:p>
        </w:tc>
        <w:tc>
          <w:tcPr>
            <w:tcW w:w="1465" w:type="pct"/>
            <w:vAlign w:val="center"/>
          </w:tcPr>
          <w:p w14:paraId="4672209D">
            <w:pPr>
              <w:jc w:val="center"/>
              <w:rPr>
                <w:rFonts w:asciiTheme="minorEastAsia" w:hAnsiTheme="minorEastAsia" w:eastAsiaTheme="minorEastAsia"/>
                <w:color w:val="auto"/>
                <w:sz w:val="24"/>
                <w:highlight w:val="none"/>
              </w:rPr>
            </w:pPr>
          </w:p>
        </w:tc>
        <w:tc>
          <w:tcPr>
            <w:tcW w:w="1510" w:type="pct"/>
            <w:vAlign w:val="center"/>
          </w:tcPr>
          <w:p w14:paraId="0BF28904">
            <w:pPr>
              <w:pStyle w:val="47"/>
              <w:jc w:val="center"/>
              <w:rPr>
                <w:rFonts w:asciiTheme="minorEastAsia" w:hAnsiTheme="minorEastAsia" w:eastAsiaTheme="minorEastAsia"/>
                <w:color w:val="auto"/>
                <w:highlight w:val="none"/>
              </w:rPr>
            </w:pPr>
          </w:p>
        </w:tc>
        <w:tc>
          <w:tcPr>
            <w:tcW w:w="475" w:type="pct"/>
            <w:vAlign w:val="center"/>
          </w:tcPr>
          <w:p w14:paraId="1E58C4A5">
            <w:pPr>
              <w:jc w:val="center"/>
              <w:rPr>
                <w:rFonts w:asciiTheme="minorEastAsia" w:hAnsiTheme="minorEastAsia" w:eastAsiaTheme="minorEastAsia"/>
                <w:color w:val="auto"/>
                <w:sz w:val="24"/>
                <w:highlight w:val="none"/>
              </w:rPr>
            </w:pPr>
          </w:p>
        </w:tc>
      </w:tr>
      <w:tr w14:paraId="1DCF0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A202A3D">
            <w:pPr>
              <w:jc w:val="center"/>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w:t>
            </w:r>
          </w:p>
        </w:tc>
        <w:tc>
          <w:tcPr>
            <w:tcW w:w="1124" w:type="pct"/>
            <w:vAlign w:val="center"/>
          </w:tcPr>
          <w:p w14:paraId="6DD5AF62">
            <w:pPr>
              <w:jc w:val="center"/>
              <w:rPr>
                <w:rFonts w:ascii="宋体" w:hAnsi="宋体" w:eastAsia="宋体"/>
                <w:color w:val="auto"/>
                <w:sz w:val="24"/>
                <w:highlight w:val="none"/>
              </w:rPr>
            </w:pPr>
          </w:p>
        </w:tc>
        <w:tc>
          <w:tcPr>
            <w:tcW w:w="1465" w:type="pct"/>
            <w:vAlign w:val="center"/>
          </w:tcPr>
          <w:p w14:paraId="3A4F9EF9">
            <w:pPr>
              <w:jc w:val="center"/>
              <w:rPr>
                <w:rFonts w:asciiTheme="minorEastAsia" w:hAnsiTheme="minorEastAsia" w:eastAsiaTheme="minorEastAsia"/>
                <w:color w:val="auto"/>
                <w:sz w:val="24"/>
                <w:highlight w:val="none"/>
              </w:rPr>
            </w:pPr>
          </w:p>
        </w:tc>
        <w:tc>
          <w:tcPr>
            <w:tcW w:w="1510" w:type="pct"/>
            <w:vAlign w:val="center"/>
          </w:tcPr>
          <w:p w14:paraId="5B3E2E16">
            <w:pPr>
              <w:jc w:val="center"/>
              <w:rPr>
                <w:rFonts w:asciiTheme="minorEastAsia" w:hAnsiTheme="minorEastAsia" w:eastAsiaTheme="minorEastAsia"/>
                <w:color w:val="auto"/>
                <w:sz w:val="24"/>
                <w:highlight w:val="none"/>
              </w:rPr>
            </w:pPr>
          </w:p>
        </w:tc>
        <w:tc>
          <w:tcPr>
            <w:tcW w:w="475" w:type="pct"/>
            <w:vAlign w:val="center"/>
          </w:tcPr>
          <w:p w14:paraId="37E7B00F">
            <w:pPr>
              <w:jc w:val="center"/>
              <w:rPr>
                <w:rFonts w:asciiTheme="minorEastAsia" w:hAnsiTheme="minorEastAsia" w:eastAsiaTheme="minorEastAsia"/>
                <w:color w:val="auto"/>
                <w:sz w:val="24"/>
                <w:highlight w:val="none"/>
              </w:rPr>
            </w:pPr>
          </w:p>
        </w:tc>
      </w:tr>
    </w:tbl>
    <w:p w14:paraId="4E4AEA89">
      <w:pPr>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投标人电子签章：</w:t>
      </w:r>
      <w:r>
        <w:rPr>
          <w:rFonts w:hint="eastAsia" w:ascii="宋体" w:hAnsi="宋体" w:eastAsia="宋体"/>
          <w:color w:val="auto"/>
          <w:sz w:val="24"/>
          <w:highlight w:val="none"/>
          <w:u w:val="single"/>
        </w:rPr>
        <w:t xml:space="preserve">     </w:t>
      </w:r>
      <w:r>
        <w:rPr>
          <w:rFonts w:ascii="宋体" w:hAnsi="宋体" w:eastAsia="宋体"/>
          <w:color w:val="auto"/>
          <w:sz w:val="24"/>
          <w:highlight w:val="none"/>
          <w:u w:val="single"/>
        </w:rPr>
        <w:t xml:space="preserve">    </w:t>
      </w:r>
      <w:r>
        <w:rPr>
          <w:rFonts w:hint="eastAsia" w:ascii="宋体" w:hAnsi="宋体" w:eastAsia="宋体"/>
          <w:color w:val="auto"/>
          <w:sz w:val="24"/>
          <w:highlight w:val="none"/>
          <w:u w:val="single"/>
        </w:rPr>
        <w:t xml:space="preserve">    </w:t>
      </w:r>
    </w:p>
    <w:p w14:paraId="3938353A">
      <w:pPr>
        <w:tabs>
          <w:tab w:val="left" w:pos="630"/>
        </w:tabs>
        <w:spacing w:line="360" w:lineRule="auto"/>
        <w:ind w:firstLine="4800" w:firstLineChars="2000"/>
        <w:rPr>
          <w:rFonts w:ascii="宋体" w:hAnsi="宋体" w:eastAsia="宋体"/>
          <w:color w:val="auto"/>
          <w:sz w:val="24"/>
          <w:highlight w:val="none"/>
          <w:u w:val="single"/>
        </w:rPr>
      </w:pPr>
      <w:r>
        <w:rPr>
          <w:rFonts w:hint="eastAsia" w:ascii="宋体" w:hAnsi="宋体" w:eastAsia="宋体"/>
          <w:color w:val="auto"/>
          <w:sz w:val="24"/>
          <w:highlight w:val="none"/>
        </w:rPr>
        <w:t xml:space="preserve">日     </w:t>
      </w:r>
      <w:r>
        <w:rPr>
          <w:rFonts w:ascii="宋体" w:hAnsi="宋体" w:eastAsia="宋体"/>
          <w:color w:val="auto"/>
          <w:sz w:val="24"/>
          <w:highlight w:val="none"/>
        </w:rPr>
        <w:t xml:space="preserve">    </w:t>
      </w:r>
      <w:r>
        <w:rPr>
          <w:rFonts w:hint="eastAsia" w:ascii="宋体" w:hAnsi="宋体" w:eastAsia="宋体"/>
          <w:color w:val="auto"/>
          <w:sz w:val="24"/>
          <w:highlight w:val="none"/>
        </w:rPr>
        <w:t xml:space="preserve"> 期：</w:t>
      </w:r>
      <w:r>
        <w:rPr>
          <w:rFonts w:hint="eastAsia" w:ascii="宋体" w:hAnsi="宋体" w:eastAsia="宋体"/>
          <w:color w:val="auto"/>
          <w:sz w:val="24"/>
          <w:highlight w:val="none"/>
          <w:u w:val="single"/>
        </w:rPr>
        <w:t xml:space="preserve">             </w:t>
      </w:r>
    </w:p>
    <w:p w14:paraId="5CD0FD3B">
      <w:pPr>
        <w:pStyle w:val="11"/>
        <w:spacing w:line="360" w:lineRule="auto"/>
        <w:rPr>
          <w:rFonts w:asciiTheme="minorEastAsia" w:hAnsiTheme="minorEastAsia" w:eastAsiaTheme="minorEastAsia"/>
          <w:b w:val="0"/>
          <w:color w:val="auto"/>
          <w:sz w:val="24"/>
          <w:highlight w:val="none"/>
        </w:rPr>
      </w:pPr>
      <w:r>
        <w:rPr>
          <w:rFonts w:asciiTheme="minorEastAsia" w:hAnsiTheme="minorEastAsia" w:eastAsiaTheme="minorEastAsia"/>
          <w:b w:val="0"/>
          <w:color w:val="auto"/>
          <w:sz w:val="24"/>
          <w:highlight w:val="none"/>
        </w:rPr>
        <w:br w:type="page"/>
      </w:r>
    </w:p>
    <w:p w14:paraId="51A8DB9B">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88" w:name="_Toc23068"/>
      <w:r>
        <w:rPr>
          <w:rFonts w:hint="eastAsia" w:asciiTheme="minorEastAsia" w:hAnsiTheme="minorEastAsia" w:eastAsiaTheme="minorEastAsia"/>
          <w:b/>
          <w:color w:val="auto"/>
          <w:sz w:val="24"/>
          <w:highlight w:val="none"/>
          <w:lang w:val="en-US" w:eastAsia="zh-CN"/>
        </w:rPr>
        <w:t>七、中小企业声明函</w:t>
      </w:r>
      <w:bookmarkEnd w:id="88"/>
    </w:p>
    <w:p w14:paraId="22DD704D">
      <w:pPr>
        <w:pStyle w:val="8"/>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w:t>
      </w:r>
      <w:r>
        <w:rPr>
          <w:rFonts w:hint="eastAsia" w:ascii="宋体" w:hAnsi="宋体" w:eastAsia="宋体"/>
          <w:b w:val="0"/>
          <w:i/>
          <w:color w:val="auto"/>
          <w:sz w:val="24"/>
          <w:highlight w:val="none"/>
          <w:lang w:val="zh-CN" w:eastAsia="zh-CN"/>
        </w:rPr>
        <w:t>非中小企业投标</w:t>
      </w:r>
      <w:r>
        <w:rPr>
          <w:rFonts w:hint="eastAsia" w:ascii="宋体" w:hAnsi="宋体" w:eastAsia="宋体"/>
          <w:b w:val="0"/>
          <w:i/>
          <w:color w:val="auto"/>
          <w:sz w:val="24"/>
          <w:highlight w:val="none"/>
          <w:lang w:val="en-US" w:eastAsia="zh-CN"/>
        </w:rPr>
        <w:t>，不需此件，请删去“中小企业声明函”）</w:t>
      </w:r>
    </w:p>
    <w:p w14:paraId="095E382C">
      <w:pPr>
        <w:rPr>
          <w:rFonts w:asciiTheme="minorEastAsia" w:hAnsiTheme="minorEastAsia" w:eastAsiaTheme="minorEastAsia"/>
          <w:color w:val="auto"/>
          <w:sz w:val="24"/>
          <w:szCs w:val="24"/>
          <w:highlight w:val="none"/>
        </w:rPr>
      </w:pPr>
    </w:p>
    <w:p w14:paraId="448AE03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本公司（联合体）郑重声明，根据《政府采购促进中小企业发展管理办法》（财库﹝2020﹞46号）的规定，本公司（联合体）参加（</w:t>
      </w:r>
      <w:r>
        <w:rPr>
          <w:rFonts w:hint="eastAsia" w:ascii="宋体" w:hAnsi="宋体" w:eastAsia="宋体"/>
          <w:color w:val="auto"/>
          <w:sz w:val="24"/>
          <w:szCs w:val="24"/>
          <w:highlight w:val="none"/>
          <w:u w:val="single"/>
          <w:lang w:val="zh-CN"/>
        </w:rPr>
        <w:t>单位</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）的（</w:t>
      </w:r>
      <w:r>
        <w:rPr>
          <w:rFonts w:hint="eastAsia" w:ascii="宋体" w:hAnsi="宋体" w:eastAsia="宋体"/>
          <w:color w:val="auto"/>
          <w:sz w:val="24"/>
          <w:szCs w:val="24"/>
          <w:highlight w:val="none"/>
          <w:u w:val="single"/>
          <w:lang w:val="zh-CN"/>
        </w:rPr>
        <w:t>项目</w:t>
      </w:r>
      <w:r>
        <w:rPr>
          <w:rFonts w:hint="eastAsia" w:ascii="宋体" w:hAnsi="宋体" w:eastAsia="宋体"/>
          <w:color w:val="auto"/>
          <w:sz w:val="24"/>
          <w:szCs w:val="24"/>
          <w:highlight w:val="none"/>
          <w:u w:val="single"/>
          <w:lang w:val="en-US" w:eastAsia="zh-CN"/>
        </w:rPr>
        <w:t>名称</w:t>
      </w:r>
      <w:r>
        <w:rPr>
          <w:rFonts w:hint="eastAsia" w:ascii="宋体" w:hAnsi="宋体" w:eastAsia="宋体"/>
          <w:color w:val="auto"/>
          <w:sz w:val="24"/>
          <w:szCs w:val="24"/>
          <w:highlight w:val="none"/>
          <w:lang w:val="zh-CN"/>
        </w:rPr>
        <w:t xml:space="preserve">）采购活动，服务全部由符合政策要求的中小企业承接。相关企业（含联合体中的中小企业、签订分包意向协议的中小企业）的具体情况如下： </w:t>
      </w:r>
    </w:p>
    <w:p w14:paraId="331FEF35">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1.</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73B11353">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2.</w:t>
      </w:r>
      <w:r>
        <w:rPr>
          <w:rFonts w:hint="eastAsia" w:ascii="宋体" w:hAnsi="宋体" w:eastAsia="宋体"/>
          <w:color w:val="auto"/>
          <w:sz w:val="24"/>
          <w:szCs w:val="24"/>
          <w:highlight w:val="none"/>
          <w:u w:val="single"/>
          <w:lang w:val="zh-CN"/>
        </w:rPr>
        <w:t xml:space="preserve"> （标的名称） </w:t>
      </w:r>
      <w:r>
        <w:rPr>
          <w:rFonts w:hint="eastAsia" w:ascii="宋体" w:hAnsi="宋体" w:eastAsia="宋体"/>
          <w:color w:val="auto"/>
          <w:sz w:val="24"/>
          <w:szCs w:val="24"/>
          <w:highlight w:val="none"/>
          <w:lang w:val="zh-CN"/>
        </w:rPr>
        <w:t>，属于</w:t>
      </w:r>
      <w:r>
        <w:rPr>
          <w:rFonts w:hint="eastAsia" w:ascii="宋体" w:hAnsi="宋体" w:eastAsia="宋体"/>
          <w:color w:val="auto"/>
          <w:sz w:val="24"/>
          <w:szCs w:val="24"/>
          <w:highlight w:val="none"/>
          <w:u w:val="single"/>
          <w:lang w:val="zh-CN"/>
        </w:rPr>
        <w:t>（采购文件中明确的所属行业）</w:t>
      </w:r>
      <w:r>
        <w:rPr>
          <w:rFonts w:hint="eastAsia" w:ascii="宋体" w:hAnsi="宋体" w:eastAsia="宋体"/>
          <w:color w:val="auto"/>
          <w:sz w:val="24"/>
          <w:szCs w:val="24"/>
          <w:highlight w:val="none"/>
          <w:lang w:val="zh-CN"/>
        </w:rPr>
        <w:t>行业；承接企业为</w:t>
      </w:r>
      <w:r>
        <w:rPr>
          <w:rFonts w:hint="eastAsia" w:ascii="宋体" w:hAnsi="宋体" w:eastAsia="宋体"/>
          <w:color w:val="auto"/>
          <w:sz w:val="24"/>
          <w:szCs w:val="24"/>
          <w:highlight w:val="none"/>
          <w:u w:val="single"/>
          <w:lang w:val="zh-CN"/>
        </w:rPr>
        <w:t>（企业名称）</w:t>
      </w:r>
      <w:r>
        <w:rPr>
          <w:rFonts w:hint="eastAsia" w:ascii="宋体" w:hAnsi="宋体" w:eastAsia="宋体"/>
          <w:color w:val="auto"/>
          <w:sz w:val="24"/>
          <w:szCs w:val="24"/>
          <w:highlight w:val="none"/>
          <w:lang w:val="zh-CN"/>
        </w:rPr>
        <w:t>，从业人员</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人，营业收入为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万元，资产总额为</w:t>
      </w:r>
      <w:r>
        <w:rPr>
          <w:rFonts w:hint="eastAsia" w:ascii="宋体" w:hAnsi="宋体" w:eastAsia="宋体"/>
          <w:color w:val="auto"/>
          <w:sz w:val="24"/>
          <w:szCs w:val="24"/>
          <w:highlight w:val="none"/>
          <w:u w:val="single"/>
          <w:lang w:val="zh-CN"/>
        </w:rPr>
        <w:t xml:space="preserve">     </w:t>
      </w:r>
      <w:r>
        <w:rPr>
          <w:rFonts w:hint="eastAsia" w:ascii="宋体" w:hAnsi="宋体" w:eastAsia="宋体"/>
          <w:color w:val="auto"/>
          <w:sz w:val="24"/>
          <w:szCs w:val="24"/>
          <w:highlight w:val="none"/>
          <w:lang w:val="zh-CN"/>
        </w:rPr>
        <w:t>万元，属于</w:t>
      </w:r>
      <w:r>
        <w:rPr>
          <w:rFonts w:hint="eastAsia" w:ascii="宋体" w:hAnsi="宋体" w:eastAsia="宋体"/>
          <w:color w:val="auto"/>
          <w:sz w:val="24"/>
          <w:szCs w:val="24"/>
          <w:highlight w:val="none"/>
          <w:u w:val="single"/>
          <w:lang w:val="zh-CN"/>
        </w:rPr>
        <w:t>（中型企业、小型企业、微型企业）</w:t>
      </w:r>
      <w:r>
        <w:rPr>
          <w:rFonts w:hint="eastAsia" w:ascii="宋体" w:hAnsi="宋体" w:eastAsia="宋体"/>
          <w:color w:val="auto"/>
          <w:sz w:val="24"/>
          <w:szCs w:val="24"/>
          <w:highlight w:val="none"/>
          <w:lang w:val="zh-CN"/>
        </w:rPr>
        <w:t xml:space="preserve">； </w:t>
      </w:r>
    </w:p>
    <w:p w14:paraId="18A367B7">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w:t>
      </w:r>
    </w:p>
    <w:p w14:paraId="7218096B">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以上企业，不属于大企业的分支机构，不存在控股股东为大企业的情形，也不存在与大企业的负责人为同一人的情形。</w:t>
      </w:r>
    </w:p>
    <w:p w14:paraId="26908B50">
      <w:pPr>
        <w:spacing w:line="360" w:lineRule="auto"/>
        <w:ind w:firstLine="435"/>
        <w:rPr>
          <w:rFonts w:ascii="宋体" w:hAnsi="宋体" w:eastAsia="宋体"/>
          <w:color w:val="auto"/>
          <w:sz w:val="24"/>
          <w:szCs w:val="24"/>
          <w:highlight w:val="none"/>
          <w:lang w:val="zh-CN"/>
        </w:rPr>
      </w:pPr>
      <w:r>
        <w:rPr>
          <w:rFonts w:hint="eastAsia" w:ascii="宋体" w:hAnsi="宋体" w:eastAsia="宋体"/>
          <w:color w:val="auto"/>
          <w:sz w:val="24"/>
          <w:szCs w:val="24"/>
          <w:highlight w:val="none"/>
          <w:lang w:val="zh-CN"/>
        </w:rPr>
        <w:t xml:space="preserve">本企业对上述声明内容的真实性负责。如有虚假，将依法承担相应责任。 </w:t>
      </w:r>
    </w:p>
    <w:p w14:paraId="0E5E2B70">
      <w:pPr>
        <w:spacing w:line="360" w:lineRule="auto"/>
        <w:ind w:firstLine="435"/>
        <w:rPr>
          <w:rFonts w:asciiTheme="minorEastAsia" w:hAnsiTheme="minorEastAsia" w:eastAsiaTheme="minorEastAsia"/>
          <w:color w:val="auto"/>
          <w:sz w:val="24"/>
          <w:szCs w:val="24"/>
          <w:highlight w:val="none"/>
        </w:rPr>
      </w:pPr>
    </w:p>
    <w:p w14:paraId="23214991">
      <w:pPr>
        <w:spacing w:line="360" w:lineRule="auto"/>
        <w:ind w:firstLine="435"/>
        <w:rPr>
          <w:rFonts w:asciiTheme="minorEastAsia" w:hAnsiTheme="minorEastAsia" w:eastAsiaTheme="minorEastAsia"/>
          <w:color w:val="auto"/>
          <w:sz w:val="24"/>
          <w:szCs w:val="24"/>
          <w:highlight w:val="none"/>
        </w:rPr>
      </w:pPr>
    </w:p>
    <w:p w14:paraId="6CB239E9">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4F8B5AB1">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05494887">
      <w:pPr>
        <w:tabs>
          <w:tab w:val="left" w:pos="4620"/>
        </w:tabs>
        <w:spacing w:line="360" w:lineRule="auto"/>
        <w:jc w:val="left"/>
        <w:rPr>
          <w:rFonts w:asciiTheme="minorEastAsia" w:hAnsiTheme="minorEastAsia" w:eastAsiaTheme="minorEastAsia"/>
          <w:color w:val="auto"/>
          <w:sz w:val="24"/>
          <w:szCs w:val="24"/>
          <w:highlight w:val="none"/>
        </w:rPr>
      </w:pPr>
    </w:p>
    <w:p w14:paraId="71AA652B">
      <w:pPr>
        <w:tabs>
          <w:tab w:val="left" w:pos="4620"/>
        </w:tabs>
        <w:spacing w:line="360" w:lineRule="auto"/>
        <w:jc w:val="left"/>
        <w:rPr>
          <w:rFonts w:asciiTheme="minorEastAsia" w:hAnsiTheme="minorEastAsia" w:eastAsiaTheme="minorEastAsia"/>
          <w:color w:val="auto"/>
          <w:sz w:val="24"/>
          <w:szCs w:val="24"/>
          <w:highlight w:val="none"/>
        </w:rPr>
      </w:pPr>
    </w:p>
    <w:p w14:paraId="3A54EB8D">
      <w:pPr>
        <w:tabs>
          <w:tab w:val="left" w:pos="4620"/>
        </w:tabs>
        <w:spacing w:line="360" w:lineRule="auto"/>
        <w:jc w:val="left"/>
        <w:rPr>
          <w:rFonts w:asciiTheme="minorEastAsia" w:hAnsiTheme="minorEastAsia" w:eastAsiaTheme="minorEastAsia"/>
          <w:color w:val="auto"/>
          <w:sz w:val="24"/>
          <w:szCs w:val="24"/>
          <w:highlight w:val="none"/>
        </w:rPr>
      </w:pPr>
    </w:p>
    <w:p w14:paraId="7C444092">
      <w:pPr>
        <w:tabs>
          <w:tab w:val="left" w:pos="4620"/>
        </w:tabs>
        <w:spacing w:line="360" w:lineRule="auto"/>
        <w:jc w:val="left"/>
        <w:rPr>
          <w:rFonts w:asciiTheme="minorEastAsia" w:hAnsiTheme="minorEastAsia" w:eastAsiaTheme="minorEastAsia"/>
          <w:color w:val="auto"/>
          <w:sz w:val="24"/>
          <w:szCs w:val="24"/>
          <w:highlight w:val="none"/>
        </w:rPr>
      </w:pPr>
    </w:p>
    <w:p w14:paraId="0EAEBB9F">
      <w:pPr>
        <w:tabs>
          <w:tab w:val="left" w:pos="4620"/>
        </w:tabs>
        <w:spacing w:line="360" w:lineRule="auto"/>
        <w:jc w:val="left"/>
        <w:outlineLvl w:val="9"/>
        <w:rPr>
          <w:rFonts w:hint="eastAsia" w:asciiTheme="minorEastAsia" w:hAnsiTheme="minorEastAsia" w:eastAsiaTheme="minorEastAsia"/>
          <w:b/>
          <w:color w:val="auto"/>
          <w:szCs w:val="24"/>
          <w:highlight w:val="none"/>
          <w:lang w:eastAsia="zh-CN"/>
        </w:rPr>
      </w:pPr>
      <w:r>
        <w:rPr>
          <w:rFonts w:hint="eastAsia" w:asciiTheme="minorEastAsia" w:hAnsiTheme="minorEastAsia" w:eastAsiaTheme="minorEastAsia"/>
          <w:b/>
          <w:color w:val="auto"/>
          <w:szCs w:val="24"/>
          <w:highlight w:val="none"/>
          <w:lang w:eastAsia="zh-CN"/>
        </w:rPr>
        <w:t>注：</w:t>
      </w:r>
    </w:p>
    <w:p w14:paraId="18F0C2DB">
      <w:pPr>
        <w:tabs>
          <w:tab w:val="left" w:pos="4620"/>
        </w:tabs>
        <w:spacing w:line="360" w:lineRule="auto"/>
        <w:rPr>
          <w:rFonts w:asciiTheme="minorEastAsia" w:hAnsiTheme="minorEastAsia" w:eastAsiaTheme="minorEastAsia"/>
          <w:color w:val="auto"/>
          <w:szCs w:val="24"/>
          <w:highlight w:val="none"/>
        </w:rPr>
      </w:pPr>
      <w:r>
        <w:rPr>
          <w:rFonts w:asciiTheme="minorEastAsia" w:hAnsiTheme="minorEastAsia" w:eastAsiaTheme="minorEastAsia"/>
          <w:color w:val="auto"/>
          <w:szCs w:val="24"/>
          <w:highlight w:val="none"/>
        </w:rPr>
        <w:t>1.从业人员、营业收入、资产总额填报上一年数据，无上一年数据的新成立企业可不填报。</w:t>
      </w:r>
    </w:p>
    <w:p w14:paraId="55C6C4B1">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color w:val="auto"/>
          <w:szCs w:val="21"/>
          <w:highlight w:val="none"/>
          <w:lang w:val="zh-CN"/>
        </w:rPr>
        <w:t>如有虚假，将依法承担相应责任。</w:t>
      </w:r>
      <w:r>
        <w:rPr>
          <w:rFonts w:hint="eastAsia" w:ascii="宋体" w:hAnsi="宋体" w:eastAsia="宋体" w:cs="宋体"/>
          <w:b/>
          <w:bCs/>
          <w:color w:val="auto"/>
          <w:szCs w:val="21"/>
          <w:highlight w:val="none"/>
        </w:rPr>
        <w:t>投标人自行登录工业和信息化部官网进行中小企业规模类型自测（查询网址https://www.miit.gov.cn/）。</w:t>
      </w:r>
    </w:p>
    <w:p w14:paraId="252DCAA8">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3.上述“</w:t>
      </w:r>
      <w:r>
        <w:rPr>
          <w:rFonts w:hint="eastAsia" w:ascii="宋体" w:hAnsi="宋体" w:eastAsia="宋体" w:cs="宋体"/>
          <w:b/>
          <w:bCs/>
          <w:color w:val="auto"/>
          <w:szCs w:val="21"/>
          <w:highlight w:val="none"/>
          <w:u w:val="single"/>
          <w:lang w:val="zh-CN"/>
        </w:rPr>
        <w:t>标的名称</w:t>
      </w:r>
      <w:r>
        <w:rPr>
          <w:rFonts w:hint="eastAsia" w:ascii="宋体" w:hAnsi="宋体" w:eastAsia="宋体" w:cs="宋体"/>
          <w:b/>
          <w:bCs/>
          <w:color w:val="auto"/>
          <w:szCs w:val="21"/>
          <w:highlight w:val="none"/>
        </w:rPr>
        <w:t>”，详见第三章采购需求前附表中明确的“标的名称”。</w:t>
      </w:r>
    </w:p>
    <w:p w14:paraId="69F96805">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4.上述“</w:t>
      </w:r>
      <w:r>
        <w:rPr>
          <w:rFonts w:hint="eastAsia" w:ascii="宋体" w:hAnsi="宋体" w:eastAsia="宋体" w:cs="宋体"/>
          <w:b/>
          <w:bCs/>
          <w:color w:val="auto"/>
          <w:szCs w:val="21"/>
          <w:highlight w:val="none"/>
          <w:u w:val="single"/>
        </w:rPr>
        <w:t>采购文件中明确的所属行业</w:t>
      </w:r>
      <w:r>
        <w:rPr>
          <w:rFonts w:hint="eastAsia" w:ascii="宋体" w:hAnsi="宋体" w:eastAsia="宋体" w:cs="宋体"/>
          <w:b/>
          <w:bCs/>
          <w:color w:val="auto"/>
          <w:szCs w:val="21"/>
          <w:highlight w:val="none"/>
        </w:rPr>
        <w:t>”，详见第三章采购需求前附表中明确的“所属行业”。</w:t>
      </w:r>
    </w:p>
    <w:p w14:paraId="2285CC67">
      <w:pPr>
        <w:tabs>
          <w:tab w:val="left" w:pos="4620"/>
        </w:tabs>
        <w:spacing w:line="360" w:lineRule="auto"/>
        <w:jc w:val="left"/>
        <w:rPr>
          <w:rFonts w:ascii="宋体" w:hAnsi="宋体" w:eastAsia="宋体" w:cs="宋体"/>
          <w:b/>
          <w:bCs/>
          <w:color w:val="auto"/>
          <w:szCs w:val="21"/>
          <w:highlight w:val="none"/>
        </w:rPr>
      </w:pPr>
      <w:r>
        <w:rPr>
          <w:rFonts w:hint="eastAsia" w:ascii="宋体" w:hAnsi="宋体" w:eastAsia="宋体" w:cs="宋体"/>
          <w:b/>
          <w:bCs/>
          <w:color w:val="auto"/>
          <w:szCs w:val="21"/>
          <w:highlight w:val="none"/>
        </w:rPr>
        <w:t>5．填写示例：</w:t>
      </w:r>
      <w:r>
        <w:rPr>
          <w:rFonts w:hint="eastAsia" w:ascii="宋体" w:hAnsi="宋体" w:eastAsia="宋体" w:cs="宋体"/>
          <w:b/>
          <w:bCs/>
          <w:color w:val="auto"/>
          <w:szCs w:val="21"/>
          <w:highlight w:val="none"/>
          <w:u w:val="single"/>
        </w:rPr>
        <w:t>某标的名称</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u w:val="single"/>
        </w:rPr>
        <w:t>填写第三章采购需求前附表中明确的“标的名称”</w:t>
      </w:r>
      <w:r>
        <w:rPr>
          <w:rFonts w:hint="eastAsia" w:ascii="宋体" w:hAnsi="宋体" w:eastAsia="宋体" w:cs="宋体"/>
          <w:b/>
          <w:bCs/>
          <w:color w:val="auto"/>
          <w:szCs w:val="21"/>
          <w:highlight w:val="none"/>
        </w:rPr>
        <w:t>），属于</w:t>
      </w:r>
      <w:r>
        <w:rPr>
          <w:rFonts w:hint="eastAsia" w:ascii="宋体" w:hAnsi="宋体" w:eastAsia="宋体" w:cs="宋体"/>
          <w:b/>
          <w:bCs/>
          <w:color w:val="auto"/>
          <w:szCs w:val="21"/>
          <w:highlight w:val="none"/>
          <w:u w:val="single"/>
        </w:rPr>
        <w:t>（填写第三章采购需求前附表中明确的“所属行业”，如软件和信息技术服务业）</w:t>
      </w:r>
      <w:r>
        <w:rPr>
          <w:rFonts w:hint="eastAsia" w:ascii="宋体" w:hAnsi="宋体" w:eastAsia="宋体" w:cs="宋体"/>
          <w:b/>
          <w:bCs/>
          <w:color w:val="auto"/>
          <w:szCs w:val="21"/>
          <w:highlight w:val="none"/>
        </w:rPr>
        <w:t>行业；承接企业为</w:t>
      </w:r>
      <w:r>
        <w:rPr>
          <w:rFonts w:hint="eastAsia" w:ascii="宋体" w:hAnsi="宋体" w:eastAsia="宋体" w:cs="宋体"/>
          <w:b/>
          <w:bCs/>
          <w:color w:val="auto"/>
          <w:szCs w:val="21"/>
          <w:highlight w:val="none"/>
          <w:u w:val="single"/>
          <w:lang w:val="zh-CN"/>
        </w:rPr>
        <w:t>某</w:t>
      </w:r>
      <w:r>
        <w:rPr>
          <w:rFonts w:hint="eastAsia" w:ascii="宋体" w:hAnsi="宋体" w:eastAsia="宋体" w:cs="宋体"/>
          <w:b/>
          <w:bCs/>
          <w:color w:val="auto"/>
          <w:szCs w:val="21"/>
          <w:highlight w:val="none"/>
          <w:u w:val="single"/>
        </w:rPr>
        <w:t>企业</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从业人员</w:t>
      </w:r>
      <w:r>
        <w:rPr>
          <w:rFonts w:hint="eastAsia" w:ascii="宋体" w:hAnsi="宋体" w:eastAsia="宋体" w:cs="宋体"/>
          <w:b/>
          <w:bCs/>
          <w:color w:val="auto"/>
          <w:szCs w:val="21"/>
          <w:highlight w:val="none"/>
          <w:u w:val="single"/>
        </w:rPr>
        <w:t>100</w:t>
      </w:r>
      <w:r>
        <w:rPr>
          <w:rFonts w:hint="eastAsia" w:ascii="宋体" w:hAnsi="宋体" w:eastAsia="宋体" w:cs="宋体"/>
          <w:b/>
          <w:bCs/>
          <w:color w:val="auto"/>
          <w:szCs w:val="21"/>
          <w:highlight w:val="none"/>
          <w:lang w:val="zh-CN"/>
        </w:rPr>
        <w:t>人</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营业收入为</w:t>
      </w:r>
      <w:r>
        <w:rPr>
          <w:rFonts w:hint="eastAsia" w:ascii="宋体" w:hAnsi="宋体" w:eastAsia="宋体" w:cs="宋体"/>
          <w:b/>
          <w:bCs/>
          <w:color w:val="auto"/>
          <w:szCs w:val="21"/>
          <w:highlight w:val="none"/>
          <w:u w:val="single"/>
        </w:rPr>
        <w:t>10000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资产总额为</w:t>
      </w:r>
      <w:r>
        <w:rPr>
          <w:rFonts w:hint="eastAsia" w:ascii="宋体" w:hAnsi="宋体" w:eastAsia="宋体" w:cs="宋体"/>
          <w:b/>
          <w:bCs/>
          <w:color w:val="auto"/>
          <w:szCs w:val="21"/>
          <w:highlight w:val="none"/>
          <w:u w:val="single"/>
        </w:rPr>
        <w:t>5000</w:t>
      </w:r>
      <w:r>
        <w:rPr>
          <w:rFonts w:hint="eastAsia" w:ascii="宋体" w:hAnsi="宋体" w:eastAsia="宋体" w:cs="宋体"/>
          <w:b/>
          <w:bCs/>
          <w:color w:val="auto"/>
          <w:szCs w:val="21"/>
          <w:highlight w:val="none"/>
          <w:lang w:val="zh-CN"/>
        </w:rPr>
        <w:t>万元</w:t>
      </w:r>
      <w:r>
        <w:rPr>
          <w:rFonts w:hint="eastAsia" w:ascii="宋体" w:hAnsi="宋体" w:eastAsia="宋体" w:cs="宋体"/>
          <w:b/>
          <w:bCs/>
          <w:color w:val="auto"/>
          <w:szCs w:val="21"/>
          <w:highlight w:val="none"/>
        </w:rPr>
        <w:t>，</w:t>
      </w:r>
      <w:r>
        <w:rPr>
          <w:rFonts w:hint="eastAsia" w:ascii="宋体" w:hAnsi="宋体" w:eastAsia="宋体" w:cs="宋体"/>
          <w:b/>
          <w:bCs/>
          <w:color w:val="auto"/>
          <w:szCs w:val="21"/>
          <w:highlight w:val="none"/>
          <w:lang w:val="zh-CN"/>
        </w:rPr>
        <w:t>属于</w:t>
      </w:r>
      <w:r>
        <w:rPr>
          <w:rFonts w:hint="eastAsia" w:ascii="宋体" w:hAnsi="宋体" w:eastAsia="宋体" w:cs="宋体"/>
          <w:b/>
          <w:bCs/>
          <w:color w:val="auto"/>
          <w:szCs w:val="21"/>
          <w:highlight w:val="none"/>
        </w:rPr>
        <w:t>中</w:t>
      </w:r>
      <w:r>
        <w:rPr>
          <w:rFonts w:hint="eastAsia" w:ascii="宋体" w:hAnsi="宋体" w:eastAsia="宋体" w:cs="宋体"/>
          <w:b/>
          <w:bCs/>
          <w:color w:val="auto"/>
          <w:szCs w:val="21"/>
          <w:highlight w:val="none"/>
          <w:u w:val="single"/>
          <w:lang w:val="zh-CN"/>
        </w:rPr>
        <w:t>型</w:t>
      </w:r>
      <w:r>
        <w:rPr>
          <w:rFonts w:hint="eastAsia" w:ascii="宋体" w:hAnsi="宋体" w:eastAsia="宋体" w:cs="宋体"/>
          <w:b/>
          <w:bCs/>
          <w:color w:val="auto"/>
          <w:szCs w:val="21"/>
          <w:highlight w:val="none"/>
          <w:lang w:val="zh-CN"/>
        </w:rPr>
        <w:t>企业</w:t>
      </w:r>
      <w:r>
        <w:rPr>
          <w:rFonts w:hint="eastAsia" w:ascii="宋体" w:hAnsi="宋体" w:eastAsia="宋体" w:cs="宋体"/>
          <w:b/>
          <w:bCs/>
          <w:color w:val="auto"/>
          <w:szCs w:val="21"/>
          <w:highlight w:val="none"/>
        </w:rPr>
        <w:t>[投标人自行登录工业和信息化部官网进行中小企业规模类型自测（查询网址https://www.miit.gov.cn/）]</w:t>
      </w:r>
      <w:r>
        <w:rPr>
          <w:rFonts w:hint="eastAsia" w:ascii="宋体" w:hAnsi="宋体" w:eastAsia="宋体" w:cs="宋体"/>
          <w:b/>
          <w:bCs/>
          <w:color w:val="auto"/>
          <w:szCs w:val="21"/>
          <w:highlight w:val="none"/>
          <w:lang w:val="zh-CN"/>
        </w:rPr>
        <w:t>。</w:t>
      </w:r>
    </w:p>
    <w:p w14:paraId="5486CDE7">
      <w:pPr>
        <w:pStyle w:val="8"/>
        <w:rPr>
          <w:rFonts w:hint="eastAsia" w:asciiTheme="minorEastAsia" w:hAnsiTheme="minorEastAsia" w:eastAsiaTheme="minorEastAsia"/>
          <w:b/>
          <w:bCs/>
          <w:color w:val="auto"/>
          <w:szCs w:val="24"/>
          <w:highlight w:val="none"/>
        </w:rPr>
      </w:pPr>
    </w:p>
    <w:p w14:paraId="1E5754CC">
      <w:pPr>
        <w:rPr>
          <w:rFonts w:hint="eastAsia" w:asciiTheme="minorEastAsia" w:hAnsiTheme="minorEastAsia" w:eastAsiaTheme="minorEastAsia"/>
          <w:b/>
          <w:color w:val="auto"/>
          <w:sz w:val="24"/>
          <w:highlight w:val="none"/>
        </w:rPr>
      </w:pPr>
      <w:bookmarkStart w:id="89" w:name="_Toc16713"/>
      <w:r>
        <w:rPr>
          <w:rFonts w:hint="eastAsia" w:asciiTheme="minorEastAsia" w:hAnsiTheme="minorEastAsia" w:eastAsiaTheme="minorEastAsia"/>
          <w:b/>
          <w:color w:val="auto"/>
          <w:sz w:val="24"/>
          <w:highlight w:val="none"/>
        </w:rPr>
        <w:br w:type="page"/>
      </w:r>
    </w:p>
    <w:p w14:paraId="23FB3173">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90" w:name="_Toc17315"/>
      <w:r>
        <w:rPr>
          <w:rFonts w:hint="eastAsia" w:asciiTheme="minorEastAsia" w:hAnsiTheme="minorEastAsia" w:eastAsiaTheme="minorEastAsia"/>
          <w:b/>
          <w:color w:val="auto"/>
          <w:sz w:val="24"/>
          <w:highlight w:val="none"/>
          <w:lang w:val="en-US" w:eastAsia="zh-CN"/>
        </w:rPr>
        <w:t>八、残疾人福利性单位声明函</w:t>
      </w:r>
      <w:bookmarkEnd w:id="89"/>
      <w:bookmarkEnd w:id="90"/>
    </w:p>
    <w:p w14:paraId="790FF97C">
      <w:pPr>
        <w:pStyle w:val="8"/>
        <w:jc w:val="center"/>
        <w:rPr>
          <w:rFonts w:hint="eastAsia" w:ascii="宋体" w:hAnsi="宋体" w:eastAsia="宋体"/>
          <w:b w:val="0"/>
          <w:i/>
          <w:color w:val="auto"/>
          <w:sz w:val="24"/>
          <w:highlight w:val="none"/>
          <w:lang w:val="en-US" w:eastAsia="zh-CN"/>
        </w:rPr>
      </w:pPr>
      <w:r>
        <w:rPr>
          <w:rFonts w:hint="eastAsia" w:ascii="宋体" w:hAnsi="宋体" w:eastAsia="宋体"/>
          <w:b w:val="0"/>
          <w:i/>
          <w:color w:val="auto"/>
          <w:sz w:val="24"/>
          <w:highlight w:val="none"/>
          <w:lang w:val="en-US" w:eastAsia="zh-CN"/>
        </w:rPr>
        <w:t>（非残疾人福利性单位投标，请删去“残疾人福利性单位声明函”）</w:t>
      </w:r>
    </w:p>
    <w:p w14:paraId="5C34D28E">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w:t>
      </w:r>
      <w:r>
        <w:rPr>
          <w:rFonts w:hint="eastAsia" w:asciiTheme="minorEastAsia" w:hAnsiTheme="minorEastAsia" w:eastAsiaTheme="minorEastAsia"/>
          <w:color w:val="auto"/>
          <w:sz w:val="24"/>
          <w:highlight w:val="none"/>
        </w:rPr>
        <w:t>郑重</w:t>
      </w:r>
      <w:r>
        <w:rPr>
          <w:rFonts w:hint="eastAsia" w:asciiTheme="minorEastAsia" w:hAnsiTheme="minorEastAsia" w:eastAsiaTheme="minorEastAsia"/>
          <w:color w:val="auto"/>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color w:val="auto"/>
          <w:sz w:val="24"/>
          <w:szCs w:val="24"/>
          <w:highlight w:val="none"/>
        </w:rPr>
        <w:t>〔2017〕141</w:t>
      </w:r>
      <w:r>
        <w:rPr>
          <w:rFonts w:hint="eastAsia" w:asciiTheme="minorEastAsia" w:hAnsiTheme="minorEastAsia" w:eastAsiaTheme="minorEastAsia"/>
          <w:color w:val="auto"/>
          <w:spacing w:val="6"/>
          <w:sz w:val="24"/>
          <w:szCs w:val="24"/>
          <w:highlight w:val="none"/>
        </w:rPr>
        <w:t>号）的规定，本单位为</w:t>
      </w:r>
      <w:r>
        <w:rPr>
          <w:rFonts w:hint="eastAsia" w:asciiTheme="minorEastAsia" w:hAnsiTheme="minorEastAsia" w:eastAsiaTheme="minorEastAsia"/>
          <w:bCs/>
          <w:color w:val="auto"/>
          <w:sz w:val="24"/>
          <w:szCs w:val="24"/>
          <w:highlight w:val="none"/>
        </w:rPr>
        <w:t>符合</w:t>
      </w:r>
      <w:r>
        <w:rPr>
          <w:rFonts w:hint="eastAsia" w:asciiTheme="minorEastAsia" w:hAnsiTheme="minorEastAsia" w:eastAsiaTheme="minorEastAsia"/>
          <w:color w:val="auto"/>
          <w:spacing w:val="6"/>
          <w:sz w:val="24"/>
          <w:szCs w:val="24"/>
          <w:highlight w:val="none"/>
        </w:rPr>
        <w:t>条件的残疾人福利性单位，且本单位参加</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单位的</w:t>
      </w:r>
      <w:r>
        <w:rPr>
          <w:rFonts w:hint="eastAsia" w:asciiTheme="minorEastAsia" w:hAnsiTheme="minorEastAsia" w:eastAsiaTheme="minorEastAsia"/>
          <w:color w:val="auto"/>
          <w:spacing w:val="6"/>
          <w:sz w:val="24"/>
          <w:szCs w:val="24"/>
          <w:highlight w:val="none"/>
          <w:u w:val="single"/>
        </w:rPr>
        <w:t xml:space="preserve">      </w:t>
      </w:r>
      <w:r>
        <w:rPr>
          <w:rFonts w:hint="eastAsia" w:asciiTheme="minorEastAsia" w:hAnsiTheme="minorEastAsia" w:eastAsiaTheme="minorEastAsia"/>
          <w:color w:val="auto"/>
          <w:spacing w:val="6"/>
          <w:sz w:val="24"/>
          <w:szCs w:val="24"/>
          <w:highlight w:val="none"/>
        </w:rPr>
        <w:t>项目采购活动提供本单位制造的货物</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lang w:val="en-US" w:eastAsia="zh-CN"/>
        </w:rPr>
        <w:t>由本单位承担工程/提供服务</w:t>
      </w:r>
      <w:r>
        <w:rPr>
          <w:rFonts w:hint="eastAsia" w:asciiTheme="minorEastAsia" w:hAnsiTheme="minorEastAsia" w:eastAsiaTheme="minorEastAsia"/>
          <w:color w:val="auto"/>
          <w:spacing w:val="6"/>
          <w:sz w:val="24"/>
          <w:szCs w:val="24"/>
          <w:highlight w:val="none"/>
          <w:lang w:eastAsia="zh-CN"/>
        </w:rPr>
        <w:t>）</w:t>
      </w:r>
      <w:r>
        <w:rPr>
          <w:rFonts w:hint="eastAsia" w:asciiTheme="minorEastAsia" w:hAnsiTheme="minorEastAsia" w:eastAsiaTheme="minorEastAsia"/>
          <w:color w:val="auto"/>
          <w:spacing w:val="6"/>
          <w:sz w:val="24"/>
          <w:szCs w:val="24"/>
          <w:highlight w:val="none"/>
        </w:rPr>
        <w:t>，或者提供其他残疾人福利性单位制造的货物（不包括使用非残疾人福利性单位注册商标的货物）。</w:t>
      </w:r>
    </w:p>
    <w:p w14:paraId="788B783E">
      <w:pPr>
        <w:spacing w:line="360" w:lineRule="auto"/>
        <w:ind w:firstLine="435"/>
        <w:rPr>
          <w:rFonts w:asciiTheme="minorEastAsia" w:hAnsiTheme="minorEastAsia" w:eastAsiaTheme="minorEastAsia"/>
          <w:color w:val="auto"/>
          <w:spacing w:val="6"/>
          <w:sz w:val="24"/>
          <w:szCs w:val="24"/>
          <w:highlight w:val="none"/>
        </w:rPr>
      </w:pPr>
      <w:r>
        <w:rPr>
          <w:rFonts w:hint="eastAsia" w:asciiTheme="minorEastAsia" w:hAnsiTheme="minorEastAsia" w:eastAsiaTheme="minorEastAsia"/>
          <w:color w:val="auto"/>
          <w:spacing w:val="6"/>
          <w:sz w:val="24"/>
          <w:szCs w:val="24"/>
          <w:highlight w:val="none"/>
        </w:rPr>
        <w:t>本单位对上述声明的真实性负责。如有虚假，将依法承担相应责任。</w:t>
      </w:r>
    </w:p>
    <w:p w14:paraId="6B6F03E7">
      <w:pPr>
        <w:spacing w:line="360" w:lineRule="auto"/>
        <w:ind w:firstLine="4228" w:firstLineChars="1762"/>
        <w:rPr>
          <w:rFonts w:asciiTheme="minorEastAsia" w:hAnsiTheme="minorEastAsia" w:eastAsiaTheme="minorEastAsia"/>
          <w:color w:val="auto"/>
          <w:sz w:val="24"/>
          <w:szCs w:val="24"/>
          <w:highlight w:val="none"/>
        </w:rPr>
      </w:pPr>
    </w:p>
    <w:p w14:paraId="0641654C">
      <w:pPr>
        <w:spacing w:line="360" w:lineRule="auto"/>
        <w:ind w:firstLine="4228" w:firstLineChars="1762"/>
        <w:rPr>
          <w:rFonts w:asciiTheme="minorEastAsia" w:hAnsiTheme="minorEastAsia" w:eastAsiaTheme="minorEastAsia"/>
          <w:color w:val="auto"/>
          <w:sz w:val="24"/>
          <w:szCs w:val="24"/>
          <w:highlight w:val="none"/>
        </w:rPr>
      </w:pPr>
    </w:p>
    <w:p w14:paraId="32BCD5DE">
      <w:pPr>
        <w:spacing w:line="360" w:lineRule="auto"/>
        <w:ind w:firstLine="4228" w:firstLineChars="176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投标人</w:t>
      </w:r>
      <w:r>
        <w:rPr>
          <w:rFonts w:asciiTheme="minorEastAsia" w:hAnsiTheme="minorEastAsia" w:eastAsiaTheme="minorEastAsia"/>
          <w:color w:val="auto"/>
          <w:sz w:val="24"/>
          <w:szCs w:val="24"/>
          <w:highlight w:val="none"/>
        </w:rPr>
        <w:t>电子签章</w:t>
      </w:r>
      <w:r>
        <w:rPr>
          <w:rFonts w:hint="eastAsia" w:asciiTheme="minorEastAsia" w:hAnsiTheme="minorEastAsia" w:eastAsiaTheme="minorEastAsia"/>
          <w:color w:val="auto"/>
          <w:sz w:val="24"/>
          <w:szCs w:val="24"/>
          <w:highlight w:val="none"/>
        </w:rPr>
        <w:t>：</w:t>
      </w:r>
      <w:r>
        <w:rPr>
          <w:rFonts w:asciiTheme="minorEastAsia" w:hAnsiTheme="minorEastAsia" w:eastAsiaTheme="minorEastAsia"/>
          <w:color w:val="auto"/>
          <w:sz w:val="24"/>
          <w:szCs w:val="24"/>
          <w:highlight w:val="none"/>
          <w:u w:val="single"/>
        </w:rPr>
        <w:t xml:space="preserve">             </w:t>
      </w:r>
    </w:p>
    <w:p w14:paraId="1F39CAD4">
      <w:pPr>
        <w:tabs>
          <w:tab w:val="left" w:pos="4620"/>
        </w:tabs>
        <w:spacing w:line="360" w:lineRule="auto"/>
        <w:ind w:firstLine="4252" w:firstLineChars="1772"/>
        <w:rPr>
          <w:rFonts w:asciiTheme="minorEastAsia" w:hAnsiTheme="minorEastAsia" w:eastAsiaTheme="minorEastAsia"/>
          <w:color w:val="auto"/>
          <w:sz w:val="24"/>
          <w:szCs w:val="24"/>
          <w:highlight w:val="none"/>
          <w:u w:val="single"/>
        </w:rPr>
      </w:pPr>
      <w:r>
        <w:rPr>
          <w:rFonts w:hint="eastAsia" w:asciiTheme="minorEastAsia" w:hAnsiTheme="minorEastAsia" w:eastAsiaTheme="minorEastAsia"/>
          <w:color w:val="auto"/>
          <w:sz w:val="24"/>
          <w:szCs w:val="24"/>
          <w:highlight w:val="none"/>
        </w:rPr>
        <w:t>日</w:t>
      </w:r>
      <w:r>
        <w:rPr>
          <w:rFonts w:asciiTheme="minorEastAsia" w:hAnsiTheme="minorEastAsia" w:eastAsiaTheme="minorEastAsia"/>
          <w:color w:val="auto"/>
          <w:sz w:val="24"/>
          <w:szCs w:val="24"/>
          <w:highlight w:val="none"/>
        </w:rPr>
        <w:t xml:space="preserve">      </w:t>
      </w:r>
      <w:r>
        <w:rPr>
          <w:rFonts w:hint="eastAsia" w:asciiTheme="minorEastAsia" w:hAnsiTheme="minorEastAsia" w:eastAsiaTheme="minorEastAsia"/>
          <w:color w:val="auto"/>
          <w:sz w:val="24"/>
          <w:szCs w:val="24"/>
          <w:highlight w:val="none"/>
        </w:rPr>
        <w:t xml:space="preserve">    期：</w:t>
      </w:r>
      <w:r>
        <w:rPr>
          <w:rFonts w:asciiTheme="minorEastAsia" w:hAnsiTheme="minorEastAsia" w:eastAsiaTheme="minorEastAsia"/>
          <w:color w:val="auto"/>
          <w:sz w:val="24"/>
          <w:szCs w:val="24"/>
          <w:highlight w:val="none"/>
          <w:u w:val="single"/>
        </w:rPr>
        <w:t xml:space="preserve">             </w:t>
      </w:r>
    </w:p>
    <w:p w14:paraId="7619F1F0">
      <w:pPr>
        <w:widowControl/>
        <w:jc w:val="left"/>
        <w:rPr>
          <w:rFonts w:asciiTheme="minorEastAsia" w:hAnsiTheme="minorEastAsia" w:eastAsiaTheme="minorEastAsia"/>
          <w:color w:val="auto"/>
          <w:sz w:val="24"/>
          <w:highlight w:val="none"/>
        </w:rPr>
      </w:pPr>
      <w:r>
        <w:rPr>
          <w:rFonts w:asciiTheme="minorEastAsia" w:hAnsiTheme="minorEastAsia" w:eastAsiaTheme="minorEastAsia"/>
          <w:color w:val="auto"/>
          <w:sz w:val="24"/>
          <w:highlight w:val="none"/>
        </w:rPr>
        <w:br w:type="page"/>
      </w:r>
    </w:p>
    <w:p w14:paraId="5DE995B7">
      <w:pPr>
        <w:spacing w:line="360" w:lineRule="auto"/>
        <w:jc w:val="center"/>
        <w:outlineLvl w:val="1"/>
        <w:rPr>
          <w:rFonts w:asciiTheme="minorEastAsia" w:hAnsiTheme="minorEastAsia" w:eastAsiaTheme="minorEastAsia"/>
          <w:b/>
          <w:bCs/>
          <w:color w:val="auto"/>
          <w:sz w:val="24"/>
          <w:highlight w:val="none"/>
        </w:rPr>
      </w:pPr>
      <w:bookmarkStart w:id="91" w:name="_Toc520299348"/>
      <w:bookmarkStart w:id="92" w:name="_Toc457768004"/>
      <w:bookmarkStart w:id="93" w:name="_Toc300210382"/>
      <w:bookmarkStart w:id="94" w:name="_Toc26536"/>
      <w:bookmarkStart w:id="95" w:name="_Toc23860"/>
      <w:bookmarkStart w:id="96" w:name="_Hlk11701496"/>
      <w:r>
        <w:rPr>
          <w:rFonts w:hint="eastAsia" w:asciiTheme="minorEastAsia" w:hAnsiTheme="minorEastAsia" w:eastAsiaTheme="minorEastAsia"/>
          <w:b/>
          <w:color w:val="auto"/>
          <w:sz w:val="24"/>
          <w:highlight w:val="none"/>
          <w:lang w:val="en-US" w:eastAsia="zh-CN"/>
        </w:rPr>
        <w:t>九、</w:t>
      </w:r>
      <w:bookmarkEnd w:id="91"/>
      <w:bookmarkEnd w:id="92"/>
      <w:bookmarkEnd w:id="93"/>
      <w:r>
        <w:rPr>
          <w:rFonts w:hint="eastAsia" w:asciiTheme="minorEastAsia" w:hAnsiTheme="minorEastAsia" w:eastAsiaTheme="minorEastAsia"/>
          <w:b/>
          <w:color w:val="auto"/>
          <w:sz w:val="24"/>
          <w:highlight w:val="none"/>
          <w:lang w:val="en-US" w:eastAsia="zh-CN"/>
        </w:rPr>
        <w:t>诚信履约承诺函</w:t>
      </w:r>
      <w:bookmarkEnd w:id="94"/>
      <w:bookmarkEnd w:id="95"/>
    </w:p>
    <w:p w14:paraId="4A7B338F">
      <w:pPr>
        <w:spacing w:line="360" w:lineRule="auto"/>
        <w:rPr>
          <w:rFonts w:hint="eastAsia" w:asciiTheme="minorEastAsia" w:hAnsiTheme="minorEastAsia" w:eastAsiaTheme="minorEastAsia"/>
          <w:b/>
          <w:bCs/>
          <w:color w:val="auto"/>
          <w:sz w:val="24"/>
          <w:highlight w:val="none"/>
          <w:u w:val="single"/>
          <w:lang w:eastAsia="zh-CN"/>
        </w:rPr>
      </w:pPr>
      <w:r>
        <w:rPr>
          <w:rFonts w:hint="eastAsia" w:asciiTheme="minorEastAsia" w:hAnsiTheme="minorEastAsia" w:eastAsiaTheme="minorEastAsia"/>
          <w:b/>
          <w:bCs/>
          <w:color w:val="auto"/>
          <w:sz w:val="24"/>
          <w:highlight w:val="none"/>
        </w:rPr>
        <w:t>致：</w:t>
      </w:r>
      <w:r>
        <w:rPr>
          <w:rFonts w:hint="eastAsia" w:asciiTheme="minorEastAsia" w:hAnsiTheme="minorEastAsia" w:eastAsiaTheme="minorEastAsia"/>
          <w:b/>
          <w:bCs/>
          <w:color w:val="auto"/>
          <w:sz w:val="24"/>
          <w:highlight w:val="none"/>
          <w:u w:val="none"/>
          <w:lang w:eastAsia="zh-CN"/>
        </w:rPr>
        <w:t>采购人</w:t>
      </w:r>
    </w:p>
    <w:p w14:paraId="07A24498">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0DDA297F">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（1）中标或者成交后无正当理由拒不与采购人签订政府采购合同；</w:t>
      </w:r>
    </w:p>
    <w:p w14:paraId="72AE55EC">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（2）未按照采购文件确定的事项签订政府采购合同；</w:t>
      </w:r>
    </w:p>
    <w:p w14:paraId="275D7269">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（3）将政府采购合同转包；</w:t>
      </w:r>
    </w:p>
    <w:p w14:paraId="0AEFF996">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（4）提供假冒伪劣产品；</w:t>
      </w:r>
    </w:p>
    <w:p w14:paraId="4DFACF03">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（5）擅自变更、中止或者终止政府采购合同。</w:t>
      </w:r>
    </w:p>
    <w:p w14:paraId="3538F6A1">
      <w:pPr>
        <w:spacing w:line="360" w:lineRule="auto"/>
        <w:ind w:firstLine="480" w:firstLineChars="2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5CC48780">
      <w:pPr>
        <w:spacing w:line="360" w:lineRule="auto"/>
        <w:rPr>
          <w:rFonts w:asciiTheme="minorEastAsia" w:hAnsiTheme="minorEastAsia" w:eastAsiaTheme="minorEastAsia"/>
          <w:bCs/>
          <w:color w:val="auto"/>
          <w:sz w:val="24"/>
          <w:highlight w:val="none"/>
        </w:rPr>
      </w:pPr>
    </w:p>
    <w:p w14:paraId="5C404290">
      <w:pPr>
        <w:spacing w:line="360" w:lineRule="auto"/>
        <w:rPr>
          <w:rFonts w:asciiTheme="minorEastAsia" w:hAnsiTheme="minorEastAsia" w:eastAsiaTheme="minorEastAsia"/>
          <w:bCs/>
          <w:color w:val="auto"/>
          <w:sz w:val="24"/>
          <w:highlight w:val="none"/>
        </w:rPr>
      </w:pPr>
    </w:p>
    <w:p w14:paraId="31FBCB4D">
      <w:pPr>
        <w:spacing w:line="360" w:lineRule="auto"/>
        <w:ind w:firstLine="4320" w:firstLineChars="1800"/>
        <w:rPr>
          <w:rFonts w:asciiTheme="minorEastAsia" w:hAnsiTheme="minorEastAsia" w:eastAsiaTheme="minorEastAsia"/>
          <w:bCs/>
          <w:color w:val="auto"/>
          <w:sz w:val="24"/>
          <w:highlight w:val="none"/>
          <w:u w:val="single"/>
        </w:rPr>
      </w:pPr>
      <w:r>
        <w:rPr>
          <w:rFonts w:hint="eastAsia" w:asciiTheme="minorEastAsia" w:hAnsiTheme="minorEastAsia" w:eastAsiaTheme="minorEastAsia"/>
          <w:bCs/>
          <w:color w:val="auto"/>
          <w:sz w:val="24"/>
          <w:highlight w:val="none"/>
        </w:rPr>
        <w:t>投标人电子签章：</w:t>
      </w:r>
      <w:r>
        <w:rPr>
          <w:rFonts w:hint="eastAsia" w:asciiTheme="minorEastAsia" w:hAnsiTheme="minorEastAsia" w:eastAsiaTheme="minorEastAsia"/>
          <w:bCs/>
          <w:color w:val="auto"/>
          <w:sz w:val="24"/>
          <w:highlight w:val="none"/>
          <w:u w:val="single"/>
        </w:rPr>
        <w:t xml:space="preserve">     </w:t>
      </w:r>
      <w:r>
        <w:rPr>
          <w:rFonts w:asciiTheme="minorEastAsia" w:hAnsiTheme="minorEastAsia" w:eastAsiaTheme="minorEastAsia"/>
          <w:bCs/>
          <w:color w:val="auto"/>
          <w:sz w:val="24"/>
          <w:highlight w:val="none"/>
          <w:u w:val="single"/>
        </w:rPr>
        <w:t xml:space="preserve">    </w:t>
      </w:r>
      <w:r>
        <w:rPr>
          <w:rFonts w:hint="eastAsia" w:asciiTheme="minorEastAsia" w:hAnsiTheme="minorEastAsia" w:eastAsiaTheme="minorEastAsia"/>
          <w:bCs/>
          <w:color w:val="auto"/>
          <w:sz w:val="24"/>
          <w:highlight w:val="none"/>
          <w:u w:val="single"/>
        </w:rPr>
        <w:t xml:space="preserve">    </w:t>
      </w:r>
    </w:p>
    <w:p w14:paraId="111BBB82">
      <w:pPr>
        <w:spacing w:line="360" w:lineRule="auto"/>
        <w:ind w:firstLine="4320" w:firstLineChars="1800"/>
        <w:rPr>
          <w:rFonts w:asciiTheme="minorEastAsia" w:hAnsiTheme="minorEastAsia" w:eastAsiaTheme="minorEastAsia"/>
          <w:bCs/>
          <w:color w:val="auto"/>
          <w:sz w:val="24"/>
          <w:highlight w:val="none"/>
        </w:rPr>
      </w:pPr>
      <w:r>
        <w:rPr>
          <w:rFonts w:hint="eastAsia" w:asciiTheme="minorEastAsia" w:hAnsiTheme="minorEastAsia" w:eastAsiaTheme="minorEastAsia"/>
          <w:bCs/>
          <w:color w:val="auto"/>
          <w:sz w:val="24"/>
          <w:highlight w:val="none"/>
        </w:rPr>
        <w:t>日          期：</w:t>
      </w:r>
      <w:r>
        <w:rPr>
          <w:rFonts w:hint="eastAsia" w:asciiTheme="minorEastAsia" w:hAnsiTheme="minorEastAsia" w:eastAsiaTheme="minorEastAsia"/>
          <w:bCs/>
          <w:color w:val="auto"/>
          <w:sz w:val="24"/>
          <w:highlight w:val="none"/>
          <w:u w:val="single"/>
        </w:rPr>
        <w:t xml:space="preserve">             </w:t>
      </w:r>
    </w:p>
    <w:p w14:paraId="7DBB82A2">
      <w:pPr>
        <w:widowControl/>
        <w:jc w:val="left"/>
        <w:rPr>
          <w:rFonts w:ascii="宋体" w:hAnsi="宋体" w:eastAsia="宋体" w:cs="Arial"/>
          <w:color w:val="auto"/>
          <w:sz w:val="24"/>
          <w:highlight w:val="none"/>
        </w:rPr>
      </w:pPr>
      <w:r>
        <w:rPr>
          <w:rFonts w:ascii="宋体" w:hAnsi="宋体" w:eastAsia="宋体" w:cs="Arial"/>
          <w:color w:val="auto"/>
          <w:sz w:val="24"/>
          <w:highlight w:val="none"/>
        </w:rPr>
        <w:br w:type="page"/>
      </w:r>
    </w:p>
    <w:bookmarkEnd w:id="96"/>
    <w:p w14:paraId="1B7E2883">
      <w:pPr>
        <w:spacing w:line="360" w:lineRule="auto"/>
        <w:jc w:val="center"/>
        <w:outlineLvl w:val="1"/>
        <w:rPr>
          <w:rFonts w:hint="eastAsia" w:asciiTheme="minorEastAsia" w:hAnsiTheme="minorEastAsia" w:eastAsiaTheme="minorEastAsia"/>
          <w:b/>
          <w:color w:val="auto"/>
          <w:sz w:val="24"/>
          <w:highlight w:val="none"/>
          <w:lang w:val="en-US" w:eastAsia="zh-CN"/>
        </w:rPr>
      </w:pPr>
      <w:bookmarkStart w:id="97" w:name="_Toc32633"/>
      <w:bookmarkStart w:id="98" w:name="_Toc31807"/>
      <w:r>
        <w:rPr>
          <w:rFonts w:hint="eastAsia" w:asciiTheme="minorEastAsia" w:hAnsiTheme="minorEastAsia" w:eastAsiaTheme="minorEastAsia"/>
          <w:b/>
          <w:color w:val="auto"/>
          <w:sz w:val="24"/>
          <w:highlight w:val="none"/>
          <w:lang w:val="en-US" w:eastAsia="zh-CN"/>
        </w:rPr>
        <w:t>十、其他相关证明材料</w:t>
      </w:r>
      <w:bookmarkEnd w:id="97"/>
      <w:bookmarkEnd w:id="98"/>
    </w:p>
    <w:p w14:paraId="75407AA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提供符合投标邀请、采购需求及评标方法和标准规定的相关证明文件。</w:t>
      </w:r>
    </w:p>
    <w:p w14:paraId="541A62A2">
      <w:pPr>
        <w:spacing w:line="360" w:lineRule="auto"/>
        <w:ind w:firstLine="480" w:firstLineChars="200"/>
        <w:rPr>
          <w:rFonts w:asciiTheme="minorEastAsia" w:hAnsiTheme="minorEastAsia" w:eastAsiaTheme="minorEastAsia"/>
          <w:color w:val="auto"/>
          <w:sz w:val="24"/>
          <w:highlight w:val="none"/>
        </w:rPr>
      </w:pPr>
    </w:p>
    <w:p w14:paraId="20C34398">
      <w:pPr>
        <w:spacing w:line="360" w:lineRule="auto"/>
        <w:ind w:firstLine="435"/>
        <w:rPr>
          <w:rFonts w:asciiTheme="minorEastAsia" w:hAnsiTheme="minorEastAsia" w:eastAsiaTheme="minorEastAsia"/>
          <w:b/>
          <w:color w:val="auto"/>
          <w:sz w:val="24"/>
          <w:highlight w:val="none"/>
        </w:rPr>
      </w:pPr>
      <w:r>
        <w:rPr>
          <w:rFonts w:hint="eastAsia" w:asciiTheme="minorEastAsia" w:hAnsiTheme="minorEastAsia" w:eastAsiaTheme="minorEastAsia"/>
          <w:b/>
          <w:color w:val="auto"/>
          <w:sz w:val="24"/>
          <w:highlight w:val="none"/>
        </w:rPr>
        <w:t>特别提示：</w:t>
      </w:r>
    </w:p>
    <w:p w14:paraId="1DBF0F1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投标人在投标文件制作时可在此栏内上传</w:t>
      </w:r>
      <w:r>
        <w:rPr>
          <w:rFonts w:asciiTheme="minorEastAsia" w:hAnsiTheme="minorEastAsia" w:eastAsiaTheme="minorEastAsia"/>
          <w:color w:val="auto"/>
          <w:sz w:val="24"/>
          <w:highlight w:val="none"/>
        </w:rPr>
        <w:t>招标文件要求上传的证明资料</w:t>
      </w:r>
      <w:r>
        <w:rPr>
          <w:rFonts w:hint="eastAsia" w:asciiTheme="minorEastAsia" w:hAnsiTheme="minorEastAsia" w:eastAsiaTheme="minorEastAsia"/>
          <w:color w:val="auto"/>
          <w:sz w:val="24"/>
          <w:highlight w:val="none"/>
        </w:rPr>
        <w:t>，如营业执照、证书</w:t>
      </w:r>
      <w:r>
        <w:rPr>
          <w:rFonts w:asciiTheme="minorEastAsia" w:hAnsiTheme="minorEastAsia" w:eastAsiaTheme="minorEastAsia"/>
          <w:color w:val="auto"/>
          <w:sz w:val="24"/>
          <w:highlight w:val="none"/>
        </w:rPr>
        <w:t>等，应将上述证明材料制作成扫描件上传。</w:t>
      </w:r>
    </w:p>
    <w:p w14:paraId="5E56F64A">
      <w:pPr>
        <w:widowControl/>
        <w:jc w:val="left"/>
        <w:rPr>
          <w:rFonts w:ascii="宋体" w:hAnsi="宋体" w:eastAsia="宋体"/>
          <w:bCs/>
          <w:color w:val="auto"/>
          <w:sz w:val="24"/>
          <w:highlight w:val="none"/>
        </w:rPr>
      </w:pPr>
      <w:r>
        <w:rPr>
          <w:rFonts w:ascii="宋体" w:hAnsi="宋体" w:eastAsia="宋体"/>
          <w:bCs/>
          <w:color w:val="auto"/>
          <w:sz w:val="24"/>
          <w:highlight w:val="none"/>
        </w:rPr>
        <w:br w:type="page"/>
      </w:r>
    </w:p>
    <w:p w14:paraId="44CB71BD">
      <w:pPr>
        <w:spacing w:line="360" w:lineRule="auto"/>
        <w:jc w:val="center"/>
        <w:outlineLvl w:val="0"/>
        <w:rPr>
          <w:rFonts w:ascii="宋体" w:hAnsi="宋体" w:eastAsia="宋体"/>
          <w:b/>
          <w:bCs/>
          <w:color w:val="auto"/>
          <w:sz w:val="28"/>
          <w:highlight w:val="none"/>
        </w:rPr>
      </w:pPr>
      <w:bookmarkStart w:id="99" w:name="_Toc6435"/>
      <w:bookmarkStart w:id="100" w:name="_Toc20819"/>
      <w:r>
        <w:rPr>
          <w:rFonts w:hint="eastAsia" w:asciiTheme="minorEastAsia" w:hAnsiTheme="minorEastAsia" w:eastAsiaTheme="minorEastAsia"/>
          <w:b/>
          <w:color w:val="auto"/>
          <w:sz w:val="28"/>
          <w:highlight w:val="none"/>
        </w:rPr>
        <w:t>第</w:t>
      </w:r>
      <w:r>
        <w:rPr>
          <w:rFonts w:hint="eastAsia" w:asciiTheme="minorEastAsia" w:hAnsiTheme="minorEastAsia" w:eastAsiaTheme="minorEastAsia"/>
          <w:b/>
          <w:color w:val="auto"/>
          <w:sz w:val="28"/>
          <w:highlight w:val="none"/>
          <w:lang w:val="en-US" w:eastAsia="zh-CN"/>
        </w:rPr>
        <w:t>七</w:t>
      </w:r>
      <w:r>
        <w:rPr>
          <w:rFonts w:hint="eastAsia" w:asciiTheme="minorEastAsia" w:hAnsiTheme="minorEastAsia" w:eastAsiaTheme="minorEastAsia"/>
          <w:b/>
          <w:color w:val="auto"/>
          <w:sz w:val="28"/>
          <w:highlight w:val="none"/>
        </w:rPr>
        <w:t>章</w:t>
      </w:r>
      <w:r>
        <w:rPr>
          <w:rFonts w:hint="eastAsia" w:ascii="宋体" w:hAnsi="宋体" w:eastAsia="宋体"/>
          <w:b/>
          <w:bCs/>
          <w:color w:val="auto"/>
          <w:sz w:val="28"/>
          <w:highlight w:val="none"/>
        </w:rPr>
        <w:t xml:space="preserve">  政府采购</w:t>
      </w:r>
      <w:r>
        <w:rPr>
          <w:rFonts w:hint="eastAsia" w:asciiTheme="minorEastAsia" w:hAnsiTheme="minorEastAsia" w:eastAsiaTheme="minorEastAsia"/>
          <w:b/>
          <w:color w:val="auto"/>
          <w:sz w:val="28"/>
          <w:highlight w:val="none"/>
        </w:rPr>
        <w:t>供应</w:t>
      </w:r>
      <w:r>
        <w:rPr>
          <w:rFonts w:hint="eastAsia" w:ascii="宋体" w:hAnsi="宋体" w:eastAsia="宋体"/>
          <w:b/>
          <w:bCs/>
          <w:color w:val="auto"/>
          <w:sz w:val="28"/>
          <w:highlight w:val="none"/>
        </w:rPr>
        <w:t>商询问函和质疑函范本</w:t>
      </w:r>
      <w:bookmarkEnd w:id="99"/>
      <w:bookmarkEnd w:id="100"/>
    </w:p>
    <w:p w14:paraId="2F844E93">
      <w:pPr>
        <w:spacing w:line="360" w:lineRule="auto"/>
        <w:jc w:val="center"/>
        <w:outlineLvl w:val="1"/>
        <w:rPr>
          <w:rFonts w:ascii="仿宋" w:hAnsi="仿宋" w:eastAsia="仿宋" w:cs="仿宋"/>
          <w:b/>
          <w:bCs/>
          <w:color w:val="auto"/>
          <w:sz w:val="32"/>
          <w:szCs w:val="44"/>
          <w:highlight w:val="none"/>
        </w:rPr>
      </w:pPr>
      <w:bookmarkStart w:id="101" w:name="_Toc27159"/>
      <w:bookmarkStart w:id="102" w:name="_Toc6955"/>
      <w:r>
        <w:rPr>
          <w:rFonts w:hint="eastAsia" w:ascii="仿宋" w:hAnsi="仿宋" w:eastAsia="仿宋" w:cs="仿宋"/>
          <w:b/>
          <w:bCs/>
          <w:color w:val="auto"/>
          <w:sz w:val="32"/>
          <w:szCs w:val="44"/>
          <w:highlight w:val="none"/>
        </w:rPr>
        <w:t>询问函范本</w:t>
      </w:r>
      <w:bookmarkEnd w:id="101"/>
      <w:bookmarkEnd w:id="102"/>
    </w:p>
    <w:p w14:paraId="4334B616">
      <w:pPr>
        <w:adjustRightInd w:val="0"/>
        <w:snapToGrid w:val="0"/>
        <w:spacing w:line="360" w:lineRule="auto"/>
        <w:ind w:firstLine="480" w:firstLineChars="200"/>
        <w:jc w:val="center"/>
        <w:rPr>
          <w:rFonts w:ascii="仿宋" w:hAnsi="仿宋" w:eastAsia="仿宋" w:cs="仿宋"/>
          <w:b/>
          <w:bCs/>
          <w:color w:val="auto"/>
          <w:sz w:val="32"/>
          <w:szCs w:val="44"/>
          <w:highlight w:val="none"/>
        </w:rPr>
      </w:pPr>
      <w:r>
        <w:rPr>
          <w:rFonts w:hint="eastAsia" w:cs="仿宋" w:asciiTheme="minorEastAsia" w:hAnsiTheme="minorEastAsia" w:eastAsiaTheme="minorEastAsia"/>
          <w:i/>
          <w:iCs/>
          <w:color w:val="auto"/>
          <w:sz w:val="24"/>
          <w:szCs w:val="24"/>
          <w:highlight w:val="none"/>
        </w:rPr>
        <w:t>（如为对采购文件或采购程序的询问或疑问，请按询问函范本或电子交易系统中网上询问格式附件进行提交）</w:t>
      </w:r>
    </w:p>
    <w:p w14:paraId="1F4667E4">
      <w:pPr>
        <w:adjustRightInd w:val="0"/>
        <w:snapToGrid w:val="0"/>
        <w:spacing w:line="360" w:lineRule="auto"/>
        <w:rPr>
          <w:rFonts w:hint="eastAsia" w:cs="仿宋" w:asciiTheme="minorEastAsia" w:hAnsiTheme="minorEastAsia" w:eastAsiaTheme="minorEastAsia"/>
          <w:b/>
          <w:bCs/>
          <w:color w:val="auto"/>
          <w:sz w:val="24"/>
          <w:szCs w:val="24"/>
          <w:highlight w:val="none"/>
          <w:u w:val="single"/>
          <w:lang w:eastAsia="zh-CN"/>
        </w:rPr>
      </w:pPr>
      <w:r>
        <w:rPr>
          <w:rFonts w:hint="eastAsia" w:cs="仿宋" w:asciiTheme="minorEastAsia" w:hAnsiTheme="minorEastAsia" w:eastAsiaTheme="minorEastAsia"/>
          <w:b/>
          <w:bCs/>
          <w:color w:val="auto"/>
          <w:sz w:val="24"/>
          <w:szCs w:val="24"/>
          <w:highlight w:val="none"/>
          <w:lang w:val="en-US" w:eastAsia="zh-CN"/>
        </w:rPr>
        <w:t>致：</w:t>
      </w:r>
      <w:r>
        <w:rPr>
          <w:rFonts w:hint="eastAsia" w:cs="仿宋" w:asciiTheme="minorEastAsia" w:hAnsiTheme="minorEastAsia" w:eastAsiaTheme="minorEastAsia"/>
          <w:b/>
          <w:bCs/>
          <w:color w:val="auto"/>
          <w:sz w:val="24"/>
          <w:szCs w:val="24"/>
          <w:highlight w:val="none"/>
          <w:u w:val="none"/>
          <w:lang w:eastAsia="zh-CN"/>
        </w:rPr>
        <w:t>采购人</w:t>
      </w:r>
    </w:p>
    <w:p w14:paraId="7F26864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我单位拟参与</w:t>
      </w:r>
      <w:r>
        <w:rPr>
          <w:rFonts w:hint="eastAsia" w:cs="仿宋" w:asciiTheme="minorEastAsia" w:hAnsiTheme="minorEastAsia" w:eastAsiaTheme="minorEastAsia"/>
          <w:color w:val="auto"/>
          <w:sz w:val="24"/>
          <w:szCs w:val="24"/>
          <w:highlight w:val="none"/>
          <w:u w:val="single"/>
          <w:lang w:val="en-US" w:eastAsia="zh-CN"/>
        </w:rPr>
        <w:t xml:space="preserve">           </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i/>
          <w:iCs/>
          <w:color w:val="auto"/>
          <w:sz w:val="24"/>
          <w:szCs w:val="24"/>
          <w:highlight w:val="none"/>
          <w:u w:val="none"/>
          <w:lang w:val="en-US" w:eastAsia="zh-CN"/>
        </w:rPr>
        <w:t>项目名称、编号</w:t>
      </w:r>
      <w:r>
        <w:rPr>
          <w:rFonts w:hint="eastAsia" w:cs="仿宋" w:asciiTheme="minorEastAsia" w:hAnsiTheme="minorEastAsia" w:eastAsiaTheme="minorEastAsia"/>
          <w:color w:val="auto"/>
          <w:sz w:val="24"/>
          <w:szCs w:val="24"/>
          <w:highlight w:val="none"/>
          <w:u w:val="none"/>
          <w:lang w:val="en-US" w:eastAsia="zh-CN"/>
        </w:rPr>
        <w:t>）</w:t>
      </w:r>
      <w:r>
        <w:rPr>
          <w:rFonts w:hint="eastAsia" w:cs="仿宋" w:asciiTheme="minorEastAsia" w:hAnsiTheme="minorEastAsia" w:eastAsiaTheme="minorEastAsia"/>
          <w:color w:val="auto"/>
          <w:sz w:val="24"/>
          <w:szCs w:val="24"/>
          <w:highlight w:val="none"/>
        </w:rPr>
        <w:t>的采购活动，现有以下内容(或条款)存在疑问(或无法理解)，特提出询问。</w:t>
      </w:r>
    </w:p>
    <w:p w14:paraId="256A5BAF">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03" w:name="_Toc13899"/>
      <w:r>
        <w:rPr>
          <w:rFonts w:hint="eastAsia" w:cs="仿宋" w:asciiTheme="minorEastAsia" w:hAnsiTheme="minorEastAsia" w:eastAsiaTheme="minorEastAsia"/>
          <w:color w:val="auto"/>
          <w:sz w:val="24"/>
          <w:szCs w:val="24"/>
          <w:highlight w:val="none"/>
        </w:rPr>
        <w:t>一、(事项一)</w:t>
      </w:r>
      <w:bookmarkEnd w:id="103"/>
    </w:p>
    <w:p w14:paraId="348DB463">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1、(内容或条款)</w:t>
      </w:r>
    </w:p>
    <w:p w14:paraId="39F83057">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2、(说明疑问或无法理解原因)</w:t>
      </w:r>
    </w:p>
    <w:p w14:paraId="4F06D82E">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3、(建议)</w:t>
      </w:r>
    </w:p>
    <w:p w14:paraId="6440CE37">
      <w:pPr>
        <w:adjustRightInd w:val="0"/>
        <w:snapToGrid w:val="0"/>
        <w:spacing w:line="360" w:lineRule="auto"/>
        <w:ind w:firstLine="480" w:firstLineChars="200"/>
        <w:outlineLvl w:val="9"/>
        <w:rPr>
          <w:rFonts w:cs="仿宋" w:asciiTheme="minorEastAsia" w:hAnsiTheme="minorEastAsia" w:eastAsiaTheme="minorEastAsia"/>
          <w:color w:val="auto"/>
          <w:sz w:val="24"/>
          <w:szCs w:val="24"/>
          <w:highlight w:val="none"/>
        </w:rPr>
      </w:pPr>
      <w:bookmarkStart w:id="104" w:name="_Toc3352"/>
      <w:r>
        <w:rPr>
          <w:rFonts w:hint="eastAsia" w:cs="仿宋" w:asciiTheme="minorEastAsia" w:hAnsiTheme="minorEastAsia" w:eastAsiaTheme="minorEastAsia"/>
          <w:color w:val="auto"/>
          <w:sz w:val="24"/>
          <w:szCs w:val="24"/>
          <w:highlight w:val="none"/>
        </w:rPr>
        <w:t>二、(事项二)</w:t>
      </w:r>
      <w:bookmarkEnd w:id="104"/>
    </w:p>
    <w:p w14:paraId="571E276A">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7FC44D92">
      <w:pPr>
        <w:adjustRightInd w:val="0"/>
        <w:snapToGrid w:val="0"/>
        <w:spacing w:line="360" w:lineRule="auto"/>
        <w:ind w:firstLine="480" w:firstLineChars="200"/>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 xml:space="preserve">随附相关证明材料如下： </w:t>
      </w:r>
    </w:p>
    <w:p w14:paraId="684328C0">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 系 人：</w:t>
      </w:r>
      <w:r>
        <w:rPr>
          <w:rFonts w:hint="eastAsia" w:asciiTheme="minorEastAsia" w:hAnsiTheme="minorEastAsia" w:eastAsiaTheme="minorEastAsia"/>
          <w:color w:val="auto"/>
          <w:sz w:val="24"/>
          <w:highlight w:val="none"/>
          <w:u w:val="single"/>
        </w:rPr>
        <w:t xml:space="preserve">              </w:t>
      </w:r>
    </w:p>
    <w:p w14:paraId="5D84F24E">
      <w:pPr>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联系电话：</w:t>
      </w:r>
      <w:r>
        <w:rPr>
          <w:rFonts w:hint="eastAsia" w:asciiTheme="minorEastAsia" w:hAnsiTheme="minorEastAsia" w:eastAsiaTheme="minorEastAsia"/>
          <w:color w:val="auto"/>
          <w:sz w:val="24"/>
          <w:highlight w:val="none"/>
          <w:u w:val="single"/>
        </w:rPr>
        <w:t xml:space="preserve">              </w:t>
      </w:r>
    </w:p>
    <w:p w14:paraId="5AA6D9EC">
      <w:pPr>
        <w:tabs>
          <w:tab w:val="left" w:pos="630"/>
        </w:tabs>
        <w:spacing w:line="360" w:lineRule="auto"/>
        <w:ind w:firstLine="4228" w:firstLineChars="1762"/>
        <w:rPr>
          <w:rFonts w:asciiTheme="minorEastAsia" w:hAnsiTheme="minorEastAsia" w:eastAsiaTheme="minorEastAsia"/>
          <w:color w:val="auto"/>
          <w:sz w:val="24"/>
          <w:highlight w:val="none"/>
          <w:u w:val="single"/>
        </w:rPr>
      </w:pPr>
      <w:r>
        <w:rPr>
          <w:rFonts w:hint="eastAsia" w:asciiTheme="minorEastAsia" w:hAnsiTheme="minorEastAsia" w:eastAsiaTheme="minorEastAsia"/>
          <w:color w:val="auto"/>
          <w:sz w:val="24"/>
          <w:highlight w:val="none"/>
        </w:rPr>
        <w:t>日    期：</w:t>
      </w:r>
      <w:r>
        <w:rPr>
          <w:rFonts w:hint="eastAsia" w:asciiTheme="minorEastAsia" w:hAnsiTheme="minorEastAsia" w:eastAsiaTheme="minorEastAsia"/>
          <w:color w:val="auto"/>
          <w:sz w:val="24"/>
          <w:highlight w:val="none"/>
          <w:u w:val="single"/>
        </w:rPr>
        <w:t xml:space="preserve">       </w:t>
      </w:r>
      <w:r>
        <w:rPr>
          <w:rFonts w:asciiTheme="minorEastAsia" w:hAnsiTheme="minorEastAsia" w:eastAsiaTheme="minorEastAsia"/>
          <w:color w:val="auto"/>
          <w:sz w:val="24"/>
          <w:highlight w:val="none"/>
          <w:u w:val="single"/>
        </w:rPr>
        <w:t xml:space="preserve">   </w:t>
      </w:r>
      <w:r>
        <w:rPr>
          <w:rFonts w:hint="eastAsia" w:asciiTheme="minorEastAsia" w:hAnsiTheme="minorEastAsia" w:eastAsiaTheme="minorEastAsia"/>
          <w:color w:val="auto"/>
          <w:sz w:val="24"/>
          <w:highlight w:val="none"/>
          <w:u w:val="single"/>
        </w:rPr>
        <w:t xml:space="preserve">    </w:t>
      </w:r>
    </w:p>
    <w:p w14:paraId="324B498B">
      <w:pPr>
        <w:rPr>
          <w:rFonts w:ascii="仿宋" w:hAnsi="仿宋" w:eastAsia="仿宋" w:cs="仿宋"/>
          <w:b/>
          <w:bCs/>
          <w:color w:val="auto"/>
          <w:sz w:val="32"/>
          <w:szCs w:val="44"/>
          <w:highlight w:val="none"/>
        </w:rPr>
      </w:pPr>
      <w:r>
        <w:rPr>
          <w:rFonts w:hint="eastAsia" w:ascii="仿宋" w:hAnsi="仿宋" w:eastAsia="仿宋" w:cs="仿宋"/>
          <w:b/>
          <w:bCs/>
          <w:color w:val="auto"/>
          <w:sz w:val="32"/>
          <w:szCs w:val="44"/>
          <w:highlight w:val="none"/>
        </w:rPr>
        <w:br w:type="page"/>
      </w:r>
    </w:p>
    <w:p w14:paraId="3B35B92B">
      <w:pPr>
        <w:jc w:val="center"/>
        <w:outlineLvl w:val="1"/>
        <w:rPr>
          <w:rFonts w:ascii="仿宋" w:hAnsi="仿宋" w:eastAsia="仿宋" w:cs="仿宋"/>
          <w:b/>
          <w:bCs/>
          <w:color w:val="auto"/>
          <w:sz w:val="32"/>
          <w:szCs w:val="44"/>
          <w:highlight w:val="none"/>
        </w:rPr>
      </w:pPr>
      <w:bookmarkStart w:id="105" w:name="_Toc857"/>
      <w:bookmarkStart w:id="106" w:name="_Toc1575"/>
      <w:r>
        <w:rPr>
          <w:rFonts w:hint="eastAsia" w:ascii="仿宋" w:hAnsi="仿宋" w:eastAsia="仿宋" w:cs="仿宋"/>
          <w:b/>
          <w:bCs/>
          <w:color w:val="auto"/>
          <w:sz w:val="32"/>
          <w:szCs w:val="44"/>
          <w:highlight w:val="none"/>
        </w:rPr>
        <w:t>质疑函范本</w:t>
      </w:r>
      <w:bookmarkEnd w:id="105"/>
      <w:bookmarkEnd w:id="106"/>
    </w:p>
    <w:p w14:paraId="0719FFBD">
      <w:pPr>
        <w:adjustRightInd w:val="0"/>
        <w:snapToGrid w:val="0"/>
        <w:spacing w:before="312" w:beforeLines="100" w:line="360" w:lineRule="auto"/>
        <w:outlineLvl w:val="9"/>
        <w:rPr>
          <w:rFonts w:cs="仿宋" w:asciiTheme="minorEastAsia" w:hAnsiTheme="minorEastAsia" w:eastAsiaTheme="minorEastAsia"/>
          <w:b/>
          <w:bCs/>
          <w:color w:val="auto"/>
          <w:sz w:val="24"/>
          <w:szCs w:val="24"/>
          <w:highlight w:val="none"/>
        </w:rPr>
      </w:pPr>
      <w:bookmarkStart w:id="107" w:name="_Toc21381"/>
      <w:r>
        <w:rPr>
          <w:rFonts w:hint="eastAsia" w:cs="仿宋" w:asciiTheme="minorEastAsia" w:hAnsiTheme="minorEastAsia" w:eastAsiaTheme="minorEastAsia"/>
          <w:b/>
          <w:bCs/>
          <w:color w:val="auto"/>
          <w:sz w:val="24"/>
          <w:szCs w:val="24"/>
          <w:highlight w:val="none"/>
        </w:rPr>
        <w:t>一、质疑供应商基本信息</w:t>
      </w:r>
      <w:bookmarkEnd w:id="107"/>
    </w:p>
    <w:p w14:paraId="6BFD0B88">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质疑供应商：</w:t>
      </w:r>
      <w:r>
        <w:rPr>
          <w:rFonts w:hint="eastAsia" w:cs="仿宋" w:asciiTheme="minorEastAsia" w:hAnsiTheme="minorEastAsia" w:eastAsiaTheme="minorEastAsia"/>
          <w:color w:val="auto"/>
          <w:sz w:val="24"/>
          <w:szCs w:val="24"/>
          <w:highlight w:val="none"/>
          <w:u w:val="dotted"/>
        </w:rPr>
        <w:t xml:space="preserve">                                        </w:t>
      </w:r>
    </w:p>
    <w:p w14:paraId="5010B6F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0D406EF7">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联系人：</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p>
    <w:p w14:paraId="2D9B9795">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授权代表：</w:t>
      </w:r>
      <w:r>
        <w:rPr>
          <w:rFonts w:hint="eastAsia" w:cs="仿宋" w:asciiTheme="minorEastAsia" w:hAnsiTheme="minorEastAsia" w:eastAsiaTheme="minorEastAsia"/>
          <w:color w:val="auto"/>
          <w:sz w:val="24"/>
          <w:szCs w:val="24"/>
          <w:highlight w:val="none"/>
          <w:u w:val="dotted"/>
        </w:rPr>
        <w:t xml:space="preserve">                                          </w:t>
      </w:r>
    </w:p>
    <w:p w14:paraId="1486CBE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联系电话：</w:t>
      </w:r>
      <w:r>
        <w:rPr>
          <w:rFonts w:hint="eastAsia" w:cs="仿宋" w:asciiTheme="minorEastAsia" w:hAnsiTheme="minorEastAsia" w:eastAsiaTheme="minorEastAsia"/>
          <w:color w:val="auto"/>
          <w:sz w:val="24"/>
          <w:szCs w:val="24"/>
          <w:highlight w:val="none"/>
          <w:u w:val="dotted"/>
        </w:rPr>
        <w:t xml:space="preserve">                                           </w:t>
      </w:r>
      <w:r>
        <w:rPr>
          <w:rFonts w:cs="仿宋" w:asciiTheme="minorEastAsia" w:hAnsiTheme="minorEastAsia" w:eastAsiaTheme="minorEastAsia"/>
          <w:color w:val="auto"/>
          <w:sz w:val="24"/>
          <w:szCs w:val="24"/>
          <w:highlight w:val="none"/>
        </w:rPr>
        <w:t xml:space="preserve"> </w:t>
      </w:r>
    </w:p>
    <w:p w14:paraId="64DF0ECB">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地址：</w:t>
      </w:r>
      <w:r>
        <w:rPr>
          <w:rFonts w:cs="仿宋" w:asciiTheme="minorEastAsia" w:hAnsiTheme="minorEastAsia" w:eastAsiaTheme="minorEastAsia"/>
          <w:color w:val="auto"/>
          <w:sz w:val="24"/>
          <w:szCs w:val="24"/>
          <w:highlight w:val="none"/>
        </w:rPr>
        <w:t xml:space="preserve"> </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邮编：</w:t>
      </w:r>
      <w:r>
        <w:rPr>
          <w:rFonts w:hint="eastAsia" w:cs="仿宋" w:asciiTheme="minorEastAsia" w:hAnsiTheme="minorEastAsia" w:eastAsiaTheme="minorEastAsia"/>
          <w:color w:val="auto"/>
          <w:sz w:val="24"/>
          <w:szCs w:val="24"/>
          <w:highlight w:val="none"/>
          <w:u w:val="dotted"/>
        </w:rPr>
        <w:t xml:space="preserve">                                   </w:t>
      </w:r>
    </w:p>
    <w:p w14:paraId="5CF354DF">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08" w:name="_Toc28415"/>
      <w:r>
        <w:rPr>
          <w:rFonts w:hint="eastAsia" w:cs="仿宋" w:asciiTheme="minorEastAsia" w:hAnsiTheme="minorEastAsia" w:eastAsiaTheme="minorEastAsia"/>
          <w:b/>
          <w:bCs/>
          <w:color w:val="auto"/>
          <w:sz w:val="24"/>
          <w:szCs w:val="24"/>
          <w:highlight w:val="none"/>
        </w:rPr>
        <w:t>二、质疑项目基本情况</w:t>
      </w:r>
      <w:bookmarkEnd w:id="108"/>
    </w:p>
    <w:p w14:paraId="366688A3">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质疑项目的名称：</w:t>
      </w:r>
      <w:r>
        <w:rPr>
          <w:rFonts w:hint="eastAsia" w:cs="仿宋" w:asciiTheme="minorEastAsia" w:hAnsiTheme="minorEastAsia" w:eastAsiaTheme="minorEastAsia"/>
          <w:color w:val="auto"/>
          <w:sz w:val="24"/>
          <w:szCs w:val="24"/>
          <w:highlight w:val="none"/>
          <w:u w:val="dotted"/>
        </w:rPr>
        <w:t xml:space="preserve">                                      </w:t>
      </w:r>
    </w:p>
    <w:p w14:paraId="16D8313F">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质疑项目的编号：</w:t>
      </w:r>
      <w:r>
        <w:rPr>
          <w:rFonts w:hint="eastAsia" w:cs="仿宋" w:asciiTheme="minorEastAsia" w:hAnsiTheme="minorEastAsia" w:eastAsiaTheme="minorEastAsia"/>
          <w:color w:val="auto"/>
          <w:sz w:val="24"/>
          <w:szCs w:val="24"/>
          <w:highlight w:val="none"/>
          <w:u w:val="dotted"/>
        </w:rPr>
        <w:t xml:space="preserve">               </w:t>
      </w:r>
      <w:r>
        <w:rPr>
          <w:rFonts w:hint="eastAsia" w:cs="仿宋" w:asciiTheme="minorEastAsia" w:hAnsiTheme="minorEastAsia" w:eastAsiaTheme="minorEastAsia"/>
          <w:color w:val="auto"/>
          <w:sz w:val="24"/>
          <w:szCs w:val="24"/>
          <w:highlight w:val="none"/>
        </w:rPr>
        <w:t>包号：</w:t>
      </w:r>
      <w:r>
        <w:rPr>
          <w:rFonts w:hint="eastAsia" w:cs="仿宋" w:asciiTheme="minorEastAsia" w:hAnsiTheme="minorEastAsia" w:eastAsiaTheme="minorEastAsia"/>
          <w:color w:val="auto"/>
          <w:sz w:val="24"/>
          <w:szCs w:val="24"/>
          <w:highlight w:val="none"/>
          <w:u w:val="dotted"/>
        </w:rPr>
        <w:t xml:space="preserve">                 </w:t>
      </w:r>
    </w:p>
    <w:p w14:paraId="1A9E4E1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采购人名称：</w:t>
      </w:r>
      <w:r>
        <w:rPr>
          <w:rFonts w:hint="eastAsia" w:cs="仿宋" w:asciiTheme="minorEastAsia" w:hAnsiTheme="minorEastAsia" w:eastAsiaTheme="minorEastAsia"/>
          <w:color w:val="auto"/>
          <w:sz w:val="24"/>
          <w:szCs w:val="24"/>
          <w:highlight w:val="none"/>
          <w:u w:val="dotted"/>
        </w:rPr>
        <w:t xml:space="preserve">                                         </w:t>
      </w:r>
    </w:p>
    <w:p w14:paraId="1AC8E22D">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采购文件获取日期：</w:t>
      </w:r>
      <w:r>
        <w:rPr>
          <w:rFonts w:hint="eastAsia" w:cs="仿宋" w:asciiTheme="minorEastAsia" w:hAnsiTheme="minorEastAsia" w:eastAsiaTheme="minorEastAsia"/>
          <w:color w:val="auto"/>
          <w:sz w:val="24"/>
          <w:szCs w:val="24"/>
          <w:highlight w:val="none"/>
          <w:u w:val="dotted"/>
        </w:rPr>
        <w:t xml:space="preserve">                                           </w:t>
      </w:r>
    </w:p>
    <w:p w14:paraId="4D903C5D">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09" w:name="_Toc19014"/>
      <w:r>
        <w:rPr>
          <w:rFonts w:hint="eastAsia" w:cs="仿宋" w:asciiTheme="minorEastAsia" w:hAnsiTheme="minorEastAsia" w:eastAsiaTheme="minorEastAsia"/>
          <w:b/>
          <w:bCs/>
          <w:color w:val="auto"/>
          <w:sz w:val="24"/>
          <w:szCs w:val="24"/>
          <w:highlight w:val="none"/>
        </w:rPr>
        <w:t>三、质疑事项具体内容</w:t>
      </w:r>
      <w:bookmarkEnd w:id="109"/>
    </w:p>
    <w:p w14:paraId="3FBD369A">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质疑事项1：</w:t>
      </w:r>
      <w:r>
        <w:rPr>
          <w:rFonts w:hint="eastAsia" w:cs="仿宋" w:asciiTheme="minorEastAsia" w:hAnsiTheme="minorEastAsia" w:eastAsiaTheme="minorEastAsia"/>
          <w:color w:val="auto"/>
          <w:sz w:val="24"/>
          <w:szCs w:val="24"/>
          <w:highlight w:val="none"/>
          <w:u w:val="dotted"/>
        </w:rPr>
        <w:t xml:space="preserve">                                         </w:t>
      </w:r>
    </w:p>
    <w:p w14:paraId="063668D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事实依据：</w:t>
      </w:r>
      <w:r>
        <w:rPr>
          <w:rFonts w:hint="eastAsia" w:cs="仿宋" w:asciiTheme="minorEastAsia" w:hAnsiTheme="minorEastAsia" w:eastAsiaTheme="minorEastAsia"/>
          <w:color w:val="auto"/>
          <w:sz w:val="24"/>
          <w:szCs w:val="24"/>
          <w:highlight w:val="none"/>
          <w:u w:val="dotted"/>
        </w:rPr>
        <w:t xml:space="preserve">                                          </w:t>
      </w:r>
    </w:p>
    <w:p w14:paraId="61E255EC">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u w:val="dotted"/>
        </w:rPr>
        <w:t xml:space="preserve">                                                       </w:t>
      </w:r>
    </w:p>
    <w:p w14:paraId="4E51E9A0">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法律依据：</w:t>
      </w:r>
      <w:r>
        <w:rPr>
          <w:rFonts w:hint="eastAsia" w:cs="仿宋" w:asciiTheme="minorEastAsia" w:hAnsiTheme="minorEastAsia" w:eastAsiaTheme="minorEastAsia"/>
          <w:color w:val="auto"/>
          <w:sz w:val="24"/>
          <w:szCs w:val="24"/>
          <w:highlight w:val="none"/>
          <w:u w:val="dotted"/>
        </w:rPr>
        <w:t xml:space="preserve">                                          </w:t>
      </w:r>
    </w:p>
    <w:p w14:paraId="26EBA81B">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u w:val="dotted"/>
        </w:rPr>
        <w:t xml:space="preserve">                                                     </w:t>
      </w:r>
    </w:p>
    <w:p w14:paraId="0C6F5FD6">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质疑事项2</w:t>
      </w:r>
    </w:p>
    <w:p w14:paraId="78E889A2">
      <w:pPr>
        <w:adjustRightInd w:val="0"/>
        <w:snapToGrid w:val="0"/>
        <w:spacing w:line="360" w:lineRule="auto"/>
        <w:rPr>
          <w:rFonts w:cs="仿宋" w:asciiTheme="minorEastAsia" w:hAnsiTheme="minorEastAsia" w:eastAsiaTheme="minorEastAsia"/>
          <w:color w:val="auto"/>
          <w:sz w:val="24"/>
          <w:szCs w:val="24"/>
          <w:highlight w:val="none"/>
        </w:rPr>
      </w:pPr>
      <w:r>
        <w:rPr>
          <w:rFonts w:hint="eastAsia" w:cs="仿宋" w:asciiTheme="minorEastAsia" w:hAnsiTheme="minorEastAsia" w:eastAsiaTheme="minorEastAsia"/>
          <w:color w:val="auto"/>
          <w:sz w:val="24"/>
          <w:szCs w:val="24"/>
          <w:highlight w:val="none"/>
        </w:rPr>
        <w:t>……</w:t>
      </w:r>
    </w:p>
    <w:p w14:paraId="07583B86">
      <w:pPr>
        <w:adjustRightInd w:val="0"/>
        <w:snapToGrid w:val="0"/>
        <w:spacing w:line="360" w:lineRule="auto"/>
        <w:outlineLvl w:val="9"/>
        <w:rPr>
          <w:rFonts w:cs="仿宋" w:asciiTheme="minorEastAsia" w:hAnsiTheme="minorEastAsia" w:eastAsiaTheme="minorEastAsia"/>
          <w:b/>
          <w:bCs/>
          <w:color w:val="auto"/>
          <w:sz w:val="24"/>
          <w:szCs w:val="24"/>
          <w:highlight w:val="none"/>
        </w:rPr>
      </w:pPr>
      <w:bookmarkStart w:id="110" w:name="_Toc17919"/>
      <w:r>
        <w:rPr>
          <w:rFonts w:hint="eastAsia" w:cs="仿宋" w:asciiTheme="minorEastAsia" w:hAnsiTheme="minorEastAsia" w:eastAsiaTheme="minorEastAsia"/>
          <w:b/>
          <w:bCs/>
          <w:color w:val="auto"/>
          <w:sz w:val="24"/>
          <w:szCs w:val="24"/>
          <w:highlight w:val="none"/>
        </w:rPr>
        <w:t>四、与质疑事项相关的质疑请求</w:t>
      </w:r>
      <w:bookmarkEnd w:id="110"/>
    </w:p>
    <w:p w14:paraId="3D63D033">
      <w:pPr>
        <w:adjustRightInd w:val="0"/>
        <w:snapToGrid w:val="0"/>
        <w:spacing w:line="360" w:lineRule="auto"/>
        <w:rPr>
          <w:rFonts w:cs="仿宋" w:asciiTheme="minorEastAsia" w:hAnsiTheme="minorEastAsia" w:eastAsiaTheme="minorEastAsia"/>
          <w:color w:val="auto"/>
          <w:sz w:val="24"/>
          <w:szCs w:val="24"/>
          <w:highlight w:val="none"/>
          <w:u w:val="dotted"/>
        </w:rPr>
      </w:pPr>
      <w:r>
        <w:rPr>
          <w:rFonts w:hint="eastAsia" w:cs="仿宋" w:asciiTheme="minorEastAsia" w:hAnsiTheme="minorEastAsia" w:eastAsiaTheme="minorEastAsia"/>
          <w:color w:val="auto"/>
          <w:sz w:val="24"/>
          <w:szCs w:val="24"/>
          <w:highlight w:val="none"/>
        </w:rPr>
        <w:t>请求：</w:t>
      </w:r>
      <w:r>
        <w:rPr>
          <w:rFonts w:hint="eastAsia" w:cs="仿宋" w:asciiTheme="minorEastAsia" w:hAnsiTheme="minorEastAsia" w:eastAsiaTheme="minorEastAsia"/>
          <w:color w:val="auto"/>
          <w:sz w:val="24"/>
          <w:szCs w:val="24"/>
          <w:highlight w:val="none"/>
          <w:u w:val="dotted"/>
        </w:rPr>
        <w:t xml:space="preserve">                                               </w:t>
      </w:r>
    </w:p>
    <w:p w14:paraId="76660B01">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签字(签章)：                   公章：                      </w:t>
      </w:r>
    </w:p>
    <w:p w14:paraId="3BA687DC">
      <w:pPr>
        <w:spacing w:line="360" w:lineRule="auto"/>
        <w:rPr>
          <w:rFonts w:asciiTheme="minorEastAsia" w:hAnsiTheme="minorEastAsia" w:eastAsiaTheme="minorEastAsia"/>
          <w:color w:val="auto"/>
          <w:sz w:val="24"/>
          <w:szCs w:val="24"/>
          <w:highlight w:val="none"/>
        </w:rPr>
      </w:pPr>
      <w:r>
        <w:rPr>
          <w:rFonts w:hint="eastAsia" w:asciiTheme="minorEastAsia" w:hAnsiTheme="minorEastAsia" w:eastAsiaTheme="minorEastAsia"/>
          <w:color w:val="auto"/>
          <w:sz w:val="24"/>
          <w:szCs w:val="24"/>
          <w:highlight w:val="none"/>
        </w:rPr>
        <w:t xml:space="preserve">日期：    </w:t>
      </w:r>
    </w:p>
    <w:p w14:paraId="7DA8AB48">
      <w:pPr>
        <w:widowControl/>
        <w:jc w:val="left"/>
        <w:rPr>
          <w:rFonts w:ascii="仿宋" w:hAnsi="仿宋" w:eastAsia="仿宋" w:cs="仿宋"/>
          <w:color w:val="auto"/>
          <w:sz w:val="32"/>
          <w:szCs w:val="32"/>
          <w:highlight w:val="none"/>
        </w:rPr>
      </w:pPr>
      <w:r>
        <w:rPr>
          <w:rFonts w:ascii="仿宋" w:hAnsi="仿宋" w:eastAsia="仿宋" w:cs="仿宋"/>
          <w:color w:val="auto"/>
          <w:sz w:val="32"/>
          <w:szCs w:val="32"/>
          <w:highlight w:val="none"/>
        </w:rPr>
        <w:br w:type="page"/>
      </w:r>
    </w:p>
    <w:p w14:paraId="5888E1CE">
      <w:pPr>
        <w:outlineLvl w:val="0"/>
        <w:rPr>
          <w:rFonts w:asciiTheme="minorEastAsia" w:hAnsiTheme="minorEastAsia" w:eastAsiaTheme="minorEastAsia"/>
          <w:b/>
          <w:color w:val="auto"/>
          <w:sz w:val="28"/>
          <w:szCs w:val="32"/>
          <w:highlight w:val="none"/>
        </w:rPr>
      </w:pPr>
      <w:bookmarkStart w:id="111" w:name="_Toc9754"/>
      <w:bookmarkStart w:id="112" w:name="_Toc22239"/>
      <w:r>
        <w:rPr>
          <w:rFonts w:hint="eastAsia" w:asciiTheme="minorEastAsia" w:hAnsiTheme="minorEastAsia" w:eastAsiaTheme="minorEastAsia"/>
          <w:b/>
          <w:color w:val="auto"/>
          <w:sz w:val="28"/>
          <w:szCs w:val="32"/>
          <w:highlight w:val="none"/>
        </w:rPr>
        <w:t>质疑函制作说明：</w:t>
      </w:r>
      <w:bookmarkEnd w:id="111"/>
      <w:bookmarkEnd w:id="112"/>
    </w:p>
    <w:p w14:paraId="41BC987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1.供应商提出质疑时，应提交质疑函和必要的证明材料。</w:t>
      </w:r>
    </w:p>
    <w:p w14:paraId="3D4ACF00">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1662E80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3.质疑供应商若对项目的某一分包进行质疑，质疑函中应列明具体分包号。</w:t>
      </w:r>
    </w:p>
    <w:p w14:paraId="4BA16BEF">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4.质疑函的质疑事项应具体、明确，并有必要的事实依据和法律依据。</w:t>
      </w:r>
    </w:p>
    <w:p w14:paraId="12075F24">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5.质疑函的质疑请求应与质疑事项相关。</w:t>
      </w:r>
    </w:p>
    <w:p w14:paraId="33A6106C">
      <w:pPr>
        <w:spacing w:line="360" w:lineRule="auto"/>
        <w:ind w:firstLine="435"/>
        <w:rPr>
          <w:rFonts w:asciiTheme="minorEastAsia" w:hAnsiTheme="minorEastAsia" w:eastAsiaTheme="minorEastAsia"/>
          <w:color w:val="auto"/>
          <w:sz w:val="24"/>
          <w:highlight w:val="none"/>
        </w:rPr>
      </w:pPr>
      <w:r>
        <w:rPr>
          <w:rFonts w:hint="eastAsia" w:asciiTheme="minorEastAsia" w:hAnsiTheme="minorEastAsia" w:eastAsiaTheme="minorEastAsia"/>
          <w:color w:val="auto"/>
          <w:sz w:val="24"/>
          <w:highlight w:val="none"/>
        </w:rPr>
        <w:t>6.质疑供应商为自然人的，质疑函应由本人签字；质疑供应商为法人或者其他组织的，质疑函应由法定代表人、主要负责人，或者其授权代表签字或者盖章，并加盖公章。</w:t>
      </w:r>
    </w:p>
    <w:sectPr>
      <w:headerReference r:id="rId6" w:type="default"/>
      <w:footerReference r:id="rId7" w:type="default"/>
      <w:pgSz w:w="11906" w:h="16838"/>
      <w:pgMar w:top="1440" w:right="1800" w:bottom="1440" w:left="1800"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88"/>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monospac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20509000000000000"/>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F28240E">
    <w:pPr>
      <w:pStyle w:val="13"/>
      <w:jc w:val="center"/>
      <w:rPr>
        <w:rFonts w:asciiTheme="minorEastAsia" w:hAnsiTheme="minorEastAsia" w:eastAsiaTheme="minorEastAsia"/>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5CA6F7">
    <w:pPr>
      <w:pStyle w:val="13"/>
      <w:jc w:val="center"/>
      <w:rPr>
        <w:rFonts w:asciiTheme="minorEastAsia" w:hAnsiTheme="minorEastAsia" w:eastAsiaTheme="minorEastAsia"/>
        <w:sz w:val="21"/>
        <w:szCs w:val="21"/>
      </w:rPr>
    </w:pPr>
    <w:r>
      <w:rPr>
        <w:sz w:val="21"/>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D917446">
                          <w:pPr>
                            <w:pStyle w:val="1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4D917446">
                    <w:pPr>
                      <w:pStyle w:val="1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530447">
    <w:pPr>
      <w:pStyle w:val="13"/>
      <w:jc w:val="center"/>
    </w:pP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AE0B0B1">
                          <w:pPr>
                            <w:pStyle w:val="13"/>
                          </w:pPr>
                          <w:r>
                            <w:fldChar w:fldCharType="begin"/>
                          </w:r>
                          <w:r>
                            <w:instrText xml:space="preserve"> PAGE  \* MERGEFORMAT </w:instrText>
                          </w:r>
                          <w:r>
                            <w:fldChar w:fldCharType="separate"/>
                          </w:r>
                          <w:r>
                            <w:t>56</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2AE0B0B1">
                    <w:pPr>
                      <w:pStyle w:val="13"/>
                    </w:pPr>
                    <w:r>
                      <w:fldChar w:fldCharType="begin"/>
                    </w:r>
                    <w:r>
                      <w:instrText xml:space="preserve"> PAGE  \* MERGEFORMAT </w:instrText>
                    </w:r>
                    <w:r>
                      <w:fldChar w:fldCharType="separate"/>
                    </w:r>
                    <w:r>
                      <w:t>56</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6DDA69">
    <w:pPr>
      <w:pStyle w:val="14"/>
      <w:jc w:val="left"/>
      <w:rPr>
        <w:rFonts w:asciiTheme="minorEastAsia" w:hAnsiTheme="minorEastAsia" w:eastAsiaTheme="minor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w:t>
    </w:r>
    <w:r>
      <w:rPr>
        <w:rFonts w:hint="eastAsia" w:asciiTheme="minorEastAsia" w:hAnsiTheme="minorEastAsia" w:eastAsiaTheme="minorEastAsia"/>
        <w:lang w:val="en-US" w:eastAsia="zh-CN"/>
      </w:rPr>
      <w:t>服务类</w:t>
    </w:r>
    <w:r>
      <w:rPr>
        <w:rFonts w:hint="eastAsia" w:asciiTheme="minorEastAsia" w:hAnsiTheme="minorEastAsia" w:eastAsiaTheme="minorEastAsia"/>
        <w:lang w:eastAsia="zh-CN"/>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31E58A">
    <w:pPr>
      <w:pStyle w:val="14"/>
      <w:jc w:val="left"/>
      <w:rPr>
        <w:rFonts w:hint="eastAsia"/>
      </w:rPr>
    </w:pPr>
    <w:r>
      <w:rPr>
        <w:rFonts w:hint="eastAsia" w:asciiTheme="minorEastAsia" w:hAnsiTheme="minorEastAsia" w:eastAsiaTheme="minorEastAsia"/>
        <w:lang w:val="en-US" w:eastAsia="zh-CN"/>
      </w:rPr>
      <w:t>安徽省</w:t>
    </w:r>
    <w:r>
      <w:rPr>
        <w:rFonts w:hint="eastAsia" w:asciiTheme="minorEastAsia" w:hAnsiTheme="minorEastAsia" w:eastAsiaTheme="minorEastAsia"/>
      </w:rPr>
      <w:t>政府采购</w:t>
    </w:r>
    <w:r>
      <w:rPr>
        <w:rFonts w:hint="eastAsia" w:asciiTheme="minorEastAsia" w:hAnsiTheme="minorEastAsia" w:eastAsiaTheme="minorEastAsia"/>
        <w:lang w:eastAsia="zh-CN"/>
      </w:rPr>
      <w:t>项目公开</w:t>
    </w:r>
    <w:r>
      <w:rPr>
        <w:rFonts w:hint="eastAsia" w:asciiTheme="minorEastAsia" w:hAnsiTheme="minorEastAsia" w:eastAsiaTheme="minorEastAsia"/>
      </w:rPr>
      <w:t>招标文件</w:t>
    </w:r>
    <w:r>
      <w:rPr>
        <w:rFonts w:hint="eastAsia" w:asciiTheme="minorEastAsia" w:hAnsiTheme="minorEastAsia" w:eastAsiaTheme="minorEastAsia"/>
        <w:lang w:eastAsia="zh-CN"/>
      </w:rPr>
      <w:t>示范文本（服务类）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A064A37"/>
    <w:multiLevelType w:val="singleLevel"/>
    <w:tmpl w:val="2A064A37"/>
    <w:lvl w:ilvl="0" w:tentative="0">
      <w:start w:val="3"/>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314C2"/>
    <w:rsid w:val="00A43B9C"/>
    <w:rsid w:val="00A53155"/>
    <w:rsid w:val="00A56FFA"/>
    <w:rsid w:val="00A63E86"/>
    <w:rsid w:val="00A65A1C"/>
    <w:rsid w:val="00A757C3"/>
    <w:rsid w:val="00A75E5B"/>
    <w:rsid w:val="00A7684A"/>
    <w:rsid w:val="00A82AED"/>
    <w:rsid w:val="00A83B69"/>
    <w:rsid w:val="00A86533"/>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1C98"/>
    <w:rsid w:val="00C63FC0"/>
    <w:rsid w:val="00C66392"/>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993D60"/>
    <w:rsid w:val="0214602E"/>
    <w:rsid w:val="03486B27"/>
    <w:rsid w:val="040A094E"/>
    <w:rsid w:val="04A171B4"/>
    <w:rsid w:val="04E36C96"/>
    <w:rsid w:val="056800F4"/>
    <w:rsid w:val="056F201D"/>
    <w:rsid w:val="05B664D4"/>
    <w:rsid w:val="05B91652"/>
    <w:rsid w:val="067D155B"/>
    <w:rsid w:val="06C75A8A"/>
    <w:rsid w:val="07076C01"/>
    <w:rsid w:val="071C12AC"/>
    <w:rsid w:val="074E231E"/>
    <w:rsid w:val="07A934B3"/>
    <w:rsid w:val="07C1191B"/>
    <w:rsid w:val="08B15E54"/>
    <w:rsid w:val="0980799C"/>
    <w:rsid w:val="0A0F6376"/>
    <w:rsid w:val="0A353CEA"/>
    <w:rsid w:val="0A6A18DB"/>
    <w:rsid w:val="0AEF3828"/>
    <w:rsid w:val="0B274BC4"/>
    <w:rsid w:val="0BBB665B"/>
    <w:rsid w:val="0CB7664E"/>
    <w:rsid w:val="0D374B59"/>
    <w:rsid w:val="0E816EC5"/>
    <w:rsid w:val="0EEA6FC1"/>
    <w:rsid w:val="0F954485"/>
    <w:rsid w:val="0FBF344F"/>
    <w:rsid w:val="10505F32"/>
    <w:rsid w:val="105A27E6"/>
    <w:rsid w:val="109A40F2"/>
    <w:rsid w:val="119B0711"/>
    <w:rsid w:val="12197477"/>
    <w:rsid w:val="13587E2C"/>
    <w:rsid w:val="1466407E"/>
    <w:rsid w:val="14834E28"/>
    <w:rsid w:val="148E7D65"/>
    <w:rsid w:val="14EA49EB"/>
    <w:rsid w:val="151D4243"/>
    <w:rsid w:val="15231BF9"/>
    <w:rsid w:val="17667DE9"/>
    <w:rsid w:val="179F5278"/>
    <w:rsid w:val="193C52A5"/>
    <w:rsid w:val="19962C07"/>
    <w:rsid w:val="1A3B68AA"/>
    <w:rsid w:val="1A3E1C1E"/>
    <w:rsid w:val="1A534654"/>
    <w:rsid w:val="1BD53204"/>
    <w:rsid w:val="1C141836"/>
    <w:rsid w:val="1E6B6A14"/>
    <w:rsid w:val="20550D9A"/>
    <w:rsid w:val="21714B53"/>
    <w:rsid w:val="218E2416"/>
    <w:rsid w:val="226915FE"/>
    <w:rsid w:val="22E14C32"/>
    <w:rsid w:val="24B97929"/>
    <w:rsid w:val="2520252D"/>
    <w:rsid w:val="257B6B20"/>
    <w:rsid w:val="26143832"/>
    <w:rsid w:val="26163BC1"/>
    <w:rsid w:val="262221C3"/>
    <w:rsid w:val="26365C5D"/>
    <w:rsid w:val="26AA5F44"/>
    <w:rsid w:val="285F40CA"/>
    <w:rsid w:val="28C01ECB"/>
    <w:rsid w:val="28EC3ECC"/>
    <w:rsid w:val="29BF71E3"/>
    <w:rsid w:val="2A127B63"/>
    <w:rsid w:val="2AAA4765"/>
    <w:rsid w:val="2AC21606"/>
    <w:rsid w:val="2AD256CE"/>
    <w:rsid w:val="2AF63C5E"/>
    <w:rsid w:val="2B7E7608"/>
    <w:rsid w:val="2B7F04E9"/>
    <w:rsid w:val="2C0E2AD1"/>
    <w:rsid w:val="2C305555"/>
    <w:rsid w:val="2C9A21B9"/>
    <w:rsid w:val="2CE20523"/>
    <w:rsid w:val="2D496D68"/>
    <w:rsid w:val="2E6672CB"/>
    <w:rsid w:val="2E7A48DE"/>
    <w:rsid w:val="2EDC3ED8"/>
    <w:rsid w:val="2F2D046C"/>
    <w:rsid w:val="2F6351B4"/>
    <w:rsid w:val="2FB01C47"/>
    <w:rsid w:val="2FCF199E"/>
    <w:rsid w:val="30483E83"/>
    <w:rsid w:val="30AA0E97"/>
    <w:rsid w:val="326F3C1A"/>
    <w:rsid w:val="334E4CD8"/>
    <w:rsid w:val="343C0775"/>
    <w:rsid w:val="34AA76A9"/>
    <w:rsid w:val="356C50EC"/>
    <w:rsid w:val="361108CD"/>
    <w:rsid w:val="3700166C"/>
    <w:rsid w:val="3727617F"/>
    <w:rsid w:val="373D2FB0"/>
    <w:rsid w:val="375969FE"/>
    <w:rsid w:val="380A4A95"/>
    <w:rsid w:val="38694EE9"/>
    <w:rsid w:val="38E76B84"/>
    <w:rsid w:val="393C6E91"/>
    <w:rsid w:val="3B365CC9"/>
    <w:rsid w:val="3B9A7B88"/>
    <w:rsid w:val="3BC114FF"/>
    <w:rsid w:val="3BEB24E7"/>
    <w:rsid w:val="3C0417FB"/>
    <w:rsid w:val="3C2660C6"/>
    <w:rsid w:val="3D2C7AC8"/>
    <w:rsid w:val="3D855D12"/>
    <w:rsid w:val="3D8B42FF"/>
    <w:rsid w:val="3D8C02DD"/>
    <w:rsid w:val="3DC20089"/>
    <w:rsid w:val="3DE37141"/>
    <w:rsid w:val="3DF36A6E"/>
    <w:rsid w:val="3E0338BB"/>
    <w:rsid w:val="3F1138E1"/>
    <w:rsid w:val="3F76414B"/>
    <w:rsid w:val="3F792F1E"/>
    <w:rsid w:val="3FA267B8"/>
    <w:rsid w:val="403326AF"/>
    <w:rsid w:val="40824826"/>
    <w:rsid w:val="40E63923"/>
    <w:rsid w:val="40E90D2E"/>
    <w:rsid w:val="4140333C"/>
    <w:rsid w:val="42B443F4"/>
    <w:rsid w:val="42F43FD4"/>
    <w:rsid w:val="435E7A42"/>
    <w:rsid w:val="43A91E5B"/>
    <w:rsid w:val="44BC3308"/>
    <w:rsid w:val="450A0452"/>
    <w:rsid w:val="45BA48DB"/>
    <w:rsid w:val="463A3650"/>
    <w:rsid w:val="469F0116"/>
    <w:rsid w:val="475259B7"/>
    <w:rsid w:val="48831CF9"/>
    <w:rsid w:val="49641B2B"/>
    <w:rsid w:val="49A165B8"/>
    <w:rsid w:val="49B1408D"/>
    <w:rsid w:val="4A7D4FD2"/>
    <w:rsid w:val="4A913C9A"/>
    <w:rsid w:val="4AE22D2F"/>
    <w:rsid w:val="4B1F70AC"/>
    <w:rsid w:val="4B240F94"/>
    <w:rsid w:val="4B386AE5"/>
    <w:rsid w:val="4BA75287"/>
    <w:rsid w:val="4BED70D6"/>
    <w:rsid w:val="4C3C565C"/>
    <w:rsid w:val="4CCC79C7"/>
    <w:rsid w:val="4D7555C7"/>
    <w:rsid w:val="4EAE6DA0"/>
    <w:rsid w:val="4F1D4C56"/>
    <w:rsid w:val="4FD037EF"/>
    <w:rsid w:val="5016514B"/>
    <w:rsid w:val="502857C7"/>
    <w:rsid w:val="50476D3D"/>
    <w:rsid w:val="50F72CFD"/>
    <w:rsid w:val="512325FD"/>
    <w:rsid w:val="51CB1C78"/>
    <w:rsid w:val="51FD6A51"/>
    <w:rsid w:val="526B680A"/>
    <w:rsid w:val="52C90BE7"/>
    <w:rsid w:val="53150D15"/>
    <w:rsid w:val="5352083E"/>
    <w:rsid w:val="541A5D30"/>
    <w:rsid w:val="54F24195"/>
    <w:rsid w:val="553E632F"/>
    <w:rsid w:val="55F068CD"/>
    <w:rsid w:val="566C3136"/>
    <w:rsid w:val="568D04F2"/>
    <w:rsid w:val="588D6DD7"/>
    <w:rsid w:val="58C20C49"/>
    <w:rsid w:val="5A4E660B"/>
    <w:rsid w:val="5A526582"/>
    <w:rsid w:val="5A5F5C77"/>
    <w:rsid w:val="5A933291"/>
    <w:rsid w:val="5BBE39CD"/>
    <w:rsid w:val="5BC11A60"/>
    <w:rsid w:val="5C2647EE"/>
    <w:rsid w:val="5C7A4D54"/>
    <w:rsid w:val="5CD23B73"/>
    <w:rsid w:val="5D1F428F"/>
    <w:rsid w:val="5F127819"/>
    <w:rsid w:val="5F63752A"/>
    <w:rsid w:val="5FD711A3"/>
    <w:rsid w:val="60F1503F"/>
    <w:rsid w:val="61025188"/>
    <w:rsid w:val="61057D5F"/>
    <w:rsid w:val="614D4977"/>
    <w:rsid w:val="63C60FC0"/>
    <w:rsid w:val="64BA3D7A"/>
    <w:rsid w:val="64F179BC"/>
    <w:rsid w:val="65C94C55"/>
    <w:rsid w:val="665704D3"/>
    <w:rsid w:val="673148E2"/>
    <w:rsid w:val="675445CD"/>
    <w:rsid w:val="67C065A4"/>
    <w:rsid w:val="67D359C9"/>
    <w:rsid w:val="67F810DE"/>
    <w:rsid w:val="68FE36DD"/>
    <w:rsid w:val="694E60FC"/>
    <w:rsid w:val="69D760DB"/>
    <w:rsid w:val="69EF4042"/>
    <w:rsid w:val="6B932CC7"/>
    <w:rsid w:val="6C305B70"/>
    <w:rsid w:val="6C410A63"/>
    <w:rsid w:val="6C675CE6"/>
    <w:rsid w:val="6C6C30F2"/>
    <w:rsid w:val="6CEF35AF"/>
    <w:rsid w:val="6D4F4321"/>
    <w:rsid w:val="6DFF7360"/>
    <w:rsid w:val="6E3653DD"/>
    <w:rsid w:val="6E7A5F73"/>
    <w:rsid w:val="6F174DC6"/>
    <w:rsid w:val="6F2E3798"/>
    <w:rsid w:val="6FD74228"/>
    <w:rsid w:val="70FE5EDF"/>
    <w:rsid w:val="71633091"/>
    <w:rsid w:val="72957606"/>
    <w:rsid w:val="73081CA5"/>
    <w:rsid w:val="73483525"/>
    <w:rsid w:val="74545B7C"/>
    <w:rsid w:val="7487762D"/>
    <w:rsid w:val="75385498"/>
    <w:rsid w:val="769962BD"/>
    <w:rsid w:val="76BC207F"/>
    <w:rsid w:val="76EB4904"/>
    <w:rsid w:val="777378F5"/>
    <w:rsid w:val="777A2D3C"/>
    <w:rsid w:val="77B37656"/>
    <w:rsid w:val="78537BEA"/>
    <w:rsid w:val="79074B81"/>
    <w:rsid w:val="794F0939"/>
    <w:rsid w:val="79AF0FCA"/>
    <w:rsid w:val="79EF2560"/>
    <w:rsid w:val="7AF9279C"/>
    <w:rsid w:val="7CC51958"/>
    <w:rsid w:val="7CEC40B6"/>
    <w:rsid w:val="7D4D68A0"/>
    <w:rsid w:val="7E2936C3"/>
    <w:rsid w:val="7E2E365C"/>
    <w:rsid w:val="7E6411B9"/>
    <w:rsid w:val="7F92416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仿宋_GB2312" w:hAnsi="@仿宋_GB2312" w:eastAsia="@仿宋_GB2312" w:cs="@仿宋_GB2312"/>
      <w:kern w:val="2"/>
      <w:sz w:val="21"/>
      <w:lang w:val="en-US" w:eastAsia="zh-CN" w:bidi="ar-SA"/>
    </w:rPr>
  </w:style>
  <w:style w:type="paragraph" w:styleId="3">
    <w:name w:val="heading 1"/>
    <w:basedOn w:val="1"/>
    <w:next w:val="1"/>
    <w:link w:val="54"/>
    <w:autoRedefine/>
    <w:qFormat/>
    <w:uiPriority w:val="9"/>
    <w:pPr>
      <w:keepNext/>
      <w:keepLines/>
      <w:spacing w:before="340" w:after="330" w:line="578" w:lineRule="auto"/>
      <w:outlineLvl w:val="0"/>
    </w:pPr>
    <w:rPr>
      <w:b/>
      <w:bCs/>
      <w:kern w:val="44"/>
      <w:sz w:val="44"/>
      <w:szCs w:val="44"/>
    </w:rPr>
  </w:style>
  <w:style w:type="paragraph" w:styleId="4">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5">
    <w:name w:val="heading 3"/>
    <w:basedOn w:val="1"/>
    <w:next w:val="1"/>
    <w:link w:val="56"/>
    <w:autoRedefine/>
    <w:semiHidden/>
    <w:unhideWhenUsed/>
    <w:qFormat/>
    <w:uiPriority w:val="9"/>
    <w:pPr>
      <w:keepNext/>
      <w:keepLines/>
      <w:spacing w:before="260" w:after="260" w:line="416" w:lineRule="auto"/>
      <w:outlineLvl w:val="2"/>
    </w:pPr>
    <w:rPr>
      <w:b/>
      <w:bCs/>
      <w:sz w:val="32"/>
      <w:szCs w:val="32"/>
    </w:rPr>
  </w:style>
  <w:style w:type="paragraph" w:styleId="6">
    <w:name w:val="heading 4"/>
    <w:basedOn w:val="1"/>
    <w:next w:val="1"/>
    <w:link w:val="61"/>
    <w:autoRedefine/>
    <w:qFormat/>
    <w:uiPriority w:val="0"/>
    <w:pPr>
      <w:keepNext/>
      <w:keepLines/>
      <w:spacing w:before="280" w:after="290" w:line="376" w:lineRule="auto"/>
      <w:outlineLvl w:val="3"/>
    </w:pPr>
    <w:rPr>
      <w:b/>
      <w:bCs/>
      <w:sz w:val="28"/>
      <w:szCs w:val="28"/>
    </w:rPr>
  </w:style>
  <w:style w:type="character" w:default="1" w:styleId="23">
    <w:name w:val="Default Paragraph Font"/>
    <w:autoRedefine/>
    <w:semiHidden/>
    <w:unhideWhenUsed/>
    <w:qFormat/>
    <w:uiPriority w:val="1"/>
  </w:style>
  <w:style w:type="table" w:default="1" w:styleId="21">
    <w:name w:val="Normal Table"/>
    <w:autoRedefine/>
    <w:semiHidden/>
    <w:unhideWhenUsed/>
    <w:qFormat/>
    <w:uiPriority w:val="99"/>
    <w:tblPr>
      <w:tblCellMar>
        <w:top w:w="0" w:type="dxa"/>
        <w:left w:w="108" w:type="dxa"/>
        <w:bottom w:w="0" w:type="dxa"/>
        <w:right w:w="108" w:type="dxa"/>
      </w:tblCellMar>
    </w:tblPr>
  </w:style>
  <w:style w:type="paragraph" w:styleId="2">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53"/>
    <w:autoRedefine/>
    <w:qFormat/>
    <w:uiPriority w:val="0"/>
    <w:pPr>
      <w:jc w:val="left"/>
    </w:pPr>
    <w:rPr>
      <w:rFonts w:ascii="Arial" w:hAnsi="Arial" w:eastAsia="黑体" w:cs="Arial"/>
    </w:rPr>
  </w:style>
  <w:style w:type="paragraph" w:styleId="8">
    <w:name w:val="Body Text"/>
    <w:basedOn w:val="1"/>
    <w:autoRedefine/>
    <w:qFormat/>
    <w:uiPriority w:val="0"/>
    <w:pPr>
      <w:spacing w:after="120"/>
    </w:pPr>
    <w:rPr>
      <w:rFonts w:ascii="@微软简标宋" w:hAnsi="@微软简标宋" w:eastAsia="@微软简标宋" w:cs="@微软简标宋"/>
      <w:szCs w:val="24"/>
      <w:lang w:val="zh-CN"/>
    </w:rPr>
  </w:style>
  <w:style w:type="paragraph" w:styleId="9">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0">
    <w:name w:val="Plain Text"/>
    <w:basedOn w:val="1"/>
    <w:link w:val="43"/>
    <w:autoRedefine/>
    <w:qFormat/>
    <w:uiPriority w:val="99"/>
    <w:rPr>
      <w:rFonts w:ascii="宋体" w:hAnsi="Courier New" w:eastAsiaTheme="minorEastAsia" w:cstheme="minorBidi"/>
      <w:szCs w:val="22"/>
    </w:rPr>
  </w:style>
  <w:style w:type="paragraph" w:styleId="11">
    <w:name w:val="Date"/>
    <w:basedOn w:val="1"/>
    <w:next w:val="1"/>
    <w:link w:val="50"/>
    <w:autoRedefine/>
    <w:qFormat/>
    <w:uiPriority w:val="0"/>
    <w:rPr>
      <w:rFonts w:ascii="Arial" w:hAnsi="Arial" w:eastAsia="宋体" w:cs="Arial"/>
      <w:b/>
      <w:sz w:val="28"/>
    </w:rPr>
  </w:style>
  <w:style w:type="paragraph" w:styleId="12">
    <w:name w:val="Balloon Text"/>
    <w:basedOn w:val="1"/>
    <w:link w:val="37"/>
    <w:autoRedefine/>
    <w:semiHidden/>
    <w:unhideWhenUsed/>
    <w:qFormat/>
    <w:uiPriority w:val="99"/>
    <w:rPr>
      <w:sz w:val="18"/>
      <w:szCs w:val="18"/>
    </w:rPr>
  </w:style>
  <w:style w:type="paragraph" w:styleId="13">
    <w:name w:val="footer"/>
    <w:basedOn w:val="1"/>
    <w:link w:val="42"/>
    <w:autoRedefine/>
    <w:unhideWhenUsed/>
    <w:qFormat/>
    <w:uiPriority w:val="99"/>
    <w:pPr>
      <w:tabs>
        <w:tab w:val="center" w:pos="4153"/>
        <w:tab w:val="right" w:pos="8306"/>
      </w:tabs>
      <w:snapToGrid w:val="0"/>
      <w:jc w:val="left"/>
    </w:pPr>
    <w:rPr>
      <w:sz w:val="18"/>
      <w:szCs w:val="18"/>
    </w:rPr>
  </w:style>
  <w:style w:type="paragraph" w:styleId="14">
    <w:name w:val="header"/>
    <w:basedOn w:val="1"/>
    <w:link w:val="4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6">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17">
    <w:name w:val="Normal (Web)"/>
    <w:basedOn w:val="1"/>
    <w:autoRedefine/>
    <w:qFormat/>
    <w:uiPriority w:val="0"/>
    <w:pPr>
      <w:spacing w:before="100" w:beforeAutospacing="1" w:after="100" w:afterAutospacing="1"/>
      <w:jc w:val="left"/>
    </w:pPr>
    <w:rPr>
      <w:rFonts w:cs="Times New Roman"/>
      <w:kern w:val="0"/>
      <w:sz w:val="24"/>
    </w:rPr>
  </w:style>
  <w:style w:type="paragraph" w:styleId="18">
    <w:name w:val="index 1"/>
    <w:basedOn w:val="1"/>
    <w:next w:val="1"/>
    <w:autoRedefine/>
    <w:qFormat/>
    <w:uiPriority w:val="0"/>
    <w:pPr>
      <w:jc w:val="center"/>
    </w:pPr>
    <w:rPr>
      <w:rFonts w:ascii="Arial" w:hAnsi="Arial" w:eastAsia="Arial" w:cs="Arial"/>
      <w:b/>
      <w:bCs/>
      <w:sz w:val="28"/>
    </w:rPr>
  </w:style>
  <w:style w:type="paragraph" w:styleId="19">
    <w:name w:val="annotation subject"/>
    <w:basedOn w:val="7"/>
    <w:next w:val="7"/>
    <w:link w:val="64"/>
    <w:autoRedefine/>
    <w:semiHidden/>
    <w:unhideWhenUsed/>
    <w:qFormat/>
    <w:uiPriority w:val="99"/>
    <w:rPr>
      <w:rFonts w:ascii="@仿宋_GB2312" w:hAnsi="@仿宋_GB2312" w:eastAsia="@仿宋_GB2312" w:cs="@仿宋_GB2312"/>
      <w:b/>
      <w:bCs/>
    </w:rPr>
  </w:style>
  <w:style w:type="paragraph" w:styleId="20">
    <w:name w:val="Body Text First Indent"/>
    <w:basedOn w:val="8"/>
    <w:autoRedefine/>
    <w:unhideWhenUsed/>
    <w:qFormat/>
    <w:uiPriority w:val="99"/>
    <w:pPr>
      <w:ind w:firstLine="420" w:firstLineChars="100"/>
    </w:pPr>
  </w:style>
  <w:style w:type="table" w:styleId="22">
    <w:name w:val="Table Grid"/>
    <w:basedOn w:val="21"/>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4">
    <w:name w:val="Strong"/>
    <w:autoRedefine/>
    <w:qFormat/>
    <w:uiPriority w:val="0"/>
    <w:rPr>
      <w:b/>
      <w:bCs/>
    </w:rPr>
  </w:style>
  <w:style w:type="character" w:styleId="25">
    <w:name w:val="FollowedHyperlink"/>
    <w:basedOn w:val="23"/>
    <w:semiHidden/>
    <w:unhideWhenUsed/>
    <w:qFormat/>
    <w:uiPriority w:val="99"/>
    <w:rPr>
      <w:color w:val="5C5C5C"/>
      <w:u w:val="none"/>
    </w:rPr>
  </w:style>
  <w:style w:type="character" w:styleId="26">
    <w:name w:val="Emphasis"/>
    <w:basedOn w:val="23"/>
    <w:qFormat/>
    <w:uiPriority w:val="0"/>
    <w:rPr>
      <w:b/>
      <w:bCs/>
    </w:rPr>
  </w:style>
  <w:style w:type="character" w:styleId="27">
    <w:name w:val="HTML Definition"/>
    <w:basedOn w:val="23"/>
    <w:semiHidden/>
    <w:unhideWhenUsed/>
    <w:qFormat/>
    <w:uiPriority w:val="99"/>
  </w:style>
  <w:style w:type="character" w:styleId="28">
    <w:name w:val="HTML Typewriter"/>
    <w:basedOn w:val="23"/>
    <w:semiHidden/>
    <w:unhideWhenUsed/>
    <w:qFormat/>
    <w:uiPriority w:val="99"/>
    <w:rPr>
      <w:rFonts w:ascii="monospace" w:hAnsi="monospace" w:eastAsia="monospace" w:cs="monospace"/>
      <w:sz w:val="20"/>
    </w:rPr>
  </w:style>
  <w:style w:type="character" w:styleId="29">
    <w:name w:val="HTML Acronym"/>
    <w:basedOn w:val="23"/>
    <w:semiHidden/>
    <w:unhideWhenUsed/>
    <w:qFormat/>
    <w:uiPriority w:val="99"/>
  </w:style>
  <w:style w:type="character" w:styleId="30">
    <w:name w:val="HTML Variable"/>
    <w:basedOn w:val="23"/>
    <w:semiHidden/>
    <w:unhideWhenUsed/>
    <w:qFormat/>
    <w:uiPriority w:val="99"/>
  </w:style>
  <w:style w:type="character" w:styleId="31">
    <w:name w:val="Hyperlink"/>
    <w:basedOn w:val="23"/>
    <w:autoRedefine/>
    <w:unhideWhenUsed/>
    <w:qFormat/>
    <w:uiPriority w:val="99"/>
    <w:rPr>
      <w:color w:val="0000FF" w:themeColor="hyperlink"/>
      <w:u w:val="single"/>
      <w14:textFill>
        <w14:solidFill>
          <w14:schemeClr w14:val="hlink"/>
        </w14:solidFill>
      </w14:textFill>
    </w:rPr>
  </w:style>
  <w:style w:type="character" w:styleId="32">
    <w:name w:val="HTML Code"/>
    <w:basedOn w:val="23"/>
    <w:semiHidden/>
    <w:unhideWhenUsed/>
    <w:qFormat/>
    <w:uiPriority w:val="99"/>
    <w:rPr>
      <w:rFonts w:hint="default" w:ascii="monospace" w:hAnsi="monospace" w:eastAsia="monospace" w:cs="monospace"/>
      <w:sz w:val="20"/>
    </w:rPr>
  </w:style>
  <w:style w:type="character" w:styleId="33">
    <w:name w:val="annotation reference"/>
    <w:basedOn w:val="23"/>
    <w:autoRedefine/>
    <w:semiHidden/>
    <w:unhideWhenUsed/>
    <w:qFormat/>
    <w:uiPriority w:val="99"/>
    <w:rPr>
      <w:sz w:val="21"/>
      <w:szCs w:val="21"/>
    </w:rPr>
  </w:style>
  <w:style w:type="character" w:styleId="34">
    <w:name w:val="HTML Cite"/>
    <w:basedOn w:val="23"/>
    <w:semiHidden/>
    <w:unhideWhenUsed/>
    <w:qFormat/>
    <w:uiPriority w:val="99"/>
  </w:style>
  <w:style w:type="character" w:styleId="35">
    <w:name w:val="HTML Keyboard"/>
    <w:basedOn w:val="23"/>
    <w:semiHidden/>
    <w:unhideWhenUsed/>
    <w:qFormat/>
    <w:uiPriority w:val="99"/>
    <w:rPr>
      <w:rFonts w:hint="default" w:ascii="monospace" w:hAnsi="monospace" w:eastAsia="monospace" w:cs="monospace"/>
      <w:sz w:val="20"/>
    </w:rPr>
  </w:style>
  <w:style w:type="character" w:styleId="36">
    <w:name w:val="HTML Sample"/>
    <w:basedOn w:val="23"/>
    <w:semiHidden/>
    <w:unhideWhenUsed/>
    <w:qFormat/>
    <w:uiPriority w:val="99"/>
    <w:rPr>
      <w:rFonts w:hint="default" w:ascii="monospace" w:hAnsi="monospace" w:eastAsia="monospace" w:cs="monospace"/>
    </w:rPr>
  </w:style>
  <w:style w:type="character" w:customStyle="1" w:styleId="37">
    <w:name w:val="批注框文本 Char"/>
    <w:basedOn w:val="23"/>
    <w:link w:val="12"/>
    <w:autoRedefine/>
    <w:semiHidden/>
    <w:qFormat/>
    <w:uiPriority w:val="99"/>
    <w:rPr>
      <w:rFonts w:ascii="@仿宋_GB2312" w:hAnsi="@仿宋_GB2312" w:eastAsia="@仿宋_GB2312" w:cs="@仿宋_GB2312"/>
      <w:sz w:val="18"/>
      <w:szCs w:val="18"/>
    </w:rPr>
  </w:style>
  <w:style w:type="paragraph" w:customStyle="1" w:styleId="38">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9">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40">
    <w:name w:val="D&amp;L"/>
    <w:basedOn w:val="14"/>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41">
    <w:name w:val="页眉 Char"/>
    <w:basedOn w:val="23"/>
    <w:link w:val="14"/>
    <w:autoRedefine/>
    <w:qFormat/>
    <w:uiPriority w:val="99"/>
    <w:rPr>
      <w:rFonts w:ascii="@仿宋_GB2312" w:hAnsi="@仿宋_GB2312" w:eastAsia="@仿宋_GB2312" w:cs="@仿宋_GB2312"/>
      <w:sz w:val="18"/>
      <w:szCs w:val="18"/>
    </w:rPr>
  </w:style>
  <w:style w:type="character" w:customStyle="1" w:styleId="42">
    <w:name w:val="页脚 Char"/>
    <w:basedOn w:val="23"/>
    <w:link w:val="13"/>
    <w:autoRedefine/>
    <w:qFormat/>
    <w:uiPriority w:val="99"/>
    <w:rPr>
      <w:rFonts w:ascii="@仿宋_GB2312" w:hAnsi="@仿宋_GB2312" w:eastAsia="@仿宋_GB2312" w:cs="@仿宋_GB2312"/>
      <w:sz w:val="18"/>
      <w:szCs w:val="18"/>
    </w:rPr>
  </w:style>
  <w:style w:type="character" w:customStyle="1" w:styleId="43">
    <w:name w:val="纯文本 Char"/>
    <w:link w:val="10"/>
    <w:autoRedefine/>
    <w:qFormat/>
    <w:uiPriority w:val="0"/>
    <w:rPr>
      <w:rFonts w:ascii="宋体" w:hAnsi="Courier New"/>
    </w:rPr>
  </w:style>
  <w:style w:type="character" w:customStyle="1" w:styleId="44">
    <w:name w:val="纯文本 字符1"/>
    <w:basedOn w:val="23"/>
    <w:autoRedefine/>
    <w:semiHidden/>
    <w:qFormat/>
    <w:uiPriority w:val="99"/>
    <w:rPr>
      <w:rFonts w:hAnsi="Courier New" w:cs="Courier New" w:asciiTheme="minorEastAsia"/>
      <w:szCs w:val="20"/>
    </w:rPr>
  </w:style>
  <w:style w:type="character" w:customStyle="1" w:styleId="45">
    <w:name w:val="未处理的提及1"/>
    <w:basedOn w:val="23"/>
    <w:autoRedefine/>
    <w:semiHidden/>
    <w:unhideWhenUsed/>
    <w:qFormat/>
    <w:uiPriority w:val="99"/>
    <w:rPr>
      <w:color w:val="605E5C"/>
      <w:shd w:val="clear" w:color="auto" w:fill="E1DFDD"/>
    </w:rPr>
  </w:style>
  <w:style w:type="paragraph" w:styleId="46">
    <w:name w:val="List Paragraph"/>
    <w:basedOn w:val="1"/>
    <w:autoRedefine/>
    <w:qFormat/>
    <w:uiPriority w:val="34"/>
    <w:pPr>
      <w:ind w:firstLine="420" w:firstLineChars="200"/>
    </w:pPr>
  </w:style>
  <w:style w:type="paragraph" w:customStyle="1" w:styleId="47">
    <w:name w:val="Char Char Char Char Char Char Char1 Char"/>
    <w:basedOn w:val="1"/>
    <w:autoRedefine/>
    <w:qFormat/>
    <w:uiPriority w:val="0"/>
    <w:rPr>
      <w:rFonts w:ascii="Arial" w:hAnsi="Arial" w:eastAsia="宋体" w:cs="Arial"/>
      <w:sz w:val="24"/>
    </w:rPr>
  </w:style>
  <w:style w:type="table" w:customStyle="1" w:styleId="48">
    <w:name w:val="网格表 1 浅色1"/>
    <w:basedOn w:val="21"/>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9">
    <w:name w:val="日期 字符"/>
    <w:basedOn w:val="23"/>
    <w:autoRedefine/>
    <w:semiHidden/>
    <w:qFormat/>
    <w:uiPriority w:val="99"/>
    <w:rPr>
      <w:rFonts w:ascii="@仿宋_GB2312" w:hAnsi="@仿宋_GB2312" w:eastAsia="@仿宋_GB2312" w:cs="@仿宋_GB2312"/>
      <w:szCs w:val="20"/>
    </w:rPr>
  </w:style>
  <w:style w:type="character" w:customStyle="1" w:styleId="50">
    <w:name w:val="日期 Char"/>
    <w:link w:val="11"/>
    <w:autoRedefine/>
    <w:qFormat/>
    <w:uiPriority w:val="0"/>
    <w:rPr>
      <w:rFonts w:ascii="Arial" w:hAnsi="Arial" w:eastAsia="宋体" w:cs="Arial"/>
      <w:b/>
      <w:sz w:val="28"/>
      <w:szCs w:val="20"/>
    </w:rPr>
  </w:style>
  <w:style w:type="character" w:customStyle="1" w:styleId="51">
    <w:name w:val="纯文本 Char1"/>
    <w:autoRedefine/>
    <w:qFormat/>
    <w:locked/>
    <w:uiPriority w:val="99"/>
    <w:rPr>
      <w:rFonts w:ascii="Arial" w:hAnsi="Arial" w:eastAsia="Arial"/>
      <w:kern w:val="2"/>
      <w:sz w:val="21"/>
      <w:lang w:val="en-US" w:eastAsia="zh-CN" w:bidi="ar-SA"/>
    </w:rPr>
  </w:style>
  <w:style w:type="character" w:customStyle="1" w:styleId="52">
    <w:name w:val="批注文字 Char"/>
    <w:basedOn w:val="23"/>
    <w:autoRedefine/>
    <w:semiHidden/>
    <w:qFormat/>
    <w:uiPriority w:val="99"/>
    <w:rPr>
      <w:rFonts w:ascii="@仿宋_GB2312" w:hAnsi="@仿宋_GB2312" w:eastAsia="@仿宋_GB2312" w:cs="@仿宋_GB2312"/>
      <w:szCs w:val="20"/>
    </w:rPr>
  </w:style>
  <w:style w:type="character" w:customStyle="1" w:styleId="53">
    <w:name w:val="批注文字 Char1"/>
    <w:link w:val="7"/>
    <w:autoRedefine/>
    <w:qFormat/>
    <w:uiPriority w:val="0"/>
    <w:rPr>
      <w:rFonts w:ascii="Arial" w:hAnsi="Arial" w:eastAsia="黑体" w:cs="Arial"/>
      <w:szCs w:val="20"/>
    </w:rPr>
  </w:style>
  <w:style w:type="character" w:customStyle="1" w:styleId="54">
    <w:name w:val="标题 1 Char"/>
    <w:basedOn w:val="23"/>
    <w:link w:val="3"/>
    <w:autoRedefine/>
    <w:qFormat/>
    <w:uiPriority w:val="9"/>
    <w:rPr>
      <w:rFonts w:ascii="@仿宋_GB2312" w:hAnsi="@仿宋_GB2312" w:eastAsia="@仿宋_GB2312" w:cs="@仿宋_GB2312"/>
      <w:b/>
      <w:bCs/>
      <w:kern w:val="44"/>
      <w:sz w:val="44"/>
      <w:szCs w:val="44"/>
    </w:rPr>
  </w:style>
  <w:style w:type="paragraph" w:customStyle="1" w:styleId="55">
    <w:name w:val="TOC 标题1"/>
    <w:basedOn w:val="3"/>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6">
    <w:name w:val="标题 3 Char"/>
    <w:basedOn w:val="23"/>
    <w:link w:val="5"/>
    <w:autoRedefine/>
    <w:semiHidden/>
    <w:qFormat/>
    <w:uiPriority w:val="9"/>
    <w:rPr>
      <w:rFonts w:ascii="@仿宋_GB2312" w:hAnsi="@仿宋_GB2312" w:eastAsia="@仿宋_GB2312" w:cs="@仿宋_GB2312"/>
      <w:b/>
      <w:bCs/>
      <w:sz w:val="32"/>
      <w:szCs w:val="32"/>
    </w:rPr>
  </w:style>
  <w:style w:type="character" w:customStyle="1" w:styleId="57">
    <w:name w:val="fontstyle01"/>
    <w:basedOn w:val="23"/>
    <w:autoRedefine/>
    <w:qFormat/>
    <w:uiPriority w:val="0"/>
    <w:rPr>
      <w:rFonts w:hint="eastAsia" w:ascii="宋体" w:hAnsi="宋体" w:eastAsia="宋体"/>
      <w:color w:val="000000"/>
      <w:sz w:val="22"/>
      <w:szCs w:val="22"/>
    </w:rPr>
  </w:style>
  <w:style w:type="character" w:customStyle="1" w:styleId="58">
    <w:name w:val="fontstyle21"/>
    <w:basedOn w:val="23"/>
    <w:autoRedefine/>
    <w:qFormat/>
    <w:uiPriority w:val="0"/>
    <w:rPr>
      <w:rFonts w:hint="default" w:ascii="TimesNewRomanPSMT" w:hAnsi="TimesNewRomanPSMT"/>
      <w:color w:val="000000"/>
      <w:sz w:val="22"/>
      <w:szCs w:val="22"/>
    </w:rPr>
  </w:style>
  <w:style w:type="character" w:customStyle="1" w:styleId="59">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60">
    <w:name w:val="标题 4 字符"/>
    <w:basedOn w:val="23"/>
    <w:autoRedefine/>
    <w:semiHidden/>
    <w:qFormat/>
    <w:uiPriority w:val="9"/>
    <w:rPr>
      <w:rFonts w:asciiTheme="majorHAnsi" w:hAnsiTheme="majorHAnsi" w:eastAsiaTheme="majorEastAsia" w:cstheme="majorBidi"/>
      <w:b/>
      <w:bCs/>
      <w:sz w:val="28"/>
      <w:szCs w:val="28"/>
    </w:rPr>
  </w:style>
  <w:style w:type="character" w:customStyle="1" w:styleId="61">
    <w:name w:val="标题 4 Char1"/>
    <w:link w:val="6"/>
    <w:autoRedefine/>
    <w:qFormat/>
    <w:uiPriority w:val="0"/>
    <w:rPr>
      <w:rFonts w:ascii="@仿宋_GB2312" w:hAnsi="@仿宋_GB2312" w:eastAsia="@仿宋_GB2312" w:cs="@仿宋_GB2312"/>
      <w:b/>
      <w:bCs/>
      <w:sz w:val="28"/>
      <w:szCs w:val="28"/>
    </w:rPr>
  </w:style>
  <w:style w:type="character" w:customStyle="1" w:styleId="62">
    <w:name w:val="标题 4 Char"/>
    <w:autoRedefine/>
    <w:qFormat/>
    <w:uiPriority w:val="0"/>
    <w:rPr>
      <w:rFonts w:ascii="Arial" w:hAnsi="Arial" w:eastAsia="Arial"/>
      <w:b/>
      <w:bCs/>
      <w:kern w:val="2"/>
      <w:sz w:val="28"/>
      <w:szCs w:val="28"/>
      <w:lang w:val="en-US" w:eastAsia="zh-CN" w:bidi="ar-SA"/>
    </w:rPr>
  </w:style>
  <w:style w:type="table" w:customStyle="1" w:styleId="63">
    <w:name w:val="网格型1"/>
    <w:basedOn w:val="21"/>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4">
    <w:name w:val="批注主题 Char"/>
    <w:basedOn w:val="53"/>
    <w:link w:val="19"/>
    <w:autoRedefine/>
    <w:semiHidden/>
    <w:qFormat/>
    <w:uiPriority w:val="99"/>
    <w:rPr>
      <w:rFonts w:ascii="@仿宋_GB2312" w:hAnsi="@仿宋_GB2312" w:eastAsia="@仿宋_GB2312" w:cs="@仿宋_GB2312"/>
      <w:b/>
      <w:bCs/>
      <w:szCs w:val="20"/>
    </w:rPr>
  </w:style>
  <w:style w:type="table" w:customStyle="1" w:styleId="65">
    <w:name w:val="Table Normal"/>
    <w:autoRedefine/>
    <w:semiHidden/>
    <w:unhideWhenUsed/>
    <w:qFormat/>
    <w:uiPriority w:val="0"/>
    <w:tblPr>
      <w:tblCellMar>
        <w:top w:w="0" w:type="dxa"/>
        <w:left w:w="0" w:type="dxa"/>
        <w:bottom w:w="0" w:type="dxa"/>
        <w:right w:w="0" w:type="dxa"/>
      </w:tblCellMar>
    </w:tblPr>
  </w:style>
  <w:style w:type="paragraph" w:customStyle="1" w:styleId="66">
    <w:name w:val="Table Text"/>
    <w:basedOn w:val="1"/>
    <w:autoRedefine/>
    <w:semiHidden/>
    <w:qFormat/>
    <w:uiPriority w:val="0"/>
    <w:rPr>
      <w:rFonts w:ascii="Arial" w:hAnsi="Arial" w:eastAsia="Arial" w:cs="Arial"/>
      <w:sz w:val="21"/>
      <w:szCs w:val="21"/>
      <w:lang w:val="en-US" w:eastAsia="en-US" w:bidi="ar-SA"/>
    </w:rPr>
  </w:style>
  <w:style w:type="paragraph" w:customStyle="1" w:styleId="67">
    <w:name w:val="表格文字"/>
    <w:basedOn w:val="1"/>
    <w:qFormat/>
    <w:uiPriority w:val="0"/>
    <w:pPr>
      <w:spacing w:before="25" w:after="25"/>
      <w:jc w:val="left"/>
    </w:pPr>
    <w:rPr>
      <w:bCs/>
      <w:spacing w:val="10"/>
      <w:kern w:val="0"/>
      <w:sz w:val="24"/>
    </w:rPr>
  </w:style>
  <w:style w:type="paragraph" w:customStyle="1" w:styleId="68">
    <w:name w:val="Body text|1"/>
    <w:basedOn w:val="1"/>
    <w:autoRedefine/>
    <w:qFormat/>
    <w:uiPriority w:val="0"/>
    <w:pPr>
      <w:spacing w:line="420" w:lineRule="auto"/>
      <w:ind w:firstLine="400"/>
    </w:pPr>
    <w:rPr>
      <w:rFonts w:ascii="宋体" w:hAnsi="宋体" w:cs="宋体"/>
      <w:sz w:val="22"/>
      <w:szCs w:val="22"/>
      <w:lang w:val="zh-TW" w:eastAsia="zh-TW"/>
    </w:rPr>
  </w:style>
  <w:style w:type="paragraph" w:customStyle="1" w:styleId="69">
    <w:name w:val="HtmlNormal"/>
    <w:basedOn w:val="1"/>
    <w:autoRedefine/>
    <w:qFormat/>
    <w:uiPriority w:val="0"/>
    <w:pPr>
      <w:widowControl/>
      <w:spacing w:before="100" w:beforeAutospacing="1" w:after="100" w:afterAutospacing="1"/>
      <w:jc w:val="left"/>
      <w:textAlignment w:val="baseline"/>
    </w:pPr>
    <w:rPr>
      <w:rFonts w:ascii="宋体" w:hAnsi="宋体"/>
      <w:color w:val="000000"/>
      <w:kern w:val="0"/>
      <w:sz w:val="24"/>
      <w:szCs w:val="24"/>
      <w:lang w:val="en-US" w:eastAsia="zh-CN" w:bidi="ar-SA"/>
    </w:rPr>
  </w:style>
  <w:style w:type="character" w:customStyle="1" w:styleId="70">
    <w:name w:val="hover"/>
    <w:basedOn w:val="23"/>
    <w:uiPriority w:val="0"/>
    <w:rPr>
      <w:color w:val="2590EB"/>
    </w:rPr>
  </w:style>
  <w:style w:type="character" w:customStyle="1" w:styleId="71">
    <w:name w:val="hover1"/>
    <w:basedOn w:val="23"/>
    <w:uiPriority w:val="0"/>
    <w:rPr>
      <w:color w:val="2590EB"/>
    </w:rPr>
  </w:style>
  <w:style w:type="character" w:customStyle="1" w:styleId="72">
    <w:name w:val="hover2"/>
    <w:basedOn w:val="23"/>
    <w:uiPriority w:val="0"/>
  </w:style>
  <w:style w:type="character" w:customStyle="1" w:styleId="73">
    <w:name w:val="hover3"/>
    <w:basedOn w:val="23"/>
    <w:uiPriority w:val="0"/>
    <w:rPr>
      <w:color w:val="2590EB"/>
      <w:shd w:val="clear" w:fill="E9F4FD"/>
    </w:rPr>
  </w:style>
  <w:style w:type="character" w:customStyle="1" w:styleId="74">
    <w:name w:val="hover4"/>
    <w:basedOn w:val="23"/>
    <w:uiPriority w:val="0"/>
    <w:rPr>
      <w:color w:val="2590EB"/>
      <w:shd w:val="clear" w:fill="E9F4FD"/>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89AC3C6-84CB-4D2E-AFC0-C8AD46F7C0BA}">
  <ds:schemaRefs/>
</ds:datastoreItem>
</file>

<file path=docProps/app.xml><?xml version="1.0" encoding="utf-8"?>
<Properties xmlns="http://schemas.openxmlformats.org/officeDocument/2006/extended-properties" xmlns:vt="http://schemas.openxmlformats.org/officeDocument/2006/docPropsVTypes">
  <Template>Normal</Template>
  <Company>akoosky</Company>
  <Pages>75</Pages>
  <Words>877</Words>
  <Characters>1012</Characters>
  <Lines>244</Lines>
  <Paragraphs>68</Paragraphs>
  <TotalTime>3</TotalTime>
  <ScaleCrop>false</ScaleCrop>
  <LinksUpToDate>false</LinksUpToDate>
  <CharactersWithSpaces>1041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韦韦</cp:lastModifiedBy>
  <cp:lastPrinted>2019-12-07T15:18:00Z</cp:lastPrinted>
  <dcterms:modified xsi:type="dcterms:W3CDTF">2026-11-04T08:36:31Z</dcterms:modified>
  <cp:revision>388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1ECEA165F94845FFAF35C1C96E4FB9B0_12</vt:lpwstr>
  </property>
  <property fmtid="{D5CDD505-2E9C-101B-9397-08002B2CF9AE}" pid="4" name="KSOTemplateDocerSaveRecord">
    <vt:lpwstr>eyJoZGlkIjoiZmQ5MGI3YTdkMjVkZTZjM2ZjZTQ5YjMxYTJjZjRlOWEiLCJ1c2VySWQiOiIzNjE4MjQ5In0=</vt:lpwstr>
  </property>
</Properties>
</file>