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CBF5">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52"/>
          <w:szCs w:val="52"/>
        </w:rPr>
      </w:pPr>
    </w:p>
    <w:p w14:paraId="0E300C15">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52"/>
          <w:szCs w:val="52"/>
        </w:rPr>
      </w:pPr>
    </w:p>
    <w:p w14:paraId="31D1BAD6">
      <w:pPr>
        <w:keepNext w:val="0"/>
        <w:keepLines w:val="0"/>
        <w:pageBreakBefore w:val="0"/>
        <w:widowControl w:val="0"/>
        <w:tabs>
          <w:tab w:val="left" w:pos="315"/>
          <w:tab w:val="left" w:pos="8820"/>
        </w:tabs>
        <w:kinsoku/>
        <w:wordWrap/>
        <w:overflowPunct/>
        <w:topLinePunct w:val="0"/>
        <w:autoSpaceDE/>
        <w:autoSpaceDN/>
        <w:bidi w:val="0"/>
        <w:adjustRightInd/>
        <w:snapToGrid/>
        <w:spacing w:before="312" w:beforeLines="100" w:after="156" w:afterLines="50" w:line="360" w:lineRule="auto"/>
        <w:ind w:right="267" w:rightChars="127"/>
        <w:jc w:val="center"/>
        <w:textAlignment w:val="auto"/>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eastAsia="zh-CN"/>
        </w:rPr>
        <w:t>滁州市2026年琅琊区中小学校长专业能力提升培训项目</w:t>
      </w:r>
      <w:r>
        <w:rPr>
          <w:rFonts w:hint="eastAsia" w:ascii="宋体" w:hAnsi="宋体" w:eastAsia="宋体" w:cs="宋体"/>
          <w:b/>
          <w:bCs/>
          <w:color w:val="auto"/>
          <w:sz w:val="52"/>
          <w:szCs w:val="52"/>
          <w:lang w:val="en-US" w:eastAsia="zh-CN"/>
        </w:rPr>
        <w:t>招标文件</w:t>
      </w:r>
    </w:p>
    <w:p w14:paraId="1B53D760">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rPr>
      </w:pPr>
    </w:p>
    <w:p w14:paraId="32A4DC3F">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rPr>
      </w:pPr>
    </w:p>
    <w:p w14:paraId="38DA0CE1">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rPr>
      </w:pPr>
    </w:p>
    <w:p w14:paraId="4E87F024">
      <w:pPr>
        <w:rPr>
          <w:rFonts w:ascii="宋体" w:hAnsi="宋体" w:eastAsia="宋体" w:cs="宋体"/>
          <w:color w:val="auto"/>
        </w:rPr>
      </w:pPr>
    </w:p>
    <w:p w14:paraId="05A6C321">
      <w:pPr>
        <w:tabs>
          <w:tab w:val="left" w:pos="315"/>
          <w:tab w:val="left" w:pos="8820"/>
        </w:tabs>
        <w:spacing w:before="312" w:beforeLines="100" w:after="156" w:afterLines="50" w:line="500" w:lineRule="exact"/>
        <w:ind w:right="267" w:rightChars="127"/>
        <w:jc w:val="center"/>
        <w:rPr>
          <w:rFonts w:ascii="宋体" w:hAnsi="宋体" w:eastAsia="宋体" w:cs="宋体"/>
          <w:b/>
          <w:bCs/>
          <w:color w:val="auto"/>
          <w:sz w:val="44"/>
          <w:szCs w:val="44"/>
        </w:rPr>
      </w:pPr>
    </w:p>
    <w:p w14:paraId="6F3459B3">
      <w:pPr>
        <w:tabs>
          <w:tab w:val="left" w:pos="315"/>
          <w:tab w:val="left" w:pos="8820"/>
        </w:tabs>
        <w:spacing w:before="312" w:beforeLines="100" w:after="156" w:afterLines="50" w:line="500" w:lineRule="exact"/>
        <w:ind w:right="267" w:rightChars="127"/>
        <w:jc w:val="both"/>
        <w:rPr>
          <w:rFonts w:ascii="宋体" w:hAnsi="宋体" w:eastAsia="宋体" w:cs="宋体"/>
          <w:b/>
          <w:bCs/>
          <w:color w:val="auto"/>
          <w:sz w:val="44"/>
          <w:szCs w:val="44"/>
        </w:rPr>
      </w:pPr>
    </w:p>
    <w:p w14:paraId="3FBEDB49">
      <w:pPr>
        <w:keepNext w:val="0"/>
        <w:keepLines w:val="0"/>
        <w:pageBreakBefore w:val="0"/>
        <w:widowControl w:val="0"/>
        <w:tabs>
          <w:tab w:val="left" w:pos="2410"/>
        </w:tabs>
        <w:kinsoku/>
        <w:wordWrap/>
        <w:overflowPunct/>
        <w:topLinePunct w:val="0"/>
        <w:autoSpaceDE w:val="0"/>
        <w:autoSpaceDN w:val="0"/>
        <w:bidi w:val="0"/>
        <w:adjustRightInd w:val="0"/>
        <w:snapToGrid w:val="0"/>
        <w:spacing w:line="840" w:lineRule="exact"/>
        <w:ind w:firstLine="723" w:firstLineChars="200"/>
        <w:textAlignment w:val="auto"/>
        <w:rPr>
          <w:rFonts w:hint="eastAsia" w:ascii="宋体" w:hAnsi="宋体" w:eastAsia="宋体" w:cs="宋体"/>
          <w:b/>
          <w:color w:val="auto"/>
          <w:spacing w:val="20"/>
          <w:kern w:val="0"/>
          <w:sz w:val="32"/>
          <w:szCs w:val="32"/>
          <w:lang w:eastAsia="zh-CN"/>
        </w:rPr>
      </w:pPr>
      <w:r>
        <w:rPr>
          <w:rFonts w:hint="eastAsia" w:ascii="宋体" w:hAnsi="宋体" w:eastAsia="宋体" w:cs="宋体"/>
          <w:b/>
          <w:color w:val="auto"/>
          <w:spacing w:val="20"/>
          <w:kern w:val="0"/>
          <w:sz w:val="32"/>
          <w:szCs w:val="32"/>
        </w:rPr>
        <w:t>项目名称：</w:t>
      </w:r>
      <w:r>
        <w:rPr>
          <w:rFonts w:hint="eastAsia" w:ascii="宋体" w:hAnsi="宋体" w:eastAsia="宋体" w:cs="宋体"/>
          <w:b/>
          <w:color w:val="auto"/>
          <w:spacing w:val="20"/>
          <w:kern w:val="0"/>
          <w:sz w:val="32"/>
          <w:szCs w:val="32"/>
          <w:u w:val="single"/>
          <w:lang w:eastAsia="zh-CN"/>
        </w:rPr>
        <w:t>滁州市2026年琅琊区中小学校长专业能力提升培训项目</w:t>
      </w:r>
    </w:p>
    <w:p w14:paraId="6F5982D5">
      <w:pPr>
        <w:keepNext w:val="0"/>
        <w:keepLines w:val="0"/>
        <w:pageBreakBefore w:val="0"/>
        <w:widowControl w:val="0"/>
        <w:tabs>
          <w:tab w:val="left" w:pos="2410"/>
        </w:tabs>
        <w:kinsoku/>
        <w:wordWrap/>
        <w:overflowPunct/>
        <w:topLinePunct w:val="0"/>
        <w:autoSpaceDE w:val="0"/>
        <w:autoSpaceDN w:val="0"/>
        <w:bidi w:val="0"/>
        <w:adjustRightInd w:val="0"/>
        <w:snapToGrid w:val="0"/>
        <w:spacing w:line="840" w:lineRule="exact"/>
        <w:ind w:firstLine="723" w:firstLineChars="200"/>
        <w:textAlignment w:val="auto"/>
        <w:rPr>
          <w:rFonts w:ascii="宋体" w:hAnsi="宋体" w:eastAsia="宋体" w:cs="宋体"/>
          <w:b/>
          <w:color w:val="auto"/>
          <w:spacing w:val="20"/>
          <w:kern w:val="0"/>
          <w:sz w:val="32"/>
          <w:szCs w:val="32"/>
        </w:rPr>
      </w:pPr>
      <w:r>
        <w:rPr>
          <w:rFonts w:hint="eastAsia" w:ascii="宋体" w:hAnsi="宋体" w:eastAsia="宋体" w:cs="宋体"/>
          <w:b/>
          <w:color w:val="auto"/>
          <w:spacing w:val="20"/>
          <w:kern w:val="0"/>
          <w:sz w:val="32"/>
          <w:szCs w:val="32"/>
        </w:rPr>
        <w:t>采 购 人：</w:t>
      </w:r>
      <w:r>
        <w:rPr>
          <w:rFonts w:hint="eastAsia" w:ascii="宋体" w:hAnsi="宋体" w:eastAsia="宋体" w:cs="宋体"/>
          <w:b/>
          <w:color w:val="auto"/>
          <w:spacing w:val="20"/>
          <w:kern w:val="0"/>
          <w:sz w:val="32"/>
          <w:szCs w:val="32"/>
          <w:u w:val="single"/>
          <w:lang w:eastAsia="zh-CN"/>
        </w:rPr>
        <w:t>滁州市第二小学</w:t>
      </w:r>
      <w:r>
        <w:rPr>
          <w:rFonts w:hint="eastAsia" w:ascii="宋体" w:hAnsi="宋体" w:eastAsia="宋体" w:cs="宋体"/>
          <w:b/>
          <w:color w:val="auto"/>
          <w:spacing w:val="20"/>
          <w:kern w:val="0"/>
          <w:sz w:val="32"/>
          <w:szCs w:val="32"/>
          <w:u w:val="single"/>
        </w:rPr>
        <w:t xml:space="preserve">          </w:t>
      </w:r>
    </w:p>
    <w:p w14:paraId="3823A29A">
      <w:pPr>
        <w:keepNext w:val="0"/>
        <w:keepLines w:val="0"/>
        <w:pageBreakBefore w:val="0"/>
        <w:widowControl w:val="0"/>
        <w:tabs>
          <w:tab w:val="left" w:pos="2410"/>
        </w:tabs>
        <w:kinsoku/>
        <w:wordWrap/>
        <w:overflowPunct/>
        <w:topLinePunct w:val="0"/>
        <w:autoSpaceDE w:val="0"/>
        <w:autoSpaceDN w:val="0"/>
        <w:bidi w:val="0"/>
        <w:adjustRightInd w:val="0"/>
        <w:snapToGrid w:val="0"/>
        <w:spacing w:line="840" w:lineRule="exact"/>
        <w:ind w:firstLine="723" w:firstLineChars="200"/>
        <w:textAlignment w:val="auto"/>
        <w:rPr>
          <w:rFonts w:hint="eastAsia" w:ascii="宋体" w:hAnsi="宋体" w:eastAsia="宋体" w:cs="宋体"/>
          <w:color w:val="auto"/>
          <w:lang w:eastAsia="zh-CN"/>
        </w:rPr>
      </w:pPr>
      <w:r>
        <w:rPr>
          <w:rFonts w:hint="eastAsia" w:ascii="宋体" w:hAnsi="宋体" w:eastAsia="宋体" w:cs="宋体"/>
          <w:b/>
          <w:color w:val="auto"/>
          <w:spacing w:val="20"/>
          <w:kern w:val="0"/>
          <w:sz w:val="32"/>
          <w:szCs w:val="32"/>
        </w:rPr>
        <w:t>采购代理机构：</w:t>
      </w:r>
      <w:r>
        <w:rPr>
          <w:rFonts w:hint="eastAsia" w:ascii="宋体" w:hAnsi="宋体" w:eastAsia="宋体" w:cs="宋体"/>
          <w:b/>
          <w:color w:val="auto"/>
          <w:spacing w:val="20"/>
          <w:kern w:val="0"/>
          <w:sz w:val="32"/>
          <w:szCs w:val="32"/>
          <w:u w:val="single"/>
          <w:lang w:eastAsia="zh-CN"/>
        </w:rPr>
        <w:t>滁州市城投工程咨询管理有限公司</w:t>
      </w:r>
    </w:p>
    <w:p w14:paraId="4589BAE2">
      <w:pPr>
        <w:keepNext w:val="0"/>
        <w:keepLines w:val="0"/>
        <w:pageBreakBefore w:val="0"/>
        <w:widowControl w:val="0"/>
        <w:tabs>
          <w:tab w:val="left" w:pos="2410"/>
        </w:tabs>
        <w:kinsoku/>
        <w:wordWrap/>
        <w:overflowPunct/>
        <w:topLinePunct w:val="0"/>
        <w:autoSpaceDE w:val="0"/>
        <w:autoSpaceDN w:val="0"/>
        <w:bidi w:val="0"/>
        <w:adjustRightInd w:val="0"/>
        <w:snapToGrid w:val="0"/>
        <w:spacing w:line="840" w:lineRule="exact"/>
        <w:jc w:val="center"/>
        <w:textAlignment w:val="auto"/>
        <w:rPr>
          <w:rFonts w:ascii="宋体" w:hAnsi="宋体" w:eastAsia="宋体" w:cs="宋体"/>
          <w:b/>
          <w:color w:val="auto"/>
          <w:sz w:val="36"/>
        </w:rPr>
      </w:pPr>
      <w:r>
        <w:rPr>
          <w:rFonts w:hint="eastAsia" w:ascii="宋体" w:hAnsi="宋体" w:eastAsia="宋体" w:cs="宋体"/>
          <w:b/>
          <w:color w:val="auto"/>
          <w:sz w:val="36"/>
          <w:u w:val="single"/>
        </w:rPr>
        <w:t>202</w:t>
      </w:r>
      <w:r>
        <w:rPr>
          <w:rFonts w:hint="eastAsia" w:ascii="宋体" w:hAnsi="宋体" w:eastAsia="宋体" w:cs="宋体"/>
          <w:b/>
          <w:color w:val="auto"/>
          <w:sz w:val="36"/>
          <w:u w:val="single"/>
          <w:lang w:val="en-US" w:eastAsia="zh-CN"/>
        </w:rPr>
        <w:t>6</w:t>
      </w:r>
      <w:r>
        <w:rPr>
          <w:rFonts w:hint="eastAsia" w:ascii="宋体" w:hAnsi="宋体" w:eastAsia="宋体" w:cs="宋体"/>
          <w:b/>
          <w:color w:val="auto"/>
          <w:sz w:val="36"/>
        </w:rPr>
        <w:t>年</w:t>
      </w:r>
      <w:r>
        <w:rPr>
          <w:rFonts w:hint="eastAsia" w:ascii="宋体" w:hAnsi="宋体" w:eastAsia="宋体" w:cs="宋体"/>
          <w:b/>
          <w:color w:val="auto"/>
          <w:sz w:val="36"/>
          <w:u w:val="single"/>
          <w:lang w:val="en-US" w:eastAsia="zh-CN"/>
        </w:rPr>
        <w:t>05</w:t>
      </w:r>
      <w:r>
        <w:rPr>
          <w:rFonts w:hint="eastAsia" w:ascii="宋体" w:hAnsi="宋体" w:eastAsia="宋体" w:cs="宋体"/>
          <w:b/>
          <w:color w:val="auto"/>
          <w:sz w:val="36"/>
        </w:rPr>
        <w:t>月</w:t>
      </w:r>
      <w:r>
        <w:rPr>
          <w:rFonts w:hint="eastAsia" w:ascii="宋体" w:hAnsi="宋体" w:eastAsia="宋体" w:cs="宋体"/>
          <w:b/>
          <w:color w:val="auto"/>
          <w:sz w:val="36"/>
          <w:u w:val="single"/>
          <w:lang w:val="en-US" w:eastAsia="zh-CN"/>
        </w:rPr>
        <w:t>13</w:t>
      </w:r>
      <w:r>
        <w:rPr>
          <w:rFonts w:hint="eastAsia" w:ascii="宋体" w:hAnsi="宋体" w:eastAsia="宋体" w:cs="宋体"/>
          <w:b/>
          <w:color w:val="auto"/>
          <w:sz w:val="36"/>
          <w:lang w:val="en-US" w:eastAsia="zh-CN"/>
        </w:rPr>
        <w:t>日</w:t>
      </w:r>
      <w:r>
        <w:rPr>
          <w:rFonts w:hint="eastAsia" w:ascii="宋体" w:hAnsi="宋体" w:eastAsia="宋体" w:cs="宋体"/>
          <w:b/>
          <w:color w:val="auto"/>
          <w:sz w:val="36"/>
        </w:rPr>
        <w:br w:type="page"/>
      </w:r>
    </w:p>
    <w:p w14:paraId="2D9DF932">
      <w:pPr>
        <w:rPr>
          <w:rFonts w:ascii="宋体" w:hAnsi="宋体" w:eastAsia="宋体" w:cs="宋体"/>
          <w:b/>
          <w:color w:val="auto"/>
          <w:sz w:val="28"/>
        </w:rPr>
      </w:pPr>
    </w:p>
    <w:p w14:paraId="1984FF18">
      <w:pPr>
        <w:tabs>
          <w:tab w:val="left" w:pos="2410"/>
        </w:tabs>
        <w:autoSpaceDE w:val="0"/>
        <w:autoSpaceDN w:val="0"/>
        <w:adjustRightInd w:val="0"/>
        <w:snapToGrid w:val="0"/>
        <w:spacing w:line="600" w:lineRule="exact"/>
        <w:jc w:val="center"/>
        <w:rPr>
          <w:rFonts w:ascii="宋体" w:hAnsi="宋体" w:eastAsia="宋体" w:cs="宋体"/>
          <w:b/>
          <w:color w:val="auto"/>
          <w:sz w:val="28"/>
        </w:rPr>
      </w:pPr>
      <w:r>
        <w:rPr>
          <w:rFonts w:hint="eastAsia" w:ascii="宋体" w:hAnsi="宋体" w:eastAsia="宋体" w:cs="宋体"/>
          <w:b/>
          <w:color w:val="auto"/>
          <w:sz w:val="28"/>
        </w:rPr>
        <w:t>目  录</w:t>
      </w:r>
    </w:p>
    <w:p w14:paraId="7B316EF8">
      <w:pPr>
        <w:pStyle w:val="19"/>
        <w:tabs>
          <w:tab w:val="right" w:leader="dot" w:pos="8306"/>
        </w:tabs>
        <w:spacing w:line="600" w:lineRule="exact"/>
        <w:jc w:val="center"/>
        <w:rPr>
          <w:rFonts w:ascii="宋体" w:hAnsi="宋体" w:eastAsia="宋体" w:cs="宋体"/>
          <w:color w:val="auto"/>
        </w:rPr>
      </w:pPr>
      <w:r>
        <w:rPr>
          <w:rFonts w:hint="eastAsia" w:ascii="宋体" w:hAnsi="宋体" w:eastAsia="宋体" w:cs="宋体"/>
          <w:b/>
          <w:color w:val="auto"/>
          <w:sz w:val="24"/>
          <w:szCs w:val="24"/>
        </w:rPr>
        <w:fldChar w:fldCharType="begin"/>
      </w:r>
      <w:r>
        <w:rPr>
          <w:rFonts w:hint="eastAsia" w:ascii="宋体" w:hAnsi="宋体" w:eastAsia="宋体" w:cs="宋体"/>
          <w:b/>
          <w:color w:val="auto"/>
          <w:sz w:val="24"/>
          <w:szCs w:val="24"/>
        </w:rPr>
        <w:instrText xml:space="preserve"> TOC \o "1-2" \h \z \u </w:instrText>
      </w:r>
      <w:r>
        <w:rPr>
          <w:rFonts w:hint="eastAsia" w:ascii="宋体" w:hAnsi="宋体" w:eastAsia="宋体" w:cs="宋体"/>
          <w:b/>
          <w:color w:val="auto"/>
          <w:sz w:val="24"/>
          <w:szCs w:val="24"/>
        </w:rPr>
        <w:fldChar w:fldCharType="separate"/>
      </w:r>
      <w:r>
        <w:rPr>
          <w:color w:val="auto"/>
        </w:rPr>
        <w:fldChar w:fldCharType="begin"/>
      </w:r>
      <w:r>
        <w:rPr>
          <w:color w:val="auto"/>
        </w:rPr>
        <w:instrText xml:space="preserve"> HYPERLINK \l "_Toc32331" </w:instrText>
      </w:r>
      <w:r>
        <w:rPr>
          <w:color w:val="auto"/>
        </w:rPr>
        <w:fldChar w:fldCharType="separate"/>
      </w:r>
      <w:r>
        <w:rPr>
          <w:rFonts w:hint="eastAsia" w:ascii="宋体" w:hAnsi="宋体" w:eastAsia="宋体" w:cs="宋体"/>
          <w:color w:val="auto"/>
        </w:rPr>
        <w:t>第一章  投标邀请</w:t>
      </w:r>
      <w:r>
        <w:rPr>
          <w:rFonts w:hint="eastAsia" w:ascii="宋体" w:hAnsi="宋体" w:eastAsia="宋体" w:cs="宋体"/>
          <w:color w:val="auto"/>
        </w:rPr>
        <w:tab/>
      </w:r>
      <w:r>
        <w:rPr>
          <w:rFonts w:hint="eastAsia" w:ascii="宋体" w:hAnsi="宋体" w:eastAsia="宋体" w:cs="宋体"/>
          <w:color w:val="auto"/>
        </w:rPr>
        <w:t>1</w:t>
      </w:r>
      <w:r>
        <w:rPr>
          <w:rFonts w:hint="eastAsia" w:ascii="宋体" w:hAnsi="宋体" w:eastAsia="宋体" w:cs="宋体"/>
          <w:color w:val="auto"/>
        </w:rPr>
        <w:fldChar w:fldCharType="end"/>
      </w:r>
    </w:p>
    <w:p w14:paraId="784D5570">
      <w:pPr>
        <w:pStyle w:val="19"/>
        <w:tabs>
          <w:tab w:val="right" w:leader="dot" w:pos="8306"/>
        </w:tabs>
        <w:spacing w:line="600" w:lineRule="exact"/>
        <w:jc w:val="center"/>
        <w:rPr>
          <w:rFonts w:ascii="宋体" w:hAnsi="宋体" w:eastAsia="宋体" w:cs="宋体"/>
          <w:color w:val="auto"/>
        </w:rPr>
      </w:pPr>
      <w:r>
        <w:rPr>
          <w:color w:val="auto"/>
        </w:rPr>
        <w:fldChar w:fldCharType="begin"/>
      </w:r>
      <w:r>
        <w:rPr>
          <w:color w:val="auto"/>
        </w:rPr>
        <w:instrText xml:space="preserve"> HYPERLINK \l "_Toc8888" </w:instrText>
      </w:r>
      <w:r>
        <w:rPr>
          <w:color w:val="auto"/>
        </w:rPr>
        <w:fldChar w:fldCharType="separate"/>
      </w:r>
      <w:r>
        <w:rPr>
          <w:rFonts w:hint="eastAsia" w:ascii="宋体" w:hAnsi="宋体" w:eastAsia="宋体" w:cs="宋体"/>
          <w:color w:val="auto"/>
        </w:rPr>
        <w:t>第二章  投标人须知</w:t>
      </w:r>
      <w:r>
        <w:rPr>
          <w:rFonts w:hint="eastAsia" w:ascii="宋体" w:hAnsi="宋体" w:eastAsia="宋体" w:cs="宋体"/>
          <w:color w:val="auto"/>
        </w:rPr>
        <w:tab/>
      </w:r>
      <w:r>
        <w:rPr>
          <w:rFonts w:hint="eastAsia" w:ascii="宋体" w:hAnsi="宋体" w:eastAsia="宋体" w:cs="宋体"/>
          <w:color w:val="auto"/>
          <w:lang w:val="en-US" w:eastAsia="zh-CN"/>
        </w:rPr>
        <w:t>6</w:t>
      </w:r>
      <w:r>
        <w:rPr>
          <w:rFonts w:hint="eastAsia" w:ascii="宋体" w:hAnsi="宋体" w:eastAsia="宋体" w:cs="宋体"/>
          <w:color w:val="auto"/>
        </w:rPr>
        <w:fldChar w:fldCharType="end"/>
      </w:r>
    </w:p>
    <w:p w14:paraId="3CBA2E2E">
      <w:pPr>
        <w:pStyle w:val="19"/>
        <w:tabs>
          <w:tab w:val="right" w:leader="dot" w:pos="8306"/>
        </w:tabs>
        <w:spacing w:line="600" w:lineRule="exact"/>
        <w:jc w:val="center"/>
        <w:rPr>
          <w:rFonts w:hint="eastAsia" w:ascii="宋体" w:hAnsi="宋体" w:eastAsia="宋体" w:cs="宋体"/>
          <w:color w:val="auto"/>
          <w:lang w:val="en-US" w:eastAsia="zh-CN"/>
        </w:rPr>
      </w:pPr>
      <w:r>
        <w:rPr>
          <w:color w:val="auto"/>
        </w:rPr>
        <w:fldChar w:fldCharType="begin"/>
      </w:r>
      <w:r>
        <w:rPr>
          <w:color w:val="auto"/>
        </w:rPr>
        <w:instrText xml:space="preserve"> HYPERLINK \l "_Toc22605" </w:instrText>
      </w:r>
      <w:r>
        <w:rPr>
          <w:color w:val="auto"/>
        </w:rPr>
        <w:fldChar w:fldCharType="separate"/>
      </w:r>
      <w:r>
        <w:rPr>
          <w:rFonts w:hint="eastAsia" w:ascii="宋体" w:hAnsi="宋体" w:eastAsia="宋体" w:cs="宋体"/>
          <w:color w:val="auto"/>
        </w:rPr>
        <w:t>第三章  采购需求</w:t>
      </w:r>
      <w:r>
        <w:rPr>
          <w:rFonts w:hint="eastAsia" w:ascii="宋体" w:hAnsi="宋体" w:eastAsia="宋体" w:cs="宋体"/>
          <w:color w:val="auto"/>
        </w:rPr>
        <w:tab/>
      </w:r>
      <w:r>
        <w:rPr>
          <w:rFonts w:hint="eastAsia" w:ascii="宋体" w:hAnsi="宋体" w:eastAsia="宋体" w:cs="宋体"/>
          <w:color w:val="auto"/>
          <w:lang w:val="en-US" w:eastAsia="zh-CN"/>
        </w:rPr>
        <w:t>1</w:t>
      </w:r>
      <w:r>
        <w:rPr>
          <w:rFonts w:hint="eastAsia" w:ascii="宋体" w:hAnsi="宋体" w:eastAsia="宋体" w:cs="宋体"/>
          <w:color w:val="auto"/>
        </w:rPr>
        <w:fldChar w:fldCharType="end"/>
      </w:r>
      <w:r>
        <w:rPr>
          <w:rFonts w:hint="eastAsia" w:ascii="宋体" w:hAnsi="宋体" w:eastAsia="宋体" w:cs="宋体"/>
          <w:color w:val="auto"/>
          <w:lang w:val="en-US" w:eastAsia="zh-CN"/>
        </w:rPr>
        <w:t>9</w:t>
      </w:r>
    </w:p>
    <w:p w14:paraId="757EB09B">
      <w:pPr>
        <w:pStyle w:val="19"/>
        <w:tabs>
          <w:tab w:val="right" w:leader="dot" w:pos="8306"/>
        </w:tabs>
        <w:spacing w:line="600" w:lineRule="exact"/>
        <w:jc w:val="center"/>
        <w:rPr>
          <w:rFonts w:hint="eastAsia" w:ascii="宋体" w:hAnsi="宋体" w:eastAsia="宋体" w:cs="宋体"/>
          <w:color w:val="auto"/>
          <w:lang w:eastAsia="zh-CN"/>
        </w:rPr>
      </w:pPr>
      <w:r>
        <w:rPr>
          <w:color w:val="auto"/>
        </w:rPr>
        <w:fldChar w:fldCharType="begin"/>
      </w:r>
      <w:r>
        <w:rPr>
          <w:color w:val="auto"/>
        </w:rPr>
        <w:instrText xml:space="preserve"> HYPERLINK \l "_Toc30824" </w:instrText>
      </w:r>
      <w:r>
        <w:rPr>
          <w:color w:val="auto"/>
        </w:rPr>
        <w:fldChar w:fldCharType="separate"/>
      </w:r>
      <w:r>
        <w:rPr>
          <w:rFonts w:hint="eastAsia" w:ascii="宋体" w:hAnsi="宋体" w:eastAsia="宋体" w:cs="宋体"/>
          <w:color w:val="auto"/>
        </w:rPr>
        <w:t>第四章  评标方法和标准（综合评分法）</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r>
        <w:rPr>
          <w:rFonts w:hint="eastAsia" w:ascii="宋体" w:hAnsi="宋体" w:eastAsia="宋体" w:cs="宋体"/>
          <w:color w:val="auto"/>
          <w:lang w:val="en-US" w:eastAsia="zh-CN"/>
        </w:rPr>
        <w:t>1</w:t>
      </w:r>
    </w:p>
    <w:p w14:paraId="5BB633E1">
      <w:pPr>
        <w:pStyle w:val="19"/>
        <w:tabs>
          <w:tab w:val="right" w:leader="dot" w:pos="8306"/>
        </w:tabs>
        <w:spacing w:line="600" w:lineRule="exact"/>
        <w:jc w:val="center"/>
        <w:rPr>
          <w:rFonts w:hint="eastAsia" w:ascii="宋体" w:hAnsi="宋体" w:eastAsia="宋体" w:cs="宋体"/>
          <w:color w:val="auto"/>
          <w:szCs w:val="24"/>
          <w:lang w:val="en-US" w:eastAsia="zh-CN"/>
        </w:rPr>
      </w:pPr>
      <w:r>
        <w:rPr>
          <w:color w:val="auto"/>
        </w:rPr>
        <w:fldChar w:fldCharType="begin"/>
      </w:r>
      <w:r>
        <w:rPr>
          <w:color w:val="auto"/>
        </w:rPr>
        <w:instrText xml:space="preserve"> HYPERLINK \l "_Toc20405" </w:instrText>
      </w:r>
      <w:r>
        <w:rPr>
          <w:color w:val="auto"/>
        </w:rPr>
        <w:fldChar w:fldCharType="separate"/>
      </w:r>
      <w:r>
        <w:rPr>
          <w:rFonts w:hint="eastAsia" w:ascii="宋体" w:hAnsi="宋体" w:eastAsia="宋体" w:cs="宋体"/>
          <w:color w:val="auto"/>
        </w:rPr>
        <w:t>第五章  采购合同</w:t>
      </w:r>
      <w:r>
        <w:rPr>
          <w:rFonts w:hint="eastAsia" w:ascii="宋体" w:hAnsi="宋体" w:eastAsia="宋体" w:cs="宋体"/>
          <w:color w:val="auto"/>
        </w:rPr>
        <w:tab/>
      </w:r>
      <w:r>
        <w:rPr>
          <w:rFonts w:hint="eastAsia" w:ascii="宋体" w:hAnsi="宋体" w:eastAsia="宋体" w:cs="宋体"/>
          <w:color w:val="auto"/>
          <w:lang w:val="en-US" w:eastAsia="zh-CN"/>
        </w:rPr>
        <w:t>2</w:t>
      </w:r>
      <w:r>
        <w:rPr>
          <w:rFonts w:hint="eastAsia" w:ascii="宋体" w:hAnsi="宋体" w:eastAsia="宋体" w:cs="宋体"/>
          <w:color w:val="auto"/>
        </w:rPr>
        <w:fldChar w:fldCharType="end"/>
      </w:r>
      <w:r>
        <w:rPr>
          <w:rFonts w:hint="eastAsia" w:ascii="宋体" w:hAnsi="宋体" w:eastAsia="宋体" w:cs="宋体"/>
          <w:color w:val="auto"/>
          <w:lang w:val="en-US" w:eastAsia="zh-CN"/>
        </w:rPr>
        <w:t>6</w:t>
      </w:r>
    </w:p>
    <w:p w14:paraId="0A637E9C">
      <w:pPr>
        <w:pStyle w:val="19"/>
        <w:tabs>
          <w:tab w:val="right" w:leader="dot" w:pos="8306"/>
        </w:tabs>
        <w:spacing w:line="600" w:lineRule="exact"/>
        <w:jc w:val="center"/>
        <w:rPr>
          <w:rFonts w:hint="eastAsia" w:ascii="宋体" w:hAnsi="宋体" w:eastAsia="宋体" w:cs="宋体"/>
          <w:color w:val="auto"/>
          <w:szCs w:val="24"/>
          <w:lang w:val="en-US" w:eastAsia="zh-CN"/>
        </w:rPr>
      </w:pPr>
      <w:r>
        <w:rPr>
          <w:color w:val="auto"/>
        </w:rPr>
        <w:fldChar w:fldCharType="begin"/>
      </w:r>
      <w:r>
        <w:rPr>
          <w:color w:val="auto"/>
        </w:rPr>
        <w:instrText xml:space="preserve"> HYPERLINK \l "_Toc13555" </w:instrText>
      </w:r>
      <w:r>
        <w:rPr>
          <w:color w:val="auto"/>
        </w:rPr>
        <w:fldChar w:fldCharType="separate"/>
      </w:r>
      <w:r>
        <w:rPr>
          <w:rFonts w:hint="eastAsia" w:ascii="宋体" w:hAnsi="宋体" w:eastAsia="宋体" w:cs="宋体"/>
          <w:color w:val="auto"/>
        </w:rPr>
        <w:t>第六章  投标文件格式</w:t>
      </w:r>
      <w:r>
        <w:rPr>
          <w:rFonts w:hint="eastAsia" w:ascii="宋体" w:hAnsi="宋体" w:eastAsia="宋体" w:cs="宋体"/>
          <w:color w:val="auto"/>
        </w:rPr>
        <w:tab/>
      </w:r>
      <w:r>
        <w:rPr>
          <w:rFonts w:hint="eastAsia" w:ascii="宋体" w:hAnsi="宋体" w:eastAsia="宋体" w:cs="宋体"/>
          <w:color w:val="auto"/>
          <w:lang w:val="en-US" w:eastAsia="zh-CN"/>
        </w:rPr>
        <w:t>3</w:t>
      </w:r>
      <w:r>
        <w:rPr>
          <w:rFonts w:hint="eastAsia" w:ascii="宋体" w:hAnsi="宋体" w:eastAsia="宋体" w:cs="宋体"/>
          <w:color w:val="auto"/>
        </w:rPr>
        <w:fldChar w:fldCharType="end"/>
      </w:r>
      <w:r>
        <w:rPr>
          <w:rFonts w:hint="eastAsia" w:ascii="宋体" w:hAnsi="宋体" w:eastAsia="宋体" w:cs="宋体"/>
          <w:color w:val="auto"/>
          <w:lang w:val="en-US" w:eastAsia="zh-CN"/>
        </w:rPr>
        <w:t>6</w:t>
      </w:r>
    </w:p>
    <w:p w14:paraId="6AC31AA2">
      <w:pPr>
        <w:pStyle w:val="19"/>
        <w:tabs>
          <w:tab w:val="right" w:leader="dot" w:pos="8306"/>
        </w:tabs>
        <w:spacing w:line="600" w:lineRule="exact"/>
        <w:jc w:val="center"/>
        <w:rPr>
          <w:rFonts w:hint="eastAsia" w:ascii="宋体" w:hAnsi="宋体" w:eastAsia="宋体" w:cs="宋体"/>
          <w:color w:val="auto"/>
          <w:szCs w:val="24"/>
          <w:lang w:eastAsia="zh-CN"/>
        </w:rPr>
      </w:pPr>
      <w:r>
        <w:rPr>
          <w:color w:val="auto"/>
        </w:rPr>
        <w:fldChar w:fldCharType="begin"/>
      </w:r>
      <w:r>
        <w:rPr>
          <w:color w:val="auto"/>
        </w:rPr>
        <w:instrText xml:space="preserve"> HYPERLINK \l "_Toc20819" </w:instrText>
      </w:r>
      <w:r>
        <w:rPr>
          <w:color w:val="auto"/>
        </w:rPr>
        <w:fldChar w:fldCharType="separate"/>
      </w:r>
      <w:r>
        <w:rPr>
          <w:rFonts w:hint="eastAsia" w:ascii="宋体" w:hAnsi="宋体" w:eastAsia="宋体" w:cs="宋体"/>
          <w:color w:val="auto"/>
        </w:rPr>
        <w:t>第七章</w:t>
      </w:r>
      <w:r>
        <w:rPr>
          <w:rFonts w:hint="eastAsia" w:ascii="宋体" w:hAnsi="宋体" w:eastAsia="宋体" w:cs="宋体"/>
          <w:bCs/>
          <w:color w:val="auto"/>
        </w:rPr>
        <w:t xml:space="preserve">  政府采购</w:t>
      </w:r>
      <w:r>
        <w:rPr>
          <w:rFonts w:hint="eastAsia" w:ascii="宋体" w:hAnsi="宋体" w:eastAsia="宋体" w:cs="宋体"/>
          <w:color w:val="auto"/>
        </w:rPr>
        <w:t>供应</w:t>
      </w:r>
      <w:r>
        <w:rPr>
          <w:rFonts w:hint="eastAsia" w:ascii="宋体" w:hAnsi="宋体" w:eastAsia="宋体" w:cs="宋体"/>
          <w:bCs/>
          <w:color w:val="auto"/>
        </w:rPr>
        <w:t>商询问函和质疑函范本</w:t>
      </w:r>
      <w:r>
        <w:rPr>
          <w:rFonts w:hint="eastAsia" w:ascii="宋体" w:hAnsi="宋体" w:eastAsia="宋体" w:cs="宋体"/>
          <w:color w:val="auto"/>
        </w:rPr>
        <w:tab/>
      </w:r>
      <w:r>
        <w:rPr>
          <w:rFonts w:hint="eastAsia" w:ascii="宋体" w:hAnsi="宋体" w:eastAsia="宋体" w:cs="宋体"/>
          <w:color w:val="auto"/>
          <w:lang w:val="en-US" w:eastAsia="zh-CN"/>
        </w:rPr>
        <w:t>5</w:t>
      </w:r>
      <w:r>
        <w:rPr>
          <w:rFonts w:hint="eastAsia" w:ascii="宋体" w:hAnsi="宋体" w:eastAsia="宋体" w:cs="宋体"/>
          <w:color w:val="auto"/>
        </w:rPr>
        <w:fldChar w:fldCharType="end"/>
      </w:r>
      <w:r>
        <w:rPr>
          <w:rFonts w:hint="eastAsia" w:ascii="宋体" w:hAnsi="宋体" w:eastAsia="宋体" w:cs="宋体"/>
          <w:color w:val="auto"/>
          <w:lang w:val="en-US" w:eastAsia="zh-CN"/>
        </w:rPr>
        <w:t>1</w:t>
      </w:r>
    </w:p>
    <w:p w14:paraId="5743E563">
      <w:pPr>
        <w:spacing w:line="600" w:lineRule="exact"/>
        <w:jc w:val="center"/>
        <w:rPr>
          <w:rFonts w:ascii="宋体" w:hAnsi="宋体" w:eastAsia="宋体" w:cs="宋体"/>
          <w:b/>
          <w:color w:val="auto"/>
          <w:sz w:val="32"/>
        </w:rPr>
      </w:pPr>
      <w:r>
        <w:rPr>
          <w:rFonts w:hint="eastAsia" w:ascii="宋体" w:hAnsi="宋体" w:eastAsia="宋体" w:cs="宋体"/>
          <w:color w:val="auto"/>
          <w:szCs w:val="24"/>
        </w:rPr>
        <w:fldChar w:fldCharType="end"/>
      </w:r>
    </w:p>
    <w:p w14:paraId="66426126">
      <w:pPr>
        <w:spacing w:line="360" w:lineRule="auto"/>
        <w:rPr>
          <w:rFonts w:ascii="宋体" w:hAnsi="宋体" w:eastAsia="宋体" w:cs="宋体"/>
          <w:b/>
          <w:color w:val="auto"/>
          <w:sz w:val="32"/>
        </w:rPr>
      </w:pPr>
    </w:p>
    <w:p w14:paraId="021F879C">
      <w:pPr>
        <w:spacing w:line="360" w:lineRule="auto"/>
        <w:jc w:val="center"/>
        <w:outlineLvl w:val="1"/>
        <w:rPr>
          <w:rFonts w:ascii="宋体" w:hAnsi="宋体" w:eastAsia="宋体" w:cs="宋体"/>
          <w:b/>
          <w:color w:val="auto"/>
          <w:sz w:val="28"/>
        </w:rPr>
        <w:sectPr>
          <w:headerReference r:id="rId3" w:type="default"/>
          <w:footerReference r:id="rId4" w:type="default"/>
          <w:pgSz w:w="11906" w:h="16838"/>
          <w:pgMar w:top="1134" w:right="1134" w:bottom="1134" w:left="1134" w:header="851" w:footer="992" w:gutter="0"/>
          <w:cols w:space="425" w:num="1"/>
          <w:docGrid w:type="lines" w:linePitch="312" w:charSpace="0"/>
        </w:sectPr>
      </w:pPr>
    </w:p>
    <w:p w14:paraId="4054AB71">
      <w:pPr>
        <w:keepNext/>
        <w:keepLines/>
        <w:pageBreakBefore w:val="0"/>
        <w:widowControl w:val="0"/>
        <w:kinsoku/>
        <w:wordWrap w:val="0"/>
        <w:overflowPunct/>
        <w:topLinePunct w:val="0"/>
        <w:autoSpaceDE/>
        <w:autoSpaceDN/>
        <w:bidi w:val="0"/>
        <w:adjustRightInd/>
        <w:snapToGrid/>
        <w:spacing w:line="240" w:lineRule="auto"/>
        <w:ind w:firstLine="562" w:firstLineChars="200"/>
        <w:jc w:val="center"/>
        <w:textAlignment w:val="auto"/>
        <w:rPr>
          <w:rFonts w:hint="eastAsia" w:ascii="宋体" w:hAnsi="宋体" w:eastAsia="宋体" w:cs="宋体"/>
          <w:b/>
          <w:bCs/>
          <w:color w:val="auto"/>
          <w:kern w:val="2"/>
          <w:sz w:val="28"/>
          <w:szCs w:val="28"/>
          <w:highlight w:val="none"/>
          <w:lang w:val="en-US" w:eastAsia="zh-CN" w:bidi="ar"/>
        </w:rPr>
      </w:pPr>
      <w:bookmarkStart w:id="0" w:name="_Toc23993"/>
      <w:bookmarkStart w:id="1" w:name="_Toc11704"/>
      <w:bookmarkStart w:id="2" w:name="_Toc28359002"/>
      <w:bookmarkStart w:id="3" w:name="_Toc31215"/>
      <w:bookmarkStart w:id="4" w:name="_Toc28359079"/>
      <w:bookmarkStart w:id="5" w:name="_Toc35393790"/>
      <w:bookmarkStart w:id="6" w:name="_Toc35393621"/>
      <w:bookmarkStart w:id="7" w:name="_Hlk24379207"/>
      <w:bookmarkStart w:id="8" w:name="_Toc1381"/>
      <w:bookmarkStart w:id="9" w:name="_Toc31518"/>
      <w:r>
        <w:rPr>
          <w:rFonts w:hint="eastAsia" w:ascii="宋体" w:hAnsi="宋体" w:eastAsia="宋体" w:cs="宋体"/>
          <w:b/>
          <w:bCs/>
          <w:color w:val="auto"/>
          <w:kern w:val="2"/>
          <w:sz w:val="28"/>
          <w:szCs w:val="28"/>
          <w:highlight w:val="none"/>
          <w:lang w:val="en-US" w:eastAsia="zh-CN" w:bidi="ar"/>
        </w:rPr>
        <w:t>第一章  投标邀请</w:t>
      </w:r>
    </w:p>
    <w:p w14:paraId="72FAE3FB">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项目概况</w:t>
      </w:r>
    </w:p>
    <w:p w14:paraId="596D9D44">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u w:val="single"/>
          <w:lang w:eastAsia="zh-CN"/>
        </w:rPr>
        <w:t>滁州市2026年琅琊区中小学校长专业能力提升培训项目</w:t>
      </w:r>
      <w:r>
        <w:rPr>
          <w:rFonts w:hint="eastAsia" w:ascii="仿宋" w:hAnsi="仿宋" w:eastAsia="仿宋" w:cs="仿宋"/>
          <w:color w:val="auto"/>
          <w:kern w:val="2"/>
          <w:sz w:val="28"/>
          <w:szCs w:val="28"/>
          <w:highlight w:val="none"/>
          <w:lang w:val="en-US" w:eastAsia="zh-CN" w:bidi="ar"/>
        </w:rPr>
        <w:t>的潜在投标人应在</w:t>
      </w:r>
      <w:r>
        <w:rPr>
          <w:rFonts w:hint="eastAsia" w:ascii="仿宋" w:hAnsi="仿宋" w:eastAsia="仿宋" w:cs="仿宋"/>
          <w:color w:val="auto"/>
          <w:kern w:val="2"/>
          <w:sz w:val="28"/>
          <w:szCs w:val="28"/>
          <w:highlight w:val="none"/>
          <w:u w:val="single"/>
          <w:lang w:val="en-US" w:eastAsia="zh-CN" w:bidi="ar"/>
        </w:rPr>
        <w:t>滁州市琅琊区人民政府（https://www.lyq.gov.cn/）、</w:t>
      </w:r>
      <w:r>
        <w:rPr>
          <w:rFonts w:hint="eastAsia" w:ascii="仿宋" w:hAnsi="仿宋" w:eastAsia="仿宋" w:cs="仿宋"/>
          <w:color w:val="auto"/>
          <w:sz w:val="28"/>
          <w:szCs w:val="28"/>
          <w:highlight w:val="none"/>
          <w:u w:val="single"/>
        </w:rPr>
        <w:t>滁州市城投工程咨询管理有限公司（https://www.czctgczx.com/）</w:t>
      </w:r>
      <w:r>
        <w:rPr>
          <w:rFonts w:hint="eastAsia" w:ascii="仿宋" w:hAnsi="仿宋" w:eastAsia="仿宋" w:cs="仿宋"/>
          <w:color w:val="auto"/>
          <w:kern w:val="2"/>
          <w:sz w:val="28"/>
          <w:szCs w:val="28"/>
          <w:highlight w:val="none"/>
          <w:lang w:val="en-US" w:eastAsia="zh-CN" w:bidi="ar"/>
        </w:rPr>
        <w:t xml:space="preserve">获取招标文件，并于 </w:t>
      </w:r>
      <w:r>
        <w:rPr>
          <w:rFonts w:hint="eastAsia" w:ascii="仿宋" w:hAnsi="仿宋" w:eastAsia="仿宋" w:cs="仿宋"/>
          <w:color w:val="auto"/>
          <w:kern w:val="2"/>
          <w:sz w:val="28"/>
          <w:szCs w:val="28"/>
          <w:highlight w:val="none"/>
          <w:u w:val="single"/>
          <w:lang w:val="en-US" w:eastAsia="zh-CN" w:bidi="ar"/>
        </w:rPr>
        <w:t>2026年05月20日15点00分</w:t>
      </w:r>
      <w:r>
        <w:rPr>
          <w:rFonts w:hint="eastAsia" w:ascii="仿宋" w:hAnsi="仿宋" w:eastAsia="仿宋" w:cs="仿宋"/>
          <w:color w:val="auto"/>
          <w:kern w:val="2"/>
          <w:sz w:val="28"/>
          <w:szCs w:val="28"/>
          <w:highlight w:val="none"/>
          <w:lang w:val="en-US" w:eastAsia="zh-CN" w:bidi="ar"/>
        </w:rPr>
        <w:t>（北京时间）前递交投标文件。</w:t>
      </w:r>
    </w:p>
    <w:p w14:paraId="6E54085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一、项目基本情况</w:t>
      </w:r>
      <w:bookmarkEnd w:id="0"/>
      <w:bookmarkEnd w:id="1"/>
      <w:bookmarkEnd w:id="2"/>
      <w:bookmarkEnd w:id="3"/>
      <w:bookmarkEnd w:id="4"/>
      <w:bookmarkEnd w:id="5"/>
      <w:bookmarkEnd w:id="6"/>
    </w:p>
    <w:bookmarkEnd w:id="7"/>
    <w:p w14:paraId="5E7DDA2B">
      <w:pPr>
        <w:keepNext/>
        <w:keepLines/>
        <w:pageBreakBefore w:val="0"/>
        <w:widowControl w:val="0"/>
        <w:kinsoku/>
        <w:wordWrap w:val="0"/>
        <w:overflowPunct/>
        <w:topLinePunct w:val="0"/>
        <w:autoSpaceDE/>
        <w:autoSpaceDN/>
        <w:bidi w:val="0"/>
        <w:adjustRightInd/>
        <w:snapToGrid/>
        <w:spacing w:line="240" w:lineRule="auto"/>
        <w:ind w:right="-313" w:rightChars="-149" w:firstLine="560" w:firstLineChars="200"/>
        <w:jc w:val="left"/>
        <w:textAlignment w:val="auto"/>
        <w:rPr>
          <w:rFonts w:hint="default" w:ascii="仿宋" w:hAnsi="仿宋" w:eastAsia="仿宋" w:cs="仿宋"/>
          <w:color w:val="auto"/>
          <w:kern w:val="2"/>
          <w:sz w:val="28"/>
          <w:szCs w:val="28"/>
          <w:highlight w:val="none"/>
          <w:lang w:val="en-US" w:bidi="ar"/>
        </w:rPr>
      </w:pPr>
      <w:bookmarkStart w:id="10" w:name="_Toc28359080"/>
      <w:bookmarkStart w:id="11" w:name="_Toc4879"/>
      <w:bookmarkStart w:id="12" w:name="_Toc35393622"/>
      <w:bookmarkStart w:id="13" w:name="_Toc28359003"/>
      <w:bookmarkStart w:id="14" w:name="_Toc35393791"/>
      <w:bookmarkStart w:id="15" w:name="_Toc28004"/>
      <w:r>
        <w:rPr>
          <w:rFonts w:hint="eastAsia" w:ascii="仿宋" w:hAnsi="仿宋" w:eastAsia="仿宋" w:cs="仿宋"/>
          <w:color w:val="auto"/>
          <w:kern w:val="2"/>
          <w:sz w:val="28"/>
          <w:szCs w:val="28"/>
          <w:highlight w:val="none"/>
          <w:lang w:val="en-US" w:eastAsia="zh-CN" w:bidi="ar"/>
        </w:rPr>
        <w:t>项目名称：滁州市2026年琅琊区中小学校长专业能力提升培训项目</w:t>
      </w:r>
    </w:p>
    <w:p w14:paraId="3A737E89">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预算金额：119000.00元</w:t>
      </w:r>
    </w:p>
    <w:p w14:paraId="2F16CBF8">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最高限价：119000.00元，报价超过最高限价的按无效标处理。</w:t>
      </w:r>
    </w:p>
    <w:p w14:paraId="0F82DB04">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采购需求：组织琅琊区内中小学校长专业能力提升、跟岗研修、交流研讨、成果展示。</w:t>
      </w:r>
    </w:p>
    <w:p w14:paraId="50896D37">
      <w:pPr>
        <w:keepNext/>
        <w:keepLines/>
        <w:pageBreakBefore w:val="0"/>
        <w:widowControl w:val="0"/>
        <w:kinsoku/>
        <w:wordWrap w:val="0"/>
        <w:overflowPunct/>
        <w:topLinePunct w:val="0"/>
        <w:autoSpaceDE/>
        <w:autoSpaceDN/>
        <w:bidi w:val="0"/>
        <w:adjustRightInd/>
        <w:snapToGrid/>
        <w:spacing w:line="240" w:lineRule="auto"/>
        <w:ind w:right="-313" w:rightChars="-149" w:firstLine="560" w:firstLineChars="200"/>
        <w:jc w:val="left"/>
        <w:textAlignment w:val="auto"/>
        <w:rPr>
          <w:rFonts w:hint="default"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合同履行期限：合同签订后，按采购人要求在规定时间内开展培训活动。</w:t>
      </w:r>
    </w:p>
    <w:p w14:paraId="09C324C5">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bidi="ar"/>
        </w:rPr>
        <w:t>本项目不接受联合体</w:t>
      </w:r>
      <w:r>
        <w:rPr>
          <w:rFonts w:hint="eastAsia" w:ascii="仿宋" w:hAnsi="仿宋" w:eastAsia="仿宋" w:cs="仿宋"/>
          <w:color w:val="auto"/>
          <w:kern w:val="2"/>
          <w:sz w:val="28"/>
          <w:szCs w:val="28"/>
          <w:highlight w:val="none"/>
          <w:lang w:val="en-US" w:eastAsia="zh-CN" w:bidi="ar"/>
        </w:rPr>
        <w:t>。</w:t>
      </w:r>
    </w:p>
    <w:p w14:paraId="058EC3F6">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bookmarkStart w:id="16" w:name="_Toc30013"/>
      <w:r>
        <w:rPr>
          <w:rFonts w:hint="eastAsia" w:ascii="黑体" w:hAnsi="黑体" w:eastAsia="黑体" w:cs="黑体"/>
          <w:b w:val="0"/>
          <w:color w:val="auto"/>
          <w:sz w:val="28"/>
          <w:szCs w:val="28"/>
          <w:highlight w:val="none"/>
        </w:rPr>
        <w:t>二、申请人的资格要求：</w:t>
      </w:r>
      <w:bookmarkEnd w:id="10"/>
      <w:bookmarkEnd w:id="11"/>
      <w:bookmarkEnd w:id="12"/>
      <w:bookmarkEnd w:id="13"/>
      <w:bookmarkEnd w:id="14"/>
      <w:bookmarkEnd w:id="15"/>
      <w:bookmarkEnd w:id="16"/>
    </w:p>
    <w:p w14:paraId="576AEB10">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bookmarkStart w:id="17" w:name="_Toc28359081"/>
      <w:bookmarkStart w:id="18" w:name="_Toc28359004"/>
      <w:r>
        <w:rPr>
          <w:rFonts w:hint="eastAsia" w:ascii="仿宋" w:hAnsi="仿宋" w:eastAsia="仿宋" w:cs="仿宋"/>
          <w:color w:val="auto"/>
          <w:kern w:val="2"/>
          <w:sz w:val="28"/>
          <w:szCs w:val="28"/>
          <w:highlight w:val="none"/>
          <w:lang w:val="en-US" w:eastAsia="zh-CN" w:bidi="ar"/>
        </w:rPr>
        <w:t>1.投标人须</w:t>
      </w:r>
      <w:bookmarkStart w:id="19" w:name="_Toc28172"/>
      <w:bookmarkStart w:id="20" w:name="_Toc7189"/>
      <w:bookmarkStart w:id="21" w:name="_Toc35393792"/>
      <w:bookmarkStart w:id="22" w:name="_Toc35393623"/>
      <w:bookmarkStart w:id="23" w:name="_Toc2689"/>
      <w:r>
        <w:rPr>
          <w:rFonts w:hint="eastAsia" w:ascii="仿宋" w:hAnsi="仿宋" w:eastAsia="仿宋" w:cs="仿宋"/>
          <w:color w:val="auto"/>
          <w:kern w:val="2"/>
          <w:sz w:val="28"/>
          <w:szCs w:val="28"/>
          <w:highlight w:val="none"/>
          <w:lang w:val="en-US" w:eastAsia="zh-CN" w:bidi="ar"/>
        </w:rPr>
        <w:t>具有独立承担民事责任且具有相应服务能力的企业；</w:t>
      </w:r>
    </w:p>
    <w:p w14:paraId="04B65FE7">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2.信誉要求：投标人存在以下情形之一的，不得被确定为中标人。</w:t>
      </w:r>
    </w:p>
    <w:p w14:paraId="238FDD9A">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①被列入“信用中国”网站“失信被执行人”的;</w:t>
      </w:r>
    </w:p>
    <w:p w14:paraId="344AF178">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②被列入“信用中国”网站“重大税收违法失信主体”的；</w:t>
      </w:r>
    </w:p>
    <w:p w14:paraId="429B4708">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③被列入“信用中国”网站“拖欠农民工工资失信联合惩戒对象名单”的；</w:t>
      </w:r>
    </w:p>
    <w:p w14:paraId="6F6F89C9">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④被列入“信用中国”网站 “严重失信主体名单”的；</w:t>
      </w:r>
    </w:p>
    <w:p w14:paraId="6ADEE0C2">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⑤在“信用中国”网站上披露的仍在公示期的严重失信行为(具体行为类别及判定依据见附件2)的。</w:t>
      </w:r>
    </w:p>
    <w:p w14:paraId="1A0D91C7">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⑥被列入国家企业信用信息公示系统网站“经营异常名录”或者“严重违法失信名单”的。</w:t>
      </w:r>
    </w:p>
    <w:p w14:paraId="566A73EA">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bookmarkStart w:id="24" w:name="OLE_LINK2"/>
      <w:r>
        <w:rPr>
          <w:rFonts w:hint="eastAsia" w:ascii="仿宋" w:hAnsi="仿宋" w:eastAsia="仿宋" w:cs="仿宋"/>
          <w:color w:val="auto"/>
          <w:kern w:val="2"/>
          <w:sz w:val="28"/>
          <w:szCs w:val="28"/>
          <w:highlight w:val="none"/>
          <w:lang w:val="en-US" w:eastAsia="zh-CN" w:bidi="ar"/>
        </w:rPr>
        <w:t>⑦</w:t>
      </w:r>
      <w:bookmarkEnd w:id="24"/>
      <w:r>
        <w:rPr>
          <w:rFonts w:hint="eastAsia" w:ascii="仿宋" w:hAnsi="仿宋" w:eastAsia="仿宋" w:cs="仿宋"/>
          <w:color w:val="auto"/>
          <w:kern w:val="2"/>
          <w:sz w:val="28"/>
          <w:szCs w:val="28"/>
          <w:highlight w:val="none"/>
          <w:lang w:val="en-US" w:eastAsia="zh-CN" w:bidi="ar"/>
        </w:rPr>
        <w:t>前三年有行贿犯罪行为的单位和个人。</w:t>
      </w:r>
    </w:p>
    <w:p w14:paraId="54309DC2">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3.投标人所属分公司、办事处等分支机构存在第2款信誉要求①-⑦项情形之一的，接受其被确定为中标人。</w:t>
      </w:r>
    </w:p>
    <w:p w14:paraId="2173EE73">
      <w:pPr>
        <w:keepNext/>
        <w:keepLines/>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
        </w:rPr>
        <w:t>备注：第2、3条按照附件1“关于联合惩戒失信行为加强信用查询管理的通知”查询或承诺。</w:t>
      </w:r>
    </w:p>
    <w:p w14:paraId="4D43E24E">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r>
        <w:rPr>
          <w:rFonts w:hint="eastAsia" w:ascii="黑体" w:hAnsi="黑体" w:eastAsia="黑体" w:cs="黑体"/>
          <w:b w:val="0"/>
          <w:color w:val="auto"/>
          <w:sz w:val="28"/>
          <w:szCs w:val="28"/>
          <w:highlight w:val="none"/>
        </w:rPr>
        <w:t>三、获取</w:t>
      </w:r>
      <w:bookmarkEnd w:id="17"/>
      <w:bookmarkEnd w:id="18"/>
      <w:bookmarkEnd w:id="19"/>
      <w:bookmarkEnd w:id="20"/>
      <w:bookmarkEnd w:id="21"/>
      <w:bookmarkEnd w:id="22"/>
      <w:bookmarkEnd w:id="23"/>
      <w:r>
        <w:rPr>
          <w:rFonts w:hint="eastAsia" w:ascii="黑体" w:hAnsi="黑体" w:eastAsia="黑体" w:cs="黑体"/>
          <w:b w:val="0"/>
          <w:color w:val="auto"/>
          <w:sz w:val="28"/>
          <w:szCs w:val="28"/>
          <w:highlight w:val="none"/>
          <w:lang w:eastAsia="zh-CN"/>
        </w:rPr>
        <w:t>招标文件</w:t>
      </w:r>
    </w:p>
    <w:p w14:paraId="76C0AC24">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w:t>
      </w:r>
      <w:r>
        <w:rPr>
          <w:rFonts w:hint="eastAsia" w:ascii="仿宋" w:hAnsi="仿宋" w:eastAsia="仿宋" w:cs="仿宋"/>
          <w:color w:val="auto"/>
          <w:sz w:val="28"/>
          <w:szCs w:val="28"/>
          <w:highlight w:val="none"/>
          <w:u w:val="single"/>
          <w:lang w:eastAsia="zh-CN" w:bidi="ar"/>
        </w:rPr>
        <w:t>2026</w:t>
      </w:r>
      <w:r>
        <w:rPr>
          <w:rFonts w:hint="eastAsia" w:ascii="仿宋" w:hAnsi="仿宋" w:eastAsia="仿宋" w:cs="仿宋"/>
          <w:color w:val="auto"/>
          <w:sz w:val="28"/>
          <w:szCs w:val="28"/>
          <w:highlight w:val="none"/>
          <w:u w:val="single"/>
          <w:lang w:bidi="ar"/>
        </w:rPr>
        <w:t>年</w:t>
      </w:r>
      <w:r>
        <w:rPr>
          <w:rFonts w:hint="eastAsia" w:ascii="仿宋" w:hAnsi="仿宋" w:eastAsia="仿宋" w:cs="仿宋"/>
          <w:color w:val="auto"/>
          <w:sz w:val="28"/>
          <w:szCs w:val="28"/>
          <w:highlight w:val="none"/>
          <w:u w:val="single"/>
          <w:lang w:val="en-US" w:eastAsia="zh-CN" w:bidi="ar"/>
        </w:rPr>
        <w:t>05</w:t>
      </w:r>
      <w:r>
        <w:rPr>
          <w:rFonts w:hint="eastAsia" w:ascii="仿宋" w:hAnsi="仿宋" w:eastAsia="仿宋" w:cs="仿宋"/>
          <w:color w:val="auto"/>
          <w:sz w:val="28"/>
          <w:szCs w:val="28"/>
          <w:highlight w:val="none"/>
          <w:u w:val="single"/>
          <w:lang w:bidi="ar"/>
        </w:rPr>
        <w:t>月</w:t>
      </w:r>
      <w:r>
        <w:rPr>
          <w:rFonts w:hint="eastAsia" w:ascii="仿宋" w:hAnsi="仿宋" w:eastAsia="仿宋" w:cs="宋体"/>
          <w:color w:val="auto"/>
          <w:sz w:val="28"/>
          <w:szCs w:val="28"/>
          <w:highlight w:val="none"/>
          <w:u w:val="single"/>
          <w:lang w:val="en-US" w:eastAsia="zh-CN" w:bidi="ar"/>
        </w:rPr>
        <w:t>13</w:t>
      </w:r>
      <w:r>
        <w:rPr>
          <w:rFonts w:hint="eastAsia" w:ascii="仿宋" w:hAnsi="仿宋" w:eastAsia="仿宋" w:cs="仿宋"/>
          <w:color w:val="auto"/>
          <w:sz w:val="28"/>
          <w:szCs w:val="28"/>
          <w:highlight w:val="none"/>
          <w:u w:val="single"/>
          <w:lang w:bidi="ar"/>
        </w:rPr>
        <w:t>日</w:t>
      </w:r>
      <w:r>
        <w:rPr>
          <w:rFonts w:hint="eastAsia" w:ascii="仿宋" w:hAnsi="仿宋" w:eastAsia="仿宋" w:cs="仿宋"/>
          <w:color w:val="auto"/>
          <w:sz w:val="28"/>
          <w:szCs w:val="28"/>
          <w:highlight w:val="none"/>
          <w:lang w:bidi="ar"/>
        </w:rPr>
        <w:t>至</w:t>
      </w:r>
      <w:r>
        <w:rPr>
          <w:rFonts w:hint="eastAsia" w:ascii="仿宋" w:hAnsi="仿宋" w:eastAsia="仿宋" w:cs="仿宋"/>
          <w:color w:val="auto"/>
          <w:sz w:val="28"/>
          <w:szCs w:val="28"/>
          <w:highlight w:val="none"/>
          <w:u w:val="single"/>
          <w:lang w:eastAsia="zh-CN" w:bidi="ar"/>
        </w:rPr>
        <w:t>2026</w:t>
      </w:r>
      <w:r>
        <w:rPr>
          <w:rFonts w:hint="eastAsia" w:ascii="仿宋" w:hAnsi="仿宋" w:eastAsia="仿宋" w:cs="仿宋"/>
          <w:color w:val="auto"/>
          <w:sz w:val="28"/>
          <w:szCs w:val="28"/>
          <w:highlight w:val="none"/>
          <w:u w:val="single"/>
          <w:lang w:bidi="ar"/>
        </w:rPr>
        <w:t>年</w:t>
      </w:r>
      <w:r>
        <w:rPr>
          <w:rFonts w:hint="eastAsia" w:ascii="仿宋" w:hAnsi="仿宋" w:eastAsia="仿宋" w:cs="仿宋"/>
          <w:color w:val="auto"/>
          <w:sz w:val="28"/>
          <w:szCs w:val="28"/>
          <w:highlight w:val="none"/>
          <w:u w:val="single"/>
          <w:lang w:val="en-US" w:eastAsia="zh-CN" w:bidi="ar"/>
        </w:rPr>
        <w:t>05</w:t>
      </w:r>
      <w:r>
        <w:rPr>
          <w:rFonts w:hint="eastAsia" w:ascii="仿宋" w:hAnsi="仿宋" w:eastAsia="仿宋" w:cs="仿宋"/>
          <w:color w:val="auto"/>
          <w:sz w:val="28"/>
          <w:szCs w:val="28"/>
          <w:highlight w:val="none"/>
          <w:u w:val="single"/>
          <w:lang w:bidi="ar"/>
        </w:rPr>
        <w:t>月</w:t>
      </w:r>
      <w:r>
        <w:rPr>
          <w:rFonts w:hint="eastAsia" w:ascii="仿宋" w:hAnsi="仿宋" w:eastAsia="仿宋" w:cs="宋体"/>
          <w:color w:val="auto"/>
          <w:sz w:val="28"/>
          <w:szCs w:val="28"/>
          <w:highlight w:val="none"/>
          <w:u w:val="single"/>
          <w:lang w:val="en-US" w:eastAsia="zh-CN" w:bidi="ar"/>
        </w:rPr>
        <w:t>20</w:t>
      </w:r>
      <w:r>
        <w:rPr>
          <w:rFonts w:hint="eastAsia" w:ascii="仿宋" w:hAnsi="仿宋" w:eastAsia="仿宋" w:cs="仿宋"/>
          <w:color w:val="auto"/>
          <w:sz w:val="28"/>
          <w:szCs w:val="28"/>
          <w:highlight w:val="none"/>
          <w:u w:val="single"/>
          <w:lang w:bidi="ar"/>
        </w:rPr>
        <w:t>日</w:t>
      </w:r>
    </w:p>
    <w:p w14:paraId="26313C94">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地点：滁州市琅琊区人民政府（https://www.lyq.gov.cn/）</w:t>
      </w:r>
    </w:p>
    <w:p w14:paraId="1BD21717">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方式：网上下载</w:t>
      </w:r>
    </w:p>
    <w:p w14:paraId="2C3334AE">
      <w:pPr>
        <w:keepNext w:val="0"/>
        <w:keepLines w:val="0"/>
        <w:pageBreakBefore w:val="0"/>
        <w:widowControl/>
        <w:kinsoku/>
        <w:wordWrap/>
        <w:overflowPunct/>
        <w:topLinePunct w:val="0"/>
        <w:autoSpaceDE/>
        <w:autoSpaceDN/>
        <w:bidi w:val="0"/>
        <w:adjustRightInd/>
        <w:snapToGrid/>
        <w:spacing w:line="240" w:lineRule="auto"/>
        <w:ind w:firstLine="539"/>
        <w:jc w:val="left"/>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售价：0元。</w:t>
      </w:r>
    </w:p>
    <w:p w14:paraId="421401A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82"/>
      <w:bookmarkStart w:id="26" w:name="_Toc28359005"/>
      <w:bookmarkStart w:id="27" w:name="_Toc23486"/>
      <w:bookmarkStart w:id="28" w:name="_Toc35393624"/>
      <w:bookmarkStart w:id="29" w:name="_Toc35393793"/>
      <w:bookmarkStart w:id="30" w:name="_Toc6135"/>
      <w:bookmarkStart w:id="31" w:name="_Toc19139"/>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1980CEF1">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default" w:ascii="仿宋" w:hAnsi="仿宋" w:eastAsia="仿宋" w:cs="仿宋"/>
          <w:b w:val="0"/>
          <w:bCs w:val="0"/>
          <w:color w:val="auto"/>
          <w:sz w:val="28"/>
          <w:szCs w:val="28"/>
          <w:highlight w:val="none"/>
          <w:lang w:val="en-US" w:eastAsia="zh-CN"/>
        </w:rPr>
      </w:pPr>
      <w:bookmarkStart w:id="32" w:name="_Toc5602"/>
      <w:bookmarkStart w:id="33" w:name="_Toc28359084"/>
      <w:bookmarkStart w:id="34" w:name="_Toc1913"/>
      <w:bookmarkStart w:id="35" w:name="_Toc28359007"/>
      <w:bookmarkStart w:id="36" w:name="_Toc19623"/>
      <w:bookmarkStart w:id="37" w:name="_Toc35393625"/>
      <w:bookmarkStart w:id="38" w:name="_Toc35393794"/>
      <w:r>
        <w:rPr>
          <w:rFonts w:hint="eastAsia" w:ascii="仿宋" w:hAnsi="仿宋" w:eastAsia="仿宋" w:cs="仿宋"/>
          <w:b w:val="0"/>
          <w:bCs w:val="0"/>
          <w:color w:val="auto"/>
          <w:sz w:val="28"/>
          <w:szCs w:val="28"/>
          <w:highlight w:val="none"/>
          <w:lang w:val="en-US" w:eastAsia="zh-CN"/>
        </w:rPr>
        <w:t>时间：</w:t>
      </w:r>
      <w:r>
        <w:rPr>
          <w:rFonts w:hint="eastAsia" w:ascii="仿宋" w:hAnsi="仿宋" w:eastAsia="仿宋" w:cs="仿宋"/>
          <w:color w:val="auto"/>
          <w:kern w:val="0"/>
          <w:sz w:val="28"/>
          <w:szCs w:val="28"/>
          <w:highlight w:val="none"/>
          <w:lang w:eastAsia="zh-CN" w:bidi="ar"/>
        </w:rPr>
        <w:t>2026</w:t>
      </w:r>
      <w:r>
        <w:rPr>
          <w:rFonts w:hint="eastAsia" w:ascii="仿宋" w:hAnsi="仿宋" w:eastAsia="仿宋" w:cs="仿宋"/>
          <w:color w:val="auto"/>
          <w:kern w:val="0"/>
          <w:sz w:val="28"/>
          <w:szCs w:val="28"/>
          <w:highlight w:val="none"/>
          <w:lang w:bidi="ar"/>
        </w:rPr>
        <w:t>年</w:t>
      </w:r>
      <w:r>
        <w:rPr>
          <w:rFonts w:hint="eastAsia" w:ascii="仿宋" w:hAnsi="仿宋" w:eastAsia="仿宋" w:cs="仿宋"/>
          <w:color w:val="auto"/>
          <w:kern w:val="0"/>
          <w:sz w:val="28"/>
          <w:szCs w:val="28"/>
          <w:highlight w:val="none"/>
          <w:lang w:val="en-US" w:eastAsia="zh-CN" w:bidi="ar"/>
        </w:rPr>
        <w:t>05</w:t>
      </w:r>
      <w:r>
        <w:rPr>
          <w:rFonts w:hint="eastAsia" w:ascii="仿宋" w:hAnsi="仿宋" w:eastAsia="仿宋" w:cs="仿宋"/>
          <w:color w:val="auto"/>
          <w:kern w:val="0"/>
          <w:sz w:val="28"/>
          <w:szCs w:val="28"/>
          <w:highlight w:val="none"/>
          <w:lang w:bidi="ar"/>
        </w:rPr>
        <w:t>月</w:t>
      </w:r>
      <w:r>
        <w:rPr>
          <w:rFonts w:hint="eastAsia" w:ascii="仿宋" w:hAnsi="仿宋" w:eastAsia="仿宋" w:cs="宋体"/>
          <w:color w:val="auto"/>
          <w:kern w:val="0"/>
          <w:sz w:val="28"/>
          <w:szCs w:val="28"/>
          <w:highlight w:val="none"/>
          <w:lang w:val="en-US" w:eastAsia="zh-CN" w:bidi="ar"/>
        </w:rPr>
        <w:t>20</w:t>
      </w:r>
      <w:r>
        <w:rPr>
          <w:rFonts w:hint="eastAsia" w:ascii="仿宋" w:hAnsi="仿宋" w:eastAsia="仿宋" w:cs="仿宋"/>
          <w:color w:val="auto"/>
          <w:kern w:val="0"/>
          <w:sz w:val="28"/>
          <w:szCs w:val="28"/>
          <w:highlight w:val="none"/>
          <w:lang w:bidi="ar"/>
        </w:rPr>
        <w:t>日</w:t>
      </w:r>
      <w:r>
        <w:rPr>
          <w:rFonts w:hint="eastAsia" w:ascii="仿宋" w:hAnsi="仿宋" w:eastAsia="仿宋" w:cs="仿宋"/>
          <w:color w:val="auto"/>
          <w:kern w:val="0"/>
          <w:sz w:val="28"/>
          <w:szCs w:val="28"/>
          <w:highlight w:val="none"/>
          <w:lang w:val="en-US" w:eastAsia="zh-CN" w:bidi="ar"/>
        </w:rPr>
        <w:t>15</w:t>
      </w:r>
      <w:r>
        <w:rPr>
          <w:rFonts w:hint="eastAsia" w:ascii="仿宋" w:hAnsi="仿宋" w:eastAsia="仿宋" w:cs="仿宋"/>
          <w:color w:val="auto"/>
          <w:kern w:val="0"/>
          <w:sz w:val="28"/>
          <w:szCs w:val="28"/>
          <w:highlight w:val="none"/>
          <w:lang w:bidi="ar"/>
        </w:rPr>
        <w:t>点</w:t>
      </w:r>
      <w:r>
        <w:rPr>
          <w:rFonts w:hint="eastAsia" w:ascii="仿宋" w:hAnsi="仿宋" w:eastAsia="仿宋" w:cs="仿宋"/>
          <w:color w:val="auto"/>
          <w:kern w:val="0"/>
          <w:sz w:val="28"/>
          <w:szCs w:val="28"/>
          <w:highlight w:val="none"/>
          <w:lang w:val="en-US" w:eastAsia="zh-CN" w:bidi="ar"/>
        </w:rPr>
        <w:t>00</w:t>
      </w:r>
      <w:r>
        <w:rPr>
          <w:rFonts w:hint="eastAsia" w:ascii="仿宋" w:hAnsi="仿宋" w:eastAsia="仿宋" w:cs="仿宋"/>
          <w:color w:val="auto"/>
          <w:kern w:val="0"/>
          <w:sz w:val="28"/>
          <w:szCs w:val="28"/>
          <w:highlight w:val="none"/>
          <w:lang w:bidi="ar"/>
        </w:rPr>
        <w:t>分（北京时间）</w:t>
      </w:r>
    </w:p>
    <w:p w14:paraId="4046932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地点：滁州市龙蟠大道109号房产商务大厦6楼603会议室</w:t>
      </w:r>
    </w:p>
    <w:bookmarkEnd w:id="32"/>
    <w:bookmarkEnd w:id="33"/>
    <w:bookmarkEnd w:id="34"/>
    <w:bookmarkEnd w:id="35"/>
    <w:bookmarkEnd w:id="36"/>
    <w:bookmarkEnd w:id="37"/>
    <w:bookmarkEnd w:id="38"/>
    <w:p w14:paraId="33C74E7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五</w:t>
      </w:r>
      <w:r>
        <w:rPr>
          <w:rFonts w:hint="eastAsia" w:ascii="黑体" w:hAnsi="黑体" w:eastAsia="黑体" w:cs="黑体"/>
          <w:b w:val="0"/>
          <w:color w:val="auto"/>
          <w:sz w:val="28"/>
          <w:szCs w:val="28"/>
          <w:highlight w:val="none"/>
        </w:rPr>
        <w:t>、投标保证金金额及缴纳账户</w:t>
      </w:r>
    </w:p>
    <w:p w14:paraId="0142A22F">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baseline"/>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4E8A1AF7">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六</w:t>
      </w:r>
      <w:r>
        <w:rPr>
          <w:rFonts w:hint="eastAsia" w:ascii="黑体" w:hAnsi="黑体" w:eastAsia="黑体" w:cs="黑体"/>
          <w:b w:val="0"/>
          <w:color w:val="auto"/>
          <w:sz w:val="28"/>
          <w:szCs w:val="28"/>
          <w:highlight w:val="none"/>
        </w:rPr>
        <w:t>、对本次招标提出询问，请按以下方式联系</w:t>
      </w:r>
    </w:p>
    <w:p w14:paraId="13A20F2B">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招标人</w:t>
      </w:r>
      <w:r>
        <w:rPr>
          <w:rFonts w:hint="eastAsia" w:ascii="仿宋" w:hAnsi="仿宋" w:eastAsia="仿宋" w:cs="仿宋"/>
          <w:color w:val="auto"/>
          <w:sz w:val="28"/>
          <w:szCs w:val="28"/>
          <w:highlight w:val="none"/>
        </w:rPr>
        <w:t>信息</w:t>
      </w:r>
    </w:p>
    <w:p w14:paraId="1694FEC6">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名称：滁州市第二小学</w:t>
      </w:r>
    </w:p>
    <w:p w14:paraId="27A4B390">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地址：安徽省滁州市琅琊区定远路346号</w:t>
      </w:r>
    </w:p>
    <w:p w14:paraId="79B30C3B">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w:t>
      </w:r>
      <w:bookmarkStart w:id="39" w:name="_Toc28359009"/>
      <w:bookmarkStart w:id="40" w:name="_Toc28359086"/>
      <w:r>
        <w:rPr>
          <w:rFonts w:hint="eastAsia" w:ascii="仿宋" w:hAnsi="仿宋" w:eastAsia="仿宋" w:cs="仿宋"/>
          <w:color w:val="auto"/>
          <w:sz w:val="28"/>
          <w:szCs w:val="28"/>
          <w:highlight w:val="none"/>
          <w:lang w:val="en-US" w:eastAsia="zh-CN"/>
        </w:rPr>
        <w:t xml:space="preserve">彭老师18019817678  </w:t>
      </w:r>
    </w:p>
    <w:p w14:paraId="2D3E4675">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5D5BF6E6">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仿宋" w:hAnsi="仿宋" w:eastAsia="仿宋" w:cs="仿宋"/>
          <w:color w:val="auto"/>
          <w:sz w:val="28"/>
          <w:szCs w:val="28"/>
          <w:highlight w:val="none"/>
          <w:u w:val="none"/>
          <w:lang w:val="en-US" w:eastAsia="zh-CN"/>
        </w:rPr>
      </w:pPr>
      <w:bookmarkStart w:id="41" w:name="_Toc28359010"/>
      <w:bookmarkStart w:id="42" w:name="_Toc28359087"/>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7ED6C503">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p>
    <w:p w14:paraId="25410904">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eastAsia"/>
          <w:color w:val="auto"/>
          <w:highlight w:val="non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毕玉</w:t>
      </w:r>
      <w:bookmarkEnd w:id="41"/>
      <w:bookmarkEnd w:id="42"/>
      <w:r>
        <w:rPr>
          <w:rFonts w:hint="eastAsia" w:ascii="仿宋" w:hAnsi="仿宋" w:eastAsia="仿宋" w:cs="仿宋"/>
          <w:color w:val="auto"/>
          <w:sz w:val="28"/>
          <w:szCs w:val="28"/>
          <w:highlight w:val="none"/>
          <w:lang w:val="en-US" w:eastAsia="zh-CN"/>
        </w:rPr>
        <w:t>0550-3519598、15850543568</w:t>
      </w:r>
    </w:p>
    <w:p w14:paraId="2756D5DE">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color w:val="auto"/>
          <w:sz w:val="28"/>
          <w:szCs w:val="28"/>
        </w:rPr>
      </w:pPr>
    </w:p>
    <w:p w14:paraId="340FB1B5">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color w:val="auto"/>
          <w:sz w:val="28"/>
          <w:szCs w:val="28"/>
        </w:rPr>
      </w:pPr>
    </w:p>
    <w:p w14:paraId="3894563E">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color w:val="auto"/>
          <w:sz w:val="28"/>
          <w:szCs w:val="28"/>
        </w:rPr>
      </w:pPr>
    </w:p>
    <w:p w14:paraId="25EA2031">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color w:val="auto"/>
          <w:sz w:val="28"/>
          <w:szCs w:val="28"/>
        </w:rPr>
      </w:pPr>
    </w:p>
    <w:p w14:paraId="5F4EFEC6">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color w:val="auto"/>
          <w:sz w:val="28"/>
          <w:szCs w:val="28"/>
        </w:rPr>
      </w:pPr>
    </w:p>
    <w:p w14:paraId="25C7BDAC">
      <w:pPr>
        <w:keepNext w:val="0"/>
        <w:keepLines w:val="0"/>
        <w:pageBreakBefore w:val="0"/>
        <w:widowControl w:val="0"/>
        <w:kinsoku/>
        <w:wordWrap/>
        <w:overflowPunct/>
        <w:topLinePunct w:val="0"/>
        <w:autoSpaceDE/>
        <w:autoSpaceDN/>
        <w:bidi w:val="0"/>
        <w:adjustRightInd/>
        <w:snapToGrid/>
        <w:spacing w:line="240" w:lineRule="auto"/>
        <w:ind w:firstLine="437"/>
        <w:textAlignment w:val="auto"/>
        <w:rPr>
          <w:rFonts w:hint="eastAsia" w:ascii="仿宋" w:hAnsi="仿宋" w:eastAsia="仿宋" w:cs="仿宋"/>
          <w:color w:val="auto"/>
          <w:sz w:val="28"/>
          <w:szCs w:val="28"/>
        </w:rPr>
      </w:pPr>
    </w:p>
    <w:bookmarkEnd w:id="8"/>
    <w:bookmarkEnd w:id="9"/>
    <w:p w14:paraId="11C70188">
      <w:pPr>
        <w:rPr>
          <w:rFonts w:hint="eastAsia" w:ascii="宋体" w:hAnsi="宋体" w:eastAsia="宋体" w:cs="宋体"/>
          <w:b/>
          <w:color w:val="auto"/>
          <w:sz w:val="28"/>
        </w:rPr>
      </w:pPr>
      <w:bookmarkStart w:id="43" w:name="_Toc8888"/>
      <w:r>
        <w:rPr>
          <w:rFonts w:hint="eastAsia" w:ascii="宋体" w:hAnsi="宋体" w:eastAsia="宋体" w:cs="宋体"/>
          <w:b/>
          <w:color w:val="auto"/>
          <w:sz w:val="28"/>
        </w:rPr>
        <w:br w:type="page"/>
      </w:r>
    </w:p>
    <w:p w14:paraId="4A4BACD0">
      <w:pPr>
        <w:spacing w:line="360" w:lineRule="auto"/>
        <w:jc w:val="center"/>
        <w:outlineLvl w:val="0"/>
        <w:rPr>
          <w:rFonts w:ascii="宋体" w:hAnsi="宋体" w:eastAsia="宋体" w:cs="宋体"/>
          <w:b/>
          <w:color w:val="auto"/>
          <w:sz w:val="28"/>
        </w:rPr>
      </w:pPr>
      <w:r>
        <w:rPr>
          <w:rFonts w:hint="eastAsia" w:ascii="宋体" w:hAnsi="宋体" w:eastAsia="宋体" w:cs="宋体"/>
          <w:b/>
          <w:color w:val="auto"/>
          <w:sz w:val="28"/>
        </w:rPr>
        <w:t>第二章  投标人须知</w:t>
      </w:r>
      <w:bookmarkEnd w:id="43"/>
    </w:p>
    <w:p w14:paraId="6FB0836F">
      <w:pPr>
        <w:spacing w:line="360" w:lineRule="auto"/>
        <w:jc w:val="center"/>
        <w:outlineLvl w:val="1"/>
        <w:rPr>
          <w:rFonts w:ascii="宋体" w:hAnsi="宋体" w:eastAsia="宋体" w:cs="宋体"/>
          <w:b/>
          <w:color w:val="auto"/>
          <w:sz w:val="24"/>
        </w:rPr>
      </w:pPr>
      <w:bookmarkStart w:id="44" w:name="_Toc13589"/>
      <w:bookmarkStart w:id="45" w:name="_Toc7178"/>
      <w:r>
        <w:rPr>
          <w:rFonts w:hint="eastAsia" w:ascii="宋体" w:hAnsi="宋体" w:eastAsia="宋体" w:cs="宋体"/>
          <w:b/>
          <w:color w:val="auto"/>
          <w:sz w:val="24"/>
        </w:rPr>
        <w:t>一、投标人须知前附表</w:t>
      </w:r>
      <w:bookmarkEnd w:id="44"/>
      <w:bookmarkEnd w:id="45"/>
    </w:p>
    <w:p w14:paraId="1058794A">
      <w:pPr>
        <w:keepNext w:val="0"/>
        <w:keepLines w:val="0"/>
        <w:pageBreakBefore w:val="0"/>
        <w:widowControl w:val="0"/>
        <w:kinsoku/>
        <w:wordWrap/>
        <w:overflowPunct/>
        <w:topLinePunct w:val="0"/>
        <w:autoSpaceDE/>
        <w:autoSpaceDN/>
        <w:bidi w:val="0"/>
        <w:spacing w:line="500" w:lineRule="exact"/>
        <w:ind w:firstLine="435"/>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宋体" w:hAnsi="宋体" w:eastAsia="宋体" w:cs="宋体"/>
          <w:color w:val="auto"/>
          <w:sz w:val="24"/>
          <w:szCs w:val="24"/>
        </w:rPr>
        <w:t>本表是本项目的具体要求，是对投标人须知的具体补充和修改，如有不一致，以本表为准。</w:t>
      </w:r>
    </w:p>
    <w:tbl>
      <w:tblPr>
        <w:tblStyle w:val="28"/>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708"/>
        <w:gridCol w:w="6727"/>
      </w:tblGrid>
      <w:tr w14:paraId="23BB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56B10F08">
            <w:pPr>
              <w:pStyle w:val="46"/>
              <w:keepNext w:val="0"/>
              <w:keepLines w:val="0"/>
              <w:pageBreakBefore w:val="0"/>
              <w:widowControl w:val="0"/>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条款号</w:t>
            </w:r>
          </w:p>
        </w:tc>
        <w:tc>
          <w:tcPr>
            <w:tcW w:w="2708" w:type="dxa"/>
            <w:vAlign w:val="center"/>
          </w:tcPr>
          <w:p w14:paraId="776DD78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条款名称</w:t>
            </w:r>
          </w:p>
        </w:tc>
        <w:tc>
          <w:tcPr>
            <w:tcW w:w="6727" w:type="dxa"/>
            <w:vAlign w:val="center"/>
          </w:tcPr>
          <w:p w14:paraId="2322528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textAlignment w:val="auto"/>
              <w:rPr>
                <w:rFonts w:hint="eastAsia" w:ascii="宋体" w:hAnsi="宋体" w:eastAsia="宋体" w:cs="宋体"/>
                <w:bCs w:val="0"/>
                <w:color w:val="auto"/>
                <w:kern w:val="2"/>
                <w:sz w:val="24"/>
                <w:szCs w:val="24"/>
              </w:rPr>
            </w:pPr>
            <w:r>
              <w:rPr>
                <w:rFonts w:hint="eastAsia" w:ascii="宋体" w:hAnsi="宋体" w:eastAsia="宋体" w:cs="宋体"/>
                <w:bCs w:val="0"/>
                <w:color w:val="auto"/>
                <w:kern w:val="2"/>
                <w:sz w:val="24"/>
                <w:szCs w:val="24"/>
              </w:rPr>
              <w:t>内容、说明与要求</w:t>
            </w:r>
          </w:p>
        </w:tc>
      </w:tr>
      <w:tr w14:paraId="113D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CA173A6">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2.5</w:t>
            </w:r>
          </w:p>
        </w:tc>
        <w:tc>
          <w:tcPr>
            <w:tcW w:w="2708" w:type="dxa"/>
            <w:vAlign w:val="center"/>
          </w:tcPr>
          <w:p w14:paraId="21028F5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rPr>
              <w:t>现场考察或标前答疑会</w:t>
            </w:r>
          </w:p>
        </w:tc>
        <w:tc>
          <w:tcPr>
            <w:tcW w:w="6727" w:type="dxa"/>
            <w:vAlign w:val="center"/>
          </w:tcPr>
          <w:p w14:paraId="1ED0EE8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color w:val="auto"/>
                <w:sz w:val="24"/>
                <w:szCs w:val="24"/>
              </w:rPr>
              <w:t>不组织或不召开</w:t>
            </w:r>
          </w:p>
          <w:p w14:paraId="3B2669E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统一组织或统一召开</w:t>
            </w:r>
          </w:p>
          <w:p w14:paraId="4943D52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时间：</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日</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时</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分</w:t>
            </w:r>
          </w:p>
          <w:p w14:paraId="1BD0ACF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w:t>
            </w:r>
          </w:p>
          <w:p w14:paraId="05F4102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sz w:val="24"/>
                <w:szCs w:val="24"/>
                <w:u w:val="single"/>
              </w:rPr>
            </w:pPr>
            <w:r>
              <w:rPr>
                <w:rFonts w:hint="eastAsia" w:ascii="宋体" w:hAnsi="宋体" w:eastAsia="宋体" w:cs="宋体"/>
                <w:bCs/>
                <w:color w:val="auto"/>
                <w:sz w:val="24"/>
                <w:szCs w:val="24"/>
              </w:rPr>
              <w:t>联系人及联系电话：</w:t>
            </w:r>
            <w:r>
              <w:rPr>
                <w:rFonts w:hint="eastAsia" w:ascii="宋体" w:hAnsi="宋体" w:eastAsia="宋体" w:cs="宋体"/>
                <w:bCs/>
                <w:color w:val="auto"/>
                <w:sz w:val="24"/>
                <w:szCs w:val="24"/>
                <w:u w:val="single"/>
              </w:rPr>
              <w:t>/</w:t>
            </w:r>
          </w:p>
          <w:p w14:paraId="77DB285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Cs w:val="0"/>
                <w:color w:val="auto"/>
                <w:sz w:val="24"/>
                <w:szCs w:val="24"/>
              </w:rPr>
              <w:t>注：如投标人未参加采购人统一组织的现场考察或采购人统一召开的标前答疑会，视同放弃现场考察或标前答疑会，由此引起的一切责任由投标人自行承担。</w:t>
            </w:r>
          </w:p>
        </w:tc>
      </w:tr>
      <w:tr w14:paraId="7A82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4BEA679D">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6.1</w:t>
            </w:r>
          </w:p>
        </w:tc>
        <w:tc>
          <w:tcPr>
            <w:tcW w:w="2708" w:type="dxa"/>
            <w:vAlign w:val="center"/>
          </w:tcPr>
          <w:p w14:paraId="2B6B6C7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询问截止时间</w:t>
            </w:r>
          </w:p>
        </w:tc>
        <w:tc>
          <w:tcPr>
            <w:tcW w:w="6727" w:type="dxa"/>
            <w:vAlign w:val="center"/>
          </w:tcPr>
          <w:p w14:paraId="384C4106">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u w:val="single"/>
                <w:lang w:eastAsia="zh-CN"/>
              </w:rPr>
              <w:t>2026</w:t>
            </w:r>
            <w:r>
              <w:rPr>
                <w:rFonts w:hint="eastAsia" w:ascii="宋体" w:hAnsi="宋体" w:eastAsia="宋体" w:cs="宋体"/>
                <w:b w:val="0"/>
                <w:color w:val="auto"/>
                <w:sz w:val="24"/>
                <w:szCs w:val="24"/>
              </w:rPr>
              <w:t>年</w:t>
            </w:r>
            <w:r>
              <w:rPr>
                <w:rFonts w:hint="eastAsia" w:ascii="宋体" w:hAnsi="宋体" w:eastAsia="宋体" w:cs="宋体"/>
                <w:b w:val="0"/>
                <w:color w:val="auto"/>
                <w:sz w:val="24"/>
                <w:szCs w:val="24"/>
                <w:u w:val="single"/>
                <w:lang w:val="en-US" w:eastAsia="zh-CN"/>
              </w:rPr>
              <w:t xml:space="preserve"> 05 </w:t>
            </w:r>
            <w:r>
              <w:rPr>
                <w:rFonts w:hint="eastAsia" w:ascii="宋体" w:hAnsi="宋体" w:eastAsia="宋体" w:cs="宋体"/>
                <w:b w:val="0"/>
                <w:color w:val="auto"/>
                <w:sz w:val="24"/>
                <w:szCs w:val="24"/>
              </w:rPr>
              <w:t>月</w:t>
            </w:r>
            <w:r>
              <w:rPr>
                <w:rFonts w:hint="eastAsia" w:ascii="宋体" w:hAnsi="宋体" w:eastAsia="宋体" w:cs="宋体"/>
                <w:b w:val="0"/>
                <w:color w:val="auto"/>
                <w:sz w:val="24"/>
                <w:szCs w:val="24"/>
                <w:u w:val="single"/>
                <w:lang w:val="en-US" w:eastAsia="zh-CN"/>
              </w:rPr>
              <w:t xml:space="preserve"> 18</w:t>
            </w:r>
            <w:r>
              <w:rPr>
                <w:rFonts w:hint="eastAsia" w:ascii="宋体" w:hAnsi="宋体" w:eastAsia="宋体" w:cs="宋体"/>
                <w:b w:val="0"/>
                <w:color w:val="auto"/>
                <w:sz w:val="24"/>
                <w:szCs w:val="24"/>
                <w:u w:val="single"/>
              </w:rPr>
              <w:t xml:space="preserve"> </w:t>
            </w:r>
            <w:r>
              <w:rPr>
                <w:rFonts w:hint="eastAsia" w:ascii="宋体" w:hAnsi="宋体" w:eastAsia="宋体" w:cs="宋体"/>
                <w:b w:val="0"/>
                <w:color w:val="auto"/>
                <w:sz w:val="24"/>
                <w:szCs w:val="24"/>
              </w:rPr>
              <w:t>日</w:t>
            </w:r>
            <w:r>
              <w:rPr>
                <w:rFonts w:hint="eastAsia" w:ascii="宋体" w:hAnsi="宋体" w:eastAsia="宋体" w:cs="宋体"/>
                <w:b w:val="0"/>
                <w:color w:val="auto"/>
                <w:sz w:val="24"/>
                <w:szCs w:val="24"/>
                <w:u w:val="single"/>
                <w:lang w:val="en-US" w:eastAsia="zh-CN"/>
              </w:rPr>
              <w:t xml:space="preserve"> 17 </w:t>
            </w:r>
            <w:r>
              <w:rPr>
                <w:rFonts w:hint="eastAsia" w:ascii="宋体" w:hAnsi="宋体" w:eastAsia="宋体" w:cs="宋体"/>
                <w:b w:val="0"/>
                <w:color w:val="auto"/>
                <w:sz w:val="24"/>
                <w:szCs w:val="24"/>
              </w:rPr>
              <w:t>时</w:t>
            </w:r>
            <w:r>
              <w:rPr>
                <w:rFonts w:hint="eastAsia" w:ascii="宋体" w:hAnsi="宋体" w:eastAsia="宋体" w:cs="宋体"/>
                <w:b w:val="0"/>
                <w:color w:val="auto"/>
                <w:sz w:val="24"/>
                <w:szCs w:val="24"/>
                <w:u w:val="single"/>
                <w:lang w:val="en-US" w:eastAsia="zh-CN"/>
              </w:rPr>
              <w:t xml:space="preserve"> 00 </w:t>
            </w:r>
            <w:r>
              <w:rPr>
                <w:rFonts w:hint="eastAsia" w:ascii="宋体" w:hAnsi="宋体" w:eastAsia="宋体" w:cs="宋体"/>
                <w:b w:val="0"/>
                <w:color w:val="auto"/>
                <w:sz w:val="24"/>
                <w:szCs w:val="24"/>
              </w:rPr>
              <w:t>分</w:t>
            </w:r>
          </w:p>
        </w:tc>
      </w:tr>
      <w:tr w14:paraId="3C03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F603674">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7.1</w:t>
            </w:r>
          </w:p>
        </w:tc>
        <w:tc>
          <w:tcPr>
            <w:tcW w:w="2708" w:type="dxa"/>
            <w:vAlign w:val="center"/>
          </w:tcPr>
          <w:p w14:paraId="151305C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包别划分</w:t>
            </w:r>
          </w:p>
        </w:tc>
        <w:tc>
          <w:tcPr>
            <w:tcW w:w="6727" w:type="dxa"/>
            <w:vAlign w:val="center"/>
          </w:tcPr>
          <w:p w14:paraId="5137896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szCs w:val="24"/>
              </w:rPr>
              <w:t>不分包     □分为</w:t>
            </w:r>
            <w:r>
              <w:rPr>
                <w:rFonts w:hint="eastAsia" w:ascii="宋体" w:hAnsi="宋体" w:eastAsia="宋体" w:cs="宋体"/>
                <w:b w:val="0"/>
                <w:color w:val="auto"/>
                <w:sz w:val="24"/>
                <w:szCs w:val="24"/>
                <w:u w:val="single"/>
              </w:rPr>
              <w:t>/</w:t>
            </w:r>
            <w:r>
              <w:rPr>
                <w:rFonts w:hint="eastAsia" w:ascii="宋体" w:hAnsi="宋体" w:eastAsia="宋体" w:cs="宋体"/>
                <w:b w:val="0"/>
                <w:color w:val="auto"/>
                <w:sz w:val="24"/>
                <w:szCs w:val="24"/>
              </w:rPr>
              <w:t>个包</w:t>
            </w:r>
          </w:p>
          <w:p w14:paraId="5095A15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u w:val="single"/>
              </w:rPr>
            </w:pPr>
            <w:r>
              <w:rPr>
                <w:rFonts w:hint="eastAsia" w:ascii="宋体" w:hAnsi="宋体" w:eastAsia="宋体" w:cs="宋体"/>
                <w:b w:val="0"/>
                <w:color w:val="auto"/>
                <w:sz w:val="24"/>
                <w:szCs w:val="24"/>
              </w:rPr>
              <w:t>投标人对多个包进行投标的中标包数规定：</w:t>
            </w:r>
            <w:r>
              <w:rPr>
                <w:rFonts w:hint="eastAsia" w:ascii="宋体" w:hAnsi="宋体" w:eastAsia="宋体" w:cs="宋体"/>
                <w:b w:val="0"/>
                <w:color w:val="auto"/>
                <w:sz w:val="24"/>
                <w:szCs w:val="24"/>
                <w:u w:val="single"/>
              </w:rPr>
              <w:t>/</w:t>
            </w:r>
            <w:r>
              <w:rPr>
                <w:rFonts w:hint="eastAsia" w:ascii="宋体" w:hAnsi="宋体" w:eastAsia="宋体" w:cs="宋体"/>
                <w:b w:val="0"/>
                <w:bCs w:val="0"/>
                <w:color w:val="auto"/>
                <w:sz w:val="24"/>
                <w:szCs w:val="24"/>
                <w:u w:val="single"/>
              </w:rPr>
              <w:t xml:space="preserve"> </w:t>
            </w:r>
          </w:p>
        </w:tc>
      </w:tr>
      <w:tr w14:paraId="1079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EF8FAC3">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10.1</w:t>
            </w:r>
          </w:p>
        </w:tc>
        <w:tc>
          <w:tcPr>
            <w:tcW w:w="2708" w:type="dxa"/>
            <w:vAlign w:val="center"/>
          </w:tcPr>
          <w:p w14:paraId="4C3C02F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left"/>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投标保证金</w:t>
            </w:r>
          </w:p>
        </w:tc>
        <w:tc>
          <w:tcPr>
            <w:tcW w:w="6727" w:type="dxa"/>
            <w:vAlign w:val="center"/>
          </w:tcPr>
          <w:p w14:paraId="0624B68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不收取</w:t>
            </w:r>
          </w:p>
        </w:tc>
      </w:tr>
      <w:tr w14:paraId="3C7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35662901">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11.1</w:t>
            </w:r>
          </w:p>
        </w:tc>
        <w:tc>
          <w:tcPr>
            <w:tcW w:w="2708" w:type="dxa"/>
            <w:vAlign w:val="center"/>
          </w:tcPr>
          <w:p w14:paraId="7B01B1E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投标有效期</w:t>
            </w:r>
          </w:p>
        </w:tc>
        <w:tc>
          <w:tcPr>
            <w:tcW w:w="6727" w:type="dxa"/>
            <w:vAlign w:val="center"/>
          </w:tcPr>
          <w:p w14:paraId="0981554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u w:val="single"/>
              </w:rPr>
              <w:t>90</w:t>
            </w:r>
            <w:r>
              <w:rPr>
                <w:rFonts w:hint="eastAsia" w:ascii="宋体" w:hAnsi="宋体" w:eastAsia="宋体" w:cs="宋体"/>
                <w:b w:val="0"/>
                <w:color w:val="auto"/>
                <w:sz w:val="24"/>
                <w:szCs w:val="24"/>
              </w:rPr>
              <w:t>日历日</w:t>
            </w:r>
          </w:p>
        </w:tc>
      </w:tr>
      <w:tr w14:paraId="7DB5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1099864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13.1</w:t>
            </w:r>
          </w:p>
        </w:tc>
        <w:tc>
          <w:tcPr>
            <w:tcW w:w="2708" w:type="dxa"/>
            <w:shd w:val="clear" w:color="auto" w:fill="auto"/>
            <w:vAlign w:val="center"/>
          </w:tcPr>
          <w:p w14:paraId="0E2C43F4">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default"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投标文件</w:t>
            </w:r>
            <w:r>
              <w:rPr>
                <w:rFonts w:hint="eastAsia" w:ascii="宋体" w:hAnsi="宋体" w:eastAsia="宋体" w:cs="宋体"/>
                <w:b w:val="0"/>
                <w:color w:val="auto"/>
                <w:sz w:val="24"/>
                <w:highlight w:val="none"/>
                <w:lang w:val="en-US" w:eastAsia="zh-CN"/>
              </w:rPr>
              <w:t>递交截止时间</w:t>
            </w:r>
          </w:p>
        </w:tc>
        <w:tc>
          <w:tcPr>
            <w:tcW w:w="6727" w:type="dxa"/>
            <w:shd w:val="clear" w:color="auto" w:fill="auto"/>
            <w:vAlign w:val="center"/>
          </w:tcPr>
          <w:p w14:paraId="7074BA7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时间：2026年05月20日15时00分</w:t>
            </w:r>
          </w:p>
          <w:p w14:paraId="186555E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注：1.本项目投标文件正本一份、副本一份。</w:t>
            </w:r>
          </w:p>
          <w:p w14:paraId="67F32A31">
            <w:pPr>
              <w:pStyle w:val="46"/>
              <w:keepNext w:val="0"/>
              <w:keepLines w:val="0"/>
              <w:pageBreakBefore w:val="0"/>
              <w:widowControl w:val="0"/>
              <w:numPr>
                <w:ilvl w:val="0"/>
                <w:numId w:val="0"/>
              </w:numPr>
              <w:kinsoku/>
              <w:wordWrap/>
              <w:overflowPunct/>
              <w:topLinePunct w:val="0"/>
              <w:autoSpaceDE/>
              <w:autoSpaceDN/>
              <w:bidi w:val="0"/>
              <w:spacing w:before="0" w:beforeAutospacing="0" w:after="0" w:afterAutospacing="0" w:line="500" w:lineRule="exact"/>
              <w:jc w:val="both"/>
              <w:textAlignment w:val="auto"/>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2.资信证明文件正副本密封在资信证明文件袋内，技术标文件正副本密封在技术标文件袋内，商务标文件正副本密封在商务标文件袋内。</w:t>
            </w:r>
          </w:p>
        </w:tc>
      </w:tr>
      <w:tr w14:paraId="0CF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08F8E8E">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14.1</w:t>
            </w:r>
          </w:p>
        </w:tc>
        <w:tc>
          <w:tcPr>
            <w:tcW w:w="2708" w:type="dxa"/>
            <w:vAlign w:val="center"/>
          </w:tcPr>
          <w:p w14:paraId="7774D26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资格审查</w:t>
            </w:r>
          </w:p>
        </w:tc>
        <w:tc>
          <w:tcPr>
            <w:tcW w:w="6727" w:type="dxa"/>
            <w:vAlign w:val="center"/>
          </w:tcPr>
          <w:p w14:paraId="6E03496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☑采购人审查</w:t>
            </w:r>
          </w:p>
          <w:p w14:paraId="78F9449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u w:val="single"/>
              </w:rPr>
            </w:pPr>
            <w:r>
              <w:rPr>
                <w:rFonts w:hint="eastAsia" w:ascii="宋体" w:hAnsi="宋体" w:eastAsia="宋体" w:cs="宋体"/>
                <w:b w:val="0"/>
                <w:bCs w:val="0"/>
                <w:color w:val="auto"/>
                <w:sz w:val="24"/>
                <w:szCs w:val="24"/>
              </w:rPr>
              <w:t>□采购人出具委托函委托采购代理机构进行审查</w:t>
            </w:r>
          </w:p>
        </w:tc>
      </w:tr>
      <w:tr w14:paraId="6633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42534B1">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17.2</w:t>
            </w:r>
          </w:p>
        </w:tc>
        <w:tc>
          <w:tcPr>
            <w:tcW w:w="2708" w:type="dxa"/>
            <w:vAlign w:val="center"/>
          </w:tcPr>
          <w:p w14:paraId="67844CF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评标方法</w:t>
            </w:r>
          </w:p>
        </w:tc>
        <w:tc>
          <w:tcPr>
            <w:tcW w:w="6727" w:type="dxa"/>
            <w:vAlign w:val="center"/>
          </w:tcPr>
          <w:p w14:paraId="22EB085E">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u w:val="single"/>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szCs w:val="24"/>
              </w:rPr>
              <w:t>最低评标价法</w:t>
            </w:r>
          </w:p>
          <w:p w14:paraId="246E9A2C">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color w:val="auto"/>
                <w:sz w:val="24"/>
                <w:szCs w:val="24"/>
              </w:rPr>
              <w:t>综合评分法</w:t>
            </w:r>
          </w:p>
        </w:tc>
      </w:tr>
      <w:tr w14:paraId="4FF6A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0D85C2B7">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21.1</w:t>
            </w:r>
          </w:p>
        </w:tc>
        <w:tc>
          <w:tcPr>
            <w:tcW w:w="2708" w:type="dxa"/>
            <w:vAlign w:val="center"/>
          </w:tcPr>
          <w:p w14:paraId="736AA837">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评标委员会推荐中标候选人的数量</w:t>
            </w:r>
          </w:p>
        </w:tc>
        <w:tc>
          <w:tcPr>
            <w:tcW w:w="6727" w:type="dxa"/>
            <w:vAlign w:val="center"/>
          </w:tcPr>
          <w:p w14:paraId="712087AB">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评标委员会推荐3名中标候选人。</w:t>
            </w:r>
          </w:p>
        </w:tc>
      </w:tr>
      <w:tr w14:paraId="3244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172171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4"/>
                <w:lang w:val="en-US" w:eastAsia="zh-CN"/>
              </w:rPr>
            </w:pPr>
            <w:r>
              <w:rPr>
                <w:rFonts w:hint="eastAsia" w:ascii="宋体" w:hAnsi="宋体" w:eastAsia="宋体" w:cs="宋体"/>
                <w:bCs/>
                <w:color w:val="auto"/>
                <w:kern w:val="2"/>
                <w:sz w:val="24"/>
                <w:szCs w:val="24"/>
                <w:lang w:val="en-US" w:eastAsia="zh-CN"/>
              </w:rPr>
              <w:t>21.2</w:t>
            </w:r>
          </w:p>
        </w:tc>
        <w:tc>
          <w:tcPr>
            <w:tcW w:w="2708" w:type="dxa"/>
            <w:vAlign w:val="center"/>
          </w:tcPr>
          <w:p w14:paraId="55AED98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确定中标人</w:t>
            </w:r>
          </w:p>
        </w:tc>
        <w:tc>
          <w:tcPr>
            <w:tcW w:w="6727" w:type="dxa"/>
            <w:vAlign w:val="center"/>
          </w:tcPr>
          <w:p w14:paraId="4A54598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sym w:font="Wingdings" w:char="00FE"/>
            </w:r>
            <w:r>
              <w:rPr>
                <w:rFonts w:hint="eastAsia" w:ascii="宋体" w:hAnsi="宋体" w:eastAsia="宋体" w:cs="宋体"/>
                <w:color w:val="auto"/>
                <w:kern w:val="0"/>
                <w:sz w:val="24"/>
                <w:szCs w:val="24"/>
              </w:rPr>
              <w:t>采购人委托评标委员会确定</w:t>
            </w:r>
          </w:p>
          <w:p w14:paraId="53992951">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bCs w:val="0"/>
                <w:color w:val="auto"/>
                <w:kern w:val="2"/>
                <w:sz w:val="24"/>
                <w:szCs w:val="24"/>
              </w:rPr>
              <w:t>□采购人确定</w:t>
            </w:r>
          </w:p>
        </w:tc>
      </w:tr>
      <w:tr w14:paraId="484A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2BCF6AB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ind w:firstLine="240" w:firstLineChars="100"/>
              <w:jc w:val="both"/>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23.3</w:t>
            </w:r>
          </w:p>
        </w:tc>
        <w:tc>
          <w:tcPr>
            <w:tcW w:w="2708" w:type="dxa"/>
            <w:vAlign w:val="center"/>
          </w:tcPr>
          <w:p w14:paraId="6E956D9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随中标结果公告同时公告的内容</w:t>
            </w:r>
          </w:p>
        </w:tc>
        <w:tc>
          <w:tcPr>
            <w:tcW w:w="6727" w:type="dxa"/>
            <w:vAlign w:val="center"/>
          </w:tcPr>
          <w:p w14:paraId="329FAED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）中标（成交）供应商的评审总得分</w:t>
            </w:r>
            <w:r>
              <w:rPr>
                <w:rFonts w:hint="eastAsia" w:ascii="宋体" w:hAnsi="宋体" w:eastAsia="宋体" w:cs="宋体"/>
                <w:b w:val="0"/>
                <w:i/>
                <w:iCs/>
                <w:color w:val="auto"/>
                <w:sz w:val="24"/>
                <w:highlight w:val="none"/>
              </w:rPr>
              <w:t>；</w:t>
            </w:r>
          </w:p>
          <w:p w14:paraId="503A958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highlight w:val="none"/>
              </w:rPr>
              <w:t>（</w:t>
            </w:r>
            <w:r>
              <w:rPr>
                <w:rFonts w:hint="eastAsia" w:ascii="宋体" w:hAnsi="宋体" w:eastAsia="宋体" w:cs="宋体"/>
                <w:b w:val="0"/>
                <w:color w:val="auto"/>
                <w:sz w:val="24"/>
                <w:highlight w:val="none"/>
                <w:lang w:val="en-US" w:eastAsia="zh-CN"/>
              </w:rPr>
              <w:t>2</w:t>
            </w:r>
            <w:r>
              <w:rPr>
                <w:rFonts w:hint="eastAsia" w:ascii="宋体" w:hAnsi="宋体" w:eastAsia="宋体" w:cs="宋体"/>
                <w:b w:val="0"/>
                <w:color w:val="auto"/>
                <w:sz w:val="24"/>
                <w:highlight w:val="none"/>
              </w:rPr>
              <w:t>）中标（成交）供应商的业绩。</w:t>
            </w:r>
          </w:p>
        </w:tc>
      </w:tr>
      <w:tr w14:paraId="2226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B83DFDC">
            <w:pPr>
              <w:pStyle w:val="46"/>
              <w:keepNext w:val="0"/>
              <w:keepLines w:val="0"/>
              <w:pageBreakBefore w:val="0"/>
              <w:widowControl w:val="0"/>
              <w:kinsoku/>
              <w:wordWrap/>
              <w:overflowPunct/>
              <w:topLinePunct w:val="0"/>
              <w:autoSpaceDE/>
              <w:autoSpaceDN/>
              <w:bidi w:val="0"/>
              <w:spacing w:before="0" w:beforeAutospacing="0" w:after="0" w:afterAutospacing="0" w:line="500" w:lineRule="exact"/>
              <w:ind w:firstLine="240" w:firstLineChars="100"/>
              <w:jc w:val="both"/>
              <w:textAlignment w:val="auto"/>
              <w:rPr>
                <w:rFonts w:hint="eastAsia" w:ascii="宋体" w:hAnsi="宋体" w:eastAsia="宋体" w:cs="宋体"/>
                <w:b w:val="0"/>
                <w:color w:val="auto"/>
                <w:sz w:val="24"/>
                <w:szCs w:val="24"/>
                <w:lang w:val="en-US" w:eastAsia="zh-CN"/>
              </w:rPr>
            </w:pPr>
            <w:r>
              <w:rPr>
                <w:rFonts w:hint="eastAsia" w:ascii="宋体" w:hAnsi="宋体" w:eastAsia="宋体" w:cs="宋体"/>
                <w:b w:val="0"/>
                <w:color w:val="auto"/>
                <w:sz w:val="24"/>
                <w:szCs w:val="24"/>
                <w:lang w:val="en-US" w:eastAsia="zh-CN"/>
              </w:rPr>
              <w:t>24.1</w:t>
            </w:r>
          </w:p>
        </w:tc>
        <w:tc>
          <w:tcPr>
            <w:tcW w:w="2708" w:type="dxa"/>
            <w:shd w:val="clear" w:color="auto" w:fill="auto"/>
            <w:vAlign w:val="center"/>
          </w:tcPr>
          <w:p w14:paraId="0DE49787">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中标通知书发出的形式</w:t>
            </w:r>
          </w:p>
        </w:tc>
        <w:tc>
          <w:tcPr>
            <w:tcW w:w="6727" w:type="dxa"/>
            <w:shd w:val="clear" w:color="auto" w:fill="auto"/>
            <w:vAlign w:val="center"/>
          </w:tcPr>
          <w:p w14:paraId="77D2CCDE">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6B26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100786F3">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rPr>
              <w:t>25.1</w:t>
            </w:r>
          </w:p>
        </w:tc>
        <w:tc>
          <w:tcPr>
            <w:tcW w:w="2708" w:type="dxa"/>
            <w:shd w:val="clear" w:color="auto" w:fill="auto"/>
            <w:vAlign w:val="center"/>
          </w:tcPr>
          <w:p w14:paraId="162D2C1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告知招标结果的形式</w:t>
            </w:r>
          </w:p>
        </w:tc>
        <w:tc>
          <w:tcPr>
            <w:tcW w:w="6727" w:type="dxa"/>
            <w:shd w:val="clear" w:color="auto" w:fill="auto"/>
            <w:vAlign w:val="center"/>
          </w:tcPr>
          <w:p w14:paraId="43115BC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A8"/>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color w:val="auto"/>
                <w:sz w:val="24"/>
                <w:szCs w:val="24"/>
                <w:highlight w:val="none"/>
              </w:rPr>
              <w:t>交易</w:t>
            </w:r>
            <w:r>
              <w:rPr>
                <w:rFonts w:hint="eastAsia" w:ascii="宋体" w:hAnsi="宋体" w:eastAsia="宋体" w:cs="宋体"/>
                <w:color w:val="auto"/>
                <w:kern w:val="0"/>
                <w:sz w:val="24"/>
                <w:szCs w:val="24"/>
                <w:highlight w:val="none"/>
              </w:rPr>
              <w:t>系统查看</w:t>
            </w:r>
          </w:p>
          <w:p w14:paraId="3956C7C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评标现场告知</w:t>
            </w:r>
          </w:p>
        </w:tc>
      </w:tr>
      <w:tr w14:paraId="5F81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45D789E2">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sz w:val="24"/>
                <w:szCs w:val="20"/>
                <w:highlight w:val="none"/>
                <w:lang w:val="en-US" w:eastAsia="zh-CN" w:bidi="ar-SA"/>
              </w:rPr>
            </w:pPr>
            <w:r>
              <w:rPr>
                <w:rFonts w:hint="eastAsia" w:ascii="宋体" w:hAnsi="宋体" w:eastAsia="宋体" w:cs="宋体"/>
                <w:bCs/>
                <w:color w:val="auto"/>
                <w:kern w:val="2"/>
                <w:highlight w:val="none"/>
              </w:rPr>
              <w:t>26.1</w:t>
            </w:r>
          </w:p>
        </w:tc>
        <w:tc>
          <w:tcPr>
            <w:tcW w:w="2708" w:type="dxa"/>
            <w:shd w:val="clear" w:color="auto" w:fill="auto"/>
            <w:vAlign w:val="center"/>
          </w:tcPr>
          <w:p w14:paraId="3A34EC1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履约保证金</w:t>
            </w:r>
          </w:p>
        </w:tc>
        <w:tc>
          <w:tcPr>
            <w:tcW w:w="6727" w:type="dxa"/>
            <w:shd w:val="clear" w:color="auto" w:fill="auto"/>
            <w:vAlign w:val="top"/>
          </w:tcPr>
          <w:p w14:paraId="0A5CBD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0662311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☑免收</w:t>
            </w:r>
          </w:p>
          <w:p w14:paraId="162FDE1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 </w:t>
            </w:r>
            <w:r>
              <w:rPr>
                <w:rFonts w:hint="eastAsia" w:ascii="宋体" w:hAnsi="宋体" w:eastAsia="宋体" w:cs="宋体"/>
                <w:bCs/>
                <w:color w:val="auto"/>
                <w:kern w:val="0"/>
                <w:sz w:val="24"/>
                <w:szCs w:val="28"/>
                <w:highlight w:val="none"/>
              </w:rPr>
              <w:t>%</w:t>
            </w:r>
          </w:p>
          <w:p w14:paraId="6B0C512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□定额收取：人民币元</w:t>
            </w:r>
          </w:p>
          <w:p w14:paraId="042C77AD">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0213770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转账/电汇</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汇票</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7A5819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u w:val="single"/>
              </w:rPr>
            </w:pPr>
            <w:r>
              <w:rPr>
                <w:rFonts w:hint="eastAsia" w:ascii="宋体" w:hAnsi="宋体" w:eastAsia="宋体" w:cs="宋体"/>
                <w:bCs/>
                <w:color w:val="auto"/>
                <w:kern w:val="0"/>
                <w:sz w:val="24"/>
                <w:szCs w:val="28"/>
                <w:highlight w:val="none"/>
              </w:rPr>
              <w:t>（3）收取单位：</w:t>
            </w:r>
            <w:r>
              <w:rPr>
                <w:rFonts w:hint="eastAsia" w:ascii="宋体" w:hAnsi="宋体" w:eastAsia="宋体" w:cs="宋体"/>
                <w:bCs/>
                <w:color w:val="auto"/>
                <w:kern w:val="0"/>
                <w:sz w:val="24"/>
                <w:szCs w:val="28"/>
                <w:highlight w:val="none"/>
                <w:u w:val="single"/>
              </w:rPr>
              <w:t>/</w:t>
            </w:r>
          </w:p>
          <w:p w14:paraId="2BB11F0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（4）收取账号：</w:t>
            </w:r>
            <w:r>
              <w:rPr>
                <w:rFonts w:hint="eastAsia" w:ascii="宋体" w:hAnsi="宋体" w:eastAsia="宋体" w:cs="宋体"/>
                <w:bCs/>
                <w:color w:val="auto"/>
                <w:kern w:val="0"/>
                <w:sz w:val="24"/>
                <w:szCs w:val="28"/>
                <w:highlight w:val="none"/>
                <w:u w:val="single"/>
              </w:rPr>
              <w:t>/</w:t>
            </w:r>
          </w:p>
          <w:p w14:paraId="3B4D0B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bCs/>
                <w:color w:val="auto"/>
                <w:kern w:val="0"/>
                <w:sz w:val="24"/>
                <w:szCs w:val="28"/>
                <w:highlight w:val="none"/>
              </w:rPr>
              <w:t>（5）</w:t>
            </w:r>
            <w:r>
              <w:rPr>
                <w:rFonts w:hint="eastAsia" w:ascii="宋体" w:hAnsi="宋体" w:eastAsia="宋体" w:cs="宋体"/>
                <w:color w:val="auto"/>
                <w:sz w:val="24"/>
                <w:highlight w:val="none"/>
              </w:rPr>
              <w:t>退还时间：</w:t>
            </w:r>
            <w:r>
              <w:rPr>
                <w:rFonts w:hint="eastAsia" w:ascii="宋体" w:hAnsi="宋体" w:eastAsia="宋体" w:cs="宋体"/>
                <w:bCs/>
                <w:color w:val="auto"/>
                <w:kern w:val="0"/>
                <w:sz w:val="24"/>
                <w:szCs w:val="28"/>
                <w:highlight w:val="none"/>
                <w:u w:val="single"/>
              </w:rPr>
              <w:t>/</w:t>
            </w:r>
          </w:p>
          <w:p w14:paraId="7E5FEAF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05D230B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66589C71">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0D92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2A0EC15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27.1</w:t>
            </w:r>
          </w:p>
        </w:tc>
        <w:tc>
          <w:tcPr>
            <w:tcW w:w="2708" w:type="dxa"/>
            <w:shd w:val="clear" w:color="auto" w:fill="auto"/>
            <w:vAlign w:val="center"/>
          </w:tcPr>
          <w:p w14:paraId="6EE25DCA">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签订合同</w:t>
            </w:r>
          </w:p>
        </w:tc>
        <w:tc>
          <w:tcPr>
            <w:tcW w:w="6727" w:type="dxa"/>
            <w:shd w:val="clear" w:color="auto" w:fill="auto"/>
            <w:vAlign w:val="top"/>
          </w:tcPr>
          <w:p w14:paraId="5721C84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color w:val="auto"/>
                <w:sz w:val="24"/>
                <w:szCs w:val="24"/>
                <w:highlight w:val="none"/>
              </w:rPr>
              <w:t>采购人与中标人应当自发出中标通知书之日起7个工作日内签订合同。</w:t>
            </w:r>
          </w:p>
        </w:tc>
      </w:tr>
      <w:tr w14:paraId="7856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5F1839C7">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28.1</w:t>
            </w:r>
          </w:p>
        </w:tc>
        <w:tc>
          <w:tcPr>
            <w:tcW w:w="2708" w:type="dxa"/>
            <w:shd w:val="clear" w:color="auto" w:fill="auto"/>
            <w:vAlign w:val="center"/>
          </w:tcPr>
          <w:p w14:paraId="27E351AE">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代理费用</w:t>
            </w:r>
          </w:p>
        </w:tc>
        <w:tc>
          <w:tcPr>
            <w:tcW w:w="6727" w:type="dxa"/>
            <w:shd w:val="clear" w:color="auto" w:fill="auto"/>
            <w:vAlign w:val="center"/>
          </w:tcPr>
          <w:p w14:paraId="3FE65C5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8"/>
                <w:highlight w:val="none"/>
              </w:rPr>
              <w:t>（1）收费对象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 xml:space="preserve">采购人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rPr>
              <w:t>中标人</w:t>
            </w:r>
          </w:p>
          <w:p w14:paraId="785C3A6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银行转账</w:t>
            </w:r>
          </w:p>
          <w:p w14:paraId="2937ED5B">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val="0"/>
                <w:color w:val="auto"/>
                <w:sz w:val="24"/>
                <w:highlight w:val="none"/>
              </w:rPr>
              <w:t>（3）</w:t>
            </w:r>
            <w:r>
              <w:rPr>
                <w:rFonts w:hint="eastAsia" w:ascii="宋体" w:hAnsi="宋体" w:eastAsia="宋体" w:cs="宋体"/>
                <w:b w:val="0"/>
                <w:color w:val="auto"/>
                <w:sz w:val="24"/>
                <w:highlight w:val="none"/>
              </w:rPr>
              <w:t>收费</w:t>
            </w:r>
            <w:r>
              <w:rPr>
                <w:rFonts w:hint="eastAsia" w:ascii="宋体" w:hAnsi="宋体" w:eastAsia="宋体" w:cs="宋体"/>
                <w:b w:val="0"/>
                <w:color w:val="auto"/>
                <w:sz w:val="24"/>
                <w:highlight w:val="none"/>
                <w:lang w:val="en-US" w:eastAsia="zh-CN"/>
              </w:rPr>
              <w:t>金额</w:t>
            </w:r>
            <w:r>
              <w:rPr>
                <w:rFonts w:hint="eastAsia" w:ascii="宋体" w:hAnsi="宋体" w:eastAsia="宋体" w:cs="宋体"/>
                <w:b w:val="0"/>
                <w:color w:val="auto"/>
                <w:sz w:val="24"/>
                <w:highlight w:val="none"/>
              </w:rPr>
              <w:t>：</w:t>
            </w:r>
            <w:r>
              <w:rPr>
                <w:rFonts w:hint="eastAsia" w:ascii="宋体" w:hAnsi="宋体" w:eastAsia="宋体" w:cs="宋体"/>
                <w:b w:val="0"/>
                <w:bCs w:val="0"/>
                <w:color w:val="auto"/>
                <w:kern w:val="2"/>
                <w:sz w:val="24"/>
                <w:szCs w:val="24"/>
                <w:highlight w:val="none"/>
                <w:u w:val="single"/>
                <w:lang w:val="en-US" w:eastAsia="zh-CN"/>
              </w:rPr>
              <w:t xml:space="preserve">1500元（不含专家评审费，具体费用以实际发生费用在为准） </w:t>
            </w:r>
          </w:p>
        </w:tc>
      </w:tr>
      <w:tr w14:paraId="7B89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32FD6E0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31.3</w:t>
            </w:r>
          </w:p>
        </w:tc>
        <w:tc>
          <w:tcPr>
            <w:tcW w:w="2708" w:type="dxa"/>
            <w:shd w:val="clear" w:color="auto" w:fill="auto"/>
            <w:vAlign w:val="center"/>
          </w:tcPr>
          <w:p w14:paraId="50A37A3F">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质疑函递交方式、接收部门、联系电话和通讯地址</w:t>
            </w:r>
          </w:p>
        </w:tc>
        <w:tc>
          <w:tcPr>
            <w:tcW w:w="6727" w:type="dxa"/>
            <w:shd w:val="clear" w:color="auto" w:fill="auto"/>
            <w:vAlign w:val="center"/>
          </w:tcPr>
          <w:p w14:paraId="24194389">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新点电子交易平台【滁州专区】对招标文件提出澄清（质疑）】。一份质疑函只能针对一个项目提出质疑，且针对同一采购程序环节的质疑应当一次性提出；</w:t>
            </w:r>
          </w:p>
          <w:p w14:paraId="6070045D">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val="0"/>
                <w:color w:val="auto"/>
                <w:sz w:val="24"/>
                <w:szCs w:val="18"/>
                <w:highlight w:val="none"/>
                <w:lang w:val="en-US"/>
              </w:rPr>
            </w:pPr>
            <w:r>
              <w:rPr>
                <w:rFonts w:hint="eastAsia" w:ascii="宋体" w:hAnsi="宋体" w:eastAsia="宋体" w:cs="宋体"/>
                <w:b w:val="0"/>
                <w:color w:val="auto"/>
                <w:sz w:val="24"/>
                <w:highlight w:val="none"/>
              </w:rPr>
              <w:t>接收部门：</w:t>
            </w:r>
            <w:r>
              <w:rPr>
                <w:rFonts w:hint="eastAsia" w:ascii="宋体" w:hAnsi="宋体" w:eastAsia="宋体" w:cs="宋体"/>
                <w:color w:val="auto"/>
                <w:sz w:val="24"/>
                <w:highlight w:val="none"/>
                <w:u w:val="single"/>
                <w:lang w:val="en-US" w:eastAsia="zh-CN"/>
              </w:rPr>
              <w:t>滁州市第二小学</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滁州市城投工程咨询管理有限公司</w:t>
            </w:r>
          </w:p>
          <w:p w14:paraId="0F689752">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b w:val="0"/>
                <w:color w:val="auto"/>
                <w:sz w:val="24"/>
                <w:highlight w:val="none"/>
              </w:rPr>
              <w:t>联系电话：</w:t>
            </w:r>
            <w:r>
              <w:rPr>
                <w:rFonts w:hint="eastAsia" w:ascii="宋体" w:hAnsi="宋体" w:eastAsia="宋体" w:cs="宋体"/>
                <w:color w:val="auto"/>
                <w:sz w:val="24"/>
                <w:highlight w:val="none"/>
                <w:u w:val="single"/>
                <w:lang w:val="en-US" w:eastAsia="zh-CN"/>
              </w:rPr>
              <w:t>18019817678 、0550-3519590</w:t>
            </w:r>
          </w:p>
          <w:p w14:paraId="5025F995">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rPr>
              <w:t>安徽省滁州市琅琊区定远路346号、滁州市龙蟠大道109号房产大厦</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楼。</w:t>
            </w:r>
          </w:p>
        </w:tc>
      </w:tr>
      <w:tr w14:paraId="12A9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shd w:val="clear" w:color="auto" w:fill="auto"/>
            <w:vAlign w:val="center"/>
          </w:tcPr>
          <w:p w14:paraId="486ABC3D">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pacing w:line="500" w:lineRule="exact"/>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2708" w:type="dxa"/>
            <w:shd w:val="clear" w:color="auto" w:fill="auto"/>
            <w:vAlign w:val="center"/>
          </w:tcPr>
          <w:p w14:paraId="1ACE667A">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szCs w:val="24"/>
                <w:lang w:val="en-US" w:eastAsia="zh-CN"/>
              </w:rPr>
              <w:t>其他内容</w:t>
            </w:r>
          </w:p>
        </w:tc>
        <w:tc>
          <w:tcPr>
            <w:tcW w:w="6727" w:type="dxa"/>
            <w:shd w:val="clear" w:color="auto" w:fill="auto"/>
            <w:vAlign w:val="center"/>
          </w:tcPr>
          <w:p w14:paraId="4636315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（1）构成本招标文件的各个组成文件应互为解释，互为说明；</w:t>
            </w:r>
          </w:p>
          <w:p w14:paraId="4E8D305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（2）同一组成文件中就同一事项的规定或约定不一致的，以编排顺序在后者为准；</w:t>
            </w:r>
          </w:p>
          <w:p w14:paraId="7770B3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（3）如有不明确或不一致，构成合同文件组成内容的，以合同文件约定内容为准，且以专用合同条款约定的合同文件优先顺序解释；</w:t>
            </w:r>
          </w:p>
          <w:p w14:paraId="7205EB0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（4）除招标文件中有特别规定外，仅适用于招标投标阶段的规定，按招标公告、投标邀请、投标人须知、评标方法和标准、投标文件格式的先后顺序解释；</w:t>
            </w:r>
          </w:p>
          <w:p w14:paraId="52AE4663">
            <w:pPr>
              <w:pStyle w:val="46"/>
              <w:keepNext w:val="0"/>
              <w:keepLines w:val="0"/>
              <w:pageBreakBefore w:val="0"/>
              <w:widowControl w:val="0"/>
              <w:kinsoku/>
              <w:wordWrap/>
              <w:overflowPunct/>
              <w:topLinePunct w:val="0"/>
              <w:autoSpaceDE/>
              <w:autoSpaceDN/>
              <w:bidi w:val="0"/>
              <w:spacing w:before="0" w:beforeAutospacing="0" w:after="0" w:afterAutospacing="0" w:line="500" w:lineRule="exact"/>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（5）按本款前述规定仍不能形成结论的，由采购人负责解释。</w:t>
            </w:r>
          </w:p>
        </w:tc>
      </w:tr>
    </w:tbl>
    <w:p w14:paraId="29C2AFDD">
      <w:pPr>
        <w:spacing w:line="360" w:lineRule="auto"/>
        <w:jc w:val="center"/>
        <w:outlineLvl w:val="1"/>
        <w:rPr>
          <w:rFonts w:ascii="宋体" w:hAnsi="宋体" w:eastAsia="宋体" w:cs="宋体"/>
          <w:b/>
          <w:color w:val="auto"/>
          <w:sz w:val="24"/>
        </w:rPr>
      </w:pPr>
      <w:r>
        <w:rPr>
          <w:rFonts w:hint="eastAsia" w:ascii="宋体" w:hAnsi="宋体" w:eastAsia="宋体" w:cs="宋体"/>
          <w:b/>
          <w:color w:val="auto"/>
          <w:sz w:val="28"/>
        </w:rPr>
        <w:br w:type="page"/>
      </w:r>
      <w:bookmarkStart w:id="46" w:name="_Toc9427"/>
      <w:bookmarkStart w:id="47" w:name="_Toc24882"/>
      <w:r>
        <w:rPr>
          <w:rFonts w:hint="eastAsia" w:asciiTheme="minorEastAsia" w:hAnsiTheme="minorEastAsia" w:eastAsiaTheme="minorEastAsia"/>
          <w:b/>
          <w:color w:val="auto"/>
          <w:sz w:val="24"/>
          <w:highlight w:val="none"/>
        </w:rPr>
        <w:t>二、投标人须知正文</w:t>
      </w:r>
      <w:bookmarkEnd w:id="46"/>
      <w:bookmarkEnd w:id="47"/>
    </w:p>
    <w:p w14:paraId="1CE3A8E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1.采购人、采购代理机构及投标人</w:t>
      </w:r>
    </w:p>
    <w:p w14:paraId="0739F25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jc w:val="both"/>
        <w:textAlignment w:val="auto"/>
        <w:outlineLvl w:val="1"/>
        <w:rPr>
          <w:rFonts w:hint="eastAsia" w:ascii="宋体" w:hAnsi="宋体" w:eastAsia="宋体" w:cs="宋体"/>
          <w:color w:val="auto"/>
          <w:sz w:val="24"/>
          <w:szCs w:val="24"/>
        </w:rPr>
      </w:pPr>
      <w:r>
        <w:rPr>
          <w:rFonts w:hint="eastAsia" w:ascii="宋体" w:hAnsi="宋体" w:eastAsia="宋体" w:cs="宋体"/>
          <w:color w:val="auto"/>
          <w:sz w:val="24"/>
          <w:szCs w:val="24"/>
        </w:rPr>
        <w:t>1.1采购人：是指依法开展政府采购活动的国家机关、事业单位、团体组织。</w:t>
      </w:r>
    </w:p>
    <w:p w14:paraId="4C1FA36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1.2采购代理机构：是指集中采购机构或从事采购代理业务的社会中介机构。</w:t>
      </w:r>
    </w:p>
    <w:p w14:paraId="56A6CF1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1.3政府采购监督管理部门：各级人民政府指定的有关部门依法履行与政府采购活动有关的监督管理职责。</w:t>
      </w:r>
    </w:p>
    <w:p w14:paraId="7B358EF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1.4投标人：是指向采购人提供货物、工程或者服务的法人、其他组织或者自然人。分支机构不得参加政府采购活动，但银行、保险、石油石化、电力、电信等特殊行业除外。</w:t>
      </w:r>
    </w:p>
    <w:p w14:paraId="2C78857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2.资金落实情况</w:t>
      </w:r>
    </w:p>
    <w:p w14:paraId="71B22BC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2.1本项目的采购人已获得足以支付本次招标后所签订的合同项下的资金。</w:t>
      </w:r>
    </w:p>
    <w:p w14:paraId="45EACCC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3.投标费用</w:t>
      </w:r>
    </w:p>
    <w:p w14:paraId="093F98B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不论投标的结果如何，投标人应承担所有与准备和参加投标有关的费用。</w:t>
      </w:r>
    </w:p>
    <w:p w14:paraId="1F897F1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4.适用法律</w:t>
      </w:r>
    </w:p>
    <w:p w14:paraId="714C3CA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18C012F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5.招标文件构成</w:t>
      </w:r>
    </w:p>
    <w:p w14:paraId="34D2D81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5.1招标文件包括下列内容：</w:t>
      </w:r>
    </w:p>
    <w:p w14:paraId="15AD3E1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投标邀请</w:t>
      </w:r>
    </w:p>
    <w:p w14:paraId="2B882D4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投标人须知</w:t>
      </w:r>
    </w:p>
    <w:p w14:paraId="5A33565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采购需求</w:t>
      </w:r>
    </w:p>
    <w:p w14:paraId="387FC1C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评标方法和标准</w:t>
      </w:r>
    </w:p>
    <w:p w14:paraId="1EB17AF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政府采购合同</w:t>
      </w:r>
    </w:p>
    <w:p w14:paraId="57A0BCF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第六章  投标文件格式</w:t>
      </w:r>
    </w:p>
    <w:p w14:paraId="497465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第七章  政府采购询问函和质疑函范本</w:t>
      </w:r>
    </w:p>
    <w:p w14:paraId="6EC4A8D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5.2现场考察（</w:t>
      </w:r>
      <w:r>
        <w:rPr>
          <w:rFonts w:hint="eastAsia" w:ascii="宋体" w:hAnsi="宋体" w:eastAsia="宋体" w:cs="宋体"/>
          <w:bCs/>
          <w:color w:val="auto"/>
          <w:sz w:val="24"/>
          <w:szCs w:val="24"/>
        </w:rPr>
        <w:t>标前答疑会</w:t>
      </w:r>
      <w:r>
        <w:rPr>
          <w:rFonts w:hint="eastAsia" w:ascii="宋体" w:hAnsi="宋体" w:eastAsia="宋体" w:cs="宋体"/>
          <w:color w:val="auto"/>
          <w:sz w:val="24"/>
          <w:szCs w:val="24"/>
        </w:rPr>
        <w:t>）及相关事项见</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w:t>
      </w:r>
    </w:p>
    <w:p w14:paraId="431580B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5.3投标人应认真阅读招标文件所有的事项、格式、条款和技术规范等。</w:t>
      </w:r>
    </w:p>
    <w:p w14:paraId="1680E19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6.招标文件的澄清与修改</w:t>
      </w:r>
    </w:p>
    <w:p w14:paraId="653DAF9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6.1投标人如对招标文件内容有疑问，可在</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规定的询问截止时间前提交给采购代理机构。</w:t>
      </w:r>
    </w:p>
    <w:p w14:paraId="2099D9D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6.2采购人可主动地或在答复投标人提出的询问时对招标文件进</w:t>
      </w:r>
      <w:r>
        <w:rPr>
          <w:rFonts w:hint="eastAsia" w:ascii="宋体" w:hAnsi="宋体" w:eastAsia="宋体" w:cs="宋体"/>
          <w:color w:val="auto"/>
          <w:sz w:val="24"/>
          <w:szCs w:val="24"/>
          <w:highlight w:val="none"/>
        </w:rPr>
        <w:t>行澄清与修改。采购代理机构将在</w:t>
      </w:r>
      <w:r>
        <w:rPr>
          <w:rFonts w:hint="eastAsia" w:ascii="宋体" w:hAnsi="宋体" w:eastAsia="宋体" w:cs="宋体"/>
          <w:color w:val="auto"/>
          <w:sz w:val="24"/>
          <w:szCs w:val="24"/>
          <w:highlight w:val="none"/>
          <w:lang w:val="en-US" w:eastAsia="zh-CN"/>
        </w:rPr>
        <w:t>滁州市琅琊区人民政府（https://www.lyq.gov.cn/）网站</w:t>
      </w:r>
      <w:r>
        <w:rPr>
          <w:rFonts w:hint="eastAsia" w:ascii="宋体" w:hAnsi="宋体" w:eastAsia="宋体" w:cs="宋体"/>
          <w:color w:val="auto"/>
          <w:sz w:val="24"/>
          <w:szCs w:val="24"/>
          <w:highlight w:val="none"/>
        </w:rPr>
        <w:t>发布更正公告，澄清或修改招标文件，更正公告的内容作为招标文件的组成部分，对投标人起约束作</w:t>
      </w:r>
      <w:r>
        <w:rPr>
          <w:rFonts w:hint="eastAsia" w:ascii="宋体" w:hAnsi="宋体" w:eastAsia="宋体" w:cs="宋体"/>
          <w:color w:val="auto"/>
          <w:sz w:val="24"/>
          <w:szCs w:val="24"/>
        </w:rPr>
        <w:t>用。投标人应主动上网查询。采购代理机构不承担投标人未及时关注相关信息引发的相关责任。</w:t>
      </w:r>
    </w:p>
    <w:p w14:paraId="7CDD54B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6.3任何人或任何组织向投标人提供的任何书面或口头资料，未经采购代理机构在发布或书面通知，均作无效处理，不得作为招标文件的组成部分。采购代理机构对投标人由此而做出的推论、理解和结论概不负责。</w:t>
      </w:r>
    </w:p>
    <w:p w14:paraId="68AEB5B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i/>
          <w:iCs/>
          <w:color w:val="auto"/>
          <w:sz w:val="24"/>
          <w:szCs w:val="24"/>
        </w:rPr>
      </w:pPr>
      <w:r>
        <w:rPr>
          <w:rFonts w:hint="eastAsia" w:ascii="宋体" w:hAnsi="宋体" w:eastAsia="宋体" w:cs="宋体"/>
          <w:color w:val="auto"/>
          <w:sz w:val="24"/>
          <w:szCs w:val="24"/>
        </w:rPr>
        <w:t>6.4对于没有提出疑问又参与了本项目投标的投标人将被视为完全认同本招标文件（含更正公告的内容）</w:t>
      </w:r>
      <w:r>
        <w:rPr>
          <w:rFonts w:hint="eastAsia" w:ascii="宋体" w:hAnsi="宋体" w:eastAsia="宋体" w:cs="宋体"/>
          <w:i/>
          <w:color w:val="auto"/>
          <w:sz w:val="24"/>
          <w:szCs w:val="24"/>
        </w:rPr>
        <w:t>。</w:t>
      </w:r>
    </w:p>
    <w:p w14:paraId="3F89803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7.投标范围及投标文件中标准和计量单位的使用</w:t>
      </w:r>
    </w:p>
    <w:p w14:paraId="6BA5E60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7.1项目有分包的，投标人可对招标文件其中某一个或几个分包进行投标，除非在</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中另有规定。</w:t>
      </w:r>
    </w:p>
    <w:p w14:paraId="2F03885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153C5F9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bookmarkStart w:id="48" w:name="_Hlk16458980"/>
      <w:r>
        <w:rPr>
          <w:rFonts w:hint="eastAsia" w:ascii="宋体" w:hAnsi="宋体" w:eastAsia="宋体" w:cs="宋体"/>
          <w:color w:val="auto"/>
          <w:sz w:val="24"/>
          <w:szCs w:val="24"/>
        </w:rPr>
        <w:t>7.3无论招标文件中是否要求，投标人所投货物、服务及工程（如有）均应符合国家强制性标准。</w:t>
      </w:r>
    </w:p>
    <w:bookmarkEnd w:id="48"/>
    <w:p w14:paraId="4A18766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D8CE6B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7.5除招标文件中有特殊要求外，投标文件中所使用的计量单位，应采用中华人民共和国法定计量单位。</w:t>
      </w:r>
    </w:p>
    <w:p w14:paraId="0F192BA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8.投标文件构成</w:t>
      </w:r>
    </w:p>
    <w:p w14:paraId="195F512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8.1投标人应完整地按招标文件提供的投标文件格式及要求编写投标文件，具体内容详见本项目投标文件格式的相关内容。</w:t>
      </w:r>
    </w:p>
    <w:p w14:paraId="1249384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8.2投标人应提交招标文件要求的证明文件，证明其投标内容符合招标文件规定，该证明文件是投标文件的一部分。证明文件形式可以是文字资料、图纸和数据</w:t>
      </w:r>
      <w:bookmarkStart w:id="49" w:name="_Hlk11703583"/>
      <w:r>
        <w:rPr>
          <w:rFonts w:hint="eastAsia" w:ascii="宋体" w:hAnsi="宋体" w:eastAsia="宋体" w:cs="宋体"/>
          <w:color w:val="auto"/>
          <w:sz w:val="24"/>
          <w:szCs w:val="24"/>
        </w:rPr>
        <w:t>等。</w:t>
      </w:r>
    </w:p>
    <w:bookmarkEnd w:id="49"/>
    <w:p w14:paraId="5726D63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8.3为保证公平公正，除非另有规定或说明，投标人对同一项目投标时，不得同时提供备选投标方案。</w:t>
      </w:r>
    </w:p>
    <w:p w14:paraId="165FBBE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9.投标报价</w:t>
      </w:r>
    </w:p>
    <w:p w14:paraId="2ADBE24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12.1投标人的报价应当包括满足本次招标全部采购需求。除招标文件另有规定外，所有投标均应以人民币报价。投标人的投标报价应遵守《中华人民共和国价格法》。</w:t>
      </w:r>
    </w:p>
    <w:p w14:paraId="574FF29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9.2投标人报价超过招标文件规定的预算金额或者分项、分包最高限价，其投标将被认定为</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p w14:paraId="1AAE92E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9.3投标报价在合同履行过程中是固定不变的，不得以任何理由予以变更。任何包含价格调整要求的投标，其投标将被认定为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162AE49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67714C5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9.5采购人不接受具有附加条件的报价。</w:t>
      </w:r>
    </w:p>
    <w:p w14:paraId="634407E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10.投标保证金</w:t>
      </w:r>
    </w:p>
    <w:p w14:paraId="25493C7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10.1本项目不收取投标保证金。</w:t>
      </w:r>
    </w:p>
    <w:p w14:paraId="4477ADE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11.投标有效期</w:t>
      </w:r>
    </w:p>
    <w:p w14:paraId="43C4C2D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11.1投标有效期为从投标截止之日算起的日历天数，投标有效期详见</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w:t>
      </w:r>
    </w:p>
    <w:p w14:paraId="1D33FD4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12F9749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9EFAC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12.投标文件的递交、修改与撤回</w:t>
      </w:r>
    </w:p>
    <w:p w14:paraId="37A90A73">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12.1投标人应当在招标公告规定的投标截止时间前，</w:t>
      </w:r>
      <w:r>
        <w:rPr>
          <w:rFonts w:hint="eastAsia" w:ascii="宋体" w:hAnsi="宋体" w:eastAsia="宋体" w:cs="宋体"/>
          <w:color w:val="auto"/>
          <w:sz w:val="24"/>
          <w:szCs w:val="24"/>
          <w:highlight w:val="none"/>
          <w:lang w:val="en-US" w:eastAsia="zh-CN"/>
        </w:rPr>
        <w:t>将</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val="en-US" w:eastAsia="zh-CN"/>
        </w:rPr>
        <w:t>递交至规定地点</w:t>
      </w:r>
      <w:r>
        <w:rPr>
          <w:rFonts w:hint="eastAsia" w:ascii="宋体" w:hAnsi="宋体" w:eastAsia="宋体" w:cs="宋体"/>
          <w:color w:val="auto"/>
          <w:sz w:val="24"/>
          <w:szCs w:val="24"/>
          <w:highlight w:val="none"/>
        </w:rPr>
        <w:t>。</w:t>
      </w:r>
    </w:p>
    <w:p w14:paraId="4308BE81">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12.2投标人应当在投标截止时间前完成投标文件的递交，并可以补充、修改或者撤回投标文件。投标截止时间前未完成投标文件</w:t>
      </w: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的，视为撤回投标文件。</w:t>
      </w:r>
    </w:p>
    <w:p w14:paraId="1EDB7DD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rPr>
        <w:t>13.开标</w:t>
      </w:r>
    </w:p>
    <w:p w14:paraId="6E14FE2A">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开标时，采购代理机构将公布投标人名称、投标价格及招标文件规定的内容。</w:t>
      </w:r>
    </w:p>
    <w:p w14:paraId="4C831997">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采购人或采购代理机构将对开标过程进行记录，并存档备查。</w:t>
      </w:r>
    </w:p>
    <w:p w14:paraId="5E4CE60C">
      <w:pPr>
        <w:spacing w:line="500" w:lineRule="exact"/>
        <w:ind w:left="-420" w:leftChars="-200" w:firstLine="436" w:firstLineChars="182"/>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投标人代表对开标过程和开标记录有疑义，以及认为采购人、采购代理机构相关工作人员有需要回避的情形的，应当场提出询问或者回避申请。</w:t>
      </w:r>
    </w:p>
    <w:p w14:paraId="22AEC0D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14.资格审查及组建评标委员会</w:t>
      </w:r>
    </w:p>
    <w:p w14:paraId="3FC36AF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14.1采购人或采购代理机构依据法律法规和招标文件中规定的内容，对投标人资格进行审查，未通过资格审查的投标人不进入评标。</w:t>
      </w:r>
    </w:p>
    <w:p w14:paraId="6180718B">
      <w:pPr>
        <w:spacing w:line="500" w:lineRule="exact"/>
        <w:ind w:left="-420" w:leftChars="-200" w:firstLine="436" w:firstLineChars="182"/>
        <w:jc w:val="left"/>
        <w:rPr>
          <w:rFonts w:ascii="宋体" w:hAnsi="宋体" w:eastAsia="宋体" w:cs="宋体"/>
          <w:color w:val="auto"/>
          <w:sz w:val="24"/>
          <w:szCs w:val="24"/>
          <w:highlight w:val="none"/>
        </w:rPr>
      </w:pPr>
      <w:bookmarkStart w:id="50" w:name="_Hlk24663244"/>
      <w:r>
        <w:rPr>
          <w:rFonts w:hint="eastAsia" w:ascii="宋体" w:hAnsi="宋体" w:eastAsia="宋体" w:cs="宋体"/>
          <w:color w:val="auto"/>
          <w:sz w:val="24"/>
          <w:szCs w:val="24"/>
        </w:rPr>
        <w:t>14.2</w:t>
      </w:r>
      <w:r>
        <w:rPr>
          <w:rFonts w:hint="eastAsia" w:ascii="宋体" w:hAnsi="宋体" w:eastAsia="宋体" w:cs="宋体"/>
          <w:color w:val="auto"/>
          <w:sz w:val="24"/>
          <w:szCs w:val="24"/>
          <w:highlight w:val="none"/>
        </w:rPr>
        <w:t>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EDC6FE5">
      <w:pPr>
        <w:spacing w:line="500" w:lineRule="exact"/>
        <w:ind w:left="-420" w:leftChars="-200" w:firstLine="436" w:firstLineChars="18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EC707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50"/>
    <w:p w14:paraId="65D3258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14.3按照《中华人民共和国政府采购法》、《中华人民共和国政府采购法实施条例》及本项目本级和上级财政部门、政府采购监督管理部门的有关规定依法组建的评标委员会，负责本项目评标工作。</w:t>
      </w:r>
    </w:p>
    <w:p w14:paraId="44C352C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15.投标文件符合性审查与澄清</w:t>
      </w:r>
    </w:p>
    <w:p w14:paraId="1ABDDFA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15.1符合性审查是指依据招标文件的规定，从投标文件的有效性和完整性对招标文件的响应程度进行审查，以确定是否对招标文件的实质性要求做出响应。</w:t>
      </w:r>
    </w:p>
    <w:p w14:paraId="0FE949C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15.2投标文件的澄清</w:t>
      </w:r>
    </w:p>
    <w:p w14:paraId="6DB50DA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C69C3A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如有询标，投标人授权代表（或法定代表人）凭本人有效身份证明参加询标。因投标人授权代表联系不上等情形而无法接受评标委员会询标的，投标人自行承担相关风险。</w:t>
      </w:r>
    </w:p>
    <w:p w14:paraId="3281629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15.2.2投标人的澄清、说明或补正将作为投标文件的一部分。</w:t>
      </w:r>
    </w:p>
    <w:p w14:paraId="1FC82D0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15.2.3评标委员会对投标人提交的澄清、说明或补正有疑问的，可以要求投标人进一步澄清、说明或补正，直至满足评标委员会的要求。</w:t>
      </w:r>
    </w:p>
    <w:p w14:paraId="6CBD169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15.3投标文件报价出现前后不一致的，按照下列规定修正：</w:t>
      </w:r>
    </w:p>
    <w:p w14:paraId="07F7B52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（1）投标文件中开标一览表内容与投标文件中相应内容不一致的，以开标一览表为准；</w:t>
      </w:r>
    </w:p>
    <w:p w14:paraId="55857C2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（2）大写金额和小写金额不一致的，以大写金额为准；</w:t>
      </w:r>
    </w:p>
    <w:p w14:paraId="57D7473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（3）单价金额小数点或者百分比有明显错位的，以开标一览表的总价为准，并修改单价；</w:t>
      </w:r>
    </w:p>
    <w:p w14:paraId="426FE0C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（4）总价金额与按单价汇总金额不一致的，以单价金额计算结果为准。</w:t>
      </w:r>
    </w:p>
    <w:p w14:paraId="0C8F4F5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按照第15.3条的规定经投标人确认后产生约束力，无论投标人是接受或是拒绝调整后的价格，都应当由投标人在系统中确认。投标人拒绝对投标文件出现的错漏按上述原则进行修正、澄清、说明，其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5F0CCDF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对不同文字文本投标文件的解释发生异议的，以中文文本为准。</w:t>
      </w:r>
    </w:p>
    <w:p w14:paraId="5FFD82F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16.投标无效</w:t>
      </w:r>
    </w:p>
    <w:p w14:paraId="7BF3CB6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16.1根据本招标文件的规定，评标委员会要审查每份投标文件是否实质上响应了招标文件的要求。投标人不得通过修正或撤销不符合要求的偏离，从而使其投标成为实质上响应的投标。</w:t>
      </w:r>
    </w:p>
    <w:p w14:paraId="11B21EC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评标委员会决定投标的响应性只根据招标文件要求和投标文件内容。</w:t>
      </w:r>
    </w:p>
    <w:p w14:paraId="5AFF1AD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无论何种原因，即使投标人投标时携带了证书材料的，但投标文件中未提供与之内容完全一致的复印件的，评标委员会视同其未提供。</w:t>
      </w:r>
    </w:p>
    <w:p w14:paraId="2975142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16.2如发现下列情况之一的，其投标将被认定为</w:t>
      </w:r>
      <w:r>
        <w:rPr>
          <w:rFonts w:hint="eastAsia" w:ascii="宋体" w:hAnsi="宋体" w:eastAsia="宋体" w:cs="宋体"/>
          <w:b/>
          <w:color w:val="auto"/>
          <w:sz w:val="24"/>
          <w:szCs w:val="24"/>
        </w:rPr>
        <w:t>投标无效</w:t>
      </w:r>
      <w:r>
        <w:rPr>
          <w:rFonts w:hint="eastAsia" w:ascii="宋体" w:hAnsi="宋体" w:eastAsia="宋体" w:cs="宋体"/>
          <w:color w:val="auto"/>
          <w:sz w:val="24"/>
          <w:szCs w:val="24"/>
        </w:rPr>
        <w:t>：</w:t>
      </w:r>
    </w:p>
    <w:p w14:paraId="4551D75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（1）投标文件未按照招标文件规定要求签署、盖章的；</w:t>
      </w:r>
    </w:p>
    <w:p w14:paraId="10C8349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（2）不具备招标文件中规定的资格要求的；</w:t>
      </w:r>
    </w:p>
    <w:p w14:paraId="31AF3CE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（3）报价超过招标文件中规定的预算金额或者最高限价的；</w:t>
      </w:r>
    </w:p>
    <w:p w14:paraId="3F6DFA7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（4）投标文件含有采购人不能接受的附加条件的；</w:t>
      </w:r>
    </w:p>
    <w:p w14:paraId="6205277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（5）法律、法规和招标文件规定的其他无效情形。</w:t>
      </w:r>
    </w:p>
    <w:p w14:paraId="005E20D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17.比较与评价</w:t>
      </w:r>
    </w:p>
    <w:p w14:paraId="6505FC9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17.1经符合性审查合格的投标文件，评标委员会将根据招标文件确定的评标方法和标准，对其投标文件作进一步的比较与评价。</w:t>
      </w:r>
    </w:p>
    <w:p w14:paraId="6BE3966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17.2评标严格按照招标文件的要求和条件进行。根据实际情况，在</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中规定采用下列一种评标方法，详细评标方法和标准见招标文件第四章：</w:t>
      </w:r>
    </w:p>
    <w:p w14:paraId="04ED263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综合评分法，是指投标文件满足招标文件全部实质性要求，且按照评审因素的量化指标评审得分最高的投标人为中标候选人的评标方法。</w:t>
      </w:r>
    </w:p>
    <w:p w14:paraId="717D8C0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18.废标、重新招标与变更采购方式</w:t>
      </w:r>
    </w:p>
    <w:p w14:paraId="1219B52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18.1出现下列情形之一，将导致项目废标：</w:t>
      </w:r>
    </w:p>
    <w:p w14:paraId="73D7D56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（1）符合专业条件的供应商或者对招标文件做实质性响应的供应商不足规定数量的；</w:t>
      </w:r>
    </w:p>
    <w:p w14:paraId="7CC4EFC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1A4AC88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（3）投标人的报价均超过了采购预算，采购人不能支付的；</w:t>
      </w:r>
    </w:p>
    <w:p w14:paraId="7D3BB9E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1AFE62A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18.2公开招标数额标准以上的采购项目，投标截止后投标人不足3家或者通过资格审查或符合性审查的投标人不足3家的，除采购任务取消情形外，按照以下方式处理：</w:t>
      </w:r>
    </w:p>
    <w:p w14:paraId="0F0BA0B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（1）招标文件存在不合理条款或者招标程序不符合规定的，采购人、采购代理机构改正后依法重新招标；</w:t>
      </w:r>
    </w:p>
    <w:p w14:paraId="6E7A202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（2）招标文件没有不合理条款、招标程序符合规定，需要采用其他采购方式采购的，采购人应当依法报政府采购监督管理部门批准。</w:t>
      </w:r>
    </w:p>
    <w:p w14:paraId="70AFD35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19.保密要求</w:t>
      </w:r>
    </w:p>
    <w:p w14:paraId="3BE47B1A">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19.1评标将在严格保密的情况下进行。</w:t>
      </w:r>
    </w:p>
    <w:p w14:paraId="3F2656B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19.2有关人员应当遵守评标工作纪律，不得泄露评标文件、评标情况和评标中获悉的国家秘密、商业秘密。</w:t>
      </w:r>
    </w:p>
    <w:p w14:paraId="3BC9151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20.中标候选人的确定原则及标准</w:t>
      </w:r>
    </w:p>
    <w:p w14:paraId="4D59581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20.1评标委员会依据本项目招标文件所约定的评标方法，对实质上响应招标文件的投标人按下列方法进行排序，确定中标候选人：</w:t>
      </w:r>
    </w:p>
    <w:p w14:paraId="5FB0094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采用综合评分法的，评标结果按评审后得分由高到低顺序排列。得分相同的，按投标报价由低到高顺序排列。得分与投标报价均相同的，则采取评标委员会随机抽取的方式确定中标候选顺序。</w:t>
      </w:r>
    </w:p>
    <w:p w14:paraId="4F5AE80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21.确定中标候选人和中标人</w:t>
      </w:r>
    </w:p>
    <w:p w14:paraId="7E01FF8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21.1评标委员会将根据评标标准，按</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中规定数量推荐中标候选人。</w:t>
      </w:r>
    </w:p>
    <w:p w14:paraId="3ECD235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21.2按</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中规定，由评标委员会或采购人确定中标人。</w:t>
      </w:r>
    </w:p>
    <w:p w14:paraId="6995371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21.3因重大变故采购任务取消时，采购人有权拒绝任何投标人中标，且对受影响的投标人不承担任何责任。</w:t>
      </w:r>
    </w:p>
    <w:p w14:paraId="6AE3C87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22.编写评标报告</w:t>
      </w:r>
    </w:p>
    <w:p w14:paraId="4A6027E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52ADA6">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23.中标结果公告</w:t>
      </w:r>
    </w:p>
    <w:p w14:paraId="69C8B11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23.1除</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5A94FB2">
      <w:pPr>
        <w:keepNext w:val="0"/>
        <w:keepLines w:val="0"/>
        <w:pageBreakBefore w:val="0"/>
        <w:widowControl w:val="0"/>
        <w:kinsoku/>
        <w:wordWrap w:val="0"/>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23.2自中标人确定之日</w:t>
      </w:r>
      <w:r>
        <w:rPr>
          <w:rFonts w:hint="eastAsia" w:ascii="宋体" w:hAnsi="宋体" w:eastAsia="宋体" w:cs="宋体"/>
          <w:color w:val="auto"/>
          <w:sz w:val="24"/>
          <w:szCs w:val="24"/>
          <w:highlight w:val="none"/>
        </w:rPr>
        <w:t>起2个工作日内，采购代理机构将在</w:t>
      </w:r>
      <w:r>
        <w:rPr>
          <w:rFonts w:hint="eastAsia" w:ascii="宋体" w:hAnsi="宋体" w:eastAsia="宋体" w:cs="宋体"/>
          <w:color w:val="auto"/>
          <w:sz w:val="24"/>
          <w:szCs w:val="24"/>
          <w:highlight w:val="none"/>
          <w:lang w:val="en-US" w:eastAsia="zh-CN"/>
        </w:rPr>
        <w:t>滁州市琅琊区人民政府（https://www.lyq.gov.cn/）</w:t>
      </w:r>
      <w:r>
        <w:rPr>
          <w:rFonts w:hint="eastAsia" w:ascii="宋体" w:hAnsi="宋体" w:eastAsia="宋体" w:cs="宋体"/>
          <w:color w:val="auto"/>
          <w:sz w:val="24"/>
          <w:szCs w:val="24"/>
          <w:highlight w:val="none"/>
        </w:rPr>
        <w:t>发布中标结果公告。</w:t>
      </w:r>
    </w:p>
    <w:p w14:paraId="377F2A0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23.3中标结果公告内容应当包括</w:t>
      </w:r>
      <w:r>
        <w:rPr>
          <w:rFonts w:hint="eastAsia" w:ascii="宋体" w:hAnsi="宋体" w:eastAsia="宋体" w:cs="宋体"/>
          <w:color w:val="auto"/>
          <w:sz w:val="24"/>
          <w:szCs w:val="24"/>
        </w:rPr>
        <w:t>采购人及其委托的采购代理机构的名称、地址、联系方式，项目名称，中标人名称、地址和中标金额，主要中标标的的名称、服务范围、服务要求、服务时间、服务标准，中标公告期限、评审专家名单以及</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中约定进行公告的内容。中标公告期限为1个工作日。</w:t>
      </w:r>
    </w:p>
    <w:p w14:paraId="186D99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24.中标通知书</w:t>
      </w:r>
    </w:p>
    <w:p w14:paraId="25D68F45">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24.1采购代理机构发布中标结果公告</w:t>
      </w:r>
      <w:r>
        <w:rPr>
          <w:rFonts w:hint="eastAsia" w:ascii="宋体" w:hAnsi="宋体" w:eastAsia="宋体" w:cs="宋体"/>
          <w:iCs/>
          <w:color w:val="auto"/>
          <w:sz w:val="24"/>
          <w:szCs w:val="24"/>
        </w:rPr>
        <w:t>的</w:t>
      </w:r>
      <w:r>
        <w:rPr>
          <w:rFonts w:hint="eastAsia" w:ascii="宋体" w:hAnsi="宋体" w:eastAsia="宋体" w:cs="宋体"/>
          <w:color w:val="auto"/>
          <w:sz w:val="24"/>
          <w:szCs w:val="24"/>
        </w:rPr>
        <w:t>同时以</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规定的形式向中标人发出中标通知书。中标通知书须加盖采购人、采购代理机构公章，方可发出。</w:t>
      </w:r>
    </w:p>
    <w:p w14:paraId="689F1497">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24.2中标通知书对采购人和中标人具有同等法律效力。中标通知书发出以后，采购人改变中标结果或者中标人放弃中标，应当承担相应的法律责任。</w:t>
      </w:r>
    </w:p>
    <w:p w14:paraId="1F781CC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24.3中标通知书是合同的组成部分。</w:t>
      </w:r>
    </w:p>
    <w:p w14:paraId="6FD6B57B">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25.告知招标结果</w:t>
      </w:r>
    </w:p>
    <w:p w14:paraId="56F0D1E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25.1在公告中标结果的同时，采购代理机构同时以</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规定的形式告知未通过资格审查的投标人未通过的原因；采用综合评分法评审的，还将告知未中标人本人的评审得分和排序。</w:t>
      </w:r>
    </w:p>
    <w:p w14:paraId="76CAFC9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26.履约保证金</w:t>
      </w:r>
    </w:p>
    <w:p w14:paraId="0368B5D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26.1中标人应按照</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规定缴纳履约保证金。</w:t>
      </w:r>
    </w:p>
    <w:p w14:paraId="2C1411C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26.2如果中标人没有按照上述履约保证金的规定执行，将视为放弃中标资格。在此情况下，采购人可确定下一中标候选人为中标人，也可以重新开展采购活动。</w:t>
      </w:r>
    </w:p>
    <w:p w14:paraId="37F762E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27.签订合同</w:t>
      </w:r>
    </w:p>
    <w:p w14:paraId="166F79C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27.1采购人与中标人应当按照</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规定的时间内完成采购合同签订及合同公告。</w:t>
      </w:r>
    </w:p>
    <w:p w14:paraId="18F38D8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27.2招标文件、中标人的投标文件及其澄清文件等，均为签订合同的依据。</w:t>
      </w:r>
    </w:p>
    <w:p w14:paraId="4E87625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27.3中标人拒绝与采购人签订合同的，采购人可以按照评审报告推荐的中标候选人名单排序，确定下一中标候选人为中标人，也可以重新开展政府采购活动。</w:t>
      </w:r>
    </w:p>
    <w:p w14:paraId="75FA689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28.代理费用</w:t>
      </w:r>
    </w:p>
    <w:p w14:paraId="3C59E793">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28.1本项目代理费用的收取按</w:t>
      </w:r>
      <w:r>
        <w:rPr>
          <w:rFonts w:hint="eastAsia" w:ascii="宋体" w:hAnsi="宋体" w:eastAsia="宋体" w:cs="宋体"/>
          <w:color w:val="auto"/>
          <w:sz w:val="24"/>
          <w:szCs w:val="24"/>
          <w:u w:val="single"/>
        </w:rPr>
        <w:t>投标人须知前附表的</w:t>
      </w:r>
      <w:r>
        <w:rPr>
          <w:rFonts w:hint="eastAsia" w:ascii="宋体" w:hAnsi="宋体" w:eastAsia="宋体" w:cs="宋体"/>
          <w:color w:val="auto"/>
          <w:sz w:val="24"/>
          <w:szCs w:val="24"/>
        </w:rPr>
        <w:t>规定执行。</w:t>
      </w:r>
    </w:p>
    <w:p w14:paraId="675CB36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bookmarkStart w:id="51" w:name="_Toc2583661"/>
      <w:bookmarkStart w:id="52" w:name="_Toc518923100"/>
      <w:r>
        <w:rPr>
          <w:rFonts w:hint="eastAsia" w:ascii="宋体" w:hAnsi="宋体" w:eastAsia="宋体" w:cs="宋体"/>
          <w:b/>
          <w:color w:val="auto"/>
          <w:sz w:val="24"/>
          <w:szCs w:val="24"/>
        </w:rPr>
        <w:t>29.廉洁自律规定</w:t>
      </w:r>
      <w:bookmarkEnd w:id="51"/>
      <w:bookmarkEnd w:id="52"/>
    </w:p>
    <w:p w14:paraId="0BFF5892">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29.1采购代理机构工作人员不得以不正当手段获取政府采购代理业务，不得与采购人、供应商恶意串通。</w:t>
      </w:r>
    </w:p>
    <w:p w14:paraId="4BEC0E34">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29.2采购代理机构工作人员不得接受采购人或者供应商组织的宴请、旅游、娱乐，不得收受礼品、现金、有价证券等，不得向采购人或者供应商报销应当由个人承担的费用。</w:t>
      </w:r>
    </w:p>
    <w:p w14:paraId="3BC3483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bookmarkStart w:id="53" w:name="_Toc518923101"/>
      <w:bookmarkStart w:id="54" w:name="_Toc2583662"/>
      <w:r>
        <w:rPr>
          <w:rFonts w:hint="eastAsia" w:ascii="宋体" w:hAnsi="宋体" w:eastAsia="宋体" w:cs="宋体"/>
          <w:b/>
          <w:color w:val="auto"/>
          <w:sz w:val="24"/>
          <w:szCs w:val="24"/>
        </w:rPr>
        <w:t>30.人员回避</w:t>
      </w:r>
      <w:bookmarkEnd w:id="53"/>
      <w:bookmarkEnd w:id="54"/>
    </w:p>
    <w:p w14:paraId="014811BE">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投标人认为采购人员及其相关人员有法律法规所列与其他供应商有利害关系的，可以向采购人或采购代理机构书面提出回避申请，并说明理由。</w:t>
      </w:r>
    </w:p>
    <w:p w14:paraId="303C5259">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31.质疑的提出与接收</w:t>
      </w:r>
    </w:p>
    <w:p w14:paraId="5A35DCE8">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31.1投标人认为招标文件、招标过程和中标结果使自己的权益受到损害的，可以在知道或者应知其权益受到损害之日起七个工作日内，以书面形式向采购人或其委托的采购代理机构提出质疑。</w:t>
      </w:r>
    </w:p>
    <w:p w14:paraId="7A38E690">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31.2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4AF8B6CC">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32.投诉</w:t>
      </w:r>
    </w:p>
    <w:p w14:paraId="58468B05">
      <w:pPr>
        <w:keepNext w:val="0"/>
        <w:keepLines w:val="0"/>
        <w:pageBreakBefore w:val="0"/>
        <w:widowControl w:val="0"/>
        <w:kinsoku/>
        <w:wordWrap w:val="0"/>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32.1质疑投标人对采购人、采购代理机构的答复不满意，或者采购人、采购代理机构未在规定的时间内答复的，可以在答复期满后十五个工作日内按有关规定，以书面形式向同级政府采购监督管理部门提出投诉或者线上提交投诉材料。</w:t>
      </w:r>
    </w:p>
    <w:p w14:paraId="0772A08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32.2政府采购监督管理部门应当在收到投诉后30个工作日内，对投诉事项作出处理决定，并以书面形式通知投诉人和与投诉事项有关的当事人。政府采购监督管理部门处理投诉事项，需要检验、检测、鉴定、专家评审以及需要投诉人补正材料的，所需时间不计算在投诉处理期限内。</w:t>
      </w:r>
    </w:p>
    <w:p w14:paraId="268AAECD">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32.3政府采购监督管理部门在处理投诉事项期间，可以视具体情况书面通知采购人暂停采购活动，但暂停时间最长不得超过30日。</w:t>
      </w:r>
    </w:p>
    <w:p w14:paraId="5B32A0F1">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2" w:firstLineChars="200"/>
        <w:textAlignment w:val="auto"/>
        <w:outlineLvl w:val="2"/>
        <w:rPr>
          <w:rFonts w:hint="eastAsia" w:ascii="宋体" w:hAnsi="宋体" w:eastAsia="宋体" w:cs="宋体"/>
          <w:b/>
          <w:color w:val="auto"/>
          <w:sz w:val="24"/>
          <w:szCs w:val="24"/>
        </w:rPr>
      </w:pPr>
      <w:r>
        <w:rPr>
          <w:rFonts w:hint="eastAsia" w:ascii="宋体" w:hAnsi="宋体" w:eastAsia="宋体" w:cs="宋体"/>
          <w:b/>
          <w:color w:val="auto"/>
          <w:sz w:val="24"/>
          <w:szCs w:val="24"/>
        </w:rPr>
        <w:t>33.需要补充的其他内容</w:t>
      </w:r>
    </w:p>
    <w:p w14:paraId="63416F3F">
      <w:pPr>
        <w:keepNext w:val="0"/>
        <w:keepLines w:val="0"/>
        <w:pageBreakBefore w:val="0"/>
        <w:widowControl w:val="0"/>
        <w:kinsoku/>
        <w:overflowPunct/>
        <w:topLinePunct w:val="0"/>
        <w:autoSpaceDE/>
        <w:autoSpaceDN/>
        <w:bidi w:val="0"/>
        <w:adjustRightInd/>
        <w:snapToGrid/>
        <w:spacing w:line="500" w:lineRule="exact"/>
        <w:ind w:left="-420" w:leftChars="-200" w:right="-313" w:rightChars="-149"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需要补充的其他内容，见</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w:t>
      </w:r>
    </w:p>
    <w:p w14:paraId="00756EA6">
      <w:pPr>
        <w:keepNext w:val="0"/>
        <w:keepLines w:val="0"/>
        <w:pageBreakBefore w:val="0"/>
        <w:widowControl/>
        <w:kinsoku/>
        <w:overflowPunct/>
        <w:topLinePunct w:val="0"/>
        <w:autoSpaceDE/>
        <w:autoSpaceDN/>
        <w:bidi w:val="0"/>
        <w:adjustRightInd/>
        <w:snapToGrid/>
        <w:ind w:firstLine="480" w:firstLineChars="200"/>
        <w:jc w:val="left"/>
        <w:textAlignment w:val="auto"/>
        <w:rPr>
          <w:rFonts w:ascii="宋体" w:hAnsi="宋体" w:eastAsia="宋体" w:cs="宋体"/>
          <w:b/>
          <w:color w:val="auto"/>
          <w:sz w:val="28"/>
        </w:rPr>
      </w:pPr>
      <w:r>
        <w:rPr>
          <w:rFonts w:hint="eastAsia" w:ascii="宋体" w:hAnsi="宋体" w:eastAsia="宋体" w:cs="宋体"/>
          <w:color w:val="auto"/>
          <w:sz w:val="24"/>
        </w:rPr>
        <w:br w:type="page"/>
      </w:r>
    </w:p>
    <w:p w14:paraId="6265C794">
      <w:pPr>
        <w:numPr>
          <w:ilvl w:val="0"/>
          <w:numId w:val="2"/>
        </w:numPr>
        <w:spacing w:line="360" w:lineRule="auto"/>
        <w:jc w:val="center"/>
        <w:outlineLvl w:val="0"/>
        <w:rPr>
          <w:rFonts w:ascii="宋体" w:hAnsi="宋体" w:eastAsia="宋体" w:cs="宋体"/>
          <w:b/>
          <w:color w:val="auto"/>
          <w:sz w:val="28"/>
        </w:rPr>
      </w:pPr>
      <w:r>
        <w:rPr>
          <w:rFonts w:hint="eastAsia" w:ascii="宋体" w:hAnsi="宋体" w:eastAsia="宋体" w:cs="宋体"/>
          <w:b/>
          <w:color w:val="auto"/>
          <w:sz w:val="28"/>
        </w:rPr>
        <w:t xml:space="preserve"> </w:t>
      </w:r>
      <w:bookmarkStart w:id="55" w:name="_Toc22605"/>
      <w:r>
        <w:rPr>
          <w:rFonts w:hint="eastAsia" w:ascii="宋体" w:hAnsi="宋体" w:eastAsia="宋体" w:cs="宋体"/>
          <w:b/>
          <w:color w:val="auto"/>
          <w:sz w:val="28"/>
        </w:rPr>
        <w:t>采购需求</w:t>
      </w:r>
      <w:bookmarkEnd w:id="55"/>
    </w:p>
    <w:p w14:paraId="6E3E56F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宋体" w:hAnsi="宋体" w:eastAsia="宋体" w:cs="宋体"/>
          <w:b/>
          <w:color w:val="auto"/>
          <w:sz w:val="24"/>
        </w:rPr>
      </w:pPr>
      <w:r>
        <w:rPr>
          <w:rFonts w:hint="eastAsia" w:ascii="宋体" w:hAnsi="宋体" w:eastAsia="宋体" w:cs="宋体"/>
          <w:b/>
          <w:color w:val="auto"/>
          <w:sz w:val="24"/>
        </w:rPr>
        <w:t>前注：</w:t>
      </w:r>
    </w:p>
    <w:p w14:paraId="6A414DE4">
      <w:pPr>
        <w:keepNext w:val="0"/>
        <w:keepLines w:val="0"/>
        <w:pageBreakBefore w:val="0"/>
        <w:widowControl w:val="0"/>
        <w:kinsoku/>
        <w:wordWrap/>
        <w:overflowPunct/>
        <w:topLinePunct w:val="0"/>
        <w:autoSpaceDE/>
        <w:autoSpaceDN/>
        <w:bidi w:val="0"/>
        <w:adjustRightInd/>
        <w:snapToGrid/>
        <w:spacing w:line="500" w:lineRule="exact"/>
        <w:ind w:firstLine="435"/>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75B500E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2.政府采购政策（包括但不限于下列具体政策要求）：</w:t>
      </w:r>
    </w:p>
    <w:p w14:paraId="66832F2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40E39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819A10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宋体" w:hAnsi="宋体" w:eastAsia="宋体" w:cs="宋体"/>
          <w:bCs/>
          <w:color w:val="auto"/>
          <w:sz w:val="24"/>
          <w:szCs w:val="18"/>
        </w:rPr>
      </w:pPr>
      <w:r>
        <w:rPr>
          <w:rFonts w:hint="eastAsia" w:ascii="宋体" w:hAnsi="宋体" w:eastAsia="宋体" w:cs="宋体"/>
          <w:color w:val="auto"/>
          <w:sz w:val="24"/>
          <w:szCs w:val="24"/>
        </w:rPr>
        <w:t>3.如采购人允许采用分包方式履行合同的，应当明确可以分包履行的相关内容。</w:t>
      </w:r>
    </w:p>
    <w:p w14:paraId="24550F24">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437"/>
        <w:jc w:val="left"/>
        <w:textAlignment w:val="auto"/>
        <w:outlineLvl w:val="1"/>
        <w:rPr>
          <w:rFonts w:ascii="宋体" w:hAnsi="宋体" w:eastAsia="宋体" w:cs="宋体"/>
          <w:b/>
          <w:color w:val="auto"/>
          <w:sz w:val="24"/>
          <w:szCs w:val="18"/>
        </w:rPr>
      </w:pPr>
      <w:bookmarkStart w:id="56" w:name="_Toc21798"/>
      <w:bookmarkStart w:id="57" w:name="_Toc4148"/>
      <w:bookmarkStart w:id="58" w:name="_Hlk23621890"/>
      <w:r>
        <w:rPr>
          <w:rFonts w:hint="eastAsia" w:ascii="宋体" w:hAnsi="宋体" w:eastAsia="宋体" w:cs="宋体"/>
          <w:b/>
          <w:color w:val="auto"/>
          <w:sz w:val="24"/>
          <w:szCs w:val="18"/>
        </w:rPr>
        <w:t>一、采购需求前附表</w:t>
      </w:r>
      <w:bookmarkEnd w:id="56"/>
      <w:bookmarkEnd w:id="57"/>
    </w:p>
    <w:tbl>
      <w:tblPr>
        <w:tblStyle w:val="28"/>
        <w:tblW w:w="55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982"/>
        <w:gridCol w:w="6708"/>
      </w:tblGrid>
      <w:tr w14:paraId="6190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31EB86C4">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
                <w:color w:val="auto"/>
                <w:kern w:val="2"/>
                <w:sz w:val="24"/>
                <w:szCs w:val="24"/>
              </w:rPr>
            </w:pPr>
            <w:r>
              <w:rPr>
                <w:rFonts w:hint="eastAsia" w:ascii="宋体" w:hAnsi="宋体" w:eastAsia="宋体" w:cs="宋体"/>
                <w:b/>
                <w:color w:val="auto"/>
                <w:kern w:val="2"/>
                <w:sz w:val="24"/>
                <w:szCs w:val="24"/>
              </w:rPr>
              <w:t>序号</w:t>
            </w:r>
          </w:p>
        </w:tc>
        <w:tc>
          <w:tcPr>
            <w:tcW w:w="1043" w:type="pct"/>
            <w:vAlign w:val="center"/>
          </w:tcPr>
          <w:p w14:paraId="3662775E">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条款名称</w:t>
            </w:r>
          </w:p>
        </w:tc>
        <w:tc>
          <w:tcPr>
            <w:tcW w:w="3530" w:type="pct"/>
            <w:vAlign w:val="center"/>
          </w:tcPr>
          <w:p w14:paraId="3C0FC422">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Cs w:val="0"/>
                <w:color w:val="auto"/>
                <w:sz w:val="24"/>
                <w:szCs w:val="24"/>
              </w:rPr>
            </w:pPr>
            <w:r>
              <w:rPr>
                <w:rFonts w:hint="eastAsia" w:ascii="宋体" w:hAnsi="宋体" w:eastAsia="宋体" w:cs="宋体"/>
                <w:bCs w:val="0"/>
                <w:color w:val="auto"/>
                <w:sz w:val="24"/>
                <w:szCs w:val="24"/>
              </w:rPr>
              <w:t>内容、说明与要求</w:t>
            </w:r>
          </w:p>
        </w:tc>
      </w:tr>
      <w:tr w14:paraId="3D625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743DB40E">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color w:val="auto"/>
                <w:kern w:val="2"/>
                <w:sz w:val="24"/>
                <w:szCs w:val="24"/>
              </w:rPr>
            </w:pPr>
            <w:r>
              <w:rPr>
                <w:rFonts w:hint="eastAsia" w:ascii="宋体" w:hAnsi="宋体" w:eastAsia="宋体" w:cs="宋体"/>
                <w:bCs/>
                <w:color w:val="auto"/>
                <w:kern w:val="2"/>
                <w:sz w:val="24"/>
                <w:szCs w:val="24"/>
              </w:rPr>
              <w:t>1</w:t>
            </w:r>
          </w:p>
        </w:tc>
        <w:tc>
          <w:tcPr>
            <w:tcW w:w="1043" w:type="pct"/>
            <w:vAlign w:val="center"/>
          </w:tcPr>
          <w:p w14:paraId="3155F558">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color w:val="auto"/>
                <w:sz w:val="24"/>
                <w:szCs w:val="24"/>
              </w:rPr>
            </w:pPr>
            <w:r>
              <w:rPr>
                <w:rFonts w:hint="eastAsia" w:ascii="宋体" w:hAnsi="宋体" w:eastAsia="宋体" w:cs="宋体"/>
                <w:b w:val="0"/>
                <w:color w:val="auto"/>
                <w:sz w:val="24"/>
                <w:szCs w:val="24"/>
              </w:rPr>
              <w:t>付款方式</w:t>
            </w:r>
          </w:p>
        </w:tc>
        <w:tc>
          <w:tcPr>
            <w:tcW w:w="3530" w:type="pct"/>
            <w:vAlign w:val="center"/>
          </w:tcPr>
          <w:p w14:paraId="7486442C">
            <w:pPr>
              <w:pStyle w:val="13"/>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b w:val="0"/>
                <w:bCs/>
                <w:color w:val="auto"/>
                <w:kern w:val="0"/>
                <w:sz w:val="24"/>
                <w:szCs w:val="24"/>
                <w:u w:val="single"/>
                <w:lang w:val="en-US" w:eastAsia="zh-CN" w:bidi="ar-SA"/>
              </w:rPr>
            </w:pPr>
            <w:bookmarkStart w:id="59" w:name="OLE_LINK28"/>
            <w:r>
              <w:rPr>
                <w:rFonts w:hint="eastAsia" w:ascii="宋体" w:hAnsi="宋体" w:eastAsia="宋体" w:cs="宋体"/>
                <w:b w:val="0"/>
                <w:bCs w:val="0"/>
                <w:color w:val="auto"/>
                <w:sz w:val="24"/>
                <w:szCs w:val="24"/>
                <w:highlight w:val="none"/>
                <w:lang w:val="en-US" w:eastAsia="zh-CN"/>
              </w:rPr>
              <w:t>合同签订生效并具备实施条件后可支付合同价的40%预付款(预付款支付前，中标人须提供同等金额的见索即付预付款保函)，培训服务完成</w:t>
            </w:r>
            <w:r>
              <w:rPr>
                <w:rFonts w:hint="eastAsia" w:hAnsi="宋体" w:eastAsia="宋体" w:cs="宋体"/>
                <w:b w:val="0"/>
                <w:bCs w:val="0"/>
                <w:color w:val="auto"/>
                <w:sz w:val="24"/>
                <w:szCs w:val="24"/>
                <w:highlight w:val="none"/>
                <w:lang w:val="en-US" w:eastAsia="zh-CN"/>
              </w:rPr>
              <w:t>且相关资料整理交接至采购人</w:t>
            </w:r>
            <w:r>
              <w:rPr>
                <w:rFonts w:hint="eastAsia" w:ascii="宋体" w:hAnsi="宋体" w:eastAsia="宋体" w:cs="宋体"/>
                <w:b w:val="0"/>
                <w:bCs w:val="0"/>
                <w:color w:val="auto"/>
                <w:sz w:val="24"/>
                <w:szCs w:val="24"/>
                <w:highlight w:val="none"/>
                <w:lang w:val="en-US" w:eastAsia="zh-CN"/>
              </w:rPr>
              <w:t>后一次性付清合同款。</w:t>
            </w:r>
            <w:bookmarkEnd w:id="59"/>
          </w:p>
        </w:tc>
      </w:tr>
      <w:tr w14:paraId="0748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6BF39EB">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color w:val="auto"/>
                <w:kern w:val="2"/>
                <w:sz w:val="24"/>
                <w:szCs w:val="24"/>
              </w:rPr>
            </w:pPr>
            <w:r>
              <w:rPr>
                <w:rFonts w:hint="eastAsia" w:ascii="宋体" w:hAnsi="宋体" w:eastAsia="宋体" w:cs="宋体"/>
                <w:bCs/>
                <w:color w:val="auto"/>
                <w:kern w:val="2"/>
                <w:sz w:val="24"/>
                <w:szCs w:val="24"/>
              </w:rPr>
              <w:t>2</w:t>
            </w:r>
          </w:p>
        </w:tc>
        <w:tc>
          <w:tcPr>
            <w:tcW w:w="1043" w:type="pct"/>
            <w:vAlign w:val="center"/>
          </w:tcPr>
          <w:p w14:paraId="69A74670">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color w:val="auto"/>
                <w:sz w:val="24"/>
                <w:szCs w:val="24"/>
              </w:rPr>
            </w:pPr>
            <w:r>
              <w:rPr>
                <w:rFonts w:hint="eastAsia" w:ascii="宋体" w:hAnsi="宋体" w:eastAsia="宋体" w:cs="宋体"/>
                <w:b w:val="0"/>
                <w:color w:val="auto"/>
                <w:sz w:val="24"/>
                <w:szCs w:val="24"/>
              </w:rPr>
              <w:t>服务地点</w:t>
            </w:r>
          </w:p>
        </w:tc>
        <w:tc>
          <w:tcPr>
            <w:tcW w:w="3530" w:type="pct"/>
            <w:vAlign w:val="center"/>
          </w:tcPr>
          <w:p w14:paraId="171A53C3">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bCs/>
                <w:color w:val="auto"/>
                <w:kern w:val="0"/>
                <w:sz w:val="24"/>
                <w:szCs w:val="24"/>
                <w:u w:val="single"/>
                <w:lang w:val="en-US" w:eastAsia="zh-CN" w:bidi="ar-SA"/>
              </w:rPr>
            </w:pPr>
            <w:r>
              <w:rPr>
                <w:rFonts w:hint="eastAsia" w:ascii="宋体" w:hAnsi="宋体" w:eastAsia="宋体" w:cs="宋体"/>
                <w:b w:val="0"/>
                <w:bCs/>
                <w:color w:val="auto"/>
                <w:kern w:val="0"/>
                <w:sz w:val="24"/>
                <w:szCs w:val="24"/>
                <w:u w:val="none"/>
                <w:lang w:val="en-US" w:eastAsia="zh-CN" w:bidi="ar-SA"/>
              </w:rPr>
              <w:t>采购人指定地点</w:t>
            </w:r>
          </w:p>
        </w:tc>
      </w:tr>
      <w:tr w14:paraId="762F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26" w:type="pct"/>
            <w:vAlign w:val="center"/>
          </w:tcPr>
          <w:p w14:paraId="4FEE9438">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textAlignment w:val="auto"/>
              <w:rPr>
                <w:rFonts w:ascii="宋体" w:hAnsi="宋体" w:eastAsia="宋体" w:cs="宋体"/>
                <w:bCs/>
                <w:color w:val="auto"/>
                <w:kern w:val="2"/>
                <w:sz w:val="24"/>
                <w:szCs w:val="24"/>
              </w:rPr>
            </w:pPr>
            <w:r>
              <w:rPr>
                <w:rFonts w:hint="eastAsia" w:ascii="宋体" w:hAnsi="宋体" w:eastAsia="宋体" w:cs="宋体"/>
                <w:bCs/>
                <w:color w:val="auto"/>
                <w:kern w:val="2"/>
                <w:sz w:val="24"/>
                <w:szCs w:val="24"/>
              </w:rPr>
              <w:t>3</w:t>
            </w:r>
          </w:p>
        </w:tc>
        <w:tc>
          <w:tcPr>
            <w:tcW w:w="1043" w:type="pct"/>
            <w:vAlign w:val="center"/>
          </w:tcPr>
          <w:p w14:paraId="6CB3AAF7">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textAlignment w:val="auto"/>
              <w:rPr>
                <w:rFonts w:ascii="宋体" w:hAnsi="宋体" w:eastAsia="宋体" w:cs="宋体"/>
                <w:b w:val="0"/>
                <w:color w:val="auto"/>
                <w:sz w:val="24"/>
                <w:szCs w:val="24"/>
              </w:rPr>
            </w:pPr>
            <w:r>
              <w:rPr>
                <w:rFonts w:hint="eastAsia" w:ascii="宋体" w:hAnsi="宋体" w:eastAsia="宋体" w:cs="宋体"/>
                <w:b w:val="0"/>
                <w:color w:val="auto"/>
                <w:sz w:val="24"/>
                <w:szCs w:val="24"/>
              </w:rPr>
              <w:t>服务期限</w:t>
            </w:r>
          </w:p>
        </w:tc>
        <w:tc>
          <w:tcPr>
            <w:tcW w:w="3530" w:type="pct"/>
            <w:vAlign w:val="center"/>
          </w:tcPr>
          <w:p w14:paraId="15D76C08">
            <w:pPr>
              <w:pStyle w:val="46"/>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b w:val="0"/>
                <w:color w:val="auto"/>
                <w:sz w:val="24"/>
                <w:szCs w:val="24"/>
                <w:lang w:eastAsia="zh-CN"/>
              </w:rPr>
            </w:pPr>
            <w:r>
              <w:rPr>
                <w:rFonts w:hint="eastAsia" w:ascii="宋体" w:hAnsi="宋体" w:eastAsia="宋体" w:cs="宋体"/>
                <w:b w:val="0"/>
                <w:color w:val="auto"/>
                <w:sz w:val="24"/>
                <w:szCs w:val="24"/>
                <w:lang w:eastAsia="zh-CN"/>
              </w:rPr>
              <w:t>合同签订后，按采购人要求在规定时间内开展培训活动。</w:t>
            </w:r>
          </w:p>
        </w:tc>
      </w:tr>
      <w:bookmarkEnd w:id="58"/>
    </w:tbl>
    <w:p w14:paraId="54B4CE06">
      <w:pPr>
        <w:keepNext w:val="0"/>
        <w:keepLines w:val="0"/>
        <w:pageBreakBefore w:val="0"/>
        <w:widowControl w:val="0"/>
        <w:kinsoku/>
        <w:wordWrap/>
        <w:overflowPunct/>
        <w:topLinePunct w:val="0"/>
        <w:autoSpaceDE/>
        <w:autoSpaceDN/>
        <w:bidi w:val="0"/>
        <w:adjustRightInd/>
        <w:snapToGrid/>
        <w:spacing w:before="95" w:beforeLines="30" w:after="95" w:afterLines="30" w:line="500" w:lineRule="exact"/>
        <w:ind w:firstLine="437"/>
        <w:jc w:val="left"/>
        <w:textAlignment w:val="auto"/>
        <w:outlineLvl w:val="1"/>
        <w:rPr>
          <w:rFonts w:hint="eastAsia" w:ascii="宋体" w:hAnsi="宋体" w:eastAsia="宋体" w:cs="宋体"/>
          <w:b/>
          <w:color w:val="auto"/>
          <w:sz w:val="24"/>
          <w:szCs w:val="18"/>
        </w:rPr>
      </w:pPr>
      <w:bookmarkStart w:id="60" w:name="_Toc30824"/>
      <w:r>
        <w:rPr>
          <w:rFonts w:hint="eastAsia" w:ascii="宋体" w:hAnsi="宋体" w:eastAsia="宋体" w:cs="宋体"/>
          <w:b/>
          <w:color w:val="auto"/>
          <w:sz w:val="24"/>
          <w:szCs w:val="18"/>
        </w:rPr>
        <w:t>二、服务需求</w:t>
      </w:r>
    </w:p>
    <w:p w14:paraId="335B14C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深入贯彻落实习近平总书记关于教育的重要论述，全面落实《教育强国建设规划纲要（2024－2035年）》《中共中央国务院关于全面深化新时代教师队伍建设改革的意见》等及安徽省、滁州市关于教育高质量发展的相关部署要求，切实提升琅琊区中小学校长办学治校专业能力，特开展本培训项目，助力区域基础教育优质均衡发展。具体服务需求如下：</w:t>
      </w:r>
    </w:p>
    <w:p w14:paraId="57C2F4B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1、培训地点：苏州市</w:t>
      </w:r>
    </w:p>
    <w:p w14:paraId="279F213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2、培训对象：滁州市琅琊区小学校长与中学校长，暂定40人</w:t>
      </w:r>
    </w:p>
    <w:p w14:paraId="636496A9">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3、培训方式：集中培训、跟岗研修</w:t>
      </w:r>
    </w:p>
    <w:p w14:paraId="0066017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4、采购需求：校长专业能力提升、跟岗研修、交流研讨、成果展示</w:t>
      </w:r>
    </w:p>
    <w:p w14:paraId="45914581">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培训目标：依据《中小学校长专业标准》，着眼教育生态变革趋势，培育学校管理者构建现代学校治理体系的系统思维，强化其教育政策转化力、学术指导力、法治共情力等复合能力，力争使参训校长在办学治校核心能力、教育决策科学水平、校园风险防控与教育惩戒规范能力、制度人本融合能力等方面有显著提升。参训校长在优质教育管理实践场景与专家指导的浸润中，能准确把握新时代校长角色定位，形成系统规范的学校管理工作体系，进一步胜任办学治校职责，推动学校实现从“规范发展”向“品质引领”的战略转型。</w:t>
      </w:r>
    </w:p>
    <w:p w14:paraId="7A967AD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yellow"/>
          <w:lang w:val="en-US" w:eastAsia="zh-CN"/>
        </w:rPr>
      </w:pPr>
    </w:p>
    <w:p w14:paraId="24F4E16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yellow"/>
          <w:lang w:eastAsia="zh-CN"/>
        </w:rPr>
      </w:pPr>
    </w:p>
    <w:p w14:paraId="06AD9DB1">
      <w:pPr>
        <w:spacing w:line="360" w:lineRule="auto"/>
        <w:jc w:val="left"/>
        <w:outlineLvl w:val="0"/>
        <w:rPr>
          <w:rFonts w:hint="eastAsia" w:ascii="宋体" w:hAnsi="宋体" w:eastAsia="宋体" w:cs="宋体"/>
          <w:b w:val="0"/>
          <w:bCs/>
          <w:color w:val="auto"/>
          <w:sz w:val="24"/>
          <w:szCs w:val="24"/>
          <w:lang w:eastAsia="zh-CN"/>
        </w:rPr>
      </w:pPr>
    </w:p>
    <w:p w14:paraId="26D45D5A">
      <w:pPr>
        <w:rPr>
          <w:rFonts w:hint="eastAsia" w:ascii="宋体" w:hAnsi="宋体" w:eastAsia="宋体" w:cs="宋体"/>
          <w:b/>
          <w:color w:val="auto"/>
          <w:sz w:val="28"/>
        </w:rPr>
      </w:pPr>
      <w:r>
        <w:rPr>
          <w:rFonts w:hint="eastAsia" w:ascii="宋体" w:hAnsi="宋体" w:eastAsia="宋体" w:cs="宋体"/>
          <w:b/>
          <w:color w:val="auto"/>
          <w:sz w:val="28"/>
        </w:rPr>
        <w:br w:type="page"/>
      </w:r>
    </w:p>
    <w:p w14:paraId="7D8CA460">
      <w:pPr>
        <w:spacing w:line="360" w:lineRule="auto"/>
        <w:ind w:firstLine="1687" w:firstLineChars="600"/>
        <w:jc w:val="left"/>
        <w:outlineLvl w:val="0"/>
        <w:rPr>
          <w:rFonts w:ascii="宋体" w:hAnsi="宋体" w:eastAsia="宋体" w:cs="宋体"/>
          <w:b/>
          <w:color w:val="auto"/>
          <w:sz w:val="28"/>
        </w:rPr>
      </w:pPr>
      <w:r>
        <w:rPr>
          <w:rFonts w:hint="eastAsia" w:ascii="宋体" w:hAnsi="宋体" w:eastAsia="宋体" w:cs="宋体"/>
          <w:b/>
          <w:color w:val="auto"/>
          <w:sz w:val="28"/>
        </w:rPr>
        <w:t>第四章  评标方法和标准（综合评分法）</w:t>
      </w:r>
      <w:bookmarkEnd w:id="60"/>
    </w:p>
    <w:p w14:paraId="561779A7">
      <w:pPr>
        <w:keepNext w:val="0"/>
        <w:keepLines w:val="0"/>
        <w:pageBreakBefore w:val="0"/>
        <w:widowControl w:val="0"/>
        <w:kinsoku/>
        <w:wordWrap/>
        <w:overflowPunct/>
        <w:topLinePunct w:val="0"/>
        <w:autoSpaceDE/>
        <w:autoSpaceDN/>
        <w:bidi w:val="0"/>
        <w:spacing w:line="500" w:lineRule="exact"/>
        <w:ind w:firstLine="437"/>
        <w:textAlignment w:val="auto"/>
        <w:outlineLvl w:val="1"/>
        <w:rPr>
          <w:rFonts w:ascii="宋体" w:hAnsi="宋体" w:eastAsia="宋体" w:cs="宋体"/>
          <w:b/>
          <w:color w:val="auto"/>
          <w:sz w:val="24"/>
        </w:rPr>
      </w:pPr>
      <w:bookmarkStart w:id="61" w:name="_Toc4705"/>
      <w:bookmarkStart w:id="62" w:name="_Toc11823"/>
      <w:r>
        <w:rPr>
          <w:rFonts w:hint="eastAsia" w:ascii="宋体" w:hAnsi="宋体" w:eastAsia="宋体" w:cs="宋体"/>
          <w:b/>
          <w:color w:val="auto"/>
          <w:sz w:val="24"/>
        </w:rPr>
        <w:t>一、总则</w:t>
      </w:r>
      <w:bookmarkEnd w:id="61"/>
      <w:bookmarkEnd w:id="62"/>
    </w:p>
    <w:p w14:paraId="30D742B1">
      <w:pPr>
        <w:keepNext w:val="0"/>
        <w:keepLines w:val="0"/>
        <w:pageBreakBefore w:val="0"/>
        <w:widowControl w:val="0"/>
        <w:kinsoku/>
        <w:wordWrap/>
        <w:overflowPunct/>
        <w:topLinePunct w:val="0"/>
        <w:autoSpaceDE/>
        <w:autoSpaceDN/>
        <w:bidi w:val="0"/>
        <w:spacing w:line="500" w:lineRule="exact"/>
        <w:ind w:firstLine="435"/>
        <w:textAlignment w:val="auto"/>
        <w:rPr>
          <w:rFonts w:ascii="宋体" w:hAnsi="宋体" w:eastAsia="宋体" w:cs="宋体"/>
          <w:color w:val="auto"/>
          <w:sz w:val="24"/>
        </w:rPr>
      </w:pPr>
      <w:r>
        <w:rPr>
          <w:rFonts w:hint="eastAsia" w:ascii="宋体" w:hAnsi="宋体" w:eastAsia="宋体" w:cs="宋体"/>
          <w:color w:val="auto"/>
          <w:sz w:val="24"/>
        </w:rPr>
        <w:t>本项目将按照招标文件第二章投标人须知的相关要求及本章的规定评标。</w:t>
      </w:r>
    </w:p>
    <w:p w14:paraId="047B963F">
      <w:pPr>
        <w:keepNext w:val="0"/>
        <w:keepLines w:val="0"/>
        <w:pageBreakBefore w:val="0"/>
        <w:widowControl w:val="0"/>
        <w:kinsoku/>
        <w:wordWrap/>
        <w:overflowPunct/>
        <w:topLinePunct w:val="0"/>
        <w:autoSpaceDE/>
        <w:autoSpaceDN/>
        <w:bidi w:val="0"/>
        <w:spacing w:line="500" w:lineRule="exact"/>
        <w:ind w:firstLine="437"/>
        <w:textAlignment w:val="auto"/>
        <w:outlineLvl w:val="1"/>
        <w:rPr>
          <w:rFonts w:ascii="宋体" w:hAnsi="宋体" w:eastAsia="宋体" w:cs="宋体"/>
          <w:b/>
          <w:color w:val="auto"/>
          <w:sz w:val="24"/>
        </w:rPr>
      </w:pPr>
      <w:bookmarkStart w:id="63" w:name="_Toc31871"/>
      <w:bookmarkStart w:id="64" w:name="_Toc32410"/>
      <w:r>
        <w:rPr>
          <w:rFonts w:hint="eastAsia" w:ascii="宋体" w:hAnsi="宋体" w:eastAsia="宋体" w:cs="宋体"/>
          <w:b/>
          <w:color w:val="auto"/>
          <w:sz w:val="24"/>
        </w:rPr>
        <w:t>二、评标方法</w:t>
      </w:r>
      <w:bookmarkEnd w:id="63"/>
      <w:bookmarkEnd w:id="64"/>
    </w:p>
    <w:p w14:paraId="25B15090">
      <w:pPr>
        <w:keepNext w:val="0"/>
        <w:keepLines w:val="0"/>
        <w:pageBreakBefore w:val="0"/>
        <w:widowControl w:val="0"/>
        <w:kinsoku/>
        <w:wordWrap/>
        <w:overflowPunct/>
        <w:topLinePunct w:val="0"/>
        <w:autoSpaceDE/>
        <w:autoSpaceDN/>
        <w:bidi w:val="0"/>
        <w:spacing w:line="500" w:lineRule="exact"/>
        <w:ind w:firstLine="437"/>
        <w:textAlignment w:val="auto"/>
        <w:outlineLvl w:val="2"/>
        <w:rPr>
          <w:rFonts w:ascii="宋体" w:hAnsi="宋体" w:eastAsia="宋体" w:cs="宋体"/>
          <w:color w:val="auto"/>
          <w:sz w:val="24"/>
        </w:rPr>
      </w:pPr>
      <w:r>
        <w:rPr>
          <w:rFonts w:hint="eastAsia" w:ascii="宋体" w:hAnsi="宋体" w:eastAsia="宋体" w:cs="宋体"/>
          <w:color w:val="auto"/>
          <w:sz w:val="24"/>
        </w:rPr>
        <w:t>2.1资格审查</w:t>
      </w:r>
    </w:p>
    <w:tbl>
      <w:tblPr>
        <w:tblStyle w:val="28"/>
        <w:tblW w:w="61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833"/>
        <w:gridCol w:w="6080"/>
        <w:gridCol w:w="1903"/>
      </w:tblGrid>
      <w:tr w14:paraId="0C44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7E5BBAF4">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b/>
                <w:color w:val="auto"/>
                <w:sz w:val="24"/>
                <w:szCs w:val="22"/>
              </w:rPr>
              <w:t>资格审查表</w:t>
            </w:r>
          </w:p>
        </w:tc>
      </w:tr>
      <w:tr w14:paraId="03A8B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bottom w:val="single" w:color="auto" w:sz="4" w:space="0"/>
            </w:tcBorders>
            <w:vAlign w:val="center"/>
          </w:tcPr>
          <w:p w14:paraId="67027833">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color w:val="auto"/>
                <w:sz w:val="24"/>
              </w:rPr>
              <w:t>序号</w:t>
            </w:r>
          </w:p>
        </w:tc>
        <w:tc>
          <w:tcPr>
            <w:tcW w:w="870" w:type="pct"/>
            <w:tcBorders>
              <w:bottom w:val="single" w:color="auto" w:sz="4" w:space="0"/>
            </w:tcBorders>
            <w:vAlign w:val="center"/>
          </w:tcPr>
          <w:p w14:paraId="48D1E07A">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500" w:lineRule="exact"/>
              <w:ind w:right="-10"/>
              <w:textAlignment w:val="auto"/>
              <w:rPr>
                <w:rFonts w:ascii="宋体" w:hAnsi="宋体" w:eastAsia="宋体" w:cs="宋体"/>
                <w:color w:val="auto"/>
                <w:kern w:val="2"/>
                <w:szCs w:val="24"/>
              </w:rPr>
            </w:pPr>
            <w:r>
              <w:rPr>
                <w:rFonts w:hint="eastAsia" w:ascii="宋体" w:hAnsi="宋体" w:eastAsia="宋体" w:cs="宋体"/>
                <w:color w:val="auto"/>
                <w:kern w:val="2"/>
                <w:szCs w:val="24"/>
              </w:rPr>
              <w:t>审查因素</w:t>
            </w:r>
          </w:p>
        </w:tc>
        <w:tc>
          <w:tcPr>
            <w:tcW w:w="2885" w:type="pct"/>
            <w:tcBorders>
              <w:bottom w:val="single" w:color="auto" w:sz="4" w:space="0"/>
            </w:tcBorders>
            <w:vAlign w:val="center"/>
          </w:tcPr>
          <w:p w14:paraId="6F7E0A17">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color w:val="auto"/>
                <w:sz w:val="24"/>
              </w:rPr>
              <w:t>审查内容</w:t>
            </w:r>
          </w:p>
        </w:tc>
        <w:tc>
          <w:tcPr>
            <w:tcW w:w="901" w:type="pct"/>
            <w:tcBorders>
              <w:bottom w:val="single" w:color="auto" w:sz="4" w:space="0"/>
            </w:tcBorders>
            <w:vAlign w:val="center"/>
          </w:tcPr>
          <w:p w14:paraId="15134044">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color w:val="auto"/>
                <w:sz w:val="24"/>
              </w:rPr>
              <w:t>格式要求</w:t>
            </w:r>
          </w:p>
        </w:tc>
      </w:tr>
      <w:tr w14:paraId="36F1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42" w:type="pct"/>
            <w:tcBorders>
              <w:bottom w:val="single" w:color="auto" w:sz="4" w:space="0"/>
            </w:tcBorders>
            <w:vAlign w:val="center"/>
          </w:tcPr>
          <w:p w14:paraId="23FA7325">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color w:val="auto"/>
                <w:sz w:val="24"/>
              </w:rPr>
              <w:t>1</w:t>
            </w:r>
          </w:p>
        </w:tc>
        <w:tc>
          <w:tcPr>
            <w:tcW w:w="870" w:type="pct"/>
            <w:tcBorders>
              <w:bottom w:val="single" w:color="auto" w:sz="4" w:space="0"/>
            </w:tcBorders>
            <w:vAlign w:val="center"/>
          </w:tcPr>
          <w:p w14:paraId="12692A17">
            <w:pPr>
              <w:keepNext w:val="0"/>
              <w:keepLines w:val="0"/>
              <w:pageBreakBefore w:val="0"/>
              <w:widowControl w:val="0"/>
              <w:kinsoku/>
              <w:wordWrap/>
              <w:overflowPunct/>
              <w:topLinePunct w:val="0"/>
              <w:autoSpaceDE/>
              <w:autoSpaceDN/>
              <w:bidi w:val="0"/>
              <w:spacing w:line="500" w:lineRule="exact"/>
              <w:ind w:right="-10"/>
              <w:jc w:val="center"/>
              <w:textAlignment w:val="auto"/>
              <w:rPr>
                <w:rFonts w:ascii="宋体" w:hAnsi="宋体" w:eastAsia="宋体" w:cs="宋体"/>
                <w:color w:val="auto"/>
                <w:sz w:val="24"/>
                <w:szCs w:val="28"/>
              </w:rPr>
            </w:pPr>
            <w:r>
              <w:rPr>
                <w:rFonts w:hint="eastAsia" w:ascii="宋体" w:hAnsi="宋体" w:eastAsia="宋体" w:cs="宋体"/>
                <w:color w:val="auto"/>
                <w:spacing w:val="9"/>
                <w:sz w:val="24"/>
                <w:szCs w:val="24"/>
              </w:rPr>
              <w:t>营业执照等证明</w:t>
            </w:r>
            <w:r>
              <w:rPr>
                <w:rFonts w:hint="eastAsia" w:ascii="宋体" w:hAnsi="宋体" w:eastAsia="宋体" w:cs="宋体"/>
                <w:color w:val="auto"/>
                <w:spacing w:val="-3"/>
                <w:sz w:val="24"/>
                <w:szCs w:val="24"/>
              </w:rPr>
              <w:t>文件</w:t>
            </w:r>
          </w:p>
        </w:tc>
        <w:tc>
          <w:tcPr>
            <w:tcW w:w="2885" w:type="pct"/>
            <w:tcBorders>
              <w:bottom w:val="single" w:color="auto" w:sz="4" w:space="0"/>
            </w:tcBorders>
            <w:vAlign w:val="center"/>
          </w:tcPr>
          <w:p w14:paraId="24FB2227">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（1）投标人为企业（包括合伙企业）的，应提供有效的营业执照；</w:t>
            </w:r>
          </w:p>
          <w:p w14:paraId="4B49B9CF">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（2）投标人为事业单位的，应提供有效的事业单位法人证书；</w:t>
            </w:r>
          </w:p>
          <w:p w14:paraId="5EEA29DE">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（3）投标人是非企业机构的，应提供有效的执业许可证或登记证书等证明文件；</w:t>
            </w:r>
          </w:p>
          <w:p w14:paraId="2E830949">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（4）投标人是个体工商户的，应提供有效的个体工商户营业执照；</w:t>
            </w:r>
          </w:p>
          <w:p w14:paraId="4E63C2CC">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sz w:val="24"/>
                <w:szCs w:val="28"/>
              </w:rPr>
            </w:pPr>
            <w:r>
              <w:rPr>
                <w:rFonts w:hint="eastAsia" w:ascii="宋体" w:hAnsi="宋体" w:eastAsia="宋体" w:cs="宋体"/>
                <w:color w:val="auto"/>
                <w:sz w:val="24"/>
                <w:szCs w:val="24"/>
              </w:rPr>
              <w:t>（5）投标人是自然人的，应提供有效的自然人身份证明。</w:t>
            </w:r>
          </w:p>
        </w:tc>
        <w:tc>
          <w:tcPr>
            <w:tcW w:w="901" w:type="pct"/>
            <w:vAlign w:val="center"/>
          </w:tcPr>
          <w:p w14:paraId="290F2C79">
            <w:pPr>
              <w:keepNext w:val="0"/>
              <w:keepLines w:val="0"/>
              <w:pageBreakBefore w:val="0"/>
              <w:widowControl w:val="0"/>
              <w:kinsoku/>
              <w:wordWrap/>
              <w:overflowPunct/>
              <w:topLinePunct w:val="0"/>
              <w:autoSpaceDE/>
              <w:autoSpaceDN/>
              <w:bidi w:val="0"/>
              <w:spacing w:line="500" w:lineRule="exact"/>
              <w:jc w:val="left"/>
              <w:textAlignment w:val="auto"/>
              <w:rPr>
                <w:rFonts w:ascii="宋体" w:hAnsi="宋体" w:eastAsia="宋体" w:cs="宋体"/>
                <w:color w:val="auto"/>
                <w:sz w:val="24"/>
              </w:rPr>
            </w:pPr>
            <w:r>
              <w:rPr>
                <w:rFonts w:hint="eastAsia" w:ascii="宋体" w:hAnsi="宋体" w:eastAsia="宋体" w:cs="宋体"/>
                <w:color w:val="auto"/>
                <w:sz w:val="24"/>
                <w:szCs w:val="24"/>
              </w:rPr>
              <w:t>提供材料应完整的体现出材料或证照全部内容。</w:t>
            </w:r>
          </w:p>
        </w:tc>
      </w:tr>
      <w:tr w14:paraId="13EB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42" w:type="pct"/>
            <w:tcBorders>
              <w:bottom w:val="single" w:color="auto" w:sz="4" w:space="0"/>
            </w:tcBorders>
            <w:vAlign w:val="center"/>
          </w:tcPr>
          <w:p w14:paraId="5A3D42BC">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color w:val="auto"/>
                <w:sz w:val="24"/>
              </w:rPr>
              <w:t>2</w:t>
            </w:r>
          </w:p>
        </w:tc>
        <w:tc>
          <w:tcPr>
            <w:tcW w:w="870" w:type="pct"/>
            <w:tcBorders>
              <w:bottom w:val="single" w:color="auto" w:sz="4" w:space="0"/>
            </w:tcBorders>
            <w:vAlign w:val="center"/>
          </w:tcPr>
          <w:p w14:paraId="6FFDFCCC">
            <w:pPr>
              <w:keepNext w:val="0"/>
              <w:keepLines w:val="0"/>
              <w:pageBreakBefore w:val="0"/>
              <w:widowControl w:val="0"/>
              <w:kinsoku/>
              <w:wordWrap/>
              <w:overflowPunct/>
              <w:topLinePunct w:val="0"/>
              <w:autoSpaceDE/>
              <w:autoSpaceDN/>
              <w:bidi w:val="0"/>
              <w:spacing w:line="500" w:lineRule="exact"/>
              <w:ind w:right="-10"/>
              <w:jc w:val="center"/>
              <w:textAlignment w:val="auto"/>
              <w:rPr>
                <w:rFonts w:ascii="宋体" w:hAnsi="宋体" w:eastAsia="宋体" w:cs="宋体"/>
                <w:color w:val="auto"/>
                <w:sz w:val="24"/>
                <w:szCs w:val="28"/>
              </w:rPr>
            </w:pPr>
            <w:r>
              <w:rPr>
                <w:rFonts w:hint="eastAsia" w:ascii="宋体" w:hAnsi="宋体" w:eastAsia="宋体" w:cs="宋体"/>
                <w:color w:val="auto"/>
                <w:sz w:val="24"/>
                <w:szCs w:val="18"/>
              </w:rPr>
              <w:t>投标人资格声明书</w:t>
            </w:r>
          </w:p>
        </w:tc>
        <w:tc>
          <w:tcPr>
            <w:tcW w:w="2885" w:type="pct"/>
            <w:tcBorders>
              <w:bottom w:val="single" w:color="auto" w:sz="4" w:space="0"/>
            </w:tcBorders>
            <w:vAlign w:val="center"/>
          </w:tcPr>
          <w:p w14:paraId="00767F3B">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sz w:val="24"/>
                <w:szCs w:val="28"/>
              </w:rPr>
            </w:pPr>
            <w:r>
              <w:rPr>
                <w:rFonts w:hint="eastAsia" w:ascii="宋体" w:hAnsi="宋体" w:eastAsia="宋体" w:cs="宋体"/>
                <w:color w:val="auto"/>
                <w:sz w:val="24"/>
                <w:szCs w:val="24"/>
              </w:rPr>
              <w:t>提供符合招标文件要求的《投标人资格声明书》。</w:t>
            </w:r>
          </w:p>
        </w:tc>
        <w:tc>
          <w:tcPr>
            <w:tcW w:w="901" w:type="pct"/>
            <w:vAlign w:val="center"/>
          </w:tcPr>
          <w:p w14:paraId="589E2FB5">
            <w:pPr>
              <w:keepNext w:val="0"/>
              <w:keepLines w:val="0"/>
              <w:pageBreakBefore w:val="0"/>
              <w:widowControl w:val="0"/>
              <w:kinsoku/>
              <w:wordWrap/>
              <w:overflowPunct/>
              <w:topLinePunct w:val="0"/>
              <w:autoSpaceDE/>
              <w:autoSpaceDN/>
              <w:bidi w:val="0"/>
              <w:spacing w:line="500" w:lineRule="exact"/>
              <w:jc w:val="left"/>
              <w:textAlignment w:val="auto"/>
              <w:rPr>
                <w:rFonts w:ascii="宋体" w:hAnsi="宋体" w:eastAsia="宋体" w:cs="宋体"/>
                <w:color w:val="auto"/>
                <w:sz w:val="24"/>
                <w:szCs w:val="24"/>
              </w:rPr>
            </w:pPr>
            <w:r>
              <w:rPr>
                <w:rFonts w:hint="eastAsia" w:ascii="宋体" w:hAnsi="宋体" w:eastAsia="宋体" w:cs="宋体"/>
                <w:color w:val="auto"/>
                <w:sz w:val="24"/>
              </w:rPr>
              <w:t>详见第六章投标文件格式。</w:t>
            </w:r>
          </w:p>
        </w:tc>
      </w:tr>
      <w:tr w14:paraId="3327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2" w:type="pct"/>
            <w:tcBorders>
              <w:bottom w:val="single" w:color="auto" w:sz="4" w:space="0"/>
            </w:tcBorders>
            <w:vAlign w:val="center"/>
          </w:tcPr>
          <w:p w14:paraId="18112F2A">
            <w:pPr>
              <w:keepNext w:val="0"/>
              <w:keepLines w:val="0"/>
              <w:pageBreakBefore w:val="0"/>
              <w:widowControl w:val="0"/>
              <w:kinsoku/>
              <w:wordWrap/>
              <w:overflowPunct/>
              <w:topLinePunct w:val="0"/>
              <w:autoSpaceDE/>
              <w:autoSpaceDN/>
              <w:bidi w:val="0"/>
              <w:adjustRightInd w:val="0"/>
              <w:snapToGrid w:val="0"/>
              <w:spacing w:line="500" w:lineRule="exact"/>
              <w:ind w:right="-10"/>
              <w:jc w:val="center"/>
              <w:textAlignment w:val="auto"/>
              <w:rPr>
                <w:rFonts w:ascii="宋体" w:hAnsi="宋体" w:eastAsia="宋体" w:cs="宋体"/>
                <w:color w:val="auto"/>
                <w:sz w:val="24"/>
              </w:rPr>
            </w:pPr>
            <w:r>
              <w:rPr>
                <w:rFonts w:hint="eastAsia" w:ascii="宋体" w:hAnsi="宋体" w:eastAsia="宋体" w:cs="宋体"/>
                <w:color w:val="auto"/>
                <w:sz w:val="24"/>
              </w:rPr>
              <w:t>3</w:t>
            </w:r>
          </w:p>
        </w:tc>
        <w:tc>
          <w:tcPr>
            <w:tcW w:w="870" w:type="pct"/>
            <w:tcBorders>
              <w:bottom w:val="single" w:color="auto" w:sz="4" w:space="0"/>
            </w:tcBorders>
            <w:vAlign w:val="center"/>
          </w:tcPr>
          <w:p w14:paraId="74911BFD">
            <w:pPr>
              <w:keepNext w:val="0"/>
              <w:keepLines w:val="0"/>
              <w:pageBreakBefore w:val="0"/>
              <w:widowControl w:val="0"/>
              <w:kinsoku/>
              <w:wordWrap/>
              <w:overflowPunct/>
              <w:topLinePunct w:val="0"/>
              <w:autoSpaceDE/>
              <w:autoSpaceDN/>
              <w:bidi w:val="0"/>
              <w:spacing w:line="500" w:lineRule="exact"/>
              <w:ind w:right="-10"/>
              <w:jc w:val="center"/>
              <w:textAlignment w:val="auto"/>
              <w:rPr>
                <w:rFonts w:ascii="宋体" w:hAnsi="宋体" w:eastAsia="宋体" w:cs="宋体"/>
                <w:color w:val="auto"/>
                <w:sz w:val="24"/>
                <w:szCs w:val="28"/>
              </w:rPr>
            </w:pPr>
            <w:r>
              <w:rPr>
                <w:rFonts w:hint="eastAsia" w:ascii="宋体" w:hAnsi="宋体" w:eastAsia="宋体" w:cs="宋体"/>
                <w:color w:val="auto"/>
                <w:sz w:val="24"/>
                <w:szCs w:val="24"/>
              </w:rPr>
              <w:t>投标人信用记录</w:t>
            </w:r>
          </w:p>
        </w:tc>
        <w:tc>
          <w:tcPr>
            <w:tcW w:w="2885" w:type="pct"/>
            <w:tcBorders>
              <w:bottom w:val="single" w:color="auto" w:sz="4" w:space="0"/>
            </w:tcBorders>
            <w:vAlign w:val="center"/>
          </w:tcPr>
          <w:p w14:paraId="4C23CC34">
            <w:pPr>
              <w:keepNext w:val="0"/>
              <w:keepLines w:val="0"/>
              <w:pageBreakBefore w:val="0"/>
              <w:widowControl w:val="0"/>
              <w:kinsoku/>
              <w:wordWrap/>
              <w:overflowPunct/>
              <w:topLinePunct w:val="0"/>
              <w:autoSpaceDE/>
              <w:autoSpaceDN/>
              <w:bidi w:val="0"/>
              <w:spacing w:line="500" w:lineRule="exact"/>
              <w:ind w:right="-10"/>
              <w:jc w:val="left"/>
              <w:textAlignment w:val="auto"/>
              <w:rPr>
                <w:rFonts w:ascii="宋体" w:hAnsi="宋体" w:eastAsia="宋体" w:cs="宋体"/>
                <w:color w:val="auto"/>
              </w:rPr>
            </w:pPr>
            <w:r>
              <w:rPr>
                <w:rFonts w:hint="eastAsia" w:ascii="宋体" w:hAnsi="宋体" w:eastAsia="宋体" w:cs="宋体"/>
                <w:color w:val="auto"/>
                <w:sz w:val="24"/>
                <w:szCs w:val="24"/>
                <w:lang w:val="zh-CN"/>
              </w:rPr>
              <w:t>投标人不得存在</w:t>
            </w:r>
            <w:r>
              <w:rPr>
                <w:rFonts w:hint="eastAsia" w:ascii="宋体" w:hAnsi="宋体" w:eastAsia="宋体" w:cs="宋体"/>
                <w:color w:val="auto"/>
                <w:sz w:val="24"/>
                <w:szCs w:val="24"/>
              </w:rPr>
              <w:t>投标邀请第4条信誉要求和</w:t>
            </w:r>
            <w:r>
              <w:rPr>
                <w:rFonts w:hint="eastAsia" w:ascii="宋体" w:hAnsi="宋体" w:eastAsia="宋体" w:cs="宋体"/>
                <w:color w:val="auto"/>
                <w:sz w:val="24"/>
                <w:szCs w:val="24"/>
                <w:lang w:val="zh-CN"/>
              </w:rPr>
              <w:t>投标人须知正文第1</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.2</w:t>
            </w:r>
            <w:r>
              <w:rPr>
                <w:rFonts w:hint="eastAsia" w:ascii="宋体" w:hAnsi="宋体" w:eastAsia="宋体" w:cs="宋体"/>
                <w:color w:val="auto"/>
                <w:sz w:val="24"/>
                <w:szCs w:val="24"/>
              </w:rPr>
              <w:t>条中</w:t>
            </w:r>
            <w:r>
              <w:rPr>
                <w:rFonts w:hint="eastAsia" w:ascii="宋体" w:hAnsi="宋体" w:eastAsia="宋体" w:cs="宋体"/>
                <w:color w:val="auto"/>
                <w:sz w:val="24"/>
                <w:szCs w:val="28"/>
              </w:rPr>
              <w:t>的</w:t>
            </w:r>
            <w:r>
              <w:rPr>
                <w:rFonts w:hint="eastAsia" w:ascii="宋体" w:hAnsi="宋体" w:eastAsia="宋体" w:cs="宋体"/>
                <w:color w:val="auto"/>
                <w:sz w:val="24"/>
                <w:szCs w:val="18"/>
              </w:rPr>
              <w:t>不良信用记录情形</w:t>
            </w:r>
          </w:p>
        </w:tc>
        <w:tc>
          <w:tcPr>
            <w:tcW w:w="901" w:type="pct"/>
            <w:tcBorders>
              <w:bottom w:val="single" w:color="auto" w:sz="4" w:space="0"/>
            </w:tcBorders>
            <w:vAlign w:val="center"/>
          </w:tcPr>
          <w:p w14:paraId="2A91A392">
            <w:pPr>
              <w:keepNext w:val="0"/>
              <w:keepLines w:val="0"/>
              <w:pageBreakBefore w:val="0"/>
              <w:widowControl w:val="0"/>
              <w:kinsoku/>
              <w:wordWrap/>
              <w:overflowPunct/>
              <w:topLinePunct w:val="0"/>
              <w:autoSpaceDE/>
              <w:autoSpaceDN/>
              <w:bidi w:val="0"/>
              <w:spacing w:line="500" w:lineRule="exact"/>
              <w:jc w:val="left"/>
              <w:textAlignment w:val="auto"/>
              <w:rPr>
                <w:rFonts w:ascii="宋体" w:hAnsi="宋体" w:eastAsia="宋体" w:cs="宋体"/>
                <w:color w:val="auto"/>
              </w:rPr>
            </w:pPr>
            <w:r>
              <w:rPr>
                <w:rFonts w:hint="eastAsia" w:ascii="宋体" w:hAnsi="宋体" w:eastAsia="宋体" w:cs="宋体"/>
                <w:color w:val="auto"/>
                <w:sz w:val="24"/>
                <w:szCs w:val="24"/>
              </w:rPr>
              <w:t>无须投标人提供，由采购人或采购代理机构查询。</w:t>
            </w:r>
          </w:p>
        </w:tc>
      </w:tr>
    </w:tbl>
    <w:p w14:paraId="7D3C233A">
      <w:pPr>
        <w:spacing w:line="440" w:lineRule="exact"/>
        <w:ind w:left="-420" w:leftChars="-200" w:right="-313" w:rightChars="-149" w:firstLine="436" w:firstLineChars="181"/>
        <w:rPr>
          <w:rFonts w:ascii="宋体" w:hAnsi="宋体" w:eastAsia="宋体" w:cs="宋体"/>
          <w:color w:val="auto"/>
          <w:sz w:val="24"/>
        </w:rPr>
      </w:pPr>
      <w:r>
        <w:rPr>
          <w:rFonts w:hint="eastAsia" w:ascii="宋体" w:hAnsi="宋体" w:eastAsia="宋体" w:cs="宋体"/>
          <w:b/>
          <w:bCs/>
          <w:color w:val="auto"/>
          <w:sz w:val="24"/>
        </w:rPr>
        <w:t>资格审查指标通过标准：</w:t>
      </w:r>
      <w:r>
        <w:rPr>
          <w:rFonts w:hint="eastAsia" w:ascii="宋体" w:hAnsi="宋体" w:eastAsia="宋体" w:cs="宋体"/>
          <w:color w:val="auto"/>
          <w:sz w:val="24"/>
        </w:rPr>
        <w:t>投标人必须通过资格审查表中的全部评审指标。</w:t>
      </w:r>
    </w:p>
    <w:p w14:paraId="4670BF9C">
      <w:pPr>
        <w:spacing w:line="440" w:lineRule="exact"/>
        <w:ind w:left="-420" w:leftChars="-200" w:right="-313" w:rightChars="-149" w:firstLine="434" w:firstLineChars="181"/>
        <w:outlineLvl w:val="2"/>
        <w:rPr>
          <w:rFonts w:ascii="宋体" w:hAnsi="宋体" w:eastAsia="宋体" w:cs="宋体"/>
          <w:color w:val="auto"/>
          <w:sz w:val="24"/>
        </w:rPr>
      </w:pPr>
      <w:r>
        <w:rPr>
          <w:rFonts w:hint="eastAsia" w:ascii="宋体" w:hAnsi="宋体" w:eastAsia="宋体" w:cs="宋体"/>
          <w:color w:val="auto"/>
          <w:sz w:val="24"/>
        </w:rPr>
        <w:t>2.2符合性审查</w:t>
      </w:r>
    </w:p>
    <w:p w14:paraId="5A4F241D">
      <w:pPr>
        <w:spacing w:line="440" w:lineRule="exact"/>
        <w:ind w:left="-420" w:leftChars="-200" w:right="-313" w:rightChars="-149" w:firstLine="434" w:firstLineChars="181"/>
        <w:rPr>
          <w:rFonts w:ascii="宋体" w:hAnsi="宋体" w:eastAsia="宋体" w:cs="宋体"/>
          <w:color w:val="auto"/>
          <w:sz w:val="24"/>
        </w:rPr>
      </w:pPr>
      <w:r>
        <w:rPr>
          <w:rFonts w:hint="eastAsia" w:ascii="宋体" w:hAnsi="宋体" w:eastAsia="宋体" w:cs="宋体"/>
          <w:color w:val="auto"/>
          <w:sz w:val="24"/>
        </w:rPr>
        <w:t>评标委员会对通过资格审查的投标人的投标文件进行符合性审查，以确定其是否满足招标文件的实质性要求。符合性审查表如下：</w:t>
      </w:r>
    </w:p>
    <w:tbl>
      <w:tblPr>
        <w:tblStyle w:val="28"/>
        <w:tblW w:w="6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147"/>
        <w:gridCol w:w="4096"/>
        <w:gridCol w:w="3239"/>
      </w:tblGrid>
      <w:tr w14:paraId="51CE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F3B0419">
            <w:pPr>
              <w:adjustRightInd w:val="0"/>
              <w:snapToGrid w:val="0"/>
              <w:spacing w:line="440" w:lineRule="exact"/>
              <w:ind w:right="-10"/>
              <w:jc w:val="center"/>
              <w:rPr>
                <w:rFonts w:ascii="宋体" w:hAnsi="宋体" w:eastAsia="宋体" w:cs="宋体"/>
                <w:b/>
                <w:bCs/>
                <w:color w:val="auto"/>
                <w:sz w:val="24"/>
              </w:rPr>
            </w:pPr>
            <w:r>
              <w:rPr>
                <w:rFonts w:hint="eastAsia" w:ascii="宋体" w:hAnsi="宋体" w:eastAsia="宋体" w:cs="宋体"/>
                <w:b/>
                <w:bCs/>
                <w:color w:val="auto"/>
                <w:sz w:val="24"/>
              </w:rPr>
              <w:t>符合性审查表</w:t>
            </w:r>
          </w:p>
        </w:tc>
      </w:tr>
      <w:tr w14:paraId="3A3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4" w:type="pct"/>
            <w:tcBorders>
              <w:bottom w:val="single" w:color="auto" w:sz="4" w:space="0"/>
            </w:tcBorders>
            <w:vAlign w:val="center"/>
          </w:tcPr>
          <w:p w14:paraId="053745B3">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序号</w:t>
            </w:r>
          </w:p>
        </w:tc>
        <w:tc>
          <w:tcPr>
            <w:tcW w:w="1045" w:type="pct"/>
            <w:tcBorders>
              <w:bottom w:val="single" w:color="auto" w:sz="4" w:space="0"/>
            </w:tcBorders>
            <w:vAlign w:val="center"/>
          </w:tcPr>
          <w:p w14:paraId="04338DF8">
            <w:pPr>
              <w:pStyle w:val="47"/>
              <w:pBdr>
                <w:bottom w:val="none" w:color="auto" w:sz="0" w:space="0"/>
              </w:pBdr>
              <w:tabs>
                <w:tab w:val="clear" w:pos="4153"/>
                <w:tab w:val="clear" w:pos="8306"/>
              </w:tabs>
              <w:snapToGrid w:val="0"/>
              <w:spacing w:line="440" w:lineRule="exact"/>
              <w:ind w:right="-10"/>
              <w:textAlignment w:val="auto"/>
              <w:rPr>
                <w:rFonts w:ascii="宋体" w:hAnsi="宋体" w:eastAsia="宋体" w:cs="宋体"/>
                <w:color w:val="auto"/>
                <w:kern w:val="2"/>
              </w:rPr>
            </w:pPr>
            <w:r>
              <w:rPr>
                <w:rFonts w:hint="eastAsia" w:ascii="宋体" w:hAnsi="宋体" w:eastAsia="宋体" w:cs="宋体"/>
                <w:color w:val="auto"/>
                <w:kern w:val="2"/>
              </w:rPr>
              <w:t>审查指标</w:t>
            </w:r>
          </w:p>
        </w:tc>
        <w:tc>
          <w:tcPr>
            <w:tcW w:w="1994" w:type="pct"/>
            <w:tcBorders>
              <w:bottom w:val="single" w:color="auto" w:sz="4" w:space="0"/>
            </w:tcBorders>
            <w:vAlign w:val="center"/>
          </w:tcPr>
          <w:p w14:paraId="10F9FD4C">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审查标准</w:t>
            </w:r>
          </w:p>
        </w:tc>
        <w:tc>
          <w:tcPr>
            <w:tcW w:w="1575" w:type="pct"/>
            <w:tcBorders>
              <w:bottom w:val="single" w:color="auto" w:sz="4" w:space="0"/>
            </w:tcBorders>
            <w:vAlign w:val="center"/>
          </w:tcPr>
          <w:p w14:paraId="57AE0CED">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格式要求</w:t>
            </w:r>
          </w:p>
        </w:tc>
      </w:tr>
      <w:tr w14:paraId="00B95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0E14D293">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1</w:t>
            </w:r>
          </w:p>
        </w:tc>
        <w:tc>
          <w:tcPr>
            <w:tcW w:w="1045" w:type="pct"/>
            <w:vAlign w:val="center"/>
          </w:tcPr>
          <w:p w14:paraId="38C2A83D">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rPr>
              <w:t>开标一览表</w:t>
            </w:r>
          </w:p>
        </w:tc>
        <w:tc>
          <w:tcPr>
            <w:tcW w:w="1994" w:type="pct"/>
            <w:vAlign w:val="center"/>
          </w:tcPr>
          <w:p w14:paraId="46BD81BE">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格式、填写要求符合招标文件规定并加盖投标人公章</w:t>
            </w:r>
          </w:p>
        </w:tc>
        <w:tc>
          <w:tcPr>
            <w:tcW w:w="1575" w:type="pct"/>
            <w:vAlign w:val="center"/>
          </w:tcPr>
          <w:p w14:paraId="3C40E4D8">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详见第六章投标文件格式。</w:t>
            </w:r>
          </w:p>
        </w:tc>
      </w:tr>
      <w:tr w14:paraId="3FED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74B12BD">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2</w:t>
            </w:r>
          </w:p>
        </w:tc>
        <w:tc>
          <w:tcPr>
            <w:tcW w:w="1045" w:type="pct"/>
            <w:vAlign w:val="center"/>
          </w:tcPr>
          <w:p w14:paraId="5D4C1F6E">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投标函</w:t>
            </w:r>
          </w:p>
        </w:tc>
        <w:tc>
          <w:tcPr>
            <w:tcW w:w="1994" w:type="pct"/>
            <w:vAlign w:val="center"/>
          </w:tcPr>
          <w:p w14:paraId="14B9B36F">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格式、填写要求符合招标文件规定并加盖投标人公章</w:t>
            </w:r>
          </w:p>
        </w:tc>
        <w:tc>
          <w:tcPr>
            <w:tcW w:w="1575" w:type="pct"/>
            <w:vAlign w:val="center"/>
          </w:tcPr>
          <w:p w14:paraId="3842BAE4">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详见第六章投标文件格式。</w:t>
            </w:r>
          </w:p>
        </w:tc>
      </w:tr>
      <w:tr w14:paraId="7096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3977DCA8">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3</w:t>
            </w:r>
          </w:p>
        </w:tc>
        <w:tc>
          <w:tcPr>
            <w:tcW w:w="1045" w:type="pct"/>
            <w:vAlign w:val="center"/>
          </w:tcPr>
          <w:p w14:paraId="0D9BEF75">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授权书</w:t>
            </w:r>
          </w:p>
        </w:tc>
        <w:tc>
          <w:tcPr>
            <w:tcW w:w="1994" w:type="pct"/>
            <w:vAlign w:val="center"/>
          </w:tcPr>
          <w:p w14:paraId="3843925E">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格式、填写要求符合招标文件规定并加盖投标人公章</w:t>
            </w:r>
          </w:p>
        </w:tc>
        <w:tc>
          <w:tcPr>
            <w:tcW w:w="1575" w:type="pct"/>
            <w:vAlign w:val="center"/>
          </w:tcPr>
          <w:p w14:paraId="26945A47">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法定代表人参加投标的无需此件，提供身份证明即可。详见第六章投标文件格式。</w:t>
            </w:r>
          </w:p>
        </w:tc>
      </w:tr>
      <w:tr w14:paraId="39EF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48F1AD70">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4</w:t>
            </w:r>
          </w:p>
        </w:tc>
        <w:tc>
          <w:tcPr>
            <w:tcW w:w="1045" w:type="pct"/>
            <w:vAlign w:val="center"/>
          </w:tcPr>
          <w:p w14:paraId="5C97ABF4">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投标报价</w:t>
            </w:r>
          </w:p>
        </w:tc>
        <w:tc>
          <w:tcPr>
            <w:tcW w:w="1994" w:type="pct"/>
            <w:vAlign w:val="center"/>
          </w:tcPr>
          <w:p w14:paraId="7604D241">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符合</w:t>
            </w:r>
            <w:r>
              <w:rPr>
                <w:rFonts w:hint="eastAsia" w:ascii="宋体" w:hAnsi="宋体" w:eastAsia="宋体" w:cs="宋体"/>
                <w:color w:val="auto"/>
                <w:sz w:val="24"/>
              </w:rPr>
              <w:t>招标文件投标人须知正文第9条要求</w:t>
            </w:r>
          </w:p>
        </w:tc>
        <w:tc>
          <w:tcPr>
            <w:tcW w:w="1575" w:type="pct"/>
            <w:vAlign w:val="center"/>
          </w:tcPr>
          <w:p w14:paraId="0FB2A2F4">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详见第六章投标文件格式。</w:t>
            </w:r>
          </w:p>
        </w:tc>
      </w:tr>
      <w:tr w14:paraId="7C6BB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55998DBC">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5</w:t>
            </w:r>
          </w:p>
        </w:tc>
        <w:tc>
          <w:tcPr>
            <w:tcW w:w="1045" w:type="pct"/>
            <w:vAlign w:val="center"/>
          </w:tcPr>
          <w:p w14:paraId="2B16030C">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商务响应情况</w:t>
            </w:r>
          </w:p>
        </w:tc>
        <w:tc>
          <w:tcPr>
            <w:tcW w:w="1994" w:type="pct"/>
            <w:vAlign w:val="center"/>
          </w:tcPr>
          <w:p w14:paraId="3202685C">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符合招标文件采购需求中对付款方式、服务地点、服务期限等实质性要求</w:t>
            </w:r>
          </w:p>
        </w:tc>
        <w:tc>
          <w:tcPr>
            <w:tcW w:w="1575" w:type="pct"/>
            <w:vAlign w:val="center"/>
          </w:tcPr>
          <w:p w14:paraId="5F0A9D83">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详见第六章投标文件格式。</w:t>
            </w:r>
          </w:p>
        </w:tc>
      </w:tr>
      <w:tr w14:paraId="6BBB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4" w:type="pct"/>
            <w:vAlign w:val="center"/>
          </w:tcPr>
          <w:p w14:paraId="7AD8E7D1">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6</w:t>
            </w:r>
          </w:p>
        </w:tc>
        <w:tc>
          <w:tcPr>
            <w:tcW w:w="1045" w:type="pct"/>
            <w:vAlign w:val="center"/>
          </w:tcPr>
          <w:p w14:paraId="4CC9E414">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其他要求</w:t>
            </w:r>
          </w:p>
        </w:tc>
        <w:tc>
          <w:tcPr>
            <w:tcW w:w="1994" w:type="pct"/>
            <w:vAlign w:val="center"/>
          </w:tcPr>
          <w:p w14:paraId="70CF951F">
            <w:pPr>
              <w:spacing w:after="50" w:line="440" w:lineRule="exact"/>
              <w:ind w:right="-10"/>
              <w:jc w:val="center"/>
              <w:rPr>
                <w:rFonts w:ascii="宋体" w:hAnsi="宋体" w:eastAsia="宋体" w:cs="宋体"/>
                <w:color w:val="auto"/>
                <w:sz w:val="24"/>
                <w:szCs w:val="28"/>
              </w:rPr>
            </w:pPr>
            <w:r>
              <w:rPr>
                <w:rFonts w:hint="eastAsia" w:ascii="宋体" w:hAnsi="宋体" w:eastAsia="宋体" w:cs="宋体"/>
                <w:color w:val="auto"/>
                <w:sz w:val="24"/>
                <w:szCs w:val="28"/>
              </w:rPr>
              <w:t>符合法律、行政法规规定的其他条件或招标文件列明的其他实质性要求</w:t>
            </w:r>
          </w:p>
        </w:tc>
        <w:tc>
          <w:tcPr>
            <w:tcW w:w="1575" w:type="pct"/>
            <w:vAlign w:val="center"/>
          </w:tcPr>
          <w:p w14:paraId="08F59CD8">
            <w:pPr>
              <w:adjustRightInd w:val="0"/>
              <w:snapToGrid w:val="0"/>
              <w:spacing w:line="440" w:lineRule="exact"/>
              <w:ind w:right="-10"/>
              <w:jc w:val="center"/>
              <w:rPr>
                <w:rFonts w:ascii="宋体" w:hAnsi="宋体" w:eastAsia="宋体" w:cs="宋体"/>
                <w:color w:val="auto"/>
                <w:sz w:val="24"/>
              </w:rPr>
            </w:pPr>
            <w:r>
              <w:rPr>
                <w:rFonts w:hint="eastAsia" w:ascii="宋体" w:hAnsi="宋体" w:eastAsia="宋体" w:cs="宋体"/>
                <w:color w:val="auto"/>
                <w:sz w:val="24"/>
              </w:rPr>
              <w:t>详见第六章投标文件格式。</w:t>
            </w:r>
          </w:p>
        </w:tc>
      </w:tr>
    </w:tbl>
    <w:p w14:paraId="1955974D">
      <w:pPr>
        <w:spacing w:line="440" w:lineRule="exact"/>
        <w:ind w:left="-420" w:leftChars="-200" w:right="-512" w:rightChars="-244" w:firstLine="436" w:firstLineChars="181"/>
        <w:rPr>
          <w:rFonts w:ascii="宋体" w:hAnsi="宋体" w:eastAsia="宋体" w:cs="宋体"/>
          <w:color w:val="auto"/>
          <w:sz w:val="24"/>
        </w:rPr>
      </w:pPr>
      <w:r>
        <w:rPr>
          <w:rFonts w:hint="eastAsia" w:ascii="宋体" w:hAnsi="宋体" w:eastAsia="宋体" w:cs="宋体"/>
          <w:b/>
          <w:bCs/>
          <w:color w:val="auto"/>
          <w:sz w:val="24"/>
        </w:rPr>
        <w:t>符合性审查指标通过标准：</w:t>
      </w:r>
      <w:r>
        <w:rPr>
          <w:rFonts w:hint="eastAsia" w:ascii="宋体" w:hAnsi="宋体" w:eastAsia="宋体" w:cs="宋体"/>
          <w:color w:val="auto"/>
          <w:sz w:val="24"/>
        </w:rPr>
        <w:t>投标人必须通过符合性审查表中的全部评审指标。</w:t>
      </w:r>
    </w:p>
    <w:p w14:paraId="738CCB48">
      <w:pPr>
        <w:spacing w:line="440" w:lineRule="exact"/>
        <w:ind w:left="-420" w:leftChars="-200" w:right="-512" w:rightChars="-244" w:firstLine="434" w:firstLineChars="181"/>
        <w:outlineLvl w:val="2"/>
        <w:rPr>
          <w:rFonts w:ascii="宋体" w:hAnsi="宋体" w:eastAsia="宋体" w:cs="宋体"/>
          <w:color w:val="auto"/>
          <w:sz w:val="24"/>
        </w:rPr>
      </w:pPr>
      <w:r>
        <w:rPr>
          <w:rFonts w:hint="eastAsia" w:ascii="宋体" w:hAnsi="宋体" w:eastAsia="宋体" w:cs="宋体"/>
          <w:color w:val="auto"/>
          <w:sz w:val="24"/>
        </w:rPr>
        <w:t>2.3详细审查</w:t>
      </w:r>
    </w:p>
    <w:p w14:paraId="51E10F54">
      <w:pPr>
        <w:spacing w:line="440" w:lineRule="exact"/>
        <w:ind w:left="-420" w:leftChars="-200" w:right="-512" w:rightChars="-244" w:firstLine="434" w:firstLineChars="181"/>
        <w:rPr>
          <w:rFonts w:ascii="宋体" w:hAnsi="宋体" w:eastAsia="宋体" w:cs="宋体"/>
          <w:color w:val="auto"/>
          <w:sz w:val="24"/>
        </w:rPr>
      </w:pPr>
      <w:r>
        <w:rPr>
          <w:rFonts w:hint="eastAsia" w:ascii="宋体" w:hAnsi="宋体" w:eastAsia="宋体" w:cs="宋体"/>
          <w:color w:val="auto"/>
          <w:sz w:val="24"/>
        </w:rPr>
        <w:t>2.3.1评标委员会按照下表对投标文件进行详细审查和评分。</w:t>
      </w:r>
    </w:p>
    <w:p w14:paraId="5C872D82">
      <w:pPr>
        <w:spacing w:line="500" w:lineRule="exact"/>
        <w:ind w:left="-619" w:leftChars="-295" w:firstLine="436" w:firstLineChars="182"/>
        <w:rPr>
          <w:rFonts w:ascii="宋体" w:hAnsi="宋体" w:eastAsia="宋体" w:cs="宋体"/>
          <w:color w:val="auto"/>
          <w:sz w:val="24"/>
        </w:rPr>
      </w:pPr>
      <w:r>
        <w:rPr>
          <w:rFonts w:hint="eastAsia" w:ascii="宋体" w:hAnsi="宋体" w:eastAsia="宋体" w:cs="宋体"/>
          <w:color w:val="auto"/>
          <w:sz w:val="24"/>
        </w:rPr>
        <w:t>2.3.2</w:t>
      </w:r>
      <w:r>
        <w:rPr>
          <w:rFonts w:hint="eastAsia" w:ascii="宋体" w:hAnsi="宋体" w:eastAsia="宋体" w:cs="宋体"/>
          <w:color w:val="auto"/>
          <w:sz w:val="24"/>
          <w:szCs w:val="24"/>
          <w:highlight w:val="none"/>
        </w:rPr>
        <w:t>本项目综合评分满分为100分，其中：</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rPr>
        <w:t>%，技术分值占总分值的权重为</w:t>
      </w:r>
      <w:r>
        <w:rPr>
          <w:rFonts w:hint="eastAsia" w:ascii="宋体" w:hAnsi="宋体" w:eastAsia="宋体" w:cs="宋体"/>
          <w:color w:val="auto"/>
          <w:sz w:val="24"/>
          <w:highlight w:val="none"/>
          <w:u w:val="single"/>
          <w:lang w:val="en-US" w:eastAsia="zh-CN"/>
        </w:rPr>
        <w:t>64</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%。具体评分细则如下：</w:t>
      </w:r>
    </w:p>
    <w:tbl>
      <w:tblPr>
        <w:tblStyle w:val="28"/>
        <w:tblW w:w="5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140"/>
        <w:gridCol w:w="719"/>
        <w:gridCol w:w="6556"/>
        <w:gridCol w:w="764"/>
      </w:tblGrid>
      <w:tr w14:paraId="0537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64" w:type="pct"/>
            <w:gridSpan w:val="2"/>
            <w:tcBorders>
              <w:top w:val="single" w:color="auto" w:sz="4" w:space="0"/>
              <w:left w:val="single" w:color="auto" w:sz="4" w:space="0"/>
              <w:bottom w:val="single" w:color="auto" w:sz="4" w:space="0"/>
              <w:right w:val="single" w:color="auto" w:sz="4" w:space="0"/>
            </w:tcBorders>
            <w:vAlign w:val="center"/>
          </w:tcPr>
          <w:p w14:paraId="2295B7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类别</w:t>
            </w:r>
          </w:p>
        </w:tc>
        <w:tc>
          <w:tcPr>
            <w:tcW w:w="352" w:type="pct"/>
            <w:tcBorders>
              <w:top w:val="single" w:color="auto" w:sz="4" w:space="0"/>
              <w:left w:val="single" w:color="auto" w:sz="4" w:space="0"/>
              <w:bottom w:val="single" w:color="auto" w:sz="4" w:space="0"/>
              <w:right w:val="single" w:color="auto" w:sz="4" w:space="0"/>
            </w:tcBorders>
            <w:vAlign w:val="center"/>
          </w:tcPr>
          <w:p w14:paraId="35BCECD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评分内容</w:t>
            </w:r>
          </w:p>
        </w:tc>
        <w:tc>
          <w:tcPr>
            <w:tcW w:w="3209" w:type="pct"/>
            <w:tcBorders>
              <w:top w:val="single" w:color="auto" w:sz="4" w:space="0"/>
              <w:left w:val="single" w:color="auto" w:sz="4" w:space="0"/>
              <w:bottom w:val="single" w:color="auto" w:sz="4" w:space="0"/>
              <w:right w:val="single" w:color="auto" w:sz="4" w:space="0"/>
            </w:tcBorders>
            <w:vAlign w:val="center"/>
          </w:tcPr>
          <w:p w14:paraId="097436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评分标准</w:t>
            </w:r>
          </w:p>
        </w:tc>
        <w:tc>
          <w:tcPr>
            <w:tcW w:w="374" w:type="pct"/>
            <w:tcBorders>
              <w:top w:val="single" w:color="auto" w:sz="4" w:space="0"/>
              <w:left w:val="single" w:color="auto" w:sz="4" w:space="0"/>
              <w:bottom w:val="single" w:color="auto" w:sz="4" w:space="0"/>
              <w:right w:val="single" w:color="auto" w:sz="4" w:space="0"/>
            </w:tcBorders>
            <w:vAlign w:val="center"/>
          </w:tcPr>
          <w:p w14:paraId="7D0DA6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分值范围</w:t>
            </w:r>
          </w:p>
        </w:tc>
      </w:tr>
      <w:tr w14:paraId="4D843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6" w:type="pct"/>
            <w:vMerge w:val="restart"/>
            <w:tcBorders>
              <w:top w:val="single" w:color="auto" w:sz="4" w:space="0"/>
              <w:left w:val="single" w:color="auto" w:sz="4" w:space="0"/>
              <w:right w:val="single" w:color="auto" w:sz="4" w:space="0"/>
            </w:tcBorders>
            <w:vAlign w:val="center"/>
          </w:tcPr>
          <w:p w14:paraId="1DE9470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sz w:val="22"/>
                <w:szCs w:val="22"/>
                <w:lang w:val="en-US" w:eastAsia="zh-CN"/>
              </w:rPr>
            </w:pPr>
            <w:r>
              <w:rPr>
                <w:rFonts w:hint="eastAsia" w:ascii="宋体" w:hAnsi="宋体" w:eastAsia="宋体" w:cs="宋体"/>
                <w:color w:val="auto"/>
                <w:sz w:val="22"/>
                <w:szCs w:val="22"/>
                <w:lang w:val="en-US" w:eastAsia="zh-CN"/>
              </w:rPr>
              <w:t>资信分（26分）</w:t>
            </w:r>
          </w:p>
        </w:tc>
        <w:tc>
          <w:tcPr>
            <w:tcW w:w="1859" w:type="dxa"/>
            <w:gridSpan w:val="2"/>
            <w:tcBorders>
              <w:top w:val="single" w:color="auto" w:sz="4" w:space="0"/>
              <w:left w:val="single" w:color="auto" w:sz="4" w:space="0"/>
              <w:bottom w:val="single" w:color="auto" w:sz="4" w:space="0"/>
              <w:right w:val="single" w:color="auto" w:sz="4" w:space="0"/>
            </w:tcBorders>
            <w:vAlign w:val="center"/>
          </w:tcPr>
          <w:p w14:paraId="183971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企业业绩</w:t>
            </w:r>
          </w:p>
        </w:tc>
        <w:tc>
          <w:tcPr>
            <w:tcW w:w="6556" w:type="dxa"/>
            <w:tcBorders>
              <w:top w:val="single" w:color="auto" w:sz="4" w:space="0"/>
              <w:left w:val="single" w:color="auto" w:sz="4" w:space="0"/>
              <w:bottom w:val="single" w:color="auto" w:sz="4" w:space="0"/>
              <w:right w:val="single" w:color="auto" w:sz="4" w:space="0"/>
            </w:tcBorders>
            <w:vAlign w:val="center"/>
          </w:tcPr>
          <w:p w14:paraId="1D3E9C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val="en-US" w:eastAsia="zh-CN"/>
              </w:rPr>
              <w:t>1.自2024年1月1日以来（以合同签订时间为准），投标人承办类似教育培训业绩的（国家级或省级），每提供1个业绩得2分，满分10分。</w:t>
            </w:r>
          </w:p>
          <w:p w14:paraId="01754A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2.自2024年1月1日以来（以合同签订时间为准），投标人承办类似教育培训业绩的（市级及以下含校本培训），每提供1个业绩得1分，满分5分。</w:t>
            </w:r>
          </w:p>
          <w:p w14:paraId="2E58DF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b/>
                <w:bCs/>
                <w:color w:val="auto"/>
                <w:sz w:val="22"/>
                <w:szCs w:val="22"/>
                <w:lang w:val="en-US" w:eastAsia="zh-CN"/>
              </w:rPr>
              <w:t>提供5个业绩，超出或累计不得分；业绩须提供合同复印件经加盖单位公章及履约验收合格证明，未提供不得分；国家、省级、市县区、校本培训业绩得认定以合同落款章为准。</w:t>
            </w:r>
          </w:p>
        </w:tc>
        <w:tc>
          <w:tcPr>
            <w:tcW w:w="764" w:type="dxa"/>
            <w:tcBorders>
              <w:top w:val="single" w:color="auto" w:sz="4" w:space="0"/>
              <w:left w:val="single" w:color="auto" w:sz="4" w:space="0"/>
              <w:bottom w:val="single" w:color="auto" w:sz="4" w:space="0"/>
              <w:right w:val="single" w:color="auto" w:sz="4" w:space="0"/>
            </w:tcBorders>
            <w:vAlign w:val="center"/>
          </w:tcPr>
          <w:p w14:paraId="35123A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10分</w:t>
            </w:r>
          </w:p>
        </w:tc>
      </w:tr>
      <w:tr w14:paraId="0B41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6" w:type="pct"/>
            <w:vMerge w:val="continue"/>
            <w:tcBorders>
              <w:left w:val="single" w:color="auto" w:sz="4" w:space="0"/>
              <w:right w:val="single" w:color="auto" w:sz="4" w:space="0"/>
            </w:tcBorders>
            <w:vAlign w:val="center"/>
          </w:tcPr>
          <w:p w14:paraId="79140F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lang w:val="en-US" w:eastAsia="zh-CN"/>
              </w:rPr>
            </w:pPr>
          </w:p>
        </w:tc>
        <w:tc>
          <w:tcPr>
            <w:tcW w:w="1859" w:type="dxa"/>
            <w:gridSpan w:val="2"/>
            <w:tcBorders>
              <w:top w:val="single" w:color="auto" w:sz="4" w:space="0"/>
              <w:left w:val="single" w:color="auto" w:sz="4" w:space="0"/>
              <w:bottom w:val="single" w:color="auto" w:sz="4" w:space="0"/>
              <w:right w:val="single" w:color="auto" w:sz="4" w:space="0"/>
            </w:tcBorders>
            <w:vAlign w:val="center"/>
          </w:tcPr>
          <w:p w14:paraId="3AD6F2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履约反馈</w:t>
            </w:r>
          </w:p>
        </w:tc>
        <w:tc>
          <w:tcPr>
            <w:tcW w:w="6556" w:type="dxa"/>
            <w:tcBorders>
              <w:top w:val="single" w:color="auto" w:sz="4" w:space="0"/>
              <w:left w:val="single" w:color="auto" w:sz="4" w:space="0"/>
              <w:bottom w:val="single" w:color="auto" w:sz="4" w:space="0"/>
              <w:right w:val="single" w:color="auto" w:sz="4" w:space="0"/>
            </w:tcBorders>
            <w:vAlign w:val="center"/>
          </w:tcPr>
          <w:p w14:paraId="5F9B46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1.上述经评审小组认可的业绩中，获得业主单位（合同甲方）评价为优秀的</w:t>
            </w:r>
            <w:r>
              <w:rPr>
                <w:rFonts w:hint="eastAsia" w:ascii="宋体" w:hAnsi="宋体" w:eastAsia="宋体" w:cs="宋体"/>
                <w:color w:val="auto"/>
                <w:sz w:val="22"/>
                <w:szCs w:val="22"/>
                <w:lang w:val="en-US" w:eastAsia="zh-CN"/>
              </w:rPr>
              <w:t>类似教育培训业绩的（国家级或省级）</w:t>
            </w:r>
            <w:r>
              <w:rPr>
                <w:rFonts w:hint="eastAsia" w:ascii="宋体" w:hAnsi="宋体" w:eastAsia="宋体" w:cs="宋体"/>
                <w:b w:val="0"/>
                <w:bCs w:val="0"/>
                <w:color w:val="auto"/>
                <w:sz w:val="22"/>
                <w:szCs w:val="22"/>
                <w:lang w:val="en-US" w:eastAsia="zh-CN"/>
              </w:rPr>
              <w:t>，每提供一个得 2 分，满分 10 分。</w:t>
            </w:r>
          </w:p>
          <w:p w14:paraId="28009F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2.上述经评审小组认可的业绩中，获得业主单位（合同甲方）评价为优秀的</w:t>
            </w:r>
            <w:r>
              <w:rPr>
                <w:rFonts w:hint="eastAsia" w:ascii="宋体" w:hAnsi="宋体" w:eastAsia="宋体" w:cs="宋体"/>
                <w:color w:val="auto"/>
                <w:sz w:val="22"/>
                <w:szCs w:val="22"/>
                <w:lang w:val="en-US" w:eastAsia="zh-CN"/>
              </w:rPr>
              <w:t>类似教育培训业绩的（市级及以下含校本培训）</w:t>
            </w:r>
            <w:r>
              <w:rPr>
                <w:rFonts w:hint="eastAsia" w:ascii="宋体" w:hAnsi="宋体" w:eastAsia="宋体" w:cs="宋体"/>
                <w:b w:val="0"/>
                <w:bCs w:val="0"/>
                <w:color w:val="auto"/>
                <w:sz w:val="22"/>
                <w:szCs w:val="22"/>
                <w:lang w:val="en-US" w:eastAsia="zh-CN"/>
              </w:rPr>
              <w:t>，每提供一个得 1 分，满分 5 分。</w:t>
            </w:r>
          </w:p>
          <w:p w14:paraId="466EC9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注：本项最多提供5个履约反馈等证明材料，超出或累计不得分，未提供不得分；提供国家、省级、市县区、校本培训履约反馈或业主评价或验收报告等，须能体现出评价情况。</w:t>
            </w:r>
          </w:p>
        </w:tc>
        <w:tc>
          <w:tcPr>
            <w:tcW w:w="764" w:type="dxa"/>
            <w:tcBorders>
              <w:top w:val="single" w:color="auto" w:sz="4" w:space="0"/>
              <w:left w:val="single" w:color="auto" w:sz="4" w:space="0"/>
              <w:bottom w:val="single" w:color="auto" w:sz="4" w:space="0"/>
              <w:right w:val="single" w:color="auto" w:sz="4" w:space="0"/>
            </w:tcBorders>
            <w:vAlign w:val="center"/>
          </w:tcPr>
          <w:p w14:paraId="5674E9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10分</w:t>
            </w:r>
          </w:p>
        </w:tc>
      </w:tr>
      <w:tr w14:paraId="61DA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06" w:type="pct"/>
            <w:vMerge w:val="continue"/>
            <w:tcBorders>
              <w:left w:val="single" w:color="auto" w:sz="4" w:space="0"/>
              <w:bottom w:val="single" w:color="auto" w:sz="4" w:space="0"/>
              <w:right w:val="single" w:color="auto" w:sz="4" w:space="0"/>
            </w:tcBorders>
            <w:vAlign w:val="center"/>
          </w:tcPr>
          <w:p w14:paraId="2B3A49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rPr>
            </w:pPr>
          </w:p>
        </w:tc>
        <w:tc>
          <w:tcPr>
            <w:tcW w:w="910" w:type="pct"/>
            <w:gridSpan w:val="2"/>
            <w:tcBorders>
              <w:top w:val="single" w:color="auto" w:sz="4" w:space="0"/>
              <w:left w:val="single" w:color="auto" w:sz="4" w:space="0"/>
              <w:bottom w:val="single" w:color="auto" w:sz="4" w:space="0"/>
              <w:right w:val="single" w:color="auto" w:sz="4" w:space="0"/>
            </w:tcBorders>
            <w:vAlign w:val="center"/>
          </w:tcPr>
          <w:p w14:paraId="025008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体系认证</w:t>
            </w:r>
          </w:p>
        </w:tc>
        <w:tc>
          <w:tcPr>
            <w:tcW w:w="6556" w:type="dxa"/>
            <w:tcBorders>
              <w:top w:val="single" w:color="auto" w:sz="4" w:space="0"/>
              <w:left w:val="single" w:color="auto" w:sz="4" w:space="0"/>
              <w:bottom w:val="single" w:color="auto" w:sz="4" w:space="0"/>
              <w:right w:val="single" w:color="auto" w:sz="4" w:space="0"/>
            </w:tcBorders>
            <w:vAlign w:val="center"/>
          </w:tcPr>
          <w:p w14:paraId="554F215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val="en-US" w:eastAsia="zh-CN"/>
              </w:rPr>
              <w:t>投标人</w:t>
            </w:r>
            <w:r>
              <w:rPr>
                <w:rFonts w:hint="eastAsia" w:ascii="宋体" w:hAnsi="宋体" w:eastAsia="宋体" w:cs="宋体"/>
                <w:color w:val="auto"/>
                <w:sz w:val="22"/>
                <w:szCs w:val="22"/>
                <w:lang w:eastAsia="zh-Hans"/>
              </w:rPr>
              <w:t>具有经中国国家认证认可监督管理委员会认证机构颁发的有效的：</w:t>
            </w:r>
          </w:p>
          <w:p w14:paraId="01B46D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（1）质量管理体系认证证书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得2分</w:t>
            </w:r>
            <w:r>
              <w:rPr>
                <w:rFonts w:hint="eastAsia" w:ascii="宋体" w:hAnsi="宋体" w:eastAsia="宋体" w:cs="宋体"/>
                <w:color w:val="auto"/>
                <w:sz w:val="22"/>
                <w:szCs w:val="22"/>
                <w:lang w:eastAsia="zh-Hans"/>
              </w:rPr>
              <w:t>；</w:t>
            </w:r>
          </w:p>
          <w:p w14:paraId="34156E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（2）环境管理体系认证证书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得2分</w:t>
            </w:r>
            <w:r>
              <w:rPr>
                <w:rFonts w:hint="eastAsia" w:ascii="宋体" w:hAnsi="宋体" w:eastAsia="宋体" w:cs="宋体"/>
                <w:color w:val="auto"/>
                <w:sz w:val="22"/>
                <w:szCs w:val="22"/>
                <w:lang w:eastAsia="zh-Hans"/>
              </w:rPr>
              <w:t>；</w:t>
            </w:r>
          </w:p>
          <w:p w14:paraId="506089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（3）职业健康安全管理体系认证证书</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得2分</w:t>
            </w:r>
            <w:r>
              <w:rPr>
                <w:rFonts w:hint="eastAsia" w:ascii="宋体" w:hAnsi="宋体" w:eastAsia="宋体" w:cs="宋体"/>
                <w:color w:val="auto"/>
                <w:sz w:val="22"/>
                <w:szCs w:val="22"/>
                <w:lang w:eastAsia="zh-Hans"/>
              </w:rPr>
              <w:t>；</w:t>
            </w:r>
          </w:p>
          <w:p w14:paraId="34F353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每提供1个得2分，满分6分。</w:t>
            </w:r>
          </w:p>
          <w:p w14:paraId="0F76F6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b/>
                <w:bCs/>
                <w:color w:val="auto"/>
                <w:sz w:val="22"/>
                <w:szCs w:val="22"/>
                <w:lang w:eastAsia="zh-Hans"/>
              </w:rPr>
              <w:t>注：</w:t>
            </w:r>
            <w:r>
              <w:rPr>
                <w:rFonts w:hint="eastAsia" w:ascii="宋体" w:hAnsi="宋体" w:eastAsia="宋体" w:cs="宋体"/>
                <w:b/>
                <w:bCs/>
                <w:color w:val="auto"/>
                <w:sz w:val="22"/>
                <w:szCs w:val="22"/>
                <w:lang w:val="en-US" w:eastAsia="zh-CN"/>
              </w:rPr>
              <w:t>投标</w:t>
            </w:r>
            <w:r>
              <w:rPr>
                <w:rFonts w:hint="eastAsia" w:ascii="宋体" w:hAnsi="宋体" w:eastAsia="宋体" w:cs="宋体"/>
                <w:b/>
                <w:bCs/>
                <w:color w:val="auto"/>
                <w:sz w:val="22"/>
                <w:szCs w:val="22"/>
                <w:lang w:eastAsia="zh-Hans"/>
              </w:rPr>
              <w:t>文件中须同时提供证书</w:t>
            </w:r>
            <w:r>
              <w:rPr>
                <w:rFonts w:hint="eastAsia" w:ascii="宋体" w:hAnsi="宋体" w:eastAsia="宋体" w:cs="宋体"/>
                <w:b/>
                <w:bCs/>
                <w:color w:val="auto"/>
                <w:sz w:val="22"/>
                <w:szCs w:val="22"/>
                <w:lang w:val="en-US" w:eastAsia="zh-CN"/>
              </w:rPr>
              <w:t>复印件并加盖单位公章</w:t>
            </w:r>
            <w:r>
              <w:rPr>
                <w:rFonts w:hint="eastAsia" w:ascii="宋体" w:hAnsi="宋体" w:eastAsia="宋体" w:cs="宋体"/>
                <w:b/>
                <w:bCs/>
                <w:color w:val="auto"/>
                <w:sz w:val="22"/>
                <w:szCs w:val="22"/>
                <w:lang w:eastAsia="zh-Hans"/>
              </w:rPr>
              <w:t>及全国认证认可信息公共服务平台官网证书信息查询截图</w:t>
            </w:r>
            <w:r>
              <w:rPr>
                <w:rFonts w:hint="eastAsia" w:ascii="宋体" w:hAnsi="宋体" w:eastAsia="宋体" w:cs="宋体"/>
                <w:b/>
                <w:bCs/>
                <w:color w:val="auto"/>
                <w:sz w:val="22"/>
                <w:szCs w:val="22"/>
                <w:lang w:eastAsia="zh-CN"/>
              </w:rPr>
              <w:t>。</w:t>
            </w:r>
          </w:p>
        </w:tc>
        <w:tc>
          <w:tcPr>
            <w:tcW w:w="374" w:type="pct"/>
            <w:tcBorders>
              <w:top w:val="single" w:color="auto" w:sz="4" w:space="0"/>
              <w:left w:val="single" w:color="auto" w:sz="4" w:space="0"/>
              <w:bottom w:val="single" w:color="auto" w:sz="4" w:space="0"/>
              <w:right w:val="single" w:color="auto" w:sz="4" w:space="0"/>
            </w:tcBorders>
            <w:vAlign w:val="center"/>
          </w:tcPr>
          <w:p w14:paraId="611974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6分</w:t>
            </w:r>
          </w:p>
        </w:tc>
      </w:tr>
      <w:tr w14:paraId="4C7E5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6" w:type="pct"/>
            <w:vMerge w:val="restart"/>
            <w:tcBorders>
              <w:top w:val="single" w:color="auto" w:sz="4" w:space="0"/>
              <w:left w:val="single" w:color="auto" w:sz="4" w:space="0"/>
              <w:right w:val="single" w:color="auto" w:sz="4" w:space="0"/>
            </w:tcBorders>
            <w:vAlign w:val="center"/>
          </w:tcPr>
          <w:p w14:paraId="40FEF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技术分值</w:t>
            </w:r>
          </w:p>
          <w:p w14:paraId="0ED506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color w:val="auto"/>
                <w:sz w:val="22"/>
                <w:szCs w:val="22"/>
                <w:lang w:val="en-US" w:eastAsia="zh-CN"/>
              </w:rPr>
              <w:t>（64分）</w:t>
            </w:r>
          </w:p>
        </w:tc>
        <w:tc>
          <w:tcPr>
            <w:tcW w:w="558" w:type="pct"/>
            <w:vMerge w:val="restart"/>
            <w:tcBorders>
              <w:top w:val="single" w:color="auto" w:sz="4" w:space="0"/>
              <w:left w:val="single" w:color="auto" w:sz="4" w:space="0"/>
              <w:right w:val="single" w:color="auto" w:sz="4" w:space="0"/>
            </w:tcBorders>
            <w:vAlign w:val="center"/>
          </w:tcPr>
          <w:p w14:paraId="29E91A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服务方案（44分）</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78F9FA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Hans"/>
              </w:rPr>
              <w:t>培训目标</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5F9709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1.满足项目培训需求中的目标任务要求，表述具体，可</w:t>
            </w:r>
            <w:r>
              <w:rPr>
                <w:rFonts w:hint="eastAsia" w:ascii="宋体" w:hAnsi="宋体" w:eastAsia="宋体" w:cs="宋体"/>
                <w:color w:val="auto"/>
                <w:sz w:val="22"/>
                <w:szCs w:val="22"/>
                <w:lang w:val="en-US" w:eastAsia="zh-CN"/>
              </w:rPr>
              <w:t>操作</w:t>
            </w:r>
            <w:r>
              <w:rPr>
                <w:rFonts w:hint="eastAsia" w:ascii="宋体" w:hAnsi="宋体" w:eastAsia="宋体" w:cs="宋体"/>
                <w:color w:val="auto"/>
                <w:sz w:val="22"/>
                <w:szCs w:val="22"/>
                <w:lang w:eastAsia="zh-Hans"/>
              </w:rPr>
              <w:t xml:space="preserve">的，得5分；表述模糊的，得2分，差或投标文件中无相应内容的不得分。 </w:t>
            </w:r>
          </w:p>
          <w:p w14:paraId="2E317B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Hans"/>
              </w:rPr>
              <w:t>2.培训对象需求把握精准，切合目标定位和学员实际的，得5 分；一般的得2分，差或投标文件中无相应内容的不得分。</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55E519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10分</w:t>
            </w:r>
          </w:p>
        </w:tc>
      </w:tr>
      <w:tr w14:paraId="092F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6" w:type="pct"/>
            <w:vMerge w:val="continue"/>
            <w:tcBorders>
              <w:left w:val="single" w:color="auto" w:sz="4" w:space="0"/>
              <w:right w:val="single" w:color="auto" w:sz="4" w:space="0"/>
            </w:tcBorders>
            <w:vAlign w:val="center"/>
          </w:tcPr>
          <w:p w14:paraId="5C9977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rPr>
            </w:pPr>
          </w:p>
        </w:tc>
        <w:tc>
          <w:tcPr>
            <w:tcW w:w="558" w:type="pct"/>
            <w:vMerge w:val="continue"/>
            <w:tcBorders>
              <w:left w:val="single" w:color="auto" w:sz="4" w:space="0"/>
              <w:right w:val="single" w:color="auto" w:sz="4" w:space="0"/>
            </w:tcBorders>
            <w:vAlign w:val="center"/>
          </w:tcPr>
          <w:p w14:paraId="3D7DB3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727A1E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rPr>
              <w:t>培训内容</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11CFCE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 xml:space="preserve">针对本项目培训需求设计培训课程内容，评委进行综合评价： </w:t>
            </w:r>
          </w:p>
          <w:p w14:paraId="3ADDCC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1.</w:t>
            </w:r>
            <w:r>
              <w:rPr>
                <w:rFonts w:hint="eastAsia" w:ascii="宋体" w:hAnsi="宋体" w:eastAsia="宋体" w:cs="宋体"/>
                <w:color w:val="auto"/>
                <w:sz w:val="22"/>
                <w:szCs w:val="22"/>
                <w:lang w:val="en-US" w:eastAsia="zh-Hans"/>
              </w:rPr>
              <w:t>培训</w:t>
            </w:r>
            <w:r>
              <w:rPr>
                <w:rFonts w:hint="eastAsia" w:ascii="宋体" w:hAnsi="宋体" w:eastAsia="宋体" w:cs="宋体"/>
                <w:color w:val="auto"/>
                <w:sz w:val="22"/>
                <w:szCs w:val="22"/>
                <w:lang w:eastAsia="zh-Hans"/>
              </w:rPr>
              <w:t>课程目标定位</w:t>
            </w:r>
            <w:r>
              <w:rPr>
                <w:rFonts w:hint="eastAsia" w:ascii="宋体" w:hAnsi="宋体" w:eastAsia="宋体" w:cs="宋体"/>
                <w:color w:val="auto"/>
                <w:sz w:val="22"/>
                <w:szCs w:val="22"/>
                <w:lang w:val="en-US" w:eastAsia="zh-Hans"/>
              </w:rPr>
              <w:t>科学</w:t>
            </w:r>
            <w:r>
              <w:rPr>
                <w:rFonts w:hint="eastAsia" w:ascii="宋体" w:hAnsi="宋体" w:eastAsia="宋体" w:cs="宋体"/>
                <w:color w:val="auto"/>
                <w:sz w:val="22"/>
                <w:szCs w:val="22"/>
                <w:lang w:eastAsia="zh-Hans"/>
              </w:rPr>
              <w:t>清晰；针对性强，内容详细完整，特色鲜明，模块设置的逻辑关系清晰，能有效提高参训学员专业技能和综合素质等方面，内容全面、合理、准确，完全符合招标文件。得</w:t>
            </w:r>
            <w:r>
              <w:rPr>
                <w:rFonts w:hint="eastAsia" w:ascii="宋体" w:hAnsi="宋体" w:eastAsia="宋体" w:cs="宋体"/>
                <w:color w:val="auto"/>
                <w:sz w:val="22"/>
                <w:szCs w:val="22"/>
                <w:lang w:val="en-US" w:eastAsia="zh-CN"/>
              </w:rPr>
              <w:t>20</w:t>
            </w:r>
            <w:r>
              <w:rPr>
                <w:rFonts w:hint="eastAsia" w:ascii="宋体" w:hAnsi="宋体" w:eastAsia="宋体" w:cs="宋体"/>
                <w:color w:val="auto"/>
                <w:sz w:val="22"/>
                <w:szCs w:val="22"/>
                <w:lang w:eastAsia="zh-Hans"/>
              </w:rPr>
              <w:t xml:space="preserve">分； </w:t>
            </w:r>
          </w:p>
          <w:p w14:paraId="502CC5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2.培训课程目标定位</w:t>
            </w:r>
            <w:r>
              <w:rPr>
                <w:rFonts w:hint="eastAsia" w:ascii="宋体" w:hAnsi="宋体" w:eastAsia="宋体" w:cs="宋体"/>
                <w:color w:val="auto"/>
                <w:sz w:val="22"/>
                <w:szCs w:val="22"/>
                <w:lang w:val="en-US" w:eastAsia="zh-Hans"/>
              </w:rPr>
              <w:t>清晰</w:t>
            </w:r>
            <w:r>
              <w:rPr>
                <w:rFonts w:hint="eastAsia" w:ascii="宋体" w:hAnsi="宋体" w:eastAsia="宋体" w:cs="宋体"/>
                <w:color w:val="auto"/>
                <w:sz w:val="22"/>
                <w:szCs w:val="22"/>
                <w:lang w:eastAsia="zh-Hans"/>
              </w:rPr>
              <w:t>，培训内容详细完整，模块设置之间的逻辑关系清晰，有一定的针对性。得</w:t>
            </w:r>
            <w:r>
              <w:rPr>
                <w:rFonts w:hint="eastAsia" w:ascii="宋体" w:hAnsi="宋体" w:eastAsia="宋体" w:cs="宋体"/>
                <w:color w:val="auto"/>
                <w:sz w:val="22"/>
                <w:szCs w:val="22"/>
                <w:lang w:val="en-US" w:eastAsia="zh-CN"/>
              </w:rPr>
              <w:t>15</w:t>
            </w:r>
            <w:r>
              <w:rPr>
                <w:rFonts w:hint="eastAsia" w:ascii="宋体" w:hAnsi="宋体" w:eastAsia="宋体" w:cs="宋体"/>
                <w:color w:val="auto"/>
                <w:sz w:val="22"/>
                <w:szCs w:val="22"/>
                <w:lang w:eastAsia="zh-Hans"/>
              </w:rPr>
              <w:t>分；</w:t>
            </w:r>
          </w:p>
          <w:p w14:paraId="5B168C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3.培训课程</w:t>
            </w:r>
            <w:r>
              <w:rPr>
                <w:rFonts w:hint="eastAsia" w:ascii="宋体" w:hAnsi="宋体" w:eastAsia="宋体" w:cs="宋体"/>
                <w:color w:val="auto"/>
                <w:sz w:val="22"/>
                <w:szCs w:val="22"/>
                <w:lang w:val="en-US" w:eastAsia="zh-Hans"/>
              </w:rPr>
              <w:t>目标定位一般清晰,</w:t>
            </w:r>
            <w:r>
              <w:rPr>
                <w:rFonts w:hint="eastAsia" w:ascii="宋体" w:hAnsi="宋体" w:eastAsia="宋体" w:cs="宋体"/>
                <w:color w:val="auto"/>
                <w:sz w:val="22"/>
                <w:szCs w:val="22"/>
                <w:lang w:eastAsia="zh-Hans"/>
              </w:rPr>
              <w:t>围绕培训目标和培训内容展开，内容完整。得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lang w:eastAsia="zh-Hans"/>
              </w:rPr>
              <w:t>分；</w:t>
            </w:r>
          </w:p>
          <w:p w14:paraId="379DD2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eastAsia="zh-Hans"/>
              </w:rPr>
              <w:t>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差的或</w:t>
            </w:r>
            <w:r>
              <w:rPr>
                <w:rFonts w:hint="eastAsia" w:ascii="宋体" w:hAnsi="宋体" w:eastAsia="宋体" w:cs="宋体"/>
                <w:color w:val="auto"/>
                <w:sz w:val="22"/>
                <w:szCs w:val="22"/>
                <w:lang w:eastAsia="zh-Hans"/>
              </w:rPr>
              <w:t xml:space="preserve">没有不得分。 </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770170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20分</w:t>
            </w:r>
          </w:p>
        </w:tc>
      </w:tr>
      <w:tr w14:paraId="7BE6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6" w:type="pct"/>
            <w:vMerge w:val="continue"/>
            <w:tcBorders>
              <w:left w:val="single" w:color="auto" w:sz="4" w:space="0"/>
              <w:right w:val="single" w:color="auto" w:sz="4" w:space="0"/>
            </w:tcBorders>
            <w:vAlign w:val="center"/>
          </w:tcPr>
          <w:p w14:paraId="780EEA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rPr>
            </w:pPr>
          </w:p>
        </w:tc>
        <w:tc>
          <w:tcPr>
            <w:tcW w:w="558" w:type="pct"/>
            <w:vMerge w:val="continue"/>
            <w:tcBorders>
              <w:left w:val="single" w:color="auto" w:sz="4" w:space="0"/>
              <w:right w:val="single" w:color="auto" w:sz="4" w:space="0"/>
            </w:tcBorders>
            <w:vAlign w:val="center"/>
          </w:tcPr>
          <w:p w14:paraId="19E8E7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63F67F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lang w:val="en-US" w:eastAsia="zh-CN"/>
              </w:rPr>
              <w:t>培训方式</w:t>
            </w:r>
          </w:p>
        </w:tc>
        <w:tc>
          <w:tcPr>
            <w:tcW w:w="6556" w:type="dxa"/>
            <w:tcBorders>
              <w:top w:val="single" w:color="auto" w:sz="4" w:space="0"/>
              <w:left w:val="single" w:color="auto" w:sz="4" w:space="0"/>
              <w:bottom w:val="single" w:color="auto" w:sz="4" w:space="0"/>
              <w:right w:val="single" w:color="auto" w:sz="4" w:space="0"/>
            </w:tcBorders>
            <w:shd w:val="clear" w:color="auto" w:fill="auto"/>
            <w:vAlign w:val="center"/>
          </w:tcPr>
          <w:p w14:paraId="53505F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根据供应商对本项目提供的以下内容，结合与本项目的相关性、完善性进行评审：</w:t>
            </w:r>
          </w:p>
          <w:p w14:paraId="7E6B42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1、培训方式的多样性、新颖性；</w:t>
            </w:r>
          </w:p>
          <w:p w14:paraId="2A9140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Hans"/>
              </w:rPr>
              <w:t>2、培训方式的实用性、针对性</w:t>
            </w:r>
            <w:r>
              <w:rPr>
                <w:rFonts w:hint="eastAsia" w:ascii="宋体" w:hAnsi="宋体" w:eastAsia="宋体" w:cs="宋体"/>
                <w:color w:val="auto"/>
                <w:sz w:val="22"/>
                <w:szCs w:val="22"/>
                <w:lang w:eastAsia="zh-CN"/>
              </w:rPr>
              <w:t>。</w:t>
            </w:r>
          </w:p>
          <w:p w14:paraId="3570654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eastAsia="zh-Hans"/>
              </w:rPr>
              <w:t>由评标委员会综合评分，优得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lang w:eastAsia="zh-Hans"/>
              </w:rPr>
              <w:t>分，一般得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eastAsia="zh-Hans"/>
              </w:rPr>
              <w:t>分，差的得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Hans"/>
              </w:rPr>
              <w:t>分，</w:t>
            </w:r>
            <w:r>
              <w:rPr>
                <w:rFonts w:hint="eastAsia" w:ascii="宋体" w:hAnsi="宋体" w:eastAsia="宋体" w:cs="宋体"/>
                <w:color w:val="auto"/>
                <w:sz w:val="22"/>
                <w:szCs w:val="22"/>
                <w:lang w:val="en-US" w:eastAsia="zh-CN"/>
              </w:rPr>
              <w:t>差的或</w:t>
            </w:r>
            <w:r>
              <w:rPr>
                <w:rFonts w:hint="eastAsia" w:ascii="宋体" w:hAnsi="宋体" w:eastAsia="宋体" w:cs="宋体"/>
                <w:color w:val="auto"/>
                <w:sz w:val="22"/>
                <w:szCs w:val="22"/>
                <w:lang w:eastAsia="zh-Hans"/>
              </w:rPr>
              <w:t>没有不得分。</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5A852BA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10分</w:t>
            </w:r>
          </w:p>
        </w:tc>
      </w:tr>
      <w:tr w14:paraId="2B34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6" w:type="pct"/>
            <w:vMerge w:val="continue"/>
            <w:tcBorders>
              <w:left w:val="single" w:color="auto" w:sz="4" w:space="0"/>
              <w:right w:val="single" w:color="auto" w:sz="4" w:space="0"/>
            </w:tcBorders>
            <w:vAlign w:val="center"/>
          </w:tcPr>
          <w:p w14:paraId="542856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rPr>
            </w:pPr>
          </w:p>
        </w:tc>
        <w:tc>
          <w:tcPr>
            <w:tcW w:w="558" w:type="pct"/>
            <w:vMerge w:val="continue"/>
            <w:tcBorders>
              <w:left w:val="single" w:color="auto" w:sz="4" w:space="0"/>
              <w:right w:val="single" w:color="auto" w:sz="4" w:space="0"/>
            </w:tcBorders>
            <w:vAlign w:val="center"/>
          </w:tcPr>
          <w:p w14:paraId="14B438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auto"/>
                <w:sz w:val="22"/>
                <w:szCs w:val="22"/>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301C2DA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Cs w:val="21"/>
              </w:rPr>
              <w:t>履行承诺</w:t>
            </w:r>
          </w:p>
        </w:tc>
        <w:tc>
          <w:tcPr>
            <w:tcW w:w="3209" w:type="pct"/>
            <w:tcBorders>
              <w:top w:val="single" w:color="auto" w:sz="4" w:space="0"/>
              <w:left w:val="single" w:color="auto" w:sz="4" w:space="0"/>
              <w:bottom w:val="single" w:color="auto" w:sz="4" w:space="0"/>
              <w:right w:val="single" w:color="auto" w:sz="4" w:space="0"/>
            </w:tcBorders>
            <w:shd w:val="clear" w:color="auto" w:fill="auto"/>
            <w:vAlign w:val="center"/>
          </w:tcPr>
          <w:p w14:paraId="4412B0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val="en-US" w:eastAsia="zh-Hans"/>
              </w:rPr>
              <w:t>1.</w:t>
            </w:r>
            <w:r>
              <w:rPr>
                <w:rFonts w:hint="eastAsia" w:ascii="宋体" w:hAnsi="宋体" w:eastAsia="宋体" w:cs="宋体"/>
                <w:color w:val="auto"/>
                <w:sz w:val="22"/>
                <w:szCs w:val="22"/>
                <w:lang w:eastAsia="zh-Hans"/>
              </w:rPr>
              <w:t>无承诺（0分）。</w:t>
            </w:r>
          </w:p>
          <w:p w14:paraId="148BD9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val="en-US" w:eastAsia="zh-Hans"/>
              </w:rPr>
              <w:t>2.</w:t>
            </w:r>
            <w:r>
              <w:rPr>
                <w:rFonts w:hint="eastAsia" w:ascii="宋体" w:hAnsi="宋体" w:eastAsia="宋体" w:cs="宋体"/>
                <w:color w:val="auto"/>
                <w:sz w:val="22"/>
                <w:szCs w:val="22"/>
                <w:lang w:eastAsia="zh-Hans"/>
              </w:rPr>
              <w:t>基本承诺提供按照招标书中提供师资和课程完成（</w:t>
            </w:r>
            <w:r>
              <w:rPr>
                <w:rFonts w:hint="eastAsia" w:ascii="宋体" w:hAnsi="宋体" w:eastAsia="宋体" w:cs="宋体"/>
                <w:color w:val="auto"/>
                <w:sz w:val="22"/>
                <w:szCs w:val="22"/>
                <w:lang w:val="en-US" w:eastAsia="zh-Hans"/>
              </w:rPr>
              <w:t>2</w:t>
            </w:r>
            <w:r>
              <w:rPr>
                <w:rFonts w:hint="eastAsia" w:ascii="宋体" w:hAnsi="宋体" w:eastAsia="宋体" w:cs="宋体"/>
                <w:color w:val="auto"/>
                <w:sz w:val="22"/>
                <w:szCs w:val="22"/>
                <w:lang w:eastAsia="zh-Hans"/>
              </w:rPr>
              <w:t>分）。</w:t>
            </w:r>
          </w:p>
          <w:p w14:paraId="2090D4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Hans"/>
              </w:rPr>
            </w:pPr>
            <w:r>
              <w:rPr>
                <w:rFonts w:hint="eastAsia" w:ascii="宋体" w:hAnsi="宋体" w:eastAsia="宋体" w:cs="宋体"/>
                <w:color w:val="auto"/>
                <w:sz w:val="22"/>
                <w:szCs w:val="22"/>
                <w:lang w:val="en-US" w:eastAsia="zh-Hans"/>
              </w:rPr>
              <w:t>3.</w:t>
            </w:r>
            <w:r>
              <w:rPr>
                <w:rFonts w:hint="eastAsia" w:ascii="宋体" w:hAnsi="宋体" w:eastAsia="宋体" w:cs="宋体"/>
                <w:color w:val="auto"/>
                <w:sz w:val="22"/>
                <w:szCs w:val="22"/>
                <w:lang w:eastAsia="zh-Hans"/>
              </w:rPr>
              <w:t>完全承诺提供按照招标书中提供师资和课程75%以上完成（</w:t>
            </w:r>
            <w:r>
              <w:rPr>
                <w:rFonts w:hint="eastAsia" w:ascii="宋体" w:hAnsi="宋体" w:eastAsia="宋体" w:cs="宋体"/>
                <w:color w:val="auto"/>
                <w:sz w:val="22"/>
                <w:szCs w:val="22"/>
                <w:lang w:val="en-US" w:eastAsia="zh-Hans"/>
              </w:rPr>
              <w:t>4</w:t>
            </w:r>
            <w:r>
              <w:rPr>
                <w:rFonts w:hint="eastAsia" w:ascii="宋体" w:hAnsi="宋体" w:eastAsia="宋体" w:cs="宋体"/>
                <w:color w:val="auto"/>
                <w:sz w:val="22"/>
                <w:szCs w:val="22"/>
                <w:lang w:eastAsia="zh-Hans"/>
              </w:rPr>
              <w:t>分）。</w:t>
            </w:r>
          </w:p>
        </w:tc>
        <w:tc>
          <w:tcPr>
            <w:tcW w:w="374" w:type="pct"/>
            <w:tcBorders>
              <w:top w:val="single" w:color="auto" w:sz="4" w:space="0"/>
              <w:left w:val="single" w:color="auto" w:sz="4" w:space="0"/>
              <w:bottom w:val="single" w:color="auto" w:sz="4" w:space="0"/>
              <w:right w:val="single" w:color="auto" w:sz="4" w:space="0"/>
            </w:tcBorders>
            <w:shd w:val="clear" w:color="auto" w:fill="auto"/>
            <w:vAlign w:val="center"/>
          </w:tcPr>
          <w:p w14:paraId="67EB3BF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4分</w:t>
            </w:r>
          </w:p>
        </w:tc>
      </w:tr>
      <w:tr w14:paraId="72F4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Merge w:val="continue"/>
            <w:tcBorders>
              <w:left w:val="single" w:color="auto" w:sz="4" w:space="0"/>
              <w:right w:val="single" w:color="auto" w:sz="4" w:space="0"/>
            </w:tcBorders>
            <w:vAlign w:val="center"/>
          </w:tcPr>
          <w:p w14:paraId="4CC109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rPr>
            </w:pPr>
          </w:p>
        </w:tc>
        <w:tc>
          <w:tcPr>
            <w:tcW w:w="558" w:type="pct"/>
            <w:vMerge w:val="restart"/>
            <w:tcBorders>
              <w:top w:val="single" w:color="auto" w:sz="4" w:space="0"/>
              <w:left w:val="single" w:color="auto" w:sz="4" w:space="0"/>
              <w:right w:val="single" w:color="auto" w:sz="4" w:space="0"/>
            </w:tcBorders>
            <w:vAlign w:val="center"/>
          </w:tcPr>
          <w:p w14:paraId="38FD6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lang w:val="en-US" w:eastAsia="zh-Hans"/>
              </w:rPr>
              <w:t>后勤能力</w:t>
            </w:r>
          </w:p>
          <w:p w14:paraId="557C3E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w:t>
            </w:r>
            <w:r>
              <w:rPr>
                <w:rFonts w:hint="eastAsia" w:ascii="宋体" w:hAnsi="宋体" w:eastAsia="宋体" w:cs="宋体"/>
                <w:color w:val="auto"/>
                <w:sz w:val="22"/>
                <w:szCs w:val="22"/>
                <w:u w:val="none"/>
                <w:lang w:val="en-US" w:eastAsia="zh-CN"/>
              </w:rPr>
              <w:t>20</w:t>
            </w:r>
            <w:r>
              <w:rPr>
                <w:rFonts w:hint="eastAsia" w:ascii="宋体" w:hAnsi="宋体" w:eastAsia="宋体" w:cs="宋体"/>
                <w:color w:val="auto"/>
                <w:sz w:val="22"/>
                <w:szCs w:val="22"/>
              </w:rPr>
              <w:t>分）</w:t>
            </w:r>
          </w:p>
        </w:tc>
        <w:tc>
          <w:tcPr>
            <w:tcW w:w="352" w:type="pct"/>
            <w:tcBorders>
              <w:top w:val="single" w:color="auto" w:sz="4" w:space="0"/>
              <w:left w:val="single" w:color="auto" w:sz="4" w:space="0"/>
              <w:bottom w:val="single" w:color="auto" w:sz="4" w:space="0"/>
              <w:right w:val="single" w:color="auto" w:sz="4" w:space="0"/>
            </w:tcBorders>
            <w:vAlign w:val="center"/>
          </w:tcPr>
          <w:p w14:paraId="36B327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2"/>
                <w:szCs w:val="22"/>
              </w:rPr>
            </w:pPr>
            <w:r>
              <w:rPr>
                <w:rFonts w:hint="eastAsia" w:ascii="宋体" w:hAnsi="宋体" w:eastAsia="宋体" w:cs="宋体"/>
                <w:color w:val="auto"/>
                <w:sz w:val="22"/>
                <w:szCs w:val="22"/>
              </w:rPr>
              <w:t>培训管理</w:t>
            </w:r>
          </w:p>
        </w:tc>
        <w:tc>
          <w:tcPr>
            <w:tcW w:w="3209" w:type="pct"/>
            <w:tcBorders>
              <w:top w:val="single" w:color="auto" w:sz="4" w:space="0"/>
              <w:left w:val="single" w:color="auto" w:sz="4" w:space="0"/>
              <w:bottom w:val="single" w:color="auto" w:sz="4" w:space="0"/>
              <w:right w:val="single" w:color="auto" w:sz="4" w:space="0"/>
            </w:tcBorders>
            <w:vAlign w:val="center"/>
          </w:tcPr>
          <w:p w14:paraId="069987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Hans"/>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eastAsia="zh-Hans"/>
              </w:rPr>
              <w:t>管理团队及管理方案不能很好履行管理职责</w:t>
            </w:r>
            <w:r>
              <w:rPr>
                <w:rFonts w:hint="eastAsia" w:ascii="宋体" w:hAnsi="宋体" w:eastAsia="宋体" w:cs="宋体"/>
                <w:color w:val="auto"/>
                <w:sz w:val="22"/>
                <w:szCs w:val="22"/>
                <w:lang w:eastAsia="zh-CN"/>
              </w:rPr>
              <w:t>；</w:t>
            </w:r>
          </w:p>
          <w:p w14:paraId="1F2FEF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Hans"/>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eastAsia="zh-Hans"/>
              </w:rPr>
              <w:t>管理团队分工明确，有管理经验，能很好履行管理职责，管理方案合理促进培训效果达成</w:t>
            </w:r>
            <w:r>
              <w:rPr>
                <w:rFonts w:hint="eastAsia" w:ascii="宋体" w:hAnsi="宋体" w:eastAsia="宋体" w:cs="宋体"/>
                <w:color w:val="auto"/>
                <w:sz w:val="22"/>
                <w:szCs w:val="22"/>
                <w:lang w:eastAsia="zh-CN"/>
              </w:rPr>
              <w:t>。</w:t>
            </w:r>
          </w:p>
          <w:p w14:paraId="36EFB5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rPr>
            </w:pPr>
            <w:r>
              <w:rPr>
                <w:rFonts w:hint="eastAsia" w:ascii="宋体" w:hAnsi="宋体" w:eastAsia="宋体" w:cs="宋体"/>
                <w:color w:val="auto"/>
                <w:sz w:val="22"/>
                <w:szCs w:val="22"/>
                <w:lang w:eastAsia="zh-Hans"/>
              </w:rPr>
              <w:t>由评标委员会综合评分，优得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lang w:eastAsia="zh-Hans"/>
              </w:rPr>
              <w:t>分，一般得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lang w:eastAsia="zh-Hans"/>
              </w:rPr>
              <w:t>分，差的得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lang w:eastAsia="zh-Hans"/>
              </w:rPr>
              <w:t>分，</w:t>
            </w:r>
            <w:r>
              <w:rPr>
                <w:rFonts w:hint="eastAsia" w:ascii="宋体" w:hAnsi="宋体" w:eastAsia="宋体" w:cs="宋体"/>
                <w:color w:val="auto"/>
                <w:sz w:val="22"/>
                <w:szCs w:val="22"/>
                <w:lang w:val="en-US" w:eastAsia="zh-CN"/>
              </w:rPr>
              <w:t>差的或</w:t>
            </w:r>
            <w:r>
              <w:rPr>
                <w:rFonts w:hint="eastAsia" w:ascii="宋体" w:hAnsi="宋体" w:eastAsia="宋体" w:cs="宋体"/>
                <w:color w:val="auto"/>
                <w:sz w:val="22"/>
                <w:szCs w:val="22"/>
                <w:lang w:eastAsia="zh-Hans"/>
              </w:rPr>
              <w:t>没有不得分。</w:t>
            </w:r>
          </w:p>
        </w:tc>
        <w:tc>
          <w:tcPr>
            <w:tcW w:w="374" w:type="pct"/>
            <w:tcBorders>
              <w:top w:val="single" w:color="auto" w:sz="4" w:space="0"/>
              <w:left w:val="single" w:color="auto" w:sz="4" w:space="0"/>
              <w:bottom w:val="single" w:color="auto" w:sz="4" w:space="0"/>
              <w:right w:val="single" w:color="auto" w:sz="4" w:space="0"/>
            </w:tcBorders>
            <w:vAlign w:val="center"/>
          </w:tcPr>
          <w:p w14:paraId="785A8F0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10分</w:t>
            </w:r>
          </w:p>
        </w:tc>
      </w:tr>
      <w:tr w14:paraId="782D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6" w:type="pct"/>
            <w:vMerge w:val="continue"/>
            <w:tcBorders>
              <w:left w:val="single" w:color="auto" w:sz="4" w:space="0"/>
              <w:right w:val="single" w:color="auto" w:sz="4" w:space="0"/>
            </w:tcBorders>
            <w:vAlign w:val="center"/>
          </w:tcPr>
          <w:p w14:paraId="2B588162">
            <w:pPr>
              <w:keepNext w:val="0"/>
              <w:keepLines w:val="0"/>
              <w:pageBreakBefore w:val="0"/>
              <w:widowControl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2"/>
                <w:szCs w:val="22"/>
              </w:rPr>
            </w:pPr>
          </w:p>
        </w:tc>
        <w:tc>
          <w:tcPr>
            <w:tcW w:w="558" w:type="pct"/>
            <w:vMerge w:val="continue"/>
            <w:tcBorders>
              <w:left w:val="single" w:color="auto" w:sz="4" w:space="0"/>
              <w:right w:val="single" w:color="auto" w:sz="4" w:space="0"/>
            </w:tcBorders>
            <w:vAlign w:val="center"/>
          </w:tcPr>
          <w:p w14:paraId="4B91F69C">
            <w:pPr>
              <w:keepNext w:val="0"/>
              <w:keepLines w:val="0"/>
              <w:pageBreakBefore w:val="0"/>
              <w:widowControl w:val="0"/>
              <w:kinsoku/>
              <w:wordWrap/>
              <w:overflowPunct/>
              <w:topLinePunct w:val="0"/>
              <w:autoSpaceDE/>
              <w:autoSpaceDN/>
              <w:bidi w:val="0"/>
              <w:adjustRightInd/>
              <w:snapToGrid/>
              <w:spacing w:line="440" w:lineRule="exact"/>
              <w:ind w:firstLine="435"/>
              <w:jc w:val="center"/>
              <w:textAlignment w:val="auto"/>
              <w:rPr>
                <w:rFonts w:hint="eastAsia" w:ascii="宋体" w:hAnsi="宋体" w:eastAsia="宋体" w:cs="宋体"/>
                <w:b/>
                <w:bCs/>
                <w:color w:val="auto"/>
                <w:sz w:val="22"/>
                <w:szCs w:val="22"/>
              </w:rPr>
            </w:pPr>
          </w:p>
        </w:tc>
        <w:tc>
          <w:tcPr>
            <w:tcW w:w="352" w:type="pct"/>
            <w:tcBorders>
              <w:top w:val="single" w:color="auto" w:sz="4" w:space="0"/>
              <w:left w:val="single" w:color="auto" w:sz="4" w:space="0"/>
              <w:bottom w:val="single" w:color="auto" w:sz="4" w:space="0"/>
              <w:right w:val="single" w:color="auto" w:sz="4" w:space="0"/>
            </w:tcBorders>
            <w:vAlign w:val="center"/>
          </w:tcPr>
          <w:p w14:paraId="4847AA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后勤保障</w:t>
            </w:r>
          </w:p>
        </w:tc>
        <w:tc>
          <w:tcPr>
            <w:tcW w:w="3209" w:type="pct"/>
            <w:tcBorders>
              <w:top w:val="single" w:color="auto" w:sz="4" w:space="0"/>
              <w:left w:val="single" w:color="auto" w:sz="4" w:space="0"/>
              <w:bottom w:val="single" w:color="auto" w:sz="4" w:space="0"/>
              <w:right w:val="single" w:color="auto" w:sz="4" w:space="0"/>
            </w:tcBorders>
            <w:vAlign w:val="center"/>
          </w:tcPr>
          <w:p w14:paraId="3892086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执行相关要求，培训场所、设备、设施、食宿及医疗保障条件优异，符合</w:t>
            </w:r>
            <w:r>
              <w:rPr>
                <w:rFonts w:hint="eastAsia" w:ascii="宋体" w:hAnsi="宋体" w:eastAsia="宋体" w:cs="宋体"/>
                <w:color w:val="auto"/>
                <w:sz w:val="22"/>
                <w:szCs w:val="22"/>
                <w:lang w:val="en-US" w:eastAsia="zh-CN"/>
              </w:rPr>
              <w:t>培训</w:t>
            </w:r>
            <w:r>
              <w:rPr>
                <w:rFonts w:hint="eastAsia" w:ascii="宋体" w:hAnsi="宋体" w:eastAsia="宋体" w:cs="宋体"/>
                <w:color w:val="auto"/>
                <w:sz w:val="22"/>
                <w:szCs w:val="22"/>
              </w:rPr>
              <w:t>工作需要。所提供项目所需要的后勤服务，内容包含但不限于：</w:t>
            </w:r>
          </w:p>
          <w:p w14:paraId="7C2D07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负责提供和协助学员往返交通的订票服务。</w:t>
            </w:r>
          </w:p>
          <w:p w14:paraId="66B1A0B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2</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负责培训目的地所需的集体交通服务。</w:t>
            </w:r>
          </w:p>
          <w:p w14:paraId="344CE5F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3</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负责安排学员食宿，学员食宿原则上不低于国培项目标准。</w:t>
            </w:r>
          </w:p>
          <w:p w14:paraId="16AB67B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4</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为学员购买人身意外伤害保险</w:t>
            </w:r>
          </w:p>
          <w:p w14:paraId="30FF76E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投标供应商自行提供的其他后勤保障方案。</w:t>
            </w:r>
          </w:p>
          <w:p w14:paraId="79BE2B9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由评标委员会综合评分，优得</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分，一般得</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分，差的得</w:t>
            </w:r>
            <w:r>
              <w:rPr>
                <w:rFonts w:hint="eastAsia" w:ascii="宋体" w:hAnsi="宋体" w:eastAsia="宋体" w:cs="宋体"/>
                <w:color w:val="auto"/>
                <w:sz w:val="22"/>
                <w:szCs w:val="22"/>
                <w:lang w:val="en-US" w:eastAsia="zh-CN"/>
              </w:rPr>
              <w:t>2</w:t>
            </w:r>
            <w:r>
              <w:rPr>
                <w:rFonts w:hint="eastAsia" w:ascii="宋体" w:hAnsi="宋体" w:eastAsia="宋体" w:cs="宋体"/>
                <w:color w:val="auto"/>
                <w:sz w:val="22"/>
                <w:szCs w:val="22"/>
              </w:rPr>
              <w:t>分，</w:t>
            </w:r>
            <w:r>
              <w:rPr>
                <w:rFonts w:hint="eastAsia" w:ascii="宋体" w:hAnsi="宋体" w:eastAsia="宋体" w:cs="宋体"/>
                <w:color w:val="auto"/>
                <w:sz w:val="22"/>
                <w:szCs w:val="22"/>
                <w:lang w:val="en-US" w:eastAsia="zh-CN"/>
              </w:rPr>
              <w:t>差的或</w:t>
            </w:r>
            <w:r>
              <w:rPr>
                <w:rFonts w:hint="eastAsia" w:ascii="宋体" w:hAnsi="宋体" w:eastAsia="宋体" w:cs="宋体"/>
                <w:color w:val="auto"/>
                <w:sz w:val="22"/>
                <w:szCs w:val="22"/>
              </w:rPr>
              <w:t>没有不得分。</w:t>
            </w:r>
          </w:p>
        </w:tc>
        <w:tc>
          <w:tcPr>
            <w:tcW w:w="374" w:type="pct"/>
            <w:tcBorders>
              <w:top w:val="single" w:color="auto" w:sz="4" w:space="0"/>
              <w:left w:val="single" w:color="auto" w:sz="4" w:space="0"/>
              <w:bottom w:val="single" w:color="auto" w:sz="4" w:space="0"/>
              <w:right w:val="single" w:color="auto" w:sz="4" w:space="0"/>
            </w:tcBorders>
            <w:vAlign w:val="center"/>
          </w:tcPr>
          <w:p w14:paraId="176896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2"/>
                <w:szCs w:val="22"/>
                <w:lang w:val="en-US" w:eastAsia="zh-CN"/>
              </w:rPr>
            </w:pPr>
            <w:r>
              <w:rPr>
                <w:rFonts w:hint="eastAsia" w:ascii="宋体" w:hAnsi="宋体" w:eastAsia="宋体" w:cs="宋体"/>
                <w:b/>
                <w:bCs/>
                <w:color w:val="auto"/>
                <w:sz w:val="22"/>
                <w:szCs w:val="22"/>
                <w:lang w:val="en-US" w:eastAsia="zh-CN"/>
              </w:rPr>
              <w:t>10分</w:t>
            </w:r>
          </w:p>
        </w:tc>
      </w:tr>
      <w:tr w14:paraId="557F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4" w:type="pct"/>
            <w:gridSpan w:val="2"/>
            <w:tcBorders>
              <w:left w:val="single" w:color="auto" w:sz="4" w:space="0"/>
              <w:right w:val="single" w:color="auto" w:sz="4" w:space="0"/>
            </w:tcBorders>
            <w:vAlign w:val="center"/>
          </w:tcPr>
          <w:p w14:paraId="4535E79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价格分（</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w:t>
            </w:r>
          </w:p>
        </w:tc>
        <w:tc>
          <w:tcPr>
            <w:tcW w:w="3935" w:type="pct"/>
            <w:gridSpan w:val="3"/>
            <w:tcBorders>
              <w:top w:val="single" w:color="auto" w:sz="4" w:space="0"/>
              <w:left w:val="single" w:color="auto" w:sz="4" w:space="0"/>
              <w:bottom w:val="single" w:color="auto" w:sz="4" w:space="0"/>
              <w:right w:val="single" w:color="auto" w:sz="4" w:space="0"/>
            </w:tcBorders>
            <w:vAlign w:val="center"/>
          </w:tcPr>
          <w:p w14:paraId="26C5D2B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价格分统一采用低价优先法，即满足招标文件要求且投标价格最低的投标报价为评标基准价</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按照一年投标总价计算）</w:t>
            </w:r>
            <w:r>
              <w:rPr>
                <w:rFonts w:hint="eastAsia" w:ascii="宋体" w:hAnsi="宋体" w:eastAsia="宋体" w:cs="宋体"/>
                <w:color w:val="auto"/>
                <w:sz w:val="22"/>
                <w:szCs w:val="22"/>
              </w:rPr>
              <w:t>，其价格分为满分</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分。其他投标人的价格分统一按照下列公式计算：</w:t>
            </w:r>
          </w:p>
          <w:p w14:paraId="62B2209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投标报价得分＝（评标基准价/投标报价）×</w:t>
            </w:r>
            <w:r>
              <w:rPr>
                <w:rFonts w:hint="eastAsia" w:ascii="宋体" w:hAnsi="宋体" w:eastAsia="宋体" w:cs="宋体"/>
                <w:color w:val="auto"/>
                <w:sz w:val="22"/>
                <w:szCs w:val="22"/>
                <w:lang w:val="en-US" w:eastAsia="zh-CN"/>
              </w:rPr>
              <w:t>10</w:t>
            </w:r>
            <w:r>
              <w:rPr>
                <w:rFonts w:hint="eastAsia" w:ascii="宋体" w:hAnsi="宋体" w:eastAsia="宋体" w:cs="宋体"/>
                <w:color w:val="auto"/>
                <w:sz w:val="22"/>
                <w:szCs w:val="22"/>
              </w:rPr>
              <w:t>％×100</w:t>
            </w:r>
          </w:p>
          <w:p w14:paraId="17A32F8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注：</w:t>
            </w:r>
            <w:r>
              <w:rPr>
                <w:rFonts w:hint="eastAsia" w:ascii="宋体" w:hAnsi="宋体" w:eastAsia="宋体" w:cs="宋体"/>
                <w:color w:val="auto"/>
                <w:sz w:val="22"/>
                <w:szCs w:val="22"/>
              </w:rPr>
              <w:t>计算商务评分的价格以三年报价为准</w:t>
            </w:r>
            <w:r>
              <w:rPr>
                <w:rFonts w:hint="eastAsia" w:ascii="宋体" w:hAnsi="宋体" w:eastAsia="宋体" w:cs="宋体"/>
                <w:color w:val="auto"/>
                <w:sz w:val="22"/>
                <w:szCs w:val="22"/>
                <w:lang w:eastAsia="zh-CN"/>
              </w:rPr>
              <w:t>。</w:t>
            </w:r>
          </w:p>
        </w:tc>
      </w:tr>
    </w:tbl>
    <w:p w14:paraId="2C390257">
      <w:pPr>
        <w:spacing w:line="440" w:lineRule="exact"/>
        <w:ind w:firstLine="435"/>
        <w:rPr>
          <w:rFonts w:ascii="宋体" w:hAnsi="宋体" w:eastAsia="宋体" w:cs="宋体"/>
          <w:color w:val="auto"/>
          <w:sz w:val="24"/>
        </w:rPr>
      </w:pPr>
      <w:r>
        <w:rPr>
          <w:rFonts w:hint="eastAsia" w:ascii="宋体" w:hAnsi="宋体" w:eastAsia="宋体" w:cs="宋体"/>
          <w:color w:val="auto"/>
          <w:sz w:val="24"/>
        </w:rPr>
        <w:t>2.3.3分值汇总</w:t>
      </w:r>
    </w:p>
    <w:p w14:paraId="55843B8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（1）评标委员会各成员应当独立对每个有效投标人的投标文件进行评分，并汇总每个投标人的得分。取各位评委评分之平均值，四舍五入保留至小数点后两位数，得到该投标人的技术资信分。</w:t>
      </w:r>
    </w:p>
    <w:p w14:paraId="410A47B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（2）将投标人的技术资信分加上根据上述标准计算出的价格分，即为该投标人的综合总得分。</w:t>
      </w:r>
    </w:p>
    <w:p w14:paraId="3FDCC577">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三、无效投标条款</w:t>
      </w:r>
    </w:p>
    <w:p w14:paraId="766038B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3.1投标文件有下列情形的,其投标文件拒收:</w:t>
      </w:r>
    </w:p>
    <w:p w14:paraId="1402DF5D">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 (1) 未在开标截止时间前递交有效投标文件的，投标将被拒绝。</w:t>
      </w:r>
    </w:p>
    <w:p w14:paraId="76AB6E5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3.2投标人有下列情形之一的,资格审查后其投标作无效投标处理：</w:t>
      </w:r>
    </w:p>
    <w:p w14:paraId="67A6BD0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(1)投标人为本项目提供招标代理服务的；</w:t>
      </w:r>
    </w:p>
    <w:p w14:paraId="6A13123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(2)投标人与在本项目代理机构存在相互任职或工作的；</w:t>
      </w:r>
    </w:p>
    <w:p w14:paraId="4A10515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(3)招标公告写明专门面向中小企业采购，投标人提供的货物非中小企业制造的；（本项目不采用）</w:t>
      </w:r>
    </w:p>
    <w:p w14:paraId="55B7FAE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(4)要求供应商以联合体形式参加采购活动，投标人非联合体或者联合协议中中小企业合同金额未达到应当达到的比例；（本项目不采用）</w:t>
      </w:r>
    </w:p>
    <w:p w14:paraId="309F136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(5)要求获得采购合同的供应商向中小企业分包，投标人未提供分包意向协议或者分包意向协议中中小企业合同金额未达到应当达到的比例；（本项目不采用）</w:t>
      </w:r>
    </w:p>
    <w:p w14:paraId="662A6353">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(6)评标专家无法查看并检验投标文件中相关资料的；</w:t>
      </w:r>
    </w:p>
    <w:p w14:paraId="153C19C7">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(7)联合体投标未提交联合体协议的；（本项目不采用）</w:t>
      </w:r>
    </w:p>
    <w:p w14:paraId="47C329C9">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(8)责令停产停业的；</w:t>
      </w:r>
    </w:p>
    <w:p w14:paraId="69981DAB">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(9)暂停或者取消参与政府采购项目资格的；</w:t>
      </w:r>
    </w:p>
    <w:p w14:paraId="7AEC1D0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(10)投标人单位负责人为同一人或者存在（直接）控股、管理关系的不同单位的；</w:t>
      </w:r>
    </w:p>
    <w:p w14:paraId="0B49A174">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(11)投标人基本资格条件和特定资格条件中有一项及以上不符合要求的；</w:t>
      </w:r>
    </w:p>
    <w:p w14:paraId="2C846E1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(12)其它情形，经评标委员会委提出按无效投标处理的；</w:t>
      </w:r>
    </w:p>
    <w:p w14:paraId="21ACC596">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(13)投标人单方面出现其他投标人材料的；</w:t>
      </w:r>
    </w:p>
    <w:p w14:paraId="08EFDFB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(14)招标文件规定的其它无效投标情形。</w:t>
      </w:r>
    </w:p>
    <w:p w14:paraId="4EBECCE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3.3 投标人有下列情形之一的,符合性审查后其投标按无效投标处理：</w:t>
      </w:r>
    </w:p>
    <w:p w14:paraId="0401D138">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(1)投标文件签字、盖章不全，经评标委员会一致认定对开评标内容有实质性影响的；</w:t>
      </w:r>
    </w:p>
    <w:p w14:paraId="7088303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(2)未按规定的格式填写导致实质性内容不全以及实质上不响应，或者关键字迹模糊、无法辨认的；</w:t>
      </w:r>
    </w:p>
    <w:p w14:paraId="40F182A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(3)同一投标人提交两个以上不同的投标文件或者投标报价，但招标文件规定提交备选方案的除外；</w:t>
      </w:r>
    </w:p>
    <w:p w14:paraId="4482FEF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(4)投标文件没有对招标文件的实质性要求和条件作出响应;</w:t>
      </w:r>
    </w:p>
    <w:p w14:paraId="4EEDA7C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(5)投标报价超出规定的投标限价或公布的采购预算的或投标人的投标报价各项单价高于招标文件给定的单价最高限价；</w:t>
      </w:r>
    </w:p>
    <w:p w14:paraId="387162B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(6)不按评标委员会要求澄清、说明或补正的，或者评标委员会根据招标文件的规定对投标文件的计算错误进行修正后，投标人不接受修正的投标报价的。</w:t>
      </w:r>
    </w:p>
    <w:p w14:paraId="2DF78D80">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(7)其它情形，经评标委员会委提出按无效投标处理的；</w:t>
      </w:r>
    </w:p>
    <w:p w14:paraId="14E40C8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(8)投标文件含有采购人不能接受的附加条件的；</w:t>
      </w:r>
    </w:p>
    <w:p w14:paraId="4EC2DA55">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(9)招标文件规定的其它无效投标情形。</w:t>
      </w:r>
    </w:p>
    <w:p w14:paraId="5E9909C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3.4 投标人有下列情形之一的, 详细评审后其投标按无效投标处理：</w:t>
      </w:r>
    </w:p>
    <w:p w14:paraId="00F7F6E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(1)投标产品不符合必须强制执行的国家标准的；</w:t>
      </w:r>
    </w:p>
    <w:p w14:paraId="2E3D504C">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(2)投标人有串通投标、弄虚作假、行贿等违法行为；</w:t>
      </w:r>
    </w:p>
    <w:p w14:paraId="51423B6E">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(3)投标文件含有违反国家法律、法规的内容，或附有采购人不能接受的条件的；</w:t>
      </w:r>
    </w:p>
    <w:p w14:paraId="4D2A4791">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(4)报价明显低于其他投标人，且不能证明报价合理性的投标无效；</w:t>
      </w:r>
    </w:p>
    <w:p w14:paraId="3D5232E2">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(5)拒不确认评标委员会评审修正的投标无效；</w:t>
      </w:r>
    </w:p>
    <w:p w14:paraId="32E9208F">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hint="eastAsia" w:ascii="宋体" w:hAnsi="宋体" w:eastAsia="宋体" w:cs="宋体"/>
          <w:color w:val="auto"/>
          <w:sz w:val="24"/>
        </w:rPr>
      </w:pPr>
      <w:r>
        <w:rPr>
          <w:rFonts w:hint="eastAsia" w:ascii="宋体" w:hAnsi="宋体" w:eastAsia="宋体" w:cs="宋体"/>
          <w:color w:val="auto"/>
          <w:sz w:val="24"/>
        </w:rPr>
        <w:t>(6)其它情形，经评标委员会委提出按无效投标处理的；</w:t>
      </w:r>
    </w:p>
    <w:p w14:paraId="70BC82CA">
      <w:pPr>
        <w:keepNext w:val="0"/>
        <w:keepLines w:val="0"/>
        <w:pageBreakBefore w:val="0"/>
        <w:widowControl w:val="0"/>
        <w:kinsoku/>
        <w:wordWrap/>
        <w:overflowPunct/>
        <w:topLinePunct w:val="0"/>
        <w:autoSpaceDE/>
        <w:autoSpaceDN/>
        <w:bidi w:val="0"/>
        <w:adjustRightInd/>
        <w:snapToGrid/>
        <w:spacing w:line="500" w:lineRule="exact"/>
        <w:ind w:firstLine="437"/>
        <w:jc w:val="left"/>
        <w:textAlignment w:val="auto"/>
        <w:rPr>
          <w:rFonts w:ascii="宋体" w:hAnsi="宋体" w:eastAsia="宋体" w:cs="宋体"/>
          <w:color w:val="auto"/>
          <w:sz w:val="24"/>
        </w:rPr>
      </w:pPr>
      <w:r>
        <w:rPr>
          <w:rFonts w:hint="eastAsia" w:ascii="宋体" w:hAnsi="宋体" w:eastAsia="宋体" w:cs="宋体"/>
          <w:color w:val="auto"/>
          <w:sz w:val="24"/>
        </w:rPr>
        <w:t>(7)招标文件规定的其它无效投标情形。</w:t>
      </w:r>
      <w:r>
        <w:rPr>
          <w:rFonts w:hint="eastAsia" w:ascii="宋体" w:hAnsi="宋体" w:eastAsia="宋体" w:cs="宋体"/>
          <w:color w:val="auto"/>
          <w:sz w:val="24"/>
        </w:rPr>
        <w:br w:type="page"/>
      </w:r>
    </w:p>
    <w:p w14:paraId="20C4A96A">
      <w:pPr>
        <w:spacing w:line="360" w:lineRule="auto"/>
        <w:jc w:val="center"/>
        <w:outlineLvl w:val="0"/>
        <w:rPr>
          <w:rFonts w:ascii="宋体" w:hAnsi="宋体" w:eastAsia="宋体" w:cs="宋体"/>
          <w:b/>
          <w:color w:val="auto"/>
          <w:sz w:val="28"/>
        </w:rPr>
      </w:pPr>
      <w:bookmarkStart w:id="65" w:name="_Toc20405"/>
      <w:r>
        <w:rPr>
          <w:rFonts w:hint="eastAsia" w:ascii="宋体" w:hAnsi="宋体" w:eastAsia="宋体" w:cs="宋体"/>
          <w:b/>
          <w:color w:val="auto"/>
          <w:sz w:val="28"/>
        </w:rPr>
        <w:t>第五章  采购合同</w:t>
      </w:r>
      <w:bookmarkEnd w:id="65"/>
    </w:p>
    <w:p w14:paraId="73B59827">
      <w:pPr>
        <w:spacing w:line="480" w:lineRule="auto"/>
        <w:jc w:val="center"/>
        <w:rPr>
          <w:rFonts w:ascii="宋体" w:hAnsi="宋体" w:eastAsia="宋体" w:cs="宋体"/>
          <w:b/>
          <w:color w:val="auto"/>
          <w:sz w:val="28"/>
          <w:szCs w:val="28"/>
        </w:rPr>
      </w:pPr>
      <w:bookmarkStart w:id="66" w:name="_Toc331685784"/>
    </w:p>
    <w:p w14:paraId="68122200">
      <w:pPr>
        <w:spacing w:line="480" w:lineRule="auto"/>
        <w:jc w:val="center"/>
        <w:rPr>
          <w:rFonts w:ascii="宋体" w:hAnsi="宋体" w:eastAsia="宋体" w:cs="宋体"/>
          <w:b/>
          <w:color w:val="auto"/>
          <w:sz w:val="28"/>
          <w:szCs w:val="28"/>
        </w:rPr>
      </w:pPr>
    </w:p>
    <w:p w14:paraId="7F368CD5">
      <w:pPr>
        <w:pStyle w:val="2"/>
        <w:rPr>
          <w:rFonts w:ascii="宋体" w:hAnsi="宋体" w:eastAsia="宋体" w:cs="宋体"/>
          <w:color w:val="auto"/>
        </w:rPr>
      </w:pPr>
    </w:p>
    <w:p w14:paraId="1C4FD11D">
      <w:pPr>
        <w:spacing w:line="480" w:lineRule="auto"/>
        <w:jc w:val="center"/>
        <w:outlineLvl w:val="1"/>
        <w:rPr>
          <w:rFonts w:ascii="宋体" w:hAnsi="宋体" w:eastAsia="宋体" w:cs="宋体"/>
          <w:b/>
          <w:color w:val="auto"/>
          <w:sz w:val="28"/>
          <w:szCs w:val="28"/>
        </w:rPr>
      </w:pPr>
      <w:bookmarkStart w:id="67" w:name="_Toc3714"/>
      <w:r>
        <w:rPr>
          <w:rFonts w:hint="eastAsia" w:ascii="宋体" w:hAnsi="宋体" w:eastAsia="宋体" w:cs="宋体"/>
          <w:b/>
          <w:color w:val="auto"/>
          <w:sz w:val="28"/>
          <w:szCs w:val="28"/>
        </w:rPr>
        <w:t>采购合同参考范本</w:t>
      </w:r>
      <w:bookmarkEnd w:id="67"/>
    </w:p>
    <w:p w14:paraId="0A6AA3DD">
      <w:pPr>
        <w:spacing w:line="480" w:lineRule="auto"/>
        <w:jc w:val="center"/>
        <w:outlineLvl w:val="1"/>
        <w:rPr>
          <w:rFonts w:ascii="宋体" w:hAnsi="宋体" w:eastAsia="宋体" w:cs="宋体"/>
          <w:b/>
          <w:color w:val="auto"/>
          <w:sz w:val="28"/>
          <w:szCs w:val="28"/>
        </w:rPr>
      </w:pPr>
      <w:bookmarkStart w:id="68" w:name="_Toc8560"/>
      <w:r>
        <w:rPr>
          <w:rFonts w:hint="eastAsia" w:ascii="宋体" w:hAnsi="宋体" w:eastAsia="宋体" w:cs="宋体"/>
          <w:b/>
          <w:color w:val="auto"/>
          <w:sz w:val="28"/>
          <w:szCs w:val="28"/>
        </w:rPr>
        <w:t>（服务类）</w:t>
      </w:r>
      <w:bookmarkEnd w:id="68"/>
    </w:p>
    <w:p w14:paraId="44731040">
      <w:pPr>
        <w:spacing w:line="480" w:lineRule="auto"/>
        <w:jc w:val="center"/>
        <w:rPr>
          <w:rFonts w:ascii="宋体" w:hAnsi="宋体" w:eastAsia="宋体" w:cs="宋体"/>
          <w:b/>
          <w:color w:val="auto"/>
          <w:sz w:val="24"/>
          <w:szCs w:val="24"/>
        </w:rPr>
      </w:pPr>
    </w:p>
    <w:p w14:paraId="260E4229">
      <w:pPr>
        <w:spacing w:line="480" w:lineRule="auto"/>
        <w:jc w:val="center"/>
        <w:rPr>
          <w:rFonts w:ascii="宋体" w:hAnsi="宋体" w:eastAsia="宋体" w:cs="宋体"/>
          <w:b/>
          <w:color w:val="auto"/>
          <w:sz w:val="24"/>
          <w:szCs w:val="24"/>
        </w:rPr>
      </w:pPr>
    </w:p>
    <w:p w14:paraId="5ABD05B7">
      <w:pPr>
        <w:spacing w:line="480" w:lineRule="auto"/>
        <w:jc w:val="center"/>
        <w:rPr>
          <w:rFonts w:ascii="宋体" w:hAnsi="宋体" w:eastAsia="宋体" w:cs="宋体"/>
          <w:b/>
          <w:color w:val="auto"/>
          <w:sz w:val="24"/>
          <w:szCs w:val="24"/>
        </w:rPr>
      </w:pPr>
    </w:p>
    <w:p w14:paraId="1B968D47">
      <w:pPr>
        <w:spacing w:line="360" w:lineRule="auto"/>
        <w:jc w:val="center"/>
        <w:outlineLvl w:val="1"/>
        <w:rPr>
          <w:rFonts w:ascii="宋体" w:hAnsi="宋体" w:eastAsia="宋体" w:cs="宋体"/>
          <w:b/>
          <w:color w:val="auto"/>
          <w:sz w:val="24"/>
        </w:rPr>
      </w:pPr>
      <w:bookmarkStart w:id="69" w:name="_Toc2449"/>
      <w:r>
        <w:rPr>
          <w:rFonts w:hint="eastAsia" w:ascii="宋体" w:hAnsi="宋体" w:eastAsia="宋体" w:cs="宋体"/>
          <w:b/>
          <w:color w:val="auto"/>
          <w:sz w:val="24"/>
        </w:rPr>
        <w:t>第一部分 合同书</w:t>
      </w:r>
      <w:bookmarkEnd w:id="69"/>
    </w:p>
    <w:p w14:paraId="53789A46">
      <w:pPr>
        <w:spacing w:line="480" w:lineRule="auto"/>
        <w:jc w:val="center"/>
        <w:rPr>
          <w:rFonts w:ascii="宋体" w:hAnsi="宋体" w:eastAsia="宋体" w:cs="宋体"/>
          <w:b/>
          <w:color w:val="auto"/>
          <w:sz w:val="24"/>
          <w:szCs w:val="24"/>
        </w:rPr>
      </w:pPr>
    </w:p>
    <w:p w14:paraId="352F6EE9">
      <w:pPr>
        <w:spacing w:line="480" w:lineRule="auto"/>
        <w:jc w:val="center"/>
        <w:rPr>
          <w:rFonts w:ascii="宋体" w:hAnsi="宋体" w:eastAsia="宋体" w:cs="宋体"/>
          <w:b/>
          <w:color w:val="auto"/>
          <w:sz w:val="24"/>
          <w:szCs w:val="24"/>
        </w:rPr>
      </w:pPr>
    </w:p>
    <w:p w14:paraId="5487C713">
      <w:pPr>
        <w:pStyle w:val="2"/>
        <w:rPr>
          <w:rFonts w:ascii="宋体" w:hAnsi="宋体" w:eastAsia="宋体" w:cs="宋体"/>
          <w:color w:val="auto"/>
        </w:rPr>
      </w:pPr>
    </w:p>
    <w:p w14:paraId="14E4DD91">
      <w:pPr>
        <w:pStyle w:val="2"/>
        <w:rPr>
          <w:rFonts w:ascii="宋体" w:hAnsi="宋体" w:eastAsia="宋体" w:cs="宋体"/>
          <w:color w:val="auto"/>
        </w:rPr>
      </w:pPr>
    </w:p>
    <w:p w14:paraId="05C743E2">
      <w:pPr>
        <w:spacing w:before="120" w:line="480" w:lineRule="auto"/>
        <w:ind w:left="96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项目名称：</w:t>
      </w:r>
      <w:r>
        <w:rPr>
          <w:rFonts w:hint="eastAsia" w:ascii="宋体" w:hAnsi="宋体" w:eastAsia="宋体" w:cs="宋体"/>
          <w:color w:val="auto"/>
          <w:sz w:val="24"/>
          <w:szCs w:val="24"/>
          <w:u w:val="single"/>
          <w:lang w:eastAsia="zh-CN"/>
        </w:rPr>
        <w:t>滁州市2026年琅琊区中小学校长专业能力提升培训项目</w:t>
      </w:r>
    </w:p>
    <w:p w14:paraId="493243E0">
      <w:pPr>
        <w:spacing w:before="120" w:line="480" w:lineRule="auto"/>
        <w:ind w:left="960"/>
        <w:rPr>
          <w:rFonts w:ascii="宋体" w:hAnsi="宋体" w:eastAsia="宋体" w:cs="宋体"/>
          <w:color w:val="auto"/>
          <w:sz w:val="24"/>
          <w:szCs w:val="24"/>
        </w:rPr>
      </w:pP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rPr>
        <w:t xml:space="preserve">                 </w:t>
      </w:r>
    </w:p>
    <w:p w14:paraId="3A59B8EA">
      <w:pPr>
        <w:spacing w:before="120" w:line="480" w:lineRule="auto"/>
        <w:ind w:left="96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甲方（采购人）：</w:t>
      </w:r>
      <w:r>
        <w:rPr>
          <w:rFonts w:hint="eastAsia" w:ascii="宋体" w:hAnsi="宋体" w:eastAsia="宋体" w:cs="宋体"/>
          <w:color w:val="auto"/>
          <w:sz w:val="24"/>
          <w:szCs w:val="24"/>
          <w:u w:val="single"/>
          <w:lang w:eastAsia="zh-CN"/>
        </w:rPr>
        <w:t>滁州市第二小学</w:t>
      </w:r>
    </w:p>
    <w:p w14:paraId="1C52331F">
      <w:pPr>
        <w:spacing w:before="120" w:line="480" w:lineRule="auto"/>
        <w:ind w:left="960"/>
        <w:rPr>
          <w:rFonts w:ascii="宋体" w:hAnsi="宋体" w:eastAsia="宋体" w:cs="宋体"/>
          <w:color w:val="auto"/>
          <w:sz w:val="24"/>
          <w:szCs w:val="24"/>
          <w:u w:val="single"/>
        </w:rPr>
      </w:pPr>
      <w:r>
        <w:rPr>
          <w:rFonts w:hint="eastAsia" w:ascii="宋体" w:hAnsi="宋体" w:eastAsia="宋体" w:cs="宋体"/>
          <w:color w:val="auto"/>
          <w:sz w:val="24"/>
          <w:szCs w:val="24"/>
        </w:rPr>
        <w:t>乙方（中标人）：</w:t>
      </w:r>
      <w:r>
        <w:rPr>
          <w:rFonts w:hint="eastAsia" w:ascii="宋体" w:hAnsi="宋体" w:eastAsia="宋体" w:cs="宋体"/>
          <w:color w:val="auto"/>
          <w:sz w:val="24"/>
          <w:szCs w:val="24"/>
          <w:u w:val="single"/>
        </w:rPr>
        <w:t xml:space="preserve">                              </w:t>
      </w:r>
    </w:p>
    <w:p w14:paraId="060D0774">
      <w:pPr>
        <w:spacing w:before="120" w:line="480" w:lineRule="auto"/>
        <w:ind w:firstLine="960" w:firstLineChars="400"/>
        <w:rPr>
          <w:rFonts w:ascii="宋体" w:hAnsi="宋体" w:eastAsia="宋体" w:cs="宋体"/>
          <w:color w:val="auto"/>
          <w:sz w:val="24"/>
          <w:szCs w:val="24"/>
          <w:u w:val="single"/>
        </w:rPr>
      </w:pPr>
      <w:r>
        <w:rPr>
          <w:rFonts w:hint="eastAsia" w:ascii="宋体" w:hAnsi="宋体" w:eastAsia="宋体" w:cs="宋体"/>
          <w:color w:val="auto"/>
          <w:sz w:val="24"/>
          <w:szCs w:val="24"/>
        </w:rPr>
        <w:t>签订地：</w:t>
      </w:r>
      <w:r>
        <w:rPr>
          <w:rFonts w:hint="eastAsia" w:ascii="宋体" w:hAnsi="宋体" w:eastAsia="宋体" w:cs="宋体"/>
          <w:color w:val="auto"/>
          <w:sz w:val="24"/>
          <w:szCs w:val="24"/>
          <w:u w:val="single"/>
        </w:rPr>
        <w:t xml:space="preserve">                                     </w:t>
      </w:r>
    </w:p>
    <w:p w14:paraId="53D6246B">
      <w:pPr>
        <w:spacing w:before="120" w:line="480" w:lineRule="auto"/>
        <w:ind w:firstLine="960" w:firstLineChars="400"/>
        <w:rPr>
          <w:rFonts w:ascii="宋体" w:hAnsi="宋体" w:eastAsia="宋体" w:cs="宋体"/>
          <w:color w:val="auto"/>
          <w:sz w:val="24"/>
          <w:szCs w:val="24"/>
        </w:rPr>
      </w:pPr>
      <w:r>
        <w:rPr>
          <w:rFonts w:hint="eastAsia" w:ascii="宋体" w:hAnsi="宋体" w:eastAsia="宋体" w:cs="宋体"/>
          <w:color w:val="auto"/>
          <w:sz w:val="24"/>
          <w:szCs w:val="24"/>
        </w:rPr>
        <w:t>签订日期：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FCA5B6C">
      <w:pPr>
        <w:widowControl/>
        <w:jc w:val="left"/>
        <w:rPr>
          <w:rFonts w:ascii="宋体" w:hAnsi="宋体" w:eastAsia="宋体" w:cs="宋体"/>
          <w:color w:val="auto"/>
          <w:sz w:val="24"/>
          <w:szCs w:val="24"/>
        </w:rPr>
      </w:pPr>
      <w:r>
        <w:rPr>
          <w:rFonts w:hint="eastAsia" w:ascii="宋体" w:hAnsi="宋体" w:eastAsia="宋体" w:cs="宋体"/>
          <w:color w:val="auto"/>
          <w:sz w:val="24"/>
          <w:szCs w:val="24"/>
        </w:rPr>
        <w:br w:type="page"/>
      </w:r>
    </w:p>
    <w:p w14:paraId="66C33DD6">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rPr>
      </w:pPr>
      <w:r>
        <w:rPr>
          <w:rFonts w:hint="eastAsia" w:ascii="宋体" w:hAnsi="宋体" w:eastAsia="宋体" w:cs="宋体"/>
          <w:color w:val="auto"/>
          <w:sz w:val="24"/>
          <w:u w:val="single"/>
          <w:lang w:eastAsia="zh-CN"/>
        </w:rPr>
        <w:t>滁州市2026年琅琊区中小学校长专业能力提升培训项目</w:t>
      </w:r>
      <w:r>
        <w:rPr>
          <w:rFonts w:hint="eastAsia" w:ascii="宋体" w:hAnsi="宋体" w:eastAsia="宋体" w:cs="宋体"/>
          <w:color w:val="auto"/>
          <w:sz w:val="24"/>
        </w:rPr>
        <w:t>（</w:t>
      </w:r>
      <w:r>
        <w:rPr>
          <w:rFonts w:hint="eastAsia" w:ascii="宋体" w:hAnsi="宋体" w:eastAsia="宋体" w:cs="宋体"/>
          <w:color w:val="auto"/>
          <w:sz w:val="24"/>
          <w:szCs w:val="24"/>
          <w:lang w:val="zh-CN"/>
        </w:rPr>
        <w:t>以下简称：甲方</w:t>
      </w:r>
      <w:r>
        <w:rPr>
          <w:rFonts w:hint="eastAsia" w:ascii="宋体" w:hAnsi="宋体" w:eastAsia="宋体" w:cs="宋体"/>
          <w:color w:val="auto"/>
          <w:sz w:val="24"/>
        </w:rPr>
        <w:t>）通过</w:t>
      </w:r>
      <w:r>
        <w:rPr>
          <w:rFonts w:hint="eastAsia" w:ascii="宋体" w:hAnsi="宋体" w:eastAsia="宋体" w:cs="宋体"/>
          <w:color w:val="auto"/>
          <w:sz w:val="24"/>
          <w:u w:val="single"/>
          <w:lang w:eastAsia="zh-CN"/>
        </w:rPr>
        <w:t>滁州市城投工程咨询管理有限公司</w:t>
      </w:r>
      <w:r>
        <w:rPr>
          <w:rFonts w:hint="eastAsia" w:ascii="宋体" w:hAnsi="宋体" w:eastAsia="宋体" w:cs="宋体"/>
          <w:color w:val="auto"/>
          <w:sz w:val="24"/>
        </w:rPr>
        <w:t>组织的</w:t>
      </w:r>
      <w:r>
        <w:rPr>
          <w:rFonts w:hint="eastAsia" w:ascii="宋体" w:hAnsi="宋体" w:eastAsia="宋体" w:cs="宋体"/>
          <w:color w:val="auto"/>
          <w:sz w:val="24"/>
          <w:u w:val="single"/>
        </w:rPr>
        <w:t>公开招标</w:t>
      </w:r>
      <w:r>
        <w:rPr>
          <w:rFonts w:hint="eastAsia" w:ascii="宋体" w:hAnsi="宋体" w:eastAsia="宋体" w:cs="宋体"/>
          <w:color w:val="auto"/>
          <w:sz w:val="24"/>
        </w:rPr>
        <w:t>方式采购活动，经</w:t>
      </w:r>
      <w:r>
        <w:rPr>
          <w:rFonts w:hint="eastAsia" w:ascii="宋体" w:hAnsi="宋体" w:eastAsia="宋体" w:cs="宋体"/>
          <w:color w:val="auto"/>
          <w:sz w:val="24"/>
          <w:u w:val="single"/>
        </w:rPr>
        <w:t>评标委员会</w:t>
      </w:r>
      <w:r>
        <w:rPr>
          <w:rFonts w:hint="eastAsia" w:ascii="宋体" w:hAnsi="宋体" w:eastAsia="宋体" w:cs="宋体"/>
          <w:color w:val="auto"/>
          <w:sz w:val="24"/>
        </w:rPr>
        <w:t>评定，</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sz w:val="24"/>
          <w:szCs w:val="24"/>
          <w:lang w:val="zh-CN"/>
        </w:rPr>
        <w:t>以下简称：乙方</w:t>
      </w:r>
      <w:r>
        <w:rPr>
          <w:rFonts w:hint="eastAsia" w:ascii="宋体" w:hAnsi="宋体" w:eastAsia="宋体" w:cs="宋体"/>
          <w:color w:val="auto"/>
          <w:sz w:val="24"/>
        </w:rPr>
        <w:t>）为本项目中标人，现</w:t>
      </w:r>
      <w:r>
        <w:rPr>
          <w:rFonts w:hint="eastAsia" w:ascii="宋体" w:hAnsi="宋体" w:eastAsia="宋体" w:cs="宋体"/>
          <w:color w:val="auto"/>
          <w:sz w:val="24"/>
          <w:szCs w:val="24"/>
        </w:rPr>
        <w:t>按照采购文件确定的事项签订本合同。</w:t>
      </w:r>
    </w:p>
    <w:p w14:paraId="4E1002E2">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rPr>
        <w:t>根据《中华人民共和国民法典》、《中华人民共和国政府采购法》等相关法律法规之规定，按照平等、自愿、公平和诚实信用的原则，经甲方和乙方协商一致，约定以下合同条款，以兹共同遵守、全面履行。</w:t>
      </w:r>
    </w:p>
    <w:p w14:paraId="53ADC5E6">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70" w:name="_Toc3029"/>
      <w:bookmarkStart w:id="71" w:name="_Toc24059"/>
      <w:bookmarkStart w:id="72" w:name="_Toc2232"/>
      <w:r>
        <w:rPr>
          <w:rFonts w:hint="eastAsia" w:ascii="宋体" w:hAnsi="宋体" w:eastAsia="宋体" w:cs="宋体"/>
          <w:b/>
          <w:bCs/>
          <w:color w:val="auto"/>
          <w:sz w:val="24"/>
          <w:szCs w:val="24"/>
          <w:lang w:val="zh-CN"/>
        </w:rPr>
        <w:t>1.1 合同组成部分</w:t>
      </w:r>
      <w:bookmarkEnd w:id="70"/>
      <w:bookmarkEnd w:id="71"/>
      <w:bookmarkEnd w:id="72"/>
    </w:p>
    <w:p w14:paraId="697A11A2">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9FC15EC">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1.1.1本合同及其补充合同、变更协议；</w:t>
      </w:r>
    </w:p>
    <w:p w14:paraId="7912B313">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1.1.2中标通知书；</w:t>
      </w:r>
    </w:p>
    <w:p w14:paraId="3F169695">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1.1.3投标文件（含澄清或者说明文件）；</w:t>
      </w:r>
    </w:p>
    <w:p w14:paraId="40C23A1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1.1.4招标文件（含澄清或者修改文件）；</w:t>
      </w:r>
    </w:p>
    <w:p w14:paraId="2CFFCE92">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1.1.5其他相关采购文件。</w:t>
      </w:r>
    </w:p>
    <w:p w14:paraId="5A40A750">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73" w:name="_Toc22185"/>
      <w:bookmarkStart w:id="74" w:name="_Toc2918"/>
      <w:bookmarkStart w:id="75" w:name="_Toc18585"/>
      <w:bookmarkStart w:id="76" w:name="_Toc6773"/>
      <w:bookmarkStart w:id="77" w:name="_Toc6311"/>
      <w:r>
        <w:rPr>
          <w:rFonts w:hint="eastAsia" w:ascii="宋体" w:hAnsi="宋体" w:eastAsia="宋体" w:cs="宋体"/>
          <w:b/>
          <w:bCs/>
          <w:color w:val="auto"/>
          <w:sz w:val="24"/>
          <w:szCs w:val="24"/>
          <w:lang w:val="zh-CN"/>
        </w:rPr>
        <w:t xml:space="preserve">1.2 </w:t>
      </w:r>
      <w:bookmarkEnd w:id="73"/>
      <w:bookmarkEnd w:id="74"/>
      <w:bookmarkEnd w:id="75"/>
      <w:bookmarkEnd w:id="76"/>
      <w:bookmarkEnd w:id="77"/>
      <w:r>
        <w:rPr>
          <w:rFonts w:hint="eastAsia" w:ascii="宋体" w:hAnsi="宋体" w:eastAsia="宋体" w:cs="宋体"/>
          <w:b/>
          <w:bCs/>
          <w:color w:val="auto"/>
          <w:sz w:val="24"/>
          <w:szCs w:val="24"/>
          <w:lang w:val="zh-CN"/>
        </w:rPr>
        <w:t>服务</w:t>
      </w:r>
    </w:p>
    <w:p w14:paraId="37261AD8">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1.2.1服务名称：</w:t>
      </w:r>
      <w:r>
        <w:rPr>
          <w:rFonts w:hint="eastAsia" w:ascii="宋体" w:hAnsi="宋体" w:eastAsia="宋体" w:cs="宋体"/>
          <w:color w:val="auto"/>
          <w:sz w:val="24"/>
          <w:u w:val="single"/>
          <w:lang w:eastAsia="zh-CN"/>
        </w:rPr>
        <w:t>滁州市2026年琅琊区中小学校长专业能力提升培训项目</w:t>
      </w:r>
      <w:r>
        <w:rPr>
          <w:rFonts w:hint="eastAsia" w:ascii="宋体" w:hAnsi="宋体" w:eastAsia="宋体" w:cs="宋体"/>
          <w:color w:val="auto"/>
          <w:sz w:val="24"/>
          <w:szCs w:val="24"/>
        </w:rPr>
        <w:t>；</w:t>
      </w:r>
    </w:p>
    <w:p w14:paraId="6065E9E9">
      <w:pPr>
        <w:keepNext w:val="0"/>
        <w:keepLines w:val="0"/>
        <w:pageBreakBefore w:val="0"/>
        <w:kinsoku/>
        <w:wordWrap/>
        <w:overflowPunct/>
        <w:topLinePunct w:val="0"/>
        <w:bidi w:val="0"/>
        <w:snapToGrid/>
        <w:spacing w:line="500" w:lineRule="exact"/>
        <w:ind w:firstLine="435"/>
        <w:textAlignment w:val="auto"/>
        <w:rPr>
          <w:rFonts w:hint="eastAsia" w:ascii="宋体" w:hAnsi="宋体" w:eastAsia="宋体" w:cs="宋体"/>
          <w:color w:val="auto"/>
          <w:sz w:val="24"/>
          <w:u w:val="single"/>
          <w:lang w:eastAsia="zh-CN"/>
        </w:rPr>
      </w:pPr>
      <w:r>
        <w:rPr>
          <w:rFonts w:hint="eastAsia" w:ascii="宋体" w:hAnsi="宋体" w:eastAsia="宋体" w:cs="宋体"/>
          <w:color w:val="auto"/>
          <w:sz w:val="24"/>
          <w:szCs w:val="24"/>
        </w:rPr>
        <w:t>1.2.2服务内容：</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u w:val="single"/>
          <w:lang w:eastAsia="zh-CN"/>
        </w:rPr>
        <w:t>；</w:t>
      </w:r>
    </w:p>
    <w:p w14:paraId="11F6CE18">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1.2.3服务质量：</w:t>
      </w:r>
      <w:r>
        <w:rPr>
          <w:rFonts w:hint="eastAsia" w:ascii="宋体" w:hAnsi="宋体" w:eastAsia="宋体" w:cs="宋体"/>
          <w:color w:val="auto"/>
          <w:sz w:val="24"/>
          <w:u w:val="single"/>
        </w:rPr>
        <w:t>招标文件第三章采购需求全部内容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E2972BA">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78" w:name="_Toc23292"/>
      <w:bookmarkStart w:id="79" w:name="_Toc21551"/>
      <w:bookmarkStart w:id="80" w:name="_Toc21631"/>
      <w:r>
        <w:rPr>
          <w:rFonts w:hint="eastAsia" w:ascii="宋体" w:hAnsi="宋体" w:eastAsia="宋体" w:cs="宋体"/>
          <w:b/>
          <w:bCs/>
          <w:color w:val="auto"/>
          <w:sz w:val="24"/>
          <w:szCs w:val="24"/>
          <w:lang w:val="zh-CN"/>
        </w:rPr>
        <w:t>1.3 价款</w:t>
      </w:r>
      <w:bookmarkEnd w:id="78"/>
      <w:bookmarkEnd w:id="79"/>
      <w:bookmarkEnd w:id="80"/>
    </w:p>
    <w:p w14:paraId="5C7EC3D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本合同总价为：￥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元（大写：人民币</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C656237">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分项价格：</w:t>
      </w:r>
    </w:p>
    <w:tbl>
      <w:tblPr>
        <w:tblStyle w:val="28"/>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445"/>
        <w:gridCol w:w="3520"/>
        <w:gridCol w:w="12"/>
      </w:tblGrid>
      <w:tr w14:paraId="0910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620" w:hRule="atLeast"/>
          <w:jc w:val="center"/>
        </w:trPr>
        <w:tc>
          <w:tcPr>
            <w:tcW w:w="752" w:type="dxa"/>
            <w:vAlign w:val="center"/>
          </w:tcPr>
          <w:p w14:paraId="553FAD01">
            <w:pPr>
              <w:keepNext w:val="0"/>
              <w:keepLines w:val="0"/>
              <w:pageBreakBefore w:val="0"/>
              <w:kinsoku/>
              <w:wordWrap/>
              <w:overflowPunct/>
              <w:topLinePunct w:val="0"/>
              <w:bidi w:val="0"/>
              <w:snapToGrid/>
              <w:spacing w:line="500" w:lineRule="exact"/>
              <w:jc w:val="center"/>
              <w:textAlignment w:val="auto"/>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序号</w:t>
            </w:r>
          </w:p>
        </w:tc>
        <w:tc>
          <w:tcPr>
            <w:tcW w:w="4445" w:type="dxa"/>
            <w:vAlign w:val="center"/>
          </w:tcPr>
          <w:p w14:paraId="461B3A7D">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分项名称</w:t>
            </w:r>
          </w:p>
        </w:tc>
        <w:tc>
          <w:tcPr>
            <w:tcW w:w="3520" w:type="dxa"/>
            <w:vAlign w:val="center"/>
          </w:tcPr>
          <w:p w14:paraId="6267B30A">
            <w:pPr>
              <w:keepNext w:val="0"/>
              <w:keepLines w:val="0"/>
              <w:pageBreakBefore w:val="0"/>
              <w:kinsoku/>
              <w:wordWrap/>
              <w:overflowPunct/>
              <w:topLinePunct w:val="0"/>
              <w:bidi w:val="0"/>
              <w:snapToGrid/>
              <w:spacing w:line="500" w:lineRule="exact"/>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分项价格</w:t>
            </w:r>
          </w:p>
        </w:tc>
      </w:tr>
      <w:tr w14:paraId="7090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752" w:type="dxa"/>
          </w:tcPr>
          <w:p w14:paraId="75F447BF">
            <w:pPr>
              <w:keepNext w:val="0"/>
              <w:keepLines w:val="0"/>
              <w:pageBreakBefore w:val="0"/>
              <w:kinsoku/>
              <w:wordWrap/>
              <w:overflowPunct/>
              <w:topLinePunct w:val="0"/>
              <w:bidi w:val="0"/>
              <w:snapToGrid/>
              <w:spacing w:line="500" w:lineRule="exact"/>
              <w:jc w:val="center"/>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4445" w:type="dxa"/>
            <w:vAlign w:val="center"/>
          </w:tcPr>
          <w:p w14:paraId="737868AC">
            <w:pPr>
              <w:keepNext w:val="0"/>
              <w:keepLines w:val="0"/>
              <w:pageBreakBefore w:val="0"/>
              <w:kinsoku/>
              <w:wordWrap/>
              <w:overflowPunct/>
              <w:topLinePunct w:val="0"/>
              <w:bidi w:val="0"/>
              <w:snapToGrid/>
              <w:spacing w:line="500" w:lineRule="exact"/>
              <w:ind w:firstLine="200"/>
              <w:jc w:val="center"/>
              <w:textAlignment w:val="auto"/>
              <w:rPr>
                <w:rFonts w:hint="eastAsia" w:ascii="宋体" w:hAnsi="宋体" w:eastAsia="宋体" w:cs="宋体"/>
                <w:color w:val="auto"/>
                <w:sz w:val="24"/>
                <w:szCs w:val="24"/>
                <w:lang w:val="en-US" w:eastAsia="zh-CN"/>
              </w:rPr>
            </w:pPr>
          </w:p>
        </w:tc>
        <w:tc>
          <w:tcPr>
            <w:tcW w:w="3520" w:type="dxa"/>
            <w:vAlign w:val="center"/>
          </w:tcPr>
          <w:p w14:paraId="164DC414">
            <w:pPr>
              <w:keepNext w:val="0"/>
              <w:keepLines w:val="0"/>
              <w:pageBreakBefore w:val="0"/>
              <w:kinsoku/>
              <w:wordWrap/>
              <w:overflowPunct/>
              <w:topLinePunct w:val="0"/>
              <w:bidi w:val="0"/>
              <w:snapToGrid/>
              <w:spacing w:line="500" w:lineRule="exact"/>
              <w:ind w:firstLine="200"/>
              <w:jc w:val="center"/>
              <w:textAlignment w:val="auto"/>
              <w:rPr>
                <w:rFonts w:hint="default" w:ascii="宋体" w:hAnsi="宋体" w:eastAsia="宋体" w:cs="宋体"/>
                <w:color w:val="auto"/>
                <w:sz w:val="24"/>
                <w:szCs w:val="24"/>
                <w:lang w:val="en-US" w:eastAsia="zh-CN"/>
              </w:rPr>
            </w:pPr>
          </w:p>
        </w:tc>
      </w:tr>
      <w:tr w14:paraId="26E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97" w:type="dxa"/>
            <w:gridSpan w:val="2"/>
            <w:vAlign w:val="center"/>
          </w:tcPr>
          <w:p w14:paraId="3CE8E80B">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总价</w:t>
            </w:r>
          </w:p>
        </w:tc>
        <w:tc>
          <w:tcPr>
            <w:tcW w:w="3532" w:type="dxa"/>
            <w:gridSpan w:val="2"/>
            <w:vAlign w:val="center"/>
          </w:tcPr>
          <w:p w14:paraId="1AB3468D">
            <w:pPr>
              <w:keepNext w:val="0"/>
              <w:keepLines w:val="0"/>
              <w:pageBreakBefore w:val="0"/>
              <w:kinsoku/>
              <w:wordWrap/>
              <w:overflowPunct/>
              <w:topLinePunct w:val="0"/>
              <w:bidi w:val="0"/>
              <w:snapToGrid/>
              <w:spacing w:line="500" w:lineRule="exact"/>
              <w:ind w:firstLine="200"/>
              <w:jc w:val="center"/>
              <w:textAlignment w:val="auto"/>
              <w:rPr>
                <w:rFonts w:ascii="宋体" w:hAnsi="宋体" w:eastAsia="宋体" w:cs="宋体"/>
                <w:color w:val="auto"/>
                <w:sz w:val="24"/>
                <w:szCs w:val="24"/>
              </w:rPr>
            </w:pPr>
          </w:p>
        </w:tc>
      </w:tr>
    </w:tbl>
    <w:p w14:paraId="7DF3D434">
      <w:pPr>
        <w:keepNext w:val="0"/>
        <w:keepLines w:val="0"/>
        <w:pageBreakBefore w:val="0"/>
        <w:kinsoku/>
        <w:wordWrap/>
        <w:overflowPunct/>
        <w:topLinePunct w:val="0"/>
        <w:bidi w:val="0"/>
        <w:snapToGrid/>
        <w:spacing w:line="500" w:lineRule="exact"/>
        <w:ind w:firstLine="437"/>
        <w:textAlignment w:val="auto"/>
        <w:outlineLvl w:val="2"/>
        <w:rPr>
          <w:rFonts w:hint="default" w:ascii="宋体" w:hAnsi="宋体" w:eastAsia="宋体" w:cs="宋体"/>
          <w:b/>
          <w:bCs/>
          <w:color w:val="auto"/>
          <w:sz w:val="24"/>
          <w:szCs w:val="24"/>
          <w:lang w:val="en-US" w:eastAsia="zh-CN"/>
        </w:rPr>
      </w:pPr>
      <w:bookmarkStart w:id="81" w:name="_Toc10340"/>
      <w:bookmarkStart w:id="82" w:name="_Toc22618"/>
      <w:bookmarkStart w:id="83" w:name="_Toc1814"/>
      <w:r>
        <w:rPr>
          <w:rFonts w:hint="eastAsia" w:ascii="宋体" w:hAnsi="宋体" w:eastAsia="宋体" w:cs="宋体"/>
          <w:b/>
          <w:bCs/>
          <w:color w:val="auto"/>
          <w:sz w:val="24"/>
          <w:szCs w:val="24"/>
          <w:lang w:val="en-US" w:eastAsia="zh-CN"/>
        </w:rPr>
        <w:t>注：具体人数以实际参加人数为准，按实结算，综合单价不予调整。</w:t>
      </w:r>
    </w:p>
    <w:p w14:paraId="41B39D4B">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r>
        <w:rPr>
          <w:rFonts w:hint="eastAsia" w:ascii="宋体" w:hAnsi="宋体" w:eastAsia="宋体" w:cs="宋体"/>
          <w:b/>
          <w:bCs/>
          <w:color w:val="auto"/>
          <w:sz w:val="24"/>
          <w:szCs w:val="24"/>
          <w:lang w:val="zh-CN"/>
        </w:rPr>
        <w:t>1.4 付款方式和发票开具方式</w:t>
      </w:r>
      <w:bookmarkEnd w:id="81"/>
      <w:bookmarkEnd w:id="82"/>
      <w:bookmarkEnd w:id="83"/>
    </w:p>
    <w:p w14:paraId="5FC619B1">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1.4.1付款方式</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u w:val="single"/>
          <w:lang w:eastAsia="zh-CN"/>
        </w:rPr>
        <w:t>合同签订生效并具备实施条件后可支付单年合同价的40%预付款(预付款支付前，中标人须提供同等金额的见索即付预付款保函)，培训服务完成且相关资料整理交接至采购人后一次性付清合同款</w:t>
      </w:r>
      <w:r>
        <w:rPr>
          <w:rFonts w:hint="eastAsia" w:ascii="宋体" w:hAnsi="宋体" w:eastAsia="宋体" w:cs="宋体"/>
          <w:color w:val="auto"/>
          <w:sz w:val="24"/>
          <w:szCs w:val="24"/>
          <w:u w:val="single"/>
          <w:lang w:val="en-US" w:eastAsia="zh-CN"/>
        </w:rPr>
        <w:t>。</w:t>
      </w:r>
    </w:p>
    <w:p w14:paraId="1247D356">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1.4.2发票开具方式：</w:t>
      </w:r>
      <w:r>
        <w:rPr>
          <w:rFonts w:hint="eastAsia" w:ascii="宋体" w:hAnsi="宋体" w:eastAsia="宋体" w:cs="宋体"/>
          <w:color w:val="auto"/>
          <w:sz w:val="24"/>
          <w:szCs w:val="24"/>
          <w:u w:val="single"/>
        </w:rPr>
        <w:t>开具符合要求的发票</w:t>
      </w:r>
      <w:r>
        <w:rPr>
          <w:rFonts w:hint="eastAsia" w:ascii="宋体" w:hAnsi="宋体" w:eastAsia="宋体" w:cs="宋体"/>
          <w:color w:val="auto"/>
          <w:sz w:val="24"/>
          <w:szCs w:val="24"/>
        </w:rPr>
        <w:t>。</w:t>
      </w:r>
    </w:p>
    <w:p w14:paraId="07275CA0">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84" w:name="_Toc2846"/>
      <w:bookmarkStart w:id="85" w:name="_Toc32071"/>
      <w:bookmarkStart w:id="86" w:name="_Toc19304"/>
      <w:r>
        <w:rPr>
          <w:rFonts w:hint="eastAsia" w:ascii="宋体" w:hAnsi="宋体" w:eastAsia="宋体" w:cs="宋体"/>
          <w:b/>
          <w:bCs/>
          <w:color w:val="auto"/>
          <w:sz w:val="24"/>
          <w:szCs w:val="24"/>
          <w:lang w:val="zh-CN"/>
        </w:rPr>
        <w:t>1.5 服务期限、地点和方式</w:t>
      </w:r>
      <w:bookmarkEnd w:id="84"/>
      <w:bookmarkEnd w:id="85"/>
      <w:bookmarkEnd w:id="86"/>
    </w:p>
    <w:p w14:paraId="260C2900">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1.5.1服务期限：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0AC665AF">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1.5.2服务地点：</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115522A">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1.5.3服务方式：</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3FE4769E">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87" w:name="_Toc27250"/>
      <w:bookmarkStart w:id="88" w:name="_Toc21423"/>
      <w:bookmarkStart w:id="89" w:name="_Toc19554"/>
      <w:r>
        <w:rPr>
          <w:rFonts w:hint="eastAsia" w:ascii="宋体" w:hAnsi="宋体" w:eastAsia="宋体" w:cs="宋体"/>
          <w:b/>
          <w:bCs/>
          <w:color w:val="auto"/>
          <w:sz w:val="24"/>
          <w:szCs w:val="24"/>
          <w:lang w:val="zh-CN"/>
        </w:rPr>
        <w:t>1.6 违约责任</w:t>
      </w:r>
      <w:bookmarkEnd w:id="87"/>
      <w:bookmarkEnd w:id="88"/>
      <w:bookmarkEnd w:id="89"/>
    </w:p>
    <w:p w14:paraId="05CD5F64">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u w:val="single"/>
        </w:rPr>
        <w:t xml:space="preserve">0.5 </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%；迟延履行的违约金计算数额达到前述最高限额之日起，甲方有权在要求乙方支付违约金的同时，书面通知乙方解除本合同；</w:t>
      </w:r>
    </w:p>
    <w:p w14:paraId="107E1F3A">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u w:val="single"/>
        </w:rPr>
        <w:t>0.5</w:t>
      </w:r>
      <w:r>
        <w:rPr>
          <w:rFonts w:hint="eastAsia" w:ascii="宋体" w:hAnsi="宋体" w:eastAsia="宋体" w:cs="宋体"/>
          <w:color w:val="auto"/>
          <w:sz w:val="24"/>
          <w:szCs w:val="24"/>
        </w:rPr>
        <w:t>%计算，最高限额为本合同总价的</w:t>
      </w:r>
      <w:r>
        <w:rPr>
          <w:rFonts w:hint="eastAsia" w:ascii="宋体" w:hAnsi="宋体" w:eastAsia="宋体" w:cs="宋体"/>
          <w:color w:val="auto"/>
          <w:sz w:val="24"/>
          <w:szCs w:val="24"/>
          <w:u w:val="single"/>
        </w:rPr>
        <w:t>10</w:t>
      </w:r>
      <w:r>
        <w:rPr>
          <w:rFonts w:hint="eastAsia" w:ascii="宋体" w:hAnsi="宋体" w:eastAsia="宋体" w:cs="宋体"/>
          <w:color w:val="auto"/>
          <w:sz w:val="24"/>
          <w:szCs w:val="24"/>
        </w:rPr>
        <w:t>%；迟延付款的违约金计算数额达到前述最高限额之日起，乙方有权在要求甲方支付违约金的同时，书面通知甲方解除本合同；</w:t>
      </w:r>
    </w:p>
    <w:p w14:paraId="7949ABCC">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D21A68">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99BEDA7">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34F3069">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1.6.6如果出现政府采购监督管理部门在处理投诉事项期间，书面通知甲方暂停采购活动的情形，或者询问或质疑事项可能影响中标结果的，导致甲方中止履行合同的情形，均不视为甲方违约。</w:t>
      </w:r>
    </w:p>
    <w:p w14:paraId="691837DA">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D64CF95">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90" w:name="_Toc16021"/>
      <w:bookmarkStart w:id="91" w:name="_Toc28375"/>
      <w:bookmarkStart w:id="92" w:name="_Toc15583"/>
      <w:r>
        <w:rPr>
          <w:rFonts w:hint="eastAsia" w:ascii="宋体" w:hAnsi="宋体" w:eastAsia="宋体" w:cs="宋体"/>
          <w:b/>
          <w:bCs/>
          <w:color w:val="auto"/>
          <w:sz w:val="24"/>
          <w:szCs w:val="24"/>
          <w:lang w:val="zh-CN"/>
        </w:rPr>
        <w:t>1.7 合同争议的解决</w:t>
      </w:r>
      <w:bookmarkEnd w:id="90"/>
      <w:bookmarkEnd w:id="91"/>
      <w:bookmarkEnd w:id="92"/>
    </w:p>
    <w:p w14:paraId="7C6351D7">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u w:val="single"/>
        </w:rPr>
        <w:t xml:space="preserve"> 2 </w:t>
      </w:r>
      <w:r>
        <w:rPr>
          <w:rFonts w:hint="eastAsia" w:ascii="宋体" w:hAnsi="宋体" w:eastAsia="宋体" w:cs="宋体"/>
          <w:color w:val="auto"/>
          <w:sz w:val="24"/>
          <w:szCs w:val="24"/>
        </w:rPr>
        <w:t>种方式解决：</w:t>
      </w:r>
    </w:p>
    <w:p w14:paraId="581BB126">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1.7.1将争议提交</w:t>
      </w:r>
      <w:r>
        <w:rPr>
          <w:rFonts w:hint="eastAsia" w:ascii="宋体" w:hAnsi="宋体" w:eastAsia="宋体" w:cs="宋体"/>
          <w:color w:val="auto"/>
          <w:sz w:val="24"/>
          <w:szCs w:val="24"/>
          <w:u w:val="single"/>
        </w:rPr>
        <w:t>滁州</w:t>
      </w:r>
      <w:r>
        <w:rPr>
          <w:rFonts w:hint="eastAsia" w:ascii="宋体" w:hAnsi="宋体" w:eastAsia="宋体" w:cs="宋体"/>
          <w:color w:val="auto"/>
          <w:sz w:val="24"/>
          <w:szCs w:val="24"/>
        </w:rPr>
        <w:t>仲裁委员会依申请仲裁时其现行有效的仲裁规则裁决；</w:t>
      </w:r>
    </w:p>
    <w:p w14:paraId="1EF60A9B">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1.7.2向</w:t>
      </w:r>
      <w:r>
        <w:rPr>
          <w:rFonts w:hint="eastAsia" w:ascii="宋体" w:hAnsi="宋体" w:eastAsia="宋体" w:cs="宋体"/>
          <w:color w:val="auto"/>
          <w:sz w:val="24"/>
          <w:szCs w:val="24"/>
          <w:u w:val="single"/>
        </w:rPr>
        <w:t>项目所在地</w:t>
      </w:r>
      <w:r>
        <w:rPr>
          <w:rFonts w:hint="eastAsia" w:ascii="宋体" w:hAnsi="宋体" w:eastAsia="宋体" w:cs="宋体"/>
          <w:color w:val="auto"/>
          <w:sz w:val="24"/>
          <w:szCs w:val="24"/>
        </w:rPr>
        <w:t>人民法院起诉。</w:t>
      </w:r>
    </w:p>
    <w:p w14:paraId="2C2DB14B">
      <w:pPr>
        <w:keepNext w:val="0"/>
        <w:keepLines w:val="0"/>
        <w:pageBreakBefore w:val="0"/>
        <w:kinsoku/>
        <w:wordWrap/>
        <w:overflowPunct/>
        <w:topLinePunct w:val="0"/>
        <w:bidi w:val="0"/>
        <w:snapToGrid/>
        <w:spacing w:line="500" w:lineRule="exact"/>
        <w:ind w:firstLine="437"/>
        <w:textAlignment w:val="auto"/>
        <w:outlineLvl w:val="2"/>
        <w:rPr>
          <w:rFonts w:ascii="宋体" w:hAnsi="宋体" w:eastAsia="宋体" w:cs="宋体"/>
          <w:b/>
          <w:bCs/>
          <w:color w:val="auto"/>
          <w:sz w:val="24"/>
          <w:szCs w:val="24"/>
          <w:lang w:val="zh-CN"/>
        </w:rPr>
      </w:pPr>
      <w:bookmarkStart w:id="93" w:name="_Toc7245"/>
      <w:bookmarkStart w:id="94" w:name="_Toc15322"/>
      <w:bookmarkStart w:id="95" w:name="_Toc11173"/>
      <w:r>
        <w:rPr>
          <w:rFonts w:hint="eastAsia" w:ascii="宋体" w:hAnsi="宋体" w:eastAsia="宋体" w:cs="宋体"/>
          <w:b/>
          <w:bCs/>
          <w:color w:val="auto"/>
          <w:sz w:val="24"/>
          <w:szCs w:val="24"/>
          <w:lang w:val="zh-CN"/>
        </w:rPr>
        <w:t>1.8 合同生效</w:t>
      </w:r>
      <w:bookmarkEnd w:id="93"/>
      <w:bookmarkEnd w:id="94"/>
      <w:bookmarkEnd w:id="95"/>
    </w:p>
    <w:p w14:paraId="60CF5C5D">
      <w:pPr>
        <w:keepNext w:val="0"/>
        <w:keepLines w:val="0"/>
        <w:pageBreakBefore w:val="0"/>
        <w:kinsoku/>
        <w:wordWrap/>
        <w:overflowPunct/>
        <w:topLinePunct w:val="0"/>
        <w:bidi w:val="0"/>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本合同自双方当事人盖章时生效。</w:t>
      </w:r>
    </w:p>
    <w:p w14:paraId="345A7D67">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auto"/>
          <w:sz w:val="24"/>
          <w:szCs w:val="24"/>
          <w:lang w:val="zh-CN"/>
        </w:rPr>
      </w:pPr>
    </w:p>
    <w:p w14:paraId="16E18621">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auto"/>
          <w:sz w:val="24"/>
          <w:szCs w:val="24"/>
          <w:lang w:val="zh-CN"/>
        </w:rPr>
      </w:pPr>
    </w:p>
    <w:p w14:paraId="33CDEE39">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auto"/>
          <w:sz w:val="24"/>
          <w:szCs w:val="24"/>
          <w:lang w:val="zh-CN"/>
        </w:rPr>
      </w:pPr>
    </w:p>
    <w:p w14:paraId="311B70B8">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bCs/>
          <w:color w:val="auto"/>
          <w:sz w:val="24"/>
          <w:szCs w:val="24"/>
          <w:lang w:val="zh-CN"/>
        </w:rPr>
      </w:pPr>
      <w:r>
        <w:rPr>
          <w:rFonts w:hint="eastAsia" w:ascii="宋体" w:hAnsi="宋体" w:eastAsia="宋体" w:cs="宋体"/>
          <w:bCs/>
          <w:color w:val="auto"/>
          <w:sz w:val="24"/>
          <w:szCs w:val="24"/>
          <w:lang w:val="zh-CN"/>
        </w:rPr>
        <w:t>甲    方：</w:t>
      </w:r>
      <w:r>
        <w:rPr>
          <w:rFonts w:hint="eastAsia" w:ascii="宋体" w:hAnsi="宋体" w:eastAsia="宋体" w:cs="宋体"/>
          <w:bCs/>
          <w:color w:val="auto"/>
          <w:sz w:val="24"/>
          <w:szCs w:val="24"/>
          <w:u w:val="single"/>
          <w:lang w:val="zh-CN"/>
        </w:rPr>
        <w:t xml:space="preserve">    （单位盖章）     </w:t>
      </w:r>
      <w:r>
        <w:rPr>
          <w:rFonts w:hint="eastAsia" w:ascii="宋体" w:hAnsi="宋体" w:eastAsia="宋体" w:cs="宋体"/>
          <w:bCs/>
          <w:color w:val="auto"/>
          <w:sz w:val="24"/>
          <w:szCs w:val="24"/>
          <w:lang w:val="zh-CN"/>
        </w:rPr>
        <w:t xml:space="preserve">          乙方：</w:t>
      </w:r>
      <w:r>
        <w:rPr>
          <w:rFonts w:hint="eastAsia" w:ascii="宋体" w:hAnsi="宋体" w:eastAsia="宋体" w:cs="宋体"/>
          <w:bCs/>
          <w:color w:val="auto"/>
          <w:sz w:val="24"/>
          <w:szCs w:val="24"/>
          <w:u w:val="single"/>
          <w:lang w:val="zh-CN"/>
        </w:rPr>
        <w:t xml:space="preserve">    （单位盖章）     </w:t>
      </w:r>
    </w:p>
    <w:p w14:paraId="409FCF57">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                               法定代表人</w:t>
      </w:r>
    </w:p>
    <w:p w14:paraId="6DBC2944">
      <w:pPr>
        <w:keepNext w:val="0"/>
        <w:keepLines w:val="0"/>
        <w:pageBreakBefore w:val="0"/>
        <w:kinsoku/>
        <w:wordWrap/>
        <w:overflowPunct/>
        <w:topLinePunct w:val="0"/>
        <w:autoSpaceDE w:val="0"/>
        <w:autoSpaceDN w:val="0"/>
        <w:bidi w:val="0"/>
        <w:adjustRightInd w:val="0"/>
        <w:snapToGrid/>
        <w:spacing w:line="50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或授权代表（签字）：                      或授权代表（签字）：</w:t>
      </w:r>
    </w:p>
    <w:p w14:paraId="40520AEA">
      <w:pPr>
        <w:keepNext w:val="0"/>
        <w:keepLines w:val="0"/>
        <w:pageBreakBefore w:val="0"/>
        <w:widowControl/>
        <w:kinsoku/>
        <w:wordWrap/>
        <w:overflowPunct/>
        <w:topLinePunct w:val="0"/>
        <w:bidi w:val="0"/>
        <w:snapToGrid/>
        <w:spacing w:line="500" w:lineRule="exact"/>
        <w:jc w:val="left"/>
        <w:textAlignment w:val="auto"/>
        <w:rPr>
          <w:rFonts w:ascii="宋体" w:hAnsi="宋体" w:eastAsia="宋体" w:cs="宋体"/>
          <w:bCs/>
          <w:color w:val="auto"/>
          <w:sz w:val="24"/>
          <w:szCs w:val="24"/>
        </w:rPr>
      </w:pPr>
      <w:bookmarkStart w:id="96" w:name="_Toc331685783"/>
      <w:r>
        <w:rPr>
          <w:rFonts w:hint="eastAsia" w:ascii="宋体" w:hAnsi="宋体" w:eastAsia="宋体" w:cs="宋体"/>
          <w:bCs/>
          <w:color w:val="auto"/>
          <w:sz w:val="24"/>
          <w:szCs w:val="24"/>
        </w:rPr>
        <w:t>时间：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               时间：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w:t>
      </w:r>
    </w:p>
    <w:p w14:paraId="6FA7F1D5">
      <w:pPr>
        <w:keepNext w:val="0"/>
        <w:keepLines w:val="0"/>
        <w:pageBreakBefore w:val="0"/>
        <w:kinsoku/>
        <w:wordWrap/>
        <w:overflowPunct/>
        <w:topLinePunct w:val="0"/>
        <w:bidi w:val="0"/>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bookmarkStart w:id="97" w:name="_Hlk110099149"/>
      <w:r>
        <w:rPr>
          <w:rFonts w:hint="eastAsia" w:ascii="宋体" w:hAnsi="宋体" w:eastAsia="宋体" w:cs="宋体"/>
          <w:color w:val="auto"/>
          <w:sz w:val="24"/>
          <w:szCs w:val="24"/>
        </w:rPr>
        <w:t>乙方账户信息</w:t>
      </w:r>
    </w:p>
    <w:p w14:paraId="7829CC3D">
      <w:pPr>
        <w:keepNext w:val="0"/>
        <w:keepLines w:val="0"/>
        <w:pageBreakBefore w:val="0"/>
        <w:kinsoku/>
        <w:wordWrap/>
        <w:overflowPunct/>
        <w:topLinePunct w:val="0"/>
        <w:bidi w:val="0"/>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户名：</w:t>
      </w:r>
      <w:r>
        <w:rPr>
          <w:rFonts w:hint="eastAsia" w:ascii="宋体" w:hAnsi="宋体" w:eastAsia="宋体" w:cs="宋体"/>
          <w:color w:val="auto"/>
          <w:sz w:val="24"/>
          <w:szCs w:val="24"/>
          <w:u w:val="single"/>
        </w:rPr>
        <w:t xml:space="preserve">            </w:t>
      </w:r>
    </w:p>
    <w:p w14:paraId="58433B90">
      <w:pPr>
        <w:keepNext w:val="0"/>
        <w:keepLines w:val="0"/>
        <w:pageBreakBefore w:val="0"/>
        <w:kinsoku/>
        <w:wordWrap/>
        <w:overflowPunct/>
        <w:topLinePunct w:val="0"/>
        <w:bidi w:val="0"/>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账号：</w:t>
      </w:r>
      <w:r>
        <w:rPr>
          <w:rFonts w:hint="eastAsia" w:ascii="宋体" w:hAnsi="宋体" w:eastAsia="宋体" w:cs="宋体"/>
          <w:color w:val="auto"/>
          <w:sz w:val="24"/>
          <w:szCs w:val="24"/>
          <w:u w:val="single"/>
        </w:rPr>
        <w:t xml:space="preserve">            </w:t>
      </w:r>
    </w:p>
    <w:p w14:paraId="54AB1B09">
      <w:pPr>
        <w:keepNext w:val="0"/>
        <w:keepLines w:val="0"/>
        <w:pageBreakBefore w:val="0"/>
        <w:kinsoku/>
        <w:wordWrap/>
        <w:overflowPunct/>
        <w:topLinePunct w:val="0"/>
        <w:bidi w:val="0"/>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bookmarkEnd w:id="97"/>
    <w:p w14:paraId="6E312666">
      <w:pPr>
        <w:keepNext w:val="0"/>
        <w:keepLines w:val="0"/>
        <w:pageBreakBefore w:val="0"/>
        <w:widowControl/>
        <w:kinsoku/>
        <w:wordWrap/>
        <w:overflowPunct/>
        <w:topLinePunct w:val="0"/>
        <w:bidi w:val="0"/>
        <w:snapToGrid/>
        <w:spacing w:line="500" w:lineRule="exact"/>
        <w:jc w:val="left"/>
        <w:textAlignment w:val="auto"/>
        <w:rPr>
          <w:rFonts w:ascii="宋体" w:hAnsi="宋体" w:eastAsia="宋体" w:cs="宋体"/>
          <w:b/>
          <w:color w:val="auto"/>
          <w:sz w:val="24"/>
          <w:szCs w:val="24"/>
        </w:rPr>
      </w:pPr>
      <w:r>
        <w:rPr>
          <w:rFonts w:hint="eastAsia" w:ascii="宋体" w:hAnsi="宋体" w:eastAsia="宋体" w:cs="宋体"/>
          <w:b/>
          <w:color w:val="auto"/>
          <w:sz w:val="24"/>
          <w:szCs w:val="24"/>
        </w:rPr>
        <w:br w:type="page"/>
      </w:r>
    </w:p>
    <w:p w14:paraId="057080F9">
      <w:pPr>
        <w:spacing w:line="440" w:lineRule="exact"/>
        <w:jc w:val="center"/>
        <w:outlineLvl w:val="1"/>
        <w:rPr>
          <w:rFonts w:ascii="宋体" w:hAnsi="宋体" w:eastAsia="宋体" w:cs="宋体"/>
          <w:b/>
          <w:color w:val="auto"/>
          <w:sz w:val="24"/>
        </w:rPr>
      </w:pPr>
      <w:bookmarkStart w:id="98" w:name="_Toc415"/>
      <w:r>
        <w:rPr>
          <w:rFonts w:hint="eastAsia" w:ascii="宋体" w:hAnsi="宋体" w:eastAsia="宋体" w:cs="宋体"/>
          <w:b/>
          <w:color w:val="auto"/>
          <w:sz w:val="24"/>
        </w:rPr>
        <w:t>第二部分 合同一般条款</w:t>
      </w:r>
      <w:bookmarkEnd w:id="96"/>
      <w:bookmarkEnd w:id="98"/>
    </w:p>
    <w:p w14:paraId="66F58B4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99" w:name="_Ref467378463"/>
      <w:bookmarkStart w:id="100" w:name="_Toc19614"/>
      <w:bookmarkStart w:id="101" w:name="_Ref467379094"/>
      <w:bookmarkStart w:id="102" w:name="_Ref467378499"/>
      <w:bookmarkStart w:id="103" w:name="_Ref467379195"/>
      <w:bookmarkStart w:id="104" w:name="_Ref467379214"/>
      <w:bookmarkStart w:id="105" w:name="_Ref467379109"/>
      <w:bookmarkStart w:id="106" w:name="_Ref467379225"/>
      <w:bookmarkStart w:id="107" w:name="_Toc28763"/>
      <w:bookmarkStart w:id="108" w:name="_Ref467378404"/>
      <w:bookmarkStart w:id="109" w:name="_Toc259093669"/>
      <w:bookmarkStart w:id="110" w:name="_Toc279701240"/>
      <w:bookmarkStart w:id="111" w:name="_Toc487900349"/>
      <w:bookmarkStart w:id="112" w:name="_Toc16917"/>
      <w:bookmarkStart w:id="113" w:name="_Ref467379101"/>
      <w:bookmarkStart w:id="114" w:name="_Ref467379205"/>
      <w:r>
        <w:rPr>
          <w:rFonts w:hint="eastAsia" w:ascii="宋体" w:hAnsi="宋体" w:eastAsia="宋体" w:cs="宋体"/>
          <w:b/>
          <w:bCs/>
          <w:color w:val="auto"/>
          <w:sz w:val="24"/>
          <w:szCs w:val="24"/>
          <w:lang w:val="zh-CN"/>
        </w:rPr>
        <w:t>2.1 定义</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2FF8EBF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本合同中的下列词语应按以下内容进行解释：</w:t>
      </w:r>
    </w:p>
    <w:p w14:paraId="6CE7B2B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2.1.1“合同”系指采购人和中标人签订的载明双方当事人所达成的协议，并包括所有的附件、附录和构成合同的其他文件。</w:t>
      </w:r>
    </w:p>
    <w:p w14:paraId="41007CF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2.1.2“合同价”系指根据合同约定，中标人在完全履行合同义务后，采购人应支付给中标人的价格。</w:t>
      </w:r>
    </w:p>
    <w:p w14:paraId="64E7FF3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2.1.3“服务”系指中标人根据合同约定应向采购人履行的除货物和工程以外的其他政府采购对象，包括采购人自身需要的服务和向社会公众提供的公共服务。</w:t>
      </w:r>
    </w:p>
    <w:p w14:paraId="1D4B2AD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bookmarkStart w:id="115" w:name="_Ref467378840"/>
      <w:r>
        <w:rPr>
          <w:rFonts w:hint="eastAsia" w:ascii="宋体" w:hAnsi="宋体" w:eastAsia="宋体" w:cs="宋体"/>
          <w:color w:val="auto"/>
          <w:sz w:val="24"/>
          <w:szCs w:val="24"/>
        </w:rPr>
        <w:t>2.1.4“甲方”系指与中标人签署合同的采购人</w:t>
      </w:r>
      <w:bookmarkEnd w:id="115"/>
      <w:r>
        <w:rPr>
          <w:rFonts w:hint="eastAsia" w:ascii="宋体" w:hAnsi="宋体" w:eastAsia="宋体" w:cs="宋体"/>
          <w:color w:val="auto"/>
          <w:sz w:val="24"/>
          <w:szCs w:val="24"/>
        </w:rPr>
        <w:t>；采购人委托采购代理机构代表其与乙方签订合同的，采购人的授权委托书作为合同附件。</w:t>
      </w:r>
    </w:p>
    <w:p w14:paraId="20F17906">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bookmarkStart w:id="116" w:name="_Ref467379400"/>
      <w:r>
        <w:rPr>
          <w:rFonts w:hint="eastAsia" w:ascii="宋体" w:hAnsi="宋体" w:eastAsia="宋体" w:cs="宋体"/>
          <w:color w:val="auto"/>
          <w:sz w:val="24"/>
          <w:szCs w:val="24"/>
        </w:rPr>
        <w:t>2.1.5“乙方”系指根据合同约定提供服务的中标人</w:t>
      </w:r>
      <w:bookmarkEnd w:id="116"/>
      <w:r>
        <w:rPr>
          <w:rFonts w:hint="eastAsia" w:ascii="宋体" w:hAnsi="宋体" w:eastAsia="宋体" w:cs="宋体"/>
          <w:color w:val="auto"/>
          <w:sz w:val="24"/>
          <w:szCs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8EC0015">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bookmarkStart w:id="117" w:name="_Ref467379436"/>
      <w:r>
        <w:rPr>
          <w:rFonts w:hint="eastAsia" w:ascii="宋体" w:hAnsi="宋体" w:eastAsia="宋体" w:cs="宋体"/>
          <w:color w:val="auto"/>
          <w:sz w:val="24"/>
          <w:szCs w:val="24"/>
        </w:rPr>
        <w:t>2.1.6“现场”系指合同约定提供服务的地点。</w:t>
      </w:r>
      <w:bookmarkEnd w:id="117"/>
    </w:p>
    <w:p w14:paraId="64AB3F8C">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18" w:name="_Toc279701241"/>
      <w:bookmarkStart w:id="119" w:name="_Toc259093670"/>
      <w:bookmarkStart w:id="120" w:name="_Toc13336"/>
      <w:bookmarkStart w:id="121" w:name="_Toc487900350"/>
      <w:bookmarkStart w:id="122" w:name="_Toc27635"/>
      <w:bookmarkStart w:id="123" w:name="_Toc32504"/>
      <w:r>
        <w:rPr>
          <w:rFonts w:hint="eastAsia" w:ascii="宋体" w:hAnsi="宋体" w:eastAsia="宋体" w:cs="宋体"/>
          <w:b/>
          <w:bCs/>
          <w:color w:val="auto"/>
          <w:sz w:val="24"/>
          <w:szCs w:val="24"/>
          <w:lang w:val="zh-CN"/>
        </w:rPr>
        <w:t>2.2 技术规范</w:t>
      </w:r>
      <w:bookmarkEnd w:id="118"/>
      <w:bookmarkEnd w:id="119"/>
      <w:bookmarkEnd w:id="120"/>
      <w:bookmarkEnd w:id="121"/>
      <w:bookmarkEnd w:id="122"/>
      <w:bookmarkEnd w:id="123"/>
    </w:p>
    <w:p w14:paraId="2E9AEA9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31B1CC8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24" w:name="_Toc27853"/>
      <w:bookmarkStart w:id="125" w:name="_Toc487900351"/>
      <w:bookmarkStart w:id="126" w:name="_Toc279701242"/>
      <w:bookmarkStart w:id="127" w:name="_Toc9829"/>
      <w:bookmarkStart w:id="128" w:name="_Toc31634"/>
      <w:bookmarkStart w:id="129" w:name="_Toc259093671"/>
      <w:r>
        <w:rPr>
          <w:rFonts w:hint="eastAsia" w:ascii="宋体" w:hAnsi="宋体" w:eastAsia="宋体" w:cs="宋体"/>
          <w:b/>
          <w:bCs/>
          <w:color w:val="auto"/>
          <w:sz w:val="24"/>
          <w:szCs w:val="24"/>
          <w:lang w:val="zh-CN"/>
        </w:rPr>
        <w:t>2.3 知识产权</w:t>
      </w:r>
      <w:bookmarkEnd w:id="124"/>
      <w:bookmarkEnd w:id="125"/>
      <w:bookmarkEnd w:id="126"/>
      <w:bookmarkEnd w:id="127"/>
      <w:bookmarkEnd w:id="128"/>
      <w:bookmarkEnd w:id="129"/>
    </w:p>
    <w:p w14:paraId="2A6F0C3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DCC9A9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2.3.2具有知识产权的计算机软件等货物的知识产权归属，详见</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w:t>
      </w:r>
    </w:p>
    <w:p w14:paraId="5682B48E">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30" w:name="_Ref467379527"/>
      <w:bookmarkStart w:id="131" w:name="_Toc259093674"/>
      <w:bookmarkStart w:id="132" w:name="_Ref467379536"/>
      <w:bookmarkStart w:id="133" w:name="_Ref467378541"/>
      <w:bookmarkStart w:id="134" w:name="_Ref467379542"/>
      <w:bookmarkStart w:id="135" w:name="_Toc487900354"/>
      <w:bookmarkStart w:id="136" w:name="_Ref467378591"/>
      <w:bookmarkStart w:id="137" w:name="_Toc279701245"/>
      <w:bookmarkStart w:id="138" w:name="_Toc19074"/>
      <w:bookmarkStart w:id="139" w:name="_Toc30272"/>
      <w:bookmarkStart w:id="140" w:name="_Toc26182"/>
      <w:r>
        <w:rPr>
          <w:rFonts w:hint="eastAsia" w:ascii="宋体" w:hAnsi="宋体" w:eastAsia="宋体" w:cs="宋体"/>
          <w:b/>
          <w:bCs/>
          <w:color w:val="auto"/>
          <w:sz w:val="24"/>
          <w:szCs w:val="24"/>
          <w:lang w:val="zh-CN"/>
        </w:rPr>
        <w:t>2.</w:t>
      </w:r>
      <w:bookmarkEnd w:id="130"/>
      <w:bookmarkEnd w:id="131"/>
      <w:bookmarkEnd w:id="132"/>
      <w:bookmarkEnd w:id="133"/>
      <w:bookmarkEnd w:id="134"/>
      <w:bookmarkEnd w:id="135"/>
      <w:bookmarkEnd w:id="136"/>
      <w:bookmarkEnd w:id="137"/>
      <w:r>
        <w:rPr>
          <w:rFonts w:hint="eastAsia" w:ascii="宋体" w:hAnsi="宋体" w:eastAsia="宋体" w:cs="宋体"/>
          <w:b/>
          <w:bCs/>
          <w:color w:val="auto"/>
          <w:sz w:val="24"/>
          <w:szCs w:val="24"/>
          <w:lang w:val="zh-CN"/>
        </w:rPr>
        <w:t>4 履约检查和问题反馈</w:t>
      </w:r>
      <w:bookmarkEnd w:id="138"/>
      <w:bookmarkEnd w:id="139"/>
      <w:bookmarkEnd w:id="140"/>
    </w:p>
    <w:p w14:paraId="62C594C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bookmarkStart w:id="141" w:name="_Toc186431854"/>
      <w:bookmarkStart w:id="142" w:name="_Ref467379807"/>
      <w:bookmarkStart w:id="143" w:name="_Toc259093676"/>
      <w:bookmarkStart w:id="144" w:name="_Ref467379793"/>
      <w:bookmarkStart w:id="145" w:name="_Toc487900357"/>
      <w:bookmarkStart w:id="146" w:name="_Toc279701247"/>
      <w:r>
        <w:rPr>
          <w:rFonts w:hint="eastAsia" w:ascii="宋体" w:hAnsi="宋体" w:eastAsia="宋体" w:cs="宋体"/>
          <w:color w:val="auto"/>
          <w:sz w:val="24"/>
          <w:szCs w:val="24"/>
        </w:rPr>
        <w:t>2.4.1甲方有权在其认为必要时，对乙方是否能够按照合同约定提供服务进行履约检查，以确保乙方所提供的服务能够依约满足甲方项目需求，但不得因履约检查妨碍乙方的正常工作，乙方应予积极配合；</w:t>
      </w:r>
    </w:p>
    <w:p w14:paraId="412F452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2.4.2合同履行期间，甲方有权将履行过程中出现的问题反馈给乙方，双方当事人应以书面形式约定需要完善和改进的内容</w:t>
      </w:r>
      <w:bookmarkEnd w:id="141"/>
      <w:bookmarkStart w:id="147" w:name="_Toc186431855"/>
      <w:r>
        <w:rPr>
          <w:rFonts w:hint="eastAsia" w:ascii="宋体" w:hAnsi="宋体" w:eastAsia="宋体" w:cs="宋体"/>
          <w:color w:val="auto"/>
          <w:sz w:val="24"/>
          <w:szCs w:val="24"/>
        </w:rPr>
        <w:t>。</w:t>
      </w:r>
    </w:p>
    <w:bookmarkEnd w:id="147"/>
    <w:p w14:paraId="17601EE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48" w:name="_Toc7836"/>
      <w:bookmarkStart w:id="149" w:name="_Toc19219"/>
      <w:bookmarkStart w:id="150" w:name="_Toc28451"/>
      <w:r>
        <w:rPr>
          <w:rFonts w:hint="eastAsia" w:ascii="宋体" w:hAnsi="宋体" w:eastAsia="宋体" w:cs="宋体"/>
          <w:b/>
          <w:bCs/>
          <w:color w:val="auto"/>
          <w:sz w:val="24"/>
          <w:szCs w:val="24"/>
          <w:lang w:val="zh-CN"/>
        </w:rPr>
        <w:t>2.5 结算方式和付款条件</w:t>
      </w:r>
      <w:bookmarkEnd w:id="142"/>
      <w:bookmarkEnd w:id="143"/>
      <w:bookmarkEnd w:id="144"/>
      <w:bookmarkEnd w:id="145"/>
      <w:bookmarkEnd w:id="146"/>
      <w:bookmarkEnd w:id="148"/>
      <w:bookmarkEnd w:id="149"/>
      <w:bookmarkEnd w:id="150"/>
    </w:p>
    <w:p w14:paraId="30C7C46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详见</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w:t>
      </w:r>
    </w:p>
    <w:p w14:paraId="2ACEFB1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51" w:name="_Ref467379923"/>
      <w:bookmarkStart w:id="152" w:name="_Toc279701248"/>
      <w:bookmarkStart w:id="153" w:name="_Toc259093677"/>
      <w:bookmarkStart w:id="154" w:name="_Toc487900358"/>
      <w:bookmarkStart w:id="155" w:name="_Ref467379852"/>
      <w:bookmarkStart w:id="156" w:name="_Ref467379863"/>
      <w:bookmarkStart w:id="157" w:name="_Toc3225"/>
      <w:bookmarkStart w:id="158" w:name="_Toc16110"/>
      <w:bookmarkStart w:id="159" w:name="_Toc774"/>
      <w:r>
        <w:rPr>
          <w:rFonts w:hint="eastAsia" w:ascii="宋体" w:hAnsi="宋体" w:eastAsia="宋体" w:cs="宋体"/>
          <w:b/>
          <w:bCs/>
          <w:color w:val="auto"/>
          <w:sz w:val="24"/>
          <w:szCs w:val="24"/>
          <w:lang w:val="zh-CN"/>
        </w:rPr>
        <w:t>2.6 技术资料</w:t>
      </w:r>
      <w:bookmarkEnd w:id="151"/>
      <w:bookmarkEnd w:id="152"/>
      <w:bookmarkEnd w:id="153"/>
      <w:bookmarkEnd w:id="154"/>
      <w:bookmarkEnd w:id="155"/>
      <w:bookmarkEnd w:id="156"/>
      <w:r>
        <w:rPr>
          <w:rFonts w:hint="eastAsia" w:ascii="宋体" w:hAnsi="宋体" w:eastAsia="宋体" w:cs="宋体"/>
          <w:b/>
          <w:bCs/>
          <w:color w:val="auto"/>
          <w:sz w:val="24"/>
          <w:szCs w:val="24"/>
          <w:lang w:val="zh-CN"/>
        </w:rPr>
        <w:t>和保密义务</w:t>
      </w:r>
      <w:bookmarkEnd w:id="157"/>
      <w:bookmarkEnd w:id="158"/>
      <w:bookmarkEnd w:id="159"/>
    </w:p>
    <w:p w14:paraId="2B5FFD1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2.6.1乙方有权依据合同约定和项目需要，向甲方了解有关情况，调阅有关资料等，甲方应予积极配合；</w:t>
      </w:r>
    </w:p>
    <w:p w14:paraId="439CD93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2.6.2乙方有义务妥善保管和保护由甲方提供的前款信息和资料等；</w:t>
      </w:r>
    </w:p>
    <w:p w14:paraId="7C541D6B">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BCB91D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60" w:name="_Toc7860"/>
      <w:r>
        <w:rPr>
          <w:rFonts w:hint="eastAsia" w:ascii="宋体" w:hAnsi="宋体" w:eastAsia="宋体" w:cs="宋体"/>
          <w:b/>
          <w:bCs/>
          <w:color w:val="auto"/>
          <w:sz w:val="24"/>
          <w:szCs w:val="24"/>
          <w:lang w:val="zh-CN"/>
        </w:rPr>
        <w:t>2.7 质量保证</w:t>
      </w:r>
      <w:bookmarkEnd w:id="160"/>
    </w:p>
    <w:p w14:paraId="7A12310E">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2.7.1乙方应建立和完善履行合同的内部质量保证体系，并提供相关内部规章制度给甲方，以便甲方进行监督检查；</w:t>
      </w:r>
    </w:p>
    <w:p w14:paraId="5D5E39D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2.7.2乙方应保证履行合同的人员数量和素质、软件和硬件设备的配置、场地、环境和设施等满足全面履行合同的要求，并应接受甲方的监督检查。</w:t>
      </w:r>
    </w:p>
    <w:p w14:paraId="3DD14E21">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auto"/>
          <w:sz w:val="24"/>
          <w:szCs w:val="24"/>
        </w:rPr>
      </w:pPr>
      <w:bookmarkStart w:id="161" w:name="_Toc22267"/>
      <w:r>
        <w:rPr>
          <w:rFonts w:hint="eastAsia" w:ascii="宋体" w:hAnsi="宋体" w:eastAsia="宋体" w:cs="宋体"/>
          <w:b/>
          <w:color w:val="auto"/>
          <w:sz w:val="24"/>
          <w:szCs w:val="24"/>
        </w:rPr>
        <w:t>2.8 延迟履行</w:t>
      </w:r>
      <w:bookmarkEnd w:id="161"/>
    </w:p>
    <w:p w14:paraId="0E657589">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4D2A249B">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62" w:name="_Toc7502"/>
      <w:bookmarkStart w:id="163" w:name="_Toc487900364"/>
      <w:bookmarkStart w:id="164" w:name="_Toc279701254"/>
      <w:bookmarkStart w:id="165" w:name="_Ref467378121"/>
      <w:bookmarkStart w:id="166" w:name="_Toc259093683"/>
      <w:r>
        <w:rPr>
          <w:rFonts w:hint="eastAsia" w:ascii="宋体" w:hAnsi="宋体" w:eastAsia="宋体" w:cs="宋体"/>
          <w:b/>
          <w:bCs/>
          <w:color w:val="auto"/>
          <w:sz w:val="24"/>
          <w:szCs w:val="24"/>
          <w:lang w:val="zh-CN"/>
        </w:rPr>
        <w:t>2.9 合同变更</w:t>
      </w:r>
      <w:bookmarkEnd w:id="162"/>
    </w:p>
    <w:p w14:paraId="642E71E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2.9.1双方当事人协商一致，可以签订书面补充合同的形式变更合同，但不得违背采购文件确定的事项；</w:t>
      </w:r>
    </w:p>
    <w:p w14:paraId="083BCF8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2.9.2合同继续履行将损害国家利益和社会公共利益的，双方当事人应当以书面形式变更合同。有过错的一方应当承担赔偿责任，双方当事人都有过错的，各自承担相应的责任。</w:t>
      </w:r>
      <w:bookmarkStart w:id="167" w:name="_Toc487900369"/>
      <w:bookmarkStart w:id="168" w:name="_Toc259093688"/>
      <w:bookmarkStart w:id="169" w:name="_Toc279701259"/>
    </w:p>
    <w:p w14:paraId="6A6C1F4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70" w:name="_Toc15237"/>
      <w:bookmarkStart w:id="171" w:name="_Toc22955"/>
      <w:bookmarkStart w:id="172" w:name="_Toc10366"/>
      <w:r>
        <w:rPr>
          <w:rFonts w:hint="eastAsia" w:ascii="宋体" w:hAnsi="宋体" w:eastAsia="宋体" w:cs="宋体"/>
          <w:b/>
          <w:bCs/>
          <w:color w:val="auto"/>
          <w:sz w:val="24"/>
          <w:szCs w:val="24"/>
          <w:lang w:val="zh-CN"/>
        </w:rPr>
        <w:t>2.10 合同转让</w:t>
      </w:r>
      <w:bookmarkEnd w:id="167"/>
      <w:bookmarkEnd w:id="168"/>
      <w:bookmarkEnd w:id="169"/>
      <w:r>
        <w:rPr>
          <w:rFonts w:hint="eastAsia" w:ascii="宋体" w:hAnsi="宋体" w:eastAsia="宋体" w:cs="宋体"/>
          <w:b/>
          <w:bCs/>
          <w:color w:val="auto"/>
          <w:sz w:val="24"/>
          <w:szCs w:val="24"/>
          <w:lang w:val="zh-CN"/>
        </w:rPr>
        <w:t>和分包</w:t>
      </w:r>
      <w:bookmarkEnd w:id="170"/>
      <w:bookmarkEnd w:id="171"/>
      <w:bookmarkEnd w:id="172"/>
    </w:p>
    <w:p w14:paraId="509E30AD">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合同的权利义务依法不得转让</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不得分包。</w:t>
      </w:r>
    </w:p>
    <w:p w14:paraId="781B503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73" w:name="_Toc13566"/>
      <w:bookmarkStart w:id="174" w:name="_Toc14066"/>
      <w:bookmarkStart w:id="175" w:name="_Toc16508"/>
      <w:r>
        <w:rPr>
          <w:rFonts w:hint="eastAsia" w:ascii="宋体" w:hAnsi="宋体" w:eastAsia="宋体" w:cs="宋体"/>
          <w:b/>
          <w:bCs/>
          <w:color w:val="auto"/>
          <w:sz w:val="24"/>
          <w:szCs w:val="24"/>
          <w:lang w:val="zh-CN"/>
        </w:rPr>
        <w:t>2.11 不可抗力</w:t>
      </w:r>
      <w:bookmarkEnd w:id="173"/>
      <w:bookmarkEnd w:id="174"/>
      <w:bookmarkEnd w:id="175"/>
    </w:p>
    <w:p w14:paraId="7956EAC8">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2.11.1如果任何一方遭遇法律规定的不可抗力，致使合同履行受阻时，履行合同的期限应予延长，延长的期限应相当于不可抗力所影响的时间；</w:t>
      </w:r>
    </w:p>
    <w:p w14:paraId="186D748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2.11.2因不可抗力致使不能实现合同目的的，当事人可以解除合同；</w:t>
      </w:r>
    </w:p>
    <w:p w14:paraId="679C281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2.11.3因不可抗力致使合同有变更必要的，双方当事人应在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约定时间内以书面形式变更合同；</w:t>
      </w:r>
    </w:p>
    <w:p w14:paraId="4DF554C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2.11.4受不可抗力影响的一方在不可抗力发生后，应在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约定时间内以书面形式通知对方当事人，并在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约定时间内，将有关部门出具的证明文件送达对方当事人。</w:t>
      </w:r>
    </w:p>
    <w:p w14:paraId="451B062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76" w:name="_Toc487900365"/>
      <w:bookmarkStart w:id="177" w:name="_Toc689"/>
      <w:bookmarkStart w:id="178" w:name="_Toc30676"/>
      <w:bookmarkStart w:id="179" w:name="_Toc6969"/>
      <w:bookmarkStart w:id="180" w:name="_Toc259093684"/>
      <w:bookmarkStart w:id="181" w:name="_Toc279701255"/>
      <w:r>
        <w:rPr>
          <w:rFonts w:hint="eastAsia" w:ascii="宋体" w:hAnsi="宋体" w:eastAsia="宋体" w:cs="宋体"/>
          <w:b/>
          <w:bCs/>
          <w:color w:val="auto"/>
          <w:sz w:val="24"/>
          <w:szCs w:val="24"/>
          <w:lang w:val="zh-CN"/>
        </w:rPr>
        <w:t>2.12 税费</w:t>
      </w:r>
      <w:bookmarkEnd w:id="176"/>
      <w:bookmarkEnd w:id="177"/>
      <w:bookmarkEnd w:id="178"/>
      <w:bookmarkEnd w:id="179"/>
      <w:bookmarkEnd w:id="180"/>
      <w:bookmarkEnd w:id="181"/>
    </w:p>
    <w:p w14:paraId="01CCB30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与合同有关的一切税费，均按照中华人民共和国法律的相关规定缴纳。</w:t>
      </w:r>
    </w:p>
    <w:p w14:paraId="6CAA9D0E">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82" w:name="_Toc259093687"/>
      <w:bookmarkStart w:id="183" w:name="_Toc16959"/>
      <w:bookmarkStart w:id="184" w:name="_Toc487900368"/>
      <w:bookmarkStart w:id="185" w:name="_Toc279701258"/>
      <w:bookmarkStart w:id="186" w:name="_Toc8298"/>
      <w:bookmarkStart w:id="187" w:name="_Toc7102"/>
      <w:r>
        <w:rPr>
          <w:rFonts w:hint="eastAsia" w:ascii="宋体" w:hAnsi="宋体" w:eastAsia="宋体" w:cs="宋体"/>
          <w:b/>
          <w:bCs/>
          <w:color w:val="auto"/>
          <w:sz w:val="24"/>
          <w:szCs w:val="24"/>
          <w:lang w:val="zh-CN"/>
        </w:rPr>
        <w:t>2.13 乙方破产</w:t>
      </w:r>
      <w:bookmarkEnd w:id="182"/>
      <w:bookmarkEnd w:id="183"/>
      <w:bookmarkEnd w:id="184"/>
      <w:bookmarkEnd w:id="185"/>
      <w:bookmarkEnd w:id="186"/>
      <w:bookmarkEnd w:id="187"/>
    </w:p>
    <w:p w14:paraId="3B9FA44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310127D">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auto"/>
          <w:sz w:val="24"/>
          <w:szCs w:val="24"/>
        </w:rPr>
      </w:pPr>
      <w:bookmarkStart w:id="188" w:name="_Toc15387"/>
      <w:bookmarkStart w:id="189" w:name="_Toc29333"/>
      <w:bookmarkStart w:id="190" w:name="_Toc6134"/>
      <w:r>
        <w:rPr>
          <w:rFonts w:hint="eastAsia" w:ascii="宋体" w:hAnsi="宋体" w:eastAsia="宋体" w:cs="宋体"/>
          <w:b/>
          <w:bCs/>
          <w:color w:val="auto"/>
          <w:sz w:val="24"/>
          <w:szCs w:val="24"/>
          <w:lang w:val="zh-CN"/>
        </w:rPr>
        <w:t>2.14 合同中止、终止</w:t>
      </w:r>
      <w:bookmarkEnd w:id="188"/>
      <w:bookmarkEnd w:id="189"/>
      <w:bookmarkEnd w:id="190"/>
    </w:p>
    <w:p w14:paraId="24B1C04F">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2.14.1双方当事人不得擅自中止或者终止合同；</w:t>
      </w:r>
    </w:p>
    <w:p w14:paraId="72DFFEB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2.14.2合同继续履行将损害国家利益和社会公共利益的，双方当事人应当中止或者终止合同。有过错的一方应当承担赔偿责任，双方当事人都有过错的，各自承担相应的责任。</w:t>
      </w:r>
    </w:p>
    <w:p w14:paraId="33A24399">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lang w:val="zh-CN"/>
        </w:rPr>
      </w:pPr>
      <w:bookmarkStart w:id="191" w:name="_Toc14563"/>
      <w:bookmarkStart w:id="192" w:name="_Toc6596"/>
      <w:bookmarkStart w:id="193" w:name="_Toc1125"/>
      <w:r>
        <w:rPr>
          <w:rFonts w:hint="eastAsia" w:ascii="宋体" w:hAnsi="宋体" w:eastAsia="宋体" w:cs="宋体"/>
          <w:b/>
          <w:bCs/>
          <w:color w:val="auto"/>
          <w:sz w:val="24"/>
          <w:szCs w:val="24"/>
          <w:lang w:val="zh-CN"/>
        </w:rPr>
        <w:t>2.15 检验和验收</w:t>
      </w:r>
      <w:bookmarkEnd w:id="191"/>
      <w:bookmarkEnd w:id="192"/>
      <w:bookmarkEnd w:id="193"/>
    </w:p>
    <w:p w14:paraId="1233A04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2.15.1乙方按照</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的约定，定期提交服务报告，甲方按照</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的约定进行定期验收；</w:t>
      </w:r>
    </w:p>
    <w:p w14:paraId="6397DE6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3BA68B7">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2.15.3检验和验收标准、程序等具体内容以及前述验收书的效力详见</w:t>
      </w:r>
      <w:r>
        <w:rPr>
          <w:rFonts w:hint="eastAsia" w:ascii="宋体" w:hAnsi="宋体" w:eastAsia="宋体" w:cs="宋体"/>
          <w:b/>
          <w:i/>
          <w:color w:val="auto"/>
          <w:sz w:val="24"/>
          <w:szCs w:val="24"/>
          <w:u w:val="single"/>
        </w:rPr>
        <w:t>合同专用条款</w:t>
      </w:r>
      <w:r>
        <w:rPr>
          <w:rFonts w:hint="eastAsia" w:ascii="宋体" w:hAnsi="宋体" w:eastAsia="宋体" w:cs="宋体"/>
          <w:i/>
          <w:color w:val="auto"/>
          <w:sz w:val="24"/>
          <w:szCs w:val="24"/>
        </w:rPr>
        <w:t>。</w:t>
      </w:r>
    </w:p>
    <w:bookmarkEnd w:id="163"/>
    <w:bookmarkEnd w:id="164"/>
    <w:bookmarkEnd w:id="165"/>
    <w:bookmarkEnd w:id="166"/>
    <w:p w14:paraId="0B4B585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bCs/>
          <w:color w:val="auto"/>
          <w:sz w:val="24"/>
          <w:szCs w:val="24"/>
        </w:rPr>
      </w:pPr>
      <w:bookmarkStart w:id="194" w:name="_Toc18567"/>
      <w:bookmarkStart w:id="195" w:name="_Toc12773"/>
      <w:bookmarkStart w:id="196" w:name="_Toc279701263"/>
      <w:bookmarkStart w:id="197" w:name="_Toc487900373"/>
      <w:bookmarkStart w:id="198" w:name="_Toc10330"/>
      <w:bookmarkStart w:id="199" w:name="_Toc259093692"/>
      <w:r>
        <w:rPr>
          <w:rFonts w:hint="eastAsia" w:ascii="宋体" w:hAnsi="宋体" w:eastAsia="宋体" w:cs="宋体"/>
          <w:b/>
          <w:bCs/>
          <w:color w:val="auto"/>
          <w:sz w:val="24"/>
          <w:szCs w:val="24"/>
        </w:rPr>
        <w:t xml:space="preserve">2.16 </w:t>
      </w:r>
      <w:r>
        <w:rPr>
          <w:rFonts w:hint="eastAsia" w:ascii="宋体" w:hAnsi="宋体" w:eastAsia="宋体" w:cs="宋体"/>
          <w:b/>
          <w:bCs/>
          <w:color w:val="auto"/>
          <w:sz w:val="24"/>
          <w:szCs w:val="24"/>
          <w:lang w:val="zh-CN"/>
        </w:rPr>
        <w:t>合同使用的文字和适用的法律</w:t>
      </w:r>
      <w:bookmarkEnd w:id="194"/>
      <w:bookmarkEnd w:id="195"/>
      <w:bookmarkEnd w:id="196"/>
      <w:bookmarkEnd w:id="197"/>
      <w:bookmarkEnd w:id="198"/>
      <w:bookmarkEnd w:id="199"/>
    </w:p>
    <w:p w14:paraId="11F0412C">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2.16.1合同使用汉语书就、变更和解释；</w:t>
      </w:r>
    </w:p>
    <w:p w14:paraId="28231AD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2.16.2合同适用中华人民共和国法律。</w:t>
      </w:r>
    </w:p>
    <w:p w14:paraId="5F377EA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auto"/>
          <w:sz w:val="24"/>
          <w:szCs w:val="24"/>
        </w:rPr>
      </w:pPr>
      <w:bookmarkStart w:id="200" w:name="_Toc259093693"/>
      <w:bookmarkStart w:id="201" w:name="_Toc3148"/>
      <w:bookmarkStart w:id="202" w:name="_Toc16673"/>
      <w:bookmarkStart w:id="203" w:name="_Toc279701264"/>
      <w:bookmarkStart w:id="204" w:name="_Toc12004"/>
      <w:bookmarkStart w:id="205" w:name="_Toc487900374"/>
      <w:r>
        <w:rPr>
          <w:rFonts w:hint="eastAsia" w:ascii="宋体" w:hAnsi="宋体" w:eastAsia="宋体" w:cs="宋体"/>
          <w:b/>
          <w:bCs/>
          <w:color w:val="auto"/>
          <w:sz w:val="24"/>
          <w:szCs w:val="24"/>
          <w:lang w:val="zh-CN"/>
        </w:rPr>
        <w:t>2.17 履约保证金</w:t>
      </w:r>
      <w:bookmarkEnd w:id="200"/>
      <w:bookmarkEnd w:id="201"/>
      <w:bookmarkEnd w:id="202"/>
      <w:bookmarkEnd w:id="203"/>
      <w:bookmarkEnd w:id="204"/>
    </w:p>
    <w:p w14:paraId="66808EE3">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2.17.1采购文件要求乙方提交履约保证金的，乙方应按</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约定的方式，以支票、汇票、本票或者金融机构、担保机构出具的保函等非现金形式提交；</w:t>
      </w:r>
    </w:p>
    <w:p w14:paraId="66E54D22">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2.17.2履约保证金在</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约定期间内不予退还或者应完全有效，前述约定期间届满之日起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个工作日内，甲方应将履约保证金退还乙方，甲方逾期退还履约保证金应承担违约责任。</w:t>
      </w:r>
    </w:p>
    <w:p w14:paraId="3FC0CE1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5"/>
    <w:p w14:paraId="4E274E0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outlineLvl w:val="2"/>
        <w:rPr>
          <w:rFonts w:ascii="宋体" w:hAnsi="宋体" w:eastAsia="宋体" w:cs="宋体"/>
          <w:b/>
          <w:color w:val="auto"/>
          <w:sz w:val="24"/>
          <w:szCs w:val="24"/>
        </w:rPr>
      </w:pPr>
      <w:bookmarkStart w:id="206" w:name="_Toc19890"/>
      <w:bookmarkStart w:id="207" w:name="_Toc14001"/>
      <w:bookmarkStart w:id="208" w:name="_Toc6885"/>
      <w:r>
        <w:rPr>
          <w:rFonts w:hint="eastAsia" w:ascii="宋体" w:hAnsi="宋体" w:eastAsia="宋体" w:cs="宋体"/>
          <w:b/>
          <w:bCs/>
          <w:color w:val="auto"/>
          <w:sz w:val="24"/>
          <w:szCs w:val="24"/>
          <w:lang w:val="zh-CN"/>
        </w:rPr>
        <w:t>2.18 合同份数</w:t>
      </w:r>
      <w:bookmarkEnd w:id="206"/>
      <w:bookmarkEnd w:id="207"/>
      <w:bookmarkEnd w:id="208"/>
    </w:p>
    <w:p w14:paraId="5E5019C0">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合同份数按</w:t>
      </w:r>
      <w:r>
        <w:rPr>
          <w:rFonts w:hint="eastAsia" w:ascii="宋体" w:hAnsi="宋体" w:eastAsia="宋体" w:cs="宋体"/>
          <w:b/>
          <w:i/>
          <w:color w:val="auto"/>
          <w:sz w:val="24"/>
          <w:szCs w:val="24"/>
          <w:u w:val="single"/>
        </w:rPr>
        <w:t>合同专用条款</w:t>
      </w:r>
      <w:r>
        <w:rPr>
          <w:rFonts w:hint="eastAsia" w:ascii="宋体" w:hAnsi="宋体" w:eastAsia="宋体" w:cs="宋体"/>
          <w:color w:val="auto"/>
          <w:sz w:val="24"/>
          <w:szCs w:val="24"/>
        </w:rPr>
        <w:t>规定，每份均具有同等法律效力。</w:t>
      </w:r>
    </w:p>
    <w:p w14:paraId="1A15871D">
      <w:pPr>
        <w:spacing w:line="440" w:lineRule="exact"/>
        <w:jc w:val="center"/>
        <w:outlineLvl w:val="1"/>
        <w:rPr>
          <w:rFonts w:ascii="宋体" w:hAnsi="宋体" w:eastAsia="宋体" w:cs="宋体"/>
          <w:b/>
          <w:color w:val="auto"/>
          <w:sz w:val="24"/>
        </w:rPr>
      </w:pPr>
      <w:r>
        <w:rPr>
          <w:rFonts w:hint="eastAsia" w:ascii="宋体" w:hAnsi="宋体" w:eastAsia="宋体" w:cs="宋体"/>
          <w:color w:val="auto"/>
          <w:sz w:val="24"/>
          <w:szCs w:val="24"/>
        </w:rPr>
        <w:br w:type="page"/>
      </w:r>
      <w:bookmarkStart w:id="209" w:name="_Toc3736"/>
      <w:r>
        <w:rPr>
          <w:rFonts w:hint="eastAsia" w:ascii="宋体" w:hAnsi="宋体" w:eastAsia="宋体" w:cs="宋体"/>
          <w:b/>
          <w:color w:val="auto"/>
          <w:sz w:val="24"/>
        </w:rPr>
        <w:t>第三部分 合同专用条款</w:t>
      </w:r>
      <w:bookmarkEnd w:id="209"/>
    </w:p>
    <w:p w14:paraId="1FDADA84">
      <w:pPr>
        <w:keepNext w:val="0"/>
        <w:keepLines w:val="0"/>
        <w:pageBreakBefore w:val="0"/>
        <w:widowControl w:val="0"/>
        <w:kinsoku/>
        <w:wordWrap/>
        <w:overflowPunct/>
        <w:topLinePunct w:val="0"/>
        <w:autoSpaceDE/>
        <w:autoSpaceDN/>
        <w:bidi w:val="0"/>
        <w:adjustRightInd/>
        <w:snapToGrid/>
        <w:spacing w:line="500" w:lineRule="exact"/>
        <w:ind w:firstLine="435"/>
        <w:textAlignment w:val="auto"/>
        <w:rPr>
          <w:rFonts w:ascii="宋体" w:hAnsi="宋体" w:eastAsia="宋体" w:cs="宋体"/>
          <w:color w:val="auto"/>
          <w:sz w:val="24"/>
          <w:szCs w:val="24"/>
        </w:rPr>
      </w:pPr>
      <w:r>
        <w:rPr>
          <w:rFonts w:hint="eastAsia" w:ascii="宋体" w:hAnsi="宋体" w:eastAsia="宋体" w:cs="宋体"/>
          <w:color w:val="auto"/>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8"/>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1EC3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0FC71A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条款号</w:t>
            </w:r>
          </w:p>
        </w:tc>
        <w:tc>
          <w:tcPr>
            <w:tcW w:w="7568" w:type="dxa"/>
            <w:vAlign w:val="center"/>
          </w:tcPr>
          <w:p w14:paraId="760D1F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约定内容</w:t>
            </w:r>
          </w:p>
        </w:tc>
      </w:tr>
      <w:tr w14:paraId="700F1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10283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2.11.3</w:t>
            </w:r>
          </w:p>
        </w:tc>
        <w:tc>
          <w:tcPr>
            <w:tcW w:w="7568" w:type="dxa"/>
            <w:vAlign w:val="center"/>
          </w:tcPr>
          <w:p w14:paraId="0509BB4E">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因不可抗力致使合同有变更必要的，双方当事人应在不可抗力发生的3个工作日内以书面形式变更合同</w:t>
            </w:r>
          </w:p>
        </w:tc>
      </w:tr>
      <w:tr w14:paraId="07166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CA552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2.11.4</w:t>
            </w:r>
          </w:p>
        </w:tc>
        <w:tc>
          <w:tcPr>
            <w:tcW w:w="7568" w:type="dxa"/>
            <w:vAlign w:val="center"/>
          </w:tcPr>
          <w:p w14:paraId="0454CCF4">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受不可抗力影响的一方在不可抗力发生后，应在不可抗力发生的1个工作日内以书面形式通知对方当事人，并在1个工作日内，将有关部门出具的证明文件送达对方当事人</w:t>
            </w:r>
          </w:p>
        </w:tc>
      </w:tr>
      <w:tr w14:paraId="684F9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21037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2.18</w:t>
            </w:r>
          </w:p>
        </w:tc>
        <w:tc>
          <w:tcPr>
            <w:tcW w:w="7568" w:type="dxa"/>
            <w:vAlign w:val="center"/>
          </w:tcPr>
          <w:p w14:paraId="59C8A68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u w:val="single"/>
              </w:rPr>
              <w:t>合同一式捌份，甲乙双方各执四份。</w:t>
            </w:r>
          </w:p>
        </w:tc>
      </w:tr>
      <w:tr w14:paraId="60987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362" w:type="dxa"/>
            <w:gridSpan w:val="2"/>
            <w:tcBorders>
              <w:left w:val="single" w:color="auto" w:sz="4" w:space="0"/>
            </w:tcBorders>
            <w:vAlign w:val="center"/>
          </w:tcPr>
          <w:p w14:paraId="1D24213A">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乙方须在签订合同后完成与原物业单位的工作对接，以及投入工作的前期与甲方相关对接，做到全员上岗投入使用，不得出现缺岗或岗位缺人等现象，如出现，甲方不予支付任何费用，产生的损失由乙方自负。</w:t>
            </w:r>
          </w:p>
        </w:tc>
      </w:tr>
      <w:tr w14:paraId="645FD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5AF71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p>
        </w:tc>
        <w:tc>
          <w:tcPr>
            <w:tcW w:w="7568" w:type="dxa"/>
            <w:vAlign w:val="center"/>
          </w:tcPr>
          <w:p w14:paraId="09903DF7">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（签订合同时可补充）</w:t>
            </w:r>
          </w:p>
        </w:tc>
      </w:tr>
      <w:tr w14:paraId="30418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164C0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p>
        </w:tc>
        <w:tc>
          <w:tcPr>
            <w:tcW w:w="7568" w:type="dxa"/>
            <w:vAlign w:val="center"/>
          </w:tcPr>
          <w:p w14:paraId="00095D0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u w:val="single"/>
              </w:rPr>
            </w:pPr>
          </w:p>
        </w:tc>
      </w:tr>
      <w:tr w14:paraId="174EE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93CE1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color w:val="auto"/>
                <w:sz w:val="24"/>
                <w:szCs w:val="24"/>
              </w:rPr>
            </w:pPr>
          </w:p>
        </w:tc>
        <w:tc>
          <w:tcPr>
            <w:tcW w:w="7568" w:type="dxa"/>
            <w:vAlign w:val="center"/>
          </w:tcPr>
          <w:p w14:paraId="7E0F84CB">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p>
        </w:tc>
      </w:tr>
      <w:tr w14:paraId="40D32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A9971A0">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p>
        </w:tc>
        <w:tc>
          <w:tcPr>
            <w:tcW w:w="7568" w:type="dxa"/>
            <w:vAlign w:val="center"/>
          </w:tcPr>
          <w:p w14:paraId="23772A21">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p>
        </w:tc>
      </w:tr>
      <w:tr w14:paraId="4EB9C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0D4AFE8">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p>
        </w:tc>
        <w:tc>
          <w:tcPr>
            <w:tcW w:w="7568" w:type="dxa"/>
            <w:vAlign w:val="center"/>
          </w:tcPr>
          <w:p w14:paraId="584D355C">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eastAsia="宋体" w:cs="宋体"/>
                <w:color w:val="auto"/>
                <w:sz w:val="24"/>
                <w:szCs w:val="24"/>
              </w:rPr>
            </w:pPr>
          </w:p>
        </w:tc>
      </w:tr>
    </w:tbl>
    <w:p w14:paraId="24EA52EE">
      <w:pPr>
        <w:spacing w:line="360" w:lineRule="auto"/>
        <w:rPr>
          <w:rFonts w:ascii="宋体" w:hAnsi="宋体" w:eastAsia="宋体" w:cs="宋体"/>
          <w:color w:val="auto"/>
          <w:sz w:val="24"/>
        </w:rPr>
      </w:pPr>
    </w:p>
    <w:p w14:paraId="0B9165C5">
      <w:pPr>
        <w:widowControl/>
        <w:jc w:val="left"/>
        <w:rPr>
          <w:rFonts w:ascii="宋体" w:hAnsi="宋体" w:eastAsia="宋体" w:cs="宋体"/>
          <w:color w:val="auto"/>
          <w:sz w:val="24"/>
        </w:rPr>
      </w:pPr>
      <w:r>
        <w:rPr>
          <w:rFonts w:hint="eastAsia" w:ascii="宋体" w:hAnsi="宋体" w:eastAsia="宋体" w:cs="宋体"/>
          <w:color w:val="auto"/>
          <w:sz w:val="24"/>
        </w:rPr>
        <w:br w:type="page"/>
      </w:r>
    </w:p>
    <w:bookmarkEnd w:id="66"/>
    <w:p w14:paraId="1C0EA756">
      <w:pPr>
        <w:spacing w:line="360" w:lineRule="auto"/>
        <w:jc w:val="center"/>
        <w:outlineLvl w:val="0"/>
        <w:rPr>
          <w:rFonts w:ascii="宋体" w:hAnsi="宋体" w:eastAsia="宋体" w:cs="宋体"/>
          <w:b/>
          <w:color w:val="auto"/>
          <w:sz w:val="28"/>
        </w:rPr>
      </w:pPr>
      <w:bookmarkStart w:id="210" w:name="_Toc13555"/>
      <w:r>
        <w:rPr>
          <w:rFonts w:hint="eastAsia" w:ascii="宋体" w:hAnsi="宋体" w:eastAsia="宋体" w:cs="宋体"/>
          <w:b/>
          <w:color w:val="auto"/>
          <w:sz w:val="28"/>
        </w:rPr>
        <w:t>第六章  投标文件格式</w:t>
      </w:r>
      <w:bookmarkEnd w:id="210"/>
    </w:p>
    <w:p w14:paraId="547CEF8F">
      <w:pPr>
        <w:spacing w:line="900" w:lineRule="exact"/>
        <w:jc w:val="center"/>
        <w:rPr>
          <w:rFonts w:ascii="宋体" w:hAnsi="宋体" w:eastAsia="宋体" w:cs="宋体"/>
          <w:b/>
          <w:color w:val="auto"/>
          <w:sz w:val="72"/>
        </w:rPr>
      </w:pPr>
    </w:p>
    <w:p w14:paraId="3DC18E1E">
      <w:pPr>
        <w:rPr>
          <w:rFonts w:ascii="宋体" w:hAnsi="宋体" w:eastAsia="宋体" w:cs="宋体"/>
          <w:b/>
          <w:color w:val="auto"/>
          <w:sz w:val="28"/>
          <w:szCs w:val="28"/>
          <w:bdr w:val="single" w:color="000000" w:sz="4" w:space="0"/>
        </w:rPr>
      </w:pPr>
      <w:bookmarkStart w:id="211" w:name="_Toc28960"/>
      <w:bookmarkStart w:id="212" w:name="_Toc17986"/>
      <w:r>
        <w:rPr>
          <w:rFonts w:hint="eastAsia" w:ascii="宋体" w:hAnsi="宋体" w:eastAsia="宋体" w:cs="宋体"/>
          <w:b/>
          <w:color w:val="auto"/>
          <w:sz w:val="28"/>
          <w:szCs w:val="28"/>
        </w:rPr>
        <w:t>一、资信证明格式文件</w:t>
      </w:r>
    </w:p>
    <w:p w14:paraId="23A3F54B">
      <w:pPr>
        <w:jc w:val="center"/>
        <w:rPr>
          <w:rFonts w:ascii="宋体" w:hAnsi="宋体" w:eastAsia="宋体" w:cs="宋体"/>
          <w:color w:val="auto"/>
          <w:sz w:val="20"/>
        </w:rPr>
      </w:pPr>
    </w:p>
    <w:p w14:paraId="7B01B8E9">
      <w:pPr>
        <w:rPr>
          <w:rFonts w:ascii="宋体" w:hAnsi="宋体" w:eastAsia="宋体" w:cs="宋体"/>
          <w:color w:val="auto"/>
          <w:sz w:val="20"/>
        </w:rPr>
      </w:pPr>
    </w:p>
    <w:p w14:paraId="22E59C93">
      <w:pPr>
        <w:jc w:val="center"/>
        <w:rPr>
          <w:rFonts w:ascii="宋体" w:hAnsi="宋体" w:eastAsia="宋体" w:cs="宋体"/>
          <w:b/>
          <w:color w:val="auto"/>
          <w:sz w:val="44"/>
          <w:szCs w:val="44"/>
        </w:rPr>
      </w:pPr>
      <w:bookmarkStart w:id="213" w:name="_Toc350698753"/>
      <w:bookmarkStart w:id="214" w:name="_Toc449028949"/>
      <w:r>
        <w:rPr>
          <w:rFonts w:hint="eastAsia" w:ascii="宋体" w:hAnsi="宋体" w:eastAsia="宋体" w:cs="宋体"/>
          <w:b/>
          <w:color w:val="auto"/>
          <w:sz w:val="44"/>
          <w:szCs w:val="44"/>
        </w:rPr>
        <w:t>资信证明文件</w:t>
      </w:r>
      <w:bookmarkEnd w:id="213"/>
      <w:bookmarkEnd w:id="214"/>
    </w:p>
    <w:p w14:paraId="0EE3E61C">
      <w:pPr>
        <w:jc w:val="center"/>
        <w:rPr>
          <w:rFonts w:ascii="宋体" w:hAnsi="宋体" w:eastAsia="宋体" w:cs="宋体"/>
          <w:color w:val="auto"/>
          <w:sz w:val="32"/>
          <w:szCs w:val="32"/>
        </w:rPr>
      </w:pPr>
      <w:r>
        <w:rPr>
          <w:rFonts w:hint="eastAsia" w:ascii="宋体" w:hAnsi="宋体" w:eastAsia="宋体" w:cs="宋体"/>
          <w:color w:val="auto"/>
          <w:sz w:val="32"/>
          <w:szCs w:val="32"/>
        </w:rPr>
        <w:t>（投标文件一）</w:t>
      </w:r>
    </w:p>
    <w:p w14:paraId="7633D349">
      <w:pPr>
        <w:jc w:val="center"/>
        <w:rPr>
          <w:rFonts w:ascii="宋体" w:hAnsi="宋体" w:eastAsia="宋体" w:cs="宋体"/>
          <w:color w:val="auto"/>
          <w:sz w:val="44"/>
          <w:szCs w:val="44"/>
        </w:rPr>
      </w:pPr>
    </w:p>
    <w:p w14:paraId="798A22DB">
      <w:pPr>
        <w:jc w:val="center"/>
        <w:rPr>
          <w:rFonts w:ascii="宋体" w:hAnsi="宋体" w:eastAsia="宋体" w:cs="宋体"/>
          <w:color w:val="auto"/>
          <w:sz w:val="32"/>
          <w:szCs w:val="32"/>
        </w:rPr>
      </w:pP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项目</w:t>
      </w:r>
    </w:p>
    <w:p w14:paraId="5F821DC3">
      <w:pPr>
        <w:rPr>
          <w:rFonts w:ascii="宋体" w:hAnsi="宋体" w:eastAsia="宋体" w:cs="宋体"/>
          <w:color w:val="auto"/>
          <w:sz w:val="28"/>
          <w:szCs w:val="28"/>
        </w:rPr>
      </w:pPr>
    </w:p>
    <w:p w14:paraId="56E25941">
      <w:pPr>
        <w:rPr>
          <w:rFonts w:ascii="宋体" w:hAnsi="宋体" w:eastAsia="宋体" w:cs="宋体"/>
          <w:color w:val="auto"/>
          <w:sz w:val="28"/>
          <w:szCs w:val="28"/>
        </w:rPr>
      </w:pPr>
    </w:p>
    <w:p w14:paraId="052B05FC">
      <w:pPr>
        <w:rPr>
          <w:rFonts w:ascii="宋体" w:hAnsi="宋体" w:eastAsia="宋体" w:cs="宋体"/>
          <w:color w:val="auto"/>
          <w:sz w:val="28"/>
          <w:szCs w:val="28"/>
        </w:rPr>
      </w:pPr>
    </w:p>
    <w:p w14:paraId="2A4EDAED">
      <w:pPr>
        <w:rPr>
          <w:rFonts w:ascii="宋体" w:hAnsi="宋体" w:eastAsia="宋体" w:cs="宋体"/>
          <w:color w:val="auto"/>
          <w:sz w:val="28"/>
          <w:szCs w:val="28"/>
        </w:rPr>
      </w:pPr>
    </w:p>
    <w:p w14:paraId="291ECC5B">
      <w:pPr>
        <w:rPr>
          <w:rFonts w:ascii="宋体" w:hAnsi="宋体" w:eastAsia="宋体" w:cs="宋体"/>
          <w:color w:val="auto"/>
          <w:sz w:val="28"/>
          <w:szCs w:val="28"/>
        </w:rPr>
      </w:pPr>
    </w:p>
    <w:p w14:paraId="169C11D4">
      <w:pPr>
        <w:rPr>
          <w:rFonts w:ascii="宋体" w:hAnsi="宋体" w:eastAsia="宋体" w:cs="宋体"/>
          <w:color w:val="auto"/>
          <w:sz w:val="28"/>
          <w:szCs w:val="28"/>
        </w:rPr>
      </w:pPr>
    </w:p>
    <w:p w14:paraId="739AB5A0">
      <w:pPr>
        <w:rPr>
          <w:rFonts w:ascii="宋体" w:hAnsi="宋体" w:eastAsia="宋体" w:cs="宋体"/>
          <w:color w:val="auto"/>
          <w:sz w:val="28"/>
          <w:szCs w:val="28"/>
        </w:rPr>
      </w:pPr>
    </w:p>
    <w:p w14:paraId="38D22F7B">
      <w:pPr>
        <w:jc w:val="center"/>
        <w:rPr>
          <w:rFonts w:ascii="宋体" w:hAnsi="宋体" w:eastAsia="宋体" w:cs="宋体"/>
          <w:color w:val="auto"/>
          <w:sz w:val="28"/>
          <w:szCs w:val="28"/>
          <w:u w:val="single"/>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14:paraId="40D6C125">
      <w:pPr>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14:paraId="4E6509AA">
      <w:pPr>
        <w:jc w:val="center"/>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6CB2BEAF">
      <w:pPr>
        <w:spacing w:line="720" w:lineRule="auto"/>
        <w:jc w:val="center"/>
        <w:rPr>
          <w:rFonts w:ascii="宋体" w:hAnsi="宋体" w:eastAsia="宋体" w:cs="宋体"/>
          <w:b/>
          <w:color w:val="auto"/>
          <w:sz w:val="36"/>
          <w:szCs w:val="36"/>
        </w:rPr>
      </w:pPr>
    </w:p>
    <w:p w14:paraId="18EDD222">
      <w:pPr>
        <w:spacing w:line="400" w:lineRule="exact"/>
        <w:ind w:firstLine="4130" w:firstLineChars="935"/>
        <w:rPr>
          <w:rFonts w:ascii="宋体" w:hAnsi="宋体" w:eastAsia="宋体" w:cs="宋体"/>
          <w:b/>
          <w:color w:val="auto"/>
          <w:sz w:val="44"/>
          <w:szCs w:val="44"/>
        </w:rPr>
      </w:pPr>
    </w:p>
    <w:p w14:paraId="7017ED94">
      <w:pPr>
        <w:spacing w:line="400" w:lineRule="exact"/>
        <w:ind w:firstLine="4130" w:firstLineChars="935"/>
        <w:rPr>
          <w:rFonts w:ascii="宋体" w:hAnsi="宋体" w:eastAsia="宋体" w:cs="宋体"/>
          <w:b/>
          <w:color w:val="auto"/>
          <w:sz w:val="44"/>
          <w:szCs w:val="44"/>
        </w:rPr>
      </w:pPr>
    </w:p>
    <w:p w14:paraId="3BDC36CD">
      <w:pPr>
        <w:pageBreakBefore/>
        <w:jc w:val="center"/>
        <w:rPr>
          <w:rFonts w:ascii="宋体" w:hAnsi="宋体" w:eastAsia="宋体" w:cs="宋体"/>
          <w:b/>
          <w:color w:val="auto"/>
          <w:sz w:val="44"/>
          <w:szCs w:val="44"/>
        </w:rPr>
      </w:pPr>
      <w:r>
        <w:rPr>
          <w:rFonts w:hint="eastAsia" w:ascii="宋体" w:hAnsi="宋体" w:eastAsia="宋体" w:cs="宋体"/>
          <w:b/>
          <w:color w:val="auto"/>
          <w:sz w:val="36"/>
          <w:szCs w:val="36"/>
        </w:rPr>
        <w:t>目   录</w:t>
      </w:r>
    </w:p>
    <w:p w14:paraId="73B3E267">
      <w:pPr>
        <w:spacing w:line="440" w:lineRule="exact"/>
        <w:rPr>
          <w:rFonts w:ascii="宋体" w:hAnsi="宋体" w:eastAsia="宋体" w:cs="宋体"/>
          <w:color w:val="auto"/>
          <w:sz w:val="24"/>
          <w:szCs w:val="24"/>
        </w:rPr>
      </w:pPr>
    </w:p>
    <w:p w14:paraId="2BA75154">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（1）投标人资格声明书（格式见附件）；</w:t>
      </w:r>
    </w:p>
    <w:p w14:paraId="7AB19316">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（2）授权书（格式见附件）；   </w:t>
      </w:r>
    </w:p>
    <w:p w14:paraId="49C1204E">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（3）投标人为企业（包括合伙企业）的，应提供有效的“营业执照”；</w:t>
      </w:r>
    </w:p>
    <w:p w14:paraId="363DE690">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投标人为事业单位的，应提供有效的“事业单位法人证书”；</w:t>
      </w:r>
    </w:p>
    <w:p w14:paraId="1183191A">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投标人是非企业机构的，应提供有效的“执业许可证”、“登记证书”等证明文件；</w:t>
      </w:r>
    </w:p>
    <w:p w14:paraId="040B4942">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投标人是个体工商户的，应提供有效的“个体工商户营业执照”；</w:t>
      </w:r>
    </w:p>
    <w:p w14:paraId="696B6860">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投标人是自然人的，应提供有效的自然人身份证明；</w:t>
      </w:r>
    </w:p>
    <w:p w14:paraId="1DDB00C6">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（4）诚信投标承诺书（格式见附件）；</w:t>
      </w:r>
    </w:p>
    <w:p w14:paraId="65737030">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）投标人认为需要提供的</w:t>
      </w:r>
      <w:r>
        <w:rPr>
          <w:rFonts w:hint="eastAsia" w:ascii="宋体" w:hAnsi="宋体" w:eastAsia="宋体" w:cs="宋体"/>
          <w:color w:val="auto"/>
          <w:sz w:val="24"/>
          <w:szCs w:val="24"/>
          <w:lang w:val="en-US" w:eastAsia="zh-CN"/>
        </w:rPr>
        <w:t>资信评分及</w:t>
      </w:r>
      <w:r>
        <w:rPr>
          <w:rFonts w:hint="eastAsia" w:ascii="宋体" w:hAnsi="宋体" w:eastAsia="宋体" w:cs="宋体"/>
          <w:color w:val="auto"/>
          <w:sz w:val="24"/>
          <w:szCs w:val="24"/>
        </w:rPr>
        <w:t>其他资信证明材料。</w:t>
      </w:r>
    </w:p>
    <w:p w14:paraId="327F6900">
      <w:pPr>
        <w:pageBreakBefore/>
        <w:spacing w:line="440" w:lineRule="exact"/>
        <w:jc w:val="center"/>
        <w:outlineLvl w:val="1"/>
        <w:rPr>
          <w:rFonts w:ascii="宋体" w:hAnsi="宋体" w:eastAsia="宋体" w:cs="宋体"/>
          <w:b/>
          <w:color w:val="auto"/>
          <w:sz w:val="24"/>
        </w:rPr>
      </w:pPr>
      <w:bookmarkStart w:id="215" w:name="_Toc18881"/>
      <w:r>
        <w:rPr>
          <w:rFonts w:hint="eastAsia" w:ascii="宋体" w:hAnsi="宋体" w:eastAsia="宋体" w:cs="宋体"/>
          <w:b/>
          <w:color w:val="auto"/>
          <w:sz w:val="24"/>
        </w:rPr>
        <w:t>（1）投标人资格声明书</w:t>
      </w:r>
      <w:bookmarkEnd w:id="215"/>
      <w:r>
        <w:rPr>
          <w:rFonts w:hint="eastAsia" w:ascii="宋体" w:hAnsi="宋体" w:eastAsia="宋体" w:cs="宋体"/>
          <w:b/>
          <w:color w:val="auto"/>
          <w:sz w:val="24"/>
        </w:rPr>
        <w:t xml:space="preserve"> </w:t>
      </w:r>
    </w:p>
    <w:p w14:paraId="609B86BF">
      <w:pPr>
        <w:pStyle w:val="14"/>
        <w:spacing w:line="440" w:lineRule="exact"/>
        <w:rPr>
          <w:rFonts w:ascii="宋体" w:hAnsi="宋体" w:cs="宋体"/>
          <w:color w:val="auto"/>
          <w:sz w:val="24"/>
          <w:szCs w:val="24"/>
        </w:rPr>
      </w:pPr>
      <w:r>
        <w:rPr>
          <w:rFonts w:hint="eastAsia" w:ascii="宋体" w:hAnsi="宋体" w:cs="宋体"/>
          <w:color w:val="auto"/>
          <w:sz w:val="24"/>
        </w:rPr>
        <w:t>致：</w:t>
      </w:r>
      <w:r>
        <w:rPr>
          <w:rFonts w:hint="eastAsia" w:ascii="宋体" w:hAnsi="宋体" w:cs="宋体"/>
          <w:color w:val="auto"/>
          <w:sz w:val="24"/>
          <w:u w:val="single"/>
        </w:rPr>
        <w:t>采购人</w:t>
      </w:r>
    </w:p>
    <w:p w14:paraId="0301DBD9">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在参与本次项目投标中，我单位承诺：</w:t>
      </w:r>
    </w:p>
    <w:p w14:paraId="61C0B076">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（一）具有良好的商业信誉和健全的财务会计制度；</w:t>
      </w:r>
    </w:p>
    <w:p w14:paraId="61AC4416">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（二）具有履行合同所必需的设备和专业技术能力；</w:t>
      </w:r>
    </w:p>
    <w:p w14:paraId="26D53BD1">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（三）有依法缴纳税收和社会保障资金的良好记录；</w:t>
      </w:r>
    </w:p>
    <w:p w14:paraId="08F745DA">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4D4221">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 xml:space="preserve">（五）我单位不属于政府采购法律、行政法规规定的公益一类事业单位、或使用事业编制且由财政拨款保障的群团组织（仅适用于政府购买服务项目）； </w:t>
      </w:r>
    </w:p>
    <w:p w14:paraId="3ECCE86B">
      <w:pPr>
        <w:widowControl/>
        <w:spacing w:line="44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kern w:val="0"/>
          <w:sz w:val="24"/>
          <w:szCs w:val="24"/>
          <w:lang w:bidi="ar"/>
        </w:rPr>
        <w:t>（六）我单位不存在为采购项目提供整体设计、规范编制或者项目管理、监理、检测等服务后，再参加该采购项目的其他采购活动的情形（单一来源采购项目除外）；</w:t>
      </w:r>
    </w:p>
    <w:p w14:paraId="028B507E">
      <w:pPr>
        <w:widowControl/>
        <w:spacing w:line="440" w:lineRule="exact"/>
        <w:ind w:firstLine="480" w:firstLineChars="200"/>
        <w:jc w:val="left"/>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（七）与我单位存在单位负责人为同一人或者存在直接控股、管理关系的其他法人单位信息如下（如有，不论其是否参加同一合同项下的政府采购活动均须填写）：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540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E9465FB">
            <w:pPr>
              <w:widowControl/>
              <w:spacing w:before="156" w:beforeLines="50" w:after="10" w:line="440" w:lineRule="exact"/>
              <w:jc w:val="center"/>
              <w:rPr>
                <w:rFonts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序号</w:t>
            </w:r>
          </w:p>
        </w:tc>
        <w:tc>
          <w:tcPr>
            <w:tcW w:w="2841" w:type="dxa"/>
          </w:tcPr>
          <w:p w14:paraId="7815D69E">
            <w:pPr>
              <w:pStyle w:val="2"/>
              <w:spacing w:before="156" w:beforeLines="50" w:after="10" w:line="440" w:lineRule="exact"/>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单位名称</w:t>
            </w:r>
          </w:p>
        </w:tc>
        <w:tc>
          <w:tcPr>
            <w:tcW w:w="2841" w:type="dxa"/>
          </w:tcPr>
          <w:p w14:paraId="423EFE96">
            <w:pPr>
              <w:pStyle w:val="2"/>
              <w:spacing w:before="156" w:beforeLines="50" w:after="10" w:line="440" w:lineRule="exact"/>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相互关系</w:t>
            </w:r>
          </w:p>
        </w:tc>
      </w:tr>
      <w:tr w14:paraId="086B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99E1235">
            <w:pPr>
              <w:pStyle w:val="2"/>
              <w:spacing w:before="156" w:beforeLines="50" w:after="10" w:line="440" w:lineRule="exact"/>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1</w:t>
            </w:r>
          </w:p>
        </w:tc>
        <w:tc>
          <w:tcPr>
            <w:tcW w:w="2841" w:type="dxa"/>
          </w:tcPr>
          <w:p w14:paraId="331EDB91">
            <w:pPr>
              <w:pStyle w:val="2"/>
              <w:spacing w:before="156" w:beforeLines="50" w:after="10" w:line="440" w:lineRule="exact"/>
              <w:jc w:val="center"/>
              <w:rPr>
                <w:rFonts w:ascii="宋体" w:hAnsi="宋体" w:eastAsia="宋体" w:cs="宋体"/>
                <w:color w:val="auto"/>
                <w:kern w:val="0"/>
                <w:sz w:val="24"/>
                <w:lang w:val="en-US" w:bidi="ar"/>
              </w:rPr>
            </w:pPr>
          </w:p>
        </w:tc>
        <w:tc>
          <w:tcPr>
            <w:tcW w:w="2841" w:type="dxa"/>
          </w:tcPr>
          <w:p w14:paraId="05F3450A">
            <w:pPr>
              <w:pStyle w:val="2"/>
              <w:spacing w:before="156" w:beforeLines="50" w:after="10" w:line="440" w:lineRule="exact"/>
              <w:jc w:val="center"/>
              <w:rPr>
                <w:rFonts w:ascii="宋体" w:hAnsi="宋体" w:eastAsia="宋体" w:cs="宋体"/>
                <w:color w:val="auto"/>
                <w:kern w:val="0"/>
                <w:sz w:val="24"/>
                <w:lang w:val="en-US" w:bidi="ar"/>
              </w:rPr>
            </w:pPr>
          </w:p>
        </w:tc>
      </w:tr>
      <w:tr w14:paraId="363B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7827D7">
            <w:pPr>
              <w:pStyle w:val="2"/>
              <w:spacing w:before="156" w:beforeLines="50" w:after="10" w:line="440" w:lineRule="exact"/>
              <w:jc w:val="center"/>
              <w:rPr>
                <w:rFonts w:ascii="宋体" w:hAnsi="宋体" w:eastAsia="宋体" w:cs="宋体"/>
                <w:color w:val="auto"/>
                <w:kern w:val="0"/>
                <w:sz w:val="24"/>
                <w:lang w:val="en-US" w:bidi="ar"/>
              </w:rPr>
            </w:pPr>
            <w:r>
              <w:rPr>
                <w:rFonts w:hint="eastAsia" w:ascii="宋体" w:hAnsi="宋体" w:eastAsia="宋体" w:cs="宋体"/>
                <w:color w:val="auto"/>
                <w:kern w:val="0"/>
                <w:sz w:val="24"/>
                <w:lang w:val="en-US" w:bidi="ar"/>
              </w:rPr>
              <w:t>2</w:t>
            </w:r>
          </w:p>
        </w:tc>
        <w:tc>
          <w:tcPr>
            <w:tcW w:w="2841" w:type="dxa"/>
          </w:tcPr>
          <w:p w14:paraId="45EC5597">
            <w:pPr>
              <w:pStyle w:val="2"/>
              <w:spacing w:before="156" w:beforeLines="50" w:after="10" w:line="440" w:lineRule="exact"/>
              <w:jc w:val="center"/>
              <w:rPr>
                <w:rFonts w:ascii="宋体" w:hAnsi="宋体" w:eastAsia="宋体" w:cs="宋体"/>
                <w:color w:val="auto"/>
                <w:kern w:val="0"/>
                <w:sz w:val="24"/>
                <w:lang w:val="en-US" w:bidi="ar"/>
              </w:rPr>
            </w:pPr>
          </w:p>
        </w:tc>
        <w:tc>
          <w:tcPr>
            <w:tcW w:w="2841" w:type="dxa"/>
          </w:tcPr>
          <w:p w14:paraId="4767C897">
            <w:pPr>
              <w:pStyle w:val="2"/>
              <w:spacing w:before="156" w:beforeLines="50" w:after="10" w:line="440" w:lineRule="exact"/>
              <w:jc w:val="center"/>
              <w:rPr>
                <w:rFonts w:ascii="宋体" w:hAnsi="宋体" w:eastAsia="宋体" w:cs="宋体"/>
                <w:color w:val="auto"/>
                <w:kern w:val="0"/>
                <w:sz w:val="24"/>
                <w:lang w:val="en-US" w:bidi="ar"/>
              </w:rPr>
            </w:pPr>
          </w:p>
        </w:tc>
      </w:tr>
    </w:tbl>
    <w:p w14:paraId="67C2C668">
      <w:pPr>
        <w:spacing w:line="440" w:lineRule="exact"/>
        <w:ind w:firstLine="435"/>
        <w:rPr>
          <w:rFonts w:ascii="宋体" w:hAnsi="宋体" w:eastAsia="宋体" w:cs="宋体"/>
          <w:color w:val="auto"/>
          <w:sz w:val="24"/>
        </w:rPr>
      </w:pPr>
      <w:r>
        <w:rPr>
          <w:rFonts w:hint="eastAsia" w:ascii="宋体" w:hAnsi="宋体" w:eastAsia="宋体" w:cs="宋体"/>
          <w:color w:val="auto"/>
          <w:sz w:val="24"/>
        </w:rPr>
        <w:t>本单位对上述声明的真实性负责。如有虚假，将依法承担相应责任。</w:t>
      </w:r>
    </w:p>
    <w:p w14:paraId="31A1F4BA">
      <w:pPr>
        <w:spacing w:line="440" w:lineRule="exact"/>
        <w:ind w:firstLine="4800" w:firstLineChars="2000"/>
        <w:rPr>
          <w:rFonts w:hint="eastAsia" w:ascii="宋体" w:hAnsi="宋体" w:eastAsia="宋体" w:cs="宋体"/>
          <w:color w:val="auto"/>
          <w:sz w:val="24"/>
        </w:rPr>
      </w:pPr>
    </w:p>
    <w:p w14:paraId="64AF5579">
      <w:pPr>
        <w:spacing w:line="440" w:lineRule="exact"/>
        <w:ind w:firstLine="4800" w:firstLineChars="2000"/>
        <w:rPr>
          <w:rFonts w:hint="eastAsia" w:ascii="宋体" w:hAnsi="宋体" w:eastAsia="宋体" w:cs="宋体"/>
          <w:color w:val="auto"/>
          <w:sz w:val="24"/>
        </w:rPr>
      </w:pPr>
    </w:p>
    <w:p w14:paraId="15985775">
      <w:pPr>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p>
    <w:p w14:paraId="1388E5D4">
      <w:pPr>
        <w:tabs>
          <w:tab w:val="left" w:pos="630"/>
        </w:tabs>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1724177D">
      <w:pPr>
        <w:spacing w:line="440" w:lineRule="exact"/>
        <w:rPr>
          <w:rFonts w:ascii="宋体" w:hAnsi="宋体" w:eastAsia="宋体" w:cs="宋体"/>
          <w:b/>
          <w:color w:val="auto"/>
          <w:sz w:val="24"/>
        </w:rPr>
      </w:pPr>
      <w:bookmarkStart w:id="216" w:name="_Toc11607"/>
      <w:r>
        <w:rPr>
          <w:rFonts w:hint="eastAsia" w:ascii="宋体" w:hAnsi="宋体" w:eastAsia="宋体" w:cs="宋体"/>
          <w:b/>
          <w:color w:val="auto"/>
          <w:sz w:val="24"/>
        </w:rPr>
        <w:br w:type="page"/>
      </w:r>
    </w:p>
    <w:p w14:paraId="79B04C54">
      <w:pPr>
        <w:spacing w:line="440" w:lineRule="exact"/>
        <w:jc w:val="center"/>
        <w:outlineLvl w:val="1"/>
        <w:rPr>
          <w:rFonts w:ascii="宋体" w:hAnsi="宋体" w:eastAsia="宋体" w:cs="宋体"/>
          <w:b/>
          <w:color w:val="auto"/>
          <w:sz w:val="24"/>
        </w:rPr>
      </w:pPr>
      <w:bookmarkStart w:id="217" w:name="_Toc24583"/>
      <w:r>
        <w:rPr>
          <w:rFonts w:hint="eastAsia" w:ascii="宋体" w:hAnsi="宋体" w:eastAsia="宋体" w:cs="宋体"/>
          <w:b/>
          <w:color w:val="auto"/>
          <w:sz w:val="24"/>
        </w:rPr>
        <w:t>（2）授权书</w:t>
      </w:r>
      <w:bookmarkEnd w:id="216"/>
      <w:bookmarkEnd w:id="217"/>
    </w:p>
    <w:p w14:paraId="6E7BDE32">
      <w:pPr>
        <w:pStyle w:val="13"/>
        <w:snapToGrid w:val="0"/>
        <w:spacing w:line="440" w:lineRule="exact"/>
        <w:ind w:firstLine="480" w:firstLineChars="200"/>
        <w:jc w:val="left"/>
        <w:rPr>
          <w:rFonts w:hAnsi="宋体" w:eastAsia="宋体" w:cs="宋体"/>
          <w:color w:val="auto"/>
          <w:sz w:val="24"/>
          <w:szCs w:val="28"/>
        </w:rPr>
      </w:pPr>
    </w:p>
    <w:p w14:paraId="5845C6C4">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宋体" w:hAnsi="宋体" w:eastAsia="宋体" w:cs="宋体"/>
          <w:color w:val="auto"/>
          <w:sz w:val="24"/>
          <w:szCs w:val="28"/>
        </w:rPr>
      </w:pPr>
      <w:r>
        <w:rPr>
          <w:rFonts w:hint="eastAsia" w:ascii="宋体" w:hAnsi="宋体" w:eastAsia="宋体" w:cs="宋体"/>
          <w:color w:val="auto"/>
          <w:sz w:val="24"/>
          <w:szCs w:val="28"/>
        </w:rPr>
        <w:t>本</w:t>
      </w:r>
      <w:r>
        <w:rPr>
          <w:rFonts w:hint="eastAsia" w:ascii="宋体" w:hAnsi="宋体" w:eastAsia="宋体" w:cs="宋体"/>
          <w:color w:val="auto"/>
          <w:sz w:val="24"/>
        </w:rPr>
        <w:t>授权</w:t>
      </w:r>
      <w:r>
        <w:rPr>
          <w:rFonts w:hint="eastAsia" w:ascii="宋体" w:hAnsi="宋体" w:eastAsia="宋体" w:cs="宋体"/>
          <w:color w:val="auto"/>
          <w:sz w:val="24"/>
          <w:szCs w:val="28"/>
        </w:rPr>
        <w:t>书声明：</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（投标人名称）授权</w:t>
      </w:r>
      <w:r>
        <w:rPr>
          <w:rFonts w:hint="eastAsia" w:ascii="宋体" w:hAnsi="宋体" w:eastAsia="宋体" w:cs="宋体"/>
          <w:color w:val="auto"/>
          <w:sz w:val="24"/>
          <w:szCs w:val="28"/>
          <w:u w:val="single"/>
        </w:rPr>
        <w:t xml:space="preserve">       </w:t>
      </w:r>
      <w:r>
        <w:rPr>
          <w:rFonts w:hint="eastAsia" w:ascii="宋体" w:hAnsi="宋体" w:eastAsia="宋体" w:cs="宋体"/>
          <w:color w:val="auto"/>
          <w:sz w:val="24"/>
          <w:szCs w:val="28"/>
        </w:rPr>
        <w:t>（投标人授权代表姓名）代表我方参加本项目</w:t>
      </w:r>
      <w:r>
        <w:rPr>
          <w:rFonts w:hint="eastAsia" w:ascii="宋体" w:hAnsi="宋体" w:eastAsia="宋体" w:cs="宋体"/>
          <w:bCs/>
          <w:color w:val="auto"/>
          <w:sz w:val="24"/>
          <w:szCs w:val="28"/>
        </w:rPr>
        <w:t>采购活动</w:t>
      </w:r>
      <w:r>
        <w:rPr>
          <w:rFonts w:hint="eastAsia" w:ascii="宋体" w:hAnsi="宋体" w:eastAsia="宋体" w:cs="宋体"/>
          <w:color w:val="auto"/>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E3B838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宋体" w:hAnsi="宋体" w:eastAsia="宋体" w:cs="宋体"/>
          <w:color w:val="auto"/>
          <w:sz w:val="24"/>
          <w:szCs w:val="28"/>
        </w:rPr>
      </w:pPr>
      <w:r>
        <w:rPr>
          <w:rFonts w:hint="eastAsia" w:ascii="宋体" w:hAnsi="宋体" w:eastAsia="宋体" w:cs="宋体"/>
          <w:color w:val="auto"/>
          <w:sz w:val="24"/>
          <w:szCs w:val="28"/>
        </w:rPr>
        <w:t>本授权书自出具之日起生效。</w:t>
      </w:r>
    </w:p>
    <w:p w14:paraId="4D5D632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宋体" w:hAnsi="宋体" w:eastAsia="宋体" w:cs="宋体"/>
          <w:color w:val="auto"/>
          <w:sz w:val="24"/>
        </w:rPr>
      </w:pPr>
      <w:r>
        <w:rPr>
          <w:rFonts w:hint="eastAsia" w:ascii="宋体" w:hAnsi="宋体" w:eastAsia="宋体" w:cs="宋体"/>
          <w:color w:val="auto"/>
          <w:sz w:val="24"/>
          <w:szCs w:val="28"/>
        </w:rPr>
        <w:t>授权</w:t>
      </w:r>
      <w:r>
        <w:rPr>
          <w:rFonts w:hint="eastAsia" w:ascii="宋体" w:hAnsi="宋体" w:eastAsia="宋体" w:cs="宋体"/>
          <w:color w:val="auto"/>
          <w:sz w:val="24"/>
        </w:rPr>
        <w:t>代表身份证明</w:t>
      </w:r>
      <w:r>
        <w:rPr>
          <w:rFonts w:hint="eastAsia" w:ascii="宋体" w:hAnsi="宋体" w:eastAsia="宋体" w:cs="宋体"/>
          <w:color w:val="auto"/>
          <w:sz w:val="24"/>
          <w:lang w:val="en-US" w:eastAsia="zh-CN"/>
        </w:rPr>
        <w:t>扫描件</w:t>
      </w:r>
      <w:r>
        <w:rPr>
          <w:rFonts w:hint="eastAsia" w:ascii="宋体" w:hAnsi="宋体" w:eastAsia="宋体" w:cs="宋体"/>
          <w:color w:val="auto"/>
          <w:sz w:val="24"/>
        </w:rPr>
        <w:t>：</w:t>
      </w:r>
    </w:p>
    <w:p w14:paraId="44BFF158">
      <w:pPr>
        <w:spacing w:line="440" w:lineRule="exact"/>
        <w:ind w:firstLine="435"/>
        <w:rPr>
          <w:rFonts w:ascii="宋体" w:hAnsi="宋体" w:eastAsia="宋体" w:cs="宋体"/>
          <w:color w:val="auto"/>
          <w:sz w:val="24"/>
        </w:rPr>
      </w:pPr>
    </w:p>
    <w:p w14:paraId="290CC0E5">
      <w:pPr>
        <w:spacing w:line="440" w:lineRule="exact"/>
        <w:ind w:firstLine="435"/>
        <w:rPr>
          <w:rFonts w:ascii="宋体" w:hAnsi="宋体" w:eastAsia="宋体" w:cs="宋体"/>
          <w:color w:val="auto"/>
          <w:sz w:val="24"/>
        </w:rPr>
      </w:pPr>
    </w:p>
    <w:p w14:paraId="4ABA7129">
      <w:pPr>
        <w:spacing w:line="440" w:lineRule="exact"/>
        <w:ind w:firstLine="435"/>
        <w:rPr>
          <w:rFonts w:ascii="宋体" w:hAnsi="宋体" w:eastAsia="宋体" w:cs="宋体"/>
          <w:color w:val="auto"/>
          <w:sz w:val="24"/>
        </w:rPr>
      </w:pPr>
    </w:p>
    <w:p w14:paraId="52C5E2A4">
      <w:pPr>
        <w:spacing w:line="440" w:lineRule="exact"/>
        <w:ind w:firstLine="435"/>
        <w:rPr>
          <w:rFonts w:ascii="宋体" w:hAnsi="宋体" w:eastAsia="宋体" w:cs="宋体"/>
          <w:color w:val="auto"/>
          <w:sz w:val="24"/>
          <w:szCs w:val="28"/>
          <w:u w:val="single"/>
          <w:lang w:val="zh-CN"/>
        </w:rPr>
      </w:pPr>
      <w:r>
        <w:rPr>
          <w:rFonts w:hint="eastAsia" w:ascii="宋体" w:hAnsi="宋体" w:eastAsia="宋体" w:cs="宋体"/>
          <w:color w:val="auto"/>
          <w:sz w:val="24"/>
          <w:szCs w:val="28"/>
        </w:rPr>
        <w:t>授权代表联系方式：</w:t>
      </w:r>
      <w:r>
        <w:rPr>
          <w:rFonts w:hint="eastAsia" w:ascii="宋体" w:hAnsi="宋体" w:eastAsia="宋体" w:cs="宋体"/>
          <w:color w:val="auto"/>
          <w:sz w:val="24"/>
          <w:szCs w:val="28"/>
          <w:u w:val="single"/>
        </w:rPr>
        <w:t xml:space="preserve">          （请填写手机号码）</w:t>
      </w:r>
    </w:p>
    <w:p w14:paraId="13240BED">
      <w:pPr>
        <w:spacing w:line="440" w:lineRule="exact"/>
        <w:ind w:firstLine="435"/>
        <w:rPr>
          <w:rFonts w:ascii="宋体" w:hAnsi="宋体" w:eastAsia="宋体" w:cs="宋体"/>
          <w:color w:val="auto"/>
          <w:sz w:val="24"/>
          <w:szCs w:val="28"/>
          <w:lang w:val="zh-CN"/>
        </w:rPr>
      </w:pPr>
    </w:p>
    <w:p w14:paraId="5AA4A57D">
      <w:pPr>
        <w:spacing w:line="440" w:lineRule="exact"/>
        <w:ind w:firstLine="435"/>
        <w:rPr>
          <w:rFonts w:ascii="宋体" w:hAnsi="宋体" w:eastAsia="宋体" w:cs="宋体"/>
          <w:color w:val="auto"/>
          <w:sz w:val="24"/>
          <w:szCs w:val="28"/>
        </w:rPr>
      </w:pPr>
      <w:r>
        <w:rPr>
          <w:rFonts w:hint="eastAsia" w:ascii="宋体" w:hAnsi="宋体" w:eastAsia="宋体" w:cs="宋体"/>
          <w:color w:val="auto"/>
          <w:sz w:val="24"/>
        </w:rPr>
        <w:t>特此</w:t>
      </w:r>
      <w:r>
        <w:rPr>
          <w:rFonts w:hint="eastAsia" w:ascii="宋体" w:hAnsi="宋体" w:eastAsia="宋体" w:cs="宋体"/>
          <w:color w:val="auto"/>
          <w:sz w:val="24"/>
          <w:szCs w:val="28"/>
        </w:rPr>
        <w:t>声明。</w:t>
      </w:r>
    </w:p>
    <w:p w14:paraId="15FB0D7D">
      <w:pPr>
        <w:spacing w:line="440" w:lineRule="exact"/>
        <w:rPr>
          <w:rFonts w:ascii="宋体" w:hAnsi="宋体" w:eastAsia="宋体" w:cs="宋体"/>
          <w:color w:val="auto"/>
          <w:sz w:val="24"/>
          <w:szCs w:val="28"/>
        </w:rPr>
      </w:pPr>
    </w:p>
    <w:p w14:paraId="280CB8E8">
      <w:pPr>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p>
    <w:p w14:paraId="518107CC">
      <w:pPr>
        <w:tabs>
          <w:tab w:val="left" w:pos="630"/>
        </w:tabs>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0873676D">
      <w:pPr>
        <w:spacing w:line="440" w:lineRule="exact"/>
        <w:rPr>
          <w:rFonts w:ascii="宋体" w:hAnsi="宋体" w:eastAsia="宋体" w:cs="宋体"/>
          <w:color w:val="auto"/>
          <w:sz w:val="24"/>
        </w:rPr>
      </w:pPr>
      <w:r>
        <w:rPr>
          <w:rFonts w:hint="eastAsia" w:ascii="宋体" w:hAnsi="宋体" w:eastAsia="宋体" w:cs="宋体"/>
          <w:color w:val="auto"/>
          <w:sz w:val="24"/>
        </w:rPr>
        <w:t>注：</w:t>
      </w:r>
    </w:p>
    <w:p w14:paraId="5195B10F">
      <w:pPr>
        <w:spacing w:line="440" w:lineRule="exact"/>
        <w:ind w:firstLine="435"/>
        <w:rPr>
          <w:rFonts w:ascii="宋体" w:hAnsi="宋体" w:eastAsia="宋体" w:cs="宋体"/>
          <w:color w:val="auto"/>
          <w:sz w:val="24"/>
        </w:rPr>
      </w:pPr>
      <w:r>
        <w:rPr>
          <w:rFonts w:hint="eastAsia" w:ascii="宋体" w:hAnsi="宋体" w:eastAsia="宋体" w:cs="宋体"/>
          <w:color w:val="auto"/>
          <w:sz w:val="24"/>
        </w:rPr>
        <w:t>1.本项目只允许有唯一的投标人授权代表，提供身份证明复印件；</w:t>
      </w:r>
    </w:p>
    <w:p w14:paraId="1727543D">
      <w:pPr>
        <w:spacing w:line="440" w:lineRule="exact"/>
        <w:ind w:firstLine="435"/>
        <w:rPr>
          <w:rFonts w:ascii="宋体" w:hAnsi="宋体" w:eastAsia="宋体" w:cs="宋体"/>
          <w:color w:val="auto"/>
          <w:sz w:val="24"/>
        </w:rPr>
      </w:pPr>
      <w:r>
        <w:rPr>
          <w:rFonts w:hint="eastAsia" w:ascii="宋体" w:hAnsi="宋体" w:eastAsia="宋体" w:cs="宋体"/>
          <w:color w:val="auto"/>
          <w:sz w:val="24"/>
        </w:rPr>
        <w:t>2.法定代表人参加投标的无需提供授权书，提供身份证明复印件。</w:t>
      </w:r>
    </w:p>
    <w:p w14:paraId="659BC9C4">
      <w:pPr>
        <w:spacing w:line="360" w:lineRule="auto"/>
        <w:jc w:val="center"/>
        <w:outlineLvl w:val="1"/>
        <w:rPr>
          <w:rFonts w:ascii="宋体" w:hAnsi="宋体" w:eastAsia="宋体" w:cs="宋体"/>
          <w:b/>
          <w:color w:val="auto"/>
          <w:sz w:val="24"/>
        </w:rPr>
      </w:pPr>
      <w:r>
        <w:rPr>
          <w:rFonts w:hint="eastAsia" w:ascii="宋体" w:hAnsi="宋体" w:eastAsia="宋体" w:cs="宋体"/>
          <w:color w:val="auto"/>
          <w:sz w:val="24"/>
        </w:rPr>
        <w:br w:type="page"/>
      </w:r>
      <w:r>
        <w:rPr>
          <w:rFonts w:hint="eastAsia" w:ascii="宋体" w:hAnsi="宋体" w:eastAsia="宋体" w:cs="宋体"/>
          <w:b/>
          <w:color w:val="auto"/>
          <w:sz w:val="24"/>
        </w:rPr>
        <w:t>（3）诚信投标承诺书</w:t>
      </w:r>
    </w:p>
    <w:p w14:paraId="60569A3F">
      <w:pPr>
        <w:spacing w:line="500" w:lineRule="exact"/>
        <w:rPr>
          <w:rFonts w:ascii="宋体" w:hAnsi="宋体" w:eastAsia="宋体" w:cs="宋体"/>
          <w:color w:val="auto"/>
          <w:szCs w:val="21"/>
          <w:highlight w:val="none"/>
        </w:rPr>
      </w:pPr>
      <w:bookmarkStart w:id="218" w:name="_Toc23068"/>
      <w:r>
        <w:rPr>
          <w:rFonts w:hint="eastAsia" w:ascii="宋体" w:hAnsi="宋体" w:eastAsia="宋体" w:cs="宋体"/>
          <w:color w:val="auto"/>
          <w:szCs w:val="21"/>
          <w:highlight w:val="none"/>
        </w:rPr>
        <w:t>本人以企业法定代表人的身份郑重承诺：</w:t>
      </w:r>
    </w:p>
    <w:p w14:paraId="63CC8B6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项目的投标，所提供的一切材料都是真实、有效、合法的；</w:t>
      </w:r>
    </w:p>
    <w:p w14:paraId="57ECD892">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150602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463990BF">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6233BAB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143F1DC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4B6C0068">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54B54BA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2C0F681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5E171E4">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1913E9F0">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98F7EA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77F209E">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A69825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                      基本账户：</w:t>
      </w:r>
    </w:p>
    <w:p w14:paraId="6B6381F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投标单位（签章）：              法定代表人（签章）：</w:t>
      </w:r>
    </w:p>
    <w:p w14:paraId="4B689E6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AD5136E">
      <w:pPr>
        <w:widowControl/>
        <w:ind w:firstLine="210" w:firstLineChars="100"/>
        <w:jc w:val="left"/>
        <w:rPr>
          <w:rFonts w:ascii="宋体" w:hAnsi="宋体" w:eastAsia="宋体"/>
          <w:b/>
          <w:color w:val="auto"/>
          <w:sz w:val="28"/>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p>
    <w:bookmarkEnd w:id="218"/>
    <w:p w14:paraId="03CF97B9">
      <w:pPr>
        <w:pageBreakBefore/>
        <w:rPr>
          <w:rFonts w:ascii="宋体" w:hAnsi="宋体" w:eastAsia="宋体" w:cs="宋体"/>
          <w:b/>
          <w:color w:val="auto"/>
          <w:sz w:val="28"/>
          <w:szCs w:val="28"/>
          <w:bdr w:val="single" w:color="000000" w:sz="4" w:space="0"/>
        </w:rPr>
      </w:pPr>
      <w:r>
        <w:rPr>
          <w:rFonts w:hint="eastAsia" w:ascii="宋体" w:hAnsi="宋体" w:eastAsia="宋体" w:cs="宋体"/>
          <w:b/>
          <w:color w:val="auto"/>
          <w:sz w:val="28"/>
          <w:szCs w:val="28"/>
        </w:rPr>
        <w:t>二、技术标格式文件</w:t>
      </w:r>
    </w:p>
    <w:p w14:paraId="22EFCE6D">
      <w:pPr>
        <w:jc w:val="center"/>
        <w:rPr>
          <w:rFonts w:ascii="宋体" w:hAnsi="宋体" w:eastAsia="宋体" w:cs="宋体"/>
          <w:color w:val="auto"/>
          <w:sz w:val="20"/>
        </w:rPr>
      </w:pPr>
    </w:p>
    <w:p w14:paraId="34C89AA2">
      <w:pPr>
        <w:rPr>
          <w:rFonts w:ascii="宋体" w:hAnsi="宋体" w:eastAsia="宋体" w:cs="宋体"/>
          <w:color w:val="auto"/>
          <w:sz w:val="20"/>
        </w:rPr>
      </w:pPr>
    </w:p>
    <w:p w14:paraId="54363CA6">
      <w:pPr>
        <w:jc w:val="center"/>
        <w:rPr>
          <w:rFonts w:ascii="宋体" w:hAnsi="宋体" w:eastAsia="宋体" w:cs="宋体"/>
          <w:b/>
          <w:color w:val="auto"/>
          <w:sz w:val="44"/>
          <w:szCs w:val="44"/>
        </w:rPr>
      </w:pPr>
      <w:r>
        <w:rPr>
          <w:rFonts w:hint="eastAsia" w:ascii="宋体" w:hAnsi="宋体" w:eastAsia="宋体" w:cs="宋体"/>
          <w:b/>
          <w:color w:val="auto"/>
          <w:sz w:val="44"/>
          <w:szCs w:val="44"/>
        </w:rPr>
        <w:t>技术标</w:t>
      </w:r>
    </w:p>
    <w:p w14:paraId="2BF85DF3">
      <w:pPr>
        <w:jc w:val="center"/>
        <w:rPr>
          <w:rFonts w:ascii="宋体" w:hAnsi="宋体" w:eastAsia="宋体" w:cs="宋体"/>
          <w:color w:val="auto"/>
          <w:sz w:val="32"/>
          <w:szCs w:val="32"/>
        </w:rPr>
      </w:pPr>
      <w:r>
        <w:rPr>
          <w:rFonts w:hint="eastAsia" w:ascii="宋体" w:hAnsi="宋体" w:eastAsia="宋体" w:cs="宋体"/>
          <w:color w:val="auto"/>
          <w:sz w:val="32"/>
          <w:szCs w:val="32"/>
        </w:rPr>
        <w:t>（投标文件二）</w:t>
      </w:r>
    </w:p>
    <w:p w14:paraId="208542F3">
      <w:pPr>
        <w:jc w:val="center"/>
        <w:rPr>
          <w:rFonts w:ascii="宋体" w:hAnsi="宋体" w:eastAsia="宋体" w:cs="宋体"/>
          <w:color w:val="auto"/>
          <w:sz w:val="44"/>
          <w:szCs w:val="44"/>
        </w:rPr>
      </w:pPr>
    </w:p>
    <w:p w14:paraId="52AC0BD8">
      <w:pPr>
        <w:jc w:val="center"/>
        <w:rPr>
          <w:rFonts w:ascii="宋体" w:hAnsi="宋体" w:eastAsia="宋体" w:cs="宋体"/>
          <w:color w:val="auto"/>
          <w:sz w:val="32"/>
          <w:szCs w:val="32"/>
        </w:rPr>
      </w:pP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项目</w:t>
      </w:r>
    </w:p>
    <w:p w14:paraId="40DB5445">
      <w:pPr>
        <w:rPr>
          <w:rFonts w:ascii="宋体" w:hAnsi="宋体" w:eastAsia="宋体" w:cs="宋体"/>
          <w:color w:val="auto"/>
          <w:sz w:val="28"/>
          <w:szCs w:val="28"/>
        </w:rPr>
      </w:pPr>
    </w:p>
    <w:p w14:paraId="2D22BED6">
      <w:pPr>
        <w:rPr>
          <w:rFonts w:ascii="宋体" w:hAnsi="宋体" w:eastAsia="宋体" w:cs="宋体"/>
          <w:color w:val="auto"/>
          <w:sz w:val="28"/>
          <w:szCs w:val="28"/>
        </w:rPr>
      </w:pPr>
    </w:p>
    <w:p w14:paraId="1677EAC4">
      <w:pPr>
        <w:rPr>
          <w:rFonts w:ascii="宋体" w:hAnsi="宋体" w:eastAsia="宋体" w:cs="宋体"/>
          <w:color w:val="auto"/>
          <w:sz w:val="28"/>
          <w:szCs w:val="28"/>
        </w:rPr>
      </w:pPr>
    </w:p>
    <w:p w14:paraId="15657C5A">
      <w:pPr>
        <w:rPr>
          <w:rFonts w:ascii="宋体" w:hAnsi="宋体" w:eastAsia="宋体" w:cs="宋体"/>
          <w:color w:val="auto"/>
          <w:sz w:val="28"/>
          <w:szCs w:val="28"/>
        </w:rPr>
      </w:pPr>
    </w:p>
    <w:p w14:paraId="4F28C0C6">
      <w:pPr>
        <w:rPr>
          <w:rFonts w:ascii="宋体" w:hAnsi="宋体" w:eastAsia="宋体" w:cs="宋体"/>
          <w:color w:val="auto"/>
          <w:sz w:val="28"/>
          <w:szCs w:val="28"/>
        </w:rPr>
      </w:pPr>
    </w:p>
    <w:p w14:paraId="3D6A038F">
      <w:pPr>
        <w:rPr>
          <w:rFonts w:ascii="宋体" w:hAnsi="宋体" w:eastAsia="宋体" w:cs="宋体"/>
          <w:color w:val="auto"/>
          <w:sz w:val="28"/>
          <w:szCs w:val="28"/>
        </w:rPr>
      </w:pPr>
    </w:p>
    <w:p w14:paraId="0732CF3F">
      <w:pPr>
        <w:rPr>
          <w:rFonts w:ascii="宋体" w:hAnsi="宋体" w:eastAsia="宋体" w:cs="宋体"/>
          <w:color w:val="auto"/>
          <w:sz w:val="28"/>
          <w:szCs w:val="28"/>
        </w:rPr>
      </w:pPr>
    </w:p>
    <w:p w14:paraId="6E076485">
      <w:pPr>
        <w:jc w:val="center"/>
        <w:rPr>
          <w:rFonts w:ascii="宋体" w:hAnsi="宋体" w:eastAsia="宋体" w:cs="宋体"/>
          <w:color w:val="auto"/>
          <w:sz w:val="28"/>
          <w:szCs w:val="28"/>
          <w:u w:val="single"/>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14:paraId="00F74D9B">
      <w:pPr>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14:paraId="05E4CCA4">
      <w:pPr>
        <w:jc w:val="center"/>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7D2168CE">
      <w:pPr>
        <w:spacing w:line="720" w:lineRule="auto"/>
        <w:jc w:val="center"/>
        <w:rPr>
          <w:rFonts w:ascii="宋体" w:hAnsi="宋体" w:eastAsia="宋体" w:cs="宋体"/>
          <w:b/>
          <w:color w:val="auto"/>
          <w:sz w:val="36"/>
          <w:szCs w:val="36"/>
        </w:rPr>
      </w:pPr>
    </w:p>
    <w:p w14:paraId="001270CE">
      <w:pPr>
        <w:spacing w:line="400" w:lineRule="exact"/>
        <w:ind w:firstLine="4130" w:firstLineChars="935"/>
        <w:rPr>
          <w:rFonts w:ascii="宋体" w:hAnsi="宋体" w:eastAsia="宋体" w:cs="宋体"/>
          <w:b/>
          <w:color w:val="auto"/>
          <w:sz w:val="44"/>
          <w:szCs w:val="44"/>
        </w:rPr>
      </w:pPr>
    </w:p>
    <w:p w14:paraId="71578DAD">
      <w:pPr>
        <w:spacing w:line="400" w:lineRule="exact"/>
        <w:ind w:firstLine="4130" w:firstLineChars="935"/>
        <w:rPr>
          <w:rFonts w:ascii="宋体" w:hAnsi="宋体" w:eastAsia="宋体" w:cs="宋体"/>
          <w:b/>
          <w:color w:val="auto"/>
          <w:sz w:val="44"/>
          <w:szCs w:val="44"/>
        </w:rPr>
      </w:pPr>
    </w:p>
    <w:p w14:paraId="4495B3D1">
      <w:pPr>
        <w:pageBreakBefore/>
        <w:jc w:val="center"/>
        <w:rPr>
          <w:rFonts w:ascii="宋体" w:hAnsi="宋体" w:eastAsia="宋体" w:cs="宋体"/>
          <w:b/>
          <w:color w:val="auto"/>
          <w:sz w:val="44"/>
          <w:szCs w:val="44"/>
        </w:rPr>
      </w:pPr>
      <w:r>
        <w:rPr>
          <w:rFonts w:hint="eastAsia" w:ascii="宋体" w:hAnsi="宋体" w:eastAsia="宋体" w:cs="宋体"/>
          <w:b/>
          <w:color w:val="auto"/>
          <w:sz w:val="36"/>
          <w:szCs w:val="36"/>
        </w:rPr>
        <w:t>目   录</w:t>
      </w:r>
    </w:p>
    <w:p w14:paraId="53110A48">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（1）投标响应表（格式见附件）；</w:t>
      </w:r>
    </w:p>
    <w:p w14:paraId="24CF9C70">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（2）诚信履约承诺函（格式见附件）；</w:t>
      </w:r>
    </w:p>
    <w:p w14:paraId="38B1055B">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（3）招标文件中要求的技术标评审及技术标评分的支持资料；</w:t>
      </w:r>
    </w:p>
    <w:p w14:paraId="6BF38E0B">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（4）投标人认为需要提供的其他技术证明材料（如有）。</w:t>
      </w:r>
    </w:p>
    <w:p w14:paraId="69E36535">
      <w:pPr>
        <w:pageBreakBefore/>
        <w:spacing w:line="440" w:lineRule="exact"/>
        <w:jc w:val="center"/>
        <w:outlineLvl w:val="1"/>
        <w:rPr>
          <w:rFonts w:ascii="宋体" w:hAnsi="宋体" w:eastAsia="宋体" w:cs="宋体"/>
          <w:b/>
          <w:color w:val="auto"/>
          <w:sz w:val="24"/>
        </w:rPr>
      </w:pPr>
      <w:bookmarkStart w:id="219" w:name="_Toc15209"/>
      <w:r>
        <w:rPr>
          <w:rFonts w:hint="eastAsia" w:ascii="宋体" w:hAnsi="宋体" w:eastAsia="宋体" w:cs="宋体"/>
          <w:b/>
          <w:color w:val="auto"/>
          <w:sz w:val="24"/>
        </w:rPr>
        <w:t>（1）投标响应表</w:t>
      </w:r>
      <w:bookmarkEnd w:id="219"/>
    </w:p>
    <w:p w14:paraId="79C321A7">
      <w:pPr>
        <w:spacing w:line="440" w:lineRule="exact"/>
        <w:ind w:firstLine="435"/>
        <w:outlineLvl w:val="2"/>
        <w:rPr>
          <w:rFonts w:ascii="宋体" w:hAnsi="宋体" w:eastAsia="宋体" w:cs="宋体"/>
          <w:b/>
          <w:color w:val="auto"/>
          <w:sz w:val="24"/>
        </w:rPr>
      </w:pPr>
      <w:r>
        <w:rPr>
          <w:rFonts w:hint="eastAsia" w:ascii="宋体" w:hAnsi="宋体" w:eastAsia="宋体" w:cs="宋体"/>
          <w:b/>
          <w:color w:val="auto"/>
          <w:sz w:val="24"/>
        </w:rPr>
        <w:t>1.1商务响应表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152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12AB456B">
            <w:pPr>
              <w:pStyle w:val="13"/>
              <w:spacing w:line="440" w:lineRule="exact"/>
              <w:jc w:val="center"/>
              <w:rPr>
                <w:rFonts w:hAnsi="宋体" w:eastAsia="宋体" w:cs="宋体"/>
                <w:b/>
                <w:color w:val="auto"/>
                <w:sz w:val="24"/>
              </w:rPr>
            </w:pPr>
            <w:r>
              <w:rPr>
                <w:rFonts w:hint="eastAsia" w:hAnsi="宋体" w:eastAsia="宋体" w:cs="宋体"/>
                <w:b/>
                <w:color w:val="auto"/>
                <w:sz w:val="24"/>
              </w:rPr>
              <w:t>序号</w:t>
            </w:r>
          </w:p>
        </w:tc>
        <w:tc>
          <w:tcPr>
            <w:tcW w:w="1124" w:type="pct"/>
            <w:vAlign w:val="center"/>
          </w:tcPr>
          <w:p w14:paraId="3F213012">
            <w:pPr>
              <w:pStyle w:val="13"/>
              <w:spacing w:line="440" w:lineRule="exact"/>
              <w:jc w:val="center"/>
              <w:rPr>
                <w:rFonts w:hAnsi="宋体" w:eastAsia="宋体" w:cs="宋体"/>
                <w:b/>
                <w:color w:val="auto"/>
                <w:sz w:val="24"/>
              </w:rPr>
            </w:pPr>
            <w:r>
              <w:rPr>
                <w:rFonts w:hint="eastAsia" w:hAnsi="宋体" w:eastAsia="宋体" w:cs="宋体"/>
                <w:b/>
                <w:bCs/>
                <w:color w:val="auto"/>
                <w:sz w:val="24"/>
                <w:szCs w:val="24"/>
              </w:rPr>
              <w:t>商务条款</w:t>
            </w:r>
          </w:p>
        </w:tc>
        <w:tc>
          <w:tcPr>
            <w:tcW w:w="1465" w:type="pct"/>
            <w:vAlign w:val="center"/>
          </w:tcPr>
          <w:p w14:paraId="5FD3589A">
            <w:pPr>
              <w:pStyle w:val="13"/>
              <w:spacing w:line="440" w:lineRule="exact"/>
              <w:jc w:val="center"/>
              <w:rPr>
                <w:rFonts w:hAnsi="宋体" w:eastAsia="宋体" w:cs="宋体"/>
                <w:b/>
                <w:color w:val="auto"/>
                <w:sz w:val="24"/>
              </w:rPr>
            </w:pPr>
            <w:r>
              <w:rPr>
                <w:rFonts w:hint="eastAsia" w:hAnsi="宋体" w:eastAsia="宋体" w:cs="宋体"/>
                <w:b/>
                <w:color w:val="auto"/>
                <w:sz w:val="24"/>
              </w:rPr>
              <w:t>招标文件要求</w:t>
            </w:r>
          </w:p>
        </w:tc>
        <w:tc>
          <w:tcPr>
            <w:tcW w:w="1510" w:type="pct"/>
            <w:vAlign w:val="center"/>
          </w:tcPr>
          <w:p w14:paraId="6028EDC8">
            <w:pPr>
              <w:pStyle w:val="13"/>
              <w:spacing w:line="440" w:lineRule="exact"/>
              <w:jc w:val="center"/>
              <w:rPr>
                <w:rFonts w:hAnsi="宋体" w:eastAsia="宋体" w:cs="宋体"/>
                <w:b/>
                <w:color w:val="auto"/>
                <w:sz w:val="24"/>
              </w:rPr>
            </w:pPr>
            <w:r>
              <w:rPr>
                <w:rFonts w:hint="eastAsia" w:hAnsi="宋体" w:eastAsia="宋体" w:cs="宋体"/>
                <w:b/>
                <w:color w:val="auto"/>
                <w:sz w:val="24"/>
              </w:rPr>
              <w:t>投标人承诺</w:t>
            </w:r>
          </w:p>
        </w:tc>
        <w:tc>
          <w:tcPr>
            <w:tcW w:w="475" w:type="pct"/>
            <w:vAlign w:val="center"/>
          </w:tcPr>
          <w:p w14:paraId="1B164EAB">
            <w:pPr>
              <w:pStyle w:val="13"/>
              <w:spacing w:line="440" w:lineRule="exact"/>
              <w:jc w:val="center"/>
              <w:rPr>
                <w:rFonts w:hAnsi="宋体" w:eastAsia="宋体" w:cs="宋体"/>
                <w:b/>
                <w:color w:val="auto"/>
                <w:sz w:val="24"/>
              </w:rPr>
            </w:pPr>
            <w:r>
              <w:rPr>
                <w:rFonts w:hint="eastAsia" w:hAnsi="宋体" w:eastAsia="宋体" w:cs="宋体"/>
                <w:b/>
                <w:color w:val="auto"/>
                <w:sz w:val="24"/>
              </w:rPr>
              <w:t>偏离说明</w:t>
            </w:r>
          </w:p>
        </w:tc>
      </w:tr>
      <w:tr w14:paraId="0B43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85CDBD2">
            <w:pPr>
              <w:spacing w:line="440" w:lineRule="exact"/>
              <w:jc w:val="center"/>
              <w:rPr>
                <w:rFonts w:ascii="宋体" w:hAnsi="宋体" w:eastAsia="宋体" w:cs="宋体"/>
                <w:color w:val="auto"/>
                <w:sz w:val="24"/>
              </w:rPr>
            </w:pPr>
            <w:r>
              <w:rPr>
                <w:rFonts w:hint="eastAsia" w:ascii="宋体" w:hAnsi="宋体" w:eastAsia="宋体" w:cs="宋体"/>
                <w:color w:val="auto"/>
                <w:sz w:val="24"/>
              </w:rPr>
              <w:t>1</w:t>
            </w:r>
          </w:p>
        </w:tc>
        <w:tc>
          <w:tcPr>
            <w:tcW w:w="1124" w:type="pct"/>
            <w:vAlign w:val="center"/>
          </w:tcPr>
          <w:p w14:paraId="44C19E75">
            <w:pPr>
              <w:spacing w:line="440" w:lineRule="exact"/>
              <w:jc w:val="center"/>
              <w:rPr>
                <w:rFonts w:ascii="宋体" w:hAnsi="宋体" w:eastAsia="宋体" w:cs="宋体"/>
                <w:color w:val="auto"/>
                <w:sz w:val="24"/>
              </w:rPr>
            </w:pPr>
            <w:r>
              <w:rPr>
                <w:rFonts w:hint="eastAsia" w:ascii="宋体" w:hAnsi="宋体" w:eastAsia="宋体" w:cs="宋体"/>
                <w:color w:val="auto"/>
                <w:sz w:val="24"/>
              </w:rPr>
              <w:t>付款方式</w:t>
            </w:r>
          </w:p>
        </w:tc>
        <w:tc>
          <w:tcPr>
            <w:tcW w:w="1465" w:type="pct"/>
            <w:vAlign w:val="center"/>
          </w:tcPr>
          <w:p w14:paraId="0A48D749">
            <w:pPr>
              <w:spacing w:line="440" w:lineRule="exact"/>
              <w:jc w:val="center"/>
              <w:rPr>
                <w:rFonts w:ascii="宋体" w:hAnsi="宋体" w:eastAsia="宋体" w:cs="宋体"/>
                <w:color w:val="auto"/>
                <w:sz w:val="24"/>
              </w:rPr>
            </w:pPr>
          </w:p>
        </w:tc>
        <w:tc>
          <w:tcPr>
            <w:tcW w:w="1510" w:type="pct"/>
            <w:vAlign w:val="center"/>
          </w:tcPr>
          <w:p w14:paraId="5C063C95">
            <w:pPr>
              <w:spacing w:line="440" w:lineRule="exact"/>
              <w:jc w:val="center"/>
              <w:rPr>
                <w:rFonts w:ascii="宋体" w:hAnsi="宋体" w:eastAsia="宋体" w:cs="宋体"/>
                <w:color w:val="auto"/>
                <w:sz w:val="24"/>
              </w:rPr>
            </w:pPr>
          </w:p>
        </w:tc>
        <w:tc>
          <w:tcPr>
            <w:tcW w:w="475" w:type="pct"/>
            <w:vAlign w:val="center"/>
          </w:tcPr>
          <w:p w14:paraId="2DD35B1C">
            <w:pPr>
              <w:spacing w:line="440" w:lineRule="exact"/>
              <w:jc w:val="center"/>
              <w:rPr>
                <w:rFonts w:ascii="宋体" w:hAnsi="宋体" w:eastAsia="宋体" w:cs="宋体"/>
                <w:color w:val="auto"/>
                <w:sz w:val="24"/>
              </w:rPr>
            </w:pPr>
          </w:p>
        </w:tc>
      </w:tr>
      <w:tr w14:paraId="2A54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D9B975D">
            <w:pPr>
              <w:spacing w:line="440" w:lineRule="exact"/>
              <w:jc w:val="center"/>
              <w:rPr>
                <w:rFonts w:ascii="宋体" w:hAnsi="宋体" w:eastAsia="宋体" w:cs="宋体"/>
                <w:color w:val="auto"/>
                <w:sz w:val="24"/>
              </w:rPr>
            </w:pPr>
            <w:r>
              <w:rPr>
                <w:rFonts w:hint="eastAsia" w:ascii="宋体" w:hAnsi="宋体" w:eastAsia="宋体" w:cs="宋体"/>
                <w:color w:val="auto"/>
                <w:sz w:val="24"/>
              </w:rPr>
              <w:t>2</w:t>
            </w:r>
          </w:p>
        </w:tc>
        <w:tc>
          <w:tcPr>
            <w:tcW w:w="1124" w:type="pct"/>
            <w:vAlign w:val="center"/>
          </w:tcPr>
          <w:p w14:paraId="0AEECA30">
            <w:pPr>
              <w:spacing w:line="440" w:lineRule="exact"/>
              <w:jc w:val="center"/>
              <w:rPr>
                <w:rFonts w:ascii="宋体" w:hAnsi="宋体" w:eastAsia="宋体" w:cs="宋体"/>
                <w:color w:val="auto"/>
                <w:sz w:val="24"/>
              </w:rPr>
            </w:pPr>
            <w:r>
              <w:rPr>
                <w:rFonts w:hint="eastAsia" w:ascii="宋体" w:hAnsi="宋体" w:eastAsia="宋体" w:cs="宋体"/>
                <w:color w:val="auto"/>
                <w:sz w:val="24"/>
              </w:rPr>
              <w:t>服务地点</w:t>
            </w:r>
          </w:p>
        </w:tc>
        <w:tc>
          <w:tcPr>
            <w:tcW w:w="1465" w:type="pct"/>
            <w:vAlign w:val="center"/>
          </w:tcPr>
          <w:p w14:paraId="1A49F901">
            <w:pPr>
              <w:spacing w:line="440" w:lineRule="exact"/>
              <w:jc w:val="center"/>
              <w:rPr>
                <w:rFonts w:ascii="宋体" w:hAnsi="宋体" w:eastAsia="宋体" w:cs="宋体"/>
                <w:color w:val="auto"/>
                <w:sz w:val="24"/>
              </w:rPr>
            </w:pPr>
          </w:p>
        </w:tc>
        <w:tc>
          <w:tcPr>
            <w:tcW w:w="1510" w:type="pct"/>
            <w:vAlign w:val="center"/>
          </w:tcPr>
          <w:p w14:paraId="3B33B2B0">
            <w:pPr>
              <w:spacing w:line="440" w:lineRule="exact"/>
              <w:jc w:val="center"/>
              <w:rPr>
                <w:rFonts w:ascii="宋体" w:hAnsi="宋体" w:eastAsia="宋体" w:cs="宋体"/>
                <w:color w:val="auto"/>
                <w:sz w:val="24"/>
              </w:rPr>
            </w:pPr>
          </w:p>
        </w:tc>
        <w:tc>
          <w:tcPr>
            <w:tcW w:w="475" w:type="pct"/>
            <w:vAlign w:val="center"/>
          </w:tcPr>
          <w:p w14:paraId="6BD2FF92">
            <w:pPr>
              <w:spacing w:line="440" w:lineRule="exact"/>
              <w:jc w:val="center"/>
              <w:rPr>
                <w:rFonts w:ascii="宋体" w:hAnsi="宋体" w:eastAsia="宋体" w:cs="宋体"/>
                <w:color w:val="auto"/>
                <w:sz w:val="24"/>
              </w:rPr>
            </w:pPr>
          </w:p>
        </w:tc>
      </w:tr>
      <w:tr w14:paraId="426B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E3EB7CE">
            <w:pPr>
              <w:spacing w:line="440" w:lineRule="exact"/>
              <w:jc w:val="center"/>
              <w:rPr>
                <w:rFonts w:ascii="宋体" w:hAnsi="宋体" w:eastAsia="宋体" w:cs="宋体"/>
                <w:color w:val="auto"/>
                <w:sz w:val="24"/>
              </w:rPr>
            </w:pPr>
            <w:r>
              <w:rPr>
                <w:rFonts w:hint="eastAsia" w:ascii="宋体" w:hAnsi="宋体" w:eastAsia="宋体" w:cs="宋体"/>
                <w:color w:val="auto"/>
                <w:sz w:val="24"/>
              </w:rPr>
              <w:t>3</w:t>
            </w:r>
          </w:p>
        </w:tc>
        <w:tc>
          <w:tcPr>
            <w:tcW w:w="1124" w:type="pct"/>
            <w:vAlign w:val="center"/>
          </w:tcPr>
          <w:p w14:paraId="61161657">
            <w:pPr>
              <w:spacing w:line="440" w:lineRule="exact"/>
              <w:jc w:val="center"/>
              <w:rPr>
                <w:rFonts w:ascii="宋体" w:hAnsi="宋体" w:eastAsia="宋体" w:cs="宋体"/>
                <w:color w:val="auto"/>
                <w:sz w:val="24"/>
              </w:rPr>
            </w:pPr>
            <w:r>
              <w:rPr>
                <w:rFonts w:hint="eastAsia" w:ascii="宋体" w:hAnsi="宋体" w:eastAsia="宋体" w:cs="宋体"/>
                <w:color w:val="auto"/>
                <w:sz w:val="24"/>
              </w:rPr>
              <w:t>服务期限</w:t>
            </w:r>
          </w:p>
        </w:tc>
        <w:tc>
          <w:tcPr>
            <w:tcW w:w="1465" w:type="pct"/>
            <w:vAlign w:val="center"/>
          </w:tcPr>
          <w:p w14:paraId="6B5765FA">
            <w:pPr>
              <w:spacing w:line="440" w:lineRule="exact"/>
              <w:jc w:val="center"/>
              <w:rPr>
                <w:rFonts w:ascii="宋体" w:hAnsi="宋体" w:eastAsia="宋体" w:cs="宋体"/>
                <w:color w:val="auto"/>
                <w:sz w:val="24"/>
              </w:rPr>
            </w:pPr>
          </w:p>
        </w:tc>
        <w:tc>
          <w:tcPr>
            <w:tcW w:w="1510" w:type="pct"/>
            <w:vAlign w:val="center"/>
          </w:tcPr>
          <w:p w14:paraId="37CCAC21">
            <w:pPr>
              <w:pStyle w:val="54"/>
              <w:spacing w:line="440" w:lineRule="exact"/>
              <w:jc w:val="center"/>
              <w:rPr>
                <w:rFonts w:ascii="宋体" w:hAnsi="宋体" w:cs="宋体"/>
                <w:color w:val="auto"/>
              </w:rPr>
            </w:pPr>
          </w:p>
        </w:tc>
        <w:tc>
          <w:tcPr>
            <w:tcW w:w="475" w:type="pct"/>
            <w:vAlign w:val="center"/>
          </w:tcPr>
          <w:p w14:paraId="5F3DD9DC">
            <w:pPr>
              <w:spacing w:line="440" w:lineRule="exact"/>
              <w:jc w:val="center"/>
              <w:rPr>
                <w:rFonts w:ascii="宋体" w:hAnsi="宋体" w:eastAsia="宋体" w:cs="宋体"/>
                <w:color w:val="auto"/>
                <w:sz w:val="24"/>
              </w:rPr>
            </w:pPr>
          </w:p>
        </w:tc>
      </w:tr>
      <w:tr w14:paraId="508B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50DCDDB">
            <w:pPr>
              <w:spacing w:line="440" w:lineRule="exact"/>
              <w:jc w:val="center"/>
              <w:rPr>
                <w:rFonts w:ascii="宋体" w:hAnsi="宋体" w:eastAsia="宋体" w:cs="宋体"/>
                <w:color w:val="auto"/>
                <w:sz w:val="24"/>
              </w:rPr>
            </w:pPr>
            <w:r>
              <w:rPr>
                <w:rFonts w:hint="eastAsia" w:ascii="宋体" w:hAnsi="宋体" w:eastAsia="宋体" w:cs="宋体"/>
                <w:color w:val="auto"/>
                <w:sz w:val="24"/>
              </w:rPr>
              <w:t>…</w:t>
            </w:r>
          </w:p>
        </w:tc>
        <w:tc>
          <w:tcPr>
            <w:tcW w:w="1124" w:type="pct"/>
            <w:vAlign w:val="center"/>
          </w:tcPr>
          <w:p w14:paraId="19323601">
            <w:pPr>
              <w:spacing w:line="440" w:lineRule="exact"/>
              <w:jc w:val="center"/>
              <w:rPr>
                <w:rFonts w:ascii="宋体" w:hAnsi="宋体" w:eastAsia="宋体" w:cs="宋体"/>
                <w:color w:val="auto"/>
                <w:sz w:val="24"/>
              </w:rPr>
            </w:pPr>
          </w:p>
        </w:tc>
        <w:tc>
          <w:tcPr>
            <w:tcW w:w="1465" w:type="pct"/>
            <w:vAlign w:val="center"/>
          </w:tcPr>
          <w:p w14:paraId="3CCEEEDB">
            <w:pPr>
              <w:spacing w:line="440" w:lineRule="exact"/>
              <w:jc w:val="center"/>
              <w:rPr>
                <w:rFonts w:ascii="宋体" w:hAnsi="宋体" w:eastAsia="宋体" w:cs="宋体"/>
                <w:color w:val="auto"/>
                <w:sz w:val="24"/>
              </w:rPr>
            </w:pPr>
          </w:p>
        </w:tc>
        <w:tc>
          <w:tcPr>
            <w:tcW w:w="1510" w:type="pct"/>
            <w:vAlign w:val="center"/>
          </w:tcPr>
          <w:p w14:paraId="47150D57">
            <w:pPr>
              <w:spacing w:line="440" w:lineRule="exact"/>
              <w:jc w:val="center"/>
              <w:rPr>
                <w:rFonts w:ascii="宋体" w:hAnsi="宋体" w:eastAsia="宋体" w:cs="宋体"/>
                <w:color w:val="auto"/>
                <w:sz w:val="24"/>
              </w:rPr>
            </w:pPr>
          </w:p>
        </w:tc>
        <w:tc>
          <w:tcPr>
            <w:tcW w:w="475" w:type="pct"/>
            <w:vAlign w:val="center"/>
          </w:tcPr>
          <w:p w14:paraId="70A058B7">
            <w:pPr>
              <w:spacing w:line="440" w:lineRule="exact"/>
              <w:jc w:val="center"/>
              <w:rPr>
                <w:rFonts w:ascii="宋体" w:hAnsi="宋体" w:eastAsia="宋体" w:cs="宋体"/>
                <w:color w:val="auto"/>
                <w:sz w:val="24"/>
              </w:rPr>
            </w:pPr>
          </w:p>
        </w:tc>
      </w:tr>
    </w:tbl>
    <w:p w14:paraId="59908E46">
      <w:pPr>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p>
    <w:p w14:paraId="5D381BA7">
      <w:pPr>
        <w:tabs>
          <w:tab w:val="left" w:pos="630"/>
        </w:tabs>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57C4F93D">
      <w:pPr>
        <w:pStyle w:val="14"/>
        <w:spacing w:line="440" w:lineRule="exact"/>
        <w:jc w:val="center"/>
        <w:rPr>
          <w:rFonts w:ascii="宋体" w:hAnsi="宋体" w:cs="宋体"/>
          <w:color w:val="auto"/>
          <w:sz w:val="24"/>
        </w:rPr>
      </w:pPr>
      <w:r>
        <w:rPr>
          <w:rFonts w:hint="eastAsia" w:ascii="宋体" w:hAnsi="宋体" w:cs="宋体"/>
          <w:b w:val="0"/>
          <w:color w:val="auto"/>
          <w:sz w:val="24"/>
        </w:rPr>
        <w:br w:type="page"/>
      </w:r>
      <w:bookmarkStart w:id="220" w:name="_Toc26536"/>
      <w:bookmarkStart w:id="221" w:name="_Toc23860"/>
      <w:bookmarkStart w:id="222" w:name="_Hlk11701496"/>
      <w:r>
        <w:rPr>
          <w:rFonts w:hint="eastAsia" w:ascii="宋体" w:hAnsi="宋体" w:cs="宋体"/>
          <w:color w:val="auto"/>
          <w:sz w:val="24"/>
        </w:rPr>
        <w:t>（2）诚信履约承诺函</w:t>
      </w:r>
      <w:bookmarkEnd w:id="220"/>
      <w:bookmarkEnd w:id="221"/>
    </w:p>
    <w:p w14:paraId="3B7E113E">
      <w:pPr>
        <w:spacing w:line="440" w:lineRule="exact"/>
        <w:rPr>
          <w:rFonts w:ascii="宋体" w:hAnsi="宋体" w:eastAsia="宋体" w:cs="宋体"/>
          <w:b/>
          <w:bCs/>
          <w:color w:val="auto"/>
          <w:sz w:val="24"/>
        </w:rPr>
      </w:pPr>
    </w:p>
    <w:p w14:paraId="5B17E004">
      <w:pPr>
        <w:spacing w:line="440" w:lineRule="exact"/>
        <w:rPr>
          <w:rFonts w:ascii="宋体" w:hAnsi="宋体" w:eastAsia="宋体" w:cs="宋体"/>
          <w:b/>
          <w:bCs/>
          <w:color w:val="auto"/>
          <w:sz w:val="24"/>
          <w:u w:val="single"/>
        </w:rPr>
      </w:pPr>
      <w:r>
        <w:rPr>
          <w:rFonts w:hint="eastAsia" w:ascii="宋体" w:hAnsi="宋体" w:eastAsia="宋体" w:cs="宋体"/>
          <w:b/>
          <w:bCs/>
          <w:color w:val="auto"/>
          <w:sz w:val="24"/>
        </w:rPr>
        <w:t>致：采购人</w:t>
      </w:r>
    </w:p>
    <w:p w14:paraId="1065697E">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EDD1182">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（1）中标或者成交后无正当理由拒不与采购人签订政府采购合同；</w:t>
      </w:r>
    </w:p>
    <w:p w14:paraId="7D1F1E55">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（2）未按照采购文件确定的事项签订政府采购合同；</w:t>
      </w:r>
    </w:p>
    <w:p w14:paraId="660292A9">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（3）将政府采购合同转包；</w:t>
      </w:r>
    </w:p>
    <w:p w14:paraId="2E8179AA">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（4）提供假冒伪劣产品；</w:t>
      </w:r>
    </w:p>
    <w:p w14:paraId="571D63E8">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（5）擅自变更、中止或者终止政府采购合同。</w:t>
      </w:r>
    </w:p>
    <w:p w14:paraId="07135454">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4E10C74">
      <w:pPr>
        <w:spacing w:line="440" w:lineRule="exact"/>
        <w:ind w:firstLine="480" w:firstLineChars="200"/>
        <w:rPr>
          <w:rFonts w:ascii="宋体" w:hAnsi="宋体" w:eastAsia="宋体" w:cs="宋体"/>
          <w:bCs/>
          <w:color w:val="auto"/>
          <w:sz w:val="24"/>
        </w:rPr>
      </w:pPr>
      <w:r>
        <w:rPr>
          <w:rFonts w:hint="eastAsia" w:ascii="宋体" w:hAnsi="宋体" w:eastAsia="宋体" w:cs="宋体"/>
          <w:bCs/>
          <w:color w:val="auto"/>
          <w:sz w:val="24"/>
        </w:rPr>
        <w:t>本承诺声明：</w:t>
      </w:r>
      <w:r>
        <w:rPr>
          <w:rFonts w:hint="eastAsia" w:ascii="宋体" w:hAnsi="宋体" w:eastAsia="宋体" w:cs="宋体"/>
          <w:bCs/>
          <w:color w:val="auto"/>
          <w:sz w:val="24"/>
          <w:u w:val="single"/>
        </w:rPr>
        <w:t xml:space="preserve">                   （投标人名称）</w:t>
      </w:r>
      <w:r>
        <w:rPr>
          <w:rFonts w:hint="eastAsia" w:ascii="宋体" w:hAnsi="宋体" w:eastAsia="宋体" w:cs="宋体"/>
          <w:bCs/>
          <w:color w:val="auto"/>
          <w:sz w:val="24"/>
        </w:rPr>
        <w:t>对本招标文件的相关要求完全响应，配备人员数量和要求不低于采购需求的要求。若有幸中标将严格按照以上承诺进行供货和服务。</w:t>
      </w:r>
    </w:p>
    <w:p w14:paraId="29B7CE44">
      <w:pPr>
        <w:spacing w:line="440" w:lineRule="exact"/>
        <w:rPr>
          <w:rFonts w:ascii="宋体" w:hAnsi="宋体" w:eastAsia="宋体" w:cs="宋体"/>
          <w:bCs/>
          <w:color w:val="auto"/>
          <w:sz w:val="24"/>
        </w:rPr>
      </w:pPr>
    </w:p>
    <w:p w14:paraId="3244605B">
      <w:pPr>
        <w:spacing w:line="440" w:lineRule="exact"/>
        <w:rPr>
          <w:rFonts w:ascii="宋体" w:hAnsi="宋体" w:eastAsia="宋体" w:cs="宋体"/>
          <w:bCs/>
          <w:color w:val="auto"/>
          <w:sz w:val="24"/>
        </w:rPr>
      </w:pPr>
    </w:p>
    <w:p w14:paraId="63C78868">
      <w:pPr>
        <w:spacing w:line="440" w:lineRule="exact"/>
        <w:ind w:firstLine="4320" w:firstLineChars="1800"/>
        <w:rPr>
          <w:rFonts w:ascii="宋体" w:hAnsi="宋体" w:eastAsia="宋体" w:cs="宋体"/>
          <w:bCs/>
          <w:color w:val="auto"/>
          <w:sz w:val="24"/>
          <w:u w:val="single"/>
        </w:rPr>
      </w:pPr>
      <w:r>
        <w:rPr>
          <w:rFonts w:hint="eastAsia" w:ascii="宋体" w:hAnsi="宋体" w:eastAsia="宋体" w:cs="宋体"/>
          <w:bCs/>
          <w:color w:val="auto"/>
          <w:sz w:val="24"/>
        </w:rPr>
        <w:t>投标人盖章：</w:t>
      </w:r>
      <w:r>
        <w:rPr>
          <w:rFonts w:hint="eastAsia" w:ascii="宋体" w:hAnsi="宋体" w:eastAsia="宋体" w:cs="宋体"/>
          <w:bCs/>
          <w:color w:val="auto"/>
          <w:sz w:val="24"/>
          <w:u w:val="single"/>
        </w:rPr>
        <w:t xml:space="preserve">             </w:t>
      </w:r>
    </w:p>
    <w:p w14:paraId="72CFEEB5">
      <w:pPr>
        <w:spacing w:line="440" w:lineRule="exact"/>
        <w:ind w:firstLine="4320" w:firstLineChars="1800"/>
        <w:rPr>
          <w:rFonts w:ascii="宋体" w:hAnsi="宋体" w:eastAsia="宋体" w:cs="宋体"/>
          <w:bCs/>
          <w:color w:val="auto"/>
          <w:sz w:val="24"/>
        </w:rPr>
      </w:pPr>
      <w:r>
        <w:rPr>
          <w:rFonts w:hint="eastAsia" w:ascii="宋体" w:hAnsi="宋体" w:eastAsia="宋体" w:cs="宋体"/>
          <w:bCs/>
          <w:color w:val="auto"/>
          <w:sz w:val="24"/>
        </w:rPr>
        <w:t>日      期：</w:t>
      </w:r>
      <w:r>
        <w:rPr>
          <w:rFonts w:hint="eastAsia" w:ascii="宋体" w:hAnsi="宋体" w:eastAsia="宋体" w:cs="宋体"/>
          <w:bCs/>
          <w:color w:val="auto"/>
          <w:sz w:val="24"/>
          <w:u w:val="single"/>
        </w:rPr>
        <w:t xml:space="preserve">             </w:t>
      </w:r>
    </w:p>
    <w:p w14:paraId="372CED17">
      <w:pPr>
        <w:widowControl/>
        <w:spacing w:line="440" w:lineRule="exact"/>
        <w:jc w:val="left"/>
        <w:rPr>
          <w:rFonts w:ascii="宋体" w:hAnsi="宋体" w:eastAsia="宋体" w:cs="宋体"/>
          <w:color w:val="auto"/>
          <w:sz w:val="24"/>
        </w:rPr>
      </w:pPr>
      <w:r>
        <w:rPr>
          <w:rFonts w:hint="eastAsia" w:ascii="宋体" w:hAnsi="宋体" w:eastAsia="宋体" w:cs="宋体"/>
          <w:color w:val="auto"/>
          <w:sz w:val="24"/>
        </w:rPr>
        <w:br w:type="page"/>
      </w:r>
    </w:p>
    <w:bookmarkEnd w:id="222"/>
    <w:p w14:paraId="6A4F26A9">
      <w:pPr>
        <w:pageBreakBefore/>
        <w:rPr>
          <w:rFonts w:ascii="宋体" w:hAnsi="宋体" w:eastAsia="宋体" w:cs="宋体"/>
          <w:b/>
          <w:color w:val="auto"/>
          <w:sz w:val="28"/>
          <w:szCs w:val="28"/>
          <w:bdr w:val="single" w:color="000000" w:sz="4" w:space="0"/>
        </w:rPr>
      </w:pPr>
      <w:r>
        <w:rPr>
          <w:rFonts w:hint="eastAsia" w:ascii="宋体" w:hAnsi="宋体" w:eastAsia="宋体" w:cs="宋体"/>
          <w:b/>
          <w:color w:val="auto"/>
          <w:sz w:val="28"/>
          <w:szCs w:val="28"/>
        </w:rPr>
        <w:t>三、商务标格式文件</w:t>
      </w:r>
    </w:p>
    <w:p w14:paraId="38F2D5D3">
      <w:pPr>
        <w:jc w:val="center"/>
        <w:rPr>
          <w:rFonts w:ascii="宋体" w:hAnsi="宋体" w:eastAsia="宋体" w:cs="宋体"/>
          <w:color w:val="auto"/>
          <w:sz w:val="20"/>
        </w:rPr>
      </w:pPr>
    </w:p>
    <w:p w14:paraId="799E5E50">
      <w:pPr>
        <w:rPr>
          <w:rFonts w:ascii="宋体" w:hAnsi="宋体" w:eastAsia="宋体" w:cs="宋体"/>
          <w:color w:val="auto"/>
          <w:sz w:val="20"/>
        </w:rPr>
      </w:pPr>
    </w:p>
    <w:p w14:paraId="00B88F06">
      <w:pPr>
        <w:jc w:val="center"/>
        <w:rPr>
          <w:rFonts w:ascii="宋体" w:hAnsi="宋体" w:eastAsia="宋体" w:cs="宋体"/>
          <w:b/>
          <w:color w:val="auto"/>
          <w:sz w:val="44"/>
          <w:szCs w:val="44"/>
        </w:rPr>
      </w:pPr>
      <w:r>
        <w:rPr>
          <w:rFonts w:hint="eastAsia" w:ascii="宋体" w:hAnsi="宋体" w:eastAsia="宋体" w:cs="宋体"/>
          <w:b/>
          <w:color w:val="auto"/>
          <w:sz w:val="44"/>
          <w:szCs w:val="44"/>
        </w:rPr>
        <w:t>商务标</w:t>
      </w:r>
    </w:p>
    <w:p w14:paraId="6C86B46B">
      <w:pPr>
        <w:jc w:val="center"/>
        <w:rPr>
          <w:rFonts w:ascii="宋体" w:hAnsi="宋体" w:eastAsia="宋体" w:cs="宋体"/>
          <w:color w:val="auto"/>
          <w:sz w:val="32"/>
          <w:szCs w:val="32"/>
        </w:rPr>
      </w:pPr>
      <w:r>
        <w:rPr>
          <w:rFonts w:hint="eastAsia" w:ascii="宋体" w:hAnsi="宋体" w:eastAsia="宋体" w:cs="宋体"/>
          <w:color w:val="auto"/>
          <w:sz w:val="32"/>
          <w:szCs w:val="32"/>
        </w:rPr>
        <w:t>（投标文件三）</w:t>
      </w:r>
    </w:p>
    <w:p w14:paraId="6170E28C">
      <w:pPr>
        <w:jc w:val="center"/>
        <w:rPr>
          <w:rFonts w:ascii="宋体" w:hAnsi="宋体" w:eastAsia="宋体" w:cs="宋体"/>
          <w:color w:val="auto"/>
          <w:sz w:val="44"/>
          <w:szCs w:val="44"/>
        </w:rPr>
      </w:pPr>
    </w:p>
    <w:p w14:paraId="48975211">
      <w:pPr>
        <w:jc w:val="center"/>
        <w:rPr>
          <w:rFonts w:ascii="宋体" w:hAnsi="宋体" w:eastAsia="宋体" w:cs="宋体"/>
          <w:color w:val="auto"/>
          <w:sz w:val="32"/>
          <w:szCs w:val="32"/>
        </w:rPr>
      </w:pP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项目</w:t>
      </w:r>
    </w:p>
    <w:p w14:paraId="4277EA32">
      <w:pPr>
        <w:rPr>
          <w:rFonts w:ascii="宋体" w:hAnsi="宋体" w:eastAsia="宋体" w:cs="宋体"/>
          <w:color w:val="auto"/>
          <w:sz w:val="28"/>
          <w:szCs w:val="28"/>
        </w:rPr>
      </w:pPr>
    </w:p>
    <w:p w14:paraId="08FB9A82">
      <w:pPr>
        <w:rPr>
          <w:rFonts w:ascii="宋体" w:hAnsi="宋体" w:eastAsia="宋体" w:cs="宋体"/>
          <w:color w:val="auto"/>
          <w:sz w:val="28"/>
          <w:szCs w:val="28"/>
        </w:rPr>
      </w:pPr>
    </w:p>
    <w:p w14:paraId="531CB77A">
      <w:pPr>
        <w:rPr>
          <w:rFonts w:ascii="宋体" w:hAnsi="宋体" w:eastAsia="宋体" w:cs="宋体"/>
          <w:color w:val="auto"/>
          <w:sz w:val="28"/>
          <w:szCs w:val="28"/>
        </w:rPr>
      </w:pPr>
    </w:p>
    <w:p w14:paraId="6BA1BC77">
      <w:pPr>
        <w:rPr>
          <w:rFonts w:ascii="宋体" w:hAnsi="宋体" w:eastAsia="宋体" w:cs="宋体"/>
          <w:color w:val="auto"/>
          <w:sz w:val="28"/>
          <w:szCs w:val="28"/>
        </w:rPr>
      </w:pPr>
    </w:p>
    <w:p w14:paraId="2F848359">
      <w:pPr>
        <w:rPr>
          <w:rFonts w:ascii="宋体" w:hAnsi="宋体" w:eastAsia="宋体" w:cs="宋体"/>
          <w:color w:val="auto"/>
          <w:sz w:val="28"/>
          <w:szCs w:val="28"/>
        </w:rPr>
      </w:pPr>
    </w:p>
    <w:p w14:paraId="68F5BDA0">
      <w:pPr>
        <w:rPr>
          <w:rFonts w:ascii="宋体" w:hAnsi="宋体" w:eastAsia="宋体" w:cs="宋体"/>
          <w:color w:val="auto"/>
          <w:sz w:val="28"/>
          <w:szCs w:val="28"/>
        </w:rPr>
      </w:pPr>
    </w:p>
    <w:p w14:paraId="6D7CAFC4">
      <w:pPr>
        <w:rPr>
          <w:rFonts w:ascii="宋体" w:hAnsi="宋体" w:eastAsia="宋体" w:cs="宋体"/>
          <w:color w:val="auto"/>
          <w:sz w:val="28"/>
          <w:szCs w:val="28"/>
        </w:rPr>
      </w:pPr>
    </w:p>
    <w:p w14:paraId="3634E7EC">
      <w:pPr>
        <w:jc w:val="center"/>
        <w:rPr>
          <w:rFonts w:ascii="宋体" w:hAnsi="宋体" w:eastAsia="宋体" w:cs="宋体"/>
          <w:color w:val="auto"/>
          <w:sz w:val="28"/>
          <w:szCs w:val="28"/>
          <w:u w:val="single"/>
        </w:rPr>
      </w:pPr>
      <w:r>
        <w:rPr>
          <w:rFonts w:hint="eastAsia" w:ascii="宋体" w:hAnsi="宋体" w:eastAsia="宋体" w:cs="宋体"/>
          <w:color w:val="auto"/>
          <w:sz w:val="28"/>
          <w:szCs w:val="28"/>
        </w:rPr>
        <w:t>投标人：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（盖章）</w:t>
      </w:r>
    </w:p>
    <w:p w14:paraId="30892EC0">
      <w:pPr>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法定代表人：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p>
    <w:p w14:paraId="11969470">
      <w:pPr>
        <w:jc w:val="center"/>
        <w:rPr>
          <w:rFonts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p>
    <w:p w14:paraId="17C489AF">
      <w:pPr>
        <w:spacing w:line="720" w:lineRule="auto"/>
        <w:jc w:val="center"/>
        <w:rPr>
          <w:rFonts w:ascii="宋体" w:hAnsi="宋体" w:eastAsia="宋体" w:cs="宋体"/>
          <w:b/>
          <w:color w:val="auto"/>
          <w:sz w:val="36"/>
          <w:szCs w:val="36"/>
        </w:rPr>
      </w:pPr>
    </w:p>
    <w:p w14:paraId="1F0DBCF3">
      <w:pPr>
        <w:spacing w:line="400" w:lineRule="exact"/>
        <w:ind w:firstLine="4130" w:firstLineChars="935"/>
        <w:rPr>
          <w:rFonts w:ascii="宋体" w:hAnsi="宋体" w:eastAsia="宋体" w:cs="宋体"/>
          <w:b/>
          <w:color w:val="auto"/>
          <w:sz w:val="44"/>
          <w:szCs w:val="44"/>
        </w:rPr>
      </w:pPr>
    </w:p>
    <w:p w14:paraId="23443FDC">
      <w:pPr>
        <w:spacing w:line="400" w:lineRule="exact"/>
        <w:ind w:firstLine="4130" w:firstLineChars="935"/>
        <w:rPr>
          <w:rFonts w:ascii="宋体" w:hAnsi="宋体" w:eastAsia="宋体" w:cs="宋体"/>
          <w:b/>
          <w:color w:val="auto"/>
          <w:sz w:val="44"/>
          <w:szCs w:val="44"/>
        </w:rPr>
      </w:pPr>
    </w:p>
    <w:p w14:paraId="397963CF">
      <w:pPr>
        <w:pageBreakBefore/>
        <w:jc w:val="center"/>
        <w:rPr>
          <w:rFonts w:ascii="宋体" w:hAnsi="宋体" w:eastAsia="宋体" w:cs="宋体"/>
          <w:b/>
          <w:color w:val="auto"/>
          <w:sz w:val="44"/>
          <w:szCs w:val="44"/>
        </w:rPr>
      </w:pPr>
      <w:r>
        <w:rPr>
          <w:rFonts w:hint="eastAsia" w:ascii="宋体" w:hAnsi="宋体" w:eastAsia="宋体" w:cs="宋体"/>
          <w:b/>
          <w:color w:val="auto"/>
          <w:sz w:val="36"/>
          <w:szCs w:val="36"/>
        </w:rPr>
        <w:t>目   录</w:t>
      </w:r>
    </w:p>
    <w:p w14:paraId="5092E015">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（1）开标一览表（格式见附件）；</w:t>
      </w:r>
    </w:p>
    <w:p w14:paraId="49E4BC9C">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（2）投标函（格式见附件）；</w:t>
      </w:r>
    </w:p>
    <w:p w14:paraId="1298C196">
      <w:pPr>
        <w:spacing w:line="44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4）分项报价清单（格式见附件）；</w:t>
      </w:r>
    </w:p>
    <w:p w14:paraId="02AFB22C">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）招标文件商务评审中要求提供的其他相关资料；</w:t>
      </w:r>
    </w:p>
    <w:p w14:paraId="6FABDFC8">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）投标人认为需要提供的其他材料。</w:t>
      </w:r>
    </w:p>
    <w:p w14:paraId="4B9D6F27">
      <w:pPr>
        <w:spacing w:line="440" w:lineRule="exact"/>
        <w:rPr>
          <w:rFonts w:ascii="宋体" w:hAnsi="宋体" w:eastAsia="宋体" w:cs="宋体"/>
          <w:color w:val="auto"/>
          <w:sz w:val="24"/>
          <w:szCs w:val="24"/>
        </w:rPr>
      </w:pPr>
    </w:p>
    <w:p w14:paraId="6D0FDFE4">
      <w:pPr>
        <w:pageBreakBefore/>
        <w:spacing w:line="440" w:lineRule="exact"/>
        <w:jc w:val="center"/>
        <w:outlineLvl w:val="1"/>
        <w:rPr>
          <w:rFonts w:ascii="宋体" w:hAnsi="宋体" w:eastAsia="宋体" w:cs="宋体"/>
          <w:b/>
          <w:color w:val="auto"/>
          <w:sz w:val="24"/>
        </w:rPr>
      </w:pPr>
      <w:r>
        <w:rPr>
          <w:rFonts w:hint="eastAsia" w:ascii="宋体" w:hAnsi="宋体" w:eastAsia="宋体" w:cs="宋体"/>
          <w:b/>
          <w:color w:val="auto"/>
          <w:sz w:val="24"/>
        </w:rPr>
        <w:t>（1）开标一览表</w:t>
      </w:r>
      <w:bookmarkEnd w:id="211"/>
      <w:bookmarkEnd w:id="212"/>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26E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6A637722">
            <w:pPr>
              <w:widowControl/>
              <w:spacing w:line="440" w:lineRule="exact"/>
              <w:jc w:val="center"/>
              <w:rPr>
                <w:rFonts w:ascii="宋体" w:hAnsi="宋体" w:eastAsia="宋体" w:cs="宋体"/>
                <w:b/>
                <w:color w:val="auto"/>
                <w:sz w:val="24"/>
              </w:rPr>
            </w:pPr>
            <w:r>
              <w:rPr>
                <w:rFonts w:hint="eastAsia" w:ascii="宋体" w:hAnsi="宋体" w:eastAsia="宋体" w:cs="宋体"/>
                <w:b/>
                <w:color w:val="auto"/>
                <w:sz w:val="24"/>
              </w:rPr>
              <w:t>项目名称</w:t>
            </w:r>
          </w:p>
        </w:tc>
        <w:tc>
          <w:tcPr>
            <w:tcW w:w="3648" w:type="pct"/>
            <w:tcBorders>
              <w:top w:val="single" w:color="auto" w:sz="4" w:space="0"/>
              <w:bottom w:val="single" w:color="auto" w:sz="4" w:space="0"/>
              <w:right w:val="single" w:color="auto" w:sz="4" w:space="0"/>
            </w:tcBorders>
            <w:vAlign w:val="center"/>
          </w:tcPr>
          <w:p w14:paraId="253353E0">
            <w:pPr>
              <w:spacing w:line="440" w:lineRule="exact"/>
              <w:jc w:val="center"/>
              <w:rPr>
                <w:rFonts w:ascii="宋体" w:hAnsi="宋体" w:eastAsia="宋体" w:cs="宋体"/>
                <w:bCs/>
                <w:color w:val="auto"/>
                <w:sz w:val="24"/>
                <w:u w:val="single"/>
              </w:rPr>
            </w:pPr>
          </w:p>
        </w:tc>
      </w:tr>
      <w:tr w14:paraId="2C15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F9AC502">
            <w:pPr>
              <w:spacing w:line="440" w:lineRule="exact"/>
              <w:jc w:val="center"/>
              <w:rPr>
                <w:rFonts w:ascii="宋体" w:hAnsi="宋体" w:eastAsia="宋体" w:cs="宋体"/>
                <w:b/>
                <w:color w:val="auto"/>
                <w:sz w:val="24"/>
              </w:rPr>
            </w:pPr>
            <w:r>
              <w:rPr>
                <w:rFonts w:hint="eastAsia" w:ascii="宋体" w:hAnsi="宋体" w:eastAsia="宋体" w:cs="宋体"/>
                <w:b/>
                <w:color w:val="auto"/>
                <w:sz w:val="24"/>
              </w:rPr>
              <w:t>投标人全称</w:t>
            </w:r>
          </w:p>
        </w:tc>
        <w:tc>
          <w:tcPr>
            <w:tcW w:w="3648" w:type="pct"/>
            <w:tcBorders>
              <w:top w:val="nil"/>
            </w:tcBorders>
            <w:vAlign w:val="center"/>
          </w:tcPr>
          <w:p w14:paraId="4D4525E5">
            <w:pPr>
              <w:spacing w:line="440" w:lineRule="exact"/>
              <w:rPr>
                <w:rFonts w:ascii="宋体" w:hAnsi="宋体" w:eastAsia="宋体" w:cs="宋体"/>
                <w:color w:val="auto"/>
                <w:sz w:val="24"/>
              </w:rPr>
            </w:pPr>
          </w:p>
        </w:tc>
      </w:tr>
      <w:tr w14:paraId="2EBB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37D341C">
            <w:pPr>
              <w:spacing w:line="440" w:lineRule="exact"/>
              <w:jc w:val="center"/>
              <w:rPr>
                <w:rFonts w:ascii="宋体" w:hAnsi="宋体" w:eastAsia="宋体" w:cs="宋体"/>
                <w:b/>
                <w:color w:val="auto"/>
                <w:sz w:val="24"/>
              </w:rPr>
            </w:pPr>
            <w:r>
              <w:rPr>
                <w:rFonts w:hint="eastAsia" w:ascii="宋体" w:hAnsi="宋体" w:eastAsia="宋体" w:cs="宋体"/>
                <w:b/>
                <w:color w:val="auto"/>
                <w:sz w:val="24"/>
              </w:rPr>
              <w:t>投标范围</w:t>
            </w:r>
          </w:p>
        </w:tc>
        <w:tc>
          <w:tcPr>
            <w:tcW w:w="3648" w:type="pct"/>
            <w:tcBorders>
              <w:top w:val="nil"/>
            </w:tcBorders>
            <w:vAlign w:val="center"/>
          </w:tcPr>
          <w:p w14:paraId="4A5607A0">
            <w:pPr>
              <w:widowControl/>
              <w:spacing w:line="440" w:lineRule="exact"/>
              <w:rPr>
                <w:rFonts w:ascii="宋体" w:hAnsi="宋体" w:eastAsia="宋体" w:cs="宋体"/>
                <w:color w:val="auto"/>
                <w:sz w:val="24"/>
              </w:rPr>
            </w:pPr>
            <w:r>
              <w:rPr>
                <w:rFonts w:hint="eastAsia" w:ascii="宋体" w:hAnsi="宋体" w:eastAsia="宋体" w:cs="宋体"/>
                <w:color w:val="auto"/>
                <w:sz w:val="24"/>
                <w:szCs w:val="28"/>
              </w:rPr>
              <w:t>全部</w:t>
            </w:r>
          </w:p>
        </w:tc>
      </w:tr>
      <w:tr w14:paraId="6178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131214">
            <w:pPr>
              <w:spacing w:line="440" w:lineRule="exact"/>
              <w:jc w:val="center"/>
              <w:rPr>
                <w:rFonts w:ascii="宋体" w:hAnsi="宋体" w:eastAsia="宋体" w:cs="宋体"/>
                <w:b/>
                <w:color w:val="auto"/>
                <w:sz w:val="24"/>
              </w:rPr>
            </w:pPr>
            <w:r>
              <w:rPr>
                <w:rFonts w:hint="eastAsia" w:ascii="宋体" w:hAnsi="宋体" w:eastAsia="宋体" w:cs="宋体"/>
                <w:b/>
                <w:color w:val="auto"/>
                <w:sz w:val="24"/>
              </w:rPr>
              <w:t>投标报价</w:t>
            </w:r>
          </w:p>
        </w:tc>
        <w:tc>
          <w:tcPr>
            <w:tcW w:w="3648" w:type="pct"/>
            <w:tcBorders>
              <w:top w:val="nil"/>
            </w:tcBorders>
            <w:vAlign w:val="center"/>
          </w:tcPr>
          <w:p w14:paraId="7AF93F49">
            <w:pPr>
              <w:snapToGrid w:val="0"/>
              <w:spacing w:line="440" w:lineRule="exact"/>
              <w:jc w:val="left"/>
              <w:rPr>
                <w:rFonts w:ascii="宋体" w:hAnsi="宋体" w:eastAsia="宋体" w:cs="宋体"/>
                <w:bCs/>
                <w:color w:val="auto"/>
                <w:sz w:val="24"/>
                <w:szCs w:val="24"/>
                <w:u w:val="single"/>
              </w:rPr>
            </w:pPr>
            <w:r>
              <w:rPr>
                <w:rFonts w:hint="eastAsia" w:ascii="宋体" w:hAnsi="宋体" w:eastAsia="宋体" w:cs="宋体"/>
                <w:bCs/>
                <w:color w:val="auto"/>
                <w:sz w:val="24"/>
                <w:szCs w:val="24"/>
              </w:rPr>
              <w:t>大写：</w:t>
            </w:r>
            <w:r>
              <w:rPr>
                <w:rFonts w:hint="eastAsia" w:ascii="宋体" w:hAnsi="宋体" w:eastAsia="宋体" w:cs="宋体"/>
                <w:bCs/>
                <w:color w:val="auto"/>
                <w:sz w:val="24"/>
                <w:szCs w:val="24"/>
                <w:u w:val="single"/>
              </w:rPr>
              <w:t xml:space="preserve">                        </w:t>
            </w:r>
          </w:p>
          <w:p w14:paraId="1A3E9147">
            <w:pPr>
              <w:spacing w:line="440" w:lineRule="exact"/>
              <w:ind w:right="-670"/>
              <w:rPr>
                <w:rFonts w:ascii="宋体" w:hAnsi="宋体" w:eastAsia="宋体" w:cs="宋体"/>
                <w:color w:val="auto"/>
                <w:sz w:val="24"/>
              </w:rPr>
            </w:pPr>
            <w:r>
              <w:rPr>
                <w:rFonts w:hint="eastAsia" w:ascii="宋体" w:hAnsi="宋体" w:eastAsia="宋体" w:cs="宋体"/>
                <w:bCs/>
                <w:color w:val="auto"/>
                <w:sz w:val="24"/>
                <w:szCs w:val="24"/>
              </w:rPr>
              <w:t>小写：</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u w:val="single"/>
                <w:lang w:val="en-US" w:eastAsia="zh-CN"/>
              </w:rPr>
              <w:t xml:space="preserve"> </w:t>
            </w:r>
            <w:r>
              <w:rPr>
                <w:rFonts w:hint="eastAsia" w:ascii="宋体" w:hAnsi="宋体" w:eastAsia="宋体" w:cs="宋体"/>
                <w:bCs/>
                <w:color w:val="auto"/>
                <w:sz w:val="24"/>
                <w:szCs w:val="24"/>
                <w:u w:val="single"/>
              </w:rPr>
              <w:t xml:space="preserve">          </w:t>
            </w:r>
          </w:p>
        </w:tc>
      </w:tr>
      <w:tr w14:paraId="6A1E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78D4B990">
            <w:pPr>
              <w:spacing w:line="440" w:lineRule="exact"/>
              <w:jc w:val="center"/>
              <w:rPr>
                <w:rFonts w:ascii="宋体" w:hAnsi="宋体" w:eastAsia="宋体" w:cs="宋体"/>
                <w:b/>
                <w:color w:val="auto"/>
                <w:sz w:val="24"/>
              </w:rPr>
            </w:pPr>
            <w:r>
              <w:rPr>
                <w:rFonts w:hint="eastAsia" w:ascii="宋体" w:hAnsi="宋体" w:eastAsia="宋体" w:cs="宋体"/>
                <w:b/>
                <w:color w:val="auto"/>
                <w:sz w:val="24"/>
              </w:rPr>
              <w:t>其他</w:t>
            </w:r>
          </w:p>
        </w:tc>
        <w:tc>
          <w:tcPr>
            <w:tcW w:w="3648" w:type="pct"/>
            <w:tcBorders>
              <w:top w:val="nil"/>
            </w:tcBorders>
            <w:vAlign w:val="center"/>
          </w:tcPr>
          <w:p w14:paraId="6CA36C68">
            <w:pPr>
              <w:spacing w:line="440" w:lineRule="exact"/>
              <w:jc w:val="left"/>
              <w:rPr>
                <w:rFonts w:ascii="宋体" w:hAnsi="宋体" w:eastAsia="宋体" w:cs="宋体"/>
                <w:color w:val="auto"/>
                <w:sz w:val="24"/>
                <w:szCs w:val="28"/>
              </w:rPr>
            </w:pPr>
          </w:p>
        </w:tc>
      </w:tr>
    </w:tbl>
    <w:p w14:paraId="794F1CF5">
      <w:pPr>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p>
    <w:p w14:paraId="58290AB5">
      <w:pPr>
        <w:tabs>
          <w:tab w:val="left" w:pos="630"/>
        </w:tabs>
        <w:spacing w:line="440" w:lineRule="exact"/>
        <w:ind w:firstLine="4800" w:firstLineChars="2000"/>
        <w:rPr>
          <w:rFonts w:ascii="宋体" w:hAnsi="宋体" w:eastAsia="宋体" w:cs="宋体"/>
          <w:color w:val="auto"/>
          <w:sz w:val="24"/>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655F2B66">
      <w:pPr>
        <w:spacing w:line="440" w:lineRule="exact"/>
        <w:rPr>
          <w:rFonts w:ascii="宋体" w:hAnsi="宋体" w:eastAsia="宋体" w:cs="宋体"/>
          <w:b/>
          <w:color w:val="auto"/>
          <w:sz w:val="24"/>
        </w:rPr>
      </w:pPr>
      <w:r>
        <w:rPr>
          <w:rFonts w:hint="eastAsia" w:ascii="宋体" w:hAnsi="宋体" w:eastAsia="宋体" w:cs="宋体"/>
          <w:b/>
          <w:color w:val="auto"/>
          <w:sz w:val="24"/>
        </w:rPr>
        <w:t>注：</w:t>
      </w:r>
    </w:p>
    <w:p w14:paraId="4AC9C344">
      <w:pPr>
        <w:spacing w:line="440" w:lineRule="exact"/>
        <w:ind w:firstLine="435"/>
        <w:rPr>
          <w:rFonts w:ascii="宋体" w:hAnsi="宋体" w:eastAsia="宋体" w:cs="宋体"/>
          <w:color w:val="auto"/>
          <w:sz w:val="24"/>
        </w:rPr>
      </w:pPr>
      <w:r>
        <w:rPr>
          <w:rFonts w:hint="eastAsia" w:ascii="宋体" w:hAnsi="宋体" w:eastAsia="宋体" w:cs="宋体"/>
          <w:color w:val="auto"/>
          <w:sz w:val="24"/>
        </w:rPr>
        <w:t>1.此表用于开标唱标之用。</w:t>
      </w:r>
    </w:p>
    <w:p w14:paraId="1FB3D71A">
      <w:pPr>
        <w:spacing w:line="440" w:lineRule="exact"/>
        <w:ind w:firstLine="435"/>
        <w:rPr>
          <w:rFonts w:ascii="宋体" w:hAnsi="宋体" w:eastAsia="宋体" w:cs="宋体"/>
          <w:color w:val="auto"/>
          <w:sz w:val="24"/>
        </w:rPr>
      </w:pPr>
      <w:r>
        <w:rPr>
          <w:rFonts w:hint="eastAsia" w:ascii="宋体" w:hAnsi="宋体" w:eastAsia="宋体" w:cs="宋体"/>
          <w:color w:val="auto"/>
          <w:sz w:val="24"/>
        </w:rPr>
        <w:t>2.表中投标报价即为优惠后报价，并作为评审及定标依据。任何有选择或有条件的投标报价，或者表中某一包别填写多个报价，均为无效报价。</w:t>
      </w:r>
    </w:p>
    <w:p w14:paraId="7F465432">
      <w:pPr>
        <w:spacing w:line="440" w:lineRule="exact"/>
        <w:ind w:firstLine="435"/>
        <w:rPr>
          <w:rFonts w:ascii="宋体" w:hAnsi="宋体" w:eastAsia="宋体" w:cs="宋体"/>
          <w:color w:val="auto"/>
          <w:sz w:val="24"/>
        </w:rPr>
      </w:pPr>
      <w:r>
        <w:rPr>
          <w:rFonts w:hint="eastAsia" w:ascii="宋体" w:hAnsi="宋体" w:eastAsia="宋体" w:cs="宋体"/>
          <w:color w:val="auto"/>
          <w:sz w:val="24"/>
        </w:rPr>
        <w:t>3.表中大写金额与小写金额不一致的，以大写金额为准。</w:t>
      </w:r>
      <w:r>
        <w:rPr>
          <w:rFonts w:hint="eastAsia" w:ascii="宋体" w:hAnsi="宋体" w:eastAsia="宋体" w:cs="宋体"/>
          <w:color w:val="auto"/>
          <w:sz w:val="24"/>
        </w:rPr>
        <w:br w:type="page"/>
      </w:r>
    </w:p>
    <w:p w14:paraId="4EA33781">
      <w:pPr>
        <w:spacing w:line="440" w:lineRule="exact"/>
        <w:jc w:val="center"/>
        <w:outlineLvl w:val="1"/>
        <w:rPr>
          <w:rFonts w:ascii="宋体" w:hAnsi="宋体" w:eastAsia="宋体" w:cs="宋体"/>
          <w:b/>
          <w:color w:val="auto"/>
          <w:sz w:val="24"/>
        </w:rPr>
      </w:pPr>
      <w:bookmarkStart w:id="223" w:name="_Toc6441"/>
      <w:bookmarkStart w:id="224" w:name="_Toc6120"/>
      <w:r>
        <w:rPr>
          <w:rFonts w:hint="eastAsia" w:ascii="宋体" w:hAnsi="宋体" w:eastAsia="宋体" w:cs="宋体"/>
          <w:b/>
          <w:color w:val="auto"/>
          <w:sz w:val="24"/>
        </w:rPr>
        <w:t>（2）投标函</w:t>
      </w:r>
      <w:bookmarkEnd w:id="223"/>
      <w:bookmarkEnd w:id="224"/>
    </w:p>
    <w:p w14:paraId="3555A2B3">
      <w:pPr>
        <w:pStyle w:val="14"/>
        <w:spacing w:line="440" w:lineRule="exact"/>
        <w:rPr>
          <w:rFonts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采购人</w:t>
      </w:r>
    </w:p>
    <w:p w14:paraId="6BE0DA13">
      <w:pPr>
        <w:spacing w:line="440" w:lineRule="exact"/>
        <w:ind w:firstLine="435"/>
        <w:rPr>
          <w:rFonts w:ascii="宋体" w:hAnsi="宋体" w:eastAsia="宋体" w:cs="宋体"/>
          <w:color w:val="auto"/>
          <w:sz w:val="24"/>
        </w:rPr>
      </w:pPr>
      <w:r>
        <w:rPr>
          <w:rFonts w:hint="eastAsia" w:ascii="宋体" w:hAnsi="宋体" w:eastAsia="宋体" w:cs="宋体"/>
          <w:color w:val="auto"/>
          <w:sz w:val="24"/>
        </w:rPr>
        <w:t>根据贵方的招标公告和投标邀请，我方兹宣布同意如下：</w:t>
      </w:r>
    </w:p>
    <w:p w14:paraId="3DA2B95D">
      <w:pPr>
        <w:spacing w:line="440" w:lineRule="exact"/>
        <w:ind w:firstLine="435"/>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szCs w:val="24"/>
        </w:rPr>
        <w:t>我方根据招标文件的规定，严格履行合同的责任和义务,并保证于买方要求的日期内完成，并通过买方验收。</w:t>
      </w:r>
    </w:p>
    <w:p w14:paraId="08CAE3FB">
      <w:pPr>
        <w:spacing w:line="440" w:lineRule="exact"/>
        <w:ind w:firstLine="435"/>
        <w:rPr>
          <w:rFonts w:ascii="宋体" w:hAnsi="宋体" w:eastAsia="宋体" w:cs="宋体"/>
          <w:color w:val="auto"/>
          <w:sz w:val="24"/>
        </w:rPr>
      </w:pPr>
      <w:r>
        <w:rPr>
          <w:rFonts w:hint="eastAsia" w:ascii="宋体" w:hAnsi="宋体" w:eastAsia="宋体" w:cs="宋体"/>
          <w:color w:val="auto"/>
          <w:sz w:val="24"/>
        </w:rPr>
        <w:t>2.我方已详细审核全部招标文件，包括招标文件附件及更正公告（如有），我方正式认可并遵守本次招标文件，并对招标文件各项条款、规定及要求均无异议。</w:t>
      </w:r>
    </w:p>
    <w:p w14:paraId="14696C75">
      <w:pPr>
        <w:spacing w:line="440" w:lineRule="exact"/>
        <w:ind w:firstLine="435"/>
        <w:rPr>
          <w:rFonts w:ascii="宋体" w:hAnsi="宋体" w:eastAsia="宋体" w:cs="宋体"/>
          <w:color w:val="auto"/>
          <w:sz w:val="24"/>
        </w:rPr>
      </w:pPr>
      <w:r>
        <w:rPr>
          <w:rFonts w:hint="eastAsia" w:ascii="宋体" w:hAnsi="宋体" w:eastAsia="宋体" w:cs="宋体"/>
          <w:color w:val="auto"/>
          <w:sz w:val="24"/>
        </w:rPr>
        <w:t>3.我方同意从招标文件规定的开标日期起遵循本招标文件，并在招标文件规定的投标有效期之前均具有约束力。</w:t>
      </w:r>
    </w:p>
    <w:p w14:paraId="7D387D78">
      <w:pPr>
        <w:spacing w:line="440" w:lineRule="exact"/>
        <w:ind w:firstLine="435"/>
        <w:rPr>
          <w:rFonts w:ascii="宋体" w:hAnsi="宋体" w:eastAsia="宋体" w:cs="宋体"/>
          <w:color w:val="auto"/>
          <w:sz w:val="24"/>
        </w:rPr>
      </w:pPr>
      <w:r>
        <w:rPr>
          <w:rFonts w:hint="eastAsia" w:ascii="宋体" w:hAnsi="宋体" w:eastAsia="宋体" w:cs="宋体"/>
          <w:color w:val="auto"/>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4D3588A5">
      <w:pPr>
        <w:spacing w:line="440" w:lineRule="exact"/>
        <w:ind w:firstLine="4800" w:firstLineChars="2000"/>
        <w:rPr>
          <w:rFonts w:ascii="宋体" w:hAnsi="宋体" w:eastAsia="宋体" w:cs="宋体"/>
          <w:color w:val="auto"/>
          <w:sz w:val="24"/>
        </w:rPr>
      </w:pPr>
    </w:p>
    <w:p w14:paraId="23ECCC5F">
      <w:pPr>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投标人盖章：</w:t>
      </w:r>
      <w:r>
        <w:rPr>
          <w:rFonts w:hint="eastAsia" w:ascii="宋体" w:hAnsi="宋体" w:eastAsia="宋体" w:cs="宋体"/>
          <w:color w:val="auto"/>
          <w:sz w:val="24"/>
          <w:u w:val="single"/>
        </w:rPr>
        <w:t xml:space="preserve">             </w:t>
      </w:r>
    </w:p>
    <w:p w14:paraId="50A9AD3E">
      <w:pPr>
        <w:spacing w:line="440" w:lineRule="exact"/>
        <w:ind w:firstLine="4800" w:firstLineChars="2000"/>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785FEB12">
      <w:pPr>
        <w:rPr>
          <w:rFonts w:hint="eastAsia" w:ascii="宋体" w:hAnsi="宋体" w:eastAsia="宋体" w:cs="宋体"/>
          <w:color w:val="auto"/>
          <w:sz w:val="24"/>
          <w:u w:val="single"/>
        </w:rPr>
      </w:pPr>
      <w:r>
        <w:rPr>
          <w:rFonts w:hint="eastAsia" w:ascii="宋体" w:hAnsi="宋体" w:eastAsia="宋体" w:cs="宋体"/>
          <w:color w:val="auto"/>
          <w:sz w:val="24"/>
          <w:u w:val="single"/>
        </w:rPr>
        <w:br w:type="page"/>
      </w:r>
      <w:bookmarkStart w:id="225" w:name="_Toc20819"/>
      <w:bookmarkStart w:id="226" w:name="_Toc6435"/>
    </w:p>
    <w:p w14:paraId="470B6931">
      <w:pPr>
        <w:spacing w:line="440" w:lineRule="exact"/>
        <w:jc w:val="center"/>
        <w:outlineLvl w:val="1"/>
        <w:rPr>
          <w:rFonts w:hint="eastAsia"/>
          <w:color w:val="auto"/>
        </w:rPr>
      </w:pPr>
      <w:r>
        <w:rPr>
          <w:rFonts w:hint="eastAsia" w:ascii="宋体" w:hAnsi="宋体" w:eastAsia="宋体" w:cs="宋体"/>
          <w:b/>
          <w:color w:val="auto"/>
          <w:sz w:val="24"/>
        </w:rPr>
        <w:t>（</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r>
        <w:rPr>
          <w:rFonts w:hint="eastAsia" w:ascii="宋体" w:hAnsi="宋体" w:eastAsia="宋体" w:cs="宋体"/>
          <w:b/>
          <w:color w:val="auto"/>
          <w:sz w:val="24"/>
          <w:lang w:val="en-US" w:eastAsia="zh-CN"/>
        </w:rPr>
        <w:t>分项报价清单</w:t>
      </w:r>
    </w:p>
    <w:tbl>
      <w:tblPr>
        <w:tblStyle w:val="28"/>
        <w:tblW w:w="61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4105"/>
        <w:gridCol w:w="763"/>
        <w:gridCol w:w="598"/>
        <w:gridCol w:w="1235"/>
        <w:gridCol w:w="2178"/>
        <w:gridCol w:w="820"/>
      </w:tblGrid>
      <w:tr w14:paraId="568F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372" w:type="pct"/>
            <w:noWrap w:val="0"/>
            <w:vAlign w:val="center"/>
          </w:tcPr>
          <w:p w14:paraId="64FFC3A3">
            <w:pPr>
              <w:pStyle w:val="46"/>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1958" w:type="pct"/>
            <w:noWrap w:val="0"/>
            <w:vAlign w:val="center"/>
          </w:tcPr>
          <w:p w14:paraId="3580AB1F">
            <w:pPr>
              <w:jc w:val="center"/>
              <w:rPr>
                <w:rFonts w:ascii="宋体" w:hAnsi="宋体" w:eastAsia="宋体"/>
                <w:b/>
                <w:color w:val="auto"/>
                <w:sz w:val="24"/>
                <w:highlight w:val="none"/>
              </w:rPr>
            </w:pPr>
            <w:r>
              <w:rPr>
                <w:rFonts w:hint="eastAsia" w:ascii="宋体" w:hAnsi="宋体" w:eastAsia="宋体"/>
                <w:b/>
                <w:color w:val="auto"/>
                <w:sz w:val="24"/>
                <w:highlight w:val="none"/>
                <w:lang w:val="en-US" w:eastAsia="zh-CN"/>
              </w:rPr>
              <w:t>服务</w:t>
            </w:r>
            <w:r>
              <w:rPr>
                <w:rFonts w:hint="eastAsia" w:ascii="宋体" w:hAnsi="宋体" w:eastAsia="宋体"/>
                <w:b/>
                <w:color w:val="auto"/>
                <w:sz w:val="24"/>
                <w:highlight w:val="none"/>
              </w:rPr>
              <w:t>名称</w:t>
            </w:r>
          </w:p>
        </w:tc>
        <w:tc>
          <w:tcPr>
            <w:tcW w:w="364" w:type="pct"/>
            <w:noWrap w:val="0"/>
            <w:vAlign w:val="center"/>
          </w:tcPr>
          <w:p w14:paraId="03918D85">
            <w:pPr>
              <w:jc w:val="center"/>
              <w:rPr>
                <w:rFonts w:ascii="宋体" w:hAnsi="宋体" w:eastAsia="宋体"/>
                <w:b/>
                <w:color w:val="auto"/>
                <w:sz w:val="24"/>
                <w:highlight w:val="none"/>
              </w:rPr>
            </w:pPr>
            <w:r>
              <w:rPr>
                <w:rFonts w:hint="eastAsia" w:ascii="宋体" w:hAnsi="宋体" w:eastAsia="宋体"/>
                <w:b/>
                <w:color w:val="auto"/>
                <w:sz w:val="24"/>
                <w:highlight w:val="none"/>
              </w:rPr>
              <w:t>单位</w:t>
            </w:r>
          </w:p>
        </w:tc>
        <w:tc>
          <w:tcPr>
            <w:tcW w:w="285" w:type="pct"/>
            <w:noWrap w:val="0"/>
            <w:vAlign w:val="center"/>
          </w:tcPr>
          <w:p w14:paraId="4448DE3C">
            <w:pPr>
              <w:jc w:val="center"/>
              <w:rPr>
                <w:rFonts w:ascii="宋体" w:hAnsi="宋体" w:eastAsia="宋体"/>
                <w:b/>
                <w:color w:val="auto"/>
                <w:sz w:val="24"/>
                <w:highlight w:val="none"/>
              </w:rPr>
            </w:pPr>
            <w:r>
              <w:rPr>
                <w:rFonts w:hint="eastAsia" w:ascii="宋体" w:hAnsi="宋体" w:eastAsia="宋体"/>
                <w:b/>
                <w:color w:val="auto"/>
                <w:sz w:val="24"/>
                <w:highlight w:val="none"/>
              </w:rPr>
              <w:t>数量</w:t>
            </w:r>
          </w:p>
        </w:tc>
        <w:tc>
          <w:tcPr>
            <w:tcW w:w="589" w:type="pct"/>
            <w:noWrap w:val="0"/>
            <w:vAlign w:val="center"/>
          </w:tcPr>
          <w:p w14:paraId="30ADED9E">
            <w:pPr>
              <w:jc w:val="center"/>
              <w:rPr>
                <w:rFonts w:ascii="宋体" w:hAnsi="宋体" w:eastAsia="宋体"/>
                <w:b/>
                <w:color w:val="auto"/>
                <w:sz w:val="24"/>
                <w:highlight w:val="none"/>
              </w:rPr>
            </w:pPr>
            <w:r>
              <w:rPr>
                <w:rFonts w:hint="eastAsia" w:ascii="宋体" w:hAnsi="宋体" w:eastAsia="宋体"/>
                <w:b/>
                <w:color w:val="auto"/>
                <w:sz w:val="24"/>
                <w:highlight w:val="none"/>
              </w:rPr>
              <w:t>单价</w:t>
            </w:r>
          </w:p>
          <w:p w14:paraId="47F98116">
            <w:pPr>
              <w:jc w:val="center"/>
              <w:rPr>
                <w:rFonts w:ascii="宋体" w:hAnsi="宋体" w:eastAsia="宋体"/>
                <w:b/>
                <w:color w:val="auto"/>
                <w:sz w:val="24"/>
                <w:highlight w:val="none"/>
              </w:rPr>
            </w:pPr>
            <w:r>
              <w:rPr>
                <w:rFonts w:hint="eastAsia" w:ascii="宋体" w:hAnsi="宋体" w:eastAsia="宋体"/>
                <w:b/>
                <w:color w:val="auto"/>
                <w:sz w:val="24"/>
                <w:highlight w:val="none"/>
              </w:rPr>
              <w:t>（元</w:t>
            </w:r>
            <w:r>
              <w:rPr>
                <w:rFonts w:hint="eastAsia" w:ascii="宋体" w:hAnsi="宋体" w:eastAsia="宋体"/>
                <w:b/>
                <w:color w:val="auto"/>
                <w:sz w:val="24"/>
                <w:highlight w:val="none"/>
                <w:lang w:val="en-US" w:eastAsia="zh-CN"/>
              </w:rPr>
              <w:t>/人</w:t>
            </w:r>
            <w:r>
              <w:rPr>
                <w:rFonts w:hint="eastAsia" w:ascii="宋体" w:hAnsi="宋体" w:eastAsia="宋体"/>
                <w:b/>
                <w:color w:val="auto"/>
                <w:sz w:val="24"/>
                <w:highlight w:val="none"/>
              </w:rPr>
              <w:t>）</w:t>
            </w:r>
          </w:p>
        </w:tc>
        <w:tc>
          <w:tcPr>
            <w:tcW w:w="1038" w:type="pct"/>
            <w:noWrap w:val="0"/>
            <w:vAlign w:val="center"/>
          </w:tcPr>
          <w:p w14:paraId="63FB481A">
            <w:pPr>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一年费用</w:t>
            </w:r>
          </w:p>
          <w:p w14:paraId="7BD658DF">
            <w:pPr>
              <w:jc w:val="center"/>
              <w:rPr>
                <w:rFonts w:ascii="宋体" w:hAnsi="宋体" w:eastAsia="宋体"/>
                <w:b/>
                <w:color w:val="auto"/>
                <w:sz w:val="24"/>
                <w:highlight w:val="none"/>
              </w:rPr>
            </w:pPr>
            <w:r>
              <w:rPr>
                <w:rFonts w:hint="eastAsia" w:ascii="宋体" w:hAnsi="宋体" w:eastAsia="宋体"/>
                <w:b/>
                <w:color w:val="auto"/>
                <w:sz w:val="24"/>
                <w:highlight w:val="none"/>
              </w:rPr>
              <w:t>小计（</w:t>
            </w:r>
            <w:r>
              <w:rPr>
                <w:rFonts w:hint="eastAsia" w:ascii="宋体" w:hAnsi="宋体" w:eastAsia="宋体"/>
                <w:b/>
                <w:color w:val="auto"/>
                <w:sz w:val="24"/>
                <w:highlight w:val="none"/>
                <w:lang w:val="en-US" w:eastAsia="zh-CN"/>
              </w:rPr>
              <w:t>单价*数量</w:t>
            </w:r>
            <w:r>
              <w:rPr>
                <w:rFonts w:hint="eastAsia" w:ascii="宋体" w:hAnsi="宋体" w:eastAsia="宋体"/>
                <w:b/>
                <w:color w:val="auto"/>
                <w:sz w:val="24"/>
                <w:highlight w:val="none"/>
              </w:rPr>
              <w:t>）</w:t>
            </w:r>
          </w:p>
        </w:tc>
        <w:tc>
          <w:tcPr>
            <w:tcW w:w="391" w:type="pct"/>
            <w:noWrap w:val="0"/>
            <w:vAlign w:val="center"/>
          </w:tcPr>
          <w:p w14:paraId="54CAB19B">
            <w:pPr>
              <w:jc w:val="center"/>
              <w:rPr>
                <w:rFonts w:ascii="宋体" w:hAnsi="宋体" w:eastAsia="宋体"/>
                <w:b/>
                <w:color w:val="auto"/>
                <w:sz w:val="24"/>
                <w:highlight w:val="none"/>
              </w:rPr>
            </w:pPr>
            <w:r>
              <w:rPr>
                <w:rFonts w:hint="eastAsia" w:ascii="宋体" w:hAnsi="宋体" w:eastAsia="宋体"/>
                <w:b/>
                <w:color w:val="auto"/>
                <w:sz w:val="24"/>
                <w:highlight w:val="none"/>
              </w:rPr>
              <w:t>备注</w:t>
            </w:r>
          </w:p>
        </w:tc>
      </w:tr>
      <w:tr w14:paraId="6960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372" w:type="pct"/>
            <w:tcBorders>
              <w:bottom w:val="single" w:color="auto" w:sz="4" w:space="0"/>
            </w:tcBorders>
            <w:noWrap w:val="0"/>
            <w:vAlign w:val="center"/>
          </w:tcPr>
          <w:p w14:paraId="242AB9EC">
            <w:pPr>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1958" w:type="pct"/>
            <w:noWrap w:val="0"/>
            <w:vAlign w:val="center"/>
          </w:tcPr>
          <w:p w14:paraId="2B079685">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2026年滁州市琅琊区中小学校长专业能力提升培训</w:t>
            </w:r>
          </w:p>
        </w:tc>
        <w:tc>
          <w:tcPr>
            <w:tcW w:w="364" w:type="pct"/>
            <w:noWrap w:val="0"/>
            <w:vAlign w:val="center"/>
          </w:tcPr>
          <w:p w14:paraId="5C350A2E">
            <w:pPr>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人</w:t>
            </w:r>
          </w:p>
        </w:tc>
        <w:tc>
          <w:tcPr>
            <w:tcW w:w="285" w:type="pct"/>
            <w:noWrap w:val="0"/>
            <w:vAlign w:val="center"/>
          </w:tcPr>
          <w:p w14:paraId="0A348196">
            <w:pPr>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40</w:t>
            </w:r>
          </w:p>
        </w:tc>
        <w:tc>
          <w:tcPr>
            <w:tcW w:w="589" w:type="pct"/>
            <w:noWrap w:val="0"/>
            <w:vAlign w:val="center"/>
          </w:tcPr>
          <w:p w14:paraId="00061886">
            <w:pPr>
              <w:jc w:val="center"/>
              <w:rPr>
                <w:rFonts w:ascii="宋体" w:hAnsi="宋体" w:eastAsia="宋体"/>
                <w:color w:val="auto"/>
                <w:sz w:val="24"/>
                <w:highlight w:val="none"/>
              </w:rPr>
            </w:pPr>
          </w:p>
        </w:tc>
        <w:tc>
          <w:tcPr>
            <w:tcW w:w="1038" w:type="pct"/>
            <w:noWrap w:val="0"/>
            <w:vAlign w:val="center"/>
          </w:tcPr>
          <w:p w14:paraId="561CCF94">
            <w:pPr>
              <w:jc w:val="center"/>
              <w:rPr>
                <w:rFonts w:ascii="宋体" w:hAnsi="宋体" w:eastAsia="宋体"/>
                <w:color w:val="auto"/>
                <w:sz w:val="24"/>
                <w:highlight w:val="none"/>
              </w:rPr>
            </w:pPr>
          </w:p>
        </w:tc>
        <w:tc>
          <w:tcPr>
            <w:tcW w:w="391" w:type="pct"/>
            <w:noWrap w:val="0"/>
            <w:vAlign w:val="center"/>
          </w:tcPr>
          <w:p w14:paraId="4DBFF74F">
            <w:pPr>
              <w:jc w:val="center"/>
              <w:rPr>
                <w:rFonts w:hint="default" w:ascii="宋体" w:hAnsi="宋体" w:eastAsia="宋体"/>
                <w:color w:val="auto"/>
                <w:sz w:val="24"/>
                <w:highlight w:val="none"/>
                <w:lang w:val="en-US" w:eastAsia="zh-CN"/>
              </w:rPr>
            </w:pPr>
          </w:p>
        </w:tc>
      </w:tr>
      <w:tr w14:paraId="3850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330" w:type="pct"/>
            <w:gridSpan w:val="2"/>
            <w:noWrap w:val="0"/>
            <w:vAlign w:val="center"/>
          </w:tcPr>
          <w:p w14:paraId="3656526D">
            <w:pPr>
              <w:pStyle w:val="54"/>
              <w:jc w:val="center"/>
              <w:rPr>
                <w:rFonts w:ascii="宋体" w:hAnsi="宋体"/>
                <w:color w:val="auto"/>
                <w:highlight w:val="none"/>
              </w:rPr>
            </w:pPr>
            <w:r>
              <w:rPr>
                <w:rFonts w:hint="eastAsia" w:ascii="宋体" w:hAnsi="宋体"/>
                <w:b/>
                <w:bCs/>
                <w:color w:val="auto"/>
                <w:highlight w:val="none"/>
              </w:rPr>
              <w:t>合计（元）</w:t>
            </w:r>
          </w:p>
        </w:tc>
        <w:tc>
          <w:tcPr>
            <w:tcW w:w="2277" w:type="pct"/>
            <w:gridSpan w:val="4"/>
            <w:noWrap w:val="0"/>
            <w:vAlign w:val="top"/>
          </w:tcPr>
          <w:p w14:paraId="684CBD7D">
            <w:pPr>
              <w:rPr>
                <w:rFonts w:ascii="宋体" w:hAnsi="宋体" w:eastAsia="宋体"/>
                <w:color w:val="auto"/>
                <w:sz w:val="24"/>
                <w:highlight w:val="none"/>
              </w:rPr>
            </w:pPr>
          </w:p>
        </w:tc>
        <w:tc>
          <w:tcPr>
            <w:tcW w:w="391" w:type="pct"/>
            <w:noWrap w:val="0"/>
            <w:vAlign w:val="top"/>
          </w:tcPr>
          <w:p w14:paraId="0DC77DE8">
            <w:pPr>
              <w:rPr>
                <w:rFonts w:ascii="宋体" w:hAnsi="宋体" w:eastAsia="宋体"/>
                <w:color w:val="auto"/>
                <w:sz w:val="24"/>
                <w:highlight w:val="none"/>
              </w:rPr>
            </w:pPr>
          </w:p>
        </w:tc>
      </w:tr>
    </w:tbl>
    <w:p w14:paraId="174936BD">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本表格按预估数量报价，所报价格为完成单人培训服务所需全部费用，结算时按实际参与培训人数结算。                       </w:t>
      </w:r>
    </w:p>
    <w:p w14:paraId="244E25B9">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宋体" w:hAnsi="宋体" w:eastAsia="宋体" w:cs="宋体"/>
          <w:color w:val="auto"/>
          <w:sz w:val="24"/>
          <w:u w:val="single"/>
        </w:rPr>
      </w:pPr>
      <w:bookmarkStart w:id="298" w:name="_GoBack"/>
      <w:bookmarkEnd w:id="298"/>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投标人盖章：</w:t>
      </w:r>
    </w:p>
    <w:p w14:paraId="6AD814E2">
      <w:pPr>
        <w:keepNext w:val="0"/>
        <w:keepLines w:val="0"/>
        <w:pageBreakBefore w:val="0"/>
        <w:widowControl w:val="0"/>
        <w:kinsoku/>
        <w:wordWrap/>
        <w:overflowPunct/>
        <w:topLinePunct w:val="0"/>
        <w:autoSpaceDE/>
        <w:autoSpaceDN/>
        <w:bidi w:val="0"/>
        <w:adjustRightInd/>
        <w:snapToGrid/>
        <w:spacing w:line="720" w:lineRule="exact"/>
        <w:ind w:firstLine="4800" w:firstLineChars="2000"/>
        <w:textAlignment w:val="auto"/>
        <w:rPr>
          <w:rFonts w:ascii="宋体" w:hAnsi="宋体" w:eastAsia="宋体" w:cs="宋体"/>
          <w:color w:val="auto"/>
          <w:sz w:val="24"/>
          <w:u w:val="single"/>
        </w:rPr>
      </w:pPr>
      <w:r>
        <w:rPr>
          <w:rFonts w:hint="eastAsia" w:ascii="宋体" w:hAnsi="宋体" w:eastAsia="宋体" w:cs="宋体"/>
          <w:color w:val="auto"/>
          <w:sz w:val="24"/>
        </w:rPr>
        <w:t>日      期：</w:t>
      </w:r>
    </w:p>
    <w:p w14:paraId="1B55224B">
      <w:pPr>
        <w:rPr>
          <w:rFonts w:hint="eastAsia" w:ascii="宋体" w:hAnsi="宋体" w:eastAsia="宋体" w:cs="宋体"/>
          <w:b/>
          <w:color w:val="auto"/>
          <w:sz w:val="28"/>
        </w:rPr>
      </w:pPr>
    </w:p>
    <w:p w14:paraId="0903E216">
      <w:pPr>
        <w:rPr>
          <w:rFonts w:hint="eastAsia" w:ascii="宋体" w:hAnsi="宋体" w:eastAsia="宋体" w:cs="宋体"/>
          <w:b/>
          <w:color w:val="auto"/>
          <w:sz w:val="28"/>
        </w:rPr>
      </w:pPr>
      <w:r>
        <w:rPr>
          <w:rFonts w:hint="eastAsia" w:ascii="宋体" w:hAnsi="宋体" w:eastAsia="宋体" w:cs="宋体"/>
          <w:b/>
          <w:color w:val="auto"/>
          <w:sz w:val="28"/>
        </w:rPr>
        <w:br w:type="page"/>
      </w:r>
    </w:p>
    <w:p w14:paraId="38F1E25E">
      <w:pPr>
        <w:spacing w:line="440" w:lineRule="exact"/>
        <w:jc w:val="center"/>
        <w:outlineLvl w:val="0"/>
        <w:rPr>
          <w:rFonts w:ascii="宋体" w:hAnsi="宋体" w:eastAsia="宋体" w:cs="宋体"/>
          <w:b/>
          <w:bCs/>
          <w:color w:val="auto"/>
          <w:sz w:val="28"/>
        </w:rPr>
      </w:pPr>
      <w:r>
        <w:rPr>
          <w:rFonts w:hint="eastAsia" w:ascii="宋体" w:hAnsi="宋体" w:eastAsia="宋体" w:cs="宋体"/>
          <w:b/>
          <w:color w:val="auto"/>
          <w:sz w:val="28"/>
        </w:rPr>
        <w:t>第七章</w:t>
      </w:r>
      <w:r>
        <w:rPr>
          <w:rFonts w:hint="eastAsia" w:ascii="宋体" w:hAnsi="宋体" w:eastAsia="宋体" w:cs="宋体"/>
          <w:b/>
          <w:bCs/>
          <w:color w:val="auto"/>
          <w:sz w:val="28"/>
        </w:rPr>
        <w:t xml:space="preserve">  政府采购</w:t>
      </w:r>
      <w:r>
        <w:rPr>
          <w:rFonts w:hint="eastAsia" w:ascii="宋体" w:hAnsi="宋体" w:eastAsia="宋体" w:cs="宋体"/>
          <w:b/>
          <w:color w:val="auto"/>
          <w:sz w:val="28"/>
        </w:rPr>
        <w:t>供应</w:t>
      </w:r>
      <w:r>
        <w:rPr>
          <w:rFonts w:hint="eastAsia" w:ascii="宋体" w:hAnsi="宋体" w:eastAsia="宋体" w:cs="宋体"/>
          <w:b/>
          <w:bCs/>
          <w:color w:val="auto"/>
          <w:sz w:val="28"/>
        </w:rPr>
        <w:t>商询问函和质疑函范本</w:t>
      </w:r>
      <w:bookmarkEnd w:id="225"/>
      <w:bookmarkEnd w:id="226"/>
    </w:p>
    <w:p w14:paraId="28402DC8">
      <w:pPr>
        <w:spacing w:line="440" w:lineRule="exact"/>
        <w:jc w:val="center"/>
        <w:outlineLvl w:val="1"/>
        <w:rPr>
          <w:rFonts w:ascii="宋体" w:hAnsi="宋体" w:eastAsia="宋体" w:cs="宋体"/>
          <w:b/>
          <w:bCs/>
          <w:color w:val="auto"/>
          <w:sz w:val="32"/>
          <w:szCs w:val="44"/>
        </w:rPr>
      </w:pPr>
      <w:bookmarkStart w:id="227" w:name="_Toc6955"/>
      <w:bookmarkStart w:id="228" w:name="_Toc27159"/>
      <w:r>
        <w:rPr>
          <w:rFonts w:hint="eastAsia" w:ascii="宋体" w:hAnsi="宋体" w:eastAsia="宋体" w:cs="宋体"/>
          <w:b/>
          <w:bCs/>
          <w:color w:val="auto"/>
          <w:sz w:val="32"/>
          <w:szCs w:val="44"/>
        </w:rPr>
        <w:t>询问函范本</w:t>
      </w:r>
      <w:bookmarkEnd w:id="227"/>
      <w:bookmarkEnd w:id="228"/>
    </w:p>
    <w:p w14:paraId="32FE3ED0">
      <w:pPr>
        <w:adjustRightInd w:val="0"/>
        <w:snapToGrid w:val="0"/>
        <w:spacing w:line="440" w:lineRule="exact"/>
        <w:ind w:firstLine="480" w:firstLineChars="200"/>
        <w:jc w:val="center"/>
        <w:rPr>
          <w:rFonts w:ascii="宋体" w:hAnsi="宋体" w:eastAsia="宋体" w:cs="宋体"/>
          <w:b/>
          <w:bCs/>
          <w:color w:val="auto"/>
          <w:sz w:val="32"/>
          <w:szCs w:val="44"/>
        </w:rPr>
      </w:pPr>
      <w:r>
        <w:rPr>
          <w:rFonts w:hint="eastAsia" w:ascii="宋体" w:hAnsi="宋体" w:eastAsia="宋体" w:cs="宋体"/>
          <w:i/>
          <w:iCs/>
          <w:color w:val="auto"/>
          <w:sz w:val="24"/>
          <w:szCs w:val="24"/>
        </w:rPr>
        <w:t>（如为对采购文件或采购程序的询问或疑问，请按询问函范本中询问格式附件进行递交）</w:t>
      </w:r>
    </w:p>
    <w:p w14:paraId="0331E70D">
      <w:pPr>
        <w:adjustRightInd w:val="0"/>
        <w:snapToGrid w:val="0"/>
        <w:spacing w:line="440" w:lineRule="exact"/>
        <w:rPr>
          <w:rFonts w:ascii="宋体" w:hAnsi="宋体" w:eastAsia="宋体" w:cs="宋体"/>
          <w:b/>
          <w:bCs/>
          <w:color w:val="auto"/>
          <w:sz w:val="24"/>
          <w:szCs w:val="24"/>
          <w:u w:val="single"/>
        </w:rPr>
      </w:pPr>
      <w:r>
        <w:rPr>
          <w:rFonts w:hint="eastAsia" w:ascii="宋体" w:hAnsi="宋体" w:eastAsia="宋体" w:cs="宋体"/>
          <w:b/>
          <w:bCs/>
          <w:color w:val="auto"/>
          <w:sz w:val="24"/>
          <w:szCs w:val="24"/>
        </w:rPr>
        <w:t>致：采购人</w:t>
      </w:r>
    </w:p>
    <w:p w14:paraId="03460601">
      <w:pPr>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我单位拟参与</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i/>
          <w:iCs/>
          <w:color w:val="auto"/>
          <w:sz w:val="24"/>
          <w:szCs w:val="24"/>
        </w:rPr>
        <w:t>项目名称、编号</w:t>
      </w:r>
      <w:r>
        <w:rPr>
          <w:rFonts w:hint="eastAsia" w:ascii="宋体" w:hAnsi="宋体" w:eastAsia="宋体" w:cs="宋体"/>
          <w:color w:val="auto"/>
          <w:sz w:val="24"/>
          <w:szCs w:val="24"/>
        </w:rPr>
        <w:t>）的采购活动，现有以下内容(或条款)存在疑问(或无法理解)，特提出询问。</w:t>
      </w:r>
    </w:p>
    <w:p w14:paraId="633790AF">
      <w:pPr>
        <w:adjustRightInd w:val="0"/>
        <w:snapToGrid w:val="0"/>
        <w:spacing w:line="440" w:lineRule="exact"/>
        <w:ind w:firstLine="480" w:firstLineChars="200"/>
        <w:rPr>
          <w:rFonts w:ascii="宋体" w:hAnsi="宋体" w:eastAsia="宋体" w:cs="宋体"/>
          <w:color w:val="auto"/>
          <w:sz w:val="24"/>
          <w:szCs w:val="24"/>
        </w:rPr>
      </w:pPr>
      <w:bookmarkStart w:id="229" w:name="_Toc13899"/>
      <w:r>
        <w:rPr>
          <w:rFonts w:hint="eastAsia" w:ascii="宋体" w:hAnsi="宋体" w:eastAsia="宋体" w:cs="宋体"/>
          <w:color w:val="auto"/>
          <w:sz w:val="24"/>
          <w:szCs w:val="24"/>
        </w:rPr>
        <w:t>一、(事项一)</w:t>
      </w:r>
      <w:bookmarkEnd w:id="229"/>
    </w:p>
    <w:p w14:paraId="42E1FF5F">
      <w:pPr>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1、(内容或条款)</w:t>
      </w:r>
    </w:p>
    <w:p w14:paraId="3748BAC6">
      <w:pPr>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2、(说明疑问或无法理解原因)</w:t>
      </w:r>
    </w:p>
    <w:p w14:paraId="6F408A9B">
      <w:pPr>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3、(建议)</w:t>
      </w:r>
    </w:p>
    <w:p w14:paraId="256C8E7A">
      <w:pPr>
        <w:adjustRightInd w:val="0"/>
        <w:snapToGrid w:val="0"/>
        <w:spacing w:line="440" w:lineRule="exact"/>
        <w:ind w:firstLine="480" w:firstLineChars="200"/>
        <w:rPr>
          <w:rFonts w:ascii="宋体" w:hAnsi="宋体" w:eastAsia="宋体" w:cs="宋体"/>
          <w:color w:val="auto"/>
          <w:sz w:val="24"/>
          <w:szCs w:val="24"/>
        </w:rPr>
      </w:pPr>
      <w:bookmarkStart w:id="230" w:name="_Toc3352"/>
      <w:r>
        <w:rPr>
          <w:rFonts w:hint="eastAsia" w:ascii="宋体" w:hAnsi="宋体" w:eastAsia="宋体" w:cs="宋体"/>
          <w:color w:val="auto"/>
          <w:sz w:val="24"/>
          <w:szCs w:val="24"/>
        </w:rPr>
        <w:t>二、(事项二)</w:t>
      </w:r>
      <w:bookmarkEnd w:id="230"/>
    </w:p>
    <w:p w14:paraId="7248178E">
      <w:pPr>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w:t>
      </w:r>
    </w:p>
    <w:p w14:paraId="0341398E">
      <w:pPr>
        <w:adjustRightInd w:val="0"/>
        <w:snapToGrid w:val="0"/>
        <w:spacing w:line="440" w:lineRule="exact"/>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随附相关证明材料如下： </w:t>
      </w:r>
    </w:p>
    <w:p w14:paraId="00A9D36C">
      <w:pPr>
        <w:spacing w:line="440" w:lineRule="exact"/>
        <w:ind w:firstLine="4228" w:firstLineChars="1762"/>
        <w:rPr>
          <w:rFonts w:ascii="宋体" w:hAnsi="宋体" w:eastAsia="宋体" w:cs="宋体"/>
          <w:color w:val="auto"/>
          <w:sz w:val="24"/>
          <w:u w:val="single"/>
        </w:rPr>
      </w:pPr>
      <w:r>
        <w:rPr>
          <w:rFonts w:hint="eastAsia" w:ascii="宋体" w:hAnsi="宋体" w:eastAsia="宋体" w:cs="宋体"/>
          <w:color w:val="auto"/>
          <w:sz w:val="24"/>
        </w:rPr>
        <w:t>联 系 人：</w:t>
      </w:r>
      <w:r>
        <w:rPr>
          <w:rFonts w:hint="eastAsia" w:ascii="宋体" w:hAnsi="宋体" w:eastAsia="宋体" w:cs="宋体"/>
          <w:color w:val="auto"/>
          <w:sz w:val="24"/>
          <w:u w:val="single"/>
        </w:rPr>
        <w:t xml:space="preserve">              </w:t>
      </w:r>
    </w:p>
    <w:p w14:paraId="62C8816C">
      <w:pPr>
        <w:spacing w:line="440" w:lineRule="exact"/>
        <w:ind w:firstLine="4228" w:firstLineChars="1762"/>
        <w:rPr>
          <w:rFonts w:ascii="宋体" w:hAnsi="宋体" w:eastAsia="宋体" w:cs="宋体"/>
          <w:color w:val="auto"/>
          <w:sz w:val="24"/>
          <w:u w:val="single"/>
        </w:rPr>
      </w:pPr>
      <w:r>
        <w:rPr>
          <w:rFonts w:hint="eastAsia" w:ascii="宋体" w:hAnsi="宋体" w:eastAsia="宋体" w:cs="宋体"/>
          <w:color w:val="auto"/>
          <w:sz w:val="24"/>
        </w:rPr>
        <w:t>联系电话：</w:t>
      </w:r>
      <w:r>
        <w:rPr>
          <w:rFonts w:hint="eastAsia" w:ascii="宋体" w:hAnsi="宋体" w:eastAsia="宋体" w:cs="宋体"/>
          <w:color w:val="auto"/>
          <w:sz w:val="24"/>
          <w:u w:val="single"/>
        </w:rPr>
        <w:t xml:space="preserve">              </w:t>
      </w:r>
    </w:p>
    <w:p w14:paraId="3CE66A29">
      <w:pPr>
        <w:tabs>
          <w:tab w:val="left" w:pos="630"/>
        </w:tabs>
        <w:spacing w:line="440" w:lineRule="exact"/>
        <w:ind w:firstLine="4228" w:firstLineChars="1762"/>
        <w:rPr>
          <w:rFonts w:ascii="宋体" w:hAnsi="宋体" w:eastAsia="宋体" w:cs="宋体"/>
          <w:color w:val="auto"/>
          <w:sz w:val="24"/>
          <w:u w:val="single"/>
        </w:rPr>
      </w:pPr>
      <w:r>
        <w:rPr>
          <w:rFonts w:hint="eastAsia" w:ascii="宋体" w:hAnsi="宋体" w:eastAsia="宋体" w:cs="宋体"/>
          <w:color w:val="auto"/>
          <w:sz w:val="24"/>
        </w:rPr>
        <w:t>日    期：</w:t>
      </w:r>
      <w:r>
        <w:rPr>
          <w:rFonts w:hint="eastAsia" w:ascii="宋体" w:hAnsi="宋体" w:eastAsia="宋体" w:cs="宋体"/>
          <w:color w:val="auto"/>
          <w:sz w:val="24"/>
          <w:u w:val="single"/>
        </w:rPr>
        <w:t xml:space="preserve">              </w:t>
      </w:r>
    </w:p>
    <w:p w14:paraId="3A7775E7">
      <w:pPr>
        <w:spacing w:line="440" w:lineRule="exact"/>
        <w:rPr>
          <w:rFonts w:ascii="宋体" w:hAnsi="宋体" w:eastAsia="宋体" w:cs="宋体"/>
          <w:b/>
          <w:bCs/>
          <w:color w:val="auto"/>
          <w:sz w:val="32"/>
          <w:szCs w:val="44"/>
        </w:rPr>
      </w:pPr>
      <w:r>
        <w:rPr>
          <w:rFonts w:hint="eastAsia" w:ascii="宋体" w:hAnsi="宋体" w:eastAsia="宋体" w:cs="宋体"/>
          <w:b/>
          <w:bCs/>
          <w:color w:val="auto"/>
          <w:sz w:val="32"/>
          <w:szCs w:val="44"/>
        </w:rPr>
        <w:br w:type="page"/>
      </w:r>
    </w:p>
    <w:p w14:paraId="2A5AA1E1">
      <w:pPr>
        <w:spacing w:line="440" w:lineRule="exact"/>
        <w:jc w:val="center"/>
        <w:outlineLvl w:val="1"/>
        <w:rPr>
          <w:rFonts w:ascii="宋体" w:hAnsi="宋体" w:eastAsia="宋体" w:cs="宋体"/>
          <w:b/>
          <w:bCs/>
          <w:color w:val="auto"/>
          <w:sz w:val="32"/>
          <w:szCs w:val="44"/>
        </w:rPr>
      </w:pPr>
      <w:bookmarkStart w:id="231" w:name="_Toc857"/>
      <w:bookmarkStart w:id="232" w:name="_Toc1575"/>
      <w:r>
        <w:rPr>
          <w:rFonts w:hint="eastAsia" w:ascii="宋体" w:hAnsi="宋体" w:eastAsia="宋体" w:cs="宋体"/>
          <w:b/>
          <w:bCs/>
          <w:color w:val="auto"/>
          <w:sz w:val="32"/>
          <w:szCs w:val="44"/>
        </w:rPr>
        <w:t>质疑函范本</w:t>
      </w:r>
      <w:bookmarkEnd w:id="231"/>
      <w:bookmarkEnd w:id="232"/>
    </w:p>
    <w:p w14:paraId="18F1ACA2">
      <w:pPr>
        <w:adjustRightInd w:val="0"/>
        <w:snapToGrid w:val="0"/>
        <w:spacing w:before="312" w:beforeLines="100" w:line="440" w:lineRule="exact"/>
        <w:rPr>
          <w:rFonts w:ascii="宋体" w:hAnsi="宋体" w:eastAsia="宋体" w:cs="宋体"/>
          <w:b/>
          <w:bCs/>
          <w:color w:val="auto"/>
          <w:sz w:val="24"/>
          <w:szCs w:val="24"/>
        </w:rPr>
      </w:pPr>
      <w:bookmarkStart w:id="233" w:name="_Toc21381"/>
      <w:r>
        <w:rPr>
          <w:rFonts w:hint="eastAsia" w:ascii="宋体" w:hAnsi="宋体" w:eastAsia="宋体" w:cs="宋体"/>
          <w:b/>
          <w:bCs/>
          <w:color w:val="auto"/>
          <w:sz w:val="24"/>
          <w:szCs w:val="24"/>
        </w:rPr>
        <w:t>一、质疑供应商基本信息</w:t>
      </w:r>
      <w:bookmarkEnd w:id="233"/>
    </w:p>
    <w:p w14:paraId="3D5A8145">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14:paraId="48F655D4">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1FE1C63D">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14:paraId="276BF1C2">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14:paraId="494DA637">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14:paraId="047B50FC">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14:paraId="384DEA65">
      <w:pPr>
        <w:adjustRightInd w:val="0"/>
        <w:snapToGrid w:val="0"/>
        <w:spacing w:line="440" w:lineRule="exact"/>
        <w:rPr>
          <w:rFonts w:ascii="宋体" w:hAnsi="宋体" w:eastAsia="宋体" w:cs="宋体"/>
          <w:b/>
          <w:bCs/>
          <w:color w:val="auto"/>
          <w:sz w:val="24"/>
          <w:szCs w:val="24"/>
        </w:rPr>
      </w:pPr>
      <w:bookmarkStart w:id="234" w:name="_Toc28415"/>
      <w:r>
        <w:rPr>
          <w:rFonts w:hint="eastAsia" w:ascii="宋体" w:hAnsi="宋体" w:eastAsia="宋体" w:cs="宋体"/>
          <w:b/>
          <w:bCs/>
          <w:color w:val="auto"/>
          <w:sz w:val="24"/>
          <w:szCs w:val="24"/>
        </w:rPr>
        <w:t>二、质疑项目基本情况</w:t>
      </w:r>
      <w:bookmarkEnd w:id="234"/>
    </w:p>
    <w:p w14:paraId="2BE8B2E9">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14:paraId="36D5DFD9">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14:paraId="5C4E49E0">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14:paraId="139DC44A">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14:paraId="48F659C0">
      <w:pPr>
        <w:adjustRightInd w:val="0"/>
        <w:snapToGrid w:val="0"/>
        <w:spacing w:line="440" w:lineRule="exact"/>
        <w:rPr>
          <w:rFonts w:ascii="宋体" w:hAnsi="宋体" w:eastAsia="宋体" w:cs="宋体"/>
          <w:b/>
          <w:bCs/>
          <w:color w:val="auto"/>
          <w:sz w:val="24"/>
          <w:szCs w:val="24"/>
        </w:rPr>
      </w:pPr>
      <w:bookmarkStart w:id="235" w:name="_Toc19014"/>
      <w:r>
        <w:rPr>
          <w:rFonts w:hint="eastAsia" w:ascii="宋体" w:hAnsi="宋体" w:eastAsia="宋体" w:cs="宋体"/>
          <w:b/>
          <w:bCs/>
          <w:color w:val="auto"/>
          <w:sz w:val="24"/>
          <w:szCs w:val="24"/>
        </w:rPr>
        <w:t>三、质疑事项具体内容</w:t>
      </w:r>
      <w:bookmarkEnd w:id="235"/>
    </w:p>
    <w:p w14:paraId="459A2BF1">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14:paraId="67E19191">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14:paraId="015CDE6A">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u w:val="dotted"/>
        </w:rPr>
        <w:t xml:space="preserve">                                                       </w:t>
      </w:r>
    </w:p>
    <w:p w14:paraId="60218D25">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14:paraId="4488807D">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14:paraId="57AA419D">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质疑事项2</w:t>
      </w:r>
    </w:p>
    <w:p w14:paraId="67C72ACB">
      <w:pPr>
        <w:adjustRightInd w:val="0"/>
        <w:snapToGrid w:val="0"/>
        <w:spacing w:line="440" w:lineRule="exact"/>
        <w:rPr>
          <w:rFonts w:ascii="宋体" w:hAnsi="宋体" w:eastAsia="宋体" w:cs="宋体"/>
          <w:color w:val="auto"/>
          <w:sz w:val="24"/>
          <w:szCs w:val="24"/>
        </w:rPr>
      </w:pPr>
      <w:r>
        <w:rPr>
          <w:rFonts w:hint="eastAsia" w:ascii="宋体" w:hAnsi="宋体" w:eastAsia="宋体" w:cs="宋体"/>
          <w:color w:val="auto"/>
          <w:sz w:val="24"/>
          <w:szCs w:val="24"/>
        </w:rPr>
        <w:t>……</w:t>
      </w:r>
    </w:p>
    <w:p w14:paraId="7C5946FC">
      <w:pPr>
        <w:adjustRightInd w:val="0"/>
        <w:snapToGrid w:val="0"/>
        <w:spacing w:line="440" w:lineRule="exact"/>
        <w:rPr>
          <w:rFonts w:ascii="宋体" w:hAnsi="宋体" w:eastAsia="宋体" w:cs="宋体"/>
          <w:b/>
          <w:bCs/>
          <w:color w:val="auto"/>
          <w:sz w:val="24"/>
          <w:szCs w:val="24"/>
        </w:rPr>
      </w:pPr>
      <w:bookmarkStart w:id="236" w:name="_Toc17919"/>
      <w:r>
        <w:rPr>
          <w:rFonts w:hint="eastAsia" w:ascii="宋体" w:hAnsi="宋体" w:eastAsia="宋体" w:cs="宋体"/>
          <w:b/>
          <w:bCs/>
          <w:color w:val="auto"/>
          <w:sz w:val="24"/>
          <w:szCs w:val="24"/>
        </w:rPr>
        <w:t>四、与质疑事项相关的质疑请求</w:t>
      </w:r>
      <w:bookmarkEnd w:id="236"/>
    </w:p>
    <w:p w14:paraId="5EC03199">
      <w:pPr>
        <w:adjustRightInd w:val="0"/>
        <w:snapToGrid w:val="0"/>
        <w:spacing w:line="440" w:lineRule="exact"/>
        <w:rPr>
          <w:rFonts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14:paraId="20A7A617">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14:paraId="39B2937E">
      <w:pPr>
        <w:spacing w:line="440" w:lineRule="exact"/>
        <w:rPr>
          <w:rFonts w:ascii="宋体" w:hAnsi="宋体" w:eastAsia="宋体" w:cs="宋体"/>
          <w:color w:val="auto"/>
          <w:sz w:val="24"/>
          <w:szCs w:val="24"/>
        </w:rPr>
      </w:pPr>
      <w:r>
        <w:rPr>
          <w:rFonts w:hint="eastAsia" w:ascii="宋体" w:hAnsi="宋体" w:eastAsia="宋体" w:cs="宋体"/>
          <w:color w:val="auto"/>
          <w:sz w:val="24"/>
          <w:szCs w:val="24"/>
        </w:rPr>
        <w:t xml:space="preserve">日期：    </w:t>
      </w:r>
    </w:p>
    <w:p w14:paraId="0505BC4D">
      <w:pPr>
        <w:widowControl/>
        <w:spacing w:line="440" w:lineRule="exact"/>
        <w:jc w:val="left"/>
        <w:rPr>
          <w:rFonts w:ascii="宋体" w:hAnsi="宋体" w:eastAsia="宋体" w:cs="宋体"/>
          <w:color w:val="auto"/>
          <w:sz w:val="32"/>
          <w:szCs w:val="32"/>
        </w:rPr>
      </w:pPr>
      <w:r>
        <w:rPr>
          <w:rFonts w:hint="eastAsia" w:ascii="宋体" w:hAnsi="宋体" w:eastAsia="宋体" w:cs="宋体"/>
          <w:color w:val="auto"/>
          <w:sz w:val="32"/>
          <w:szCs w:val="32"/>
        </w:rPr>
        <w:br w:type="page"/>
      </w:r>
    </w:p>
    <w:p w14:paraId="2DADEB76">
      <w:pPr>
        <w:spacing w:line="440" w:lineRule="exact"/>
        <w:outlineLvl w:val="0"/>
        <w:rPr>
          <w:rFonts w:ascii="宋体" w:hAnsi="宋体" w:eastAsia="宋体" w:cs="宋体"/>
          <w:b/>
          <w:color w:val="auto"/>
          <w:sz w:val="28"/>
          <w:szCs w:val="32"/>
        </w:rPr>
      </w:pPr>
      <w:bookmarkStart w:id="237" w:name="_Toc9754"/>
      <w:bookmarkStart w:id="238" w:name="_Toc22239"/>
      <w:r>
        <w:rPr>
          <w:rFonts w:hint="eastAsia" w:ascii="宋体" w:hAnsi="宋体" w:eastAsia="宋体" w:cs="宋体"/>
          <w:b/>
          <w:color w:val="auto"/>
          <w:sz w:val="28"/>
          <w:szCs w:val="32"/>
        </w:rPr>
        <w:t>质疑函制作说明：</w:t>
      </w:r>
      <w:bookmarkEnd w:id="237"/>
      <w:bookmarkEnd w:id="238"/>
    </w:p>
    <w:p w14:paraId="7679C33C">
      <w:pPr>
        <w:spacing w:line="440" w:lineRule="exact"/>
        <w:ind w:firstLine="435"/>
        <w:rPr>
          <w:rFonts w:ascii="宋体" w:hAnsi="宋体" w:eastAsia="宋体" w:cs="宋体"/>
          <w:color w:val="auto"/>
          <w:sz w:val="24"/>
        </w:rPr>
      </w:pPr>
      <w:r>
        <w:rPr>
          <w:rFonts w:hint="eastAsia" w:ascii="宋体" w:hAnsi="宋体" w:eastAsia="宋体" w:cs="宋体"/>
          <w:color w:val="auto"/>
          <w:sz w:val="24"/>
        </w:rPr>
        <w:t>1.供应商提出质疑时，应提交质疑函和必要的证明材料。</w:t>
      </w:r>
    </w:p>
    <w:p w14:paraId="19419B40">
      <w:pPr>
        <w:spacing w:line="440" w:lineRule="exact"/>
        <w:ind w:firstLine="435"/>
        <w:rPr>
          <w:rFonts w:ascii="宋体" w:hAnsi="宋体" w:eastAsia="宋体" w:cs="宋体"/>
          <w:color w:val="auto"/>
          <w:sz w:val="24"/>
        </w:rPr>
      </w:pPr>
      <w:r>
        <w:rPr>
          <w:rFonts w:hint="eastAsia" w:ascii="宋体" w:hAnsi="宋体" w:eastAsia="宋体" w:cs="宋体"/>
          <w:color w:val="auto"/>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1F599FC">
      <w:pPr>
        <w:spacing w:line="440" w:lineRule="exact"/>
        <w:ind w:firstLine="435"/>
        <w:rPr>
          <w:rFonts w:ascii="宋体" w:hAnsi="宋体" w:eastAsia="宋体" w:cs="宋体"/>
          <w:color w:val="auto"/>
          <w:sz w:val="24"/>
        </w:rPr>
      </w:pPr>
      <w:r>
        <w:rPr>
          <w:rFonts w:hint="eastAsia" w:ascii="宋体" w:hAnsi="宋体" w:eastAsia="宋体" w:cs="宋体"/>
          <w:color w:val="auto"/>
          <w:sz w:val="24"/>
        </w:rPr>
        <w:t>3.质疑供应商若对项目的某一分包进行质疑，质疑函中应列明具体分包号。</w:t>
      </w:r>
    </w:p>
    <w:p w14:paraId="3420AAE8">
      <w:pPr>
        <w:spacing w:line="440" w:lineRule="exact"/>
        <w:ind w:firstLine="435"/>
        <w:rPr>
          <w:rFonts w:ascii="宋体" w:hAnsi="宋体" w:eastAsia="宋体" w:cs="宋体"/>
          <w:color w:val="auto"/>
          <w:sz w:val="24"/>
        </w:rPr>
      </w:pPr>
      <w:r>
        <w:rPr>
          <w:rFonts w:hint="eastAsia" w:ascii="宋体" w:hAnsi="宋体" w:eastAsia="宋体" w:cs="宋体"/>
          <w:color w:val="auto"/>
          <w:sz w:val="24"/>
        </w:rPr>
        <w:t>4.质疑函的质疑事项应具体、明确，并有必要的事实依据和法律依据。</w:t>
      </w:r>
    </w:p>
    <w:p w14:paraId="7360CB5C">
      <w:pPr>
        <w:spacing w:line="440" w:lineRule="exact"/>
        <w:ind w:firstLine="435"/>
        <w:rPr>
          <w:rFonts w:ascii="宋体" w:hAnsi="宋体" w:eastAsia="宋体" w:cs="宋体"/>
          <w:color w:val="auto"/>
          <w:sz w:val="24"/>
        </w:rPr>
      </w:pPr>
      <w:r>
        <w:rPr>
          <w:rFonts w:hint="eastAsia" w:ascii="宋体" w:hAnsi="宋体" w:eastAsia="宋体" w:cs="宋体"/>
          <w:color w:val="auto"/>
          <w:sz w:val="24"/>
        </w:rPr>
        <w:t>5.质疑函的质疑请求应与质疑事项相关。</w:t>
      </w:r>
    </w:p>
    <w:p w14:paraId="64B4D457">
      <w:pPr>
        <w:spacing w:line="440" w:lineRule="exact"/>
        <w:ind w:firstLine="435"/>
        <w:rPr>
          <w:rFonts w:ascii="宋体" w:hAnsi="宋体" w:eastAsia="宋体" w:cs="宋体"/>
          <w:color w:val="auto"/>
          <w:sz w:val="24"/>
        </w:rPr>
      </w:pPr>
      <w:r>
        <w:rPr>
          <w:rFonts w:hint="eastAsia" w:ascii="宋体" w:hAnsi="宋体" w:eastAsia="宋体" w:cs="宋体"/>
          <w:color w:val="auto"/>
          <w:sz w:val="24"/>
        </w:rPr>
        <w:t>6.质疑供应商为自然人的，质疑函应由本人签字；质疑供应商为法人或者其他组织的，质疑函应由法定代表人、主要负责人，或者其授权代表签字或者盖章，并加盖公章。</w:t>
      </w:r>
    </w:p>
    <w:p w14:paraId="125A60EF">
      <w:pPr>
        <w:rPr>
          <w:rFonts w:hint="eastAsia" w:ascii="黑体" w:hAnsi="黑体" w:eastAsia="黑体" w:cs="Times New Roman"/>
          <w:b/>
          <w:bCs/>
          <w:color w:val="auto"/>
          <w:kern w:val="44"/>
          <w:sz w:val="36"/>
          <w:szCs w:val="28"/>
          <w:highlight w:val="none"/>
        </w:rPr>
      </w:pPr>
      <w:bookmarkStart w:id="239" w:name="OLE_LINK7"/>
      <w:bookmarkStart w:id="240" w:name="OLE_LINK25"/>
      <w:bookmarkStart w:id="241" w:name="OLE_LINK24"/>
      <w:r>
        <w:rPr>
          <w:rFonts w:hint="eastAsia" w:ascii="黑体" w:hAnsi="黑体" w:eastAsia="黑体" w:cs="Times New Roman"/>
          <w:b/>
          <w:bCs/>
          <w:color w:val="auto"/>
          <w:kern w:val="44"/>
          <w:sz w:val="36"/>
          <w:szCs w:val="28"/>
          <w:highlight w:val="none"/>
        </w:rPr>
        <w:br w:type="page"/>
      </w:r>
    </w:p>
    <w:p w14:paraId="57CC0C08">
      <w:pPr>
        <w:keepNext/>
        <w:keepLines/>
        <w:spacing w:before="200" w:after="200" w:line="600" w:lineRule="exact"/>
        <w:outlineLvl w:val="0"/>
        <w:rPr>
          <w:rFonts w:ascii="黑体" w:hAnsi="黑体" w:eastAsia="黑体" w:cs="Times New Roman"/>
          <w:b/>
          <w:bCs/>
          <w:color w:val="auto"/>
          <w:kern w:val="44"/>
          <w:sz w:val="28"/>
          <w:szCs w:val="28"/>
          <w:highlight w:val="none"/>
        </w:rPr>
      </w:pPr>
      <w:r>
        <w:rPr>
          <w:rFonts w:hint="eastAsia" w:ascii="黑体" w:hAnsi="黑体" w:eastAsia="黑体" w:cs="Times New Roman"/>
          <w:b/>
          <w:bCs/>
          <w:color w:val="auto"/>
          <w:kern w:val="44"/>
          <w:sz w:val="36"/>
          <w:szCs w:val="28"/>
          <w:highlight w:val="none"/>
        </w:rPr>
        <w:t>附件1 关于联合惩戒失信行为加强信用查询管理的通知</w:t>
      </w:r>
    </w:p>
    <w:bookmarkEnd w:id="239"/>
    <w:p w14:paraId="155B01D6">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一、失信行为联合惩戒的范围和查询渠道</w:t>
      </w:r>
    </w:p>
    <w:p w14:paraId="5A603D38">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在我市公共资源交易活动中对存在下列失信行为的投标人、法定代表人及其项目经理（建造师）实施联合惩戒，禁止参与我市公共资源交易活动。</w:t>
      </w:r>
    </w:p>
    <w:p w14:paraId="1E61AD7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（一）工程建设项目</w:t>
      </w:r>
    </w:p>
    <w:bookmarkEnd w:id="240"/>
    <w:bookmarkEnd w:id="241"/>
    <w:p w14:paraId="7D09BE6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1、“信用中国”网站（www.creditchina.gov.cn）查询</w:t>
      </w:r>
      <w:bookmarkStart w:id="242" w:name="OLE_LINK92"/>
      <w:bookmarkStart w:id="243" w:name="OLE_LINK93"/>
      <w:bookmarkStart w:id="244" w:name="OLE_LINK91"/>
      <w:bookmarkStart w:id="245" w:name="OLE_LINK103"/>
      <w:r>
        <w:rPr>
          <w:rFonts w:hint="eastAsia" w:ascii="仿宋_GB2312" w:hAnsi="宋体" w:eastAsia="仿宋_GB2312" w:cs="Times New Roman"/>
          <w:color w:val="auto"/>
          <w:sz w:val="28"/>
          <w:szCs w:val="28"/>
          <w:highlight w:val="none"/>
        </w:rPr>
        <w:t>投标人、法定代表人及其项目经理(建造师)</w:t>
      </w:r>
      <w:bookmarkEnd w:id="242"/>
      <w:bookmarkEnd w:id="243"/>
      <w:bookmarkEnd w:id="244"/>
      <w:bookmarkEnd w:id="245"/>
      <w:r>
        <w:rPr>
          <w:rFonts w:hint="eastAsia" w:ascii="仿宋_GB2312" w:hAnsi="宋体" w:eastAsia="仿宋_GB2312" w:cs="Times New Roman"/>
          <w:color w:val="auto"/>
          <w:sz w:val="28"/>
          <w:szCs w:val="28"/>
          <w:highlight w:val="none"/>
        </w:rPr>
        <w:t>以下失信行为：</w:t>
      </w:r>
    </w:p>
    <w:p w14:paraId="14D8CAFA">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46" w:name="OLE_LINK87"/>
      <w:bookmarkStart w:id="247" w:name="OLE_LINK3"/>
      <w:bookmarkStart w:id="248" w:name="OLE_LINK86"/>
      <w:bookmarkStart w:id="249" w:name="OLE_LINK94"/>
      <w:bookmarkStart w:id="250" w:name="OLE_LINK119"/>
      <w:r>
        <w:rPr>
          <w:rFonts w:hint="eastAsia" w:ascii="仿宋_GB2312" w:hAnsi="宋体" w:eastAsia="仿宋_GB2312" w:cs="Times New Roman"/>
          <w:color w:val="auto"/>
          <w:sz w:val="28"/>
          <w:szCs w:val="28"/>
          <w:highlight w:val="none"/>
        </w:rPr>
        <w:t>①被列入“失信被执行人”的;</w:t>
      </w:r>
    </w:p>
    <w:p w14:paraId="29EAC45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w:t>
      </w:r>
      <w:bookmarkStart w:id="251" w:name="OLE_LINK117"/>
      <w:bookmarkStart w:id="252" w:name="OLE_LINK116"/>
      <w:bookmarkStart w:id="253" w:name="OLE_LINK115"/>
      <w:bookmarkStart w:id="254" w:name="OLE_LINK118"/>
      <w:r>
        <w:rPr>
          <w:rFonts w:hint="eastAsia" w:ascii="仿宋_GB2312" w:hAnsi="宋体" w:eastAsia="仿宋_GB2312" w:cs="Times New Roman"/>
          <w:color w:val="auto"/>
          <w:sz w:val="28"/>
          <w:szCs w:val="28"/>
          <w:highlight w:val="none"/>
        </w:rPr>
        <w:t>“重大税收违法失信主体”</w:t>
      </w:r>
      <w:bookmarkEnd w:id="251"/>
      <w:bookmarkEnd w:id="252"/>
      <w:bookmarkEnd w:id="253"/>
      <w:bookmarkEnd w:id="254"/>
      <w:r>
        <w:rPr>
          <w:rFonts w:hint="eastAsia" w:ascii="仿宋_GB2312" w:hAnsi="宋体" w:eastAsia="仿宋_GB2312" w:cs="Times New Roman"/>
          <w:color w:val="auto"/>
          <w:sz w:val="28"/>
          <w:szCs w:val="28"/>
          <w:highlight w:val="none"/>
        </w:rPr>
        <w:t>的；</w:t>
      </w:r>
    </w:p>
    <w:p w14:paraId="3BF625C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③被列入“拖欠</w:t>
      </w:r>
      <w:bookmarkStart w:id="255" w:name="OLE_LINK84"/>
      <w:bookmarkStart w:id="256" w:name="OLE_LINK85"/>
      <w:r>
        <w:rPr>
          <w:rFonts w:hint="eastAsia" w:ascii="仿宋_GB2312" w:hAnsi="宋体" w:eastAsia="仿宋_GB2312" w:cs="Times New Roman"/>
          <w:color w:val="auto"/>
          <w:sz w:val="28"/>
          <w:szCs w:val="28"/>
          <w:highlight w:val="none"/>
        </w:rPr>
        <w:t>农民工工资失信联合惩戒对象</w:t>
      </w:r>
      <w:bookmarkEnd w:id="255"/>
      <w:bookmarkEnd w:id="256"/>
      <w:r>
        <w:rPr>
          <w:rFonts w:hint="eastAsia" w:ascii="仿宋_GB2312" w:hAnsi="宋体" w:eastAsia="仿宋_GB2312" w:cs="Times New Roman"/>
          <w:color w:val="auto"/>
          <w:sz w:val="28"/>
          <w:szCs w:val="28"/>
          <w:highlight w:val="none"/>
        </w:rPr>
        <w:t>名单”的；</w:t>
      </w:r>
    </w:p>
    <w:p w14:paraId="0AA2AC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④被列入 “严重失信主体名单”的；</w:t>
      </w:r>
    </w:p>
    <w:p w14:paraId="27ED777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⑤在“信用中国”网站上披露的仍在公示期的严重失信行为(具体行为类别及判定依据见附件2)的。</w:t>
      </w:r>
    </w:p>
    <w:bookmarkEnd w:id="246"/>
    <w:bookmarkEnd w:id="247"/>
    <w:bookmarkEnd w:id="248"/>
    <w:bookmarkEnd w:id="249"/>
    <w:bookmarkEnd w:id="250"/>
    <w:p w14:paraId="14223D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w:t>
      </w:r>
      <w:bookmarkStart w:id="257" w:name="OLE_LINK130"/>
      <w:r>
        <w:rPr>
          <w:rFonts w:hint="eastAsia" w:ascii="仿宋_GB2312" w:hAnsi="宋体" w:eastAsia="仿宋_GB2312" w:cs="Times New Roman"/>
          <w:color w:val="auto"/>
          <w:sz w:val="28"/>
          <w:szCs w:val="28"/>
          <w:highlight w:val="none"/>
        </w:rPr>
        <w:t>国家企业信用信息公示系统网站</w:t>
      </w:r>
      <w:bookmarkEnd w:id="257"/>
      <w:r>
        <w:rPr>
          <w:rFonts w:hint="eastAsia" w:ascii="仿宋_GB2312" w:hAnsi="宋体" w:eastAsia="仿宋_GB2312"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bookmarkStart w:id="258" w:name="OLE_LINK89"/>
      <w:bookmarkStart w:id="259" w:name="OLE_LINK90"/>
      <w:r>
        <w:rPr>
          <w:rStyle w:val="38"/>
          <w:rFonts w:hint="eastAsia" w:ascii="仿宋_GB2312" w:hAnsi="宋体" w:eastAsia="仿宋_GB2312" w:cs="Times New Roman"/>
          <w:color w:val="auto"/>
          <w:sz w:val="28"/>
          <w:szCs w:val="28"/>
          <w:highlight w:val="none"/>
        </w:rPr>
        <w:t>www.gsxt.gov.cn</w:t>
      </w:r>
      <w:bookmarkEnd w:id="258"/>
      <w:bookmarkEnd w:id="259"/>
      <w:r>
        <w:rPr>
          <w:rStyle w:val="38"/>
          <w:rFonts w:hint="eastAsia" w:ascii="仿宋_GB2312" w:hAnsi="宋体" w:eastAsia="仿宋_GB2312" w:cs="Times New Roman"/>
          <w:color w:val="auto"/>
          <w:sz w:val="28"/>
          <w:szCs w:val="28"/>
          <w:highlight w:val="none"/>
        </w:rPr>
        <w:t>）</w:t>
      </w:r>
      <w:r>
        <w:rPr>
          <w:rStyle w:val="38"/>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查询投标人以下失信行为：</w:t>
      </w:r>
    </w:p>
    <w:p w14:paraId="444FD285">
      <w:pPr>
        <w:adjustRightInd w:val="0"/>
        <w:snapToGrid w:val="0"/>
        <w:spacing w:line="560" w:lineRule="exact"/>
        <w:ind w:firstLine="560" w:firstLineChars="200"/>
        <w:rPr>
          <w:rFonts w:ascii="仿宋_GB2312" w:hAnsi="宋体" w:eastAsia="仿宋_GB2312" w:cs="Times New Roman"/>
          <w:color w:val="auto"/>
          <w:sz w:val="28"/>
          <w:szCs w:val="28"/>
          <w:highlight w:val="none"/>
        </w:rPr>
      </w:pPr>
      <w:bookmarkStart w:id="260" w:name="OLE_LINK120"/>
      <w:bookmarkStart w:id="261" w:name="OLE_LINK122"/>
      <w:bookmarkStart w:id="262" w:name="OLE_LINK121"/>
      <w:r>
        <w:rPr>
          <w:rFonts w:hint="eastAsia" w:ascii="仿宋_GB2312" w:hAnsi="宋体" w:eastAsia="仿宋_GB2312" w:cs="Times New Roman"/>
          <w:color w:val="auto"/>
          <w:sz w:val="28"/>
          <w:szCs w:val="28"/>
          <w:highlight w:val="none"/>
        </w:rPr>
        <w:t>①被列入“经营异常名录”或者“严重违法失信名单”的。</w:t>
      </w:r>
      <w:bookmarkEnd w:id="260"/>
      <w:bookmarkEnd w:id="261"/>
      <w:bookmarkEnd w:id="262"/>
    </w:p>
    <w:p w14:paraId="60546F70">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3、由</w:t>
      </w:r>
      <w:r>
        <w:rPr>
          <w:rFonts w:hint="eastAsia" w:ascii="仿宋_GB2312" w:hAnsi="宋体" w:eastAsia="仿宋_GB2312" w:cs="Times New Roman"/>
          <w:color w:val="auto"/>
          <w:kern w:val="0"/>
          <w:sz w:val="28"/>
          <w:szCs w:val="28"/>
          <w:highlight w:val="none"/>
        </w:rPr>
        <w:t>投标人、法定代表人及其项目经理(建造师)</w:t>
      </w:r>
      <w:r>
        <w:rPr>
          <w:rFonts w:hint="eastAsia" w:ascii="仿宋_GB2312" w:hAnsi="宋体" w:eastAsia="仿宋_GB2312" w:cs="Times New Roman"/>
          <w:color w:val="auto"/>
          <w:sz w:val="28"/>
          <w:szCs w:val="28"/>
          <w:highlight w:val="none"/>
        </w:rPr>
        <w:t>进行承诺，不进行现场网上信用查询的失信行为：</w:t>
      </w:r>
    </w:p>
    <w:p w14:paraId="3B21D527">
      <w:pPr>
        <w:adjustRightInd w:val="0"/>
        <w:snapToGrid w:val="0"/>
        <w:spacing w:line="560" w:lineRule="exact"/>
        <w:ind w:firstLine="560" w:firstLineChars="200"/>
        <w:rPr>
          <w:rFonts w:ascii="仿宋_GB2312" w:hAnsi="宋体" w:eastAsia="仿宋_GB2312" w:cs="楷体"/>
          <w:color w:val="auto"/>
          <w:sz w:val="28"/>
          <w:szCs w:val="28"/>
          <w:highlight w:val="none"/>
        </w:rPr>
      </w:pPr>
      <w:bookmarkStart w:id="263" w:name="OLE_LINK123"/>
      <w:bookmarkStart w:id="264" w:name="OLE_LINK124"/>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5DC2043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②被滁州市县两级公管部门取消在一定期限内的投标资格且在取消期限内的；</w:t>
      </w:r>
    </w:p>
    <w:p w14:paraId="6A05F56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③被滁州市县两级各行业主管部门取消在一定期限内的投标资格且在取消期限内的；</w:t>
      </w:r>
    </w:p>
    <w:p w14:paraId="587F44E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④因拖欠农民工工资被</w:t>
      </w:r>
      <w:bookmarkStart w:id="265" w:name="OLE_LINK107"/>
      <w:bookmarkStart w:id="266" w:name="OLE_LINK108"/>
      <w:r>
        <w:rPr>
          <w:rFonts w:hint="eastAsia" w:ascii="仿宋_GB2312" w:hAnsi="宋体" w:eastAsia="仿宋_GB2312" w:cs="Times New Roman"/>
          <w:color w:val="auto"/>
          <w:sz w:val="28"/>
          <w:szCs w:val="28"/>
          <w:highlight w:val="none"/>
        </w:rPr>
        <w:t>县级及以上有关行政主管部门限制投标资格且在限制期限内的</w:t>
      </w:r>
      <w:bookmarkEnd w:id="265"/>
      <w:bookmarkEnd w:id="266"/>
      <w:r>
        <w:rPr>
          <w:rFonts w:hint="eastAsia" w:ascii="仿宋_GB2312" w:hAnsi="宋体" w:eastAsia="仿宋_GB2312" w:cs="Times New Roman"/>
          <w:color w:val="auto"/>
          <w:sz w:val="28"/>
          <w:szCs w:val="28"/>
          <w:highlight w:val="none"/>
        </w:rPr>
        <w:t>；</w:t>
      </w:r>
    </w:p>
    <w:p w14:paraId="2158017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3"/>
    <w:bookmarkEnd w:id="264"/>
    <w:p w14:paraId="451055FC">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（二）政府采购项目</w:t>
      </w:r>
    </w:p>
    <w:p w14:paraId="7F8A187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1、“信用中国”网站</w:t>
      </w:r>
      <w:r>
        <w:rPr>
          <w:rFonts w:hint="eastAsia" w:ascii="仿宋" w:hAnsi="仿宋" w:eastAsia="仿宋" w:cs="Times New Roman"/>
          <w:color w:val="auto"/>
          <w:sz w:val="28"/>
          <w:szCs w:val="28"/>
          <w:highlight w:val="none"/>
        </w:rPr>
        <w:t>（</w:t>
      </w:r>
      <w:r>
        <w:rPr>
          <w:rStyle w:val="38"/>
          <w:rFonts w:hint="eastAsia" w:ascii="仿宋" w:hAnsi="仿宋" w:eastAsia="仿宋"/>
          <w:color w:val="auto"/>
          <w:sz w:val="28"/>
          <w:szCs w:val="28"/>
          <w:highlight w:val="none"/>
        </w:rPr>
        <w:t>www.creditchina.gov.cn</w:t>
      </w:r>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查询供应商、法定代表人及其项目负责人以下失信行为：</w:t>
      </w:r>
    </w:p>
    <w:p w14:paraId="3119D131">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①被列入“失信被执行人”的;</w:t>
      </w:r>
    </w:p>
    <w:p w14:paraId="0C3BF16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②被列入“重大税收违法失信主体”的；</w:t>
      </w:r>
    </w:p>
    <w:p w14:paraId="32170B9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③被列入 “严重失信主体名单”的；</w:t>
      </w:r>
    </w:p>
    <w:p w14:paraId="007F88F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④在“信用中国”网站上披露的仍在公示期的严重失信行为(具体行为类别及判定依据见附件2)的；</w:t>
      </w:r>
    </w:p>
    <w:p w14:paraId="779BF97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2、国家企业信用信息公示系统网站</w:t>
      </w:r>
      <w:r>
        <w:rPr>
          <w:rFonts w:hint="eastAsia" w:ascii="仿宋" w:hAnsi="仿宋" w:eastAsia="仿宋" w:cs="Times New Roman"/>
          <w:color w:val="auto"/>
          <w:sz w:val="28"/>
          <w:szCs w:val="28"/>
          <w:highlight w:val="none"/>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Fonts w:hint="eastAsia" w:ascii="仿宋" w:hAnsi="仿宋" w:eastAsia="仿宋"/>
          <w:color w:val="auto"/>
          <w:sz w:val="28"/>
          <w:szCs w:val="28"/>
          <w:highlight w:val="none"/>
        </w:rPr>
        <w:t>www.gsxt.gov.cn）</w:t>
      </w:r>
      <w:r>
        <w:rPr>
          <w:rFonts w:hint="eastAsia" w:ascii="仿宋" w:hAnsi="仿宋" w:eastAsia="仿宋"/>
          <w:color w:val="auto"/>
          <w:sz w:val="28"/>
          <w:szCs w:val="28"/>
          <w:highlight w:val="none"/>
        </w:rPr>
        <w:fldChar w:fldCharType="end"/>
      </w:r>
      <w:r>
        <w:rPr>
          <w:rFonts w:hint="eastAsia" w:ascii="仿宋_GB2312" w:hAnsi="宋体" w:eastAsia="仿宋_GB2312" w:cs="Times New Roman"/>
          <w:color w:val="auto"/>
          <w:sz w:val="28"/>
          <w:szCs w:val="28"/>
          <w:highlight w:val="none"/>
        </w:rPr>
        <w:t>查询供应商以下失信行为：</w:t>
      </w:r>
    </w:p>
    <w:p w14:paraId="07EE4DBE">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bookmarkStart w:id="267" w:name="OLE_LINK100"/>
      <w:bookmarkStart w:id="268" w:name="OLE_LINK101"/>
      <w:bookmarkStart w:id="269" w:name="OLE_LINK102"/>
      <w:r>
        <w:rPr>
          <w:rFonts w:hint="eastAsia" w:ascii="仿宋_GB2312" w:hAnsi="宋体" w:eastAsia="仿宋_GB2312" w:cs="Times New Roman"/>
          <w:color w:val="auto"/>
          <w:sz w:val="28"/>
          <w:szCs w:val="28"/>
          <w:highlight w:val="none"/>
        </w:rPr>
        <w:t>被列入“经营异常名录”或者“严重违法失信名单”的</w:t>
      </w:r>
      <w:bookmarkEnd w:id="267"/>
      <w:bookmarkEnd w:id="268"/>
      <w:bookmarkEnd w:id="269"/>
      <w:r>
        <w:rPr>
          <w:rFonts w:hint="eastAsia" w:ascii="仿宋_GB2312" w:hAnsi="宋体" w:eastAsia="仿宋_GB2312" w:cs="Times New Roman"/>
          <w:color w:val="auto"/>
          <w:sz w:val="28"/>
          <w:szCs w:val="28"/>
          <w:highlight w:val="none"/>
        </w:rPr>
        <w:t>。</w:t>
      </w:r>
    </w:p>
    <w:p w14:paraId="471C3E92">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3、中国政府采购网站</w:t>
      </w:r>
      <w:r>
        <w:rPr>
          <w:rFonts w:hint="eastAsia" w:ascii="仿宋" w:hAnsi="仿宋" w:eastAsia="仿宋" w:cs="Times New Roman"/>
          <w:color w:val="auto"/>
          <w:sz w:val="28"/>
          <w:szCs w:val="28"/>
          <w:highlight w:val="none"/>
        </w:rPr>
        <w:t>（</w:t>
      </w:r>
      <w:bookmarkStart w:id="270" w:name="OLE_LINK96"/>
      <w:bookmarkStart w:id="271" w:name="OLE_LINK95"/>
      <w:r>
        <w:rPr>
          <w:rFonts w:ascii="仿宋" w:hAnsi="仿宋" w:eastAsia="仿宋" w:cs="Times New Roman"/>
          <w:color w:val="auto"/>
          <w:sz w:val="28"/>
          <w:szCs w:val="28"/>
          <w:highlight w:val="none"/>
        </w:rPr>
        <w:fldChar w:fldCharType="begin"/>
      </w:r>
      <w:r>
        <w:rPr>
          <w:rFonts w:ascii="仿宋" w:hAnsi="仿宋" w:eastAsia="仿宋" w:cs="Times New Roman"/>
          <w:color w:val="auto"/>
          <w:sz w:val="28"/>
          <w:szCs w:val="28"/>
          <w:highlight w:val="none"/>
        </w:rPr>
        <w:instrText xml:space="preserve"> HYPERLINK "http://www.ccgp.gov.cn" </w:instrText>
      </w:r>
      <w:r>
        <w:rPr>
          <w:rFonts w:ascii="仿宋" w:hAnsi="仿宋" w:eastAsia="仿宋" w:cs="Times New Roman"/>
          <w:color w:val="auto"/>
          <w:sz w:val="28"/>
          <w:szCs w:val="28"/>
          <w:highlight w:val="none"/>
        </w:rPr>
        <w:fldChar w:fldCharType="separate"/>
      </w:r>
      <w:r>
        <w:rPr>
          <w:rFonts w:hint="eastAsia" w:ascii="仿宋" w:hAnsi="仿宋" w:eastAsia="仿宋"/>
          <w:color w:val="auto"/>
          <w:sz w:val="28"/>
          <w:szCs w:val="28"/>
          <w:highlight w:val="none"/>
        </w:rPr>
        <w:t>www.ccgp.gov.cn</w:t>
      </w:r>
      <w:r>
        <w:rPr>
          <w:rFonts w:ascii="仿宋" w:hAnsi="仿宋" w:eastAsia="仿宋" w:cs="Times New Roman"/>
          <w:color w:val="auto"/>
          <w:sz w:val="28"/>
          <w:szCs w:val="28"/>
          <w:highlight w:val="none"/>
        </w:rPr>
        <w:fldChar w:fldCharType="end"/>
      </w:r>
      <w:bookmarkEnd w:id="270"/>
      <w:bookmarkEnd w:id="271"/>
      <w:r>
        <w:rPr>
          <w:rFonts w:hint="eastAsia" w:ascii="仿宋" w:hAnsi="仿宋" w:eastAsia="仿宋" w:cs="Times New Roman"/>
          <w:color w:val="auto"/>
          <w:sz w:val="28"/>
          <w:szCs w:val="28"/>
          <w:highlight w:val="none"/>
        </w:rPr>
        <w:t>）</w:t>
      </w:r>
      <w:r>
        <w:rPr>
          <w:rFonts w:hint="eastAsia" w:ascii="仿宋_GB2312" w:hAnsi="宋体" w:eastAsia="仿宋_GB2312" w:cs="Times New Roman"/>
          <w:color w:val="auto"/>
          <w:sz w:val="28"/>
          <w:szCs w:val="28"/>
          <w:highlight w:val="none"/>
        </w:rPr>
        <w:t>查询以下失信行为：</w:t>
      </w:r>
    </w:p>
    <w:p w14:paraId="2ECF2962">
      <w:pPr>
        <w:adjustRightInd w:val="0"/>
        <w:snapToGrid w:val="0"/>
        <w:spacing w:line="560" w:lineRule="exact"/>
        <w:ind w:firstLine="560" w:firstLineChars="200"/>
        <w:rPr>
          <w:rFonts w:ascii="仿宋_GB2312" w:hAnsi="宋体" w:eastAsia="仿宋_GB2312" w:cs="楷体"/>
          <w:color w:val="auto"/>
          <w:sz w:val="28"/>
          <w:szCs w:val="28"/>
          <w:highlight w:val="none"/>
        </w:rPr>
      </w:pPr>
      <w:r>
        <w:rPr>
          <w:rFonts w:hint="eastAsia" w:ascii="仿宋_GB2312" w:hAnsi="宋体" w:eastAsia="仿宋_GB2312" w:cs="Times New Roman"/>
          <w:color w:val="auto"/>
          <w:sz w:val="28"/>
          <w:szCs w:val="28"/>
          <w:highlight w:val="none"/>
        </w:rPr>
        <w:t>①</w:t>
      </w:r>
      <w:bookmarkStart w:id="272" w:name="OLE_LINK104"/>
      <w:bookmarkStart w:id="273" w:name="OLE_LINK106"/>
      <w:bookmarkStart w:id="274" w:name="OLE_LINK105"/>
      <w:r>
        <w:rPr>
          <w:rFonts w:hint="eastAsia" w:ascii="仿宋_GB2312" w:hAnsi="宋体" w:eastAsia="仿宋_GB2312" w:cs="Times New Roman"/>
          <w:color w:val="auto"/>
          <w:sz w:val="28"/>
          <w:szCs w:val="28"/>
          <w:highlight w:val="none"/>
        </w:rPr>
        <w:t>被列入“政府采购严重违法失信行为信息记录”的</w:t>
      </w:r>
      <w:bookmarkEnd w:id="272"/>
      <w:bookmarkEnd w:id="273"/>
      <w:bookmarkEnd w:id="274"/>
      <w:r>
        <w:rPr>
          <w:rFonts w:hint="eastAsia" w:ascii="仿宋_GB2312" w:hAnsi="宋体" w:eastAsia="仿宋_GB2312" w:cs="楷体"/>
          <w:color w:val="auto"/>
          <w:sz w:val="28"/>
          <w:szCs w:val="28"/>
          <w:highlight w:val="none"/>
        </w:rPr>
        <w:t>。</w:t>
      </w:r>
    </w:p>
    <w:p w14:paraId="6F4CDE8F">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4、由竞争主体进行承诺，不进行现场网上信用查询的失信行为：</w:t>
      </w:r>
    </w:p>
    <w:p w14:paraId="47D1DE34">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s="Times New Roman"/>
          <w:color w:val="auto"/>
          <w:sz w:val="28"/>
          <w:szCs w:val="28"/>
          <w:highlight w:val="none"/>
        </w:rPr>
        <w:t>。</w:t>
      </w:r>
    </w:p>
    <w:p w14:paraId="1F65D25A">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二、在开评标活动中的查询程序</w:t>
      </w:r>
    </w:p>
    <w:p w14:paraId="1A7C3B25">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515837D">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08656277">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3、项目单位及其委托的代理机构应当做好信用查询结果截图和记录留存。</w:t>
      </w:r>
    </w:p>
    <w:p w14:paraId="4DB0E4A3">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三、相关要求</w:t>
      </w:r>
    </w:p>
    <w:p w14:paraId="453D5569">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0BF15F66">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4270A0B">
      <w:pPr>
        <w:wordWrap w:val="0"/>
        <w:adjustRightInd w:val="0"/>
        <w:snapToGrid w:val="0"/>
        <w:spacing w:line="560" w:lineRule="exact"/>
        <w:ind w:firstLine="560" w:firstLineChars="200"/>
        <w:rPr>
          <w:rFonts w:ascii="Times New Roman" w:hAnsi="Times New Roman" w:eastAsia="宋体" w:cs="Times New Roman"/>
          <w:color w:val="auto"/>
          <w:szCs w:val="24"/>
          <w:highlight w:val="none"/>
        </w:rPr>
      </w:pPr>
      <w:r>
        <w:rPr>
          <w:rFonts w:hint="eastAsia" w:ascii="仿宋_GB2312" w:hAnsi="宋体" w:eastAsia="仿宋_GB2312" w:cs="Times New Roman"/>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Fonts w:hint="eastAsia" w:ascii="仿宋_GB2312" w:hAnsi="宋体" w:eastAsia="仿宋_GB2312" w:cs="Times New Roman"/>
          <w:color w:val="auto"/>
          <w:sz w:val="28"/>
          <w:szCs w:val="28"/>
          <w:highlight w:val="none"/>
        </w:rPr>
        <w:t>https://credit.ah.gov.cn/xinyong-fuwu/xvbahv/index.html</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28D79BFE">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2、“信用中国”查询的严重失信行为判定依据为各行业主管部门下发的联合惩戒文件中规定的行为（按附件2执行）。</w:t>
      </w:r>
    </w:p>
    <w:p w14:paraId="7D462433">
      <w:pPr>
        <w:adjustRightInd w:val="0"/>
        <w:snapToGrid w:val="0"/>
        <w:spacing w:line="560" w:lineRule="exact"/>
        <w:ind w:firstLine="560" w:firstLineChars="200"/>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3、资格预审的项目以递交资格预审申请文件截止时间查询为准；资格后审的项目以递交投标文件截止时间查询为准。</w:t>
      </w:r>
    </w:p>
    <w:p w14:paraId="77C2DDCF">
      <w:pPr>
        <w:ind w:right="960"/>
        <w:rPr>
          <w:rFonts w:ascii="仿宋" w:hAnsi="仿宋" w:eastAsia="仿宋"/>
          <w:color w:val="auto"/>
          <w:sz w:val="32"/>
          <w:szCs w:val="32"/>
          <w:highlight w:val="none"/>
        </w:rPr>
      </w:pPr>
    </w:p>
    <w:p w14:paraId="3692DFAD">
      <w:pPr>
        <w:ind w:right="960"/>
        <w:rPr>
          <w:rFonts w:ascii="仿宋" w:hAnsi="仿宋" w:eastAsia="仿宋"/>
          <w:color w:val="auto"/>
          <w:sz w:val="32"/>
          <w:szCs w:val="32"/>
          <w:highlight w:val="none"/>
        </w:rPr>
      </w:pPr>
    </w:p>
    <w:p w14:paraId="649442A1">
      <w:pPr>
        <w:ind w:right="960"/>
        <w:rPr>
          <w:rFonts w:ascii="仿宋" w:hAnsi="仿宋" w:eastAsia="仿宋"/>
          <w:color w:val="auto"/>
          <w:sz w:val="32"/>
          <w:szCs w:val="32"/>
          <w:highlight w:val="none"/>
        </w:rPr>
      </w:pPr>
    </w:p>
    <w:p w14:paraId="3854949C">
      <w:pPr>
        <w:ind w:right="960"/>
        <w:rPr>
          <w:rFonts w:ascii="仿宋" w:hAnsi="仿宋" w:eastAsia="仿宋"/>
          <w:color w:val="auto"/>
          <w:sz w:val="32"/>
          <w:szCs w:val="32"/>
          <w:highlight w:val="none"/>
        </w:rPr>
      </w:pPr>
    </w:p>
    <w:p w14:paraId="15C38999">
      <w:pPr>
        <w:ind w:right="960"/>
        <w:rPr>
          <w:rFonts w:ascii="仿宋" w:hAnsi="仿宋" w:eastAsia="仿宋"/>
          <w:color w:val="auto"/>
          <w:sz w:val="32"/>
          <w:szCs w:val="32"/>
          <w:highlight w:val="none"/>
        </w:rPr>
      </w:pPr>
    </w:p>
    <w:p w14:paraId="62BADA9F">
      <w:pPr>
        <w:ind w:right="960"/>
        <w:rPr>
          <w:rFonts w:ascii="仿宋" w:hAnsi="仿宋" w:eastAsia="仿宋"/>
          <w:color w:val="auto"/>
          <w:sz w:val="32"/>
          <w:szCs w:val="32"/>
          <w:highlight w:val="none"/>
        </w:rPr>
      </w:pPr>
    </w:p>
    <w:p w14:paraId="453D9193">
      <w:pPr>
        <w:ind w:right="960"/>
        <w:rPr>
          <w:rFonts w:ascii="仿宋" w:hAnsi="仿宋" w:eastAsia="仿宋"/>
          <w:color w:val="auto"/>
          <w:sz w:val="32"/>
          <w:szCs w:val="32"/>
          <w:highlight w:val="none"/>
        </w:rPr>
      </w:pPr>
    </w:p>
    <w:p w14:paraId="6385CFE2">
      <w:pPr>
        <w:ind w:right="960"/>
        <w:rPr>
          <w:rFonts w:ascii="仿宋" w:hAnsi="仿宋" w:eastAsia="仿宋"/>
          <w:color w:val="auto"/>
          <w:sz w:val="32"/>
          <w:szCs w:val="32"/>
          <w:highlight w:val="none"/>
        </w:rPr>
      </w:pPr>
    </w:p>
    <w:p w14:paraId="6D555817">
      <w:pPr>
        <w:ind w:right="960"/>
        <w:rPr>
          <w:rFonts w:ascii="仿宋" w:hAnsi="仿宋" w:eastAsia="仿宋"/>
          <w:color w:val="auto"/>
          <w:sz w:val="32"/>
          <w:szCs w:val="32"/>
          <w:highlight w:val="none"/>
        </w:rPr>
      </w:pPr>
    </w:p>
    <w:p w14:paraId="50C70B45">
      <w:pPr>
        <w:keepNext/>
        <w:keepLines/>
        <w:spacing w:before="200" w:after="200" w:line="600" w:lineRule="exact"/>
        <w:outlineLvl w:val="0"/>
        <w:rPr>
          <w:rFonts w:ascii="黑体" w:hAnsi="黑体" w:eastAsia="黑体" w:cs="Times New Roman"/>
          <w:b/>
          <w:bCs/>
          <w:color w:val="auto"/>
          <w:kern w:val="44"/>
          <w:sz w:val="36"/>
          <w:szCs w:val="28"/>
          <w:highlight w:val="none"/>
        </w:rPr>
      </w:pPr>
      <w:bookmarkStart w:id="275" w:name="_Toc95223549"/>
      <w:bookmarkStart w:id="276" w:name="OLE_LINK32"/>
      <w:bookmarkStart w:id="277" w:name="OLE_LINK31"/>
      <w:bookmarkStart w:id="278" w:name="OLE_LINK41"/>
      <w:r>
        <w:rPr>
          <w:rFonts w:hint="eastAsia" w:ascii="黑体" w:hAnsi="黑体" w:eastAsia="黑体" w:cs="Times New Roman"/>
          <w:b/>
          <w:bCs/>
          <w:color w:val="auto"/>
          <w:kern w:val="44"/>
          <w:sz w:val="36"/>
          <w:szCs w:val="28"/>
          <w:highlight w:val="none"/>
        </w:rPr>
        <w:br w:type="page"/>
      </w:r>
      <w:r>
        <w:rPr>
          <w:rFonts w:hint="eastAsia" w:ascii="黑体" w:hAnsi="黑体" w:eastAsia="黑体" w:cs="Times New Roman"/>
          <w:b/>
          <w:bCs/>
          <w:color w:val="auto"/>
          <w:kern w:val="44"/>
          <w:sz w:val="36"/>
          <w:szCs w:val="28"/>
          <w:highlight w:val="none"/>
        </w:rPr>
        <w:t xml:space="preserve">附件2 </w:t>
      </w:r>
      <w:bookmarkStart w:id="279" w:name="OLE_LINK75"/>
      <w:bookmarkStart w:id="280" w:name="OLE_LINK74"/>
      <w:r>
        <w:rPr>
          <w:rFonts w:hint="eastAsia" w:ascii="黑体" w:hAnsi="黑体" w:eastAsia="黑体" w:cs="Times New Roman"/>
          <w:b/>
          <w:bCs/>
          <w:color w:val="auto"/>
          <w:kern w:val="44"/>
          <w:sz w:val="36"/>
          <w:szCs w:val="28"/>
          <w:highlight w:val="none"/>
        </w:rPr>
        <w:t>“信用中国”查询的严重失信行为</w:t>
      </w:r>
      <w:bookmarkStart w:id="281" w:name="OLE_LINK76"/>
      <w:bookmarkStart w:id="282" w:name="OLE_LINK38"/>
      <w:bookmarkStart w:id="283" w:name="OLE_LINK39"/>
      <w:bookmarkStart w:id="284" w:name="OLE_LINK40"/>
      <w:r>
        <w:rPr>
          <w:rFonts w:hint="eastAsia" w:ascii="黑体" w:hAnsi="黑体" w:eastAsia="黑体" w:cs="Times New Roman"/>
          <w:b/>
          <w:bCs/>
          <w:color w:val="auto"/>
          <w:kern w:val="44"/>
          <w:sz w:val="36"/>
          <w:szCs w:val="28"/>
          <w:highlight w:val="none"/>
        </w:rPr>
        <w:t>类别及判定依据</w:t>
      </w:r>
      <w:bookmarkEnd w:id="275"/>
      <w:bookmarkEnd w:id="279"/>
      <w:bookmarkEnd w:id="280"/>
      <w:bookmarkEnd w:id="281"/>
      <w:bookmarkEnd w:id="282"/>
      <w:bookmarkEnd w:id="283"/>
      <w:bookmarkEnd w:id="284"/>
    </w:p>
    <w:bookmarkEnd w:id="276"/>
    <w:bookmarkEnd w:id="277"/>
    <w:bookmarkEnd w:id="278"/>
    <w:p w14:paraId="21BFF4B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32"/>
          <w:szCs w:val="32"/>
          <w:highlight w:val="none"/>
        </w:rPr>
        <w:t>“</w:t>
      </w:r>
      <w:r>
        <w:rPr>
          <w:rFonts w:hint="eastAsia" w:ascii="仿宋_GB2312" w:hAnsi="宋体" w:eastAsia="仿宋_GB2312" w:cs="Times New Roman"/>
          <w:color w:val="auto"/>
          <w:sz w:val="28"/>
          <w:szCs w:val="28"/>
          <w:highlight w:val="none"/>
        </w:rPr>
        <w:t>信用中国”查询的严重失信行为判定依据为各行业主管部门下发的联合惩戒文件中规定的行为。下面将部分类别的严重失信行为列举如下：</w:t>
      </w:r>
    </w:p>
    <w:p w14:paraId="68A52B66">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一、安全生产领域严重失信行为：</w:t>
      </w:r>
    </w:p>
    <w:p w14:paraId="754C960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（一）下列发生生产安全事故的生产经营单位及其有关人员应当列入严重失信主体名单：</w:t>
      </w:r>
    </w:p>
    <w:p w14:paraId="4414615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1、发生特别重大、重大生产安全事故的生产经营单位及其主要负责人，以及经调查认定对该事故发生负有责任，应当列入名单的其他单位和人员；</w:t>
      </w:r>
    </w:p>
    <w:p w14:paraId="51DDFF2A">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2、12个月内累计发生2起以上较大生产安全事故的生产经营单位及其主要负责人；</w:t>
      </w:r>
    </w:p>
    <w:p w14:paraId="06C230B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2D418EF0">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4、瞒报、谎报生产安全事故的生产经营单位及其有关责任人员；</w:t>
      </w:r>
    </w:p>
    <w:p w14:paraId="03B56E6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5、发生生产安全事故后，不立即组织抢救或者在事故调查处理期间擅离职守或者逃匿的生产经营单位主要负责人。</w:t>
      </w:r>
    </w:p>
    <w:p w14:paraId="1E040CF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（二）下列未发生生产安全事故，但因安全生产违法行为，受到行政处罚的生产经营单位或者机构及其有关人员，应当列入严重失信主体名单：</w:t>
      </w:r>
    </w:p>
    <w:p w14:paraId="7DF71077">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1、未依法取得安全生产相关许可或者许可被暂扣、吊销期间从事相关生产经营活动的生产经营单位及其主要负责人；</w:t>
      </w:r>
    </w:p>
    <w:p w14:paraId="7EE7098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2、承担安全评价、认证、检测、检验职责的机构及其直接责任人员租借资质、挂靠、出具虚假报告或者证书的；</w:t>
      </w:r>
    </w:p>
    <w:p w14:paraId="1E8C0221">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3、在应急管理部门作出行政处罚后，有执行能力拒不执行或者逃避执行的生产经营单位及其主要负责人；</w:t>
      </w:r>
    </w:p>
    <w:p w14:paraId="61A4F68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4、其他违反安全生产法律法规受到行政处罚，且性质恶劣、情节严重的。</w:t>
      </w:r>
    </w:p>
    <w:p w14:paraId="355DFC15">
      <w:pPr>
        <w:adjustRightInd w:val="0"/>
        <w:snapToGrid w:val="0"/>
        <w:spacing w:line="560" w:lineRule="exact"/>
        <w:ind w:firstLine="645"/>
        <w:jc w:val="left"/>
        <w:rPr>
          <w:rFonts w:ascii="仿宋_GB2312" w:hAnsi="Calibri"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依据：《安全生产严重失信主体名单管理办法》</w:t>
      </w:r>
      <w:r>
        <w:rPr>
          <w:rFonts w:hint="eastAsia" w:ascii="仿宋_GB2312" w:hAnsi="Calibri" w:eastAsia="仿宋_GB2312" w:cs="Times New Roman"/>
          <w:b/>
          <w:color w:val="auto"/>
          <w:sz w:val="28"/>
          <w:szCs w:val="28"/>
          <w:highlight w:val="none"/>
        </w:rPr>
        <w:t>（2023年8月8日应急管理部令第11号）</w:t>
      </w:r>
    </w:p>
    <w:p w14:paraId="07919C2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6E212E57">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二、环境保护领域严重失信行为：</w:t>
      </w:r>
    </w:p>
    <w:p w14:paraId="015C684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环境犯罪</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370A22FB">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建设项目环境影响评价</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文件未按规定通过审批，擅自开工建设的；</w:t>
      </w:r>
    </w:p>
    <w:p w14:paraId="586583D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竣工环保验收</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或者验收不合格，主体工程正式投入生产或者使用的；</w:t>
      </w:r>
    </w:p>
    <w:p w14:paraId="408804D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（四）建设项目性质、规模、地点、采用的生产工艺或者防治污染、防止生态破坏的措施发生重大变动，未重新报批环境影响评价文件，擅自投入生产或者使用的；</w:t>
      </w:r>
    </w:p>
    <w:p w14:paraId="4D7E7162">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（五）主要污染物排放总量超过控制指标的；</w:t>
      </w:r>
    </w:p>
    <w:p w14:paraId="402B3F7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渗井</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大气污染物</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的；</w:t>
      </w:r>
    </w:p>
    <w:p w14:paraId="777D44D4">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经营许可证</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或者超出经营许可范围的单位或个人提供或者委托其收集、贮存、利用、处置危险废物的；</w:t>
      </w:r>
    </w:p>
    <w:p w14:paraId="6B15737D">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环境违法行为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造成集中式生活饮用水水源取水中断的；</w:t>
      </w:r>
    </w:p>
    <w:p w14:paraId="6A7D95C8">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国家重点生态功能区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Fonts w:hint="eastAsia" w:ascii="仿宋_GB2312" w:hAnsi="宋体" w:eastAsia="仿宋_GB2312" w:cs="Times New Roman"/>
          <w:color w:val="auto"/>
          <w:sz w:val="28"/>
          <w:szCs w:val="28"/>
          <w:highlight w:val="none"/>
        </w:rPr>
        <w:t>基本农田保护区</w:t>
      </w:r>
      <w:r>
        <w:rPr>
          <w:rFonts w:hint="eastAsia" w:ascii="仿宋_GB2312" w:hAnsi="宋体" w:eastAsia="仿宋_GB2312" w:cs="Times New Roman"/>
          <w:color w:val="auto"/>
          <w:sz w:val="28"/>
          <w:szCs w:val="28"/>
          <w:highlight w:val="none"/>
        </w:rPr>
        <w:fldChar w:fldCharType="end"/>
      </w:r>
      <w:r>
        <w:rPr>
          <w:rFonts w:hint="eastAsia" w:ascii="仿宋_GB2312" w:hAnsi="宋体" w:eastAsia="仿宋_GB2312" w:cs="Times New Roman"/>
          <w:color w:val="auto"/>
          <w:sz w:val="28"/>
          <w:szCs w:val="28"/>
          <w:highlight w:val="none"/>
        </w:rPr>
        <w:t>等环境敏感区造成重大不利影响的；</w:t>
      </w:r>
    </w:p>
    <w:p w14:paraId="7556AB7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（十）违法从事自然资源开发、交通基础设施建设，以及其他开发建设活动，造成严重生态破坏的；</w:t>
      </w:r>
    </w:p>
    <w:p w14:paraId="243EF7FE">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（十一）发生较大及以上突发环境事件的；</w:t>
      </w:r>
    </w:p>
    <w:p w14:paraId="0FFB8273">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（十二）被环保部门挂牌督办，整改逾期未完成的；</w:t>
      </w:r>
    </w:p>
    <w:p w14:paraId="0294CCE6">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（十三）以暴力、威胁等方式拒绝、阻挠环保部门工作人员现场检查的；</w:t>
      </w:r>
    </w:p>
    <w:p w14:paraId="446DECA9">
      <w:pPr>
        <w:adjustRightInd w:val="0"/>
        <w:snapToGrid w:val="0"/>
        <w:spacing w:line="560" w:lineRule="exact"/>
        <w:ind w:firstLine="645"/>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（十四）违反重污染天气应急预案有关规定，对重污染天气响应不力的。</w:t>
      </w:r>
    </w:p>
    <w:p w14:paraId="7DF48A5B">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85" w:name="OLE_LINK10"/>
      <w:bookmarkStart w:id="286" w:name="OLE_LINK9"/>
      <w:bookmarkStart w:id="287" w:name="OLE_LINK8"/>
      <w:r>
        <w:rPr>
          <w:rFonts w:hint="eastAsia" w:ascii="仿宋_GB2312" w:hAnsi="宋体" w:eastAsia="仿宋_GB2312" w:cs="Times New Roman"/>
          <w:b/>
          <w:color w:val="auto"/>
          <w:sz w:val="28"/>
          <w:szCs w:val="28"/>
          <w:highlight w:val="none"/>
        </w:rPr>
        <w:t>关于对环境保护领域失信生产经营单位及其有关人员开展联合惩戒的合作备忘录</w:t>
      </w:r>
      <w:bookmarkEnd w:id="285"/>
      <w:bookmarkEnd w:id="286"/>
      <w:bookmarkEnd w:id="287"/>
      <w:r>
        <w:rPr>
          <w:rFonts w:hint="eastAsia" w:ascii="仿宋_GB2312" w:hAnsi="宋体" w:eastAsia="仿宋_GB2312" w:cs="Times New Roman"/>
          <w:b/>
          <w:color w:val="auto"/>
          <w:sz w:val="28"/>
          <w:szCs w:val="28"/>
          <w:highlight w:val="none"/>
        </w:rPr>
        <w:t>》、《</w:t>
      </w:r>
      <w:bookmarkStart w:id="288" w:name="OLE_LINK11"/>
      <w:bookmarkStart w:id="289" w:name="OLE_LINK12"/>
      <w:r>
        <w:rPr>
          <w:rFonts w:hint="eastAsia" w:ascii="仿宋_GB2312" w:hAnsi="宋体" w:eastAsia="仿宋_GB2312" w:cs="Times New Roman"/>
          <w:b/>
          <w:color w:val="auto"/>
          <w:sz w:val="28"/>
          <w:szCs w:val="28"/>
          <w:highlight w:val="none"/>
        </w:rPr>
        <w:t>企业环境信用评价办法（试行）</w:t>
      </w:r>
      <w:bookmarkEnd w:id="288"/>
      <w:bookmarkEnd w:id="289"/>
      <w:r>
        <w:rPr>
          <w:rFonts w:hint="eastAsia" w:ascii="仿宋_GB2312" w:hAnsi="宋体" w:eastAsia="仿宋_GB2312" w:cs="Times New Roman"/>
          <w:b/>
          <w:color w:val="auto"/>
          <w:sz w:val="28"/>
          <w:szCs w:val="28"/>
          <w:highlight w:val="none"/>
        </w:rPr>
        <w:t>》（环发〔2013〕150号）</w:t>
      </w:r>
    </w:p>
    <w:p w14:paraId="6DF3D388">
      <w:pPr>
        <w:adjustRightInd w:val="0"/>
        <w:snapToGrid w:val="0"/>
        <w:spacing w:line="560" w:lineRule="exact"/>
        <w:ind w:firstLine="645"/>
        <w:jc w:val="left"/>
        <w:rPr>
          <w:rFonts w:ascii="仿宋_GB2312" w:hAnsi="宋体" w:eastAsia="仿宋_GB2312" w:cs="Times New Roman"/>
          <w:b/>
          <w:color w:val="auto"/>
          <w:sz w:val="28"/>
          <w:szCs w:val="28"/>
          <w:highlight w:val="none"/>
        </w:rPr>
      </w:pPr>
    </w:p>
    <w:p w14:paraId="627433ED">
      <w:pPr>
        <w:adjustRightInd w:val="0"/>
        <w:snapToGrid w:val="0"/>
        <w:spacing w:line="560" w:lineRule="exact"/>
        <w:ind w:firstLine="645"/>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三、</w:t>
      </w:r>
      <w:r>
        <w:rPr>
          <w:rFonts w:hint="eastAsia" w:ascii="仿宋_GB2312" w:hAnsi="宋体" w:eastAsia="仿宋_GB2312" w:cs="Times New Roman"/>
          <w:b/>
          <w:bCs/>
          <w:color w:val="auto"/>
          <w:sz w:val="28"/>
          <w:szCs w:val="28"/>
          <w:highlight w:val="none"/>
        </w:rPr>
        <w:t>公共资源交易领域严重失信行为</w:t>
      </w:r>
    </w:p>
    <w:p w14:paraId="49DED0F2">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（一）违反法律规定，必须进行招标的项目而不招标的，将必须进行招标的项目化整为零或者以其他任何方式规避招标的； </w:t>
      </w:r>
    </w:p>
    <w:p w14:paraId="01F1E05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4E3340F6">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430321B8">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566542A0">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（五）投标人相互串通投标或者与招标人串通投标的，投标人以向招标人或者评标委员会成员行贿的手段谋取中标的； </w:t>
      </w:r>
    </w:p>
    <w:p w14:paraId="3A3AD22C">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（六）投标人以他人名义投标或者以其他方式弄虚作假，骗取中标的；</w:t>
      </w:r>
    </w:p>
    <w:p w14:paraId="1CA3A27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（七）依法必须进行招标的项目，招标人违反法律规定，与投标人就投标价格、投标方案等实质性内容进行谈判的；</w:t>
      </w:r>
    </w:p>
    <w:p w14:paraId="0AE3E40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1BCB886B">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3573B167">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4DF6BF89">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（十一）招标人与中标人不按照招标文件和中标人的投标文件订立合同的，或者招标人、中标人订立背离合同实质性内容的 协议的； </w:t>
      </w:r>
    </w:p>
    <w:p w14:paraId="4C79A4B4">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（十二）中标人不按照与招标人订立的合同履行义务，情节严重的； </w:t>
      </w:r>
    </w:p>
    <w:p w14:paraId="566A158F">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4727D9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755A898">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 （十五）采购人对应当实行集中采购的政府采购项目，不委托集中采购机构实行集中采购的； </w:t>
      </w:r>
    </w:p>
    <w:p w14:paraId="2845BD73">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（十六）采购人、采购代理机构违反法律规定隐匿、销毁应当保存的采购文件或者伪造、变造采购文件的； </w:t>
      </w:r>
    </w:p>
    <w:p w14:paraId="0E331991">
      <w:pPr>
        <w:adjustRightInd w:val="0"/>
        <w:snapToGrid w:val="0"/>
        <w:spacing w:line="560" w:lineRule="exact"/>
        <w:ind w:firstLine="645"/>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3ADB3A2">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（十八）疫苗生产企业向县级疾病预防控制机构以外的单位或者个人销售第二类疫苗的； </w:t>
      </w:r>
    </w:p>
    <w:p w14:paraId="68AC2D00">
      <w:pPr>
        <w:adjustRightInd w:val="0"/>
        <w:snapToGrid w:val="0"/>
        <w:spacing w:line="560" w:lineRule="exact"/>
        <w:ind w:left="141" w:leftChars="67" w:firstLine="420" w:firstLineChars="150"/>
        <w:jc w:val="left"/>
        <w:rPr>
          <w:rFonts w:ascii="仿宋_GB2312" w:hAnsi="宋体"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（十九）存在其他违反公共资源交易法律法规行为的。</w:t>
      </w:r>
    </w:p>
    <w:p w14:paraId="6E1E41D1">
      <w:pPr>
        <w:adjustRightInd w:val="0"/>
        <w:snapToGrid w:val="0"/>
        <w:spacing w:line="560" w:lineRule="exact"/>
        <w:ind w:firstLine="894" w:firstLineChars="318"/>
        <w:jc w:val="left"/>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依据：《</w:t>
      </w:r>
      <w:bookmarkStart w:id="290" w:name="OLE_LINK13"/>
      <w:bookmarkStart w:id="291" w:name="OLE_LINK14"/>
      <w:r>
        <w:rPr>
          <w:rFonts w:hint="eastAsia" w:ascii="仿宋_GB2312" w:hAnsi="宋体" w:eastAsia="仿宋_GB2312" w:cs="Times New Roman"/>
          <w:b/>
          <w:color w:val="auto"/>
          <w:sz w:val="28"/>
          <w:szCs w:val="28"/>
          <w:highlight w:val="none"/>
        </w:rPr>
        <w:t>关于对公共资源交易领域严重失信主体开展联合惩戒的备忘录</w:t>
      </w:r>
      <w:bookmarkEnd w:id="290"/>
      <w:bookmarkEnd w:id="291"/>
      <w:r>
        <w:rPr>
          <w:rFonts w:hint="eastAsia" w:ascii="仿宋_GB2312" w:hAnsi="宋体" w:eastAsia="仿宋_GB2312" w:cs="Times New Roman"/>
          <w:b/>
          <w:color w:val="auto"/>
          <w:sz w:val="28"/>
          <w:szCs w:val="28"/>
          <w:highlight w:val="none"/>
        </w:rPr>
        <w:t>》（发改法规〔2018〕457号）</w:t>
      </w:r>
    </w:p>
    <w:p w14:paraId="75F163E1">
      <w:pPr>
        <w:adjustRightInd w:val="0"/>
        <w:snapToGrid w:val="0"/>
        <w:spacing w:line="560" w:lineRule="exact"/>
        <w:ind w:firstLine="645"/>
        <w:jc w:val="left"/>
        <w:rPr>
          <w:rFonts w:ascii="仿宋_GB2312" w:hAnsi="宋体" w:eastAsia="仿宋_GB2312" w:cs="Times New Roman"/>
          <w:color w:val="auto"/>
          <w:sz w:val="28"/>
          <w:szCs w:val="28"/>
          <w:highlight w:val="none"/>
        </w:rPr>
      </w:pPr>
    </w:p>
    <w:p w14:paraId="71EFC8C7">
      <w:pPr>
        <w:adjustRightInd w:val="0"/>
        <w:snapToGrid w:val="0"/>
        <w:spacing w:line="560" w:lineRule="exact"/>
        <w:ind w:firstLine="645"/>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四、</w:t>
      </w:r>
      <w:r>
        <w:rPr>
          <w:rFonts w:hint="eastAsia" w:ascii="仿宋_GB2312" w:hAnsi="宋体" w:eastAsia="仿宋_GB2312" w:cs="Times New Roman"/>
          <w:b/>
          <w:bCs/>
          <w:color w:val="auto"/>
          <w:sz w:val="28"/>
          <w:szCs w:val="28"/>
          <w:highlight w:val="none"/>
        </w:rPr>
        <w:t>社会保险领域严重失信行为</w:t>
      </w:r>
    </w:p>
    <w:p w14:paraId="3495EE62">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（一）用人单位未按相关规定参加社会保险且拒不整改的； </w:t>
      </w:r>
    </w:p>
    <w:p w14:paraId="105F109C">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（二）用人单位未如实申报社会保险缴费基数且拒不整改的； </w:t>
      </w:r>
    </w:p>
    <w:p w14:paraId="3F0D2A1A">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（三）应缴纳社会保险费却拒不缴纳的； </w:t>
      </w:r>
    </w:p>
    <w:p w14:paraId="34B62BE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（四）隐匿、转移、侵占、挪用社会保险费款、基金或者违规投资运营的；</w:t>
      </w:r>
    </w:p>
    <w:p w14:paraId="2235CF0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（五）以欺诈、伪造证明材料或者其他手段参加、申报社会保险和骗取社会保险基金支出或社会保险待遇的； </w:t>
      </w:r>
    </w:p>
    <w:p w14:paraId="0075A683">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（六）非法获取、出售或变相交易社会保险个人权益数据的； </w:t>
      </w:r>
    </w:p>
    <w:p w14:paraId="59EAA6F8">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（七）社会保险服务机构违反服务协议或相关规定的； </w:t>
      </w:r>
    </w:p>
    <w:p w14:paraId="68E531E9">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204A8B8E">
      <w:pPr>
        <w:adjustRightInd w:val="0"/>
        <w:snapToGrid w:val="0"/>
        <w:spacing w:line="560" w:lineRule="exact"/>
        <w:ind w:left="141" w:leftChars="67" w:firstLine="420" w:firstLineChars="15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（九）其他违反法律法规规定的。</w:t>
      </w:r>
    </w:p>
    <w:p w14:paraId="0F686615">
      <w:pPr>
        <w:adjustRightInd w:val="0"/>
        <w:snapToGrid w:val="0"/>
        <w:spacing w:line="560" w:lineRule="exact"/>
        <w:ind w:firstLine="551" w:firstLineChars="196"/>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2" w:name="OLE_LINK16"/>
      <w:bookmarkStart w:id="293" w:name="OLE_LINK15"/>
      <w:r>
        <w:rPr>
          <w:rFonts w:hint="eastAsia" w:ascii="仿宋_GB2312" w:hAnsi="Calibri" w:eastAsia="仿宋_GB2312" w:cs="Times New Roman"/>
          <w:b/>
          <w:color w:val="auto"/>
          <w:sz w:val="28"/>
          <w:szCs w:val="28"/>
          <w:highlight w:val="none"/>
        </w:rPr>
        <w:t>关于对社会保险领域严重失信企业及其有关人员实施联合惩戒的合作备忘录</w:t>
      </w:r>
      <w:bookmarkEnd w:id="292"/>
      <w:bookmarkEnd w:id="293"/>
      <w:r>
        <w:rPr>
          <w:rFonts w:hint="eastAsia" w:ascii="仿宋_GB2312" w:hAnsi="Calibri" w:eastAsia="仿宋_GB2312" w:cs="Times New Roman"/>
          <w:b/>
          <w:color w:val="auto"/>
          <w:sz w:val="28"/>
          <w:szCs w:val="28"/>
          <w:highlight w:val="none"/>
        </w:rPr>
        <w:t>》（发改财金〔2018〕1704号）</w:t>
      </w:r>
    </w:p>
    <w:p w14:paraId="646A1973">
      <w:pPr>
        <w:adjustRightInd w:val="0"/>
        <w:snapToGrid w:val="0"/>
        <w:spacing w:line="560" w:lineRule="exact"/>
        <w:jc w:val="left"/>
        <w:rPr>
          <w:rFonts w:ascii="仿宋_GB2312" w:hAnsi="宋体" w:eastAsia="仿宋_GB2312" w:cs="Times New Roman"/>
          <w:color w:val="auto"/>
          <w:sz w:val="28"/>
          <w:szCs w:val="28"/>
          <w:highlight w:val="none"/>
        </w:rPr>
      </w:pPr>
      <w:r>
        <w:rPr>
          <w:rFonts w:hint="eastAsia" w:ascii="仿宋_GB2312" w:hAnsi="宋体" w:eastAsia="仿宋_GB2312" w:cs="Times New Roman"/>
          <w:color w:val="auto"/>
          <w:sz w:val="28"/>
          <w:szCs w:val="28"/>
          <w:highlight w:val="none"/>
        </w:rPr>
        <w:t xml:space="preserve">     </w:t>
      </w:r>
    </w:p>
    <w:p w14:paraId="1F5F8837">
      <w:pPr>
        <w:adjustRightInd w:val="0"/>
        <w:snapToGrid w:val="0"/>
        <w:spacing w:line="560" w:lineRule="exact"/>
        <w:ind w:firstLine="562" w:firstLineChars="200"/>
        <w:jc w:val="left"/>
        <w:rPr>
          <w:rFonts w:ascii="仿宋_GB2312" w:hAnsi="宋体" w:eastAsia="仿宋_GB2312" w:cs="Times New Roman"/>
          <w:b/>
          <w:bCs/>
          <w:color w:val="auto"/>
          <w:sz w:val="28"/>
          <w:szCs w:val="28"/>
          <w:highlight w:val="none"/>
        </w:rPr>
      </w:pPr>
      <w:r>
        <w:rPr>
          <w:rFonts w:hint="eastAsia" w:ascii="仿宋_GB2312" w:hAnsi="宋体" w:eastAsia="仿宋_GB2312" w:cs="Times New Roman"/>
          <w:b/>
          <w:color w:val="auto"/>
          <w:sz w:val="28"/>
          <w:szCs w:val="28"/>
          <w:highlight w:val="none"/>
        </w:rPr>
        <w:t>五、建筑市场领域</w:t>
      </w:r>
      <w:r>
        <w:rPr>
          <w:rFonts w:hint="eastAsia" w:ascii="仿宋_GB2312" w:hAnsi="宋体" w:eastAsia="仿宋_GB2312" w:cs="Times New Roman"/>
          <w:b/>
          <w:bCs/>
          <w:color w:val="auto"/>
          <w:sz w:val="28"/>
          <w:szCs w:val="28"/>
          <w:highlight w:val="none"/>
        </w:rPr>
        <w:t>严重失信行为</w:t>
      </w:r>
    </w:p>
    <w:p w14:paraId="3A779989">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（一）利用虚假材料、以欺骗手段取得企业资质的；</w:t>
      </w:r>
    </w:p>
    <w:p w14:paraId="63BB1211">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（二）发生转包、出借资质，受到行政处罚的；</w:t>
      </w:r>
    </w:p>
    <w:p w14:paraId="2D9561BA">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15CEA1EB">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（四）经法院判决或仲裁机构裁决，认定为拖欠工程款,且拒不履行生效法律文书确定的义务的。</w:t>
      </w:r>
    </w:p>
    <w:p w14:paraId="7F0EE512">
      <w:pPr>
        <w:adjustRightInd w:val="0"/>
        <w:snapToGrid w:val="0"/>
        <w:spacing w:line="560" w:lineRule="exact"/>
        <w:ind w:firstLine="560" w:firstLineChars="200"/>
        <w:jc w:val="left"/>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1DB007D3">
      <w:pPr>
        <w:ind w:firstLine="562" w:firstLineChars="200"/>
        <w:jc w:val="left"/>
        <w:rPr>
          <w:rFonts w:ascii="宋体" w:hAnsi="宋体" w:eastAsia="宋体" w:cs="Times New Roman"/>
          <w:color w:val="auto"/>
          <w:sz w:val="28"/>
          <w:szCs w:val="28"/>
          <w:highlight w:val="none"/>
        </w:rPr>
      </w:pPr>
      <w:r>
        <w:rPr>
          <w:rFonts w:hint="eastAsia" w:ascii="仿宋_GB2312" w:hAnsi="Calibri" w:eastAsia="仿宋_GB2312" w:cs="Times New Roman"/>
          <w:b/>
          <w:color w:val="auto"/>
          <w:sz w:val="28"/>
          <w:szCs w:val="28"/>
          <w:highlight w:val="none"/>
        </w:rPr>
        <w:t>依据：《</w:t>
      </w:r>
      <w:bookmarkStart w:id="294" w:name="OLE_LINK17"/>
      <w:bookmarkStart w:id="295" w:name="OLE_LINK18"/>
      <w:r>
        <w:rPr>
          <w:rFonts w:hint="eastAsia" w:ascii="仿宋_GB2312" w:hAnsi="Calibri" w:eastAsia="仿宋_GB2312" w:cs="Times New Roman"/>
          <w:b/>
          <w:color w:val="auto"/>
          <w:sz w:val="28"/>
          <w:szCs w:val="28"/>
          <w:highlight w:val="none"/>
        </w:rPr>
        <w:t>建筑市场信用管理暂行办法</w:t>
      </w:r>
      <w:bookmarkEnd w:id="294"/>
      <w:bookmarkEnd w:id="295"/>
      <w:r>
        <w:rPr>
          <w:rFonts w:hint="eastAsia" w:ascii="仿宋_GB2312" w:hAnsi="Calibri" w:eastAsia="仿宋_GB2312" w:cs="Times New Roman"/>
          <w:b/>
          <w:color w:val="auto"/>
          <w:sz w:val="28"/>
          <w:szCs w:val="28"/>
          <w:highlight w:val="none"/>
        </w:rPr>
        <w:t>》（建市〔2017〕241号）</w:t>
      </w:r>
    </w:p>
    <w:p w14:paraId="35B32FEB">
      <w:pPr>
        <w:adjustRightInd w:val="0"/>
        <w:snapToGrid w:val="0"/>
        <w:spacing w:line="560" w:lineRule="exact"/>
        <w:rPr>
          <w:rFonts w:ascii="仿宋_GB2312" w:hAnsi="宋体" w:eastAsia="仿宋_GB2312" w:cs="Times New Roman"/>
          <w:b/>
          <w:color w:val="auto"/>
          <w:sz w:val="28"/>
          <w:szCs w:val="28"/>
          <w:highlight w:val="none"/>
        </w:rPr>
      </w:pPr>
    </w:p>
    <w:p w14:paraId="3FD277A1">
      <w:pPr>
        <w:adjustRightInd w:val="0"/>
        <w:snapToGrid w:val="0"/>
        <w:spacing w:line="560" w:lineRule="exact"/>
        <w:ind w:firstLine="562" w:firstLineChars="200"/>
        <w:rPr>
          <w:rFonts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六、</w:t>
      </w:r>
      <w:bookmarkStart w:id="296" w:name="OLE_LINK20"/>
      <w:bookmarkStart w:id="297" w:name="OLE_LINK19"/>
      <w:r>
        <w:rPr>
          <w:rFonts w:hint="eastAsia" w:ascii="仿宋_GB2312" w:hAnsi="宋体" w:eastAsia="仿宋_GB2312" w:cs="Times New Roman"/>
          <w:b/>
          <w:color w:val="auto"/>
          <w:sz w:val="28"/>
          <w:szCs w:val="28"/>
          <w:highlight w:val="none"/>
        </w:rPr>
        <w:t>政府采购严重失信行为</w:t>
      </w:r>
      <w:bookmarkEnd w:id="296"/>
      <w:bookmarkEnd w:id="297"/>
    </w:p>
    <w:p w14:paraId="58EC873E">
      <w:pPr>
        <w:adjustRightInd w:val="0"/>
        <w:snapToGrid w:val="0"/>
        <w:spacing w:line="560" w:lineRule="exact"/>
        <w:ind w:firstLine="615"/>
        <w:rPr>
          <w:rFonts w:ascii="仿宋_GB2312" w:hAnsi="Calibri" w:eastAsia="仿宋_GB2312" w:cs="Times New Roman"/>
          <w:color w:val="auto"/>
          <w:sz w:val="28"/>
          <w:szCs w:val="28"/>
          <w:highlight w:val="none"/>
        </w:rPr>
      </w:pPr>
      <w:r>
        <w:rPr>
          <w:rFonts w:hint="eastAsia" w:ascii="仿宋_GB2312" w:hAnsi="Calibri" w:eastAsia="仿宋_GB2312" w:cs="Times New Roman"/>
          <w:color w:val="auto"/>
          <w:sz w:val="28"/>
          <w:szCs w:val="28"/>
          <w:highlight w:val="none"/>
        </w:rPr>
        <w:t>供应商、采购代理机构在三年内受到财政部门作出下列情形之一的行政处罚，列入政府采购严重违法失信行为记录名单。</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（一）三万元以上罚款；</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（二）在一至三年内禁止参加政府采购活动（处罚期限届满的除外）；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Calibri" w:eastAsia="仿宋_GB2312" w:cs="Times New Roman"/>
          <w:color w:val="auto"/>
          <w:sz w:val="28"/>
          <w:szCs w:val="28"/>
          <w:highlight w:val="none"/>
        </w:rPr>
        <w:t>　　（三）在一至三年内禁止代理政府采购业务（处罚期限届满的除外）；</w:t>
      </w:r>
      <w:r>
        <w:rPr>
          <w:rFonts w:hint="eastAsia" w:ascii="仿宋_GB2312" w:hAnsi="Calibri" w:eastAsia="仿宋_GB2312" w:cs="Times New Roman"/>
          <w:color w:val="auto"/>
          <w:sz w:val="28"/>
          <w:szCs w:val="28"/>
          <w:highlight w:val="none"/>
        </w:rPr>
        <w:br w:type="textWrapping"/>
      </w:r>
      <w:r>
        <w:rPr>
          <w:rFonts w:hint="eastAsia" w:ascii="仿宋_GB2312" w:hAnsi="宋体" w:eastAsia="仿宋_GB2312" w:cs="Times New Roman"/>
          <w:color w:val="auto"/>
          <w:sz w:val="28"/>
          <w:szCs w:val="28"/>
          <w:highlight w:val="none"/>
        </w:rPr>
        <w:t xml:space="preserve">　 </w:t>
      </w:r>
      <w:r>
        <w:rPr>
          <w:rFonts w:hint="eastAsia" w:ascii="仿宋_GB2312" w:hAnsi="Calibri" w:eastAsia="仿宋_GB2312" w:cs="Times New Roman"/>
          <w:color w:val="auto"/>
          <w:sz w:val="28"/>
          <w:szCs w:val="28"/>
          <w:highlight w:val="none"/>
        </w:rPr>
        <w:t>（四）撤销政府采购代理机构资格（仅针对《政府采购法》第78条修改前作出的处罚决定）。</w:t>
      </w:r>
    </w:p>
    <w:p w14:paraId="11388DA4">
      <w:pPr>
        <w:adjustRightInd w:val="0"/>
        <w:snapToGrid w:val="0"/>
        <w:spacing w:line="560" w:lineRule="exact"/>
        <w:ind w:firstLine="562" w:firstLineChars="200"/>
        <w:jc w:val="left"/>
        <w:rPr>
          <w:rFonts w:ascii="仿宋_GB2312" w:hAnsi="Calibri" w:eastAsia="仿宋_GB2312" w:cs="Times New Roman"/>
          <w:b/>
          <w:color w:val="auto"/>
          <w:sz w:val="28"/>
          <w:szCs w:val="28"/>
          <w:highlight w:val="none"/>
        </w:rPr>
      </w:pPr>
      <w:r>
        <w:rPr>
          <w:rFonts w:hint="eastAsia" w:ascii="仿宋_GB2312" w:hAnsi="Calibri" w:eastAsia="仿宋_GB2312" w:cs="Times New Roman"/>
          <w:b/>
          <w:color w:val="auto"/>
          <w:sz w:val="28"/>
          <w:szCs w:val="28"/>
          <w:highlight w:val="none"/>
        </w:rPr>
        <w:t>依据：《关于报送政府采购严重违法失信行为信息记录的通知》</w:t>
      </w:r>
      <w:r>
        <w:rPr>
          <w:rFonts w:ascii="Calibri" w:hAnsi="Calibri" w:eastAsia="宋体" w:cs="Times New Roman"/>
          <w:b/>
          <w:color w:val="auto"/>
          <w:sz w:val="28"/>
          <w:szCs w:val="28"/>
          <w:highlight w:val="none"/>
        </w:rPr>
        <w:t>（</w:t>
      </w:r>
      <w:r>
        <w:rPr>
          <w:rFonts w:hint="eastAsia" w:ascii="Calibri" w:hAnsi="Calibri" w:eastAsia="宋体" w:cs="Times New Roman"/>
          <w:b/>
          <w:color w:val="auto"/>
          <w:sz w:val="28"/>
          <w:szCs w:val="28"/>
          <w:highlight w:val="none"/>
        </w:rPr>
        <w:t>财办库〔</w:t>
      </w:r>
      <w:r>
        <w:rPr>
          <w:rFonts w:ascii="Calibri" w:hAnsi="Calibri" w:eastAsia="宋体" w:cs="Times New Roman"/>
          <w:b/>
          <w:color w:val="auto"/>
          <w:sz w:val="28"/>
          <w:szCs w:val="28"/>
          <w:highlight w:val="none"/>
        </w:rPr>
        <w:t>201</w:t>
      </w:r>
      <w:r>
        <w:rPr>
          <w:rFonts w:hint="eastAsia" w:ascii="Calibri" w:hAnsi="Calibri" w:eastAsia="宋体" w:cs="Times New Roman"/>
          <w:b/>
          <w:color w:val="auto"/>
          <w:sz w:val="28"/>
          <w:szCs w:val="28"/>
          <w:highlight w:val="none"/>
        </w:rPr>
        <w:t>4〕526</w:t>
      </w:r>
      <w:r>
        <w:rPr>
          <w:rFonts w:ascii="Calibri" w:hAnsi="Calibri" w:eastAsia="宋体" w:cs="Times New Roman"/>
          <w:b/>
          <w:color w:val="auto"/>
          <w:sz w:val="28"/>
          <w:szCs w:val="28"/>
          <w:highlight w:val="none"/>
        </w:rPr>
        <w:t>号）</w:t>
      </w:r>
    </w:p>
    <w:p w14:paraId="4FD3802C">
      <w:pPr>
        <w:adjustRightInd w:val="0"/>
        <w:snapToGrid w:val="0"/>
        <w:spacing w:line="560" w:lineRule="exact"/>
        <w:rPr>
          <w:rFonts w:ascii="仿宋_GB2312" w:hAnsi="宋体" w:eastAsia="仿宋_GB2312" w:cs="Times New Roman"/>
          <w:b/>
          <w:color w:val="auto"/>
          <w:sz w:val="28"/>
          <w:szCs w:val="28"/>
          <w:highlight w:val="none"/>
        </w:rPr>
      </w:pPr>
    </w:p>
    <w:p w14:paraId="071D07DF">
      <w:pPr>
        <w:pStyle w:val="2"/>
        <w:rPr>
          <w:rFonts w:ascii="宋体" w:hAnsi="宋体" w:eastAsia="宋体" w:cs="宋体"/>
          <w:color w:val="auto"/>
        </w:rPr>
      </w:pPr>
      <w:r>
        <w:rPr>
          <w:rFonts w:hint="eastAsia" w:ascii="仿宋_GB2312" w:hAnsi="宋体" w:eastAsia="仿宋_GB2312" w:cs="Times New Roman"/>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cs="Times New Roman"/>
          <w:b/>
          <w:color w:val="auto"/>
          <w:sz w:val="32"/>
          <w:szCs w:val="32"/>
          <w:highlight w:val="none"/>
        </w:rPr>
        <w:t>断。</w:t>
      </w:r>
    </w:p>
    <w:sectPr>
      <w:headerReference r:id="rId5" w:type="defaul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0C197">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95DE4">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E984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EE984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AD259">
    <w:pPr>
      <w:pStyle w:val="18"/>
      <w:pBdr>
        <w:bottom w:val="none" w:color="auto" w:sz="0" w:space="1"/>
      </w:pBdr>
      <w:jc w:val="left"/>
      <w:rPr>
        <w:rFonts w:asciiTheme="minorEastAsia" w:hAnsiTheme="minorEastAsia"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5DF2F">
    <w:pPr>
      <w:pStyle w:val="18"/>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4"/>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064A37"/>
    <w:multiLevelType w:val="singleLevel"/>
    <w:tmpl w:val="2A064A37"/>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M2M2Y2JhYzUxZDQwOGI5OWNiODQyNTYwMmFhYzg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87590"/>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140B0"/>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125C"/>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0527"/>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52BD"/>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4B34"/>
    <w:rsid w:val="00CB5797"/>
    <w:rsid w:val="00CB6050"/>
    <w:rsid w:val="00CC1202"/>
    <w:rsid w:val="00CC4099"/>
    <w:rsid w:val="00CC45C1"/>
    <w:rsid w:val="00CD09E1"/>
    <w:rsid w:val="00CD5078"/>
    <w:rsid w:val="00CD595E"/>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4106F"/>
    <w:rsid w:val="01A12229"/>
    <w:rsid w:val="0214602E"/>
    <w:rsid w:val="02BA3F8E"/>
    <w:rsid w:val="03486B27"/>
    <w:rsid w:val="03CD109D"/>
    <w:rsid w:val="03D609D8"/>
    <w:rsid w:val="040A094E"/>
    <w:rsid w:val="04763EE5"/>
    <w:rsid w:val="04E36C96"/>
    <w:rsid w:val="053814D9"/>
    <w:rsid w:val="055F2BCB"/>
    <w:rsid w:val="056800F4"/>
    <w:rsid w:val="056F201D"/>
    <w:rsid w:val="05B11678"/>
    <w:rsid w:val="05B664D4"/>
    <w:rsid w:val="062D3EC0"/>
    <w:rsid w:val="065C2940"/>
    <w:rsid w:val="068943A3"/>
    <w:rsid w:val="068F128E"/>
    <w:rsid w:val="06C23BE1"/>
    <w:rsid w:val="07076C01"/>
    <w:rsid w:val="071C12AC"/>
    <w:rsid w:val="074E231E"/>
    <w:rsid w:val="07A934B3"/>
    <w:rsid w:val="08B15E54"/>
    <w:rsid w:val="08CC4A1B"/>
    <w:rsid w:val="09523172"/>
    <w:rsid w:val="0980799C"/>
    <w:rsid w:val="09E41C28"/>
    <w:rsid w:val="0A0F6376"/>
    <w:rsid w:val="0A353CEA"/>
    <w:rsid w:val="0A6A18DB"/>
    <w:rsid w:val="0A79472F"/>
    <w:rsid w:val="0AEF3828"/>
    <w:rsid w:val="0BBB665B"/>
    <w:rsid w:val="0C4B5C57"/>
    <w:rsid w:val="0CB7664E"/>
    <w:rsid w:val="0CBB2DDD"/>
    <w:rsid w:val="0CC55A09"/>
    <w:rsid w:val="0D7C7BA9"/>
    <w:rsid w:val="0DCB34F3"/>
    <w:rsid w:val="0E2427B0"/>
    <w:rsid w:val="0E4D3F08"/>
    <w:rsid w:val="0E816EC5"/>
    <w:rsid w:val="0E910299"/>
    <w:rsid w:val="0EEA6FC1"/>
    <w:rsid w:val="0EF97BEC"/>
    <w:rsid w:val="0F452E31"/>
    <w:rsid w:val="0F5117D6"/>
    <w:rsid w:val="0F7B4977"/>
    <w:rsid w:val="0F954485"/>
    <w:rsid w:val="0FB63A2F"/>
    <w:rsid w:val="0FBF344F"/>
    <w:rsid w:val="104D3FBF"/>
    <w:rsid w:val="10505F32"/>
    <w:rsid w:val="105A27E6"/>
    <w:rsid w:val="1072728E"/>
    <w:rsid w:val="107514F4"/>
    <w:rsid w:val="10CA5CE4"/>
    <w:rsid w:val="10DC1574"/>
    <w:rsid w:val="115D26B4"/>
    <w:rsid w:val="117278DA"/>
    <w:rsid w:val="11755C50"/>
    <w:rsid w:val="119B0711"/>
    <w:rsid w:val="12197477"/>
    <w:rsid w:val="121E62E8"/>
    <w:rsid w:val="12BE27B4"/>
    <w:rsid w:val="130C65B6"/>
    <w:rsid w:val="131F0DB1"/>
    <w:rsid w:val="132E0DA8"/>
    <w:rsid w:val="13516249"/>
    <w:rsid w:val="13587E2C"/>
    <w:rsid w:val="1466407E"/>
    <w:rsid w:val="14834E28"/>
    <w:rsid w:val="148E7D65"/>
    <w:rsid w:val="14CF18E1"/>
    <w:rsid w:val="151D4243"/>
    <w:rsid w:val="15231BF9"/>
    <w:rsid w:val="154E24EE"/>
    <w:rsid w:val="15655827"/>
    <w:rsid w:val="15674AE4"/>
    <w:rsid w:val="1590464C"/>
    <w:rsid w:val="179F5278"/>
    <w:rsid w:val="180712E0"/>
    <w:rsid w:val="19E46234"/>
    <w:rsid w:val="1A3B68AA"/>
    <w:rsid w:val="1A3E1C1E"/>
    <w:rsid w:val="1AC63078"/>
    <w:rsid w:val="1B880F59"/>
    <w:rsid w:val="1BCA6B98"/>
    <w:rsid w:val="1BD367AA"/>
    <w:rsid w:val="1C074BB1"/>
    <w:rsid w:val="1C141836"/>
    <w:rsid w:val="1C220782"/>
    <w:rsid w:val="1C2A7AF4"/>
    <w:rsid w:val="1CD300FF"/>
    <w:rsid w:val="1E35491E"/>
    <w:rsid w:val="1E370C78"/>
    <w:rsid w:val="1E6B6A14"/>
    <w:rsid w:val="1E74728F"/>
    <w:rsid w:val="1EB21086"/>
    <w:rsid w:val="1F170346"/>
    <w:rsid w:val="1FDD2549"/>
    <w:rsid w:val="1FDE0E64"/>
    <w:rsid w:val="20097204"/>
    <w:rsid w:val="20550D9A"/>
    <w:rsid w:val="20720F5F"/>
    <w:rsid w:val="20C44DD2"/>
    <w:rsid w:val="20C52024"/>
    <w:rsid w:val="21714B53"/>
    <w:rsid w:val="218E2416"/>
    <w:rsid w:val="22231E49"/>
    <w:rsid w:val="22574D18"/>
    <w:rsid w:val="22631AF5"/>
    <w:rsid w:val="226915FE"/>
    <w:rsid w:val="22D60519"/>
    <w:rsid w:val="22E14C32"/>
    <w:rsid w:val="237044C9"/>
    <w:rsid w:val="24B97929"/>
    <w:rsid w:val="2520252D"/>
    <w:rsid w:val="26163BC1"/>
    <w:rsid w:val="269427E9"/>
    <w:rsid w:val="26C1503C"/>
    <w:rsid w:val="26F40F6D"/>
    <w:rsid w:val="27007912"/>
    <w:rsid w:val="274B78D7"/>
    <w:rsid w:val="27960276"/>
    <w:rsid w:val="28122498"/>
    <w:rsid w:val="285F40CA"/>
    <w:rsid w:val="289E73E3"/>
    <w:rsid w:val="28C01ECB"/>
    <w:rsid w:val="28EC3ECC"/>
    <w:rsid w:val="28F039B6"/>
    <w:rsid w:val="29BF71E3"/>
    <w:rsid w:val="2A127B63"/>
    <w:rsid w:val="2A3D2278"/>
    <w:rsid w:val="2AAA4765"/>
    <w:rsid w:val="2AC21606"/>
    <w:rsid w:val="2AE17A5A"/>
    <w:rsid w:val="2AF63C5E"/>
    <w:rsid w:val="2B25203D"/>
    <w:rsid w:val="2B7E7608"/>
    <w:rsid w:val="2B7F04E9"/>
    <w:rsid w:val="2BA74800"/>
    <w:rsid w:val="2C305555"/>
    <w:rsid w:val="2C9A21B9"/>
    <w:rsid w:val="2CB610A8"/>
    <w:rsid w:val="2CE20523"/>
    <w:rsid w:val="2D496D68"/>
    <w:rsid w:val="2DD4533E"/>
    <w:rsid w:val="2DEB34C2"/>
    <w:rsid w:val="2E426A62"/>
    <w:rsid w:val="2E532C93"/>
    <w:rsid w:val="2E6672CB"/>
    <w:rsid w:val="2E7A48DE"/>
    <w:rsid w:val="2EDC3ED8"/>
    <w:rsid w:val="2EDE218F"/>
    <w:rsid w:val="2F2D046C"/>
    <w:rsid w:val="2F6351B4"/>
    <w:rsid w:val="2F6D2A2C"/>
    <w:rsid w:val="2FA86D99"/>
    <w:rsid w:val="2FCF199E"/>
    <w:rsid w:val="30297EDA"/>
    <w:rsid w:val="30483E83"/>
    <w:rsid w:val="30AA0E97"/>
    <w:rsid w:val="30F33B8C"/>
    <w:rsid w:val="313308E4"/>
    <w:rsid w:val="31744EBD"/>
    <w:rsid w:val="323E39E4"/>
    <w:rsid w:val="32AC7216"/>
    <w:rsid w:val="334E4CD8"/>
    <w:rsid w:val="33A930DF"/>
    <w:rsid w:val="33C85C5B"/>
    <w:rsid w:val="343C0775"/>
    <w:rsid w:val="348A7F93"/>
    <w:rsid w:val="34AA76A9"/>
    <w:rsid w:val="356C50EC"/>
    <w:rsid w:val="35A85D44"/>
    <w:rsid w:val="35D52DD5"/>
    <w:rsid w:val="360C16FF"/>
    <w:rsid w:val="361108CD"/>
    <w:rsid w:val="362D7FF8"/>
    <w:rsid w:val="3700166C"/>
    <w:rsid w:val="3727617F"/>
    <w:rsid w:val="375969FE"/>
    <w:rsid w:val="37F012DD"/>
    <w:rsid w:val="38694EE9"/>
    <w:rsid w:val="38EF5091"/>
    <w:rsid w:val="3A281202"/>
    <w:rsid w:val="3B365CC9"/>
    <w:rsid w:val="3B75549C"/>
    <w:rsid w:val="3B7D732B"/>
    <w:rsid w:val="3B9A7B88"/>
    <w:rsid w:val="3BA46D27"/>
    <w:rsid w:val="3BC114FF"/>
    <w:rsid w:val="3C23796D"/>
    <w:rsid w:val="3C2660C6"/>
    <w:rsid w:val="3C3C71E7"/>
    <w:rsid w:val="3C8666B4"/>
    <w:rsid w:val="3CE358B4"/>
    <w:rsid w:val="3D2C7AC8"/>
    <w:rsid w:val="3D421EF3"/>
    <w:rsid w:val="3D855D12"/>
    <w:rsid w:val="3D8B42FF"/>
    <w:rsid w:val="3D8C02DD"/>
    <w:rsid w:val="3DA23079"/>
    <w:rsid w:val="3DBFD775"/>
    <w:rsid w:val="3DC20089"/>
    <w:rsid w:val="3DF36A6E"/>
    <w:rsid w:val="3E686071"/>
    <w:rsid w:val="3EEA117C"/>
    <w:rsid w:val="3F1138E1"/>
    <w:rsid w:val="3F792F1E"/>
    <w:rsid w:val="3F8A64BB"/>
    <w:rsid w:val="40824826"/>
    <w:rsid w:val="40E63923"/>
    <w:rsid w:val="4134048C"/>
    <w:rsid w:val="418453B6"/>
    <w:rsid w:val="41CF4659"/>
    <w:rsid w:val="41DB2FFE"/>
    <w:rsid w:val="420E0E2C"/>
    <w:rsid w:val="42912F09"/>
    <w:rsid w:val="42B443F4"/>
    <w:rsid w:val="42F43FD4"/>
    <w:rsid w:val="43A91E5B"/>
    <w:rsid w:val="44323612"/>
    <w:rsid w:val="44BC3308"/>
    <w:rsid w:val="44DC50C3"/>
    <w:rsid w:val="44FE144E"/>
    <w:rsid w:val="45BA48DB"/>
    <w:rsid w:val="462C207A"/>
    <w:rsid w:val="463A3650"/>
    <w:rsid w:val="469F0116"/>
    <w:rsid w:val="475259B7"/>
    <w:rsid w:val="48174664"/>
    <w:rsid w:val="48831CF9"/>
    <w:rsid w:val="49177011"/>
    <w:rsid w:val="491A6083"/>
    <w:rsid w:val="49296D45"/>
    <w:rsid w:val="49A165B8"/>
    <w:rsid w:val="49B1408D"/>
    <w:rsid w:val="4A7D4FD2"/>
    <w:rsid w:val="4A913C9A"/>
    <w:rsid w:val="4A995804"/>
    <w:rsid w:val="4AE22D2F"/>
    <w:rsid w:val="4B1F70AC"/>
    <w:rsid w:val="4B240F94"/>
    <w:rsid w:val="4B386AE5"/>
    <w:rsid w:val="4B550CFB"/>
    <w:rsid w:val="4BA75287"/>
    <w:rsid w:val="4BE030B0"/>
    <w:rsid w:val="4BED70D6"/>
    <w:rsid w:val="4C3C565C"/>
    <w:rsid w:val="4C43618A"/>
    <w:rsid w:val="4C6C1422"/>
    <w:rsid w:val="4C800A2A"/>
    <w:rsid w:val="4CCC79C7"/>
    <w:rsid w:val="4CE76CFB"/>
    <w:rsid w:val="4D6C5E8D"/>
    <w:rsid w:val="4D73771A"/>
    <w:rsid w:val="4D7555C7"/>
    <w:rsid w:val="4E8D54F0"/>
    <w:rsid w:val="4EAE6DA0"/>
    <w:rsid w:val="4F950C90"/>
    <w:rsid w:val="4FBB0051"/>
    <w:rsid w:val="4FD037EF"/>
    <w:rsid w:val="5016514B"/>
    <w:rsid w:val="502857C7"/>
    <w:rsid w:val="50476D3D"/>
    <w:rsid w:val="505446A7"/>
    <w:rsid w:val="511659A4"/>
    <w:rsid w:val="5187285A"/>
    <w:rsid w:val="51B578E5"/>
    <w:rsid w:val="51CB1C78"/>
    <w:rsid w:val="51EB4B97"/>
    <w:rsid w:val="51FD6A51"/>
    <w:rsid w:val="524B763E"/>
    <w:rsid w:val="526B680A"/>
    <w:rsid w:val="52A86F2C"/>
    <w:rsid w:val="52CA2BBE"/>
    <w:rsid w:val="53150D15"/>
    <w:rsid w:val="534722A1"/>
    <w:rsid w:val="5352083E"/>
    <w:rsid w:val="53F05F28"/>
    <w:rsid w:val="541A5D30"/>
    <w:rsid w:val="5492579E"/>
    <w:rsid w:val="553E632F"/>
    <w:rsid w:val="55E02539"/>
    <w:rsid w:val="55F068CD"/>
    <w:rsid w:val="56020701"/>
    <w:rsid w:val="566C3136"/>
    <w:rsid w:val="568D04F2"/>
    <w:rsid w:val="57014E5D"/>
    <w:rsid w:val="582F100E"/>
    <w:rsid w:val="58555460"/>
    <w:rsid w:val="588D6DD7"/>
    <w:rsid w:val="589046EA"/>
    <w:rsid w:val="591250FF"/>
    <w:rsid w:val="59971F55"/>
    <w:rsid w:val="59A1303F"/>
    <w:rsid w:val="59C363FA"/>
    <w:rsid w:val="59D0530A"/>
    <w:rsid w:val="59DF66A0"/>
    <w:rsid w:val="5A526582"/>
    <w:rsid w:val="5A5F5C77"/>
    <w:rsid w:val="5A7D6D1C"/>
    <w:rsid w:val="5B524131"/>
    <w:rsid w:val="5BBE39CD"/>
    <w:rsid w:val="5BC11A60"/>
    <w:rsid w:val="5C256839"/>
    <w:rsid w:val="5C7A4D54"/>
    <w:rsid w:val="5CC2508E"/>
    <w:rsid w:val="5CD23B73"/>
    <w:rsid w:val="5D144A17"/>
    <w:rsid w:val="5E371164"/>
    <w:rsid w:val="5E723A11"/>
    <w:rsid w:val="5EF158F1"/>
    <w:rsid w:val="5F127819"/>
    <w:rsid w:val="5F63752A"/>
    <w:rsid w:val="600734E4"/>
    <w:rsid w:val="608C0D72"/>
    <w:rsid w:val="60F1503F"/>
    <w:rsid w:val="61025188"/>
    <w:rsid w:val="61057D5F"/>
    <w:rsid w:val="614D4977"/>
    <w:rsid w:val="61502C69"/>
    <w:rsid w:val="619F599E"/>
    <w:rsid w:val="63640C4D"/>
    <w:rsid w:val="63C60FC0"/>
    <w:rsid w:val="63D01E3F"/>
    <w:rsid w:val="641A2BDD"/>
    <w:rsid w:val="64525EBD"/>
    <w:rsid w:val="64652537"/>
    <w:rsid w:val="649317EA"/>
    <w:rsid w:val="64BA3D7A"/>
    <w:rsid w:val="64F179BC"/>
    <w:rsid w:val="658A01B0"/>
    <w:rsid w:val="65C94C55"/>
    <w:rsid w:val="665704D3"/>
    <w:rsid w:val="66CF767E"/>
    <w:rsid w:val="673148E2"/>
    <w:rsid w:val="675445CD"/>
    <w:rsid w:val="6773145F"/>
    <w:rsid w:val="67C065A4"/>
    <w:rsid w:val="67CE2B39"/>
    <w:rsid w:val="67D359C9"/>
    <w:rsid w:val="67DD0FCE"/>
    <w:rsid w:val="68295FC1"/>
    <w:rsid w:val="687E00BB"/>
    <w:rsid w:val="68C44A33"/>
    <w:rsid w:val="68F20AA9"/>
    <w:rsid w:val="68FE36DD"/>
    <w:rsid w:val="694E60FC"/>
    <w:rsid w:val="69A97B3C"/>
    <w:rsid w:val="69EF4042"/>
    <w:rsid w:val="6A361E25"/>
    <w:rsid w:val="6AA3205B"/>
    <w:rsid w:val="6ABE3E91"/>
    <w:rsid w:val="6AD353A7"/>
    <w:rsid w:val="6AE65B91"/>
    <w:rsid w:val="6B1B4E0E"/>
    <w:rsid w:val="6BDB2C84"/>
    <w:rsid w:val="6BE97F42"/>
    <w:rsid w:val="6C304B0A"/>
    <w:rsid w:val="6C376EFF"/>
    <w:rsid w:val="6C410A63"/>
    <w:rsid w:val="6C5F3EC7"/>
    <w:rsid w:val="6C675CE6"/>
    <w:rsid w:val="6C88775B"/>
    <w:rsid w:val="6CEF35AF"/>
    <w:rsid w:val="6D4F4321"/>
    <w:rsid w:val="6DBD1686"/>
    <w:rsid w:val="6DD74EF3"/>
    <w:rsid w:val="6DD9424C"/>
    <w:rsid w:val="6DF42BCE"/>
    <w:rsid w:val="6DFF7360"/>
    <w:rsid w:val="6E7A5F73"/>
    <w:rsid w:val="6F2E3798"/>
    <w:rsid w:val="6F327E52"/>
    <w:rsid w:val="6FD74228"/>
    <w:rsid w:val="70FE5EDF"/>
    <w:rsid w:val="71633091"/>
    <w:rsid w:val="71724535"/>
    <w:rsid w:val="72084E9A"/>
    <w:rsid w:val="727D5888"/>
    <w:rsid w:val="72B56DCF"/>
    <w:rsid w:val="73081CA5"/>
    <w:rsid w:val="73DB2131"/>
    <w:rsid w:val="74545B7C"/>
    <w:rsid w:val="746FDD49"/>
    <w:rsid w:val="7487762D"/>
    <w:rsid w:val="749B3DA3"/>
    <w:rsid w:val="749F2380"/>
    <w:rsid w:val="74B80DF9"/>
    <w:rsid w:val="74CD7F2C"/>
    <w:rsid w:val="75385498"/>
    <w:rsid w:val="755328D0"/>
    <w:rsid w:val="75ED7F88"/>
    <w:rsid w:val="769962BD"/>
    <w:rsid w:val="76BC207F"/>
    <w:rsid w:val="76EB4904"/>
    <w:rsid w:val="77163BB5"/>
    <w:rsid w:val="773A30D1"/>
    <w:rsid w:val="777378F5"/>
    <w:rsid w:val="777A2D3C"/>
    <w:rsid w:val="77C849CE"/>
    <w:rsid w:val="77DC78C2"/>
    <w:rsid w:val="78153E6C"/>
    <w:rsid w:val="78537BEA"/>
    <w:rsid w:val="78BB4A14"/>
    <w:rsid w:val="79074B81"/>
    <w:rsid w:val="794A5D98"/>
    <w:rsid w:val="794F0939"/>
    <w:rsid w:val="797F1EE5"/>
    <w:rsid w:val="79AD6A52"/>
    <w:rsid w:val="79AF0FCA"/>
    <w:rsid w:val="79EF2560"/>
    <w:rsid w:val="79F44681"/>
    <w:rsid w:val="7A666C01"/>
    <w:rsid w:val="7AF9279C"/>
    <w:rsid w:val="7B1A0118"/>
    <w:rsid w:val="7B7B97EE"/>
    <w:rsid w:val="7B8F3F36"/>
    <w:rsid w:val="7C072E2B"/>
    <w:rsid w:val="7C5807CC"/>
    <w:rsid w:val="7C8F68E3"/>
    <w:rsid w:val="7C955DB7"/>
    <w:rsid w:val="7CC51958"/>
    <w:rsid w:val="7CEC40B6"/>
    <w:rsid w:val="7D1B3CD3"/>
    <w:rsid w:val="7D276B1C"/>
    <w:rsid w:val="7D6A07B6"/>
    <w:rsid w:val="7D9F66B2"/>
    <w:rsid w:val="7DB80E2E"/>
    <w:rsid w:val="7DF6029C"/>
    <w:rsid w:val="7E222935"/>
    <w:rsid w:val="7E2552FF"/>
    <w:rsid w:val="7E2936C3"/>
    <w:rsid w:val="7E2E365C"/>
    <w:rsid w:val="7E5356EF"/>
    <w:rsid w:val="7E610E09"/>
    <w:rsid w:val="7E6411B9"/>
    <w:rsid w:val="7EA60899"/>
    <w:rsid w:val="7F315A30"/>
    <w:rsid w:val="7F8A6847"/>
    <w:rsid w:val="7F9164CE"/>
    <w:rsid w:val="7F9B734D"/>
    <w:rsid w:val="7FDB3BED"/>
    <w:rsid w:val="7FEE2BD7"/>
    <w:rsid w:val="92EB4AE9"/>
    <w:rsid w:val="AEE65C00"/>
    <w:rsid w:val="AFB6F077"/>
    <w:rsid w:val="CDFD0547"/>
    <w:rsid w:val="D7FFFC1E"/>
    <w:rsid w:val="EF7F6113"/>
    <w:rsid w:val="F6BF791C"/>
    <w:rsid w:val="FD6AEC12"/>
    <w:rsid w:val="FF7BF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6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link w:val="63"/>
    <w:semiHidden/>
    <w:unhideWhenUsed/>
    <w:qFormat/>
    <w:uiPriority w:val="9"/>
    <w:pPr>
      <w:keepNext/>
      <w:keepLines/>
      <w:spacing w:before="260" w:after="260" w:line="416" w:lineRule="auto"/>
      <w:outlineLvl w:val="2"/>
    </w:pPr>
    <w:rPr>
      <w:b/>
      <w:bCs/>
      <w:sz w:val="32"/>
      <w:szCs w:val="32"/>
    </w:rPr>
  </w:style>
  <w:style w:type="paragraph" w:styleId="3">
    <w:name w:val="heading 4"/>
    <w:basedOn w:val="1"/>
    <w:next w:val="1"/>
    <w:link w:val="68"/>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7">
    <w:name w:val="toc 7"/>
    <w:basedOn w:val="1"/>
    <w:next w:val="1"/>
    <w:unhideWhenUsed/>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60"/>
    <w:qFormat/>
    <w:uiPriority w:val="0"/>
    <w:pPr>
      <w:jc w:val="left"/>
    </w:pPr>
    <w:rPr>
      <w:rFonts w:ascii="Arial" w:hAnsi="Arial" w:eastAsia="黑体" w:cs="Arial"/>
    </w:rPr>
  </w:style>
  <w:style w:type="paragraph" w:styleId="10">
    <w:name w:val="Body Text Indent"/>
    <w:basedOn w:val="1"/>
    <w:next w:val="11"/>
    <w:qFormat/>
    <w:uiPriority w:val="0"/>
    <w:pPr>
      <w:spacing w:after="120"/>
      <w:ind w:left="420" w:leftChars="200"/>
    </w:pPr>
    <w:rPr>
      <w:szCs w:val="24"/>
    </w:rPr>
  </w:style>
  <w:style w:type="paragraph" w:styleId="11">
    <w:name w:val="envelope return"/>
    <w:basedOn w:val="1"/>
    <w:next w:val="7"/>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50"/>
    <w:qFormat/>
    <w:uiPriority w:val="99"/>
    <w:rPr>
      <w:rFonts w:ascii="宋体" w:hAnsi="Courier New" w:eastAsiaTheme="minorEastAsia" w:cstheme="minorBidi"/>
      <w:szCs w:val="22"/>
    </w:rPr>
  </w:style>
  <w:style w:type="paragraph" w:styleId="14">
    <w:name w:val="Date"/>
    <w:basedOn w:val="1"/>
    <w:next w:val="1"/>
    <w:link w:val="57"/>
    <w:qFormat/>
    <w:uiPriority w:val="0"/>
    <w:rPr>
      <w:rFonts w:ascii="Arial" w:hAnsi="Arial" w:eastAsia="宋体" w:cs="Arial"/>
      <w:b/>
      <w:sz w:val="28"/>
    </w:rPr>
  </w:style>
  <w:style w:type="paragraph" w:styleId="15">
    <w:name w:val="Body Text Indent 2"/>
    <w:basedOn w:val="1"/>
    <w:next w:val="1"/>
    <w:qFormat/>
    <w:uiPriority w:val="0"/>
    <w:pPr>
      <w:spacing w:after="120" w:line="480" w:lineRule="auto"/>
      <w:ind w:left="420" w:leftChars="200"/>
    </w:pPr>
  </w:style>
  <w:style w:type="paragraph" w:styleId="16">
    <w:name w:val="Balloon Text"/>
    <w:basedOn w:val="1"/>
    <w:link w:val="44"/>
    <w:semiHidden/>
    <w:unhideWhenUsed/>
    <w:qFormat/>
    <w:uiPriority w:val="99"/>
    <w:rPr>
      <w:sz w:val="18"/>
      <w:szCs w:val="18"/>
    </w:rPr>
  </w:style>
  <w:style w:type="paragraph" w:styleId="17">
    <w:name w:val="footer"/>
    <w:basedOn w:val="1"/>
    <w:link w:val="49"/>
    <w:unhideWhenUsed/>
    <w:qFormat/>
    <w:uiPriority w:val="99"/>
    <w:pPr>
      <w:tabs>
        <w:tab w:val="center" w:pos="4153"/>
        <w:tab w:val="right" w:pos="8306"/>
      </w:tabs>
      <w:snapToGrid w:val="0"/>
      <w:jc w:val="left"/>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5">
    <w:name w:val="annotation subject"/>
    <w:basedOn w:val="9"/>
    <w:next w:val="9"/>
    <w:link w:val="71"/>
    <w:semiHidden/>
    <w:unhideWhenUsed/>
    <w:qFormat/>
    <w:uiPriority w:val="99"/>
    <w:rPr>
      <w:rFonts w:ascii="@仿宋_GB2312" w:hAnsi="@仿宋_GB2312" w:eastAsia="@仿宋_GB2312" w:cs="@仿宋_GB2312"/>
      <w:b/>
      <w:bCs/>
    </w:rPr>
  </w:style>
  <w:style w:type="paragraph" w:styleId="26">
    <w:name w:val="Body Text First Indent"/>
    <w:basedOn w:val="2"/>
    <w:unhideWhenUsed/>
    <w:qFormat/>
    <w:uiPriority w:val="99"/>
    <w:pPr>
      <w:ind w:firstLine="420" w:firstLineChars="100"/>
    </w:pPr>
  </w:style>
  <w:style w:type="paragraph" w:styleId="27">
    <w:name w:val="Body Text First Indent 2"/>
    <w:basedOn w:val="10"/>
    <w:next w:val="1"/>
    <w:qFormat/>
    <w:uiPriority w:val="0"/>
    <w:pPr>
      <w:ind w:firstLine="420" w:firstLineChars="200"/>
    </w:pPr>
    <w:rPr>
      <w:rFonts w:ascii="Times New Roman" w:hAnsi="Times New Roman" w:cs="Times New Roman"/>
      <w:szCs w:val="21"/>
    </w:rPr>
  </w:style>
  <w:style w:type="table" w:styleId="29">
    <w:name w:val="Table Grid"/>
    <w:basedOn w:val="2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2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ascii="monospace" w:hAnsi="monospace" w:eastAsia="monospace" w:cs="monospace"/>
      <w:sz w:val="20"/>
    </w:rPr>
  </w:style>
  <w:style w:type="character" w:styleId="40">
    <w:name w:val="annotation reference"/>
    <w:basedOn w:val="30"/>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hint="default" w:ascii="monospace" w:hAnsi="monospace" w:eastAsia="monospace" w:cs="monospace"/>
    </w:rPr>
  </w:style>
  <w:style w:type="character" w:customStyle="1" w:styleId="44">
    <w:name w:val="批注框文本 字符"/>
    <w:basedOn w:val="30"/>
    <w:link w:val="16"/>
    <w:semiHidden/>
    <w:qFormat/>
    <w:uiPriority w:val="99"/>
    <w:rPr>
      <w:rFonts w:ascii="@仿宋_GB2312" w:hAnsi="@仿宋_GB2312" w:eastAsia="@仿宋_GB2312" w:cs="@仿宋_GB2312"/>
      <w:sz w:val="18"/>
      <w:szCs w:val="18"/>
    </w:rPr>
  </w:style>
  <w:style w:type="paragraph" w:customStyle="1" w:styleId="45">
    <w:name w:val="正文（缩进）"/>
    <w:basedOn w:val="1"/>
    <w:qFormat/>
    <w:uiPriority w:val="0"/>
    <w:pPr>
      <w:widowControl/>
      <w:spacing w:before="156" w:after="156"/>
      <w:ind w:firstLine="480" w:firstLineChars="200"/>
      <w:jc w:val="left"/>
    </w:pPr>
    <w:rPr>
      <w:kern w:val="0"/>
      <w:sz w:val="24"/>
      <w:szCs w:val="24"/>
    </w:rPr>
  </w:style>
  <w:style w:type="paragraph" w:customStyle="1" w:styleId="46">
    <w:name w:val="xl31"/>
    <w:basedOn w:val="1"/>
    <w:qFormat/>
    <w:uiPriority w:val="0"/>
    <w:pPr>
      <w:widowControl/>
      <w:spacing w:before="100" w:beforeAutospacing="1" w:after="100" w:afterAutospacing="1"/>
      <w:jc w:val="center"/>
    </w:pPr>
    <w:rPr>
      <w:b/>
      <w:bCs/>
      <w:kern w:val="0"/>
      <w:sz w:val="28"/>
      <w:szCs w:val="28"/>
    </w:rPr>
  </w:style>
  <w:style w:type="paragraph" w:customStyle="1" w:styleId="47">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字符"/>
    <w:basedOn w:val="30"/>
    <w:link w:val="18"/>
    <w:qFormat/>
    <w:uiPriority w:val="99"/>
    <w:rPr>
      <w:rFonts w:ascii="@仿宋_GB2312" w:hAnsi="@仿宋_GB2312" w:eastAsia="@仿宋_GB2312" w:cs="@仿宋_GB2312"/>
      <w:sz w:val="18"/>
      <w:szCs w:val="18"/>
    </w:rPr>
  </w:style>
  <w:style w:type="character" w:customStyle="1" w:styleId="49">
    <w:name w:val="页脚 字符"/>
    <w:basedOn w:val="30"/>
    <w:link w:val="17"/>
    <w:qFormat/>
    <w:uiPriority w:val="99"/>
    <w:rPr>
      <w:rFonts w:ascii="@仿宋_GB2312" w:hAnsi="@仿宋_GB2312" w:eastAsia="@仿宋_GB2312" w:cs="@仿宋_GB2312"/>
      <w:sz w:val="18"/>
      <w:szCs w:val="18"/>
    </w:rPr>
  </w:style>
  <w:style w:type="character" w:customStyle="1" w:styleId="50">
    <w:name w:val="纯文本 字符"/>
    <w:link w:val="13"/>
    <w:qFormat/>
    <w:uiPriority w:val="0"/>
    <w:rPr>
      <w:rFonts w:ascii="宋体" w:hAnsi="Courier New"/>
    </w:rPr>
  </w:style>
  <w:style w:type="character" w:customStyle="1" w:styleId="51">
    <w:name w:val="纯文本 字符1"/>
    <w:basedOn w:val="30"/>
    <w:semiHidden/>
    <w:qFormat/>
    <w:uiPriority w:val="99"/>
    <w:rPr>
      <w:rFonts w:hAnsi="Courier New" w:cs="Courier New" w:asciiTheme="minorEastAsia"/>
      <w:szCs w:val="20"/>
    </w:rPr>
  </w:style>
  <w:style w:type="character" w:customStyle="1" w:styleId="52">
    <w:name w:val="未处理的提及1"/>
    <w:basedOn w:val="30"/>
    <w:semiHidden/>
    <w:unhideWhenUsed/>
    <w:qFormat/>
    <w:uiPriority w:val="99"/>
    <w:rPr>
      <w:color w:val="605E5C"/>
      <w:shd w:val="clear" w:color="auto" w:fill="E1DFDD"/>
    </w:rPr>
  </w:style>
  <w:style w:type="paragraph" w:styleId="53">
    <w:name w:val="List Paragraph"/>
    <w:basedOn w:val="1"/>
    <w:next w:val="1"/>
    <w:qFormat/>
    <w:uiPriority w:val="34"/>
    <w:pPr>
      <w:ind w:firstLine="420" w:firstLineChars="200"/>
    </w:pPr>
  </w:style>
  <w:style w:type="paragraph" w:customStyle="1" w:styleId="54">
    <w:name w:val="Char Char Char Char Char Char Char1 Char"/>
    <w:basedOn w:val="1"/>
    <w:qFormat/>
    <w:uiPriority w:val="0"/>
    <w:rPr>
      <w:rFonts w:ascii="Arial" w:hAnsi="Arial" w:eastAsia="宋体" w:cs="Arial"/>
      <w:sz w:val="24"/>
    </w:rPr>
  </w:style>
  <w:style w:type="table" w:customStyle="1" w:styleId="55">
    <w:name w:val="网格表 1 浅色1"/>
    <w:basedOn w:val="2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semiHidden/>
    <w:qFormat/>
    <w:uiPriority w:val="99"/>
    <w:rPr>
      <w:rFonts w:ascii="@仿宋_GB2312" w:hAnsi="@仿宋_GB2312" w:eastAsia="@仿宋_GB2312" w:cs="@仿宋_GB2312"/>
      <w:szCs w:val="20"/>
    </w:rPr>
  </w:style>
  <w:style w:type="character" w:customStyle="1" w:styleId="57">
    <w:name w:val="日期 字符1"/>
    <w:link w:val="14"/>
    <w:qFormat/>
    <w:uiPriority w:val="0"/>
    <w:rPr>
      <w:rFonts w:ascii="Arial" w:hAnsi="Arial" w:eastAsia="宋体" w:cs="Arial"/>
      <w:b/>
      <w:sz w:val="28"/>
      <w:szCs w:val="20"/>
    </w:rPr>
  </w:style>
  <w:style w:type="character" w:customStyle="1" w:styleId="58">
    <w:name w:val="纯文本 Char1"/>
    <w:qFormat/>
    <w:locked/>
    <w:uiPriority w:val="99"/>
    <w:rPr>
      <w:rFonts w:ascii="Arial" w:hAnsi="Arial" w:eastAsia="Arial"/>
      <w:kern w:val="2"/>
      <w:sz w:val="21"/>
      <w:lang w:val="en-US" w:eastAsia="zh-CN" w:bidi="ar-SA"/>
    </w:rPr>
  </w:style>
  <w:style w:type="character" w:customStyle="1" w:styleId="59">
    <w:name w:val="批注文字 Char"/>
    <w:basedOn w:val="30"/>
    <w:semiHidden/>
    <w:qFormat/>
    <w:uiPriority w:val="99"/>
    <w:rPr>
      <w:rFonts w:ascii="@仿宋_GB2312" w:hAnsi="@仿宋_GB2312" w:eastAsia="@仿宋_GB2312" w:cs="@仿宋_GB2312"/>
      <w:szCs w:val="20"/>
    </w:rPr>
  </w:style>
  <w:style w:type="character" w:customStyle="1" w:styleId="60">
    <w:name w:val="批注文字 字符"/>
    <w:link w:val="9"/>
    <w:qFormat/>
    <w:uiPriority w:val="0"/>
    <w:rPr>
      <w:rFonts w:ascii="Arial" w:hAnsi="Arial" w:eastAsia="黑体" w:cs="Arial"/>
      <w:szCs w:val="20"/>
    </w:rPr>
  </w:style>
  <w:style w:type="character" w:customStyle="1" w:styleId="61">
    <w:name w:val="标题 1 字符"/>
    <w:basedOn w:val="30"/>
    <w:link w:val="4"/>
    <w:qFormat/>
    <w:uiPriority w:val="9"/>
    <w:rPr>
      <w:rFonts w:ascii="@仿宋_GB2312" w:hAnsi="@仿宋_GB2312" w:eastAsia="@仿宋_GB2312" w:cs="@仿宋_GB2312"/>
      <w:b/>
      <w:bCs/>
      <w:kern w:val="44"/>
      <w:sz w:val="44"/>
      <w:szCs w:val="44"/>
    </w:rPr>
  </w:style>
  <w:style w:type="paragraph" w:customStyle="1" w:styleId="62">
    <w:name w:val="TOC 标题1"/>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字符"/>
    <w:basedOn w:val="30"/>
    <w:link w:val="6"/>
    <w:semiHidden/>
    <w:qFormat/>
    <w:uiPriority w:val="9"/>
    <w:rPr>
      <w:rFonts w:ascii="@仿宋_GB2312" w:hAnsi="@仿宋_GB2312" w:eastAsia="@仿宋_GB2312" w:cs="@仿宋_GB2312"/>
      <w:b/>
      <w:bCs/>
      <w:sz w:val="32"/>
      <w:szCs w:val="32"/>
    </w:rPr>
  </w:style>
  <w:style w:type="character" w:customStyle="1" w:styleId="64">
    <w:name w:val="fontstyle01"/>
    <w:basedOn w:val="30"/>
    <w:qFormat/>
    <w:uiPriority w:val="0"/>
    <w:rPr>
      <w:rFonts w:hint="eastAsia" w:ascii="宋体" w:hAnsi="宋体" w:eastAsia="宋体"/>
      <w:color w:val="000000"/>
      <w:sz w:val="22"/>
      <w:szCs w:val="22"/>
    </w:rPr>
  </w:style>
  <w:style w:type="character" w:customStyle="1" w:styleId="65">
    <w:name w:val="fontstyle21"/>
    <w:basedOn w:val="30"/>
    <w:qFormat/>
    <w:uiPriority w:val="0"/>
    <w:rPr>
      <w:rFonts w:hint="default" w:ascii="TimesNewRomanPSMT" w:hAnsi="TimesNewRomanPSMT"/>
      <w:color w:val="000000"/>
      <w:sz w:val="22"/>
      <w:szCs w:val="22"/>
    </w:rPr>
  </w:style>
  <w:style w:type="character" w:customStyle="1" w:styleId="6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semiHidden/>
    <w:qFormat/>
    <w:uiPriority w:val="9"/>
    <w:rPr>
      <w:rFonts w:asciiTheme="majorHAnsi" w:hAnsiTheme="majorHAnsi" w:eastAsiaTheme="majorEastAsia" w:cstheme="majorBidi"/>
      <w:b/>
      <w:bCs/>
      <w:sz w:val="28"/>
      <w:szCs w:val="28"/>
    </w:rPr>
  </w:style>
  <w:style w:type="character" w:customStyle="1" w:styleId="68">
    <w:name w:val="标题 4 字符1"/>
    <w:link w:val="3"/>
    <w:qFormat/>
    <w:uiPriority w:val="0"/>
    <w:rPr>
      <w:rFonts w:ascii="@仿宋_GB2312" w:hAnsi="@仿宋_GB2312" w:eastAsia="@仿宋_GB2312" w:cs="@仿宋_GB2312"/>
      <w:b/>
      <w:bCs/>
      <w:sz w:val="28"/>
      <w:szCs w:val="28"/>
    </w:rPr>
  </w:style>
  <w:style w:type="character" w:customStyle="1" w:styleId="69">
    <w:name w:val="标题 4 Char"/>
    <w:qFormat/>
    <w:uiPriority w:val="0"/>
    <w:rPr>
      <w:rFonts w:ascii="Arial" w:hAnsi="Arial" w:eastAsia="Arial"/>
      <w:b/>
      <w:bCs/>
      <w:kern w:val="2"/>
      <w:sz w:val="28"/>
      <w:szCs w:val="28"/>
      <w:lang w:val="en-US" w:eastAsia="zh-CN" w:bidi="ar-SA"/>
    </w:rPr>
  </w:style>
  <w:style w:type="table" w:customStyle="1" w:styleId="70">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批注主题 字符"/>
    <w:basedOn w:val="60"/>
    <w:link w:val="25"/>
    <w:semiHidden/>
    <w:qFormat/>
    <w:uiPriority w:val="99"/>
    <w:rPr>
      <w:rFonts w:ascii="@仿宋_GB2312" w:hAnsi="@仿宋_GB2312" w:eastAsia="@仿宋_GB2312" w:cs="@仿宋_GB2312"/>
      <w:b/>
      <w:bCs/>
      <w:szCs w:val="20"/>
    </w:rPr>
  </w:style>
  <w:style w:type="table" w:customStyle="1" w:styleId="72">
    <w:name w:val="Table Normal"/>
    <w:semiHidden/>
    <w:unhideWhenUsed/>
    <w:qFormat/>
    <w:uiPriority w:val="0"/>
    <w:tblPr>
      <w:tblCellMar>
        <w:top w:w="0" w:type="dxa"/>
        <w:left w:w="0" w:type="dxa"/>
        <w:bottom w:w="0" w:type="dxa"/>
        <w:right w:w="0" w:type="dxa"/>
      </w:tblCellMar>
    </w:tblPr>
  </w:style>
  <w:style w:type="paragraph" w:customStyle="1" w:styleId="73">
    <w:name w:val="Table Text"/>
    <w:basedOn w:val="1"/>
    <w:semiHidden/>
    <w:qFormat/>
    <w:uiPriority w:val="0"/>
    <w:rPr>
      <w:rFonts w:ascii="Arial" w:hAnsi="Arial" w:eastAsia="Arial" w:cs="Arial"/>
      <w:szCs w:val="21"/>
      <w:lang w:eastAsia="en-US"/>
    </w:rPr>
  </w:style>
  <w:style w:type="paragraph" w:customStyle="1" w:styleId="74">
    <w:name w:val="Table Paragraph"/>
    <w:basedOn w:val="1"/>
    <w:qFormat/>
    <w:uiPriority w:val="0"/>
    <w:rPr>
      <w:rFonts w:ascii="宋体" w:hAnsi="宋体" w:eastAsia="宋体" w:cs="宋体"/>
      <w:lang w:val="zh-CN" w:bidi="zh-CN"/>
    </w:rPr>
  </w:style>
  <w:style w:type="paragraph" w:customStyle="1" w:styleId="7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宋体"/>
      <w:sz w:val="24"/>
      <w:szCs w:val="24"/>
      <w:lang w:val="en-US" w:eastAsia="zh-CN" w:bidi="ar-SA"/>
    </w:rPr>
  </w:style>
  <w:style w:type="paragraph" w:customStyle="1" w:styleId="76">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77">
    <w:name w:val="UserStyle_6"/>
    <w:qFormat/>
    <w:uiPriority w:val="0"/>
    <w:pPr>
      <w:spacing w:line="440" w:lineRule="exact"/>
      <w:ind w:left="357" w:hanging="357"/>
      <w:jc w:val="both"/>
      <w:textAlignment w:val="baseline"/>
    </w:pPr>
    <w:rPr>
      <w:rFonts w:ascii="Times New Roman" w:hAnsi="Times New Roman" w:eastAsia="宋体" w:cs="Times New Roman"/>
      <w:kern w:val="2"/>
      <w:sz w:val="21"/>
      <w:szCs w:val="22"/>
      <w:lang w:val="en-US" w:eastAsia="zh-CN" w:bidi="ar-SA"/>
    </w:rPr>
  </w:style>
  <w:style w:type="character" w:customStyle="1" w:styleId="78">
    <w:name w:val="NormalCharacter"/>
    <w:semiHidden/>
    <w:qFormat/>
    <w:uiPriority w:val="0"/>
  </w:style>
  <w:style w:type="character" w:customStyle="1" w:styleId="79">
    <w:name w:val="hover"/>
    <w:basedOn w:val="30"/>
    <w:qFormat/>
    <w:uiPriority w:val="0"/>
  </w:style>
  <w:style w:type="character" w:customStyle="1" w:styleId="80">
    <w:name w:val="hover1"/>
    <w:basedOn w:val="30"/>
    <w:qFormat/>
    <w:uiPriority w:val="0"/>
    <w:rPr>
      <w:color w:val="2590EB"/>
    </w:rPr>
  </w:style>
  <w:style w:type="character" w:customStyle="1" w:styleId="81">
    <w:name w:val="hover2"/>
    <w:basedOn w:val="30"/>
    <w:qFormat/>
    <w:uiPriority w:val="0"/>
    <w:rPr>
      <w:color w:val="2590EB"/>
    </w:rPr>
  </w:style>
  <w:style w:type="character" w:customStyle="1" w:styleId="82">
    <w:name w:val="hover3"/>
    <w:basedOn w:val="30"/>
    <w:qFormat/>
    <w:uiPriority w:val="0"/>
    <w:rPr>
      <w:color w:val="2590EB"/>
      <w:shd w:val="clear" w:color="auto" w:fill="E9F4FD"/>
    </w:rPr>
  </w:style>
  <w:style w:type="character" w:customStyle="1" w:styleId="83">
    <w:name w:val="hover4"/>
    <w:basedOn w:val="30"/>
    <w:qFormat/>
    <w:uiPriority w:val="0"/>
    <w:rPr>
      <w:color w:val="2590EB"/>
      <w:shd w:val="clear" w:color="auto" w:fill="E9F4FD"/>
    </w:rPr>
  </w:style>
  <w:style w:type="paragraph" w:customStyle="1" w:styleId="84">
    <w:name w:val="A正文"/>
    <w:basedOn w:val="1"/>
    <w:qFormat/>
    <w:uiPriority w:val="0"/>
    <w:pPr>
      <w:tabs>
        <w:tab w:val="left" w:pos="893"/>
      </w:tabs>
      <w:spacing w:line="360" w:lineRule="auto"/>
      <w:ind w:firstLine="480"/>
    </w:pPr>
    <w:rPr>
      <w:rFonts w:ascii="Times New Roman" w:hAnsi="Times New Roman" w:eastAsia="宋体" w:cs="Times New Roman"/>
      <w:snapToGrid w:val="0"/>
      <w:color w:val="000000"/>
      <w:kern w:val="0"/>
      <w:sz w:val="24"/>
      <w:lang w:val="zh-CN"/>
    </w:rPr>
  </w:style>
  <w:style w:type="paragraph" w:customStyle="1" w:styleId="85">
    <w:name w:val="xl25"/>
    <w:basedOn w:val="1"/>
    <w:qFormat/>
    <w:uiPriority w:val="0"/>
    <w:pPr>
      <w:widowControl/>
      <w:spacing w:before="100" w:beforeAutospacing="1" w:after="100" w:afterAutospacing="1" w:line="400" w:lineRule="exact"/>
      <w:ind w:firstLine="960" w:firstLineChars="200"/>
      <w:jc w:val="right"/>
      <w:textAlignment w:val="baseline"/>
    </w:pPr>
    <w:rPr>
      <w:rFonts w:ascii="Arial Unicode MS" w:hAnsi="Arial Unicode MS" w:eastAsia="宋体" w:cs="Arial Unicode MS"/>
      <w:color w:val="000000"/>
      <w:kern w:val="0"/>
      <w:sz w:val="18"/>
      <w:szCs w:val="18"/>
      <w:u w:color="000000"/>
    </w:rPr>
  </w:style>
  <w:style w:type="character" w:customStyle="1" w:styleId="86">
    <w:name w:val="status"/>
    <w:basedOn w:val="30"/>
    <w:qFormat/>
    <w:uiPriority w:val="0"/>
    <w:rPr>
      <w:color w:val="0776DD"/>
    </w:rPr>
  </w:style>
  <w:style w:type="character" w:customStyle="1" w:styleId="87">
    <w:name w:val="time"/>
    <w:basedOn w:val="30"/>
    <w:qFormat/>
    <w:uiPriority w:val="0"/>
  </w:style>
  <w:style w:type="character" w:customStyle="1" w:styleId="88">
    <w:name w:val="last-child"/>
    <w:basedOn w:val="30"/>
    <w:qFormat/>
    <w:uiPriority w:val="0"/>
  </w:style>
  <w:style w:type="character" w:customStyle="1" w:styleId="89">
    <w:name w:val="first-child1"/>
    <w:basedOn w:val="30"/>
    <w:qFormat/>
    <w:uiPriority w:val="0"/>
  </w:style>
  <w:style w:type="character" w:customStyle="1" w:styleId="90">
    <w:name w:val="last-child1"/>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65</Pages>
  <Words>9884</Words>
  <Characters>10570</Characters>
  <Lines>306</Lines>
  <Paragraphs>86</Paragraphs>
  <TotalTime>11</TotalTime>
  <ScaleCrop>false</ScaleCrop>
  <LinksUpToDate>false</LinksUpToDate>
  <CharactersWithSpaces>10659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2019-05-07T22:32:00Z</dcterms:created>
  <dc:creator>Anakin</dc:creator>
  <cp:lastModifiedBy>傻傻一辈子</cp:lastModifiedBy>
  <cp:lastPrinted>2019-12-08T23:18:00Z</cp:lastPrinted>
  <dcterms:modified xsi:type="dcterms:W3CDTF">2026-05-13T09:04:43Z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8F39F982294B4D23BB28A9E20DEAFE2C_13</vt:lpwstr>
  </property>
  <property fmtid="{D5CDD505-2E9C-101B-9397-08002B2CF9AE}" pid="4" name="KSOTemplateDocerSaveRecord">
    <vt:lpwstr>eyJoZGlkIjoiZDQ0ZTM1OThkNDRiNzM2OWNjMmFkYWEzNjc1MWViMTgiLCJ1c2VySWQiOiIzODU2Mzk2OTQifQ==</vt:lpwstr>
  </property>
</Properties>
</file>