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171CD">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val="en-US" w:eastAsia="zh-CN"/>
        </w:rPr>
      </w:pPr>
      <w:bookmarkStart w:id="0" w:name="_Hlk9544796"/>
    </w:p>
    <w:p w14:paraId="641AD5A7">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lang w:val="en-US" w:eastAsia="zh-CN"/>
        </w:rPr>
      </w:pPr>
    </w:p>
    <w:p w14:paraId="5EF59064">
      <w:pPr>
        <w:tabs>
          <w:tab w:val="left" w:pos="315"/>
          <w:tab w:val="left" w:pos="8820"/>
        </w:tabs>
        <w:spacing w:before="240" w:beforeLines="100" w:after="120" w:afterLines="50" w:line="480" w:lineRule="auto"/>
        <w:ind w:right="267" w:rightChars="127"/>
        <w:jc w:val="center"/>
        <w:rPr>
          <w:rFonts w:hint="eastAsia" w:asciiTheme="minorEastAsia" w:hAnsiTheme="minorEastAsia" w:eastAsiaTheme="minorEastAsia"/>
          <w:b/>
          <w:bCs/>
          <w:color w:val="auto"/>
          <w:sz w:val="48"/>
          <w:szCs w:val="48"/>
          <w:highlight w:val="none"/>
          <w:lang w:val="en-US" w:eastAsia="zh-CN"/>
        </w:rPr>
      </w:pPr>
      <w:r>
        <w:rPr>
          <w:rFonts w:hint="eastAsia" w:asciiTheme="minorEastAsia" w:hAnsiTheme="minorEastAsia" w:eastAsiaTheme="minorEastAsia"/>
          <w:b/>
          <w:bCs/>
          <w:color w:val="auto"/>
          <w:sz w:val="48"/>
          <w:szCs w:val="48"/>
          <w:highlight w:val="none"/>
          <w:lang w:val="en-US" w:eastAsia="zh-CN"/>
        </w:rPr>
        <w:t>明巢高速污水处理站备件采购项目</w:t>
      </w:r>
    </w:p>
    <w:p w14:paraId="60E30A83">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52"/>
          <w:szCs w:val="52"/>
          <w:highlight w:val="none"/>
        </w:rPr>
      </w:pPr>
    </w:p>
    <w:p w14:paraId="2BA3405C">
      <w:pPr>
        <w:tabs>
          <w:tab w:val="left" w:pos="315"/>
          <w:tab w:val="left" w:pos="8820"/>
        </w:tabs>
        <w:spacing w:before="240" w:beforeLines="100" w:after="120" w:afterLines="50" w:line="500" w:lineRule="exact"/>
        <w:ind w:right="267" w:rightChars="127"/>
        <w:jc w:val="center"/>
        <w:rPr>
          <w:rFonts w:hint="default" w:asciiTheme="minorEastAsia" w:hAnsiTheme="minorEastAsia" w:eastAsiaTheme="minorEastAsia"/>
          <w:b/>
          <w:bCs/>
          <w:color w:val="auto"/>
          <w:sz w:val="52"/>
          <w:szCs w:val="52"/>
          <w:highlight w:val="none"/>
          <w:lang w:val="en-US" w:eastAsia="zh-CN"/>
        </w:rPr>
      </w:pPr>
      <w:r>
        <w:rPr>
          <w:rFonts w:hint="eastAsia" w:asciiTheme="minorEastAsia" w:hAnsiTheme="minorEastAsia" w:eastAsiaTheme="minorEastAsia"/>
          <w:b/>
          <w:bCs/>
          <w:color w:val="auto"/>
          <w:sz w:val="52"/>
          <w:szCs w:val="52"/>
          <w:highlight w:val="none"/>
        </w:rPr>
        <w:t>询价</w:t>
      </w:r>
      <w:bookmarkEnd w:id="0"/>
      <w:r>
        <w:rPr>
          <w:rFonts w:hint="eastAsia" w:asciiTheme="minorEastAsia" w:hAnsiTheme="minorEastAsia" w:eastAsiaTheme="minorEastAsia"/>
          <w:b/>
          <w:bCs/>
          <w:color w:val="auto"/>
          <w:sz w:val="52"/>
          <w:szCs w:val="52"/>
          <w:highlight w:val="none"/>
          <w:lang w:val="en-US" w:eastAsia="zh-CN"/>
        </w:rPr>
        <w:t>采购文件</w:t>
      </w:r>
    </w:p>
    <w:p w14:paraId="71277AFA">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05C1BEA3">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28"/>
          <w:szCs w:val="28"/>
          <w:highlight w:val="none"/>
          <w:lang w:val="en-US" w:eastAsia="zh-CN"/>
        </w:rPr>
      </w:pPr>
      <w:r>
        <w:rPr>
          <w:rFonts w:hint="eastAsia" w:asciiTheme="minorEastAsia" w:hAnsiTheme="minorEastAsia" w:eastAsiaTheme="minorEastAsia"/>
          <w:b/>
          <w:bCs/>
          <w:color w:val="auto"/>
          <w:sz w:val="28"/>
          <w:szCs w:val="28"/>
          <w:highlight w:val="none"/>
          <w:lang w:val="en-US" w:eastAsia="zh-CN"/>
        </w:rPr>
        <w:t xml:space="preserve">项目编号：HXJY1110001042621001001 </w:t>
      </w:r>
    </w:p>
    <w:p w14:paraId="78ABBD46">
      <w:pPr>
        <w:tabs>
          <w:tab w:val="left" w:pos="315"/>
          <w:tab w:val="left" w:pos="8820"/>
        </w:tabs>
        <w:spacing w:before="240" w:beforeLines="100" w:after="120" w:afterLines="50" w:line="500" w:lineRule="exact"/>
        <w:ind w:right="267" w:rightChars="127"/>
        <w:jc w:val="center"/>
        <w:rPr>
          <w:rFonts w:hint="default" w:asciiTheme="minorEastAsia" w:hAnsiTheme="minorEastAsia" w:eastAsiaTheme="minorEastAsia"/>
          <w:b/>
          <w:bCs/>
          <w:color w:val="auto"/>
          <w:sz w:val="28"/>
          <w:szCs w:val="28"/>
          <w:highlight w:val="none"/>
          <w:lang w:val="en-US" w:eastAsia="zh-CN"/>
        </w:rPr>
      </w:pPr>
      <w:r>
        <w:rPr>
          <w:rFonts w:hint="eastAsia" w:asciiTheme="minorEastAsia" w:hAnsiTheme="minorEastAsia" w:eastAsiaTheme="minorEastAsia"/>
          <w:b/>
          <w:bCs/>
          <w:color w:val="auto"/>
          <w:sz w:val="28"/>
          <w:szCs w:val="28"/>
          <w:highlight w:val="none"/>
          <w:lang w:val="en-US" w:eastAsia="zh-CN"/>
        </w:rPr>
        <w:t xml:space="preserve"> </w:t>
      </w:r>
    </w:p>
    <w:p w14:paraId="269AA10A">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0BFFF10E">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2D9A790D">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4B3C6167">
      <w:pPr>
        <w:tabs>
          <w:tab w:val="left" w:pos="2410"/>
        </w:tabs>
        <w:autoSpaceDE w:val="0"/>
        <w:autoSpaceDN w:val="0"/>
        <w:adjustRightInd w:val="0"/>
        <w:snapToGrid w:val="0"/>
        <w:spacing w:line="360" w:lineRule="auto"/>
        <w:ind w:firstLine="723" w:firstLineChars="200"/>
        <w:rPr>
          <w:rFonts w:hint="default" w:asciiTheme="minorEastAsia" w:hAnsiTheme="minorEastAsia" w:eastAsiaTheme="minorEastAsia"/>
          <w:b/>
          <w:color w:val="auto"/>
          <w:spacing w:val="20"/>
          <w:kern w:val="0"/>
          <w:sz w:val="32"/>
          <w:szCs w:val="32"/>
          <w:highlight w:val="none"/>
          <w:lang w:val="en-US"/>
        </w:rPr>
      </w:pPr>
      <w:r>
        <w:rPr>
          <w:rFonts w:hint="eastAsia" w:asciiTheme="minorEastAsia" w:hAnsiTheme="minorEastAsia" w:eastAsiaTheme="minorEastAsia"/>
          <w:b/>
          <w:color w:val="auto"/>
          <w:spacing w:val="20"/>
          <w:kern w:val="0"/>
          <w:sz w:val="32"/>
          <w:szCs w:val="32"/>
          <w:highlight w:val="none"/>
        </w:rPr>
        <w:t>采</w:t>
      </w:r>
      <w:r>
        <w:rPr>
          <w:rFonts w:hint="eastAsia" w:asciiTheme="minorEastAsia" w:hAnsiTheme="minorEastAsia" w:eastAsiaTheme="minorEastAsia"/>
          <w:b/>
          <w:color w:val="auto"/>
          <w:spacing w:val="20"/>
          <w:kern w:val="0"/>
          <w:sz w:val="32"/>
          <w:szCs w:val="32"/>
          <w:highlight w:val="none"/>
          <w:lang w:val="en-US" w:eastAsia="zh-CN"/>
        </w:rPr>
        <w:t xml:space="preserve"> </w:t>
      </w:r>
      <w:r>
        <w:rPr>
          <w:rFonts w:hint="eastAsia" w:asciiTheme="minorEastAsia" w:hAnsiTheme="minorEastAsia" w:eastAsiaTheme="minorEastAsia"/>
          <w:b/>
          <w:color w:val="auto"/>
          <w:spacing w:val="20"/>
          <w:kern w:val="0"/>
          <w:sz w:val="32"/>
          <w:szCs w:val="32"/>
          <w:highlight w:val="none"/>
        </w:rPr>
        <w:t>购</w:t>
      </w:r>
      <w:r>
        <w:rPr>
          <w:rFonts w:hint="eastAsia" w:asciiTheme="minorEastAsia" w:hAnsiTheme="minorEastAsia" w:eastAsiaTheme="minorEastAsia"/>
          <w:b/>
          <w:color w:val="auto"/>
          <w:spacing w:val="20"/>
          <w:kern w:val="0"/>
          <w:sz w:val="32"/>
          <w:szCs w:val="32"/>
          <w:highlight w:val="none"/>
          <w:lang w:val="en-US" w:eastAsia="zh-CN"/>
        </w:rPr>
        <w:t xml:space="preserve"> </w:t>
      </w:r>
      <w:r>
        <w:rPr>
          <w:rFonts w:hint="eastAsia" w:asciiTheme="minorEastAsia" w:hAnsiTheme="minorEastAsia" w:eastAsiaTheme="minorEastAsia"/>
          <w:b/>
          <w:color w:val="auto"/>
          <w:spacing w:val="20"/>
          <w:kern w:val="0"/>
          <w:sz w:val="32"/>
          <w:szCs w:val="32"/>
          <w:highlight w:val="none"/>
        </w:rPr>
        <w:t>人：</w:t>
      </w:r>
      <w:r>
        <w:rPr>
          <w:rFonts w:hint="eastAsia" w:asciiTheme="minorEastAsia" w:hAnsiTheme="minorEastAsia" w:eastAsiaTheme="minorEastAsia"/>
          <w:b/>
          <w:color w:val="auto"/>
          <w:spacing w:val="20"/>
          <w:kern w:val="0"/>
          <w:sz w:val="32"/>
          <w:szCs w:val="32"/>
          <w:highlight w:val="none"/>
          <w:u w:val="single"/>
          <w:lang w:val="en-US" w:eastAsia="zh-CN"/>
        </w:rPr>
        <w:t>安徽明巢高速公路开发有限公司（盖章）</w:t>
      </w:r>
    </w:p>
    <w:p w14:paraId="56C6924D">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p>
    <w:p w14:paraId="690E158C">
      <w:pPr>
        <w:tabs>
          <w:tab w:val="left" w:pos="2410"/>
        </w:tabs>
        <w:autoSpaceDE w:val="0"/>
        <w:autoSpaceDN w:val="0"/>
        <w:adjustRightInd w:val="0"/>
        <w:snapToGrid w:val="0"/>
        <w:spacing w:line="360" w:lineRule="auto"/>
        <w:ind w:firstLine="723" w:firstLineChars="200"/>
        <w:rPr>
          <w:rFonts w:asciiTheme="minorEastAsia" w:hAnsiTheme="minorEastAsia" w:eastAsiaTheme="minorEastAsia"/>
          <w:b/>
          <w:color w:val="auto"/>
          <w:spacing w:val="20"/>
          <w:kern w:val="0"/>
          <w:sz w:val="32"/>
          <w:szCs w:val="32"/>
          <w:highlight w:val="none"/>
        </w:rPr>
      </w:pPr>
      <w:r>
        <w:rPr>
          <w:rFonts w:hint="eastAsia" w:asciiTheme="minorEastAsia" w:hAnsiTheme="minorEastAsia" w:eastAsiaTheme="minorEastAsia"/>
          <w:b/>
          <w:color w:val="auto"/>
          <w:spacing w:val="20"/>
          <w:kern w:val="0"/>
          <w:sz w:val="32"/>
          <w:szCs w:val="32"/>
          <w:highlight w:val="none"/>
        </w:rPr>
        <w:t>代理机构：</w:t>
      </w:r>
      <w:r>
        <w:rPr>
          <w:rFonts w:hint="eastAsia" w:asciiTheme="minorEastAsia" w:hAnsiTheme="minorEastAsia" w:eastAsiaTheme="minorEastAsia"/>
          <w:b/>
          <w:color w:val="auto"/>
          <w:spacing w:val="20"/>
          <w:kern w:val="0"/>
          <w:sz w:val="32"/>
          <w:szCs w:val="32"/>
          <w:highlight w:val="none"/>
          <w:u w:val="single"/>
          <w:lang w:val="en-US" w:eastAsia="zh-CN"/>
        </w:rPr>
        <w:t>滁州市城投工程咨询管理有限公司（盖章）</w:t>
      </w:r>
    </w:p>
    <w:p w14:paraId="0C38F9BF">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199E3F2F">
      <w:pPr>
        <w:tabs>
          <w:tab w:val="left" w:pos="2410"/>
        </w:tabs>
        <w:autoSpaceDE w:val="0"/>
        <w:autoSpaceDN w:val="0"/>
        <w:adjustRightInd w:val="0"/>
        <w:snapToGrid w:val="0"/>
        <w:spacing w:line="360" w:lineRule="auto"/>
        <w:ind w:firstLine="722"/>
        <w:jc w:val="center"/>
        <w:rPr>
          <w:rFonts w:asciiTheme="minorEastAsia" w:hAnsiTheme="minorEastAsia" w:eastAsiaTheme="minorEastAsia"/>
          <w:b/>
          <w:color w:val="auto"/>
          <w:sz w:val="36"/>
          <w:highlight w:val="none"/>
        </w:rPr>
      </w:pPr>
      <w:r>
        <w:rPr>
          <w:rFonts w:hint="eastAsia" w:asciiTheme="minorEastAsia" w:hAnsiTheme="minorEastAsia" w:eastAsiaTheme="minorEastAsia"/>
          <w:b/>
          <w:color w:val="auto"/>
          <w:sz w:val="36"/>
          <w:highlight w:val="none"/>
          <w:u w:val="single"/>
        </w:rPr>
        <w:t xml:space="preserve">2025 </w:t>
      </w:r>
      <w:r>
        <w:rPr>
          <w:rFonts w:hint="eastAsia" w:asciiTheme="minorEastAsia" w:hAnsiTheme="minorEastAsia" w:eastAsiaTheme="minorEastAsia"/>
          <w:b/>
          <w:color w:val="auto"/>
          <w:sz w:val="36"/>
          <w:highlight w:val="none"/>
        </w:rPr>
        <w:t>年</w:t>
      </w:r>
      <w:r>
        <w:rPr>
          <w:rFonts w:hint="eastAsia" w:asciiTheme="minorEastAsia" w:hAnsiTheme="minorEastAsia" w:eastAsiaTheme="minorEastAsia"/>
          <w:b/>
          <w:color w:val="auto"/>
          <w:sz w:val="36"/>
          <w:highlight w:val="none"/>
          <w:u w:val="single"/>
        </w:rPr>
        <w:t xml:space="preserve"> </w:t>
      </w:r>
      <w:r>
        <w:rPr>
          <w:rFonts w:hint="eastAsia" w:asciiTheme="minorEastAsia" w:hAnsiTheme="minorEastAsia" w:eastAsiaTheme="minorEastAsia"/>
          <w:b/>
          <w:color w:val="auto"/>
          <w:sz w:val="36"/>
          <w:highlight w:val="none"/>
          <w:u w:val="single"/>
          <w:lang w:val="en-US" w:eastAsia="zh-CN"/>
        </w:rPr>
        <w:t>9</w:t>
      </w:r>
      <w:r>
        <w:rPr>
          <w:rFonts w:hint="eastAsia" w:asciiTheme="minorEastAsia" w:hAnsiTheme="minorEastAsia" w:eastAsiaTheme="minorEastAsia"/>
          <w:b/>
          <w:color w:val="auto"/>
          <w:sz w:val="36"/>
          <w:highlight w:val="none"/>
        </w:rPr>
        <w:t>月</w:t>
      </w:r>
      <w:r>
        <w:rPr>
          <w:rFonts w:asciiTheme="minorEastAsia" w:hAnsiTheme="minorEastAsia" w:eastAsiaTheme="minorEastAsia"/>
          <w:b/>
          <w:color w:val="auto"/>
          <w:sz w:val="36"/>
          <w:highlight w:val="none"/>
        </w:rPr>
        <w:br w:type="page"/>
      </w:r>
    </w:p>
    <w:p w14:paraId="1E061AE7">
      <w:pPr>
        <w:tabs>
          <w:tab w:val="left" w:pos="2410"/>
        </w:tabs>
        <w:autoSpaceDE w:val="0"/>
        <w:autoSpaceDN w:val="0"/>
        <w:adjustRightInd w:val="0"/>
        <w:snapToGrid w:val="0"/>
        <w:spacing w:line="360" w:lineRule="auto"/>
        <w:jc w:val="center"/>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目  录</w:t>
      </w:r>
    </w:p>
    <w:p w14:paraId="3D660BC1">
      <w:pPr>
        <w:pStyle w:val="19"/>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"_Toc17729" </w:instrText>
      </w:r>
      <w:r>
        <w:rPr>
          <w:color w:val="auto"/>
          <w:highlight w:val="none"/>
        </w:rPr>
        <w:fldChar w:fldCharType="separate"/>
      </w:r>
      <w:r>
        <w:rPr>
          <w:rFonts w:hint="eastAsia" w:asciiTheme="minorEastAsia" w:hAnsiTheme="minorEastAsia"/>
          <w:color w:val="auto"/>
          <w:highlight w:val="none"/>
        </w:rPr>
        <w:t xml:space="preserve">第一章 </w:t>
      </w:r>
      <w:r>
        <w:rPr>
          <w:rFonts w:asciiTheme="minorEastAsia" w:hAnsiTheme="minorEastAsia"/>
          <w:color w:val="auto"/>
          <w:highlight w:val="none"/>
        </w:rPr>
        <w:t xml:space="preserve"> </w:t>
      </w:r>
      <w:r>
        <w:rPr>
          <w:rFonts w:hint="eastAsia" w:asciiTheme="minorEastAsia" w:hAnsiTheme="minorEastAsia"/>
          <w:color w:val="auto"/>
          <w:highlight w:val="none"/>
        </w:rPr>
        <w:t>询价邀请</w:t>
      </w:r>
      <w:r>
        <w:rPr>
          <w:color w:val="auto"/>
          <w:highlight w:val="none"/>
        </w:rPr>
        <w:tab/>
      </w:r>
      <w:r>
        <w:rPr>
          <w:rFonts w:hint="eastAsia"/>
          <w:color w:val="auto"/>
          <w:highlight w:val="none"/>
        </w:rPr>
        <w:t>1</w:t>
      </w:r>
      <w:r>
        <w:rPr>
          <w:rFonts w:hint="eastAsia"/>
          <w:color w:val="auto"/>
          <w:highlight w:val="none"/>
        </w:rPr>
        <w:fldChar w:fldCharType="end"/>
      </w:r>
    </w:p>
    <w:p w14:paraId="39FCA9D7">
      <w:pPr>
        <w:pStyle w:val="19"/>
        <w:tabs>
          <w:tab w:val="right" w:leader="dot" w:pos="8279"/>
        </w:tabs>
        <w:rPr>
          <w:color w:val="auto"/>
          <w:highlight w:val="none"/>
        </w:rPr>
      </w:pPr>
      <w:r>
        <w:rPr>
          <w:color w:val="auto"/>
          <w:highlight w:val="none"/>
        </w:rPr>
        <w:fldChar w:fldCharType="begin"/>
      </w:r>
      <w:r>
        <w:rPr>
          <w:color w:val="auto"/>
          <w:highlight w:val="none"/>
        </w:rPr>
        <w:instrText xml:space="preserve"> HYPERLINK \l "_Toc3199" </w:instrText>
      </w:r>
      <w:r>
        <w:rPr>
          <w:color w:val="auto"/>
          <w:highlight w:val="none"/>
        </w:rPr>
        <w:fldChar w:fldCharType="separate"/>
      </w:r>
      <w:r>
        <w:rPr>
          <w:rFonts w:hint="eastAsia" w:asciiTheme="minorEastAsia" w:hAnsiTheme="minorEastAsia"/>
          <w:color w:val="auto"/>
          <w:highlight w:val="none"/>
        </w:rPr>
        <w:t>第二章</w:t>
      </w:r>
      <w:r>
        <w:rPr>
          <w:rFonts w:asciiTheme="minorEastAsia" w:hAnsiTheme="minorEastAsia"/>
          <w:color w:val="auto"/>
          <w:highlight w:val="none"/>
        </w:rPr>
        <w:t xml:space="preserve"> </w:t>
      </w:r>
      <w:r>
        <w:rPr>
          <w:rFonts w:hint="eastAsia" w:asciiTheme="minorEastAsia" w:hAnsiTheme="minorEastAsia"/>
          <w:color w:val="auto"/>
          <w:highlight w:val="none"/>
        </w:rPr>
        <w:t xml:space="preserve"> 供应商</w:t>
      </w:r>
      <w:r>
        <w:rPr>
          <w:rFonts w:asciiTheme="minorEastAsia" w:hAnsiTheme="minorEastAsia"/>
          <w:color w:val="auto"/>
          <w:highlight w:val="none"/>
        </w:rPr>
        <w:t>须知</w:t>
      </w:r>
      <w:r>
        <w:rPr>
          <w:color w:val="auto"/>
          <w:highlight w:val="none"/>
        </w:rPr>
        <w:tab/>
      </w:r>
      <w:r>
        <w:rPr>
          <w:rFonts w:hint="eastAsia"/>
          <w:color w:val="auto"/>
          <w:highlight w:val="none"/>
          <w:lang w:val="en-US" w:eastAsia="zh-CN"/>
        </w:rPr>
        <w:t>5</w:t>
      </w:r>
      <w:r>
        <w:rPr>
          <w:rFonts w:hint="eastAsia"/>
          <w:color w:val="auto"/>
          <w:highlight w:val="none"/>
        </w:rPr>
        <w:fldChar w:fldCharType="end"/>
      </w:r>
    </w:p>
    <w:p w14:paraId="6AA34812">
      <w:pPr>
        <w:pStyle w:val="19"/>
        <w:tabs>
          <w:tab w:val="right" w:leader="dot" w:pos="8279"/>
        </w:tabs>
        <w:rPr>
          <w:rFonts w:asciiTheme="minorEastAsia" w:hAnsiTheme="minorEastAsia"/>
          <w:bCs/>
          <w:color w:val="auto"/>
          <w:szCs w:val="24"/>
          <w:highlight w:val="none"/>
        </w:rPr>
      </w:pPr>
      <w:r>
        <w:rPr>
          <w:color w:val="auto"/>
          <w:highlight w:val="none"/>
        </w:rPr>
        <w:fldChar w:fldCharType="begin"/>
      </w:r>
      <w:r>
        <w:rPr>
          <w:color w:val="auto"/>
          <w:highlight w:val="none"/>
        </w:rPr>
        <w:instrText xml:space="preserve"> HYPERLINK \l "_Toc1471" </w:instrText>
      </w:r>
      <w:r>
        <w:rPr>
          <w:color w:val="auto"/>
          <w:highlight w:val="none"/>
        </w:rPr>
        <w:fldChar w:fldCharType="separate"/>
      </w:r>
      <w:r>
        <w:rPr>
          <w:rFonts w:hint="eastAsia" w:asciiTheme="minorEastAsia" w:hAnsiTheme="minorEastAsia"/>
          <w:color w:val="auto"/>
          <w:highlight w:val="none"/>
        </w:rPr>
        <w:t>第三章  采购需求</w:t>
      </w:r>
      <w:r>
        <w:rPr>
          <w:color w:val="auto"/>
          <w:highlight w:val="none"/>
        </w:rPr>
        <w:tab/>
      </w:r>
      <w:r>
        <w:rPr>
          <w:rFonts w:hint="eastAsia"/>
          <w:color w:val="auto"/>
          <w:highlight w:val="none"/>
          <w:lang w:val="en-US" w:eastAsia="zh-CN"/>
        </w:rPr>
        <w:t>1</w:t>
      </w:r>
      <w:r>
        <w:rPr>
          <w:rFonts w:hint="eastAsia"/>
          <w:color w:val="auto"/>
          <w:highlight w:val="none"/>
        </w:rPr>
        <w:fldChar w:fldCharType="end"/>
      </w:r>
      <w:r>
        <w:rPr>
          <w:rFonts w:hint="eastAsia"/>
          <w:color w:val="auto"/>
          <w:highlight w:val="none"/>
          <w:lang w:val="en-US" w:eastAsia="zh-CN"/>
        </w:rPr>
        <w:t>5</w:t>
      </w:r>
    </w:p>
    <w:p w14:paraId="22BCF0E2">
      <w:pPr>
        <w:pStyle w:val="19"/>
        <w:tabs>
          <w:tab w:val="right" w:leader="dot" w:pos="8279"/>
        </w:tabs>
        <w:rPr>
          <w:rFonts w:hint="default" w:eastAsiaTheme="minorEastAsia"/>
          <w:color w:val="auto"/>
          <w:highlight w:val="none"/>
          <w:lang w:val="en-US" w:eastAsia="zh-CN"/>
        </w:rPr>
      </w:pPr>
      <w:r>
        <w:rPr>
          <w:color w:val="auto"/>
          <w:highlight w:val="none"/>
        </w:rPr>
        <w:fldChar w:fldCharType="begin"/>
      </w:r>
      <w:r>
        <w:rPr>
          <w:color w:val="auto"/>
          <w:highlight w:val="none"/>
        </w:rPr>
        <w:instrText xml:space="preserve"> HYPERLINK \l "_Toc15765" </w:instrText>
      </w:r>
      <w:r>
        <w:rPr>
          <w:color w:val="auto"/>
          <w:highlight w:val="none"/>
        </w:rPr>
        <w:fldChar w:fldCharType="separate"/>
      </w:r>
      <w:r>
        <w:rPr>
          <w:rFonts w:hint="eastAsia" w:asciiTheme="minorEastAsia" w:hAnsiTheme="minorEastAsia"/>
          <w:color w:val="auto"/>
          <w:highlight w:val="none"/>
        </w:rPr>
        <w:t>第四章  评审方法和标准</w:t>
      </w:r>
      <w:r>
        <w:rPr>
          <w:color w:val="auto"/>
          <w:highlight w:val="none"/>
        </w:rPr>
        <w:tab/>
      </w:r>
      <w:r>
        <w:rPr>
          <w:rFonts w:hint="eastAsia"/>
          <w:color w:val="auto"/>
          <w:highlight w:val="none"/>
        </w:rPr>
        <w:fldChar w:fldCharType="end"/>
      </w:r>
      <w:r>
        <w:rPr>
          <w:rFonts w:hint="eastAsia"/>
          <w:color w:val="auto"/>
          <w:highlight w:val="none"/>
          <w:lang w:val="en-US" w:eastAsia="zh-CN"/>
        </w:rPr>
        <w:t>18</w:t>
      </w:r>
    </w:p>
    <w:p w14:paraId="1E6C7626">
      <w:pPr>
        <w:pStyle w:val="19"/>
        <w:tabs>
          <w:tab w:val="right" w:leader="dot" w:pos="8279"/>
        </w:tabs>
        <w:rPr>
          <w:rFonts w:hint="default"/>
          <w:color w:val="auto"/>
          <w:highlight w:val="none"/>
          <w:lang w:val="en-US"/>
        </w:rPr>
      </w:pPr>
      <w:r>
        <w:rPr>
          <w:color w:val="auto"/>
          <w:highlight w:val="none"/>
        </w:rPr>
        <w:fldChar w:fldCharType="begin"/>
      </w:r>
      <w:r>
        <w:rPr>
          <w:color w:val="auto"/>
          <w:highlight w:val="none"/>
        </w:rPr>
        <w:instrText xml:space="preserve"> HYPERLINK \l "_Toc5156" </w:instrText>
      </w:r>
      <w:r>
        <w:rPr>
          <w:color w:val="auto"/>
          <w:highlight w:val="none"/>
        </w:rPr>
        <w:fldChar w:fldCharType="separate"/>
      </w:r>
      <w:r>
        <w:rPr>
          <w:rFonts w:hint="eastAsia" w:asciiTheme="minorEastAsia" w:hAnsiTheme="minorEastAsia"/>
          <w:color w:val="auto"/>
          <w:highlight w:val="none"/>
        </w:rPr>
        <w:t xml:space="preserve">第五章  </w:t>
      </w:r>
      <w:r>
        <w:rPr>
          <w:rFonts w:asciiTheme="minorEastAsia" w:hAnsiTheme="minorEastAsia"/>
          <w:color w:val="auto"/>
          <w:highlight w:val="none"/>
        </w:rPr>
        <w:t>政府采购合同</w:t>
      </w:r>
      <w:r>
        <w:rPr>
          <w:color w:val="auto"/>
          <w:highlight w:val="none"/>
        </w:rPr>
        <w:tab/>
      </w:r>
      <w:r>
        <w:rPr>
          <w:rFonts w:hint="eastAsia"/>
          <w:color w:val="auto"/>
          <w:highlight w:val="none"/>
        </w:rPr>
        <w:fldChar w:fldCharType="end"/>
      </w:r>
      <w:r>
        <w:rPr>
          <w:rFonts w:hint="eastAsia"/>
          <w:color w:val="auto"/>
          <w:highlight w:val="none"/>
          <w:lang w:val="en-US" w:eastAsia="zh-CN"/>
        </w:rPr>
        <w:t>21</w:t>
      </w:r>
    </w:p>
    <w:p w14:paraId="2A8FBFCB">
      <w:pPr>
        <w:pStyle w:val="19"/>
        <w:tabs>
          <w:tab w:val="right" w:leader="dot" w:pos="8279"/>
        </w:tabs>
        <w:rPr>
          <w:rFonts w:hint="default" w:eastAsiaTheme="minorEastAsia"/>
          <w:color w:val="auto"/>
          <w:highlight w:val="none"/>
          <w:lang w:val="en-US" w:eastAsia="zh-CN"/>
        </w:rPr>
      </w:pPr>
      <w:r>
        <w:rPr>
          <w:color w:val="auto"/>
          <w:highlight w:val="none"/>
        </w:rPr>
        <w:fldChar w:fldCharType="begin"/>
      </w:r>
      <w:r>
        <w:rPr>
          <w:color w:val="auto"/>
          <w:highlight w:val="none"/>
        </w:rPr>
        <w:instrText xml:space="preserve"> HYPERLINK \l "_Toc29013" </w:instrText>
      </w:r>
      <w:r>
        <w:rPr>
          <w:color w:val="auto"/>
          <w:highlight w:val="none"/>
        </w:rPr>
        <w:fldChar w:fldCharType="separate"/>
      </w:r>
      <w:r>
        <w:rPr>
          <w:rFonts w:hint="eastAsia" w:asciiTheme="minorEastAsia" w:hAnsiTheme="minorEastAsia"/>
          <w:color w:val="auto"/>
          <w:highlight w:val="none"/>
        </w:rPr>
        <w:t>第六章  响应文件格式</w:t>
      </w:r>
      <w:r>
        <w:rPr>
          <w:color w:val="auto"/>
          <w:highlight w:val="none"/>
        </w:rPr>
        <w:tab/>
      </w:r>
      <w:r>
        <w:rPr>
          <w:rFonts w:hint="eastAsia"/>
          <w:color w:val="auto"/>
          <w:highlight w:val="none"/>
        </w:rPr>
        <w:fldChar w:fldCharType="end"/>
      </w:r>
      <w:r>
        <w:rPr>
          <w:rFonts w:hint="eastAsia"/>
          <w:color w:val="auto"/>
          <w:highlight w:val="none"/>
          <w:lang w:val="en-US" w:eastAsia="zh-CN"/>
        </w:rPr>
        <w:t>30</w:t>
      </w:r>
    </w:p>
    <w:p w14:paraId="57637F0D">
      <w:pPr>
        <w:pStyle w:val="19"/>
        <w:tabs>
          <w:tab w:val="right" w:leader="dot" w:pos="8279"/>
        </w:tabs>
        <w:rPr>
          <w:rFonts w:hint="default"/>
          <w:color w:val="auto"/>
          <w:highlight w:val="none"/>
          <w:lang w:val="en-US"/>
        </w:rPr>
      </w:pPr>
      <w:r>
        <w:rPr>
          <w:color w:val="auto"/>
          <w:highlight w:val="none"/>
        </w:rPr>
        <w:fldChar w:fldCharType="begin"/>
      </w:r>
      <w:r>
        <w:rPr>
          <w:color w:val="auto"/>
          <w:highlight w:val="none"/>
        </w:rPr>
        <w:instrText xml:space="preserve"> HYPERLINK \l "_Toc1141" </w:instrText>
      </w:r>
      <w:r>
        <w:rPr>
          <w:color w:val="auto"/>
          <w:highlight w:val="none"/>
        </w:rPr>
        <w:fldChar w:fldCharType="separate"/>
      </w:r>
      <w:r>
        <w:rPr>
          <w:rFonts w:hint="eastAsia"/>
          <w:color w:val="auto"/>
          <w:highlight w:val="none"/>
        </w:rPr>
        <w:t>第七章  政府采购供应商询问函和质疑函范本</w:t>
      </w:r>
      <w:r>
        <w:rPr>
          <w:color w:val="auto"/>
          <w:highlight w:val="none"/>
        </w:rPr>
        <w:tab/>
      </w:r>
      <w:r>
        <w:rPr>
          <w:rFonts w:hint="eastAsia"/>
          <w:color w:val="auto"/>
          <w:highlight w:val="none"/>
        </w:rPr>
        <w:fldChar w:fldCharType="end"/>
      </w:r>
      <w:r>
        <w:rPr>
          <w:rFonts w:hint="eastAsia"/>
          <w:color w:val="auto"/>
          <w:highlight w:val="none"/>
          <w:lang w:val="en-US" w:eastAsia="zh-CN"/>
        </w:rPr>
        <w:t>44</w:t>
      </w:r>
    </w:p>
    <w:p w14:paraId="6E6DF015">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bCs/>
          <w:color w:val="auto"/>
          <w:szCs w:val="24"/>
          <w:highlight w:val="none"/>
        </w:rPr>
        <w:fldChar w:fldCharType="end"/>
      </w:r>
    </w:p>
    <w:p w14:paraId="2359EDF4">
      <w:pPr>
        <w:pStyle w:val="19"/>
        <w:tabs>
          <w:tab w:val="right" w:leader="dot" w:pos="8279"/>
        </w:tabs>
        <w:rPr>
          <w:rFonts w:asciiTheme="minorEastAsia" w:hAnsiTheme="minorEastAsia"/>
          <w:b/>
          <w:color w:val="auto"/>
          <w:sz w:val="28"/>
          <w:highlight w:val="none"/>
        </w:rPr>
        <w:sectPr>
          <w:headerReference r:id="rId3" w:type="default"/>
          <w:footerReference r:id="rId4" w:type="default"/>
          <w:pgSz w:w="11905" w:h="16838"/>
          <w:pgMar w:top="1417" w:right="1417" w:bottom="1417" w:left="1417" w:header="851" w:footer="992" w:gutter="0"/>
          <w:cols w:space="0" w:num="1"/>
          <w:rtlGutter w:val="0"/>
          <w:docGrid w:type="lines" w:linePitch="313" w:charSpace="0"/>
        </w:sectPr>
      </w:pPr>
    </w:p>
    <w:p w14:paraId="07112A33">
      <w:pPr>
        <w:spacing w:line="360" w:lineRule="auto"/>
        <w:jc w:val="center"/>
        <w:outlineLvl w:val="0"/>
        <w:rPr>
          <w:rFonts w:asciiTheme="minorEastAsia" w:hAnsiTheme="minorEastAsia" w:eastAsiaTheme="minorEastAsia"/>
          <w:b/>
          <w:color w:val="auto"/>
          <w:sz w:val="28"/>
          <w:highlight w:val="none"/>
        </w:rPr>
      </w:pPr>
      <w:bookmarkStart w:id="1" w:name="_Toc17729"/>
      <w:r>
        <w:rPr>
          <w:rFonts w:hint="eastAsia" w:asciiTheme="minorEastAsia" w:hAnsiTheme="minorEastAsia" w:eastAsiaTheme="minorEastAsia"/>
          <w:b/>
          <w:color w:val="auto"/>
          <w:sz w:val="28"/>
          <w:highlight w:val="none"/>
        </w:rPr>
        <w:t>第一章 询价邀请</w:t>
      </w:r>
      <w:bookmarkEnd w:id="1"/>
    </w:p>
    <w:p w14:paraId="7E59153C">
      <w:pPr>
        <w:keepNext/>
        <w:keepLines/>
        <w:spacing w:before="260" w:after="260"/>
        <w:rPr>
          <w:rFonts w:ascii="黑体" w:hAnsi="黑体" w:eastAsia="黑体" w:cs="黑体"/>
          <w:color w:val="auto"/>
          <w:kern w:val="0"/>
          <w:sz w:val="28"/>
          <w:szCs w:val="28"/>
          <w:highlight w:val="none"/>
          <w:u w:color="000000"/>
        </w:rPr>
      </w:pPr>
      <w:bookmarkStart w:id="2" w:name="_Toc35393630"/>
      <w:bookmarkStart w:id="3" w:name="_Toc28359013"/>
      <w:bookmarkStart w:id="4" w:name="_Toc28359090"/>
      <w:bookmarkStart w:id="5" w:name="_Toc35393799"/>
      <w:r>
        <w:rPr>
          <w:rFonts w:hint="eastAsia" w:ascii="黑体" w:hAnsi="黑体" w:eastAsia="黑体" w:cs="黑体"/>
          <w:color w:val="auto"/>
          <w:kern w:val="0"/>
          <w:sz w:val="28"/>
          <w:szCs w:val="28"/>
          <w:highlight w:val="none"/>
          <w:u w:color="000000"/>
        </w:rPr>
        <w:t>一、项目基本情况</w:t>
      </w:r>
    </w:p>
    <w:p w14:paraId="585AD88B">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项目编号：HXJY1110001042621001001</w:t>
      </w:r>
      <w:r>
        <w:rPr>
          <w:rFonts w:hint="eastAsia" w:ascii="仿宋" w:hAnsi="仿宋" w:eastAsia="仿宋" w:cs="Times New Roman"/>
          <w:color w:val="auto"/>
          <w:kern w:val="0"/>
          <w:sz w:val="28"/>
          <w:szCs w:val="28"/>
          <w:highlight w:val="none"/>
          <w:u w:color="000000"/>
          <w:lang w:val="en-US" w:eastAsia="zh-CN"/>
        </w:rPr>
        <w:t xml:space="preserve">  </w:t>
      </w:r>
    </w:p>
    <w:p w14:paraId="2B92CD3B">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项目名称：</w:t>
      </w:r>
      <w:r>
        <w:rPr>
          <w:rFonts w:hint="eastAsia" w:ascii="仿宋" w:hAnsi="仿宋" w:eastAsia="仿宋" w:cs="Times New Roman"/>
          <w:color w:val="auto"/>
          <w:kern w:val="0"/>
          <w:sz w:val="28"/>
          <w:szCs w:val="28"/>
          <w:highlight w:val="none"/>
          <w:u w:color="000000"/>
          <w:lang w:val="en-US" w:eastAsia="zh-CN"/>
        </w:rPr>
        <w:t>明巢高速污水处理站备件采购项目</w:t>
      </w:r>
    </w:p>
    <w:p w14:paraId="12535DE7">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预算金额：</w:t>
      </w:r>
      <w:r>
        <w:rPr>
          <w:rFonts w:hint="eastAsia" w:ascii="仿宋" w:hAnsi="仿宋" w:eastAsia="仿宋" w:cs="Times New Roman"/>
          <w:color w:val="auto"/>
          <w:kern w:val="0"/>
          <w:sz w:val="28"/>
          <w:szCs w:val="28"/>
          <w:highlight w:val="none"/>
          <w:u w:color="000000"/>
          <w:lang w:val="en-US" w:eastAsia="zh-CN"/>
        </w:rPr>
        <w:t>3</w:t>
      </w:r>
      <w:r>
        <w:rPr>
          <w:rFonts w:hint="eastAsia" w:ascii="仿宋" w:hAnsi="仿宋" w:eastAsia="仿宋" w:cs="Times New Roman"/>
          <w:color w:val="auto"/>
          <w:kern w:val="0"/>
          <w:sz w:val="28"/>
          <w:szCs w:val="28"/>
          <w:highlight w:val="none"/>
          <w:u w:color="000000"/>
        </w:rPr>
        <w:t>万元</w:t>
      </w:r>
    </w:p>
    <w:p w14:paraId="108E59D8">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最高限价：</w:t>
      </w:r>
      <w:r>
        <w:rPr>
          <w:rFonts w:hint="eastAsia" w:ascii="仿宋" w:hAnsi="仿宋" w:eastAsia="仿宋" w:cs="Times New Roman"/>
          <w:color w:val="auto"/>
          <w:kern w:val="0"/>
          <w:sz w:val="28"/>
          <w:szCs w:val="28"/>
          <w:highlight w:val="none"/>
          <w:u w:color="000000"/>
          <w:lang w:val="en-US" w:eastAsia="zh-CN"/>
        </w:rPr>
        <w:t>30000</w:t>
      </w:r>
      <w:r>
        <w:rPr>
          <w:rFonts w:hint="eastAsia" w:ascii="仿宋" w:hAnsi="仿宋" w:eastAsia="仿宋" w:cs="Times New Roman"/>
          <w:color w:val="auto"/>
          <w:kern w:val="0"/>
          <w:sz w:val="28"/>
          <w:szCs w:val="28"/>
          <w:highlight w:val="none"/>
          <w:u w:color="000000"/>
        </w:rPr>
        <w:t>元，响应报价不得高于最高限价，否则按无效响应处理。</w:t>
      </w:r>
    </w:p>
    <w:p w14:paraId="00A6A24C">
      <w:pPr>
        <w:widowControl/>
        <w:ind w:firstLine="560" w:firstLineChars="200"/>
        <w:textAlignment w:val="baseline"/>
        <w:rPr>
          <w:rFonts w:hint="default"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采购需求：</w:t>
      </w:r>
      <w:r>
        <w:rPr>
          <w:rFonts w:hint="eastAsia" w:ascii="仿宋" w:hAnsi="仿宋" w:eastAsia="仿宋" w:cs="Times New Roman"/>
          <w:color w:val="auto"/>
          <w:kern w:val="0"/>
          <w:sz w:val="28"/>
          <w:szCs w:val="28"/>
          <w:highlight w:val="none"/>
          <w:u w:color="000000"/>
          <w:lang w:val="en-US" w:eastAsia="zh-CN"/>
        </w:rPr>
        <w:t>污水处理站备件采购</w:t>
      </w:r>
    </w:p>
    <w:p w14:paraId="13E3FEC9">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合同履行期限：</w:t>
      </w:r>
      <w:r>
        <w:rPr>
          <w:rFonts w:hint="eastAsia" w:ascii="仿宋" w:hAnsi="仿宋" w:eastAsia="仿宋" w:cs="Times New Roman"/>
          <w:color w:val="auto"/>
          <w:kern w:val="0"/>
          <w:sz w:val="28"/>
          <w:szCs w:val="28"/>
          <w:highlight w:val="none"/>
          <w:u w:color="000000"/>
          <w:lang w:val="en-US" w:eastAsia="zh-CN"/>
        </w:rPr>
        <w:t>自接到采购人通知之日起15个日历天内完成供货</w:t>
      </w:r>
      <w:r>
        <w:rPr>
          <w:rFonts w:hint="eastAsia" w:ascii="仿宋" w:hAnsi="仿宋" w:eastAsia="仿宋" w:cs="Times New Roman"/>
          <w:color w:val="auto"/>
          <w:kern w:val="0"/>
          <w:sz w:val="28"/>
          <w:szCs w:val="28"/>
          <w:highlight w:val="none"/>
          <w:u w:color="000000"/>
        </w:rPr>
        <w:t>。</w:t>
      </w:r>
    </w:p>
    <w:p w14:paraId="674F2E6C">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本项目不接受联合体。</w:t>
      </w:r>
    </w:p>
    <w:bookmarkEnd w:id="2"/>
    <w:bookmarkEnd w:id="3"/>
    <w:bookmarkEnd w:id="4"/>
    <w:bookmarkEnd w:id="5"/>
    <w:p w14:paraId="4E6BAE3A">
      <w:pPr>
        <w:keepNext/>
        <w:keepLines/>
        <w:spacing w:before="260" w:after="260"/>
        <w:rPr>
          <w:rFonts w:ascii="黑体" w:hAnsi="黑体" w:eastAsia="黑体" w:cs="黑体"/>
          <w:color w:val="auto"/>
          <w:kern w:val="0"/>
          <w:sz w:val="28"/>
          <w:szCs w:val="28"/>
          <w:highlight w:val="none"/>
          <w:u w:color="000000"/>
        </w:rPr>
      </w:pPr>
      <w:bookmarkStart w:id="6" w:name="_Toc28359014"/>
      <w:bookmarkStart w:id="7" w:name="_Toc35393631"/>
      <w:bookmarkStart w:id="8" w:name="_Toc28359091"/>
      <w:bookmarkStart w:id="9" w:name="_Toc35393800"/>
      <w:r>
        <w:rPr>
          <w:rFonts w:hint="eastAsia" w:ascii="黑体" w:hAnsi="黑体" w:eastAsia="黑体" w:cs="黑体"/>
          <w:color w:val="auto"/>
          <w:kern w:val="0"/>
          <w:sz w:val="28"/>
          <w:szCs w:val="28"/>
          <w:highlight w:val="none"/>
          <w:u w:color="000000"/>
        </w:rPr>
        <w:t>二、申请人的资格要求</w:t>
      </w:r>
    </w:p>
    <w:p w14:paraId="2F5BCE37">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1</w:t>
      </w:r>
      <w:r>
        <w:rPr>
          <w:rFonts w:hint="eastAsia" w:ascii="仿宋" w:hAnsi="仿宋" w:eastAsia="仿宋" w:cs="Times New Roman"/>
          <w:color w:val="auto"/>
          <w:kern w:val="0"/>
          <w:sz w:val="28"/>
          <w:szCs w:val="28"/>
          <w:highlight w:val="none"/>
          <w:u w:color="000000"/>
          <w:lang w:eastAsia="zh-CN"/>
        </w:rPr>
        <w:t>、</w:t>
      </w:r>
      <w:r>
        <w:rPr>
          <w:rFonts w:hint="eastAsia" w:ascii="仿宋" w:hAnsi="仿宋" w:eastAsia="仿宋" w:cs="Times New Roman"/>
          <w:color w:val="auto"/>
          <w:kern w:val="0"/>
          <w:sz w:val="28"/>
          <w:szCs w:val="28"/>
          <w:highlight w:val="none"/>
          <w:u w:color="000000"/>
          <w:lang w:val="en-US" w:eastAsia="zh-CN"/>
        </w:rPr>
        <w:t>供应商须为具有相应供货能力的企业</w:t>
      </w:r>
      <w:r>
        <w:rPr>
          <w:rFonts w:hint="eastAsia" w:ascii="仿宋" w:hAnsi="仿宋" w:eastAsia="仿宋" w:cs="Times New Roman"/>
          <w:color w:val="auto"/>
          <w:kern w:val="0"/>
          <w:sz w:val="28"/>
          <w:szCs w:val="28"/>
          <w:highlight w:val="none"/>
          <w:u w:color="000000"/>
          <w:lang w:eastAsia="zh-CN"/>
        </w:rPr>
        <w:t>。</w:t>
      </w:r>
    </w:p>
    <w:bookmarkEnd w:id="6"/>
    <w:bookmarkEnd w:id="7"/>
    <w:bookmarkEnd w:id="8"/>
    <w:bookmarkEnd w:id="9"/>
    <w:p w14:paraId="45A007AD">
      <w:pPr>
        <w:keepNext/>
        <w:keepLines/>
        <w:spacing w:before="260" w:after="260"/>
        <w:rPr>
          <w:rFonts w:ascii="黑体" w:hAnsi="黑体" w:eastAsia="黑体" w:cs="黑体"/>
          <w:color w:val="auto"/>
          <w:kern w:val="0"/>
          <w:sz w:val="28"/>
          <w:szCs w:val="28"/>
          <w:highlight w:val="none"/>
          <w:u w:color="000000"/>
        </w:rPr>
      </w:pPr>
      <w:bookmarkStart w:id="10" w:name="_Toc28359092"/>
      <w:bookmarkStart w:id="11" w:name="_Toc35393801"/>
      <w:bookmarkStart w:id="12" w:name="_Toc28359015"/>
      <w:bookmarkStart w:id="13" w:name="_Toc35393632"/>
      <w:r>
        <w:rPr>
          <w:rFonts w:hint="eastAsia" w:ascii="黑体" w:hAnsi="黑体" w:eastAsia="黑体" w:cs="黑体"/>
          <w:color w:val="auto"/>
          <w:kern w:val="0"/>
          <w:sz w:val="28"/>
          <w:szCs w:val="28"/>
          <w:highlight w:val="none"/>
          <w:u w:color="000000"/>
        </w:rPr>
        <w:t>三、获取采购文件</w:t>
      </w:r>
    </w:p>
    <w:p w14:paraId="01759034">
      <w:pPr>
        <w:pageBreakBefore w:val="0"/>
        <w:kinsoku/>
        <w:overflowPunct/>
        <w:topLinePunct w:val="0"/>
        <w:autoSpaceDE/>
        <w:autoSpaceDN/>
        <w:bidi w:val="0"/>
        <w:spacing w:line="240" w:lineRule="auto"/>
        <w:ind w:firstLine="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1、采购文件获取方式：</w:t>
      </w:r>
    </w:p>
    <w:p w14:paraId="2FA3B477">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时间：2025年</w:t>
      </w:r>
      <w:r>
        <w:rPr>
          <w:rFonts w:hint="eastAsia" w:ascii="仿宋" w:hAnsi="仿宋" w:eastAsia="仿宋" w:cs="Times New Roman"/>
          <w:color w:val="auto"/>
          <w:kern w:val="0"/>
          <w:sz w:val="28"/>
          <w:szCs w:val="28"/>
          <w:highlight w:val="none"/>
          <w:u w:color="000000"/>
          <w:lang w:val="en-US" w:eastAsia="zh-CN"/>
        </w:rPr>
        <w:t>9</w:t>
      </w:r>
      <w:r>
        <w:rPr>
          <w:rFonts w:hint="eastAsia" w:ascii="仿宋" w:hAnsi="仿宋" w:eastAsia="仿宋" w:cs="Times New Roman"/>
          <w:color w:val="auto"/>
          <w:kern w:val="0"/>
          <w:sz w:val="28"/>
          <w:szCs w:val="28"/>
          <w:highlight w:val="none"/>
          <w:u w:color="000000"/>
        </w:rPr>
        <w:t>月</w:t>
      </w:r>
      <w:r>
        <w:rPr>
          <w:rFonts w:hint="eastAsia" w:ascii="仿宋" w:hAnsi="仿宋" w:eastAsia="仿宋" w:cs="Times New Roman"/>
          <w:color w:val="auto"/>
          <w:kern w:val="0"/>
          <w:sz w:val="28"/>
          <w:szCs w:val="28"/>
          <w:highlight w:val="none"/>
          <w:u w:color="000000"/>
          <w:lang w:val="en-US" w:eastAsia="zh-CN"/>
        </w:rPr>
        <w:t>4</w:t>
      </w:r>
      <w:r>
        <w:rPr>
          <w:rFonts w:hint="eastAsia" w:ascii="仿宋" w:hAnsi="仿宋" w:eastAsia="仿宋" w:cs="Times New Roman"/>
          <w:color w:val="auto"/>
          <w:kern w:val="0"/>
          <w:sz w:val="28"/>
          <w:szCs w:val="28"/>
          <w:highlight w:val="none"/>
          <w:u w:color="000000"/>
        </w:rPr>
        <w:t>日至2025年</w:t>
      </w:r>
      <w:r>
        <w:rPr>
          <w:rFonts w:hint="eastAsia" w:ascii="仿宋" w:hAnsi="仿宋" w:eastAsia="仿宋" w:cs="Times New Roman"/>
          <w:color w:val="auto"/>
          <w:kern w:val="0"/>
          <w:sz w:val="28"/>
          <w:szCs w:val="28"/>
          <w:highlight w:val="none"/>
          <w:u w:color="000000"/>
          <w:lang w:val="en-US" w:eastAsia="zh-CN"/>
        </w:rPr>
        <w:t>9</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9</w:t>
      </w:r>
      <w:r>
        <w:rPr>
          <w:rFonts w:hint="eastAsia" w:ascii="仿宋" w:hAnsi="仿宋" w:eastAsia="仿宋" w:cs="Times New Roman"/>
          <w:color w:val="auto"/>
          <w:kern w:val="0"/>
          <w:sz w:val="28"/>
          <w:szCs w:val="28"/>
          <w:highlight w:val="none"/>
          <w:u w:color="000000"/>
          <w:lang w:eastAsia="zh-CN"/>
        </w:rPr>
        <w:t>日</w:t>
      </w:r>
    </w:p>
    <w:p w14:paraId="4DAE67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7"/>
        <w:jc w:val="left"/>
        <w:textAlignment w:val="auto"/>
        <w:rPr>
          <w:rFonts w:ascii="微软雅黑" w:hAnsi="微软雅黑" w:eastAsia="微软雅黑" w:cs="微软雅黑"/>
          <w:i w:val="0"/>
          <w:iCs w:val="0"/>
          <w:caps w:val="0"/>
          <w:color w:val="auto"/>
          <w:spacing w:val="0"/>
          <w:sz w:val="21"/>
          <w:szCs w:val="21"/>
          <w:highlight w:val="none"/>
        </w:rPr>
      </w:pPr>
      <w:r>
        <w:rPr>
          <w:rFonts w:ascii="仿宋" w:hAnsi="仿宋" w:eastAsia="仿宋" w:cs="仿宋"/>
          <w:i w:val="0"/>
          <w:iCs w:val="0"/>
          <w:caps w:val="0"/>
          <w:color w:val="auto"/>
          <w:spacing w:val="0"/>
          <w:kern w:val="0"/>
          <w:sz w:val="28"/>
          <w:szCs w:val="28"/>
          <w:highlight w:val="none"/>
          <w:shd w:val="clear" w:color="auto" w:fill="FFFFFF"/>
          <w:lang w:val="en-US" w:eastAsia="zh-CN" w:bidi="ar"/>
        </w:rPr>
        <w:t>地点：</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请于公告发布之日起从滁州市城投工程咨询管理有限公司官网（https://www.czctgczx.com/）下载。供应商自行承担因未按要求获取采购文件导致无法上传电子响应文件的风险。</w:t>
      </w:r>
    </w:p>
    <w:p w14:paraId="2ABF1F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方式：（1）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151F23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565"/>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（2）供应商登录新点电子交易平台【滁州专区】获取采购文件及其它资料（含澄清和补充说明等）。如在采购文件获取过程中遇到系统问题，请拨打技术支持服务热线 4009280095或者网站首页在线客服。</w:t>
      </w:r>
    </w:p>
    <w:p w14:paraId="392FAA75">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2、询价采购文件及相关资料售价：人民币0元/套（含清单控制价、图纸及澄清答疑文件）</w:t>
      </w:r>
    </w:p>
    <w:bookmarkEnd w:id="10"/>
    <w:bookmarkEnd w:id="11"/>
    <w:bookmarkEnd w:id="12"/>
    <w:bookmarkEnd w:id="13"/>
    <w:p w14:paraId="512A2CFF">
      <w:pPr>
        <w:keepNext/>
        <w:keepLines/>
        <w:spacing w:before="260" w:after="260"/>
        <w:rPr>
          <w:rFonts w:ascii="黑体" w:hAnsi="黑体" w:eastAsia="黑体" w:cs="黑体"/>
          <w:color w:val="auto"/>
          <w:kern w:val="0"/>
          <w:sz w:val="28"/>
          <w:szCs w:val="28"/>
          <w:highlight w:val="none"/>
          <w:u w:color="000000"/>
        </w:rPr>
      </w:pPr>
      <w:bookmarkStart w:id="14" w:name="_Toc28359093"/>
      <w:bookmarkStart w:id="15" w:name="_Toc35393633"/>
      <w:bookmarkStart w:id="16" w:name="_Toc28359016"/>
      <w:bookmarkStart w:id="17" w:name="_Toc35393802"/>
      <w:r>
        <w:rPr>
          <w:rFonts w:hint="eastAsia" w:ascii="黑体" w:hAnsi="黑体" w:eastAsia="黑体" w:cs="黑体"/>
          <w:color w:val="auto"/>
          <w:kern w:val="0"/>
          <w:sz w:val="28"/>
          <w:szCs w:val="28"/>
          <w:highlight w:val="none"/>
          <w:u w:color="000000"/>
        </w:rPr>
        <w:t>四、响应文件提交</w:t>
      </w:r>
    </w:p>
    <w:p w14:paraId="72BC9FDF">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截止时间：2025年</w:t>
      </w:r>
      <w:r>
        <w:rPr>
          <w:rFonts w:hint="eastAsia" w:ascii="仿宋" w:hAnsi="仿宋" w:eastAsia="仿宋" w:cs="Times New Roman"/>
          <w:color w:val="auto"/>
          <w:kern w:val="0"/>
          <w:sz w:val="28"/>
          <w:szCs w:val="28"/>
          <w:highlight w:val="none"/>
          <w:u w:color="000000"/>
          <w:lang w:val="en-US" w:eastAsia="zh-CN"/>
        </w:rPr>
        <w:t>9</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9</w:t>
      </w:r>
      <w:r>
        <w:rPr>
          <w:rFonts w:hint="eastAsia" w:ascii="仿宋" w:hAnsi="仿宋" w:eastAsia="仿宋" w:cs="Times New Roman"/>
          <w:color w:val="auto"/>
          <w:kern w:val="0"/>
          <w:sz w:val="28"/>
          <w:szCs w:val="28"/>
          <w:highlight w:val="none"/>
          <w:u w:color="000000"/>
          <w:lang w:eastAsia="zh-CN"/>
        </w:rPr>
        <w:t>日</w:t>
      </w:r>
      <w:r>
        <w:rPr>
          <w:rFonts w:hint="eastAsia" w:ascii="仿宋" w:hAnsi="仿宋" w:eastAsia="仿宋" w:cs="Times New Roman"/>
          <w:color w:val="auto"/>
          <w:kern w:val="0"/>
          <w:sz w:val="28"/>
          <w:szCs w:val="28"/>
          <w:highlight w:val="none"/>
          <w:u w:color="000000"/>
          <w:lang w:val="en-US" w:eastAsia="zh-CN"/>
        </w:rPr>
        <w:t>15</w:t>
      </w:r>
      <w:r>
        <w:rPr>
          <w:rFonts w:hint="eastAsia" w:ascii="仿宋" w:hAnsi="仿宋" w:eastAsia="仿宋" w:cs="Times New Roman"/>
          <w:color w:val="auto"/>
          <w:kern w:val="0"/>
          <w:sz w:val="28"/>
          <w:szCs w:val="28"/>
          <w:highlight w:val="none"/>
          <w:u w:color="000000"/>
        </w:rPr>
        <w:t>点00分（北京时间）（从</w:t>
      </w:r>
      <w:r>
        <w:rPr>
          <w:rFonts w:hint="eastAsia" w:ascii="仿宋" w:hAnsi="仿宋" w:eastAsia="仿宋" w:cs="Times New Roman"/>
          <w:color w:val="auto"/>
          <w:kern w:val="0"/>
          <w:sz w:val="28"/>
          <w:szCs w:val="28"/>
          <w:highlight w:val="none"/>
          <w:u w:color="000000"/>
          <w:lang w:eastAsia="zh-CN"/>
        </w:rPr>
        <w:t>询价采购文件</w:t>
      </w:r>
      <w:r>
        <w:rPr>
          <w:rFonts w:hint="eastAsia" w:ascii="仿宋" w:hAnsi="仿宋" w:eastAsia="仿宋" w:cs="Times New Roman"/>
          <w:color w:val="auto"/>
          <w:kern w:val="0"/>
          <w:sz w:val="28"/>
          <w:szCs w:val="28"/>
          <w:highlight w:val="none"/>
          <w:u w:color="000000"/>
        </w:rPr>
        <w:t>开始发出之日起至供应商提交响应文件截止之日止不得少于3个工作日）</w:t>
      </w:r>
    </w:p>
    <w:p w14:paraId="27C86F5E">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lang w:val="en-US" w:eastAsia="zh-CN"/>
        </w:rPr>
        <w:t>方式：网上递交加密响应文件</w:t>
      </w:r>
    </w:p>
    <w:bookmarkEnd w:id="14"/>
    <w:bookmarkEnd w:id="15"/>
    <w:bookmarkEnd w:id="16"/>
    <w:bookmarkEnd w:id="17"/>
    <w:p w14:paraId="2EB338CE">
      <w:pPr>
        <w:keepNext/>
        <w:keepLines/>
        <w:spacing w:before="260" w:after="260"/>
        <w:rPr>
          <w:rFonts w:ascii="黑体" w:hAnsi="黑体" w:eastAsia="黑体" w:cs="黑体"/>
          <w:color w:val="auto"/>
          <w:kern w:val="0"/>
          <w:sz w:val="28"/>
          <w:szCs w:val="28"/>
          <w:highlight w:val="none"/>
          <w:u w:color="000000"/>
        </w:rPr>
      </w:pPr>
      <w:bookmarkStart w:id="18" w:name="_Toc14529"/>
      <w:bookmarkStart w:id="19" w:name="_Toc2396"/>
      <w:r>
        <w:rPr>
          <w:rFonts w:hint="eastAsia" w:ascii="黑体" w:hAnsi="黑体" w:eastAsia="黑体" w:cs="黑体"/>
          <w:color w:val="auto"/>
          <w:kern w:val="0"/>
          <w:sz w:val="28"/>
          <w:szCs w:val="28"/>
          <w:highlight w:val="none"/>
          <w:u w:color="000000"/>
        </w:rPr>
        <w:t>五、开启</w:t>
      </w:r>
    </w:p>
    <w:p w14:paraId="11543109">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时间：2025年</w:t>
      </w:r>
      <w:r>
        <w:rPr>
          <w:rFonts w:hint="eastAsia" w:ascii="仿宋" w:hAnsi="仿宋" w:eastAsia="仿宋" w:cs="Times New Roman"/>
          <w:color w:val="auto"/>
          <w:kern w:val="0"/>
          <w:sz w:val="28"/>
          <w:szCs w:val="28"/>
          <w:highlight w:val="none"/>
          <w:u w:color="000000"/>
          <w:lang w:val="en-US" w:eastAsia="zh-CN"/>
        </w:rPr>
        <w:t>9</w:t>
      </w:r>
      <w:r>
        <w:rPr>
          <w:rFonts w:hint="eastAsia" w:ascii="仿宋" w:hAnsi="仿宋" w:eastAsia="仿宋" w:cs="Times New Roman"/>
          <w:color w:val="auto"/>
          <w:kern w:val="0"/>
          <w:sz w:val="28"/>
          <w:szCs w:val="28"/>
          <w:highlight w:val="none"/>
          <w:u w:color="000000"/>
          <w:lang w:eastAsia="zh-CN"/>
        </w:rPr>
        <w:t>月</w:t>
      </w:r>
      <w:r>
        <w:rPr>
          <w:rFonts w:hint="eastAsia" w:ascii="仿宋" w:hAnsi="仿宋" w:eastAsia="仿宋" w:cs="Times New Roman"/>
          <w:color w:val="auto"/>
          <w:kern w:val="0"/>
          <w:sz w:val="28"/>
          <w:szCs w:val="28"/>
          <w:highlight w:val="none"/>
          <w:u w:color="000000"/>
          <w:lang w:val="en-US" w:eastAsia="zh-CN"/>
        </w:rPr>
        <w:t>9</w:t>
      </w:r>
      <w:r>
        <w:rPr>
          <w:rFonts w:hint="eastAsia" w:ascii="仿宋" w:hAnsi="仿宋" w:eastAsia="仿宋" w:cs="Times New Roman"/>
          <w:color w:val="auto"/>
          <w:kern w:val="0"/>
          <w:sz w:val="28"/>
          <w:szCs w:val="28"/>
          <w:highlight w:val="none"/>
          <w:u w:color="000000"/>
          <w:lang w:eastAsia="zh-CN"/>
        </w:rPr>
        <w:t>日</w:t>
      </w:r>
      <w:r>
        <w:rPr>
          <w:rFonts w:hint="eastAsia" w:ascii="仿宋" w:hAnsi="仿宋" w:eastAsia="仿宋" w:cs="Times New Roman"/>
          <w:color w:val="auto"/>
          <w:kern w:val="0"/>
          <w:sz w:val="28"/>
          <w:szCs w:val="28"/>
          <w:highlight w:val="none"/>
          <w:u w:color="000000"/>
          <w:lang w:val="en-US" w:eastAsia="zh-CN"/>
        </w:rPr>
        <w:t>15</w:t>
      </w:r>
      <w:r>
        <w:rPr>
          <w:rFonts w:hint="eastAsia" w:ascii="仿宋" w:hAnsi="仿宋" w:eastAsia="仿宋" w:cs="Times New Roman"/>
          <w:color w:val="auto"/>
          <w:kern w:val="0"/>
          <w:sz w:val="28"/>
          <w:szCs w:val="28"/>
          <w:highlight w:val="none"/>
          <w:u w:color="000000"/>
        </w:rPr>
        <w:t>点00分（北京时间）</w:t>
      </w:r>
    </w:p>
    <w:p w14:paraId="15776A90">
      <w:pPr>
        <w:keepNext w:val="0"/>
        <w:keepLines w:val="0"/>
        <w:pageBreakBefore w:val="0"/>
        <w:widowControl/>
        <w:kinsoku/>
        <w:wordWrap w:val="0"/>
        <w:overflowPunct/>
        <w:topLinePunct w:val="0"/>
        <w:autoSpaceDE/>
        <w:autoSpaceDN/>
        <w:bidi w:val="0"/>
        <w:adjustRightInd/>
        <w:snapToGrid/>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地点：</w:t>
      </w:r>
      <w:r>
        <w:rPr>
          <w:rFonts w:hint="eastAsia" w:ascii="仿宋" w:hAnsi="仿宋" w:eastAsia="仿宋" w:cs="仿宋"/>
          <w:i w:val="0"/>
          <w:iCs w:val="0"/>
          <w:caps w:val="0"/>
          <w:color w:val="auto"/>
          <w:spacing w:val="0"/>
          <w:kern w:val="0"/>
          <w:sz w:val="28"/>
          <w:szCs w:val="28"/>
          <w:highlight w:val="none"/>
          <w:shd w:val="clear" w:color="auto" w:fill="FFFFFF"/>
          <w:lang w:val="en-US" w:eastAsia="zh-CN" w:bidi="ar"/>
        </w:rPr>
        <w:t>网上开标，供应商登录滁州市城投工程咨询有限公司不见面开标系统参与网上开标（网址：http://js.etrading.cn/EpointBidOpening/bidopeninghallaction/hall/login）。</w:t>
      </w:r>
    </w:p>
    <w:p w14:paraId="3194547C">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六、公告期限</w:t>
      </w:r>
    </w:p>
    <w:p w14:paraId="17DD1C71">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自本公告发布之日起3个工作日。</w:t>
      </w:r>
    </w:p>
    <w:bookmarkEnd w:id="18"/>
    <w:bookmarkEnd w:id="19"/>
    <w:p w14:paraId="41FD9EC3">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七、其他补充事宜</w:t>
      </w:r>
    </w:p>
    <w:p w14:paraId="010B033D">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请于公告发布之日起从滁州市城投工程咨询管理有限公司官网（https://www.czctgczx.com/），点击项目招标公告下方【我要投标】，登录新点电子交易平台后在【滁州专区】（https://www.etrading.cn/BREpointSSO/login/oauth2login?regioncode=DQ_ChuZhou）下载本项目采购文件。供应商自行承担因未按要求获取采购文件导致无法上传电子响应文件的风险。</w:t>
      </w:r>
    </w:p>
    <w:p w14:paraId="26B4962A">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供应商须登录新点电子交易平台【滁州专区】查询、获取采购文件。首次登录办理入库手续，办理入库不收取任何费用。新点电子招投标统一认证平台使用相关问题（如系统登录、信息登记、录入及提交、数字证书关联等）请拨打服务电话：4009280095-5（工作日）。  </w:t>
      </w:r>
    </w:p>
    <w:p w14:paraId="08832032">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3.供应商登录新点电子交易平台【滁州专区】获取采购文件及其它资料（含澄清和补充说明等）。如在采购文件获取过程中遇到系统问题，请拨打技术支持服务热线4009280095或者网站首页在线客服。</w:t>
      </w:r>
    </w:p>
    <w:p w14:paraId="65B7BDEB">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4.本项目采用不见面开标，供应商登录滁州市城投工程咨询有限公司不见面开标系统参与网上开标（网址：http://js.etrading.cn/EpointBidOpening/bidopeninghallaction/hall/login）。</w:t>
      </w:r>
    </w:p>
    <w:p w14:paraId="52D041D8">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5.供应商应在投标截止时间之前，登录新点电子交易平台【滁州专区】上传响应文件。逾期上传响应文件的，电子系统不予受理。</w:t>
      </w:r>
    </w:p>
    <w:p w14:paraId="12F14C91">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6.供应商的联系人电话(手机)、电子邮箱等通讯方式在开启过程中必须保持畅通，否则因上述原因造成的后果，责任自负。</w:t>
      </w:r>
    </w:p>
    <w:p w14:paraId="328D5344">
      <w:pPr>
        <w:keepNext w:val="0"/>
        <w:keepLines w:val="0"/>
        <w:pageBreakBefore w:val="0"/>
        <w:widowControl w:val="0"/>
        <w:kinsoku/>
        <w:wordWrap w:val="0"/>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本项目采用电子招投标方式，请供应商在“新点电子交易平台”常用下载专区下载“新点电子交易平台专用投标文件制作软件”，仔细阅读采购文件要求和相关操作手册，以免影响响应文件编制，因供应商未及时关注相关信息对响应造成的不利后果由其自行承担。投标软件制作工具下载：https://download.bqpoint.com/download/downloaddetail.html?SourceFrom=Ztb&amp;ZtbSoftXiaQuCode=0128&amp;ZtbSoftType=tballinclusive。</w:t>
      </w:r>
    </w:p>
    <w:p w14:paraId="2451E14B">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仿宋"/>
          <w:b w:val="0"/>
          <w:bCs w:val="0"/>
          <w:color w:val="auto"/>
          <w:sz w:val="28"/>
          <w:szCs w:val="28"/>
          <w:highlight w:val="none"/>
          <w:lang w:val="en-US" w:eastAsia="zh-CN"/>
        </w:rPr>
        <w:t>8.本项目开评标实行全流程电子化，在线完成开评标活动。开标时供应商无需到达开标现场，不接受现场解密，实行远程解密和在线询标。各供应商认真学习《新点电子交易平台投标人操作手册》，务必掌握远程解密方法和在线回复询标方法</w:t>
      </w:r>
      <w:r>
        <w:rPr>
          <w:rFonts w:hint="eastAsia" w:ascii="仿宋" w:hAnsi="仿宋" w:eastAsia="仿宋" w:cs="Times New Roman"/>
          <w:color w:val="auto"/>
          <w:kern w:val="0"/>
          <w:sz w:val="28"/>
          <w:szCs w:val="28"/>
          <w:highlight w:val="none"/>
          <w:u w:color="000000"/>
        </w:rPr>
        <w:t>。</w:t>
      </w:r>
    </w:p>
    <w:p w14:paraId="07DAF5B2">
      <w:pPr>
        <w:keepNext/>
        <w:keepLines/>
        <w:spacing w:before="260" w:after="260"/>
        <w:rPr>
          <w:rFonts w:ascii="黑体" w:hAnsi="黑体" w:eastAsia="黑体" w:cs="黑体"/>
          <w:color w:val="auto"/>
          <w:kern w:val="0"/>
          <w:sz w:val="28"/>
          <w:szCs w:val="28"/>
          <w:highlight w:val="none"/>
          <w:u w:color="000000"/>
        </w:rPr>
      </w:pPr>
      <w:r>
        <w:rPr>
          <w:rFonts w:hint="eastAsia" w:ascii="黑体" w:hAnsi="黑体" w:eastAsia="黑体" w:cs="黑体"/>
          <w:color w:val="auto"/>
          <w:kern w:val="0"/>
          <w:sz w:val="28"/>
          <w:szCs w:val="28"/>
          <w:highlight w:val="none"/>
          <w:u w:color="000000"/>
        </w:rPr>
        <w:t>八、凡对本次采购提出询问，请按以下方式联系</w:t>
      </w:r>
    </w:p>
    <w:p w14:paraId="6CC7F6FD">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1.采购人信息</w:t>
      </w:r>
    </w:p>
    <w:p w14:paraId="43537465">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名  称：</w:t>
      </w:r>
      <w:r>
        <w:rPr>
          <w:rFonts w:hint="eastAsia" w:ascii="仿宋" w:hAnsi="仿宋" w:eastAsia="仿宋" w:cs="Times New Roman"/>
          <w:color w:val="auto"/>
          <w:kern w:val="0"/>
          <w:sz w:val="28"/>
          <w:szCs w:val="28"/>
          <w:highlight w:val="none"/>
          <w:u w:color="000000"/>
          <w:lang w:val="en-US" w:eastAsia="zh-CN"/>
        </w:rPr>
        <w:t>安徽明巢高速公路开发有限公司</w:t>
      </w:r>
    </w:p>
    <w:p w14:paraId="6CB67518">
      <w:pPr>
        <w:widowControl/>
        <w:ind w:firstLine="560" w:firstLineChars="200"/>
        <w:textAlignment w:val="baseline"/>
        <w:rPr>
          <w:rFonts w:hint="eastAsia"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  址：安徽省滁州市桑涧镇328国道与311省道交叉口北侧1号</w:t>
      </w:r>
    </w:p>
    <w:p w14:paraId="5698FE93">
      <w:pPr>
        <w:widowControl/>
        <w:ind w:firstLine="560" w:firstLineChars="200"/>
        <w:textAlignment w:val="baseline"/>
        <w:rPr>
          <w:rFonts w:hint="eastAsia"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联系人：</w:t>
      </w:r>
      <w:r>
        <w:rPr>
          <w:rFonts w:hint="eastAsia" w:ascii="仿宋" w:hAnsi="仿宋" w:eastAsia="仿宋" w:cs="Times New Roman"/>
          <w:color w:val="auto"/>
          <w:kern w:val="0"/>
          <w:sz w:val="28"/>
          <w:szCs w:val="28"/>
          <w:highlight w:val="none"/>
          <w:u w:color="000000"/>
          <w:lang w:val="en-US" w:eastAsia="zh-CN"/>
        </w:rPr>
        <w:t xml:space="preserve">孙工 </w:t>
      </w:r>
    </w:p>
    <w:p w14:paraId="61011135">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联系方式：</w:t>
      </w:r>
      <w:r>
        <w:rPr>
          <w:rFonts w:hint="eastAsia" w:ascii="仿宋" w:hAnsi="仿宋" w:eastAsia="仿宋" w:cs="Times New Roman"/>
          <w:color w:val="auto"/>
          <w:kern w:val="0"/>
          <w:sz w:val="28"/>
          <w:szCs w:val="28"/>
          <w:highlight w:val="none"/>
          <w:u w:color="000000"/>
          <w:lang w:val="en-US" w:eastAsia="zh-CN"/>
        </w:rPr>
        <w:t xml:space="preserve">0550-3500336 </w:t>
      </w:r>
    </w:p>
    <w:p w14:paraId="151402DE">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2.代理机构信息</w:t>
      </w:r>
    </w:p>
    <w:p w14:paraId="0EAF1B5C">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名称：</w:t>
      </w:r>
      <w:r>
        <w:rPr>
          <w:rFonts w:hint="eastAsia" w:ascii="仿宋" w:hAnsi="仿宋" w:eastAsia="仿宋" w:cs="Times New Roman"/>
          <w:color w:val="auto"/>
          <w:kern w:val="0"/>
          <w:sz w:val="28"/>
          <w:szCs w:val="28"/>
          <w:highlight w:val="none"/>
          <w:u w:color="000000"/>
          <w:lang w:val="en-US" w:eastAsia="zh-CN"/>
        </w:rPr>
        <w:t>滁州市城投工程咨询管理有限公司</w:t>
      </w:r>
    </w:p>
    <w:p w14:paraId="70DC87BC">
      <w:pPr>
        <w:widowControl/>
        <w:ind w:firstLine="560" w:firstLineChars="200"/>
        <w:textAlignment w:val="baseline"/>
        <w:rPr>
          <w:rFonts w:ascii="仿宋" w:hAnsi="仿宋" w:eastAsia="仿宋" w:cs="Times New Roman"/>
          <w:color w:val="auto"/>
          <w:kern w:val="0"/>
          <w:sz w:val="28"/>
          <w:szCs w:val="28"/>
          <w:highlight w:val="none"/>
          <w:u w:color="000000"/>
        </w:rPr>
      </w:pPr>
      <w:r>
        <w:rPr>
          <w:rFonts w:hint="eastAsia" w:ascii="仿宋" w:hAnsi="仿宋" w:eastAsia="仿宋" w:cs="Times New Roman"/>
          <w:color w:val="auto"/>
          <w:kern w:val="0"/>
          <w:sz w:val="28"/>
          <w:szCs w:val="28"/>
          <w:highlight w:val="none"/>
          <w:u w:color="000000"/>
        </w:rPr>
        <w:t>地址：滁州市龙蟠大道109号房产大厦</w:t>
      </w:r>
      <w:r>
        <w:rPr>
          <w:rFonts w:hint="eastAsia" w:ascii="仿宋" w:hAnsi="仿宋" w:eastAsia="仿宋" w:cs="Times New Roman"/>
          <w:color w:val="auto"/>
          <w:kern w:val="0"/>
          <w:sz w:val="28"/>
          <w:szCs w:val="28"/>
          <w:highlight w:val="none"/>
          <w:u w:color="000000"/>
          <w:lang w:val="en-US" w:eastAsia="zh-CN"/>
        </w:rPr>
        <w:t>6</w:t>
      </w:r>
      <w:r>
        <w:rPr>
          <w:rFonts w:hint="eastAsia" w:ascii="仿宋" w:hAnsi="仿宋" w:eastAsia="仿宋" w:cs="Times New Roman"/>
          <w:color w:val="auto"/>
          <w:kern w:val="0"/>
          <w:sz w:val="28"/>
          <w:szCs w:val="28"/>
          <w:highlight w:val="none"/>
          <w:u w:color="000000"/>
        </w:rPr>
        <w:t>楼</w:t>
      </w:r>
    </w:p>
    <w:p w14:paraId="3EE40834">
      <w:pPr>
        <w:widowControl/>
        <w:ind w:firstLine="560" w:firstLineChars="200"/>
        <w:textAlignment w:val="baseline"/>
        <w:rPr>
          <w:rFonts w:hint="eastAsia" w:ascii="仿宋" w:hAnsi="仿宋" w:eastAsia="仿宋" w:cs="Times New Roman"/>
          <w:color w:val="auto"/>
          <w:kern w:val="0"/>
          <w:sz w:val="28"/>
          <w:szCs w:val="28"/>
          <w:highlight w:val="none"/>
          <w:u w:color="000000"/>
          <w:lang w:eastAsia="zh-CN"/>
        </w:rPr>
      </w:pPr>
      <w:r>
        <w:rPr>
          <w:rFonts w:hint="eastAsia" w:ascii="仿宋" w:hAnsi="仿宋" w:eastAsia="仿宋" w:cs="Times New Roman"/>
          <w:color w:val="auto"/>
          <w:kern w:val="0"/>
          <w:sz w:val="28"/>
          <w:szCs w:val="28"/>
          <w:highlight w:val="none"/>
          <w:u w:color="000000"/>
        </w:rPr>
        <w:t>联系人：</w:t>
      </w:r>
      <w:r>
        <w:rPr>
          <w:rFonts w:hint="eastAsia" w:ascii="仿宋" w:hAnsi="仿宋" w:eastAsia="仿宋" w:cs="Times New Roman"/>
          <w:color w:val="auto"/>
          <w:kern w:val="0"/>
          <w:sz w:val="28"/>
          <w:szCs w:val="28"/>
          <w:highlight w:val="none"/>
          <w:u w:color="000000"/>
          <w:lang w:val="en-US" w:eastAsia="zh-CN"/>
        </w:rPr>
        <w:t>关勤勤</w:t>
      </w:r>
    </w:p>
    <w:p w14:paraId="1EF38CB8">
      <w:pPr>
        <w:widowControl/>
        <w:ind w:firstLine="560" w:firstLineChars="200"/>
        <w:textAlignment w:val="baseline"/>
        <w:rPr>
          <w:rFonts w:hint="default" w:ascii="仿宋" w:hAnsi="仿宋" w:eastAsia="仿宋" w:cs="Times New Roman"/>
          <w:color w:val="auto"/>
          <w:kern w:val="0"/>
          <w:sz w:val="28"/>
          <w:szCs w:val="28"/>
          <w:highlight w:val="none"/>
          <w:u w:color="000000"/>
          <w:lang w:val="en-US" w:eastAsia="zh-CN"/>
        </w:rPr>
      </w:pPr>
      <w:r>
        <w:rPr>
          <w:rFonts w:hint="eastAsia" w:ascii="仿宋" w:hAnsi="仿宋" w:eastAsia="仿宋" w:cs="Times New Roman"/>
          <w:color w:val="auto"/>
          <w:kern w:val="0"/>
          <w:sz w:val="28"/>
          <w:szCs w:val="28"/>
          <w:highlight w:val="none"/>
          <w:u w:color="000000"/>
        </w:rPr>
        <w:t>联系方式：</w:t>
      </w:r>
      <w:r>
        <w:rPr>
          <w:rFonts w:hint="eastAsia" w:ascii="仿宋" w:hAnsi="仿宋" w:eastAsia="仿宋" w:cs="Times New Roman"/>
          <w:color w:val="auto"/>
          <w:kern w:val="0"/>
          <w:sz w:val="28"/>
          <w:szCs w:val="28"/>
          <w:highlight w:val="none"/>
          <w:u w:color="000000"/>
          <w:lang w:val="en-US" w:eastAsia="zh-CN"/>
        </w:rPr>
        <w:t>18909605753</w:t>
      </w:r>
    </w:p>
    <w:p w14:paraId="4063AE3C">
      <w:pPr>
        <w:spacing w:line="360" w:lineRule="auto"/>
        <w:ind w:firstLine="435"/>
        <w:rPr>
          <w:rFonts w:asciiTheme="minorEastAsia" w:hAnsiTheme="minorEastAsia" w:eastAsiaTheme="minorEastAsia"/>
          <w:color w:val="auto"/>
          <w:sz w:val="24"/>
          <w:szCs w:val="18"/>
          <w:highlight w:val="none"/>
        </w:rPr>
      </w:pPr>
      <w:r>
        <w:rPr>
          <w:rFonts w:asciiTheme="minorEastAsia" w:hAnsiTheme="minorEastAsia" w:eastAsiaTheme="minorEastAsia"/>
          <w:color w:val="auto"/>
          <w:sz w:val="24"/>
          <w:szCs w:val="18"/>
          <w:highlight w:val="none"/>
        </w:rPr>
        <w:br w:type="page"/>
      </w:r>
    </w:p>
    <w:p w14:paraId="21B18EFB">
      <w:pPr>
        <w:spacing w:line="360" w:lineRule="auto"/>
        <w:jc w:val="center"/>
        <w:outlineLvl w:val="0"/>
        <w:rPr>
          <w:rFonts w:asciiTheme="minorEastAsia" w:hAnsiTheme="minorEastAsia" w:eastAsiaTheme="minorEastAsia"/>
          <w:b/>
          <w:color w:val="auto"/>
          <w:sz w:val="28"/>
          <w:highlight w:val="none"/>
        </w:rPr>
      </w:pPr>
      <w:bookmarkStart w:id="20" w:name="_Toc3199"/>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0"/>
    </w:p>
    <w:p w14:paraId="68D88FAC">
      <w:pPr>
        <w:spacing w:line="360" w:lineRule="auto"/>
        <w:jc w:val="center"/>
        <w:outlineLvl w:val="1"/>
        <w:rPr>
          <w:rFonts w:asciiTheme="minorEastAsia" w:hAnsiTheme="minorEastAsia" w:eastAsiaTheme="minorEastAsia"/>
          <w:b/>
          <w:color w:val="auto"/>
          <w:sz w:val="24"/>
          <w:highlight w:val="none"/>
        </w:rPr>
      </w:pPr>
      <w:bookmarkStart w:id="21" w:name="_Toc5571"/>
      <w:bookmarkStart w:id="22" w:name="_Toc12172"/>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1"/>
      <w:bookmarkEnd w:id="22"/>
    </w:p>
    <w:p w14:paraId="173E936C">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b/>
          <w:bCs/>
          <w:color w:val="auto"/>
          <w:sz w:val="24"/>
          <w:szCs w:val="18"/>
          <w:highlight w:val="none"/>
        </w:rPr>
        <w:t>注：</w:t>
      </w:r>
      <w:r>
        <w:rPr>
          <w:rFonts w:hint="eastAsia" w:asciiTheme="minorEastAsia" w:hAnsiTheme="minorEastAsia" w:eastAsiaTheme="minorEastAsia"/>
          <w:color w:val="auto"/>
          <w:sz w:val="24"/>
          <w:szCs w:val="18"/>
          <w:highlight w:val="none"/>
        </w:rPr>
        <w:t>本表是本项目的具体要求，是对供应商须知的具体补充和修改，如有不一致，以本表为准。</w:t>
      </w:r>
    </w:p>
    <w:tbl>
      <w:tblPr>
        <w:tblStyle w:val="26"/>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2028"/>
        <w:gridCol w:w="6333"/>
      </w:tblGrid>
      <w:tr w14:paraId="1463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CA9C574">
            <w:pPr>
              <w:pStyle w:val="45"/>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条款号</w:t>
            </w:r>
          </w:p>
        </w:tc>
        <w:tc>
          <w:tcPr>
            <w:tcW w:w="1072" w:type="pct"/>
            <w:vAlign w:val="center"/>
          </w:tcPr>
          <w:p w14:paraId="4235DF59">
            <w:pPr>
              <w:pStyle w:val="45"/>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条款名称</w:t>
            </w:r>
          </w:p>
        </w:tc>
        <w:tc>
          <w:tcPr>
            <w:tcW w:w="3347" w:type="pct"/>
            <w:vAlign w:val="center"/>
          </w:tcPr>
          <w:p w14:paraId="4254168E">
            <w:pPr>
              <w:pStyle w:val="45"/>
              <w:widowControl w:val="0"/>
              <w:spacing w:before="0" w:beforeAutospacing="0" w:after="0" w:afterAutospacing="0"/>
              <w:rPr>
                <w:rFonts w:asciiTheme="minorEastAsia" w:hAnsiTheme="minorEastAsia" w:eastAsiaTheme="minorEastAsia"/>
                <w:bCs w:val="0"/>
                <w:color w:val="auto"/>
                <w:kern w:val="2"/>
                <w:sz w:val="24"/>
                <w:szCs w:val="20"/>
                <w:highlight w:val="none"/>
              </w:rPr>
            </w:pPr>
            <w:r>
              <w:rPr>
                <w:rFonts w:hint="eastAsia" w:asciiTheme="minorEastAsia" w:hAnsiTheme="minorEastAsia" w:eastAsiaTheme="minorEastAsia"/>
                <w:bCs w:val="0"/>
                <w:color w:val="auto"/>
                <w:kern w:val="2"/>
                <w:sz w:val="24"/>
                <w:szCs w:val="20"/>
                <w:highlight w:val="none"/>
              </w:rPr>
              <w:t>内容、说明与要求</w:t>
            </w:r>
          </w:p>
        </w:tc>
      </w:tr>
      <w:tr w14:paraId="7111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80" w:type="pct"/>
            <w:vAlign w:val="center"/>
          </w:tcPr>
          <w:p w14:paraId="2A9A9F98">
            <w:pPr>
              <w:pStyle w:val="46"/>
              <w:pBdr>
                <w:bottom w:val="none" w:color="auto" w:sz="0" w:space="0"/>
              </w:pBdr>
              <w:tabs>
                <w:tab w:val="clear" w:pos="4153"/>
                <w:tab w:val="clear" w:pos="8306"/>
              </w:tabs>
              <w:adjustRightInd/>
              <w:spacing w:line="360" w:lineRule="auto"/>
              <w:textAlignment w:val="auto"/>
              <w:rPr>
                <w:rFonts w:asciiTheme="minorEastAsia" w:hAnsiTheme="minorEastAsia" w:eastAsiaTheme="minorEastAsia"/>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072" w:type="pct"/>
            <w:vAlign w:val="center"/>
          </w:tcPr>
          <w:p w14:paraId="117AF8F6">
            <w:pPr>
              <w:pStyle w:val="45"/>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现场考察或标前答疑会</w:t>
            </w:r>
          </w:p>
        </w:tc>
        <w:tc>
          <w:tcPr>
            <w:tcW w:w="3347" w:type="pct"/>
            <w:vAlign w:val="center"/>
          </w:tcPr>
          <w:p w14:paraId="607E78CC">
            <w:pPr>
              <w:spacing w:line="360" w:lineRule="auto"/>
              <w:rPr>
                <w:rFonts w:asciiTheme="minorEastAsia" w:hAnsiTheme="minorEastAsia" w:eastAsiaTheme="minorEastAsia"/>
                <w:b w:val="0"/>
                <w:color w:val="auto"/>
                <w:sz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highlight w:val="none"/>
              </w:rPr>
              <w:t>不组织或不召开</w:t>
            </w:r>
          </w:p>
        </w:tc>
      </w:tr>
      <w:tr w14:paraId="2F57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CDFE6D8">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6</w:t>
            </w:r>
            <w:r>
              <w:rPr>
                <w:rFonts w:asciiTheme="minorEastAsia" w:hAnsiTheme="minorEastAsia" w:eastAsiaTheme="minorEastAsia"/>
                <w:bCs/>
                <w:color w:val="auto"/>
                <w:kern w:val="2"/>
                <w:highlight w:val="none"/>
              </w:rPr>
              <w:t>.1</w:t>
            </w:r>
          </w:p>
        </w:tc>
        <w:tc>
          <w:tcPr>
            <w:tcW w:w="1072" w:type="pct"/>
            <w:vAlign w:val="center"/>
          </w:tcPr>
          <w:p w14:paraId="4B079295">
            <w:pPr>
              <w:pStyle w:val="45"/>
              <w:widowControl w:val="0"/>
              <w:spacing w:before="0" w:beforeAutospacing="0" w:after="0" w:afterAutospacing="0"/>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网上询问截止时间</w:t>
            </w:r>
          </w:p>
        </w:tc>
        <w:tc>
          <w:tcPr>
            <w:tcW w:w="3347" w:type="pct"/>
            <w:vAlign w:val="center"/>
          </w:tcPr>
          <w:p w14:paraId="2E825BEE">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2025</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年</w:t>
            </w:r>
            <w:r>
              <w:rPr>
                <w:rFonts w:hint="eastAsia"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9</w:t>
            </w:r>
            <w:r>
              <w:rPr>
                <w:rFonts w:hint="eastAsia"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月</w:t>
            </w:r>
            <w:r>
              <w:rPr>
                <w:rFonts w:hint="eastAsia" w:asciiTheme="minorEastAsia" w:hAnsiTheme="minorEastAsia" w:eastAsiaTheme="minorEastAsia"/>
                <w:b w:val="0"/>
                <w:color w:val="auto"/>
                <w:sz w:val="24"/>
                <w:highlight w:val="none"/>
                <w:u w:val="single"/>
                <w:lang w:val="en-US" w:eastAsia="zh-CN"/>
              </w:rPr>
              <w:t xml:space="preserve"> 8  </w:t>
            </w:r>
            <w:r>
              <w:rPr>
                <w:rFonts w:asciiTheme="minorEastAsia" w:hAnsiTheme="minorEastAsia" w:eastAsiaTheme="minorEastAsia"/>
                <w:b w:val="0"/>
                <w:color w:val="auto"/>
                <w:sz w:val="24"/>
                <w:highlight w:val="none"/>
              </w:rPr>
              <w:t>日</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rPr>
              <w:t>1</w:t>
            </w:r>
            <w:r>
              <w:rPr>
                <w:rFonts w:hint="eastAsia" w:asciiTheme="minorEastAsia" w:hAnsiTheme="minorEastAsia" w:eastAsiaTheme="minorEastAsia"/>
                <w:b w:val="0"/>
                <w:color w:val="auto"/>
                <w:sz w:val="24"/>
                <w:highlight w:val="none"/>
                <w:u w:val="single"/>
                <w:lang w:val="en-US" w:eastAsia="zh-CN"/>
              </w:rPr>
              <w:t>1</w:t>
            </w:r>
            <w:r>
              <w:rPr>
                <w:rFonts w:asciiTheme="minorEastAsia" w:hAnsiTheme="minorEastAsia" w:eastAsiaTheme="minorEastAsia"/>
                <w:b w:val="0"/>
                <w:color w:val="auto"/>
                <w:sz w:val="24"/>
                <w:highlight w:val="none"/>
                <w:u w:val="single"/>
              </w:rPr>
              <w:t xml:space="preserve"> </w:t>
            </w:r>
            <w:r>
              <w:rPr>
                <w:rFonts w:asciiTheme="minorEastAsia" w:hAnsiTheme="minorEastAsia" w:eastAsiaTheme="minorEastAsia"/>
                <w:b w:val="0"/>
                <w:color w:val="auto"/>
                <w:sz w:val="24"/>
                <w:highlight w:val="none"/>
              </w:rPr>
              <w:t>时</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u w:val="single"/>
                <w:lang w:val="en-US" w:eastAsia="zh-CN"/>
              </w:rPr>
              <w:t>0</w:t>
            </w:r>
            <w:bookmarkStart w:id="100" w:name="_GoBack"/>
            <w:bookmarkEnd w:id="100"/>
            <w:r>
              <w:rPr>
                <w:rFonts w:hint="eastAsia" w:asciiTheme="minorEastAsia" w:hAnsiTheme="minorEastAsia" w:eastAsiaTheme="minorEastAsia"/>
                <w:b w:val="0"/>
                <w:color w:val="auto"/>
                <w:sz w:val="24"/>
                <w:highlight w:val="none"/>
                <w:u w:val="single"/>
              </w:rPr>
              <w:t>0</w:t>
            </w:r>
            <w:r>
              <w:rPr>
                <w:rFonts w:asciiTheme="minorEastAsia" w:hAnsiTheme="minorEastAsia" w:eastAsiaTheme="minorEastAsia"/>
                <w:b w:val="0"/>
                <w:color w:val="auto"/>
                <w:sz w:val="24"/>
                <w:highlight w:val="none"/>
                <w:u w:val="single"/>
              </w:rPr>
              <w:t xml:space="preserve"> </w:t>
            </w:r>
            <w:r>
              <w:rPr>
                <w:rFonts w:hint="eastAsia" w:asciiTheme="minorEastAsia" w:hAnsiTheme="minorEastAsia" w:eastAsiaTheme="minorEastAsia"/>
                <w:b w:val="0"/>
                <w:color w:val="auto"/>
                <w:sz w:val="24"/>
                <w:highlight w:val="none"/>
              </w:rPr>
              <w:t>分</w:t>
            </w:r>
          </w:p>
        </w:tc>
      </w:tr>
      <w:tr w14:paraId="225D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Merge w:val="restart"/>
            <w:vAlign w:val="center"/>
          </w:tcPr>
          <w:p w14:paraId="097A89BC">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7</w:t>
            </w:r>
            <w:r>
              <w:rPr>
                <w:rFonts w:asciiTheme="minorEastAsia" w:hAnsiTheme="minorEastAsia" w:eastAsiaTheme="minorEastAsia"/>
                <w:bCs/>
                <w:color w:val="auto"/>
                <w:kern w:val="2"/>
                <w:highlight w:val="none"/>
              </w:rPr>
              <w:t>.1</w:t>
            </w:r>
          </w:p>
        </w:tc>
        <w:tc>
          <w:tcPr>
            <w:tcW w:w="1072" w:type="pct"/>
            <w:vMerge w:val="restart"/>
            <w:vAlign w:val="center"/>
          </w:tcPr>
          <w:p w14:paraId="2E91C83D">
            <w:pPr>
              <w:pStyle w:val="45"/>
              <w:widowControl w:val="0"/>
              <w:spacing w:before="0" w:beforeAutospacing="0" w:after="0" w:afterAutospacing="0" w:line="360" w:lineRule="auto"/>
              <w:jc w:val="left"/>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包别划分</w:t>
            </w:r>
          </w:p>
        </w:tc>
        <w:tc>
          <w:tcPr>
            <w:tcW w:w="3347" w:type="pct"/>
            <w:vAlign w:val="center"/>
          </w:tcPr>
          <w:p w14:paraId="4FA4CE04">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rPr>
              <w:t>☑</w:t>
            </w:r>
            <w:r>
              <w:rPr>
                <w:rFonts w:asciiTheme="minorEastAsia" w:hAnsiTheme="minorEastAsia" w:eastAsiaTheme="minorEastAsia"/>
                <w:b w:val="0"/>
                <w:color w:val="auto"/>
                <w:sz w:val="24"/>
                <w:highlight w:val="none"/>
              </w:rPr>
              <w:t>不分包     □分为</w:t>
            </w:r>
            <w:r>
              <w:rPr>
                <w:rFonts w:hint="eastAsia" w:asciiTheme="minorEastAsia" w:hAnsiTheme="minorEastAsia" w:eastAsiaTheme="minorEastAsia"/>
                <w:b w:val="0"/>
                <w:color w:val="auto"/>
                <w:sz w:val="24"/>
                <w:highlight w:val="none"/>
              </w:rPr>
              <w:t>/</w:t>
            </w:r>
            <w:r>
              <w:rPr>
                <w:rFonts w:asciiTheme="minorEastAsia" w:hAnsiTheme="minorEastAsia" w:eastAsiaTheme="minorEastAsia"/>
                <w:b w:val="0"/>
                <w:color w:val="auto"/>
                <w:sz w:val="24"/>
                <w:highlight w:val="none"/>
              </w:rPr>
              <w:t>个包</w:t>
            </w:r>
          </w:p>
        </w:tc>
      </w:tr>
      <w:tr w14:paraId="5555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Merge w:val="continue"/>
            <w:vAlign w:val="center"/>
          </w:tcPr>
          <w:p w14:paraId="114719C7">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p>
        </w:tc>
        <w:tc>
          <w:tcPr>
            <w:tcW w:w="1072" w:type="pct"/>
            <w:vMerge w:val="continue"/>
            <w:vAlign w:val="center"/>
          </w:tcPr>
          <w:p w14:paraId="259AFAA1">
            <w:pPr>
              <w:pStyle w:val="45"/>
              <w:widowControl w:val="0"/>
              <w:spacing w:before="0" w:beforeAutospacing="0" w:after="0" w:afterAutospacing="0" w:line="360" w:lineRule="auto"/>
              <w:rPr>
                <w:rFonts w:asciiTheme="minorEastAsia" w:hAnsiTheme="minorEastAsia" w:eastAsiaTheme="minorEastAsia"/>
                <w:b w:val="0"/>
                <w:color w:val="auto"/>
                <w:sz w:val="24"/>
                <w:highlight w:val="none"/>
              </w:rPr>
            </w:pPr>
          </w:p>
        </w:tc>
        <w:tc>
          <w:tcPr>
            <w:tcW w:w="3347" w:type="pct"/>
            <w:vAlign w:val="center"/>
          </w:tcPr>
          <w:p w14:paraId="1CECC8B7">
            <w:pPr>
              <w:pStyle w:val="45"/>
              <w:widowControl w:val="0"/>
              <w:spacing w:before="0" w:beforeAutospacing="0" w:after="0" w:afterAutospacing="0" w:line="360" w:lineRule="auto"/>
              <w:jc w:val="both"/>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highlight w:val="none"/>
              </w:rPr>
              <w:t>供应商对多个包进行报价的成交</w:t>
            </w:r>
            <w:r>
              <w:rPr>
                <w:rFonts w:asciiTheme="minorEastAsia" w:hAnsiTheme="minorEastAsia" w:eastAsiaTheme="minorEastAsia"/>
                <w:b w:val="0"/>
                <w:color w:val="auto"/>
                <w:sz w:val="24"/>
                <w:highlight w:val="none"/>
              </w:rPr>
              <w:t>包</w:t>
            </w:r>
            <w:r>
              <w:rPr>
                <w:rFonts w:hint="eastAsia" w:asciiTheme="minorEastAsia" w:hAnsiTheme="minorEastAsia" w:eastAsiaTheme="minorEastAsia"/>
                <w:b w:val="0"/>
                <w:color w:val="auto"/>
                <w:sz w:val="24"/>
                <w:highlight w:val="none"/>
              </w:rPr>
              <w:t>数规定：</w:t>
            </w:r>
            <w:r>
              <w:rPr>
                <w:rFonts w:hint="eastAsia" w:asciiTheme="minorEastAsia" w:hAnsiTheme="minorEastAsia" w:eastAsiaTheme="minorEastAsia"/>
                <w:b w:val="0"/>
                <w:bCs w:val="0"/>
                <w:color w:val="auto"/>
                <w:sz w:val="24"/>
                <w:szCs w:val="18"/>
                <w:highlight w:val="none"/>
                <w:u w:val="single"/>
              </w:rPr>
              <w:t xml:space="preserve"> </w:t>
            </w:r>
            <w:r>
              <w:rPr>
                <w:rFonts w:asciiTheme="minorEastAsia" w:hAnsiTheme="minorEastAsia" w:eastAsiaTheme="minorEastAsia"/>
                <w:b w:val="0"/>
                <w:bCs w:val="0"/>
                <w:color w:val="auto"/>
                <w:sz w:val="24"/>
                <w:szCs w:val="18"/>
                <w:highlight w:val="none"/>
                <w:u w:val="single"/>
              </w:rPr>
              <w:t xml:space="preserve"> </w:t>
            </w:r>
            <w:r>
              <w:rPr>
                <w:rFonts w:hint="eastAsia" w:asciiTheme="minorEastAsia" w:hAnsiTheme="minorEastAsia" w:eastAsiaTheme="minorEastAsia"/>
                <w:b w:val="0"/>
                <w:bCs w:val="0"/>
                <w:color w:val="auto"/>
                <w:sz w:val="24"/>
                <w:szCs w:val="18"/>
                <w:highlight w:val="none"/>
                <w:u w:val="single"/>
              </w:rPr>
              <w:t>/</w:t>
            </w:r>
            <w:r>
              <w:rPr>
                <w:rFonts w:asciiTheme="minorEastAsia" w:hAnsiTheme="minorEastAsia" w:eastAsiaTheme="minorEastAsia"/>
                <w:b w:val="0"/>
                <w:bCs w:val="0"/>
                <w:color w:val="auto"/>
                <w:sz w:val="24"/>
                <w:szCs w:val="18"/>
                <w:highlight w:val="none"/>
                <w:u w:val="single"/>
              </w:rPr>
              <w:t xml:space="preserve">        </w:t>
            </w:r>
          </w:p>
        </w:tc>
      </w:tr>
      <w:tr w14:paraId="713D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DD5C897">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10</w:t>
            </w:r>
            <w:r>
              <w:rPr>
                <w:rFonts w:asciiTheme="minorEastAsia" w:hAnsiTheme="minorEastAsia" w:eastAsiaTheme="minorEastAsia"/>
                <w:bCs/>
                <w:color w:val="auto"/>
                <w:kern w:val="2"/>
                <w:highlight w:val="none"/>
              </w:rPr>
              <w:t>.1</w:t>
            </w:r>
          </w:p>
        </w:tc>
        <w:tc>
          <w:tcPr>
            <w:tcW w:w="1072" w:type="pct"/>
            <w:vAlign w:val="center"/>
          </w:tcPr>
          <w:p w14:paraId="75402279">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询价有效期</w:t>
            </w:r>
          </w:p>
        </w:tc>
        <w:tc>
          <w:tcPr>
            <w:tcW w:w="3347" w:type="pct"/>
            <w:vAlign w:val="center"/>
          </w:tcPr>
          <w:p w14:paraId="1BC62FEE">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u w:val="single"/>
              </w:rPr>
              <w:t xml:space="preserve"> 90</w:t>
            </w:r>
            <w:r>
              <w:rPr>
                <w:rFonts w:hint="eastAsia" w:asciiTheme="minorEastAsia" w:hAnsiTheme="minorEastAsia" w:eastAsiaTheme="minorEastAsia"/>
                <w:b w:val="0"/>
                <w:color w:val="auto"/>
                <w:sz w:val="24"/>
                <w:highlight w:val="none"/>
              </w:rPr>
              <w:t>日历日</w:t>
            </w:r>
          </w:p>
        </w:tc>
      </w:tr>
      <w:tr w14:paraId="21C0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885790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11.2</w:t>
            </w:r>
          </w:p>
        </w:tc>
        <w:tc>
          <w:tcPr>
            <w:tcW w:w="1072" w:type="pct"/>
            <w:vAlign w:val="center"/>
          </w:tcPr>
          <w:p w14:paraId="0E1F50B9">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响应文件解密时间</w:t>
            </w:r>
          </w:p>
        </w:tc>
        <w:tc>
          <w:tcPr>
            <w:tcW w:w="3347" w:type="pct"/>
            <w:vAlign w:val="center"/>
          </w:tcPr>
          <w:p w14:paraId="3988ADF5">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u w:val="single"/>
              </w:rPr>
            </w:pPr>
            <w:r>
              <w:rPr>
                <w:rFonts w:hint="eastAsia" w:asciiTheme="minorEastAsia" w:hAnsiTheme="minorEastAsia" w:eastAsiaTheme="minorEastAsia"/>
                <w:b w:val="0"/>
                <w:color w:val="auto"/>
                <w:sz w:val="24"/>
                <w:highlight w:val="none"/>
              </w:rPr>
              <w:t>响应文件提交截止时间后</w:t>
            </w:r>
            <w:r>
              <w:rPr>
                <w:rFonts w:hint="eastAsia" w:asciiTheme="minorEastAsia" w:hAnsiTheme="minorEastAsia" w:eastAsiaTheme="minorEastAsia"/>
                <w:b/>
                <w:bCs w:val="0"/>
                <w:color w:val="auto"/>
                <w:sz w:val="28"/>
                <w:szCs w:val="28"/>
                <w:highlight w:val="none"/>
                <w:u w:val="single"/>
              </w:rPr>
              <w:t xml:space="preserve"> </w:t>
            </w:r>
            <w:r>
              <w:rPr>
                <w:rFonts w:hint="eastAsia" w:asciiTheme="minorEastAsia" w:hAnsiTheme="minorEastAsia" w:eastAsiaTheme="minorEastAsia"/>
                <w:b/>
                <w:bCs w:val="0"/>
                <w:color w:val="auto"/>
                <w:sz w:val="28"/>
                <w:szCs w:val="28"/>
                <w:highlight w:val="none"/>
                <w:u w:val="single"/>
                <w:lang w:val="en-US" w:eastAsia="zh-CN"/>
              </w:rPr>
              <w:t xml:space="preserve">60 </w:t>
            </w:r>
            <w:r>
              <w:rPr>
                <w:rFonts w:hint="eastAsia" w:asciiTheme="minorEastAsia" w:hAnsiTheme="minorEastAsia" w:eastAsiaTheme="minorEastAsia"/>
                <w:b w:val="0"/>
                <w:color w:val="auto"/>
                <w:sz w:val="24"/>
                <w:highlight w:val="none"/>
              </w:rPr>
              <w:t>分钟内</w:t>
            </w:r>
            <w:r>
              <w:rPr>
                <w:rFonts w:hint="eastAsia" w:ascii="宋体" w:hAnsi="宋体" w:eastAsia="宋体" w:cs="宋体"/>
                <w:b w:val="0"/>
                <w:color w:val="auto"/>
                <w:sz w:val="24"/>
                <w:szCs w:val="24"/>
                <w:highlight w:val="none"/>
              </w:rPr>
              <w:t>（以本项目网上招投标系统解密倒计时为准）</w:t>
            </w:r>
          </w:p>
        </w:tc>
      </w:tr>
      <w:tr w14:paraId="5A90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173B990B">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2</w:t>
            </w:r>
          </w:p>
        </w:tc>
        <w:tc>
          <w:tcPr>
            <w:tcW w:w="1072" w:type="pct"/>
            <w:vAlign w:val="center"/>
          </w:tcPr>
          <w:p w14:paraId="75CCB672">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确定成交供应商</w:t>
            </w:r>
          </w:p>
        </w:tc>
        <w:tc>
          <w:tcPr>
            <w:tcW w:w="3347" w:type="pct"/>
            <w:vAlign w:val="center"/>
          </w:tcPr>
          <w:p w14:paraId="47000502">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bCs w:val="0"/>
                <w:color w:val="auto"/>
                <w:sz w:val="24"/>
                <w:szCs w:val="24"/>
                <w:highlight w:val="none"/>
              </w:rPr>
              <w:sym w:font="Wingdings" w:char="00A8"/>
            </w:r>
            <w:r>
              <w:rPr>
                <w:rFonts w:hint="eastAsia" w:asciiTheme="minorEastAsia" w:hAnsiTheme="minorEastAsia" w:eastAsiaTheme="minorEastAsia"/>
                <w:b w:val="0"/>
                <w:color w:val="auto"/>
                <w:sz w:val="24"/>
                <w:highlight w:val="none"/>
              </w:rPr>
              <w:t xml:space="preserve">采购人委托询价小组确定 </w:t>
            </w:r>
          </w:p>
          <w:p w14:paraId="115EDAD5">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☑采购人确定</w:t>
            </w:r>
          </w:p>
        </w:tc>
      </w:tr>
      <w:tr w14:paraId="363B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7FF847D">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21</w:t>
            </w:r>
            <w:r>
              <w:rPr>
                <w:rFonts w:asciiTheme="minorEastAsia" w:hAnsiTheme="minorEastAsia" w:eastAsiaTheme="minorEastAsia"/>
                <w:bCs/>
                <w:color w:val="auto"/>
                <w:kern w:val="2"/>
                <w:highlight w:val="none"/>
              </w:rPr>
              <w:t>.1</w:t>
            </w:r>
          </w:p>
        </w:tc>
        <w:tc>
          <w:tcPr>
            <w:tcW w:w="1072" w:type="pct"/>
            <w:vAlign w:val="center"/>
          </w:tcPr>
          <w:p w14:paraId="3E00E773">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成交通知书发出的形式</w:t>
            </w:r>
          </w:p>
        </w:tc>
        <w:tc>
          <w:tcPr>
            <w:tcW w:w="3347" w:type="pct"/>
            <w:vAlign w:val="center"/>
          </w:tcPr>
          <w:p w14:paraId="2950DD18">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 xml:space="preserve">□书面 </w:t>
            </w:r>
            <w:r>
              <w:rPr>
                <w:rFonts w:asciiTheme="minorEastAsia" w:hAnsiTheme="minorEastAsia" w:eastAsiaTheme="minorEastAsia"/>
                <w:b w:val="0"/>
                <w:color w:val="auto"/>
                <w:sz w:val="24"/>
                <w:highlight w:val="none"/>
              </w:rPr>
              <w:t xml:space="preserve">    </w:t>
            </w:r>
            <w:r>
              <w:rPr>
                <w:rFonts w:hint="eastAsia" w:asciiTheme="minorEastAsia" w:hAnsiTheme="minorEastAsia" w:eastAsiaTheme="minorEastAsia"/>
                <w:b w:val="0"/>
                <w:bCs w:val="0"/>
                <w:color w:val="auto"/>
                <w:sz w:val="24"/>
                <w:szCs w:val="24"/>
                <w:highlight w:val="none"/>
              </w:rPr>
              <w:sym w:font="Wingdings" w:char="00FE"/>
            </w:r>
            <w:r>
              <w:rPr>
                <w:rFonts w:hint="eastAsia" w:asciiTheme="minorEastAsia" w:hAnsiTheme="minorEastAsia" w:eastAsiaTheme="minorEastAsia"/>
                <w:b w:val="0"/>
                <w:color w:val="auto"/>
                <w:sz w:val="24"/>
                <w:highlight w:val="none"/>
              </w:rPr>
              <w:t>数据电文</w:t>
            </w:r>
          </w:p>
        </w:tc>
      </w:tr>
      <w:tr w14:paraId="128A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5AFF454D">
            <w:pPr>
              <w:pStyle w:val="46"/>
              <w:pBdr>
                <w:bottom w:val="none" w:color="auto" w:sz="0" w:space="0"/>
              </w:pBdr>
              <w:tabs>
                <w:tab w:val="clear" w:pos="4153"/>
                <w:tab w:val="clear" w:pos="8306"/>
              </w:tabs>
              <w:adjustRightInd/>
              <w:spacing w:line="240" w:lineRule="auto"/>
              <w:textAlignment w:val="auto"/>
              <w:rPr>
                <w:rFonts w:ascii="宋体" w:hAnsi="宋体" w:eastAsia="宋体" w:cstheme="minorBidi"/>
                <w:bCs/>
                <w:color w:val="auto"/>
                <w:kern w:val="2"/>
                <w:highlight w:val="none"/>
              </w:rPr>
            </w:pPr>
            <w:r>
              <w:rPr>
                <w:rFonts w:hint="eastAsia" w:ascii="宋体" w:hAnsi="宋体" w:eastAsia="宋体" w:cs="宋体"/>
                <w:bCs/>
                <w:color w:val="auto"/>
                <w:szCs w:val="24"/>
                <w:highlight w:val="none"/>
              </w:rPr>
              <w:t>22.1</w:t>
            </w:r>
          </w:p>
        </w:tc>
        <w:tc>
          <w:tcPr>
            <w:tcW w:w="1072" w:type="pct"/>
            <w:vAlign w:val="center"/>
          </w:tcPr>
          <w:p w14:paraId="45F30629">
            <w:pPr>
              <w:pStyle w:val="45"/>
              <w:widowControl w:val="0"/>
              <w:spacing w:before="0" w:beforeAutospacing="0" w:after="0" w:afterAutospacing="0" w:line="360" w:lineRule="auto"/>
              <w:jc w:val="both"/>
              <w:rPr>
                <w:rFonts w:ascii="宋体" w:hAnsi="宋体" w:eastAsia="宋体" w:cstheme="minorBidi"/>
                <w:b w:val="0"/>
                <w:color w:val="auto"/>
                <w:sz w:val="24"/>
                <w:highlight w:val="none"/>
              </w:rPr>
            </w:pPr>
            <w:r>
              <w:rPr>
                <w:rFonts w:hint="eastAsia" w:ascii="宋体" w:hAnsi="宋体" w:eastAsia="宋体" w:cs="宋体"/>
                <w:b w:val="0"/>
                <w:color w:val="auto"/>
                <w:sz w:val="24"/>
                <w:szCs w:val="24"/>
                <w:highlight w:val="none"/>
              </w:rPr>
              <w:t>告知询价结果的形式</w:t>
            </w:r>
          </w:p>
        </w:tc>
        <w:tc>
          <w:tcPr>
            <w:tcW w:w="3347" w:type="pct"/>
            <w:vAlign w:val="center"/>
          </w:tcPr>
          <w:p w14:paraId="783AC166">
            <w:pPr>
              <w:pStyle w:val="45"/>
              <w:widowControl w:val="0"/>
              <w:spacing w:before="0" w:beforeAutospacing="0" w:after="0" w:afterAutospacing="0" w:line="360" w:lineRule="auto"/>
              <w:jc w:val="both"/>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sym w:font="Wingdings" w:char="00FE"/>
            </w:r>
            <w:r>
              <w:rPr>
                <w:rFonts w:hint="eastAsia" w:ascii="宋体" w:hAnsi="宋体" w:eastAsia="宋体" w:cs="宋体"/>
                <w:b w:val="0"/>
                <w:color w:val="auto"/>
                <w:sz w:val="24"/>
                <w:szCs w:val="24"/>
                <w:highlight w:val="none"/>
              </w:rPr>
              <w:t>供应商自行登录电子</w:t>
            </w:r>
            <w:r>
              <w:rPr>
                <w:rFonts w:hint="eastAsia" w:ascii="宋体" w:hAnsi="宋体" w:eastAsia="宋体" w:cs="宋体"/>
                <w:b w:val="0"/>
                <w:bCs w:val="0"/>
                <w:color w:val="auto"/>
                <w:sz w:val="24"/>
                <w:szCs w:val="24"/>
                <w:highlight w:val="none"/>
              </w:rPr>
              <w:t>交易</w:t>
            </w:r>
            <w:r>
              <w:rPr>
                <w:rFonts w:hint="eastAsia" w:ascii="宋体" w:hAnsi="宋体" w:eastAsia="宋体" w:cs="宋体"/>
                <w:b w:val="0"/>
                <w:color w:val="auto"/>
                <w:sz w:val="24"/>
                <w:szCs w:val="24"/>
                <w:highlight w:val="none"/>
              </w:rPr>
              <w:t>系统查看</w:t>
            </w:r>
          </w:p>
          <w:p w14:paraId="79CAE0A5">
            <w:pPr>
              <w:pStyle w:val="45"/>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cs="宋体"/>
                <w:b w:val="0"/>
                <w:color w:val="auto"/>
                <w:sz w:val="24"/>
                <w:szCs w:val="24"/>
                <w:highlight w:val="none"/>
              </w:rPr>
              <w:t>□</w:t>
            </w:r>
            <w:r>
              <w:rPr>
                <w:rFonts w:hint="eastAsia" w:ascii="宋体" w:hAnsi="宋体" w:eastAsia="宋体"/>
                <w:b w:val="0"/>
                <w:color w:val="auto"/>
                <w:sz w:val="24"/>
                <w:highlight w:val="none"/>
              </w:rPr>
              <w:t>询价现场告知</w:t>
            </w:r>
          </w:p>
        </w:tc>
      </w:tr>
      <w:tr w14:paraId="5CAD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CF261F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rPr>
              <w:t>3</w:t>
            </w:r>
            <w:r>
              <w:rPr>
                <w:rFonts w:asciiTheme="minorEastAsia" w:hAnsiTheme="minorEastAsia" w:eastAsiaTheme="minorEastAsia"/>
                <w:bCs/>
                <w:color w:val="auto"/>
                <w:kern w:val="2"/>
                <w:highlight w:val="none"/>
              </w:rPr>
              <w:t>.1</w:t>
            </w:r>
          </w:p>
        </w:tc>
        <w:tc>
          <w:tcPr>
            <w:tcW w:w="1072" w:type="pct"/>
            <w:vAlign w:val="center"/>
          </w:tcPr>
          <w:p w14:paraId="3A86F0CF">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履约保证金</w:t>
            </w:r>
          </w:p>
        </w:tc>
        <w:tc>
          <w:tcPr>
            <w:tcW w:w="3347" w:type="pct"/>
          </w:tcPr>
          <w:p w14:paraId="7DD73B7D">
            <w:pPr>
              <w:spacing w:line="360" w:lineRule="auto"/>
              <w:rPr>
                <w:rFonts w:asciiTheme="minorEastAsia" w:hAnsiTheme="minorEastAsia" w:eastAsiaTheme="minorEastAsia"/>
                <w:color w:val="auto"/>
                <w:sz w:val="24"/>
                <w:highlight w:val="none"/>
              </w:rPr>
            </w:pPr>
            <w:r>
              <w:rPr>
                <w:rFonts w:hint="eastAsia" w:ascii="宋体" w:hAnsi="宋体" w:eastAsia="宋体"/>
                <w:bCs/>
                <w:color w:val="auto"/>
                <w:kern w:val="0"/>
                <w:sz w:val="24"/>
                <w:szCs w:val="28"/>
                <w:highlight w:val="none"/>
              </w:rPr>
              <w:t>☑免收</w:t>
            </w:r>
          </w:p>
        </w:tc>
      </w:tr>
      <w:tr w14:paraId="5A90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34B931AE">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asciiTheme="minorEastAsia" w:hAnsiTheme="minorEastAsia" w:eastAsiaTheme="minorEastAsia"/>
                <w:bCs/>
                <w:color w:val="auto"/>
                <w:kern w:val="2"/>
                <w:highlight w:val="none"/>
              </w:rPr>
              <w:t>2</w:t>
            </w:r>
            <w:r>
              <w:rPr>
                <w:rFonts w:hint="eastAsia" w:asciiTheme="minorEastAsia" w:hAnsiTheme="minorEastAsia" w:eastAsiaTheme="minorEastAsia"/>
                <w:bCs/>
                <w:color w:val="auto"/>
                <w:kern w:val="2"/>
                <w:highlight w:val="none"/>
              </w:rPr>
              <w:t>4</w:t>
            </w:r>
            <w:r>
              <w:rPr>
                <w:rFonts w:asciiTheme="minorEastAsia" w:hAnsiTheme="minorEastAsia" w:eastAsiaTheme="minorEastAsia"/>
                <w:bCs/>
                <w:color w:val="auto"/>
                <w:kern w:val="2"/>
                <w:highlight w:val="none"/>
              </w:rPr>
              <w:t>.1</w:t>
            </w:r>
          </w:p>
        </w:tc>
        <w:tc>
          <w:tcPr>
            <w:tcW w:w="1072" w:type="pct"/>
            <w:vAlign w:val="center"/>
          </w:tcPr>
          <w:p w14:paraId="55CD743D">
            <w:pPr>
              <w:pStyle w:val="45"/>
              <w:widowControl w:val="0"/>
              <w:spacing w:before="0" w:beforeAutospacing="0" w:after="0" w:afterAutospacing="0" w:line="360" w:lineRule="auto"/>
              <w:jc w:val="both"/>
              <w:rPr>
                <w:rFonts w:hint="default" w:asciiTheme="minorEastAsia" w:hAnsiTheme="minorEastAsia" w:eastAsiaTheme="minorEastAsia"/>
                <w:b w:val="0"/>
                <w:color w:val="auto"/>
                <w:sz w:val="24"/>
                <w:highlight w:val="none"/>
                <w:lang w:val="en-US" w:eastAsia="zh-CN"/>
              </w:rPr>
            </w:pPr>
            <w:r>
              <w:rPr>
                <w:rFonts w:hint="eastAsia" w:asciiTheme="minorEastAsia" w:hAnsiTheme="minorEastAsia" w:eastAsiaTheme="minorEastAsia"/>
                <w:b w:val="0"/>
                <w:color w:val="auto"/>
                <w:sz w:val="24"/>
                <w:highlight w:val="none"/>
              </w:rPr>
              <w:t>代理费用</w:t>
            </w:r>
            <w:r>
              <w:rPr>
                <w:rFonts w:hint="eastAsia" w:asciiTheme="minorEastAsia" w:hAnsiTheme="minorEastAsia" w:eastAsiaTheme="minorEastAsia"/>
                <w:b w:val="0"/>
                <w:color w:val="auto"/>
                <w:sz w:val="24"/>
                <w:highlight w:val="none"/>
                <w:lang w:val="en-US" w:eastAsia="zh-CN"/>
              </w:rPr>
              <w:t>及专家评审费</w:t>
            </w:r>
          </w:p>
        </w:tc>
        <w:tc>
          <w:tcPr>
            <w:tcW w:w="3347" w:type="pct"/>
            <w:vAlign w:val="center"/>
          </w:tcPr>
          <w:p w14:paraId="3D576332">
            <w:pPr>
              <w:spacing w:before="39" w:line="360" w:lineRule="auto"/>
              <w:rPr>
                <w:rFonts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cs="宋体"/>
                <w:color w:val="auto"/>
                <w:spacing w:val="14"/>
                <w:sz w:val="24"/>
                <w:szCs w:val="24"/>
                <w:highlight w:val="none"/>
              </w:rPr>
              <w:t>成交供应商</w:t>
            </w:r>
          </w:p>
          <w:p w14:paraId="1E5B7AC7">
            <w:pPr>
              <w:spacing w:before="24"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银行转账</w:t>
            </w:r>
            <w:r>
              <w:rPr>
                <w:rFonts w:ascii="宋体" w:hAnsi="宋体" w:eastAsia="宋体" w:cs="宋体"/>
                <w:color w:val="auto"/>
                <w:sz w:val="24"/>
                <w:szCs w:val="24"/>
                <w:highlight w:val="none"/>
                <w:u w:val="single"/>
              </w:rPr>
              <w:t xml:space="preserve">  </w:t>
            </w:r>
          </w:p>
          <w:p w14:paraId="20C3D46B">
            <w:pPr>
              <w:pStyle w:val="45"/>
              <w:widowControl w:val="0"/>
              <w:spacing w:before="0" w:beforeAutospacing="0" w:after="0" w:afterAutospacing="0" w:line="360" w:lineRule="auto"/>
              <w:jc w:val="both"/>
              <w:rPr>
                <w:rFonts w:hint="default" w:eastAsia="宋体" w:asciiTheme="minorEastAsia" w:hAnsiTheme="minorEastAsia"/>
                <w:b w:val="0"/>
                <w:color w:val="auto"/>
                <w:sz w:val="24"/>
                <w:highlight w:val="none"/>
                <w:lang w:val="en-US" w:eastAsia="zh-CN"/>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hint="eastAsia" w:ascii="宋体" w:hAnsi="宋体" w:eastAsia="宋体"/>
                <w:b w:val="0"/>
                <w:color w:val="auto"/>
                <w:sz w:val="24"/>
                <w:highlight w:val="none"/>
                <w:u w:val="none"/>
                <w:lang w:val="en-US" w:eastAsia="zh-CN"/>
              </w:rPr>
              <w:t>代理费0</w:t>
            </w:r>
            <w:r>
              <w:rPr>
                <w:rFonts w:hint="eastAsia" w:ascii="宋体" w:hAnsi="宋体" w:eastAsia="宋体" w:cs="宋体"/>
                <w:b w:val="0"/>
                <w:bCs w:val="0"/>
                <w:color w:val="auto"/>
                <w:sz w:val="24"/>
                <w:szCs w:val="24"/>
                <w:highlight w:val="none"/>
                <w:u w:val="none"/>
                <w:lang w:val="en-US" w:eastAsia="zh-CN"/>
              </w:rPr>
              <w:t>元。专家评审费约1240元</w:t>
            </w:r>
            <w:r>
              <w:rPr>
                <w:rFonts w:hint="eastAsia" w:ascii="宋体" w:hAnsi="宋体" w:eastAsia="宋体"/>
                <w:b w:val="0"/>
                <w:color w:val="auto"/>
                <w:sz w:val="24"/>
                <w:highlight w:val="none"/>
                <w:u w:val="none"/>
                <w:lang w:val="en-US" w:eastAsia="zh-CN"/>
              </w:rPr>
              <w:t>（最终以实际发生为准，按实计收），成交供应商在领取成交通知书前一次性支付给代理公司；</w:t>
            </w:r>
          </w:p>
        </w:tc>
      </w:tr>
      <w:tr w14:paraId="7FAF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00669541">
            <w:pPr>
              <w:pStyle w:val="46"/>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27</w:t>
            </w:r>
            <w:r>
              <w:rPr>
                <w:rFonts w:asciiTheme="minorEastAsia" w:hAnsiTheme="minorEastAsia" w:eastAsiaTheme="minorEastAsia"/>
                <w:bCs/>
                <w:color w:val="auto"/>
                <w:kern w:val="2"/>
                <w:highlight w:val="none"/>
              </w:rPr>
              <w:t>.</w:t>
            </w:r>
            <w:r>
              <w:rPr>
                <w:rFonts w:hint="eastAsia" w:asciiTheme="minorEastAsia" w:hAnsiTheme="minorEastAsia" w:eastAsiaTheme="minorEastAsia"/>
                <w:bCs/>
                <w:color w:val="auto"/>
                <w:kern w:val="2"/>
                <w:highlight w:val="none"/>
              </w:rPr>
              <w:t>3</w:t>
            </w:r>
          </w:p>
        </w:tc>
        <w:tc>
          <w:tcPr>
            <w:tcW w:w="1072" w:type="pct"/>
            <w:vAlign w:val="center"/>
          </w:tcPr>
          <w:p w14:paraId="5EE1F34A">
            <w:pPr>
              <w:pStyle w:val="45"/>
              <w:widowControl w:val="0"/>
              <w:spacing w:before="0" w:beforeAutospacing="0" w:after="0" w:afterAutospacing="0" w:line="360" w:lineRule="auto"/>
              <w:jc w:val="both"/>
              <w:rPr>
                <w:rFonts w:asciiTheme="minorEastAsia" w:hAnsiTheme="minorEastAsia" w:eastAsiaTheme="minorEastAsia"/>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347" w:type="pct"/>
            <w:vAlign w:val="center"/>
          </w:tcPr>
          <w:p w14:paraId="646E8691">
            <w:pPr>
              <w:pStyle w:val="45"/>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jc w:val="both"/>
              <w:textAlignment w:val="auto"/>
              <w:rPr>
                <w:rFonts w:asciiTheme="minorEastAsia" w:hAnsiTheme="minorEastAsia" w:eastAsiaTheme="minorEastAsia"/>
                <w:b w:val="0"/>
                <w:color w:val="auto"/>
                <w:sz w:val="24"/>
                <w:highlight w:val="none"/>
              </w:rPr>
            </w:pPr>
            <w:r>
              <w:rPr>
                <w:rFonts w:hint="eastAsia" w:ascii="宋体" w:hAnsi="宋体" w:eastAsia="宋体" w:cs="宋体"/>
                <w:b w:val="0"/>
                <w:color w:val="auto"/>
                <w:sz w:val="24"/>
                <w:szCs w:val="24"/>
                <w:highlight w:val="none"/>
              </w:rPr>
              <w:t>如</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对</w:t>
            </w:r>
            <w:r>
              <w:rPr>
                <w:rFonts w:hint="eastAsia" w:ascii="宋体" w:hAnsi="宋体" w:eastAsia="宋体" w:cs="宋体"/>
                <w:b w:val="0"/>
                <w:color w:val="auto"/>
                <w:sz w:val="24"/>
                <w:szCs w:val="24"/>
                <w:highlight w:val="none"/>
                <w:lang w:val="en-US" w:eastAsia="zh-CN"/>
              </w:rPr>
              <w:t>采购</w:t>
            </w:r>
            <w:r>
              <w:rPr>
                <w:rFonts w:hint="eastAsia" w:ascii="宋体" w:hAnsi="宋体" w:eastAsia="宋体" w:cs="宋体"/>
                <w:b w:val="0"/>
                <w:color w:val="auto"/>
                <w:sz w:val="24"/>
                <w:szCs w:val="24"/>
                <w:highlight w:val="none"/>
              </w:rPr>
              <w:t>文件有疑问，请于202</w:t>
            </w:r>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lang w:val="en-US" w:eastAsia="zh-CN"/>
              </w:rPr>
              <w:t>9</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lang w:val="en-US" w:eastAsia="zh-CN"/>
              </w:rPr>
              <w:t>8</w:t>
            </w: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 HYPERLINK "mailto:日12时前将疑问内容以电子邮件形式发送至czsctgczx@163.com（滁州市城投工程咨询管理有限公司邮箱），招标人将在2024年4月"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b w:val="0"/>
                <w:color w:val="auto"/>
                <w:sz w:val="24"/>
                <w:szCs w:val="24"/>
                <w:highlight w:val="none"/>
              </w:rPr>
              <w:t>日1</w:t>
            </w:r>
            <w:r>
              <w:rPr>
                <w:rFonts w:hint="eastAsia" w:ascii="宋体" w:hAnsi="宋体" w:eastAsia="宋体" w:cs="宋体"/>
                <w:b w:val="0"/>
                <w:color w:val="auto"/>
                <w:sz w:val="24"/>
                <w:szCs w:val="24"/>
                <w:highlight w:val="none"/>
                <w:lang w:val="en-US" w:eastAsia="zh-CN"/>
              </w:rPr>
              <w:t>1</w:t>
            </w:r>
            <w:r>
              <w:rPr>
                <w:rFonts w:hint="eastAsia" w:ascii="宋体" w:hAnsi="宋体" w:eastAsia="宋体" w:cs="宋体"/>
                <w:b w:val="0"/>
                <w:color w:val="auto"/>
                <w:sz w:val="24"/>
                <w:szCs w:val="24"/>
                <w:highlight w:val="none"/>
              </w:rPr>
              <w:t>时前</w:t>
            </w:r>
            <w:r>
              <w:rPr>
                <w:rFonts w:hint="eastAsia" w:ascii="宋体" w:hAnsi="宋体" w:eastAsia="宋体" w:cs="宋体"/>
                <w:b w:val="0"/>
                <w:color w:val="auto"/>
                <w:sz w:val="24"/>
                <w:szCs w:val="24"/>
                <w:highlight w:val="none"/>
                <w:lang w:val="en-US" w:eastAsia="zh-CN"/>
              </w:rPr>
              <w:t>通过新点电子交易平台【滁州专区】对采购文件提出澄清（质疑）</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val="en-US" w:eastAsia="zh-CN"/>
              </w:rPr>
              <w:t>采购人</w:t>
            </w:r>
            <w:r>
              <w:rPr>
                <w:rFonts w:hint="eastAsia" w:ascii="宋体" w:hAnsi="宋体" w:eastAsia="宋体" w:cs="宋体"/>
                <w:b w:val="0"/>
                <w:color w:val="auto"/>
                <w:sz w:val="24"/>
                <w:szCs w:val="24"/>
                <w:highlight w:val="none"/>
              </w:rPr>
              <w:t>将在202</w:t>
            </w:r>
            <w:r>
              <w:rPr>
                <w:rFonts w:hint="eastAsia" w:ascii="宋体" w:hAnsi="宋体" w:eastAsia="宋体" w:cs="宋体"/>
                <w:b w:val="0"/>
                <w:color w:val="auto"/>
                <w:sz w:val="24"/>
                <w:szCs w:val="24"/>
                <w:highlight w:val="none"/>
                <w:lang w:val="en-US" w:eastAsia="zh-CN"/>
              </w:rPr>
              <w:t>5</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lang w:val="en-US" w:eastAsia="zh-CN"/>
              </w:rPr>
              <w:t>9</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rPr>
              <w:fldChar w:fldCharType="end"/>
            </w:r>
            <w:r>
              <w:rPr>
                <w:rFonts w:hint="eastAsia" w:ascii="宋体" w:hAnsi="宋体" w:eastAsia="宋体" w:cs="宋体"/>
                <w:b w:val="0"/>
                <w:color w:val="auto"/>
                <w:sz w:val="24"/>
                <w:szCs w:val="24"/>
                <w:highlight w:val="none"/>
                <w:lang w:val="en-US" w:eastAsia="zh-CN"/>
              </w:rPr>
              <w:t>8</w:t>
            </w:r>
            <w:r>
              <w:rPr>
                <w:rFonts w:hint="eastAsia" w:ascii="宋体" w:hAnsi="宋体" w:eastAsia="宋体" w:cs="宋体"/>
                <w:b w:val="0"/>
                <w:color w:val="auto"/>
                <w:sz w:val="24"/>
                <w:szCs w:val="24"/>
                <w:highlight w:val="none"/>
              </w:rPr>
              <w:t>日1</w:t>
            </w:r>
            <w:r>
              <w:rPr>
                <w:rFonts w:hint="eastAsia" w:ascii="宋体" w:hAnsi="宋体" w:eastAsia="宋体" w:cs="宋体"/>
                <w:b w:val="0"/>
                <w:color w:val="auto"/>
                <w:sz w:val="24"/>
                <w:szCs w:val="24"/>
                <w:highlight w:val="none"/>
                <w:lang w:val="en-US" w:eastAsia="zh-CN"/>
              </w:rPr>
              <w:t>7</w:t>
            </w:r>
            <w:r>
              <w:rPr>
                <w:rFonts w:hint="eastAsia" w:ascii="宋体" w:hAnsi="宋体" w:eastAsia="宋体" w:cs="宋体"/>
                <w:b w:val="0"/>
                <w:color w:val="auto"/>
                <w:sz w:val="24"/>
                <w:szCs w:val="24"/>
                <w:highlight w:val="none"/>
              </w:rPr>
              <w:t>时后</w:t>
            </w:r>
            <w:r>
              <w:rPr>
                <w:rFonts w:hint="eastAsia" w:ascii="宋体" w:hAnsi="宋体" w:eastAsia="宋体" w:cs="宋体"/>
                <w:b w:val="0"/>
                <w:color w:val="auto"/>
                <w:sz w:val="24"/>
                <w:szCs w:val="24"/>
                <w:highlight w:val="none"/>
                <w:lang w:eastAsia="zh-CN"/>
              </w:rPr>
              <w:t>在</w:t>
            </w:r>
            <w:r>
              <w:rPr>
                <w:rFonts w:hint="eastAsia" w:ascii="宋体" w:hAnsi="宋体" w:eastAsia="宋体" w:cs="宋体"/>
                <w:b w:val="0"/>
                <w:color w:val="auto"/>
                <w:sz w:val="24"/>
                <w:szCs w:val="24"/>
                <w:highlight w:val="none"/>
              </w:rPr>
              <w:t>滁州市城投工程咨询管理有限公司（https://www.czctgczx.com/）</w:t>
            </w:r>
            <w:r>
              <w:rPr>
                <w:rFonts w:hint="eastAsia" w:ascii="宋体" w:hAnsi="宋体" w:eastAsia="宋体" w:cs="宋体"/>
                <w:b w:val="0"/>
                <w:color w:val="auto"/>
                <w:sz w:val="24"/>
                <w:szCs w:val="24"/>
                <w:highlight w:val="none"/>
                <w:lang w:val="en-US" w:eastAsia="zh-CN"/>
              </w:rPr>
              <w:t>网站发布</w:t>
            </w:r>
            <w:r>
              <w:rPr>
                <w:rFonts w:hint="eastAsia" w:ascii="宋体" w:hAnsi="宋体" w:eastAsia="宋体" w:cs="宋体"/>
                <w:b w:val="0"/>
                <w:color w:val="auto"/>
                <w:sz w:val="24"/>
                <w:szCs w:val="24"/>
                <w:highlight w:val="none"/>
              </w:rPr>
              <w:t>，请各位</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注意查看有关澄清内容，如不及时查看造成后果由</w:t>
            </w:r>
            <w:r>
              <w:rPr>
                <w:rFonts w:hint="eastAsia" w:ascii="宋体" w:hAnsi="宋体" w:eastAsia="宋体" w:cs="宋体"/>
                <w:b w:val="0"/>
                <w:color w:val="auto"/>
                <w:sz w:val="24"/>
                <w:szCs w:val="24"/>
                <w:highlight w:val="none"/>
                <w:lang w:val="en-US" w:eastAsia="zh-CN"/>
              </w:rPr>
              <w:t>供应商</w:t>
            </w:r>
            <w:r>
              <w:rPr>
                <w:rFonts w:hint="eastAsia" w:ascii="宋体" w:hAnsi="宋体" w:eastAsia="宋体" w:cs="宋体"/>
                <w:b w:val="0"/>
                <w:color w:val="auto"/>
                <w:sz w:val="24"/>
                <w:szCs w:val="24"/>
                <w:highlight w:val="none"/>
              </w:rPr>
              <w:t>自负。</w:t>
            </w:r>
          </w:p>
        </w:tc>
      </w:tr>
      <w:tr w14:paraId="0F47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3"/>
            <w:vAlign w:val="center"/>
          </w:tcPr>
          <w:p w14:paraId="3A2A1FF8">
            <w:pPr>
              <w:pStyle w:val="45"/>
              <w:widowControl w:val="0"/>
              <w:spacing w:before="0" w:beforeAutospacing="0" w:after="0" w:afterAutospacing="0" w:line="360" w:lineRule="auto"/>
              <w:jc w:val="center"/>
              <w:rPr>
                <w:rFonts w:ascii="宋体" w:hAnsi="宋体" w:eastAsia="宋体" w:cs="宋体"/>
                <w:b w:val="0"/>
                <w:color w:val="auto"/>
                <w:kern w:val="2"/>
                <w:sz w:val="24"/>
                <w:szCs w:val="24"/>
                <w:highlight w:val="none"/>
                <w:lang w:bidi="ar"/>
              </w:rPr>
            </w:pPr>
            <w:r>
              <w:rPr>
                <w:rFonts w:hint="eastAsia" w:ascii="宋体" w:hAnsi="宋体" w:eastAsia="宋体" w:cs="宋体"/>
                <w:b/>
                <w:bCs/>
                <w:color w:val="auto"/>
                <w:sz w:val="21"/>
                <w:szCs w:val="21"/>
                <w:highlight w:val="none"/>
              </w:rPr>
              <w:t>需要补充的其他内容</w:t>
            </w:r>
          </w:p>
        </w:tc>
      </w:tr>
      <w:tr w14:paraId="5D9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6A8FCAB">
            <w:pPr>
              <w:pStyle w:val="46"/>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w:t>
            </w:r>
          </w:p>
        </w:tc>
        <w:tc>
          <w:tcPr>
            <w:tcW w:w="1861" w:type="dxa"/>
            <w:vAlign w:val="center"/>
          </w:tcPr>
          <w:p w14:paraId="2FFE3CEA">
            <w:pPr>
              <w:keepNext w:val="0"/>
              <w:keepLines w:val="0"/>
              <w:pageBreakBefore w:val="0"/>
              <w:kinsoku/>
              <w:overflowPunct/>
              <w:topLinePunct w:val="0"/>
              <w:autoSpaceDE/>
              <w:autoSpaceDN/>
              <w:bidi w:val="0"/>
              <w:spacing w:line="440" w:lineRule="exact"/>
              <w:jc w:val="center"/>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电子招标投标</w:t>
            </w:r>
          </w:p>
        </w:tc>
        <w:tc>
          <w:tcPr>
            <w:tcW w:w="5811" w:type="dxa"/>
            <w:vAlign w:val="center"/>
          </w:tcPr>
          <w:p w14:paraId="01678FB7">
            <w:pPr>
              <w:keepNext w:val="0"/>
              <w:keepLines w:val="0"/>
              <w:pageBreakBefore w:val="0"/>
              <w:kinsoku/>
              <w:overflowPunct/>
              <w:topLinePunct w:val="0"/>
              <w:autoSpaceDE/>
              <w:autoSpaceDN/>
              <w:bidi w:val="0"/>
              <w:spacing w:line="440" w:lineRule="exact"/>
              <w:jc w:val="left"/>
              <w:textAlignment w:val="auto"/>
              <w:rPr>
                <w:rFonts w:ascii="宋体" w:hAnsi="宋体" w:eastAsia="宋体" w:cs="宋体"/>
                <w:b w:val="0"/>
                <w:color w:val="auto"/>
                <w:kern w:val="2"/>
                <w:sz w:val="24"/>
                <w:szCs w:val="24"/>
                <w:highlight w:val="none"/>
                <w:lang w:bidi="ar"/>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 xml:space="preserve">否；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是，具体要求：按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w:t>
            </w:r>
          </w:p>
        </w:tc>
      </w:tr>
      <w:tr w14:paraId="1191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62C69D64">
            <w:pPr>
              <w:pStyle w:val="46"/>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2</w:t>
            </w:r>
          </w:p>
        </w:tc>
        <w:tc>
          <w:tcPr>
            <w:tcW w:w="1861" w:type="dxa"/>
            <w:vAlign w:val="center"/>
          </w:tcPr>
          <w:p w14:paraId="65817853">
            <w:pPr>
              <w:pStyle w:val="46"/>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付款方式</w:t>
            </w:r>
          </w:p>
        </w:tc>
        <w:tc>
          <w:tcPr>
            <w:tcW w:w="5811" w:type="dxa"/>
            <w:vAlign w:val="center"/>
          </w:tcPr>
          <w:p w14:paraId="4DEC01F9">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所有货物供货完成并验收合格后付至所供货款的98%，剩余2%作为质量保证金，质保期（1年）满经核验无质量问题后30天内无息付清余款。支付前成交供应商须提供等额增值税专用发票。</w:t>
            </w:r>
          </w:p>
        </w:tc>
      </w:tr>
      <w:tr w14:paraId="731B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0" w:type="pct"/>
            <w:vAlign w:val="center"/>
          </w:tcPr>
          <w:p w14:paraId="77B59C5B">
            <w:pPr>
              <w:pStyle w:val="46"/>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3</w:t>
            </w:r>
          </w:p>
        </w:tc>
        <w:tc>
          <w:tcPr>
            <w:tcW w:w="1861" w:type="dxa"/>
            <w:vAlign w:val="center"/>
          </w:tcPr>
          <w:p w14:paraId="71DDFC3C">
            <w:pPr>
              <w:pStyle w:val="46"/>
              <w:pBdr>
                <w:bottom w:val="none" w:color="auto" w:sz="0" w:space="0"/>
              </w:pBdr>
              <w:tabs>
                <w:tab w:val="clear" w:pos="4153"/>
                <w:tab w:val="clear" w:pos="8306"/>
              </w:tabs>
              <w:adjustRightInd/>
              <w:spacing w:line="240" w:lineRule="auto"/>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评标过程中的澄清、说明或补正</w:t>
            </w:r>
          </w:p>
        </w:tc>
        <w:tc>
          <w:tcPr>
            <w:tcW w:w="5811" w:type="dxa"/>
            <w:vAlign w:val="center"/>
          </w:tcPr>
          <w:p w14:paraId="73437A23">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（1）评审小组通过网上招投标系统将需要澄清、说明或补正的内容以询标函的形式发送给供应商，供应商应安排专人登录网上招投标系统并保持在线状态，以便及时接收评审小组可能发出的询标函。</w:t>
            </w:r>
          </w:p>
          <w:p w14:paraId="4F8D3A89">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500" w:lineRule="exact"/>
              <w:jc w:val="left"/>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2）因供应商未登录网上招投标系统导致无法及时接收询标函（远程网上询标）或未在规定时间内按评审小组要求进行澄清、说明或补正内容的视同供应商放弃澄清、说明或补正内容的权利，评审小组可按对供应商不利的解释进行判定。</w:t>
            </w:r>
          </w:p>
        </w:tc>
      </w:tr>
    </w:tbl>
    <w:p w14:paraId="2D465309">
      <w:pPr>
        <w:spacing w:line="360" w:lineRule="auto"/>
        <w:ind w:firstLine="437"/>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3" w:name="_Toc14682"/>
      <w:bookmarkStart w:id="24" w:name="_Toc29229"/>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供应商须知</w:t>
      </w:r>
      <w:r>
        <w:rPr>
          <w:rFonts w:hint="eastAsia" w:asciiTheme="minorEastAsia" w:hAnsiTheme="minorEastAsia" w:eastAsiaTheme="minorEastAsia"/>
          <w:b/>
          <w:color w:val="auto"/>
          <w:sz w:val="24"/>
          <w:highlight w:val="none"/>
        </w:rPr>
        <w:t>正文</w:t>
      </w:r>
      <w:bookmarkEnd w:id="23"/>
      <w:bookmarkEnd w:id="24"/>
    </w:p>
    <w:p w14:paraId="321F8C7B">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w:t>
      </w:r>
      <w:r>
        <w:rPr>
          <w:rFonts w:hint="eastAsia" w:asciiTheme="minorEastAsia" w:hAnsiTheme="minorEastAsia" w:eastAsiaTheme="minorEastAsia"/>
          <w:b/>
          <w:color w:val="auto"/>
          <w:sz w:val="24"/>
          <w:highlight w:val="none"/>
          <w:lang w:eastAsia="zh-CN"/>
        </w:rPr>
        <w:t>代理机构</w:t>
      </w:r>
      <w:r>
        <w:rPr>
          <w:rFonts w:hint="eastAsia" w:asciiTheme="minorEastAsia" w:hAnsiTheme="minorEastAsia" w:eastAsiaTheme="minorEastAsia"/>
          <w:b/>
          <w:color w:val="auto"/>
          <w:sz w:val="24"/>
          <w:highlight w:val="none"/>
        </w:rPr>
        <w:t>及供应商</w:t>
      </w:r>
    </w:p>
    <w:p w14:paraId="5290322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.1采购人：</w:t>
      </w:r>
      <w:r>
        <w:rPr>
          <w:rFonts w:hint="eastAsia" w:asciiTheme="minorEastAsia" w:hAnsiTheme="minorEastAsia" w:eastAsiaTheme="minorEastAsia"/>
          <w:color w:val="auto"/>
          <w:sz w:val="24"/>
          <w:highlight w:val="none"/>
          <w:lang w:val="en-US" w:eastAsia="zh-CN"/>
        </w:rPr>
        <w:t>安徽明巢高速公路开发有限公司</w:t>
      </w:r>
      <w:r>
        <w:rPr>
          <w:rFonts w:asciiTheme="minorEastAsia" w:hAnsiTheme="minorEastAsia" w:eastAsiaTheme="minorEastAsia"/>
          <w:color w:val="auto"/>
          <w:sz w:val="24"/>
          <w:highlight w:val="none"/>
        </w:rPr>
        <w:t>。</w:t>
      </w:r>
    </w:p>
    <w:p w14:paraId="2A5ABE1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滁州市城投工程咨询管理有限公司</w:t>
      </w:r>
      <w:r>
        <w:rPr>
          <w:rFonts w:asciiTheme="minorEastAsia" w:hAnsiTheme="minorEastAsia" w:eastAsiaTheme="minorEastAsia"/>
          <w:color w:val="auto"/>
          <w:sz w:val="24"/>
          <w:highlight w:val="none"/>
        </w:rPr>
        <w:t>。</w:t>
      </w:r>
    </w:p>
    <w:p w14:paraId="0535F59E">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.3政府采购监督管理部门：</w:t>
      </w:r>
      <w:r>
        <w:rPr>
          <w:rFonts w:hint="eastAsia" w:asciiTheme="minorEastAsia" w:hAnsiTheme="minorEastAsia" w:eastAsiaTheme="minorEastAsia"/>
          <w:color w:val="auto"/>
          <w:sz w:val="24"/>
          <w:highlight w:val="none"/>
          <w:lang w:val="en-US" w:eastAsia="zh-CN"/>
        </w:rPr>
        <w:t>安徽明巢高速公路开发有限公司或上级单位的纪检或监察部门</w:t>
      </w:r>
      <w:r>
        <w:rPr>
          <w:rFonts w:hint="eastAsia" w:asciiTheme="minorEastAsia" w:hAnsiTheme="minorEastAsia" w:eastAsiaTheme="minorEastAsia"/>
          <w:color w:val="auto"/>
          <w:sz w:val="24"/>
          <w:highlight w:val="none"/>
        </w:rPr>
        <w:t>。</w:t>
      </w:r>
    </w:p>
    <w:p w14:paraId="74D0821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.4供应商：是指</w:t>
      </w:r>
      <w:r>
        <w:rPr>
          <w:rFonts w:hint="eastAsia" w:asciiTheme="minorEastAsia" w:hAnsiTheme="minorEastAsia" w:eastAsiaTheme="minorEastAsia"/>
          <w:color w:val="auto"/>
          <w:sz w:val="24"/>
          <w:highlight w:val="none"/>
          <w:lang w:val="en-US" w:eastAsia="zh-CN"/>
        </w:rPr>
        <w:t>满足本项目参与条件的单位</w:t>
      </w:r>
      <w:r>
        <w:rPr>
          <w:rFonts w:hint="eastAsia" w:asciiTheme="minorEastAsia" w:hAnsiTheme="minorEastAsia" w:eastAsiaTheme="minorEastAsia"/>
          <w:color w:val="auto"/>
          <w:sz w:val="24"/>
          <w:highlight w:val="none"/>
        </w:rPr>
        <w:t>。</w:t>
      </w:r>
    </w:p>
    <w:p w14:paraId="46B640D2">
      <w:pPr>
        <w:spacing w:line="460" w:lineRule="exact"/>
        <w:ind w:firstLine="435"/>
        <w:rPr>
          <w:rFonts w:asciiTheme="minorEastAsia" w:hAnsiTheme="minorEastAsia" w:eastAsiaTheme="minorEastAsia"/>
          <w:color w:val="auto"/>
          <w:sz w:val="24"/>
          <w:highlight w:val="none"/>
        </w:rPr>
      </w:pPr>
      <w:bookmarkStart w:id="25" w:name="_Hlk60605411"/>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5</w:t>
      </w:r>
      <w:bookmarkEnd w:id="25"/>
      <w:r>
        <w:rPr>
          <w:rFonts w:hint="eastAsia" w:ascii="宋体" w:hAnsi="宋体" w:eastAsia="宋体"/>
          <w:bCs/>
          <w:color w:val="auto"/>
          <w:kern w:val="0"/>
          <w:sz w:val="24"/>
          <w:szCs w:val="28"/>
          <w:highlight w:val="none"/>
          <w:lang w:val="en-US" w:eastAsia="zh-CN"/>
        </w:rPr>
        <w:t>本项目不接受联合体</w:t>
      </w:r>
      <w:r>
        <w:rPr>
          <w:rFonts w:asciiTheme="minorEastAsia" w:hAnsiTheme="minorEastAsia" w:eastAsiaTheme="minorEastAsia"/>
          <w:color w:val="auto"/>
          <w:sz w:val="24"/>
          <w:highlight w:val="none"/>
        </w:rPr>
        <w:t>。</w:t>
      </w:r>
    </w:p>
    <w:p w14:paraId="0B8D59BB">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资金落实情况</w:t>
      </w:r>
    </w:p>
    <w:p w14:paraId="734852E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本项目的采购人已获得足以支付本次采购后所签订的合同项下的资金。</w:t>
      </w:r>
    </w:p>
    <w:p w14:paraId="1E7B9227">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费用</w:t>
      </w:r>
    </w:p>
    <w:p w14:paraId="72D3428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不论询价的结果如何，供应商应承担所有与准备和参加询价有关的费用。</w:t>
      </w:r>
    </w:p>
    <w:p w14:paraId="72FB563F">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7AE3A63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参照</w:t>
      </w:r>
      <w:r>
        <w:rPr>
          <w:rFonts w:hint="eastAsia" w:asciiTheme="minorEastAsia" w:hAnsiTheme="minorEastAsia" w:eastAsiaTheme="minorEastAsia"/>
          <w:color w:val="auto"/>
          <w:sz w:val="24"/>
          <w:highlight w:val="none"/>
        </w:rPr>
        <w:t>《中华人民共和国政府采购法》、《中华人民共和国政府采购法实施条例》及本项目本级和上级财政部门、政府采购监督管理部门的政府采购有关规定的约束，其权利受到上述法律法规的保护。</w:t>
      </w:r>
    </w:p>
    <w:p w14:paraId="555F455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询价采购文件</w:t>
      </w:r>
      <w:r>
        <w:rPr>
          <w:rFonts w:hint="eastAsia" w:asciiTheme="minorEastAsia" w:hAnsiTheme="minorEastAsia" w:eastAsiaTheme="minorEastAsia"/>
          <w:b/>
          <w:color w:val="auto"/>
          <w:sz w:val="24"/>
          <w:highlight w:val="none"/>
        </w:rPr>
        <w:t>构成</w:t>
      </w:r>
    </w:p>
    <w:p w14:paraId="7F7B3831">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5.1</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包括下列内容：</w:t>
      </w:r>
    </w:p>
    <w:p w14:paraId="3597D84A">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询价邀请</w:t>
      </w:r>
    </w:p>
    <w:p w14:paraId="5F83DC89">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供应商须知</w:t>
      </w:r>
    </w:p>
    <w:p w14:paraId="67FC12A3">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354BB1BC">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w:t>
      </w:r>
      <w:r>
        <w:rPr>
          <w:rFonts w:hint="eastAsia" w:asciiTheme="minorEastAsia" w:hAnsiTheme="minorEastAsia" w:eastAsiaTheme="minorEastAsia"/>
          <w:color w:val="auto"/>
          <w:sz w:val="24"/>
          <w:highlight w:val="none"/>
        </w:rPr>
        <w:t>审方法</w:t>
      </w:r>
      <w:r>
        <w:rPr>
          <w:rFonts w:asciiTheme="minorEastAsia" w:hAnsiTheme="minorEastAsia" w:eastAsiaTheme="minorEastAsia"/>
          <w:color w:val="auto"/>
          <w:sz w:val="24"/>
          <w:highlight w:val="none"/>
        </w:rPr>
        <w:t>和标准</w:t>
      </w:r>
    </w:p>
    <w:p w14:paraId="4532EFDA">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0E5945F4">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响应文件格式</w:t>
      </w:r>
    </w:p>
    <w:p w14:paraId="07BC3A00">
      <w:pPr>
        <w:spacing w:line="460" w:lineRule="exact"/>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09DF5F8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本项目不组织</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考察（标前答疑会）</w:t>
      </w:r>
      <w:r>
        <w:rPr>
          <w:rFonts w:asciiTheme="minorEastAsia" w:hAnsiTheme="minorEastAsia" w:eastAsiaTheme="minorEastAsia"/>
          <w:color w:val="auto"/>
          <w:sz w:val="24"/>
          <w:highlight w:val="none"/>
        </w:rPr>
        <w:t>。</w:t>
      </w:r>
    </w:p>
    <w:p w14:paraId="4A2518B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原则上采购人、</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不要求供应商提供样品。除仅凭书面方式不能准确描述采购需求，或者需要对样品进行主观判断以确认是否满足采购需求等特殊情况除外。</w:t>
      </w:r>
    </w:p>
    <w:p w14:paraId="7D31390A">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如需提供样品，对样品相关要求见</w:t>
      </w:r>
      <w:r>
        <w:rPr>
          <w:rFonts w:hint="eastAsia" w:asciiTheme="minorEastAsia" w:hAnsiTheme="minorEastAsia" w:eastAsiaTheme="minorEastAsia"/>
          <w:color w:val="auto"/>
          <w:sz w:val="24"/>
          <w:highlight w:val="none"/>
        </w:rPr>
        <w:t>采购需求</w:t>
      </w:r>
      <w:r>
        <w:rPr>
          <w:rFonts w:asciiTheme="minorEastAsia" w:hAnsiTheme="minorEastAsia" w:eastAsiaTheme="minorEastAsia"/>
          <w:color w:val="auto"/>
          <w:sz w:val="24"/>
          <w:highlight w:val="none"/>
        </w:rPr>
        <w:t>，对样品的评审方法及评审标准见</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rPr>
        <w:t>四</w:t>
      </w:r>
      <w:r>
        <w:rPr>
          <w:rFonts w:asciiTheme="minorEastAsia" w:hAnsiTheme="minorEastAsia" w:eastAsiaTheme="minorEastAsia"/>
          <w:color w:val="auto"/>
          <w:sz w:val="24"/>
          <w:highlight w:val="none"/>
        </w:rPr>
        <w:t>章。</w:t>
      </w:r>
    </w:p>
    <w:p w14:paraId="54BC5B0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供应商应认真阅读</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所有的事项、格式、条款和技术规范等。</w:t>
      </w:r>
    </w:p>
    <w:p w14:paraId="3F10FC55">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询价采购文件</w:t>
      </w:r>
      <w:r>
        <w:rPr>
          <w:rFonts w:hint="eastAsia" w:asciiTheme="minorEastAsia" w:hAnsiTheme="minorEastAsia" w:eastAsiaTheme="minorEastAsia"/>
          <w:b/>
          <w:color w:val="auto"/>
          <w:sz w:val="24"/>
          <w:highlight w:val="none"/>
        </w:rPr>
        <w:t>的澄清与修改</w:t>
      </w:r>
    </w:p>
    <w:p w14:paraId="4EE7F521">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供应商如对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内容有疑问，</w:t>
      </w:r>
      <w:r>
        <w:rPr>
          <w:rFonts w:hint="eastAsia" w:asciiTheme="minorEastAsia" w:hAnsiTheme="minorEastAsia" w:eastAsiaTheme="minorEastAsia"/>
          <w:color w:val="auto"/>
          <w:sz w:val="24"/>
          <w:highlight w:val="none"/>
        </w:rPr>
        <w:t>可</w:t>
      </w:r>
      <w:r>
        <w:rPr>
          <w:rFonts w:asciiTheme="minorEastAsia" w:hAnsiTheme="minorEastAsia" w:eastAsiaTheme="minorEastAsia"/>
          <w:color w:val="auto"/>
          <w:sz w:val="24"/>
          <w:highlight w:val="none"/>
        </w:rPr>
        <w:t>在</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提交给代理机构。</w:t>
      </w:r>
    </w:p>
    <w:p w14:paraId="5D1C2A6B">
      <w:pPr>
        <w:keepNext w:val="0"/>
        <w:keepLines w:val="0"/>
        <w:pageBreakBefore w:val="0"/>
        <w:widowControl w:val="0"/>
        <w:kinsoku/>
        <w:wordWrap w:val="0"/>
        <w:overflowPunct/>
        <w:topLinePunct w:val="0"/>
        <w:autoSpaceDE/>
        <w:autoSpaceDN/>
        <w:bidi w:val="0"/>
        <w:adjustRightInd/>
        <w:snapToGrid/>
        <w:spacing w:line="46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2采购人可主动地或在答复供应商提出的询问时对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进行澄清与修改。</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b/>
          <w:bCs/>
          <w:color w:val="auto"/>
          <w:sz w:val="24"/>
          <w:highlight w:val="none"/>
          <w:lang w:val="en-US" w:eastAsia="zh-CN"/>
        </w:rPr>
        <w:t>滁州市城投工程咨询管理有限公司（https://www.czctgczx.com/）</w:t>
      </w:r>
      <w:r>
        <w:rPr>
          <w:rFonts w:hint="eastAsia" w:asciiTheme="minorEastAsia" w:hAnsiTheme="minorEastAsia" w:eastAsiaTheme="minorEastAsia"/>
          <w:color w:val="auto"/>
          <w:sz w:val="24"/>
          <w:highlight w:val="none"/>
        </w:rPr>
        <w:t>网以发布更正公告的方式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组成部分，对供应商起约束作用</w:t>
      </w:r>
      <w:r>
        <w:rPr>
          <w:rFonts w:hint="eastAsia" w:asciiTheme="minorEastAsia" w:hAnsiTheme="minorEastAsia" w:eastAsiaTheme="minorEastAsia"/>
          <w:color w:val="auto"/>
          <w:sz w:val="24"/>
          <w:highlight w:val="none"/>
        </w:rPr>
        <w:t>。供应商应主动上网查询。</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不承担供应商未及时关注相关信息引发的相关责任。</w:t>
      </w:r>
    </w:p>
    <w:p w14:paraId="2C86D94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6.3任何人或任何组织向供应商提供的任何书面或口头资料，未经</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在网上发布或书面通知，均作无效处理，不得作为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的组成部分。</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对供应商由此而做出的推论、理解和结论概不负责。</w:t>
      </w:r>
    </w:p>
    <w:p w14:paraId="79FAB4BF">
      <w:pPr>
        <w:spacing w:line="460" w:lineRule="exact"/>
        <w:ind w:firstLine="435"/>
        <w:rPr>
          <w:rFonts w:hint="eastAsia" w:asciiTheme="minorEastAsia" w:hAnsiTheme="minorEastAsia" w:eastAsiaTheme="minorEastAsia"/>
          <w:i/>
          <w:iCs/>
          <w:color w:val="auto"/>
          <w:sz w:val="24"/>
          <w:highlight w:val="none"/>
          <w:lang w:eastAsia="zh-CN"/>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对于没有提出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了</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p>
    <w:p w14:paraId="112CDE9F">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响应范围及响应文件中标准和计量单位的使用</w:t>
      </w:r>
    </w:p>
    <w:p w14:paraId="3E0B9825">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提交</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4C1872CB">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.2供应商应当对所</w:t>
      </w:r>
      <w:r>
        <w:rPr>
          <w:rFonts w:hint="eastAsia" w:asciiTheme="minorEastAsia" w:hAnsiTheme="minorEastAsia" w:eastAsiaTheme="minorEastAsia"/>
          <w:color w:val="auto"/>
          <w:sz w:val="24"/>
          <w:highlight w:val="none"/>
        </w:rPr>
        <w:t>参与的</w:t>
      </w:r>
      <w:r>
        <w:rPr>
          <w:rFonts w:asciiTheme="minorEastAsia" w:hAnsiTheme="minorEastAsia" w:eastAsiaTheme="minorEastAsia"/>
          <w:color w:val="auto"/>
          <w:sz w:val="24"/>
          <w:highlight w:val="none"/>
        </w:rPr>
        <w:t>分包</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所参与包别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所参与包别的响应文件</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25860873">
      <w:pPr>
        <w:spacing w:line="460" w:lineRule="exact"/>
        <w:ind w:firstLine="435"/>
        <w:rPr>
          <w:rFonts w:asciiTheme="minorEastAsia" w:hAnsiTheme="minorEastAsia" w:eastAsiaTheme="minorEastAsia"/>
          <w:color w:val="auto"/>
          <w:sz w:val="24"/>
          <w:highlight w:val="none"/>
        </w:rPr>
      </w:pPr>
      <w:bookmarkStart w:id="26" w:name="_Hlk16458980"/>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.3无论</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中是否要求，</w:t>
      </w:r>
      <w:r>
        <w:rPr>
          <w:rFonts w:hint="eastAsia" w:asciiTheme="minorEastAsia" w:hAnsiTheme="minorEastAsia" w:eastAsiaTheme="minorEastAsia"/>
          <w:color w:val="auto"/>
          <w:sz w:val="24"/>
          <w:highlight w:val="none"/>
        </w:rPr>
        <w:t>供应商所提供的货物及伴随的服务和工程均应符合国家强制性标准。</w:t>
      </w:r>
    </w:p>
    <w:bookmarkEnd w:id="26"/>
    <w:p w14:paraId="23A89A35">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之间与</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有关的所有往来通知、函件和响应文件均用中文表述。供应商随响应文件提供的证明文件和资料可以为其它语言，但必须附中文译文。翻译的中文资料与外文资料出现差异时，以中文为准。</w:t>
      </w:r>
    </w:p>
    <w:p w14:paraId="2CE8AD0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中有特殊要求外，响应文件中所使用的计量单位，应采用中华人民共和国法定计量单位。</w:t>
      </w:r>
    </w:p>
    <w:p w14:paraId="014C24F0">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122D3CA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.1供应商应完整地按</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提供的响应文件格式及要求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写响应文件，</w:t>
      </w:r>
      <w:r>
        <w:rPr>
          <w:rFonts w:hint="eastAsia" w:asciiTheme="minorEastAsia" w:hAnsiTheme="minorEastAsia" w:eastAsiaTheme="minorEastAsia"/>
          <w:color w:val="auto"/>
          <w:sz w:val="24"/>
          <w:highlight w:val="none"/>
        </w:rPr>
        <w:t>具体内容详见本项目响应文件格式的相关内容。</w:t>
      </w:r>
    </w:p>
    <w:p w14:paraId="70E2458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2供应商应提交</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要求的证明文件，证明其响应内容符合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bookmarkStart w:id="27" w:name="_Hlk11703583"/>
      <w:r>
        <w:rPr>
          <w:rFonts w:asciiTheme="minorEastAsia" w:hAnsiTheme="minorEastAsia" w:eastAsiaTheme="minorEastAsia"/>
          <w:color w:val="auto"/>
          <w:sz w:val="24"/>
          <w:highlight w:val="none"/>
        </w:rPr>
        <w:t>。</w:t>
      </w:r>
    </w:p>
    <w:bookmarkEnd w:id="27"/>
    <w:p w14:paraId="799CC38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为保证公平公正，除非另有规定或说明，供应商对同一项目</w:t>
      </w:r>
      <w:r>
        <w:rPr>
          <w:rFonts w:hint="eastAsia" w:asciiTheme="minorEastAsia" w:hAnsiTheme="minorEastAsia" w:eastAsiaTheme="minorEastAsia"/>
          <w:color w:val="auto"/>
          <w:sz w:val="24"/>
          <w:highlight w:val="none"/>
        </w:rPr>
        <w:t>提交响应文件</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备选响应</w:t>
      </w:r>
      <w:r>
        <w:rPr>
          <w:rFonts w:asciiTheme="minorEastAsia" w:hAnsiTheme="minorEastAsia" w:eastAsiaTheme="minorEastAsia"/>
          <w:color w:val="auto"/>
          <w:sz w:val="24"/>
          <w:highlight w:val="none"/>
        </w:rPr>
        <w:t>方案。</w:t>
      </w:r>
    </w:p>
    <w:p w14:paraId="77104C2E">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18B0E5D0">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.1供应商的报价应当包括满足本次</w:t>
      </w:r>
      <w:r>
        <w:rPr>
          <w:rFonts w:hint="eastAsia" w:asciiTheme="minorEastAsia" w:hAnsiTheme="minorEastAsia" w:eastAsiaTheme="minorEastAsia"/>
          <w:color w:val="auto"/>
          <w:sz w:val="24"/>
          <w:highlight w:val="none"/>
        </w:rPr>
        <w:t>询价</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bookmarkStart w:id="28" w:name="_Hlk23199390"/>
      <w:r>
        <w:rPr>
          <w:rFonts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中</w:t>
      </w:r>
      <w:r>
        <w:rPr>
          <w:rFonts w:hint="eastAsia" w:asciiTheme="minorEastAsia" w:hAnsiTheme="minorEastAsia" w:eastAsiaTheme="minorEastAsia"/>
          <w:color w:val="auto"/>
          <w:sz w:val="24"/>
          <w:highlight w:val="none"/>
        </w:rPr>
        <w:t>另有规定</w:t>
      </w:r>
      <w:r>
        <w:rPr>
          <w:rFonts w:asciiTheme="minorEastAsia" w:hAnsiTheme="minorEastAsia" w:eastAsiaTheme="minorEastAsia"/>
          <w:color w:val="auto"/>
          <w:sz w:val="24"/>
          <w:highlight w:val="none"/>
        </w:rPr>
        <w:t>外，</w:t>
      </w:r>
      <w:r>
        <w:rPr>
          <w:rFonts w:hint="eastAsia" w:asciiTheme="minorEastAsia" w:hAnsiTheme="minorEastAsia" w:eastAsiaTheme="minorEastAsia"/>
          <w:color w:val="auto"/>
          <w:sz w:val="24"/>
          <w:highlight w:val="none"/>
        </w:rPr>
        <w:t>供应商的报价均应以人民币报价，应遵守《中华人民共和国价格法》。</w:t>
      </w:r>
      <w:bookmarkEnd w:id="28"/>
    </w:p>
    <w:p w14:paraId="6006ED0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9.2 </w:t>
      </w:r>
      <w:r>
        <w:rPr>
          <w:rFonts w:asciiTheme="minorEastAsia" w:hAnsiTheme="minorEastAsia" w:eastAsiaTheme="minorEastAsia"/>
          <w:color w:val="auto"/>
          <w:sz w:val="24"/>
          <w:highlight w:val="none"/>
        </w:rPr>
        <w:t>供应商应在报价表上标明</w:t>
      </w:r>
      <w:r>
        <w:rPr>
          <w:rFonts w:hint="eastAsia" w:asciiTheme="minorEastAsia" w:hAnsiTheme="minorEastAsia" w:eastAsiaTheme="minorEastAsia"/>
          <w:color w:val="auto"/>
          <w:sz w:val="24"/>
          <w:highlight w:val="none"/>
        </w:rPr>
        <w:t>提供的</w:t>
      </w:r>
      <w:r>
        <w:rPr>
          <w:rFonts w:asciiTheme="minorEastAsia" w:hAnsiTheme="minorEastAsia" w:eastAsiaTheme="minorEastAsia"/>
          <w:color w:val="auto"/>
          <w:sz w:val="24"/>
          <w:highlight w:val="none"/>
        </w:rPr>
        <w:t>货物及相关服务的单价（如适用）和总价。</w:t>
      </w:r>
      <w:r>
        <w:rPr>
          <w:rFonts w:hint="eastAsia" w:asciiTheme="minorEastAsia" w:hAnsiTheme="minorEastAsia" w:eastAsiaTheme="minorEastAsia"/>
          <w:color w:val="auto"/>
          <w:sz w:val="24"/>
          <w:highlight w:val="none"/>
        </w:rPr>
        <w:t>未标明的视同包含在报价中。</w:t>
      </w:r>
    </w:p>
    <w:p w14:paraId="2328124D">
      <w:pPr>
        <w:spacing w:line="460" w:lineRule="exact"/>
        <w:ind w:firstLine="435"/>
        <w:rPr>
          <w:rFonts w:asciiTheme="minorEastAsia" w:hAnsiTheme="minorEastAsia" w:eastAsiaTheme="minorEastAsia"/>
          <w:color w:val="auto"/>
          <w:sz w:val="24"/>
          <w:highlight w:val="none"/>
        </w:rPr>
      </w:pPr>
      <w:bookmarkStart w:id="29" w:name="_Hlk23199512"/>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bookmarkEnd w:id="29"/>
    <w:p w14:paraId="56768E1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采购人不接受具有附加条件的报价。</w:t>
      </w:r>
    </w:p>
    <w:p w14:paraId="4B3E05FE">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询价有效期</w:t>
      </w:r>
    </w:p>
    <w:p w14:paraId="606387C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10.1询价有效期为从响应文件提交截止之日算起的日历天数，询价有效期详见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2B41886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10.2在询价有效期内，供应商的响应文件保持有效，供应商不得要求撤销或修改其响应文件。询价有效期不满足要求的</w:t>
      </w:r>
      <w:r>
        <w:rPr>
          <w:rFonts w:hint="eastAsia" w:asciiTheme="minorEastAsia" w:hAnsiTheme="minorEastAsia" w:eastAsiaTheme="minorEastAsia"/>
          <w:b/>
          <w:bCs/>
          <w:color w:val="auto"/>
          <w:sz w:val="24"/>
          <w:highlight w:val="none"/>
        </w:rPr>
        <w:t>响应</w:t>
      </w:r>
      <w:r>
        <w:rPr>
          <w:rFonts w:hint="eastAsia" w:asciiTheme="minorEastAsia" w:hAnsiTheme="minorEastAsia" w:eastAsiaTheme="minorEastAsia"/>
          <w:b/>
          <w:color w:val="auto"/>
          <w:sz w:val="24"/>
          <w:highlight w:val="none"/>
        </w:rPr>
        <w:t>无效</w:t>
      </w:r>
      <w:r>
        <w:rPr>
          <w:rFonts w:hint="eastAsia" w:asciiTheme="minorEastAsia" w:hAnsiTheme="minorEastAsia" w:eastAsiaTheme="minorEastAsia"/>
          <w:color w:val="auto"/>
          <w:sz w:val="24"/>
          <w:highlight w:val="none"/>
        </w:rPr>
        <w:t>。</w:t>
      </w:r>
    </w:p>
    <w:p w14:paraId="131DA5F4">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14:paraId="3C9ED915">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6B6B8605">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1.1供应商应当在询价公告规定的响应文件提交截止时间前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5314D6D6">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1.2供应商应在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规定的解密时间前对其响应文件进行解密，</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4BC3950A">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当在提交截止时间前完成响应文件的传输提交（以接收到电子签收凭证为准），并可以补充、修改或者撤回响应文件。提交截止时间前未完成响应文件传输的，视为撤回响应文件。未按规定加密或提交截止时间后送达的响应文件，电子交易系统应当拒收</w:t>
      </w:r>
      <w:r>
        <w:rPr>
          <w:rFonts w:asciiTheme="minorEastAsia" w:hAnsiTheme="minorEastAsia" w:eastAsiaTheme="minorEastAsia"/>
          <w:color w:val="auto"/>
          <w:sz w:val="24"/>
          <w:highlight w:val="none"/>
        </w:rPr>
        <w:t>。</w:t>
      </w:r>
    </w:p>
    <w:p w14:paraId="3ED36D69">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询价小组</w:t>
      </w:r>
    </w:p>
    <w:p w14:paraId="05C4C36E">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按照《中华人民共和国政府采购法》、《中华人民共和国政府采购法实施条例》及本项目本级和上级财政部门、政府采购监督管理部门的有关规定依法组建的询价小组，负责本项目评审工作。</w:t>
      </w:r>
    </w:p>
    <w:p w14:paraId="3C89FB97">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响应文件的评审</w:t>
      </w:r>
    </w:p>
    <w:p w14:paraId="142943C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响应文件的评审</w:t>
      </w:r>
      <w:r>
        <w:rPr>
          <w:rFonts w:asciiTheme="minorEastAsia" w:hAnsiTheme="minorEastAsia" w:eastAsiaTheme="minorEastAsia"/>
          <w:color w:val="auto"/>
          <w:sz w:val="24"/>
          <w:highlight w:val="none"/>
        </w:rPr>
        <w:t>是指依据</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的规定，从响应文件的有效性和完整性对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的响应程度进行审查，以确定是否对</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的实质性要求做出响应。</w:t>
      </w:r>
    </w:p>
    <w:p w14:paraId="5FAA3AD9">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授权代表</w:t>
      </w:r>
      <w:r>
        <w:rPr>
          <w:rFonts w:asciiTheme="minorEastAsia" w:hAnsiTheme="minorEastAsia" w:eastAsiaTheme="minorEastAsia"/>
          <w:color w:val="auto"/>
          <w:sz w:val="24"/>
          <w:highlight w:val="none"/>
        </w:rPr>
        <w:t>认为采购人员及其相关人员有法律法规所列与其他供应商有利害关系的，可以向采购人或</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书面提出回避申请，并说明理由。</w:t>
      </w:r>
    </w:p>
    <w:p w14:paraId="7E0716F8">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终止询价</w:t>
      </w:r>
    </w:p>
    <w:p w14:paraId="5955F4D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出现下列情形之一的，</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应当</w:t>
      </w:r>
      <w:bookmarkStart w:id="30" w:name="_Hlk22478676"/>
      <w:r>
        <w:rPr>
          <w:rFonts w:asciiTheme="minorEastAsia" w:hAnsiTheme="minorEastAsia" w:eastAsiaTheme="minorEastAsia"/>
          <w:color w:val="auto"/>
          <w:sz w:val="24"/>
          <w:highlight w:val="none"/>
        </w:rPr>
        <w:t>终止询价</w:t>
      </w:r>
      <w:bookmarkEnd w:id="30"/>
      <w:r>
        <w:rPr>
          <w:rFonts w:asciiTheme="minorEastAsia" w:hAnsiTheme="minorEastAsia" w:eastAsiaTheme="minorEastAsia"/>
          <w:color w:val="auto"/>
          <w:sz w:val="24"/>
          <w:highlight w:val="none"/>
        </w:rPr>
        <w:t>采购活动，发</w:t>
      </w:r>
      <w:r>
        <w:rPr>
          <w:rFonts w:hint="eastAsia" w:asciiTheme="minorEastAsia" w:hAnsiTheme="minorEastAsia" w:eastAsiaTheme="minorEastAsia"/>
          <w:color w:val="auto"/>
          <w:sz w:val="24"/>
          <w:highlight w:val="none"/>
        </w:rPr>
        <w:t>布项目终止公告并说明原因，</w:t>
      </w:r>
      <w:r>
        <w:rPr>
          <w:rFonts w:asciiTheme="minorEastAsia" w:hAnsiTheme="minorEastAsia" w:eastAsiaTheme="minorEastAsia"/>
          <w:color w:val="auto"/>
          <w:sz w:val="24"/>
          <w:highlight w:val="none"/>
        </w:rPr>
        <w:t>重新开展采购活动：</w:t>
      </w:r>
    </w:p>
    <w:p w14:paraId="66FE2320">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因情况变化，不再符合规定的询价采购方式适用情形的；</w:t>
      </w:r>
    </w:p>
    <w:p w14:paraId="16D11A4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出现影响采购公正的违法、违规行为的；</w:t>
      </w:r>
    </w:p>
    <w:p w14:paraId="753C0404">
      <w:pPr>
        <w:spacing w:line="460" w:lineRule="exact"/>
        <w:ind w:firstLine="435"/>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rPr>
        <w:t>（3</w:t>
      </w:r>
      <w:r>
        <w:rPr>
          <w:rFonts w:asciiTheme="minorEastAsia" w:hAnsiTheme="minorEastAsia" w:eastAsiaTheme="minorEastAsia"/>
          <w:b/>
          <w:bCs/>
          <w:color w:val="auto"/>
          <w:sz w:val="24"/>
          <w:highlight w:val="none"/>
        </w:rPr>
        <w:t>）在采购过程中符合竞争要求的供应商或者报价未超过采购预算的供应商不足3</w:t>
      </w:r>
      <w:r>
        <w:rPr>
          <w:rFonts w:hint="eastAsia" w:asciiTheme="minorEastAsia" w:hAnsiTheme="minorEastAsia" w:eastAsiaTheme="minorEastAsia"/>
          <w:b/>
          <w:bCs/>
          <w:color w:val="auto"/>
          <w:sz w:val="24"/>
          <w:highlight w:val="none"/>
        </w:rPr>
        <w:t>家的。</w:t>
      </w:r>
      <w:r>
        <w:rPr>
          <w:rFonts w:hint="eastAsia" w:asciiTheme="minorEastAsia" w:hAnsiTheme="minorEastAsia" w:eastAsiaTheme="minorEastAsia"/>
          <w:b/>
          <w:bCs/>
          <w:color w:val="auto"/>
          <w:sz w:val="24"/>
          <w:highlight w:val="none"/>
          <w:lang w:val="en-US" w:eastAsia="zh-CN"/>
        </w:rPr>
        <w:t>第一次采购失败原则上进行第二次公开询价。</w:t>
      </w:r>
    </w:p>
    <w:p w14:paraId="37A34592">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7F654DA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72C0D2B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15.2询价小组要求供应商澄清、说明或者更正响应文件应当以书面形式（询标）作出。供应商的澄清、说明或者更正应当由法定代表人或其授权代表签字或者加盖公章（电子签章）。</w:t>
      </w:r>
    </w:p>
    <w:p w14:paraId="683C9B08">
      <w:pPr>
        <w:spacing w:line="460" w:lineRule="exact"/>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如有询标，授权代表（或法定代表人）可通过远程登录的方式接受网上询标，也可凭本人有效身份证明参加询标。因授权代表联系不上、没有及时登录系统等情形而无法接受询价小组询标的，供应商自行承担相关风险。</w:t>
      </w:r>
      <w:r>
        <w:rPr>
          <w:rFonts w:hint="eastAsia" w:asciiTheme="minorEastAsia" w:hAnsiTheme="minorEastAsia" w:eastAsiaTheme="minorEastAsia"/>
          <w:b/>
          <w:color w:val="auto"/>
          <w:sz w:val="24"/>
          <w:highlight w:val="none"/>
          <w:lang w:val="en-US" w:eastAsia="zh-CN"/>
        </w:rPr>
        <w:t>本项目采用远程开标，具体操作方法详见服务指南&gt;交易须知&gt;开标大厅远程解密、质疑(异议)及回复以及评标过程中询标流程操作手册</w:t>
      </w:r>
      <w:r>
        <w:rPr>
          <w:rFonts w:hint="eastAsia" w:asciiTheme="minorEastAsia" w:hAnsiTheme="minorEastAsia" w:eastAsiaTheme="minorEastAsia"/>
          <w:b/>
          <w:color w:val="auto"/>
          <w:sz w:val="24"/>
          <w:highlight w:val="none"/>
        </w:rPr>
        <w:t>。</w:t>
      </w:r>
    </w:p>
    <w:p w14:paraId="5967CEF6">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成交候选人的推荐原则及标准</w:t>
      </w:r>
    </w:p>
    <w:p w14:paraId="27E6B22E">
      <w:pPr>
        <w:spacing w:line="460" w:lineRule="exact"/>
        <w:ind w:firstLine="435"/>
        <w:rPr>
          <w:rFonts w:asciiTheme="minorEastAsia" w:hAnsiTheme="minorEastAsia" w:eastAsiaTheme="minorEastAsia"/>
          <w:color w:val="auto"/>
          <w:sz w:val="24"/>
          <w:highlight w:val="none"/>
        </w:rPr>
      </w:pPr>
      <w:bookmarkStart w:id="31" w:name="_Hlk60605471"/>
      <w:r>
        <w:rPr>
          <w:rFonts w:hint="eastAsia" w:ascii="宋体" w:hAnsi="宋体" w:eastAsia="宋体"/>
          <w:color w:val="auto"/>
          <w:sz w:val="24"/>
          <w:highlight w:val="none"/>
        </w:rPr>
        <w:t>16.1</w:t>
      </w:r>
      <w:r>
        <w:rPr>
          <w:rFonts w:asciiTheme="minorEastAsia" w:hAnsiTheme="minorEastAsia" w:eastAsiaTheme="minorEastAsia"/>
          <w:color w:val="auto"/>
          <w:sz w:val="24"/>
          <w:highlight w:val="none"/>
        </w:rPr>
        <w:t>通过</w:t>
      </w:r>
      <w:r>
        <w:rPr>
          <w:rFonts w:hint="eastAsia" w:asciiTheme="minorEastAsia" w:hAnsiTheme="minorEastAsia" w:eastAsiaTheme="minorEastAsia"/>
          <w:color w:val="auto"/>
          <w:sz w:val="24"/>
          <w:highlight w:val="none"/>
        </w:rPr>
        <w:t>评</w:t>
      </w:r>
      <w:r>
        <w:rPr>
          <w:rFonts w:asciiTheme="minorEastAsia" w:hAnsiTheme="minorEastAsia" w:eastAsiaTheme="minorEastAsia"/>
          <w:color w:val="auto"/>
          <w:sz w:val="24"/>
          <w:highlight w:val="none"/>
        </w:rPr>
        <w:t>审且报价最低的供应商获得成交候选人推荐资格；报价相同的，则由询价小组采取随机抽取方式确定。</w:t>
      </w:r>
      <w:bookmarkEnd w:id="31"/>
    </w:p>
    <w:p w14:paraId="34A9B3EA">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确定成交候选人和成交供应商</w:t>
      </w:r>
    </w:p>
    <w:p w14:paraId="4F72C74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询价小组应当从质量和服务均能满足询价</w:t>
      </w:r>
      <w:r>
        <w:rPr>
          <w:rFonts w:hint="eastAsia" w:asciiTheme="minorEastAsia" w:hAnsiTheme="minorEastAsia" w:eastAsiaTheme="minorEastAsia"/>
          <w:color w:val="auto"/>
          <w:sz w:val="24"/>
          <w:highlight w:val="none"/>
          <w:lang w:val="en-US" w:eastAsia="zh-CN"/>
        </w:rPr>
        <w:t>采购文件</w:t>
      </w:r>
      <w:r>
        <w:rPr>
          <w:rFonts w:hint="eastAsia" w:asciiTheme="minorEastAsia" w:hAnsiTheme="minorEastAsia" w:eastAsiaTheme="minorEastAsia"/>
          <w:color w:val="auto"/>
          <w:sz w:val="24"/>
          <w:highlight w:val="none"/>
        </w:rPr>
        <w:t>实质性响应要求的供应商中，按照报价由低到高的顺序提出</w:t>
      </w:r>
      <w:r>
        <w:rPr>
          <w:rFonts w:asciiTheme="minorEastAsia" w:hAnsiTheme="minorEastAsia" w:eastAsiaTheme="minorEastAsia"/>
          <w:color w:val="auto"/>
          <w:sz w:val="24"/>
          <w:highlight w:val="none"/>
        </w:rPr>
        <w:t>3名成交候选人</w:t>
      </w:r>
      <w:r>
        <w:rPr>
          <w:rFonts w:hint="eastAsia" w:asciiTheme="minorEastAsia" w:hAnsiTheme="minorEastAsia" w:eastAsiaTheme="minorEastAsia"/>
          <w:color w:val="auto"/>
          <w:sz w:val="24"/>
          <w:highlight w:val="none"/>
        </w:rPr>
        <w:t>。</w:t>
      </w:r>
    </w:p>
    <w:p w14:paraId="336DEF7F">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17.2按</w:t>
      </w:r>
      <w:r>
        <w:rPr>
          <w:rFonts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中规定，经采购人或采购人授权的询价小组确定成交供应商。</w:t>
      </w:r>
    </w:p>
    <w:p w14:paraId="46A7ED94">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因重大变故采购任务取消时，采购人有权拒绝任何供应商成交，且对受影响的供应商不承担任何责任。</w:t>
      </w:r>
    </w:p>
    <w:p w14:paraId="5A135C02">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编写评审报告</w:t>
      </w:r>
    </w:p>
    <w:p w14:paraId="38A0FB0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14:paraId="6FC31ED4">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.保密要求</w:t>
      </w:r>
    </w:p>
    <w:p w14:paraId="5A83ACD8">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.1评审应在严格保密的情况下进行。</w:t>
      </w:r>
    </w:p>
    <w:p w14:paraId="4C7F63B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19</w:t>
      </w:r>
      <w:r>
        <w:rPr>
          <w:rFonts w:asciiTheme="minorEastAsia" w:hAnsiTheme="minorEastAsia" w:eastAsiaTheme="minorEastAsia"/>
          <w:color w:val="auto"/>
          <w:sz w:val="24"/>
          <w:highlight w:val="none"/>
        </w:rPr>
        <w:t>.2有关人员应当遵守评审工作纪律，不得泄露评审文件、评审情况和评审中获悉的国家秘密、商业秘密。</w:t>
      </w:r>
    </w:p>
    <w:p w14:paraId="51B77D3D">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成交结果公告</w:t>
      </w:r>
    </w:p>
    <w:p w14:paraId="6080B13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规定由询价小组直接确定</w:t>
      </w:r>
      <w:r>
        <w:rPr>
          <w:rFonts w:hint="eastAsia" w:asciiTheme="minorEastAsia" w:hAnsiTheme="minorEastAsia" w:eastAsiaTheme="minorEastAsia"/>
          <w:color w:val="auto"/>
          <w:sz w:val="24"/>
          <w:highlight w:val="none"/>
        </w:rPr>
        <w:t>成交供应商外，</w:t>
      </w:r>
      <w:r>
        <w:rPr>
          <w:rFonts w:asciiTheme="minorEastAsia" w:hAnsiTheme="minorEastAsia" w:eastAsiaTheme="minorEastAsia"/>
          <w:color w:val="auto"/>
          <w:sz w:val="24"/>
          <w:highlight w:val="none"/>
        </w:rPr>
        <w:t>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结束后2个工作日内</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将评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报告送采购人。采购人应当自收到评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报告之日起５个工作日内，在评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报告确定的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候选人名单中按顺序确定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候选人并列的，由采购人或者采购人委托询价小组按照</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规定的方式确定</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询价采购文件</w:t>
      </w:r>
      <w:r>
        <w:rPr>
          <w:rFonts w:asciiTheme="minorEastAsia" w:hAnsiTheme="minorEastAsia" w:eastAsiaTheme="minorEastAsia"/>
          <w:color w:val="auto"/>
          <w:sz w:val="24"/>
          <w:highlight w:val="none"/>
        </w:rPr>
        <w:t>未规定的，采取随机抽取的方式确定。</w:t>
      </w:r>
    </w:p>
    <w:p w14:paraId="43E7596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r>
        <w:rPr>
          <w:rFonts w:asciiTheme="minorEastAsia" w:hAnsiTheme="minorEastAsia" w:eastAsiaTheme="minorEastAsia"/>
          <w:color w:val="auto"/>
          <w:sz w:val="24"/>
          <w:highlight w:val="none"/>
        </w:rPr>
        <w:t>.2自</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确定之日起2个工作日内，代理机构</w:t>
      </w:r>
      <w:r>
        <w:rPr>
          <w:rFonts w:hint="eastAsia" w:asciiTheme="minorEastAsia" w:hAnsiTheme="minorEastAsia" w:eastAsiaTheme="minorEastAsia"/>
          <w:color w:val="auto"/>
          <w:sz w:val="24"/>
          <w:highlight w:val="none"/>
        </w:rPr>
        <w:t>将</w:t>
      </w:r>
      <w:r>
        <w:rPr>
          <w:rFonts w:hint="eastAsia" w:ascii="宋体" w:hAnsi="宋体" w:eastAsia="宋体"/>
          <w:color w:val="auto"/>
          <w:sz w:val="24"/>
          <w:szCs w:val="18"/>
          <w:highlight w:val="none"/>
        </w:rPr>
        <w:t>在</w:t>
      </w:r>
      <w:r>
        <w:rPr>
          <w:rFonts w:hint="eastAsia" w:asciiTheme="minorEastAsia" w:hAnsiTheme="minorEastAsia" w:eastAsiaTheme="minorEastAsia"/>
          <w:b/>
          <w:bCs/>
          <w:color w:val="auto"/>
          <w:sz w:val="24"/>
          <w:highlight w:val="none"/>
          <w:lang w:val="en-US" w:eastAsia="zh-CN"/>
        </w:rPr>
        <w:t>滁州市城投工程咨询管理有限公司（https://www.czctgczx.com/）</w:t>
      </w:r>
      <w:r>
        <w:rPr>
          <w:rFonts w:hint="eastAsia" w:ascii="宋体" w:hAnsi="宋体" w:eastAsia="宋体"/>
          <w:color w:val="auto"/>
          <w:sz w:val="24"/>
          <w:szCs w:val="18"/>
          <w:highlight w:val="none"/>
        </w:rPr>
        <w:t>网上</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p>
    <w:p w14:paraId="7CFC4BE2">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成交通知书</w:t>
      </w:r>
    </w:p>
    <w:p w14:paraId="5245A143">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代理机构</w:t>
      </w:r>
      <w:r>
        <w:rPr>
          <w:rFonts w:asciiTheme="minorEastAsia" w:hAnsiTheme="minorEastAsia" w:eastAsiaTheme="minorEastAsia"/>
          <w:color w:val="auto"/>
          <w:sz w:val="24"/>
          <w:highlight w:val="none"/>
        </w:rPr>
        <w:t>发布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发出</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w:t>
      </w:r>
      <w:r>
        <w:rPr>
          <w:rFonts w:hint="eastAsia" w:asciiTheme="minorEastAsia" w:hAnsiTheme="minorEastAsia" w:eastAsiaTheme="minorEastAsia"/>
          <w:color w:val="auto"/>
          <w:sz w:val="24"/>
          <w:highlight w:val="none"/>
        </w:rPr>
        <w:t>中标通知书须加盖采购人、</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公章后，方可发出。</w:t>
      </w:r>
    </w:p>
    <w:p w14:paraId="10EED7AA">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通知书对采购人和</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具有同等法律效力。</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通知书发出以后，采购人改变</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结果或者</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放弃</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，应当承担相应的法律责任。</w:t>
      </w:r>
    </w:p>
    <w:p w14:paraId="0C532B93">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通知书是合同的组成部分。</w:t>
      </w:r>
    </w:p>
    <w:p w14:paraId="2576A3D7">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.告知</w:t>
      </w:r>
      <w:r>
        <w:rPr>
          <w:rFonts w:hint="eastAsia" w:asciiTheme="minorEastAsia" w:hAnsiTheme="minorEastAsia" w:eastAsiaTheme="minorEastAsia"/>
          <w:b/>
          <w:color w:val="auto"/>
          <w:sz w:val="24"/>
          <w:highlight w:val="none"/>
        </w:rPr>
        <w:t>询价</w:t>
      </w:r>
      <w:r>
        <w:rPr>
          <w:rFonts w:asciiTheme="minorEastAsia" w:hAnsiTheme="minorEastAsia" w:eastAsiaTheme="minorEastAsia"/>
          <w:b/>
          <w:color w:val="auto"/>
          <w:sz w:val="24"/>
          <w:highlight w:val="none"/>
        </w:rPr>
        <w:t>结果</w:t>
      </w:r>
    </w:p>
    <w:p w14:paraId="3079BC73">
      <w:pPr>
        <w:spacing w:line="460" w:lineRule="exact"/>
        <w:ind w:firstLine="4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22.1在公告成交结果的同时，</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同时以</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规定的形式告知未成交供应商本人的排序。</w:t>
      </w:r>
    </w:p>
    <w:p w14:paraId="13F4E36C">
      <w:pPr>
        <w:spacing w:line="460" w:lineRule="exact"/>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22.2代理机构对未成交的供应商不做未成交原因的解释</w:t>
      </w:r>
      <w:r>
        <w:rPr>
          <w:rFonts w:asciiTheme="minorEastAsia" w:hAnsiTheme="minorEastAsia" w:eastAsiaTheme="minorEastAsia"/>
          <w:color w:val="auto"/>
          <w:sz w:val="24"/>
          <w:highlight w:val="none"/>
        </w:rPr>
        <w:t>。</w:t>
      </w:r>
    </w:p>
    <w:p w14:paraId="0AEA43C8">
      <w:pPr>
        <w:spacing w:line="460" w:lineRule="exact"/>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p>
    <w:p w14:paraId="51635655">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3.1成交供应商应按照</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规定缴纳履约保证金。</w:t>
      </w:r>
    </w:p>
    <w:p w14:paraId="2DD297CF">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如果成交供应商没有按照上述履约保证金的规定执行，将视为放弃成交资格。在此情况下，采购人可</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，也可以重新开展采购活动。</w:t>
      </w:r>
    </w:p>
    <w:p w14:paraId="13B2C677">
      <w:pPr>
        <w:spacing w:line="460" w:lineRule="exact"/>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代理费用</w:t>
      </w:r>
    </w:p>
    <w:p w14:paraId="6FCE695F">
      <w:pPr>
        <w:spacing w:line="460" w:lineRule="exact"/>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本项目代理费用的收取按</w:t>
      </w:r>
      <w:r>
        <w:rPr>
          <w:rFonts w:hint="eastAsia" w:asciiTheme="minorEastAsia" w:hAnsiTheme="minorEastAsia" w:eastAsiaTheme="minorEastAsia"/>
          <w:color w:val="auto"/>
          <w:sz w:val="24"/>
          <w:highlight w:val="none"/>
          <w:u w:val="single"/>
        </w:rPr>
        <w:t>供应商须知前附表的</w:t>
      </w:r>
      <w:r>
        <w:rPr>
          <w:rFonts w:hint="eastAsia" w:asciiTheme="minorEastAsia" w:hAnsiTheme="minorEastAsia" w:eastAsiaTheme="minorEastAsia"/>
          <w:color w:val="auto"/>
          <w:sz w:val="24"/>
          <w:highlight w:val="none"/>
        </w:rPr>
        <w:t>规定执行。</w:t>
      </w:r>
    </w:p>
    <w:p w14:paraId="38CBC63C">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35C71E9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规定的时间内完成政府采购合同签订及合同公告。</w:t>
      </w:r>
    </w:p>
    <w:p w14:paraId="5FC446A9">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、成交供应商的响应文件及其澄清文件等，均为签订合同的依据。</w:t>
      </w:r>
    </w:p>
    <w:p w14:paraId="2138B78E">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25.3成交供应商</w:t>
      </w:r>
      <w:r>
        <w:rPr>
          <w:rFonts w:asciiTheme="minorEastAsia" w:hAnsiTheme="minorEastAsia" w:eastAsiaTheme="minorEastAsia"/>
          <w:color w:val="auto"/>
          <w:sz w:val="24"/>
          <w:highlight w:val="none"/>
        </w:rPr>
        <w:t>拒绝与采购人签订合同的，采购人可以按照评审报告推荐的</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候选人</w:t>
      </w:r>
      <w:r>
        <w:rPr>
          <w:rFonts w:hint="eastAsia" w:asciiTheme="minorEastAsia" w:hAnsiTheme="minorEastAsia" w:eastAsiaTheme="minorEastAsia"/>
          <w:color w:val="auto"/>
          <w:sz w:val="24"/>
          <w:highlight w:val="none"/>
        </w:rPr>
        <w:t>名单</w:t>
      </w:r>
      <w:r>
        <w:rPr>
          <w:rFonts w:asciiTheme="minorEastAsia" w:hAnsiTheme="minorEastAsia" w:eastAsiaTheme="minorEastAsia"/>
          <w:color w:val="auto"/>
          <w:sz w:val="24"/>
          <w:highlight w:val="none"/>
        </w:rPr>
        <w:t>排序</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确定下一</w:t>
      </w:r>
      <w:r>
        <w:rPr>
          <w:rFonts w:hint="eastAsia" w:asciiTheme="minorEastAsia" w:hAnsiTheme="minorEastAsia" w:eastAsiaTheme="minorEastAsia"/>
          <w:color w:val="auto"/>
          <w:sz w:val="24"/>
          <w:highlight w:val="none"/>
        </w:rPr>
        <w:t>成交候选</w:t>
      </w:r>
      <w:r>
        <w:rPr>
          <w:rFonts w:asciiTheme="minorEastAsia" w:hAnsiTheme="minorEastAsia" w:eastAsiaTheme="minorEastAsia"/>
          <w:color w:val="auto"/>
          <w:sz w:val="24"/>
          <w:highlight w:val="none"/>
        </w:rPr>
        <w:t>人为</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，也可以重新开展政府采购活动。</w:t>
      </w:r>
    </w:p>
    <w:p w14:paraId="3E6805C2">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25.4当出现法规规定的成交无效或成交结果无效情形时，采购人可依法与排名下一位的成交候选人另行签订合同，或依法重新开展采购活动。</w:t>
      </w:r>
    </w:p>
    <w:p w14:paraId="70ECC754">
      <w:pPr>
        <w:spacing w:line="460" w:lineRule="exact"/>
        <w:ind w:firstLine="437"/>
        <w:outlineLvl w:val="2"/>
        <w:rPr>
          <w:rFonts w:asciiTheme="minorEastAsia" w:hAnsiTheme="minorEastAsia" w:eastAsiaTheme="minorEastAsia"/>
          <w:b/>
          <w:color w:val="auto"/>
          <w:sz w:val="24"/>
          <w:highlight w:val="none"/>
        </w:rPr>
      </w:pPr>
      <w:bookmarkStart w:id="32" w:name="_Toc518923100"/>
      <w:bookmarkStart w:id="33" w:name="_Toc2583661"/>
      <w:r>
        <w:rPr>
          <w:rFonts w:hint="eastAsia" w:asciiTheme="minorEastAsia" w:hAnsiTheme="minorEastAsia" w:eastAsiaTheme="minorEastAsia"/>
          <w:b/>
          <w:color w:val="auto"/>
          <w:sz w:val="24"/>
          <w:highlight w:val="none"/>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32"/>
      <w:bookmarkEnd w:id="33"/>
    </w:p>
    <w:p w14:paraId="5B7BFED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26.1代理机构</w:t>
      </w:r>
      <w:r>
        <w:rPr>
          <w:rFonts w:asciiTheme="minorEastAsia" w:hAnsiTheme="minorEastAsia" w:eastAsiaTheme="minorEastAsia"/>
          <w:color w:val="auto"/>
          <w:sz w:val="24"/>
          <w:highlight w:val="none"/>
        </w:rPr>
        <w:t>工作人员</w:t>
      </w:r>
      <w:r>
        <w:rPr>
          <w:rFonts w:hint="eastAsia" w:asciiTheme="minorEastAsia" w:hAnsiTheme="minorEastAsia" w:eastAsiaTheme="minorEastAsia"/>
          <w:color w:val="auto"/>
          <w:sz w:val="24"/>
          <w:highlight w:val="none"/>
        </w:rPr>
        <w:t>不得以不正当手段获取政府采购代理业务，不得与采购人、供应商恶意串通。</w:t>
      </w:r>
    </w:p>
    <w:p w14:paraId="3D163D1C">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代理机构工作人员不得接受采购人或者供应商组织的宴请、旅游、娱乐，不得收受礼品、现金、有价证券等，不得向采购人或者供应商报销应当由个人承担的费用。</w:t>
      </w:r>
    </w:p>
    <w:p w14:paraId="47C41AA5">
      <w:pPr>
        <w:spacing w:line="460" w:lineRule="exact"/>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0EE79A3D">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27.1供应商认为</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、采购过程和成交结果使自己的权益受到损害的，可以在知道或者应知其权益受到损害之日起七个工作日内，以书面形式向采购人或其委托的</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提出质疑。</w:t>
      </w:r>
    </w:p>
    <w:p w14:paraId="7BDC5667">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27.2质疑供应商应按照财政部制定的《政府采购质疑函范本》格式（详见</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）和《政府采购质疑和投诉办法》的要求，在法定质疑期内以书面形式提出质疑，超出法定质疑期提交的质疑将被拒绝。针对同一采购程序环节的质疑应一次性提出。</w:t>
      </w:r>
    </w:p>
    <w:p w14:paraId="058D1C16">
      <w:pPr>
        <w:spacing w:line="46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27.3</w:t>
      </w:r>
      <w:r>
        <w:rPr>
          <w:rFonts w:hint="eastAsia" w:asciiTheme="minorEastAsia" w:hAnsiTheme="minorEastAsia" w:eastAsiaTheme="minorEastAsia"/>
          <w:color w:val="auto"/>
          <w:sz w:val="24"/>
          <w:highlight w:val="none"/>
          <w:lang w:eastAsia="zh-CN"/>
        </w:rPr>
        <w:t>代理机构</w:t>
      </w:r>
      <w:r>
        <w:rPr>
          <w:rFonts w:hint="eastAsia" w:asciiTheme="minorEastAsia" w:hAnsiTheme="minorEastAsia" w:eastAsiaTheme="minorEastAsia"/>
          <w:color w:val="auto"/>
          <w:sz w:val="24"/>
          <w:highlight w:val="none"/>
        </w:rPr>
        <w:t>质疑函接收部门、联系电话和通讯地址，见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241A52F3">
      <w:pPr>
        <w:spacing w:line="460" w:lineRule="exact"/>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注：上述条款中所要求的书面形式包含通过电子交易系统递交方式。</w:t>
      </w:r>
    </w:p>
    <w:p w14:paraId="7B3C6E30">
      <w:pPr>
        <w:spacing w:line="460" w:lineRule="exact"/>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.需要补充的其他内容</w:t>
      </w:r>
    </w:p>
    <w:p w14:paraId="08E715EC">
      <w:pPr>
        <w:spacing w:line="460" w:lineRule="exact"/>
        <w:ind w:firstLine="435"/>
        <w:rPr>
          <w:rFonts w:hint="eastAsia" w:asciiTheme="minorEastAsia" w:hAnsiTheme="minorEastAsia" w:eastAsiaTheme="minorEastAsia"/>
          <w:color w:val="auto"/>
          <w:sz w:val="24"/>
          <w:highlight w:val="none"/>
        </w:rPr>
        <w:sectPr>
          <w:headerReference r:id="rId5" w:type="default"/>
          <w:footerReference r:id="rId6" w:type="default"/>
          <w:pgSz w:w="11905" w:h="16838"/>
          <w:pgMar w:top="1417" w:right="1417" w:bottom="1417" w:left="1417" w:header="851" w:footer="992" w:gutter="0"/>
          <w:pgNumType w:fmt="decimal" w:start="1"/>
          <w:cols w:space="0" w:num="1"/>
          <w:rtlGutter w:val="0"/>
          <w:docGrid w:type="lines" w:linePitch="313" w:charSpace="0"/>
        </w:sect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w:t>
      </w:r>
    </w:p>
    <w:p w14:paraId="102392E1">
      <w:pPr>
        <w:spacing w:line="380" w:lineRule="exact"/>
        <w:jc w:val="center"/>
        <w:outlineLvl w:val="0"/>
        <w:rPr>
          <w:rFonts w:asciiTheme="minorEastAsia" w:hAnsiTheme="minorEastAsia" w:eastAsiaTheme="minorEastAsia"/>
          <w:b/>
          <w:color w:val="auto"/>
          <w:sz w:val="28"/>
          <w:highlight w:val="none"/>
        </w:rPr>
      </w:pPr>
      <w:bookmarkStart w:id="34" w:name="_Toc1471"/>
      <w:r>
        <w:rPr>
          <w:rFonts w:hint="eastAsia" w:asciiTheme="minorEastAsia" w:hAnsiTheme="minorEastAsia" w:eastAsiaTheme="minorEastAsia"/>
          <w:b/>
          <w:color w:val="auto"/>
          <w:sz w:val="28"/>
          <w:highlight w:val="none"/>
        </w:rPr>
        <w:t>第三章  采购需求</w:t>
      </w:r>
      <w:bookmarkEnd w:id="34"/>
    </w:p>
    <w:p w14:paraId="176A8898">
      <w:pPr>
        <w:spacing w:line="380" w:lineRule="exact"/>
        <w:ind w:firstLine="437"/>
        <w:outlineLvl w:val="1"/>
        <w:rPr>
          <w:rFonts w:hint="default" w:asciiTheme="minorEastAsia" w:hAnsiTheme="minorEastAsia" w:eastAsiaTheme="minorEastAsia"/>
          <w:b/>
          <w:bCs/>
          <w:color w:val="auto"/>
          <w:sz w:val="24"/>
          <w:szCs w:val="18"/>
          <w:highlight w:val="none"/>
          <w:lang w:val="en-US" w:eastAsia="zh-CN"/>
        </w:rPr>
      </w:pPr>
      <w:bookmarkStart w:id="35" w:name="_Toc23283"/>
      <w:bookmarkStart w:id="36" w:name="_Toc23627"/>
      <w:r>
        <w:rPr>
          <w:rFonts w:hint="eastAsia" w:asciiTheme="minorEastAsia" w:hAnsiTheme="minorEastAsia" w:eastAsiaTheme="minorEastAsia"/>
          <w:b/>
          <w:color w:val="auto"/>
          <w:sz w:val="24"/>
          <w:szCs w:val="18"/>
          <w:highlight w:val="none"/>
        </w:rPr>
        <w:t>一、</w:t>
      </w:r>
      <w:bookmarkEnd w:id="35"/>
      <w:bookmarkEnd w:id="36"/>
      <w:r>
        <w:rPr>
          <w:rFonts w:hint="eastAsia" w:asciiTheme="minorEastAsia" w:hAnsiTheme="minorEastAsia" w:eastAsiaTheme="minorEastAsia"/>
          <w:b/>
          <w:bCs/>
          <w:color w:val="auto"/>
          <w:sz w:val="24"/>
          <w:szCs w:val="18"/>
          <w:highlight w:val="none"/>
          <w:lang w:val="en-US" w:eastAsia="zh-CN"/>
        </w:rPr>
        <w:t>采购清单</w:t>
      </w:r>
    </w:p>
    <w:tbl>
      <w:tblPr>
        <w:tblStyle w:val="26"/>
        <w:tblW w:w="9565"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1"/>
        <w:gridCol w:w="1509"/>
        <w:gridCol w:w="730"/>
        <w:gridCol w:w="629"/>
        <w:gridCol w:w="3939"/>
        <w:gridCol w:w="2137"/>
      </w:tblGrid>
      <w:tr w14:paraId="1C51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B5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bookmarkStart w:id="37" w:name="_Toc16122"/>
            <w:bookmarkStart w:id="38" w:name="_Toc14176"/>
            <w:r>
              <w:rPr>
                <w:rFonts w:hint="eastAsia" w:ascii="宋体" w:hAnsi="宋体" w:eastAsia="宋体" w:cs="宋体"/>
                <w:b/>
                <w:bCs/>
                <w:i w:val="0"/>
                <w:iCs w:val="0"/>
                <w:color w:val="auto"/>
                <w:kern w:val="0"/>
                <w:sz w:val="21"/>
                <w:szCs w:val="21"/>
                <w:highlight w:val="none"/>
                <w:u w:val="none"/>
                <w:lang w:val="en-US" w:eastAsia="zh-CN" w:bidi="ar"/>
              </w:rPr>
              <w:t>序号</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56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货物名称</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54B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285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BFE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技术参数要求</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833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推荐品牌</w:t>
            </w:r>
          </w:p>
        </w:tc>
      </w:tr>
      <w:tr w14:paraId="04F1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3E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A401">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高压水压软管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A1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米</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66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20</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DAA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vertAlign w:val="baseline"/>
                <w:lang w:val="en-US" w:eastAsia="zh-CN"/>
              </w:rPr>
              <w:t>压力承载：0-10kg，50管径，黑色</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BC8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highlight w:val="none"/>
                <w:u w:val="none"/>
              </w:rPr>
            </w:pPr>
          </w:p>
        </w:tc>
      </w:tr>
      <w:tr w14:paraId="040C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21" w:type="dxa"/>
            <w:vMerge w:val="restart"/>
            <w:tcBorders>
              <w:top w:val="single" w:color="000000" w:sz="4" w:space="0"/>
              <w:left w:val="single" w:color="000000" w:sz="4" w:space="0"/>
              <w:right w:val="single" w:color="000000" w:sz="4" w:space="0"/>
            </w:tcBorders>
            <w:shd w:val="clear" w:color="auto" w:fill="auto"/>
            <w:noWrap/>
            <w:vAlign w:val="center"/>
          </w:tcPr>
          <w:p w14:paraId="256F5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1509" w:type="dxa"/>
            <w:vMerge w:val="restart"/>
            <w:tcBorders>
              <w:top w:val="single" w:color="000000" w:sz="4" w:space="0"/>
              <w:left w:val="single" w:color="000000" w:sz="4" w:space="0"/>
              <w:right w:val="single" w:color="000000" w:sz="4" w:space="0"/>
            </w:tcBorders>
            <w:shd w:val="clear" w:color="auto" w:fill="auto"/>
            <w:vAlign w:val="center"/>
          </w:tcPr>
          <w:p w14:paraId="386DF857">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提升泵</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B9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22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6C2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vertAlign w:val="baseline"/>
                <w:lang w:val="en-US" w:eastAsia="zh-CN"/>
              </w:rPr>
              <w:t>0.75kw/380v/50管径</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4EE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大元/利欧/上海人民</w:t>
            </w:r>
          </w:p>
        </w:tc>
      </w:tr>
      <w:tr w14:paraId="58B3A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621" w:type="dxa"/>
            <w:vMerge w:val="continue"/>
            <w:tcBorders>
              <w:left w:val="single" w:color="000000" w:sz="4" w:space="0"/>
              <w:bottom w:val="single" w:color="000000" w:sz="4" w:space="0"/>
              <w:right w:val="single" w:color="000000" w:sz="4" w:space="0"/>
            </w:tcBorders>
            <w:shd w:val="clear" w:color="auto" w:fill="auto"/>
            <w:noWrap/>
            <w:vAlign w:val="center"/>
          </w:tcPr>
          <w:p w14:paraId="077F7A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p>
        </w:tc>
        <w:tc>
          <w:tcPr>
            <w:tcW w:w="1509" w:type="dxa"/>
            <w:vMerge w:val="continue"/>
            <w:tcBorders>
              <w:left w:val="single" w:color="000000" w:sz="4" w:space="0"/>
              <w:bottom w:val="single" w:color="000000" w:sz="4" w:space="0"/>
              <w:right w:val="single" w:color="000000" w:sz="4" w:space="0"/>
            </w:tcBorders>
            <w:shd w:val="clear" w:color="auto" w:fill="auto"/>
            <w:vAlign w:val="center"/>
          </w:tcPr>
          <w:p w14:paraId="2C877B2E">
            <w:pPr>
              <w:jc w:val="center"/>
              <w:rPr>
                <w:rFonts w:hint="eastAsia" w:ascii="宋体" w:hAnsi="宋体" w:eastAsia="宋体" w:cs="宋体"/>
                <w:color w:val="auto"/>
                <w:sz w:val="21"/>
                <w:szCs w:val="21"/>
                <w:highlight w:val="none"/>
                <w:vertAlign w:val="baseline"/>
                <w:lang w:val="en-US" w:eastAsia="zh-CN"/>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2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3D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8E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1.1kw/380v/50管径</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EA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大元/利欧/上海人民</w:t>
            </w:r>
          </w:p>
        </w:tc>
      </w:tr>
      <w:tr w14:paraId="53333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1" w:type="dxa"/>
            <w:vMerge w:val="restart"/>
            <w:tcBorders>
              <w:top w:val="single" w:color="000000" w:sz="4" w:space="0"/>
              <w:left w:val="single" w:color="000000" w:sz="4" w:space="0"/>
              <w:right w:val="single" w:color="000000" w:sz="4" w:space="0"/>
            </w:tcBorders>
            <w:shd w:val="clear" w:color="auto" w:fill="auto"/>
            <w:noWrap/>
            <w:vAlign w:val="center"/>
          </w:tcPr>
          <w:p w14:paraId="75D7F6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1509" w:type="dxa"/>
            <w:vMerge w:val="restart"/>
            <w:tcBorders>
              <w:top w:val="single" w:color="000000" w:sz="4" w:space="0"/>
              <w:left w:val="single" w:color="000000" w:sz="4" w:space="0"/>
              <w:right w:val="single" w:color="000000" w:sz="4" w:space="0"/>
            </w:tcBorders>
            <w:shd w:val="clear" w:color="auto" w:fill="auto"/>
            <w:vAlign w:val="center"/>
          </w:tcPr>
          <w:p w14:paraId="71CB3CDC">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自吸离心泵</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28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85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
              </w:rPr>
            </w:pPr>
            <w:r>
              <w:rPr>
                <w:rFonts w:hint="eastAsia" w:ascii="宋体" w:hAnsi="宋体" w:eastAsia="宋体" w:cs="宋体"/>
                <w:i w:val="0"/>
                <w:iCs w:val="0"/>
                <w:color w:val="auto"/>
                <w:sz w:val="21"/>
                <w:szCs w:val="21"/>
                <w:highlight w:val="none"/>
                <w:u w:val="none"/>
                <w:lang w:val="en-US" w:eastAsia="zh-CN"/>
              </w:rPr>
              <w:t>4</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1DF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2.2kw/380v/50管径；扬程50m,吸程8-10m</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DE0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大元/利欧/得水</w:t>
            </w:r>
          </w:p>
        </w:tc>
      </w:tr>
      <w:tr w14:paraId="0839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1" w:type="dxa"/>
            <w:vMerge w:val="continue"/>
            <w:tcBorders>
              <w:left w:val="single" w:color="000000" w:sz="4" w:space="0"/>
              <w:bottom w:val="single" w:color="000000" w:sz="4" w:space="0"/>
              <w:right w:val="single" w:color="000000" w:sz="4" w:space="0"/>
            </w:tcBorders>
            <w:shd w:val="clear" w:color="auto" w:fill="auto"/>
            <w:noWrap/>
            <w:vAlign w:val="center"/>
          </w:tcPr>
          <w:p w14:paraId="777A26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p>
        </w:tc>
        <w:tc>
          <w:tcPr>
            <w:tcW w:w="1509" w:type="dxa"/>
            <w:vMerge w:val="continue"/>
            <w:tcBorders>
              <w:left w:val="single" w:color="000000" w:sz="4" w:space="0"/>
              <w:bottom w:val="single" w:color="000000" w:sz="4" w:space="0"/>
              <w:right w:val="single" w:color="000000" w:sz="4" w:space="0"/>
            </w:tcBorders>
            <w:shd w:val="clear" w:color="auto" w:fill="auto"/>
            <w:vAlign w:val="center"/>
          </w:tcPr>
          <w:p w14:paraId="2BD63D9E">
            <w:pPr>
              <w:jc w:val="center"/>
              <w:rPr>
                <w:rFonts w:hint="eastAsia" w:ascii="宋体" w:hAnsi="宋体" w:eastAsia="宋体" w:cs="宋体"/>
                <w:color w:val="auto"/>
                <w:sz w:val="21"/>
                <w:szCs w:val="21"/>
                <w:highlight w:val="none"/>
                <w:vertAlign w:val="baseline"/>
                <w:lang w:val="en-US" w:eastAsia="zh-CN"/>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17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D6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
              </w:rPr>
            </w:pPr>
            <w:r>
              <w:rPr>
                <w:rFonts w:hint="eastAsia" w:ascii="宋体" w:hAnsi="宋体" w:eastAsia="宋体" w:cs="宋体"/>
                <w:i w:val="0"/>
                <w:iCs w:val="0"/>
                <w:color w:val="auto"/>
                <w:sz w:val="21"/>
                <w:szCs w:val="21"/>
                <w:highlight w:val="none"/>
                <w:u w:val="none"/>
                <w:lang w:val="en-US" w:eastAsia="zh-CN"/>
              </w:rPr>
              <w:t>2</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0D9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1.5kw/220~380v/32管径，扬程30m,吸程8-10m</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1E0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大元/利欧/得水</w:t>
            </w:r>
          </w:p>
        </w:tc>
      </w:tr>
      <w:tr w14:paraId="7608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1" w:type="dxa"/>
            <w:vMerge w:val="restart"/>
            <w:tcBorders>
              <w:top w:val="single" w:color="000000" w:sz="4" w:space="0"/>
              <w:left w:val="single" w:color="000000" w:sz="4" w:space="0"/>
              <w:right w:val="single" w:color="000000" w:sz="4" w:space="0"/>
            </w:tcBorders>
            <w:shd w:val="clear" w:color="auto" w:fill="auto"/>
            <w:noWrap/>
            <w:vAlign w:val="center"/>
          </w:tcPr>
          <w:p w14:paraId="457215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1509" w:type="dxa"/>
            <w:vMerge w:val="restart"/>
            <w:tcBorders>
              <w:top w:val="single" w:color="000000" w:sz="4" w:space="0"/>
              <w:left w:val="single" w:color="000000" w:sz="4" w:space="0"/>
              <w:right w:val="single" w:color="000000" w:sz="4" w:space="0"/>
            </w:tcBorders>
            <w:shd w:val="clear" w:color="auto" w:fill="auto"/>
            <w:vAlign w:val="center"/>
          </w:tcPr>
          <w:p w14:paraId="528E0831">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清水泵</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6626">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1423">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2</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660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2.2kw/380v/50管径</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4A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大元/利欧/上海人民</w:t>
            </w:r>
          </w:p>
        </w:tc>
      </w:tr>
      <w:tr w14:paraId="60AD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21" w:type="dxa"/>
            <w:vMerge w:val="continue"/>
            <w:tcBorders>
              <w:left w:val="single" w:color="000000" w:sz="4" w:space="0"/>
              <w:bottom w:val="single" w:color="000000" w:sz="4" w:space="0"/>
              <w:right w:val="single" w:color="000000" w:sz="4" w:space="0"/>
            </w:tcBorders>
            <w:shd w:val="clear" w:color="auto" w:fill="auto"/>
            <w:noWrap/>
            <w:vAlign w:val="center"/>
          </w:tcPr>
          <w:p w14:paraId="7C9916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p>
        </w:tc>
        <w:tc>
          <w:tcPr>
            <w:tcW w:w="1509" w:type="dxa"/>
            <w:vMerge w:val="continue"/>
            <w:tcBorders>
              <w:left w:val="single" w:color="000000" w:sz="4" w:space="0"/>
              <w:bottom w:val="single" w:color="000000" w:sz="4" w:space="0"/>
              <w:right w:val="single" w:color="000000" w:sz="4" w:space="0"/>
            </w:tcBorders>
            <w:shd w:val="clear" w:color="auto" w:fill="auto"/>
            <w:vAlign w:val="center"/>
          </w:tcPr>
          <w:p w14:paraId="295F36BD">
            <w:pPr>
              <w:jc w:val="center"/>
              <w:rPr>
                <w:rFonts w:hint="eastAsia" w:ascii="宋体" w:hAnsi="宋体" w:eastAsia="宋体" w:cs="宋体"/>
                <w:color w:val="auto"/>
                <w:sz w:val="21"/>
                <w:szCs w:val="21"/>
                <w:highlight w:val="none"/>
                <w:vertAlign w:val="baseline"/>
                <w:lang w:val="en-US" w:eastAsia="zh-CN"/>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9C0B">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9529">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4</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C4D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3kw/380v/50管径</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6BF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大元/利欧/上海人民</w:t>
            </w:r>
          </w:p>
        </w:tc>
      </w:tr>
      <w:tr w14:paraId="4A68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35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89B7">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液位变送器</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45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7E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19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vertAlign w:val="baseline"/>
                <w:lang w:val="en-US" w:eastAsia="zh-CN"/>
              </w:rPr>
              <w:t>0-5m/4-20mA/24v</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B3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highlight w:val="none"/>
                <w:u w:val="none"/>
              </w:rPr>
            </w:pPr>
          </w:p>
        </w:tc>
      </w:tr>
      <w:tr w14:paraId="7982B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1" w:type="dxa"/>
            <w:vMerge w:val="restart"/>
            <w:tcBorders>
              <w:top w:val="single" w:color="000000" w:sz="4" w:space="0"/>
              <w:left w:val="single" w:color="000000" w:sz="4" w:space="0"/>
              <w:right w:val="single" w:color="000000" w:sz="4" w:space="0"/>
            </w:tcBorders>
            <w:shd w:val="clear" w:color="auto" w:fill="auto"/>
            <w:noWrap/>
            <w:vAlign w:val="center"/>
          </w:tcPr>
          <w:p w14:paraId="40FCAA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509" w:type="dxa"/>
            <w:vMerge w:val="restart"/>
            <w:tcBorders>
              <w:top w:val="single" w:color="000000" w:sz="4" w:space="0"/>
              <w:left w:val="single" w:color="000000" w:sz="4" w:space="0"/>
              <w:right w:val="single" w:color="000000" w:sz="4" w:space="0"/>
            </w:tcBorders>
            <w:shd w:val="clear" w:color="auto" w:fill="auto"/>
            <w:vAlign w:val="center"/>
          </w:tcPr>
          <w:p w14:paraId="6EEDD596">
            <w:pPr>
              <w:jc w:val="center"/>
              <w:rPr>
                <w:rFonts w:hint="eastAsia" w:ascii="宋体" w:hAnsi="宋体" w:eastAsia="宋体" w:cs="宋体"/>
                <w:color w:val="auto"/>
                <w:sz w:val="21"/>
                <w:szCs w:val="21"/>
                <w:highlight w:val="none"/>
                <w:vertAlign w:val="baseline"/>
                <w:lang w:val="en-US" w:eastAsia="zh-CN"/>
              </w:rPr>
            </w:pPr>
          </w:p>
          <w:p w14:paraId="2D46CDB8">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电磁阀</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4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A0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79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DN25/220V；常闭型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C3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highlight w:val="none"/>
                <w:u w:val="none"/>
              </w:rPr>
            </w:pPr>
          </w:p>
        </w:tc>
      </w:tr>
      <w:tr w14:paraId="225E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1" w:type="dxa"/>
            <w:vMerge w:val="continue"/>
            <w:tcBorders>
              <w:left w:val="single" w:color="000000" w:sz="4" w:space="0"/>
              <w:right w:val="single" w:color="000000" w:sz="4" w:space="0"/>
            </w:tcBorders>
            <w:shd w:val="clear" w:color="auto" w:fill="auto"/>
            <w:noWrap/>
            <w:vAlign w:val="center"/>
          </w:tcPr>
          <w:p w14:paraId="193BBB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p>
        </w:tc>
        <w:tc>
          <w:tcPr>
            <w:tcW w:w="1509" w:type="dxa"/>
            <w:vMerge w:val="continue"/>
            <w:tcBorders>
              <w:left w:val="single" w:color="000000" w:sz="4" w:space="0"/>
              <w:right w:val="single" w:color="000000" w:sz="4" w:space="0"/>
            </w:tcBorders>
            <w:shd w:val="clear" w:color="auto" w:fill="auto"/>
            <w:vAlign w:val="center"/>
          </w:tcPr>
          <w:p w14:paraId="50A44ACD">
            <w:pPr>
              <w:jc w:val="center"/>
              <w:rPr>
                <w:rFonts w:hint="eastAsia" w:ascii="宋体" w:hAnsi="宋体" w:eastAsia="宋体" w:cs="宋体"/>
                <w:color w:val="auto"/>
                <w:sz w:val="21"/>
                <w:szCs w:val="21"/>
                <w:highlight w:val="none"/>
                <w:vertAlign w:val="baseline"/>
                <w:lang w:val="en-US" w:eastAsia="zh-CN"/>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27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9D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63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DN40/220V；常闭型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FF2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highlight w:val="none"/>
                <w:u w:val="none"/>
              </w:rPr>
            </w:pPr>
          </w:p>
        </w:tc>
      </w:tr>
      <w:tr w14:paraId="0B44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1" w:type="dxa"/>
            <w:vMerge w:val="continue"/>
            <w:tcBorders>
              <w:left w:val="single" w:color="000000" w:sz="4" w:space="0"/>
              <w:right w:val="single" w:color="000000" w:sz="4" w:space="0"/>
            </w:tcBorders>
            <w:shd w:val="clear" w:color="auto" w:fill="auto"/>
            <w:noWrap/>
            <w:vAlign w:val="center"/>
          </w:tcPr>
          <w:p w14:paraId="4C8967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p>
        </w:tc>
        <w:tc>
          <w:tcPr>
            <w:tcW w:w="1509" w:type="dxa"/>
            <w:vMerge w:val="continue"/>
            <w:tcBorders>
              <w:left w:val="single" w:color="000000" w:sz="4" w:space="0"/>
              <w:right w:val="single" w:color="000000" w:sz="4" w:space="0"/>
            </w:tcBorders>
            <w:shd w:val="clear" w:color="auto" w:fill="auto"/>
            <w:vAlign w:val="center"/>
          </w:tcPr>
          <w:p w14:paraId="106B3C5F">
            <w:pPr>
              <w:jc w:val="center"/>
              <w:rPr>
                <w:rFonts w:hint="eastAsia" w:ascii="宋体" w:hAnsi="宋体" w:eastAsia="宋体" w:cs="宋体"/>
                <w:color w:val="auto"/>
                <w:sz w:val="21"/>
                <w:szCs w:val="21"/>
                <w:highlight w:val="none"/>
                <w:vertAlign w:val="baseline"/>
                <w:lang w:val="en-US" w:eastAsia="zh-CN"/>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E5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94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E4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DN25/220V；常开型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4A0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highlight w:val="none"/>
                <w:u w:val="none"/>
              </w:rPr>
            </w:pPr>
          </w:p>
        </w:tc>
      </w:tr>
      <w:tr w14:paraId="71DC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21" w:type="dxa"/>
            <w:vMerge w:val="continue"/>
            <w:tcBorders>
              <w:left w:val="single" w:color="000000" w:sz="4" w:space="0"/>
              <w:bottom w:val="single" w:color="000000" w:sz="4" w:space="0"/>
              <w:right w:val="single" w:color="000000" w:sz="4" w:space="0"/>
            </w:tcBorders>
            <w:shd w:val="clear" w:color="auto" w:fill="auto"/>
            <w:noWrap/>
            <w:vAlign w:val="center"/>
          </w:tcPr>
          <w:p w14:paraId="1E2EB2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p>
        </w:tc>
        <w:tc>
          <w:tcPr>
            <w:tcW w:w="1509" w:type="dxa"/>
            <w:vMerge w:val="continue"/>
            <w:tcBorders>
              <w:left w:val="single" w:color="000000" w:sz="4" w:space="0"/>
              <w:bottom w:val="single" w:color="000000" w:sz="4" w:space="0"/>
              <w:right w:val="single" w:color="000000" w:sz="4" w:space="0"/>
            </w:tcBorders>
            <w:shd w:val="clear" w:color="auto" w:fill="auto"/>
            <w:vAlign w:val="center"/>
          </w:tcPr>
          <w:p w14:paraId="620C9502">
            <w:pPr>
              <w:jc w:val="center"/>
              <w:rPr>
                <w:rFonts w:hint="eastAsia" w:ascii="宋体" w:hAnsi="宋体" w:eastAsia="宋体" w:cs="宋体"/>
                <w:color w:val="auto"/>
                <w:sz w:val="21"/>
                <w:szCs w:val="21"/>
                <w:highlight w:val="none"/>
                <w:vertAlign w:val="baseline"/>
                <w:lang w:val="en-US" w:eastAsia="zh-CN"/>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03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25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DE6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DN40/220V；常开型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444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highlight w:val="none"/>
                <w:u w:val="none"/>
              </w:rPr>
            </w:pPr>
          </w:p>
        </w:tc>
      </w:tr>
      <w:tr w14:paraId="21785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D4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3833">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卧式铜片单向止回阀</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C7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2C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4</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13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vertAlign w:val="baseline"/>
                <w:lang w:val="en-US" w:eastAsia="zh-CN"/>
              </w:rPr>
              <w:t>DN40</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88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highlight w:val="none"/>
                <w:u w:val="none"/>
              </w:rPr>
            </w:pPr>
          </w:p>
        </w:tc>
      </w:tr>
      <w:tr w14:paraId="68D1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F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F961">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压力变送开关</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E6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个</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B8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89D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vertAlign w:val="baseline"/>
                <w:lang w:val="en-US" w:eastAsia="zh-CN"/>
              </w:rPr>
              <w:t>0-1MPa/4-20mA/24V</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DA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sz w:val="21"/>
                <w:szCs w:val="21"/>
                <w:highlight w:val="none"/>
                <w:u w:val="none"/>
              </w:rPr>
            </w:pPr>
          </w:p>
        </w:tc>
      </w:tr>
      <w:tr w14:paraId="2B03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0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9</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DA2A">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20吨高压风机</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68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41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DAF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vertAlign w:val="baseline"/>
                <w:lang w:val="en-US" w:eastAsia="zh-CN"/>
              </w:rPr>
              <w:t>电压380v/功率1.5kw/口径40/压力32（28）KPa/流量150m³/h</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46C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海姆克/永强/登福</w:t>
            </w:r>
          </w:p>
        </w:tc>
      </w:tr>
      <w:tr w14:paraId="541E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3B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10</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1622">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vertAlign w:val="baseline"/>
                <w:lang w:val="en-US" w:eastAsia="zh-CN"/>
              </w:rPr>
              <w:t>50吨高压风机</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E6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台</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18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w:t>
            </w:r>
          </w:p>
        </w:tc>
        <w:tc>
          <w:tcPr>
            <w:tcW w:w="3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780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vertAlign w:val="baseline"/>
                <w:lang w:val="en-US" w:eastAsia="zh-CN"/>
              </w:rPr>
              <w:t>电压380v/功率2.2kw/口径63/压力42（36）KPa/流量230m³/h</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652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海姆克/永强/登福</w:t>
            </w:r>
          </w:p>
        </w:tc>
      </w:tr>
    </w:tbl>
    <w:p w14:paraId="72F61A0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注：1、上述采购的设备须与污水处理站现有设备兼容，满足联机调试、验收要求。如因成交供应商提供的产品无法兼容、无法通过联机调试等，成交供应商须承担全部责任，给采购人造成的损失，采购人有权</w:t>
      </w:r>
      <w:r>
        <w:rPr>
          <w:rFonts w:hint="eastAsia" w:ascii="宋体" w:hAnsi="宋体" w:eastAsia="宋体" w:cs="宋体"/>
          <w:b/>
          <w:bCs w:val="0"/>
          <w:color w:val="auto"/>
          <w:sz w:val="24"/>
          <w:szCs w:val="24"/>
          <w:highlight w:val="none"/>
          <w:lang w:val="en-US" w:eastAsia="zh-CN"/>
        </w:rPr>
        <w:t>向其</w:t>
      </w:r>
      <w:r>
        <w:rPr>
          <w:rFonts w:hint="eastAsia" w:asciiTheme="minorEastAsia" w:hAnsiTheme="minorEastAsia" w:eastAsiaTheme="minorEastAsia"/>
          <w:b/>
          <w:bCs/>
          <w:color w:val="auto"/>
          <w:sz w:val="24"/>
          <w:highlight w:val="none"/>
          <w:lang w:val="en-US" w:eastAsia="zh-CN"/>
        </w:rPr>
        <w:t>追偿。</w:t>
      </w:r>
    </w:p>
    <w:p w14:paraId="0F3FCA9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w:t>
      </w:r>
      <w:r>
        <w:rPr>
          <w:rFonts w:hint="default" w:asciiTheme="minorEastAsia" w:hAnsiTheme="minorEastAsia" w:eastAsiaTheme="minorEastAsia"/>
          <w:b/>
          <w:bCs/>
          <w:color w:val="auto"/>
          <w:sz w:val="24"/>
          <w:highlight w:val="none"/>
          <w:lang w:val="en-US" w:eastAsia="zh-CN"/>
        </w:rPr>
        <w:t>对于采购人推荐品牌的材料、设备，供应商可选用推荐品牌或不低于推荐品牌技术性能指标的其他品牌。未在采购人推荐的材料品牌响应表中注明或未提供相关技术参数、业绩，或经评标委员会评审未通过的，成交后只能从采购人推荐品牌中进行选择，价格不予调整。</w:t>
      </w:r>
    </w:p>
    <w:p w14:paraId="71D8AE5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3</w:t>
      </w:r>
      <w:r>
        <w:rPr>
          <w:rFonts w:hint="default" w:asciiTheme="minorEastAsia" w:hAnsiTheme="minorEastAsia" w:eastAsiaTheme="minorEastAsia"/>
          <w:b/>
          <w:bCs/>
          <w:color w:val="auto"/>
          <w:sz w:val="24"/>
          <w:highlight w:val="none"/>
          <w:lang w:val="en-US" w:eastAsia="zh-CN"/>
        </w:rPr>
        <w:t>、如本项目</w:t>
      </w:r>
      <w:r>
        <w:rPr>
          <w:rFonts w:hint="eastAsia" w:asciiTheme="minorEastAsia" w:hAnsiTheme="minorEastAsia" w:eastAsiaTheme="minorEastAsia"/>
          <w:b/>
          <w:bCs/>
          <w:color w:val="auto"/>
          <w:sz w:val="24"/>
          <w:highlight w:val="none"/>
          <w:lang w:val="en-US" w:eastAsia="zh-CN"/>
        </w:rPr>
        <w:t>询价</w:t>
      </w:r>
      <w:r>
        <w:rPr>
          <w:rFonts w:hint="default" w:asciiTheme="minorEastAsia" w:hAnsiTheme="minorEastAsia" w:eastAsiaTheme="minorEastAsia"/>
          <w:b/>
          <w:bCs/>
          <w:color w:val="auto"/>
          <w:sz w:val="24"/>
          <w:highlight w:val="none"/>
          <w:lang w:val="en-US" w:eastAsia="zh-CN"/>
        </w:rPr>
        <w:t>文件中出现特定性、唯一性品牌的表述，该品牌仅作为参考，不具有限定性。对于采购人推荐品牌的材料、设备等，供应商如认为采购人推荐的品牌有限定性、唯一性、明显不在同一档次等级的或者其他疑问的，应在本项目质疑提出的截止时间前通过电子交易系统向采购人提出。</w:t>
      </w:r>
    </w:p>
    <w:p w14:paraId="25B747A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asciiTheme="minorEastAsia" w:hAnsiTheme="minorEastAsia" w:eastAsiaTheme="minorEastAsia"/>
          <w:b/>
          <w:bCs/>
          <w:color w:val="auto"/>
          <w:sz w:val="24"/>
          <w:szCs w:val="18"/>
          <w:highlight w:val="none"/>
        </w:rPr>
      </w:pPr>
      <w:r>
        <w:rPr>
          <w:rFonts w:hint="eastAsia" w:asciiTheme="minorEastAsia" w:hAnsiTheme="minorEastAsia" w:eastAsiaTheme="minorEastAsia"/>
          <w:b/>
          <w:bCs/>
          <w:color w:val="auto"/>
          <w:sz w:val="24"/>
          <w:szCs w:val="18"/>
          <w:highlight w:val="none"/>
        </w:rPr>
        <w:t>三、报价要求</w:t>
      </w:r>
      <w:bookmarkEnd w:id="37"/>
      <w:bookmarkEnd w:id="38"/>
    </w:p>
    <w:p w14:paraId="15F4B2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1.供应商根据采购需求要求进行报价，本项目为固定单价项目，供应商可自行踏勘现场充分考虑报价，所报单价包括</w:t>
      </w:r>
      <w:r>
        <w:rPr>
          <w:rFonts w:hint="eastAsia" w:ascii="宋体" w:hAnsi="宋体" w:eastAsia="宋体" w:cs="宋体"/>
          <w:color w:val="auto"/>
          <w:sz w:val="24"/>
          <w:szCs w:val="24"/>
          <w:highlight w:val="none"/>
        </w:rPr>
        <w:t>货物、货物运输费用、货物人工费、材料费(含主材及辅材) 、装卸费、运输费、管理费、利润、风险费用及国家对成交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征收的各种税费等所有一切费用</w:t>
      </w:r>
      <w:r>
        <w:rPr>
          <w:rFonts w:hint="eastAsia" w:asciiTheme="minorEastAsia" w:hAnsiTheme="minorEastAsia" w:eastAsiaTheme="minorEastAsia"/>
          <w:color w:val="auto"/>
          <w:sz w:val="24"/>
          <w:highlight w:val="none"/>
        </w:rPr>
        <w:t>，采购人不再为此项目支付任何费用，价格今后将不作任何调增。</w:t>
      </w:r>
    </w:p>
    <w:p w14:paraId="0D9BAE8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2.供应商所报价格包含安全完成本项目所需全部费用，实施过程中如发生安全事故等情形，由成交供应商承担全部责任。</w:t>
      </w:r>
    </w:p>
    <w:p w14:paraId="50F4F77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3.项目实施过程中，成交供应商应对已有成品进行保护，因成交供应商实施过程或未保护的原因造成的损坏等由成交供应商赔偿或修复。</w:t>
      </w:r>
    </w:p>
    <w:p w14:paraId="3A70AE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b/>
          <w:bCs/>
          <w:color w:val="auto"/>
          <w:sz w:val="24"/>
          <w:highlight w:val="none"/>
          <w:lang w:val="en-US" w:eastAsia="zh-CN"/>
        </w:rPr>
        <w:t>本项目所需设施设备等材料均由成交供应商自行采购，因材料质量引起的工程质量问题由成交供应商承担所造成的一切损失,并按合格标准更换、施工至合格。如采购人对某种或某些材料的质量有异议，有权提出停止使用的要求，成交供应商必须服从该要求。若该材料经权威检验部门鉴定确有质量问题，由此发生的一切费用由成交供应商自负，如果造成损失，承担全部赔偿责任。</w:t>
      </w:r>
    </w:p>
    <w:p w14:paraId="15FE65C2">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2" w:firstLineChars="200"/>
        <w:textAlignment w:val="auto"/>
        <w:outlineLvl w:val="1"/>
        <w:rPr>
          <w:rFonts w:asciiTheme="minorEastAsia" w:hAnsiTheme="minorEastAsia" w:eastAsiaTheme="minorEastAsia"/>
          <w:b/>
          <w:bCs/>
          <w:color w:val="auto"/>
          <w:sz w:val="24"/>
          <w:szCs w:val="18"/>
          <w:highlight w:val="none"/>
        </w:rPr>
      </w:pPr>
      <w:bookmarkStart w:id="39" w:name="_Toc10777"/>
      <w:bookmarkStart w:id="40" w:name="_Toc17094"/>
      <w:r>
        <w:rPr>
          <w:rFonts w:hint="eastAsia" w:asciiTheme="minorEastAsia" w:hAnsiTheme="minorEastAsia" w:eastAsiaTheme="minorEastAsia"/>
          <w:b/>
          <w:bCs/>
          <w:color w:val="auto"/>
          <w:sz w:val="24"/>
          <w:szCs w:val="18"/>
          <w:highlight w:val="none"/>
        </w:rPr>
        <w:t>其他要求</w:t>
      </w:r>
      <w:bookmarkEnd w:id="39"/>
      <w:bookmarkEnd w:id="40"/>
    </w:p>
    <w:p w14:paraId="613171C3">
      <w:pPr>
        <w:pStyle w:val="9"/>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auto"/>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（一）货物的生产、安装、维修、检验、验收等按照以下原则执行：有国家标准的执行国家标准；无国家标准的执行行业标准；无行业标准的执行地方标准；无地方标准的执行企业标准。</w:t>
      </w:r>
    </w:p>
    <w:p w14:paraId="3A5126E9">
      <w:pPr>
        <w:pStyle w:val="9"/>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auto"/>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（二）如果在技术参数或配置中标明了品牌或产地，则仅供参考，并非指定，但</w:t>
      </w:r>
      <w:r>
        <w:rPr>
          <w:rFonts w:hint="eastAsia" w:ascii="宋体" w:hAnsi="宋体" w:eastAsia="宋体" w:cs="@仿宋_GB2312"/>
          <w:b w:val="0"/>
          <w:bCs/>
          <w:color w:val="auto"/>
          <w:kern w:val="0"/>
          <w:sz w:val="24"/>
          <w:szCs w:val="28"/>
          <w:highlight w:val="none"/>
          <w:lang w:val="en-US" w:eastAsia="zh-CN" w:bidi="ar-SA"/>
        </w:rPr>
        <w:t>供应商</w:t>
      </w:r>
      <w:r>
        <w:rPr>
          <w:rFonts w:hint="eastAsia" w:cs="@仿宋_GB2312" w:asciiTheme="minorEastAsia" w:hAnsiTheme="minorEastAsia" w:eastAsiaTheme="minorEastAsia"/>
          <w:color w:val="auto"/>
          <w:sz w:val="24"/>
          <w:szCs w:val="20"/>
          <w:highlight w:val="none"/>
          <w:lang w:val="en-US"/>
        </w:rPr>
        <w:t>提供的货物必须满足主要技术参数及配置要求，</w:t>
      </w:r>
      <w:r>
        <w:rPr>
          <w:rFonts w:hint="eastAsia" w:ascii="宋体" w:hAnsi="宋体" w:eastAsia="宋体" w:cs="@仿宋_GB2312"/>
          <w:b w:val="0"/>
          <w:bCs/>
          <w:color w:val="auto"/>
          <w:kern w:val="0"/>
          <w:sz w:val="24"/>
          <w:szCs w:val="28"/>
          <w:highlight w:val="none"/>
          <w:lang w:val="en-US" w:eastAsia="zh-CN" w:bidi="ar-SA"/>
        </w:rPr>
        <w:t>供应商</w:t>
      </w:r>
      <w:r>
        <w:rPr>
          <w:rFonts w:hint="eastAsia" w:cs="@仿宋_GB2312" w:asciiTheme="minorEastAsia" w:hAnsiTheme="minorEastAsia" w:eastAsiaTheme="minorEastAsia"/>
          <w:color w:val="auto"/>
          <w:sz w:val="24"/>
          <w:szCs w:val="20"/>
          <w:highlight w:val="none"/>
          <w:lang w:val="en-US"/>
        </w:rPr>
        <w:t>可以选用替代的方案，但这种替代整体上要优于或相当于</w:t>
      </w:r>
      <w:r>
        <w:rPr>
          <w:rFonts w:hint="eastAsia" w:cs="@仿宋_GB2312" w:asciiTheme="minorEastAsia" w:hAnsiTheme="minorEastAsia" w:eastAsiaTheme="minorEastAsia"/>
          <w:color w:val="auto"/>
          <w:sz w:val="24"/>
          <w:szCs w:val="20"/>
          <w:highlight w:val="none"/>
          <w:lang w:val="en-US" w:eastAsia="zh-CN"/>
        </w:rPr>
        <w:t>询价采购文件</w:t>
      </w:r>
      <w:r>
        <w:rPr>
          <w:rFonts w:hint="eastAsia" w:cs="@仿宋_GB2312" w:asciiTheme="minorEastAsia" w:hAnsiTheme="minorEastAsia" w:eastAsiaTheme="minorEastAsia"/>
          <w:color w:val="auto"/>
          <w:sz w:val="24"/>
          <w:szCs w:val="20"/>
          <w:highlight w:val="none"/>
          <w:lang w:val="en-US"/>
        </w:rPr>
        <w:t>的相关要求。</w:t>
      </w:r>
    </w:p>
    <w:p w14:paraId="02112266">
      <w:pPr>
        <w:pStyle w:val="9"/>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auto"/>
        <w:rPr>
          <w:rFonts w:cs="@仿宋_GB2312" w:asciiTheme="minorEastAsia" w:hAnsiTheme="minorEastAsia" w:eastAsiaTheme="minorEastAsia"/>
          <w:b/>
          <w:bCs/>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（三）供货时所有货物（包括零部件）须为全新的、未使用过的原装正品，并完全符合国家质量标准，</w:t>
      </w:r>
      <w:r>
        <w:rPr>
          <w:rFonts w:hint="eastAsia" w:cs="@仿宋_GB2312" w:asciiTheme="minorEastAsia" w:hAnsiTheme="minorEastAsia" w:eastAsiaTheme="minorEastAsia"/>
          <w:b/>
          <w:bCs/>
          <w:color w:val="auto"/>
          <w:sz w:val="24"/>
          <w:szCs w:val="20"/>
          <w:highlight w:val="none"/>
          <w:lang w:val="en-US" w:eastAsia="zh-CN"/>
        </w:rPr>
        <w:t>供货时</w:t>
      </w:r>
      <w:r>
        <w:rPr>
          <w:rFonts w:hint="eastAsia" w:cs="@仿宋_GB2312" w:asciiTheme="minorEastAsia" w:hAnsiTheme="minorEastAsia" w:eastAsiaTheme="minorEastAsia"/>
          <w:b/>
          <w:bCs/>
          <w:color w:val="auto"/>
          <w:sz w:val="24"/>
          <w:szCs w:val="20"/>
          <w:highlight w:val="none"/>
          <w:lang w:val="en-US"/>
        </w:rPr>
        <w:t>提供厂家出具的合格证书、有国家强制性认证要求的产品须提供相应证书，货物的技术参数及配置情况必须由</w:t>
      </w:r>
      <w:r>
        <w:rPr>
          <w:rFonts w:hint="eastAsia" w:cs="@仿宋_GB2312" w:asciiTheme="minorEastAsia" w:hAnsiTheme="minorEastAsia" w:eastAsiaTheme="minorEastAsia"/>
          <w:b/>
          <w:bCs/>
          <w:color w:val="auto"/>
          <w:sz w:val="24"/>
          <w:szCs w:val="20"/>
          <w:highlight w:val="none"/>
          <w:lang w:val="en-US" w:eastAsia="zh-CN"/>
        </w:rPr>
        <w:t>供应商</w:t>
      </w:r>
      <w:r>
        <w:rPr>
          <w:rFonts w:hint="eastAsia" w:cs="@仿宋_GB2312" w:asciiTheme="minorEastAsia" w:hAnsiTheme="minorEastAsia" w:eastAsiaTheme="minorEastAsia"/>
          <w:b/>
          <w:bCs/>
          <w:color w:val="auto"/>
          <w:sz w:val="24"/>
          <w:szCs w:val="20"/>
          <w:highlight w:val="none"/>
          <w:lang w:val="en-US"/>
        </w:rPr>
        <w:t>提供国家相关检测机构出具的检验报告</w:t>
      </w:r>
      <w:r>
        <w:rPr>
          <w:rFonts w:hint="eastAsia" w:cs="@仿宋_GB2312" w:asciiTheme="minorEastAsia" w:hAnsiTheme="minorEastAsia" w:eastAsiaTheme="minorEastAsia"/>
          <w:b/>
          <w:bCs/>
          <w:color w:val="auto"/>
          <w:sz w:val="24"/>
          <w:szCs w:val="20"/>
          <w:highlight w:val="none"/>
          <w:lang w:val="en-US" w:eastAsia="zh-CN"/>
        </w:rPr>
        <w:t>或</w:t>
      </w:r>
      <w:r>
        <w:rPr>
          <w:rFonts w:hint="eastAsia" w:cs="@仿宋_GB2312" w:asciiTheme="minorEastAsia" w:hAnsiTheme="minorEastAsia" w:eastAsiaTheme="minorEastAsia"/>
          <w:b/>
          <w:bCs/>
          <w:color w:val="auto"/>
          <w:sz w:val="24"/>
          <w:szCs w:val="20"/>
          <w:highlight w:val="none"/>
          <w:lang w:val="en-US"/>
        </w:rPr>
        <w:t>生产厂家公开发布的印刷资料等技术资料予以支持。没有技术资料支持的技术参数及配置不能视为响应。(厂家出具的合格证书供货时提供。)</w:t>
      </w:r>
    </w:p>
    <w:p w14:paraId="570D2F0A">
      <w:pPr>
        <w:pStyle w:val="9"/>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auto"/>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（四）技术支持</w:t>
      </w:r>
    </w:p>
    <w:p w14:paraId="654572F6">
      <w:pPr>
        <w:pStyle w:val="9"/>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auto"/>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1.成交供应商应向采购人提供全方位、及时而有效的技术支持和服务。</w:t>
      </w:r>
    </w:p>
    <w:p w14:paraId="1CA2FF1C">
      <w:pPr>
        <w:pStyle w:val="9"/>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auto"/>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2.成交供应商负责供货。</w:t>
      </w:r>
    </w:p>
    <w:p w14:paraId="60595DD0">
      <w:pPr>
        <w:pStyle w:val="9"/>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auto"/>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3.成交供应商负责将货物的全部有关技术文件（外文应提供中文翻译资料，下同）、资料、测试、验收报告等汇集成册交付采购人，涉及进口的产品或部件配件软件等须提供中国海关进口货物报关单、完税证明及商检证明等材料。</w:t>
      </w:r>
    </w:p>
    <w:p w14:paraId="7E7CC646">
      <w:pPr>
        <w:pStyle w:val="9"/>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auto"/>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（五）质保及售后服务：</w:t>
      </w:r>
    </w:p>
    <w:p w14:paraId="4DED485A">
      <w:pPr>
        <w:pStyle w:val="9"/>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auto"/>
        <w:rPr>
          <w:rFonts w:hint="eastAsia"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1.</w:t>
      </w:r>
      <w:r>
        <w:rPr>
          <w:rFonts w:hint="eastAsia" w:cs="@仿宋_GB2312" w:asciiTheme="minorEastAsia" w:hAnsiTheme="minorEastAsia" w:eastAsiaTheme="minorEastAsia"/>
          <w:b/>
          <w:bCs/>
          <w:color w:val="auto"/>
          <w:sz w:val="24"/>
          <w:szCs w:val="20"/>
          <w:highlight w:val="none"/>
          <w:lang w:val="en-US" w:eastAsia="zh-CN"/>
        </w:rPr>
        <w:t>免费质保期为验收合格之日起不少于1年。</w:t>
      </w:r>
      <w:r>
        <w:rPr>
          <w:rFonts w:hint="eastAsia" w:cs="@仿宋_GB2312" w:asciiTheme="minorEastAsia" w:hAnsiTheme="minorEastAsia" w:eastAsiaTheme="minorEastAsia"/>
          <w:color w:val="auto"/>
          <w:sz w:val="24"/>
          <w:szCs w:val="20"/>
          <w:highlight w:val="none"/>
          <w:lang w:val="en-US" w:eastAsia="zh-CN"/>
        </w:rPr>
        <w:t xml:space="preserve">在免费质保服务期限内，成交供应商应在合同货物出现故障和缺陷时，接到采购人通知后2小时内予以答复，如采购人有要求或必要时，成交供应商应在接到采购人通知后24小时内进行维修，属于人为损坏的由采购人负责。 </w:t>
      </w:r>
    </w:p>
    <w:p w14:paraId="6DC20F08">
      <w:pPr>
        <w:pStyle w:val="9"/>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auto"/>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eastAsia="zh-CN"/>
        </w:rPr>
        <w:t>2.成交供应商不履行免费质保期约定的，采购人有权依法依规追究成交供应商法律责任，由此产生的责任与后果均由成交供应商承担</w:t>
      </w:r>
      <w:r>
        <w:rPr>
          <w:rFonts w:hint="eastAsia" w:cs="@仿宋_GB2312" w:asciiTheme="minorEastAsia" w:hAnsiTheme="minorEastAsia" w:eastAsiaTheme="minorEastAsia"/>
          <w:color w:val="auto"/>
          <w:sz w:val="24"/>
          <w:szCs w:val="20"/>
          <w:highlight w:val="none"/>
          <w:lang w:val="en-US"/>
        </w:rPr>
        <w:t>。</w:t>
      </w:r>
    </w:p>
    <w:p w14:paraId="1774CD3F">
      <w:pPr>
        <w:pStyle w:val="9"/>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auto"/>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（六）验收：</w:t>
      </w:r>
    </w:p>
    <w:p w14:paraId="0458DA24">
      <w:pPr>
        <w:pStyle w:val="9"/>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auto"/>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1.采购人和相关部门按照国家规定标准验收，没有国家标准的按行业标准验收，无行业标准的按地方或企业标准验收，成交供应商予以配合。</w:t>
      </w:r>
      <w:r>
        <w:rPr>
          <w:rFonts w:hint="eastAsia" w:cs="@仿宋_GB2312" w:asciiTheme="minorEastAsia" w:hAnsiTheme="minorEastAsia" w:eastAsiaTheme="minorEastAsia"/>
          <w:b/>
          <w:bCs/>
          <w:color w:val="auto"/>
          <w:sz w:val="24"/>
          <w:szCs w:val="20"/>
          <w:highlight w:val="none"/>
          <w:lang w:val="en-US"/>
        </w:rPr>
        <w:t>涉及安全、消防、环保等其他需要由质检或行业主管部门验收的项目，采购人须约请相关部门和专家参加项目验收。</w:t>
      </w:r>
    </w:p>
    <w:p w14:paraId="1D616CEE">
      <w:pPr>
        <w:pStyle w:val="9"/>
        <w:keepNext w:val="0"/>
        <w:keepLines w:val="0"/>
        <w:pageBreakBefore w:val="0"/>
        <w:widowControl w:val="0"/>
        <w:kinsoku/>
        <w:wordWrap/>
        <w:overflowPunct/>
        <w:topLinePunct w:val="0"/>
        <w:autoSpaceDE/>
        <w:autoSpaceDN/>
        <w:bidi w:val="0"/>
        <w:adjustRightInd/>
        <w:snapToGrid/>
        <w:spacing w:after="0" w:line="480" w:lineRule="exact"/>
        <w:ind w:firstLine="480" w:firstLineChars="200"/>
        <w:jc w:val="left"/>
        <w:textAlignment w:val="auto"/>
        <w:rPr>
          <w:rFonts w:hint="eastAsia"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rPr>
        <w:t>2.货物在验收时，成交供应商应提供发票、制造厂家出具的产品合格证书、装箱清单等,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成交供应商提供的必要文件。</w:t>
      </w:r>
    </w:p>
    <w:p w14:paraId="51F48520">
      <w:pPr>
        <w:pStyle w:val="9"/>
        <w:spacing w:after="0" w:line="500" w:lineRule="exact"/>
        <w:ind w:firstLine="562" w:firstLineChars="200"/>
        <w:jc w:val="left"/>
        <w:rPr>
          <w:rFonts w:hint="eastAsia" w:asciiTheme="minorEastAsia" w:hAnsiTheme="minorEastAsia" w:eastAsiaTheme="minorEastAsia"/>
          <w:b/>
          <w:color w:val="auto"/>
          <w:sz w:val="28"/>
          <w:highlight w:val="none"/>
        </w:rPr>
      </w:pPr>
      <w:bookmarkStart w:id="41" w:name="_Toc15765"/>
    </w:p>
    <w:p w14:paraId="24FD5A7D">
      <w:pPr>
        <w:spacing w:line="380" w:lineRule="exact"/>
        <w:jc w:val="center"/>
        <w:outlineLvl w:val="0"/>
        <w:rPr>
          <w:rFonts w:hint="eastAsia" w:asciiTheme="minorEastAsia" w:hAnsiTheme="minorEastAsia" w:eastAsiaTheme="minorEastAsia"/>
          <w:b/>
          <w:color w:val="auto"/>
          <w:sz w:val="28"/>
          <w:highlight w:val="none"/>
        </w:rPr>
      </w:pPr>
    </w:p>
    <w:p w14:paraId="7471BDBF">
      <w:pPr>
        <w:spacing w:line="380" w:lineRule="exact"/>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评审方法和标准</w:t>
      </w:r>
      <w:bookmarkEnd w:id="41"/>
    </w:p>
    <w:p w14:paraId="115BA2E1">
      <w:pPr>
        <w:spacing w:line="360" w:lineRule="auto"/>
        <w:ind w:firstLine="437"/>
        <w:outlineLvl w:val="1"/>
        <w:rPr>
          <w:rFonts w:asciiTheme="minorEastAsia" w:hAnsiTheme="minorEastAsia" w:eastAsiaTheme="minorEastAsia"/>
          <w:b/>
          <w:color w:val="auto"/>
          <w:sz w:val="24"/>
          <w:highlight w:val="none"/>
        </w:rPr>
      </w:pPr>
      <w:bookmarkStart w:id="42" w:name="_Toc11117"/>
      <w:bookmarkStart w:id="43" w:name="_Toc1221"/>
      <w:r>
        <w:rPr>
          <w:rFonts w:hint="eastAsia" w:asciiTheme="minorEastAsia" w:hAnsiTheme="minorEastAsia" w:eastAsiaTheme="minorEastAsia"/>
          <w:b/>
          <w:color w:val="auto"/>
          <w:sz w:val="24"/>
          <w:highlight w:val="none"/>
        </w:rPr>
        <w:t>一、总则</w:t>
      </w:r>
      <w:bookmarkEnd w:id="42"/>
      <w:bookmarkEnd w:id="43"/>
    </w:p>
    <w:p w14:paraId="3D04CF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第二章 供应商须知的相关要求</w:t>
      </w:r>
      <w:r>
        <w:rPr>
          <w:rFonts w:asciiTheme="minorEastAsia" w:hAnsiTheme="minorEastAsia" w:eastAsiaTheme="minorEastAsia"/>
          <w:color w:val="auto"/>
          <w:sz w:val="24"/>
          <w:highlight w:val="none"/>
        </w:rPr>
        <w:t>及本章的规定评</w:t>
      </w:r>
      <w:r>
        <w:rPr>
          <w:rFonts w:hint="eastAsia" w:asciiTheme="minorEastAsia" w:hAnsiTheme="minorEastAsia" w:eastAsiaTheme="minorEastAsia"/>
          <w:color w:val="auto"/>
          <w:sz w:val="24"/>
          <w:highlight w:val="none"/>
        </w:rPr>
        <w:t>审</w:t>
      </w:r>
      <w:r>
        <w:rPr>
          <w:rFonts w:asciiTheme="minorEastAsia" w:hAnsiTheme="minorEastAsia" w:eastAsiaTheme="minorEastAsia"/>
          <w:color w:val="auto"/>
          <w:sz w:val="24"/>
          <w:highlight w:val="none"/>
        </w:rPr>
        <w:t>。</w:t>
      </w:r>
    </w:p>
    <w:p w14:paraId="7F8783D6">
      <w:pPr>
        <w:spacing w:line="360" w:lineRule="auto"/>
        <w:ind w:firstLine="437"/>
        <w:outlineLvl w:val="1"/>
        <w:rPr>
          <w:rFonts w:asciiTheme="minorEastAsia" w:hAnsiTheme="minorEastAsia" w:eastAsiaTheme="minorEastAsia"/>
          <w:b/>
          <w:color w:val="auto"/>
          <w:sz w:val="24"/>
          <w:highlight w:val="none"/>
        </w:rPr>
      </w:pPr>
      <w:bookmarkStart w:id="44" w:name="_Toc21906"/>
      <w:bookmarkStart w:id="45" w:name="_Toc20555"/>
      <w:r>
        <w:rPr>
          <w:rFonts w:hint="eastAsia" w:asciiTheme="minorEastAsia" w:hAnsiTheme="minorEastAsia" w:eastAsiaTheme="minorEastAsia"/>
          <w:b/>
          <w:color w:val="auto"/>
          <w:sz w:val="24"/>
          <w:highlight w:val="none"/>
        </w:rPr>
        <w:t>二、评审方法</w:t>
      </w:r>
      <w:bookmarkEnd w:id="44"/>
      <w:bookmarkEnd w:id="45"/>
    </w:p>
    <w:p w14:paraId="46526201">
      <w:pPr>
        <w:spacing w:line="360" w:lineRule="auto"/>
        <w:ind w:firstLine="435"/>
        <w:rPr>
          <w:rFonts w:asciiTheme="minorEastAsia" w:hAnsiTheme="minorEastAsia" w:eastAsiaTheme="minorEastAsia"/>
          <w:color w:val="auto"/>
          <w:sz w:val="24"/>
          <w:highlight w:val="none"/>
        </w:rPr>
      </w:pPr>
      <w:bookmarkStart w:id="46" w:name="_Hlk23204339"/>
      <w:r>
        <w:rPr>
          <w:rFonts w:hint="eastAsia" w:asciiTheme="minorEastAsia" w:hAnsiTheme="minorEastAsia" w:eastAsiaTheme="minorEastAsia"/>
          <w:color w:val="auto"/>
          <w:sz w:val="24"/>
          <w:highlight w:val="none"/>
        </w:rPr>
        <w:t>询价小组对通过供应商的响应文件进行评审，以确定其是否满足</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的实质性要求。评审表如下：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488"/>
        <w:gridCol w:w="4865"/>
        <w:gridCol w:w="2240"/>
      </w:tblGrid>
      <w:tr w14:paraId="19A7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8E10A5E">
            <w:pPr>
              <w:adjustRightInd w:val="0"/>
              <w:snapToGrid w:val="0"/>
              <w:spacing w:line="360" w:lineRule="auto"/>
              <w:ind w:right="-10"/>
              <w:jc w:val="center"/>
              <w:rPr>
                <w:rFonts w:asciiTheme="minorEastAsia" w:hAnsiTheme="minorEastAsia" w:eastAsiaTheme="minorEastAsia"/>
                <w:color w:val="auto"/>
                <w:sz w:val="24"/>
                <w:highlight w:val="none"/>
              </w:rPr>
            </w:pPr>
            <w:bookmarkStart w:id="47" w:name="_Hlk60605773"/>
            <w:r>
              <w:rPr>
                <w:rFonts w:hint="eastAsia" w:asciiTheme="minorEastAsia" w:hAnsiTheme="minorEastAsia" w:eastAsiaTheme="minorEastAsia"/>
                <w:b/>
                <w:color w:val="auto"/>
                <w:sz w:val="24"/>
                <w:szCs w:val="22"/>
                <w:highlight w:val="none"/>
              </w:rPr>
              <w:t>评审表</w:t>
            </w:r>
          </w:p>
        </w:tc>
      </w:tr>
      <w:tr w14:paraId="3EFA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74" w:type="pct"/>
            <w:tcBorders>
              <w:bottom w:val="single" w:color="auto" w:sz="4" w:space="0"/>
            </w:tcBorders>
            <w:vAlign w:val="center"/>
          </w:tcPr>
          <w:p w14:paraId="26EB8E2B">
            <w:pPr>
              <w:keepNext w:val="0"/>
              <w:keepLines w:val="0"/>
              <w:pageBreakBefore w:val="0"/>
              <w:widowControl w:val="0"/>
              <w:kinsoku/>
              <w:wordWrap/>
              <w:overflowPunct/>
              <w:topLinePunct w:val="0"/>
              <w:autoSpaceDE/>
              <w:autoSpaceDN/>
              <w:bidi w:val="0"/>
              <w:adjustRightInd w:val="0"/>
              <w:snapToGrid w:val="0"/>
              <w:spacing w:line="240" w:lineRule="exact"/>
              <w:ind w:righ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801" w:type="pct"/>
            <w:tcBorders>
              <w:bottom w:val="single" w:color="auto" w:sz="4" w:space="0"/>
            </w:tcBorders>
            <w:vAlign w:val="center"/>
          </w:tcPr>
          <w:p w14:paraId="64F352CA">
            <w:pPr>
              <w:pStyle w:val="4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val="0"/>
              <w:spacing w:line="240" w:lineRule="exact"/>
              <w:ind w:right="0"/>
              <w:textAlignment w:val="auto"/>
              <w:rPr>
                <w:rFonts w:asciiTheme="minorEastAsia" w:hAnsiTheme="minorEastAsia" w:eastAsiaTheme="minorEastAsia"/>
                <w:color w:val="auto"/>
                <w:kern w:val="2"/>
                <w:szCs w:val="24"/>
                <w:highlight w:val="none"/>
              </w:rPr>
            </w:pPr>
            <w:r>
              <w:rPr>
                <w:rFonts w:hint="eastAsia" w:asciiTheme="minorEastAsia" w:hAnsiTheme="minorEastAsia" w:eastAsiaTheme="minorEastAsia"/>
                <w:color w:val="auto"/>
                <w:kern w:val="2"/>
                <w:szCs w:val="24"/>
                <w:highlight w:val="none"/>
              </w:rPr>
              <w:t>审查指标</w:t>
            </w:r>
          </w:p>
        </w:tc>
        <w:tc>
          <w:tcPr>
            <w:tcW w:w="2619" w:type="pct"/>
            <w:tcBorders>
              <w:bottom w:val="single" w:color="auto" w:sz="4" w:space="0"/>
            </w:tcBorders>
            <w:vAlign w:val="center"/>
          </w:tcPr>
          <w:p w14:paraId="57962351">
            <w:pPr>
              <w:keepNext w:val="0"/>
              <w:keepLines w:val="0"/>
              <w:pageBreakBefore w:val="0"/>
              <w:widowControl w:val="0"/>
              <w:kinsoku/>
              <w:wordWrap/>
              <w:overflowPunct/>
              <w:topLinePunct w:val="0"/>
              <w:autoSpaceDE/>
              <w:autoSpaceDN/>
              <w:bidi w:val="0"/>
              <w:adjustRightInd w:val="0"/>
              <w:snapToGrid w:val="0"/>
              <w:spacing w:line="240" w:lineRule="exact"/>
              <w:ind w:righ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审查标准</w:t>
            </w:r>
          </w:p>
        </w:tc>
        <w:tc>
          <w:tcPr>
            <w:tcW w:w="1203" w:type="pct"/>
            <w:tcBorders>
              <w:bottom w:val="single" w:color="auto" w:sz="4" w:space="0"/>
            </w:tcBorders>
            <w:vAlign w:val="center"/>
          </w:tcPr>
          <w:p w14:paraId="2F6ECB0C">
            <w:pPr>
              <w:keepNext w:val="0"/>
              <w:keepLines w:val="0"/>
              <w:pageBreakBefore w:val="0"/>
              <w:widowControl w:val="0"/>
              <w:kinsoku/>
              <w:wordWrap/>
              <w:overflowPunct/>
              <w:topLinePunct w:val="0"/>
              <w:autoSpaceDE/>
              <w:autoSpaceDN/>
              <w:bidi w:val="0"/>
              <w:adjustRightInd w:val="0"/>
              <w:snapToGrid w:val="0"/>
              <w:spacing w:line="240" w:lineRule="exact"/>
              <w:ind w:righ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格式要求</w:t>
            </w:r>
          </w:p>
        </w:tc>
      </w:tr>
      <w:tr w14:paraId="60AE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4" w:type="pct"/>
            <w:tcBorders>
              <w:bottom w:val="single" w:color="auto" w:sz="4" w:space="0"/>
            </w:tcBorders>
            <w:vAlign w:val="center"/>
          </w:tcPr>
          <w:p w14:paraId="37538FC7">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1</w:t>
            </w:r>
          </w:p>
        </w:tc>
        <w:tc>
          <w:tcPr>
            <w:tcW w:w="801" w:type="pct"/>
            <w:tcBorders>
              <w:bottom w:val="single" w:color="auto" w:sz="4" w:space="0"/>
            </w:tcBorders>
            <w:vAlign w:val="center"/>
          </w:tcPr>
          <w:p w14:paraId="0A59D3F0">
            <w:pPr>
              <w:spacing w:after="50" w:line="360" w:lineRule="auto"/>
              <w:ind w:right="-10"/>
              <w:jc w:val="center"/>
              <w:rPr>
                <w:rFonts w:asciiTheme="minorEastAsia" w:hAnsiTheme="minorEastAsia" w:eastAsiaTheme="minorEastAsia"/>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619" w:type="pct"/>
            <w:tcBorders>
              <w:bottom w:val="single" w:color="auto" w:sz="4" w:space="0"/>
            </w:tcBorders>
            <w:vAlign w:val="center"/>
          </w:tcPr>
          <w:p w14:paraId="7395EF70">
            <w:pPr>
              <w:spacing w:after="50" w:line="360" w:lineRule="auto"/>
              <w:ind w:right="-1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10F56458">
            <w:pPr>
              <w:spacing w:after="50" w:line="360" w:lineRule="auto"/>
              <w:ind w:right="-10"/>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rPr>
              <w:t>（2）供应商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tc>
        <w:tc>
          <w:tcPr>
            <w:tcW w:w="1203" w:type="pct"/>
            <w:vAlign w:val="center"/>
          </w:tcPr>
          <w:p w14:paraId="20FA4BAA">
            <w:pPr>
              <w:spacing w:line="360" w:lineRule="auto"/>
              <w:jc w:val="left"/>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提供材料扫描件或电子证照，应完整的体现出材料或电子证照全部内容。</w:t>
            </w:r>
          </w:p>
        </w:tc>
      </w:tr>
      <w:tr w14:paraId="63CF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bottom w:val="single" w:color="auto" w:sz="4" w:space="0"/>
            </w:tcBorders>
            <w:vAlign w:val="center"/>
          </w:tcPr>
          <w:p w14:paraId="74AE64C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宋体" w:hAnsi="宋体" w:eastAsia="宋体"/>
                <w:color w:val="auto"/>
                <w:sz w:val="24"/>
                <w:highlight w:val="none"/>
              </w:rPr>
              <w:t>2</w:t>
            </w:r>
          </w:p>
        </w:tc>
        <w:tc>
          <w:tcPr>
            <w:tcW w:w="801" w:type="pct"/>
            <w:tcBorders>
              <w:bottom w:val="single" w:color="auto" w:sz="4" w:space="0"/>
            </w:tcBorders>
            <w:vAlign w:val="center"/>
          </w:tcPr>
          <w:p w14:paraId="113DC98D">
            <w:pPr>
              <w:spacing w:after="50" w:line="360" w:lineRule="auto"/>
              <w:ind w:right="-10"/>
              <w:jc w:val="center"/>
              <w:rPr>
                <w:rFonts w:asciiTheme="minorEastAsia" w:hAnsiTheme="minorEastAsia" w:eastAsiaTheme="minorEastAsia"/>
                <w:color w:val="auto"/>
                <w:sz w:val="24"/>
                <w:szCs w:val="28"/>
                <w:highlight w:val="none"/>
              </w:rPr>
            </w:pPr>
            <w:r>
              <w:rPr>
                <w:rFonts w:hint="eastAsia" w:ascii="宋体" w:hAnsi="宋体" w:eastAsia="宋体"/>
                <w:color w:val="auto"/>
                <w:sz w:val="24"/>
                <w:szCs w:val="18"/>
                <w:highlight w:val="none"/>
              </w:rPr>
              <w:t>供应商资格声明书</w:t>
            </w:r>
          </w:p>
        </w:tc>
        <w:tc>
          <w:tcPr>
            <w:tcW w:w="2619" w:type="pct"/>
            <w:tcBorders>
              <w:bottom w:val="single" w:color="auto" w:sz="4" w:space="0"/>
            </w:tcBorders>
            <w:vAlign w:val="center"/>
          </w:tcPr>
          <w:p w14:paraId="3556B68B">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eastAsia="zh-CN"/>
              </w:rPr>
              <w:t>询价采购文件</w:t>
            </w:r>
            <w:r>
              <w:rPr>
                <w:rFonts w:ascii="宋体" w:hAnsi="宋体" w:eastAsia="宋体" w:cs="宋体"/>
                <w:color w:val="auto"/>
                <w:sz w:val="24"/>
                <w:szCs w:val="24"/>
                <w:highlight w:val="none"/>
              </w:rPr>
              <w:t>要求的《</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rPr>
              <w:t>。</w:t>
            </w:r>
          </w:p>
        </w:tc>
        <w:tc>
          <w:tcPr>
            <w:tcW w:w="1203" w:type="pct"/>
            <w:tcBorders>
              <w:bottom w:val="single" w:color="auto" w:sz="4" w:space="0"/>
            </w:tcBorders>
            <w:vAlign w:val="center"/>
          </w:tcPr>
          <w:p w14:paraId="0DA2EC65">
            <w:pPr>
              <w:spacing w:line="360" w:lineRule="auto"/>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1B3C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5AB73BC6">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ajorEastAsia" w:hAnsiTheme="majorEastAsia" w:eastAsiaTheme="majorEastAsia"/>
                <w:color w:val="auto"/>
                <w:sz w:val="24"/>
                <w:highlight w:val="none"/>
                <w:lang w:val="en-US" w:eastAsia="zh-CN"/>
              </w:rPr>
              <w:t>3</w:t>
            </w:r>
          </w:p>
        </w:tc>
        <w:tc>
          <w:tcPr>
            <w:tcW w:w="801" w:type="pct"/>
            <w:vAlign w:val="center"/>
          </w:tcPr>
          <w:p w14:paraId="37C5B15F">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响应函</w:t>
            </w:r>
          </w:p>
        </w:tc>
        <w:tc>
          <w:tcPr>
            <w:tcW w:w="2619" w:type="pct"/>
            <w:vAlign w:val="center"/>
          </w:tcPr>
          <w:p w14:paraId="64FACFB9">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规定并加盖供应商电子签章</w:t>
            </w:r>
          </w:p>
        </w:tc>
        <w:tc>
          <w:tcPr>
            <w:tcW w:w="1203" w:type="pct"/>
            <w:vAlign w:val="center"/>
          </w:tcPr>
          <w:p w14:paraId="5782970B">
            <w:pPr>
              <w:adjustRightInd w:val="0"/>
              <w:snapToGrid w:val="0"/>
              <w:spacing w:line="360" w:lineRule="auto"/>
              <w:ind w:right="-10"/>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1A96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68E58C73">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4</w:t>
            </w:r>
          </w:p>
        </w:tc>
        <w:tc>
          <w:tcPr>
            <w:tcW w:w="801" w:type="pct"/>
            <w:vAlign w:val="center"/>
          </w:tcPr>
          <w:p w14:paraId="1E74B5DF">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2619" w:type="pct"/>
            <w:vAlign w:val="center"/>
          </w:tcPr>
          <w:p w14:paraId="45B1F149">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规定并加盖供应商电子签章</w:t>
            </w:r>
          </w:p>
        </w:tc>
        <w:tc>
          <w:tcPr>
            <w:tcW w:w="1203" w:type="pct"/>
            <w:vAlign w:val="center"/>
          </w:tcPr>
          <w:p w14:paraId="041CA802">
            <w:pPr>
              <w:adjustRightInd w:val="0"/>
              <w:snapToGrid w:val="0"/>
              <w:spacing w:line="360" w:lineRule="auto"/>
              <w:ind w:right="-1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法定代表人参加询价的无需此件，提供身份证明即可。</w:t>
            </w:r>
            <w:r>
              <w:rPr>
                <w:rFonts w:hint="eastAsia" w:ascii="宋体" w:hAnsi="宋体" w:eastAsia="宋体"/>
                <w:color w:val="auto"/>
                <w:sz w:val="24"/>
                <w:highlight w:val="none"/>
              </w:rPr>
              <w:t>详见第六章响应文件格式。</w:t>
            </w:r>
          </w:p>
        </w:tc>
      </w:tr>
      <w:tr w14:paraId="38FA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249E27C9">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5</w:t>
            </w:r>
          </w:p>
        </w:tc>
        <w:tc>
          <w:tcPr>
            <w:tcW w:w="801" w:type="pct"/>
            <w:vAlign w:val="center"/>
          </w:tcPr>
          <w:p w14:paraId="40C6F7AE">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报价</w:t>
            </w:r>
          </w:p>
        </w:tc>
        <w:tc>
          <w:tcPr>
            <w:tcW w:w="2619" w:type="pct"/>
            <w:vAlign w:val="center"/>
          </w:tcPr>
          <w:p w14:paraId="28C05958">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供应商须知正文第9条要求</w:t>
            </w:r>
          </w:p>
        </w:tc>
        <w:tc>
          <w:tcPr>
            <w:tcW w:w="1203" w:type="pct"/>
            <w:vAlign w:val="center"/>
          </w:tcPr>
          <w:p w14:paraId="4C82B6D4">
            <w:pPr>
              <w:adjustRightInd w:val="0"/>
              <w:snapToGrid w:val="0"/>
              <w:spacing w:line="360" w:lineRule="auto"/>
              <w:ind w:right="-10"/>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4A14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43C99ED2">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w:t>
            </w:r>
          </w:p>
        </w:tc>
        <w:tc>
          <w:tcPr>
            <w:tcW w:w="801" w:type="pct"/>
            <w:vAlign w:val="center"/>
          </w:tcPr>
          <w:p w14:paraId="69FB34E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2619" w:type="pct"/>
            <w:vAlign w:val="center"/>
          </w:tcPr>
          <w:p w14:paraId="561A6EC8">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szCs w:val="28"/>
                <w:highlight w:val="none"/>
              </w:rPr>
              <w:t>采购需求中对付款方式、供货期限、供货地点、免费质保期等实质性要求</w:t>
            </w:r>
          </w:p>
        </w:tc>
        <w:tc>
          <w:tcPr>
            <w:tcW w:w="1203" w:type="pct"/>
            <w:vAlign w:val="center"/>
          </w:tcPr>
          <w:p w14:paraId="749B2E11">
            <w:pPr>
              <w:adjustRightInd w:val="0"/>
              <w:snapToGrid w:val="0"/>
              <w:spacing w:line="360" w:lineRule="auto"/>
              <w:ind w:right="-10"/>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1DA3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18B9C8E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7</w:t>
            </w:r>
          </w:p>
        </w:tc>
        <w:tc>
          <w:tcPr>
            <w:tcW w:w="801" w:type="pct"/>
            <w:vAlign w:val="center"/>
          </w:tcPr>
          <w:p w14:paraId="219A004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技术响应情况</w:t>
            </w:r>
          </w:p>
        </w:tc>
        <w:tc>
          <w:tcPr>
            <w:tcW w:w="2619" w:type="pct"/>
            <w:vAlign w:val="center"/>
          </w:tcPr>
          <w:p w14:paraId="2881E795">
            <w:pPr>
              <w:wordWrap w:val="0"/>
              <w:spacing w:after="50" w:line="360" w:lineRule="auto"/>
              <w:ind w:right="-11"/>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szCs w:val="28"/>
                <w:highlight w:val="none"/>
              </w:rPr>
              <w:t>采购需求中货物技术参数等实质性要求</w:t>
            </w:r>
          </w:p>
        </w:tc>
        <w:tc>
          <w:tcPr>
            <w:tcW w:w="1203" w:type="pct"/>
            <w:vAlign w:val="center"/>
          </w:tcPr>
          <w:p w14:paraId="4BA981EA">
            <w:pPr>
              <w:adjustRightInd w:val="0"/>
              <w:snapToGrid w:val="0"/>
              <w:spacing w:line="360" w:lineRule="auto"/>
              <w:ind w:right="-10"/>
              <w:jc w:val="left"/>
              <w:rPr>
                <w:rFonts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5C6E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631110A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宋体" w:hAnsi="宋体" w:eastAsia="宋体"/>
                <w:color w:val="auto"/>
                <w:sz w:val="24"/>
                <w:highlight w:val="none"/>
                <w:lang w:val="en-US" w:eastAsia="zh-CN"/>
              </w:rPr>
              <w:t>8</w:t>
            </w:r>
          </w:p>
        </w:tc>
        <w:tc>
          <w:tcPr>
            <w:tcW w:w="801" w:type="pct"/>
            <w:vAlign w:val="center"/>
          </w:tcPr>
          <w:p w14:paraId="1125E072">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2619" w:type="pct"/>
            <w:vAlign w:val="center"/>
          </w:tcPr>
          <w:p w14:paraId="4D4EC6FD">
            <w:pPr>
              <w:spacing w:after="50" w:line="360" w:lineRule="auto"/>
              <w:ind w:right="-10"/>
              <w:jc w:val="left"/>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eastAsia="zh-CN"/>
              </w:rPr>
              <w:t>询价采购文件</w:t>
            </w:r>
            <w:r>
              <w:rPr>
                <w:rFonts w:hint="eastAsia" w:asciiTheme="minorEastAsia" w:hAnsiTheme="minorEastAsia" w:eastAsiaTheme="minorEastAsia"/>
                <w:color w:val="auto"/>
                <w:sz w:val="24"/>
                <w:szCs w:val="28"/>
                <w:highlight w:val="none"/>
              </w:rPr>
              <w:t>列明的其他实质性要求</w:t>
            </w:r>
          </w:p>
        </w:tc>
        <w:tc>
          <w:tcPr>
            <w:tcW w:w="1203" w:type="pct"/>
            <w:vAlign w:val="center"/>
          </w:tcPr>
          <w:p w14:paraId="199D307C">
            <w:pPr>
              <w:adjustRightInd w:val="0"/>
              <w:snapToGrid w:val="0"/>
              <w:spacing w:line="360" w:lineRule="auto"/>
              <w:ind w:right="-10"/>
              <w:jc w:val="left"/>
              <w:rPr>
                <w:rFonts w:asciiTheme="minorEastAsia" w:hAnsiTheme="minorEastAsia" w:eastAsiaTheme="minorEastAsia"/>
                <w:color w:val="auto"/>
                <w:sz w:val="24"/>
                <w:highlight w:val="none"/>
              </w:rPr>
            </w:pPr>
          </w:p>
        </w:tc>
      </w:tr>
      <w:bookmarkEnd w:id="47"/>
    </w:tbl>
    <w:p w14:paraId="46EDBF9E">
      <w:pPr>
        <w:spacing w:line="360" w:lineRule="auto"/>
        <w:ind w:firstLine="435"/>
        <w:rPr>
          <w:rFonts w:asciiTheme="minorEastAsia" w:hAnsiTheme="minorEastAsia" w:eastAsiaTheme="minorEastAsia"/>
          <w:color w:val="auto"/>
          <w:sz w:val="24"/>
          <w:highlight w:val="none"/>
        </w:rPr>
      </w:pPr>
      <w:bookmarkStart w:id="48" w:name="_Hlk16461707"/>
      <w:r>
        <w:rPr>
          <w:rFonts w:hint="eastAsia" w:asciiTheme="minorEastAsia" w:hAnsiTheme="minorEastAsia" w:eastAsiaTheme="minorEastAsia"/>
          <w:b/>
          <w:bCs/>
          <w:color w:val="auto"/>
          <w:sz w:val="24"/>
          <w:highlight w:val="none"/>
        </w:rPr>
        <w:t>评审指标通过标准：</w:t>
      </w:r>
      <w:r>
        <w:rPr>
          <w:rFonts w:hint="eastAsia" w:asciiTheme="minorEastAsia" w:hAnsiTheme="minorEastAsia" w:eastAsiaTheme="minorEastAsia"/>
          <w:color w:val="auto"/>
          <w:sz w:val="24"/>
          <w:highlight w:val="none"/>
        </w:rPr>
        <w:t>供应商必须通过评审表中的全部评审指标。</w:t>
      </w:r>
    </w:p>
    <w:bookmarkEnd w:id="46"/>
    <w:bookmarkEnd w:id="48"/>
    <w:p w14:paraId="4ECBB56E">
      <w:pPr>
        <w:spacing w:line="360" w:lineRule="auto"/>
        <w:ind w:firstLine="437"/>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三.无效响应条款</w:t>
      </w:r>
    </w:p>
    <w:p w14:paraId="3A862D8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3.1响应文件有下列情形之一的,其响应文件拒收：</w:t>
      </w:r>
    </w:p>
    <w:p w14:paraId="5BFCC53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(1)未在响应文件递交截止时间前通过网上招标投标系统递交有效电子响应文件的，系统不予接收，其将被拒绝。</w:t>
      </w:r>
    </w:p>
    <w:p w14:paraId="369B341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(2)供应商接到远程解密指令后</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须在规定时间内解密。因供应商自身原因导致响应文件在规定时间内未能解密、解密失败或解密超时，响应文件无效；</w:t>
      </w:r>
      <w:r>
        <w:rPr>
          <w:rFonts w:hint="eastAsia" w:asciiTheme="minorEastAsia" w:hAnsiTheme="minorEastAsia" w:eastAsiaTheme="minorEastAsia"/>
          <w:color w:val="auto"/>
          <w:sz w:val="24"/>
          <w:highlight w:val="none"/>
          <w:lang w:val="en-US" w:eastAsia="zh-CN"/>
        </w:rPr>
        <w:t>在规定时间内完成解密</w:t>
      </w:r>
      <w:r>
        <w:rPr>
          <w:rFonts w:hint="eastAsia" w:asciiTheme="minorEastAsia" w:hAnsiTheme="minorEastAsia" w:eastAsiaTheme="minorEastAsia"/>
          <w:color w:val="auto"/>
          <w:sz w:val="24"/>
          <w:highlight w:val="none"/>
        </w:rPr>
        <w:t>，否则响应文件将被拒绝。</w:t>
      </w:r>
    </w:p>
    <w:p w14:paraId="62C40E3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3.2供应商有下列情形之一的,资格审查后其作无效响应处理：</w:t>
      </w:r>
    </w:p>
    <w:p w14:paraId="32678B1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（1）供应商为本项目提供采购代理服务的；</w:t>
      </w:r>
    </w:p>
    <w:p w14:paraId="72AB25B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（2）供应商与在本项目代理机构存在相互任职或工作的；</w:t>
      </w:r>
    </w:p>
    <w:p w14:paraId="424590E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（3）与采购人存在利害关系可能影响采购公正性的法人、其他组织或者个人；</w:t>
      </w:r>
    </w:p>
    <w:p w14:paraId="5C6FF0F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）评审专家无法查看并检验电子响应文件中相关资料的；</w:t>
      </w:r>
    </w:p>
    <w:p w14:paraId="1342F57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）责令停产停业的；</w:t>
      </w:r>
    </w:p>
    <w:p w14:paraId="5EE037E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）暂停或者取消参与政府采购项目资格的；</w:t>
      </w:r>
    </w:p>
    <w:p w14:paraId="28E1E19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）单位负责人为同一人或者存在直接控股、管理关系的不同单位的；</w:t>
      </w:r>
    </w:p>
    <w:p w14:paraId="7B530648">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rPr>
        <w:t>）供应商基本资格条件和特定资格条件中有一项及以上不符合要求的；</w:t>
      </w:r>
    </w:p>
    <w:p w14:paraId="7C32401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询价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w:t>
      </w:r>
    </w:p>
    <w:p w14:paraId="078689AA">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）其它情形，经询价小组提出按无效响应处理；</w:t>
      </w:r>
    </w:p>
    <w:p w14:paraId="2E35BB0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）供应商响应MAC地址或供应商联系人或联系电话相同的，由询价小组否决其响应，并报告监管部门作不良行为处理和进一步调查；</w:t>
      </w:r>
    </w:p>
    <w:p w14:paraId="2BE516F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）供应商单方面出现其他供应商材料的；</w:t>
      </w:r>
    </w:p>
    <w:p w14:paraId="618C8E8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）询价公告未写明允许采购进口产品，供应商所投产品为进口产品的；</w:t>
      </w:r>
    </w:p>
    <w:p w14:paraId="3CD6CC9D">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规定的其它无效情形。</w:t>
      </w:r>
    </w:p>
    <w:p w14:paraId="2C6DF6A4">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供应商有下列情形之一的,符合性审查后其按无效响应处理：</w:t>
      </w:r>
    </w:p>
    <w:p w14:paraId="319C219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（1）响应文件签章不全，经询价小组一致认定对响应内容有实质性影响；</w:t>
      </w:r>
    </w:p>
    <w:p w14:paraId="01D5C3F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w:t>
      </w:r>
    </w:p>
    <w:p w14:paraId="3A665DA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（3）同一供应商提交两个或以上不同的响应文件或者报价，但</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规定提交备选方案的除外；</w:t>
      </w:r>
    </w:p>
    <w:p w14:paraId="6CBCF351">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（4）响应文件没有对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的实质性要求和条件作出响应；</w:t>
      </w:r>
    </w:p>
    <w:p w14:paraId="3EBB1A6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（5）报价超出规定的最高限价或公布的采购预算的或供应商的报价各项单价高于</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给定的单价最高限价；</w:t>
      </w:r>
    </w:p>
    <w:p w14:paraId="73AF3846">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（6）不按询价小组要求澄清、说明或补正的，或者询价小组根据</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的规定对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的计算错误进行修正后，供应商不接受修正的报价的。</w:t>
      </w:r>
    </w:p>
    <w:p w14:paraId="511D05F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（7）其它情形，经询价小组提出按无效响应处理的；</w:t>
      </w:r>
    </w:p>
    <w:p w14:paraId="071205A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（8）响应文件含有采购人不能接受的附加条件的；</w:t>
      </w:r>
    </w:p>
    <w:p w14:paraId="61E2352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规定的其它无效响应情形。</w:t>
      </w:r>
    </w:p>
    <w:p w14:paraId="7989D97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供应商有下列情形之一的, 详细评审后其按无效响应处理：</w:t>
      </w:r>
    </w:p>
    <w:p w14:paraId="7C08058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（1）产品不符合必须强制执行的国家标准的；</w:t>
      </w:r>
    </w:p>
    <w:p w14:paraId="1FE0897C">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（2）供应商有串通、弄虚作假、行贿等违法行为；</w:t>
      </w:r>
    </w:p>
    <w:p w14:paraId="200F646D">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（3）响应文件含有违反国家法律、法规的内容，或附有采购人不能接受的条件的；</w:t>
      </w:r>
    </w:p>
    <w:p w14:paraId="58EC8ED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（4）报价明显低于其他供应商，且不能证明报价合理性的响应无效；</w:t>
      </w:r>
    </w:p>
    <w:p w14:paraId="62AAB323">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（5）拒不确认询价小组评审修正的响应无效；</w:t>
      </w:r>
    </w:p>
    <w:p w14:paraId="3119DCE7">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（6）其它情形，经询价小组提出按无效响应处理的；</w:t>
      </w:r>
    </w:p>
    <w:p w14:paraId="2B74BA6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规定的其它无效响应情形。</w:t>
      </w:r>
    </w:p>
    <w:p w14:paraId="21455D05">
      <w:pPr>
        <w:widowControl/>
        <w:jc w:val="left"/>
        <w:rPr>
          <w:rFonts w:asciiTheme="minorEastAsia" w:hAnsiTheme="minorEastAsia" w:eastAsiaTheme="minorEastAsia"/>
          <w:bCs/>
          <w:color w:val="auto"/>
          <w:sz w:val="24"/>
          <w:highlight w:val="none"/>
        </w:rPr>
      </w:pPr>
    </w:p>
    <w:p w14:paraId="224F24CE">
      <w:pPr>
        <w:rPr>
          <w:rFonts w:ascii="宋体" w:hAnsi="宋体" w:eastAsia="宋体" w:cs="宋体"/>
          <w:b/>
          <w:color w:val="auto"/>
          <w:sz w:val="28"/>
          <w:highlight w:val="none"/>
        </w:rPr>
      </w:pPr>
      <w:bookmarkStart w:id="49" w:name="_Toc5156"/>
      <w:bookmarkStart w:id="50" w:name="_Toc26650379"/>
      <w:r>
        <w:rPr>
          <w:rFonts w:hint="eastAsia" w:ascii="宋体" w:hAnsi="宋体" w:eastAsia="宋体" w:cs="宋体"/>
          <w:b/>
          <w:color w:val="auto"/>
          <w:sz w:val="28"/>
          <w:highlight w:val="none"/>
        </w:rPr>
        <w:br w:type="page"/>
      </w:r>
    </w:p>
    <w:p w14:paraId="5DD4B22E">
      <w:pPr>
        <w:spacing w:line="360" w:lineRule="auto"/>
        <w:jc w:val="center"/>
        <w:outlineLvl w:val="0"/>
        <w:rPr>
          <w:rFonts w:ascii="宋体" w:hAnsi="宋体" w:eastAsia="宋体" w:cs="宋体"/>
          <w:b/>
          <w:color w:val="auto"/>
          <w:sz w:val="28"/>
          <w:highlight w:val="none"/>
        </w:rPr>
      </w:pPr>
      <w:r>
        <w:rPr>
          <w:rFonts w:hint="eastAsia" w:ascii="宋体" w:hAnsi="宋体" w:eastAsia="宋体" w:cs="宋体"/>
          <w:b/>
          <w:color w:val="auto"/>
          <w:sz w:val="28"/>
          <w:highlight w:val="none"/>
        </w:rPr>
        <w:t>第五章  合同</w:t>
      </w:r>
      <w:bookmarkEnd w:id="49"/>
      <w:bookmarkEnd w:id="50"/>
    </w:p>
    <w:p w14:paraId="168BE38E">
      <w:pPr>
        <w:snapToGrid w:val="0"/>
        <w:spacing w:line="400" w:lineRule="exact"/>
        <w:jc w:val="center"/>
        <w:rPr>
          <w:rFonts w:ascii="宋体" w:hAnsi="宋体" w:eastAsia="宋体" w:cs="宋体"/>
          <w:b/>
          <w:color w:val="auto"/>
          <w:sz w:val="48"/>
          <w:szCs w:val="48"/>
          <w:highlight w:val="none"/>
        </w:rPr>
      </w:pPr>
      <w:r>
        <w:rPr>
          <w:rFonts w:hint="eastAsia" w:ascii="宋体" w:hAnsi="宋体" w:eastAsia="宋体" w:cs="宋体"/>
          <w:bCs/>
          <w:color w:val="auto"/>
          <w:szCs w:val="21"/>
          <w:highlight w:val="none"/>
        </w:rPr>
        <w:t>（此合同格式仅作为参考</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双方签订时和进行细化和补充</w:t>
      </w:r>
      <w:r>
        <w:rPr>
          <w:rFonts w:hint="eastAsia" w:ascii="宋体" w:hAnsi="宋体" w:eastAsia="宋体" w:cs="宋体"/>
          <w:bCs/>
          <w:color w:val="auto"/>
          <w:szCs w:val="21"/>
          <w:highlight w:val="none"/>
        </w:rPr>
        <w:t>）</w:t>
      </w:r>
    </w:p>
    <w:p w14:paraId="7321937D">
      <w:pPr>
        <w:spacing w:line="460" w:lineRule="exact"/>
        <w:ind w:left="360"/>
        <w:jc w:val="center"/>
        <w:outlineLvl w:val="1"/>
        <w:rPr>
          <w:rFonts w:ascii="宋体" w:hAnsi="宋体" w:eastAsia="宋体" w:cs="宋体"/>
          <w:b/>
          <w:color w:val="auto"/>
          <w:sz w:val="30"/>
          <w:szCs w:val="30"/>
          <w:highlight w:val="none"/>
        </w:rPr>
      </w:pPr>
      <w:bookmarkStart w:id="51" w:name="_Toc29013"/>
      <w:r>
        <w:rPr>
          <w:rFonts w:hint="eastAsia" w:ascii="宋体" w:hAnsi="宋体" w:eastAsia="宋体" w:cs="宋体"/>
          <w:b/>
          <w:color w:val="auto"/>
          <w:sz w:val="30"/>
          <w:szCs w:val="30"/>
          <w:highlight w:val="none"/>
        </w:rPr>
        <w:t>一、合同协议书（格式）</w:t>
      </w:r>
    </w:p>
    <w:p w14:paraId="7491C5CD">
      <w:pPr>
        <w:spacing w:line="460" w:lineRule="exact"/>
        <w:jc w:val="center"/>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               合同名称   </w:t>
      </w:r>
      <w:r>
        <w:rPr>
          <w:rFonts w:hint="eastAsia" w:ascii="宋体" w:hAnsi="宋体" w:eastAsia="宋体" w:cs="宋体"/>
          <w:color w:val="auto"/>
          <w:sz w:val="28"/>
          <w:szCs w:val="28"/>
          <w:highlight w:val="none"/>
        </w:rPr>
        <w:t xml:space="preserve">          编号</w:t>
      </w:r>
    </w:p>
    <w:p w14:paraId="1B99A429">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1FA8A312">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5317EB31">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    所：                                   住    所：                       </w:t>
      </w:r>
    </w:p>
    <w:p w14:paraId="29C6321D">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（买方）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中所需</w:t>
      </w:r>
      <w:r>
        <w:rPr>
          <w:rFonts w:hint="eastAsia" w:ascii="宋体" w:hAnsi="宋体" w:eastAsia="宋体" w:cs="宋体"/>
          <w:color w:val="auto"/>
          <w:sz w:val="24"/>
          <w:szCs w:val="24"/>
          <w:highlight w:val="none"/>
          <w:u w:val="single"/>
        </w:rPr>
        <w:t>（产品名称）</w:t>
      </w:r>
      <w:r>
        <w:rPr>
          <w:rFonts w:hint="eastAsia" w:ascii="宋体" w:hAnsi="宋体" w:eastAsia="宋体" w:cs="宋体"/>
          <w:color w:val="auto"/>
          <w:sz w:val="24"/>
          <w:szCs w:val="24"/>
          <w:highlight w:val="none"/>
        </w:rPr>
        <w:t xml:space="preserve"> 经公开询价，确定</w:t>
      </w:r>
      <w:r>
        <w:rPr>
          <w:rFonts w:hint="eastAsia" w:ascii="宋体" w:hAnsi="宋体" w:eastAsia="宋体" w:cs="宋体"/>
          <w:color w:val="auto"/>
          <w:sz w:val="24"/>
          <w:szCs w:val="24"/>
          <w:highlight w:val="none"/>
          <w:u w:val="single"/>
        </w:rPr>
        <w:t>（卖方）</w:t>
      </w:r>
      <w:r>
        <w:rPr>
          <w:rFonts w:hint="eastAsia" w:ascii="宋体" w:hAnsi="宋体" w:eastAsia="宋体" w:cs="宋体"/>
          <w:color w:val="auto"/>
          <w:sz w:val="24"/>
          <w:szCs w:val="24"/>
          <w:highlight w:val="none"/>
        </w:rPr>
        <w:t>为成交人。按照《中华人民共和国民法典》的规定，买卖双方同意按照下述的条款和条件，签署本合同。</w:t>
      </w:r>
    </w:p>
    <w:p w14:paraId="362C0603">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1、本合同文件</w:t>
      </w:r>
    </w:p>
    <w:p w14:paraId="35F273D2">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下列每一文件均应作为合同的组成部分进行阅读和解释：</w:t>
      </w:r>
    </w:p>
    <w:p w14:paraId="42F0DB50">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询价采购文件</w:t>
      </w:r>
      <w:r>
        <w:rPr>
          <w:rFonts w:hint="eastAsia" w:ascii="宋体" w:hAnsi="宋体" w:eastAsia="宋体" w:cs="宋体"/>
          <w:bCs/>
          <w:color w:val="auto"/>
          <w:sz w:val="24"/>
          <w:szCs w:val="24"/>
          <w:highlight w:val="none"/>
        </w:rPr>
        <w:t>（2）响应文件（3）成交通知书</w:t>
      </w:r>
    </w:p>
    <w:p w14:paraId="719EA779">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（4）经双方确认进入合同的其它文件、补充条款或说明</w:t>
      </w:r>
    </w:p>
    <w:p w14:paraId="78EBAED2">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2、货物的名称、规格型号、数量和价格（若产品过多则见附表，如有附表则必须加盖公章）</w:t>
      </w:r>
    </w:p>
    <w:p w14:paraId="1C6D057E">
      <w:pPr>
        <w:spacing w:line="400" w:lineRule="exact"/>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单位：元</w:t>
      </w:r>
    </w:p>
    <w:tbl>
      <w:tblPr>
        <w:tblStyle w:val="26"/>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046"/>
        <w:gridCol w:w="928"/>
        <w:gridCol w:w="928"/>
        <w:gridCol w:w="1106"/>
        <w:gridCol w:w="1286"/>
        <w:gridCol w:w="1693"/>
      </w:tblGrid>
      <w:tr w14:paraId="6CE8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1668" w:type="dxa"/>
          </w:tcPr>
          <w:p w14:paraId="227D095C">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2046" w:type="dxa"/>
          </w:tcPr>
          <w:p w14:paraId="3A356ABA">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928" w:type="dxa"/>
          </w:tcPr>
          <w:p w14:paraId="32003C49">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8" w:type="dxa"/>
          </w:tcPr>
          <w:p w14:paraId="5D3659DC">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106" w:type="dxa"/>
          </w:tcPr>
          <w:p w14:paraId="37DFEFC6">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286" w:type="dxa"/>
          </w:tcPr>
          <w:p w14:paraId="2DE82DCF">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93" w:type="dxa"/>
          </w:tcPr>
          <w:p w14:paraId="2EE1E963">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生产厂商</w:t>
            </w:r>
          </w:p>
        </w:tc>
      </w:tr>
      <w:tr w14:paraId="1674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68" w:type="dxa"/>
          </w:tcPr>
          <w:p w14:paraId="6FE4AD6D">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2046" w:type="dxa"/>
          </w:tcPr>
          <w:p w14:paraId="350BDB64">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928" w:type="dxa"/>
          </w:tcPr>
          <w:p w14:paraId="4A71ADB8">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928" w:type="dxa"/>
          </w:tcPr>
          <w:p w14:paraId="3DFF4817">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106" w:type="dxa"/>
          </w:tcPr>
          <w:p w14:paraId="6163D0CF">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286" w:type="dxa"/>
          </w:tcPr>
          <w:p w14:paraId="0244EBAD">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c>
          <w:tcPr>
            <w:tcW w:w="1693" w:type="dxa"/>
          </w:tcPr>
          <w:p w14:paraId="0FAC553C">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r>
      <w:tr w14:paraId="1B15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668" w:type="dxa"/>
          </w:tcPr>
          <w:p w14:paraId="53D42498">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2046" w:type="dxa"/>
          </w:tcPr>
          <w:p w14:paraId="7BF1610B">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69956C0A">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2C42E21D">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106" w:type="dxa"/>
          </w:tcPr>
          <w:p w14:paraId="70269572">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286" w:type="dxa"/>
          </w:tcPr>
          <w:p w14:paraId="706303F0">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693" w:type="dxa"/>
          </w:tcPr>
          <w:p w14:paraId="4AADF497">
            <w:pPr>
              <w:spacing w:before="156" w:beforeLines="50" w:beforeAutospacing="1" w:after="93" w:afterLines="30" w:afterAutospacing="1" w:line="400" w:lineRule="exact"/>
              <w:rPr>
                <w:rFonts w:ascii="宋体" w:hAnsi="宋体" w:eastAsia="宋体" w:cs="宋体"/>
                <w:color w:val="auto"/>
                <w:sz w:val="24"/>
                <w:szCs w:val="24"/>
                <w:highlight w:val="none"/>
              </w:rPr>
            </w:pPr>
          </w:p>
        </w:tc>
      </w:tr>
      <w:tr w14:paraId="1DD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tcPr>
          <w:p w14:paraId="0E5C4F3C">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2046" w:type="dxa"/>
          </w:tcPr>
          <w:p w14:paraId="0B192590">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67B7FE4A">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928" w:type="dxa"/>
          </w:tcPr>
          <w:p w14:paraId="41E3C9B7">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106" w:type="dxa"/>
          </w:tcPr>
          <w:p w14:paraId="0DAB8B98">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286" w:type="dxa"/>
          </w:tcPr>
          <w:p w14:paraId="70FE2BA5">
            <w:pPr>
              <w:spacing w:before="156" w:beforeLines="50" w:beforeAutospacing="1" w:after="93" w:afterLines="30" w:afterAutospacing="1" w:line="400" w:lineRule="exact"/>
              <w:rPr>
                <w:rFonts w:ascii="宋体" w:hAnsi="宋体" w:eastAsia="宋体" w:cs="宋体"/>
                <w:color w:val="auto"/>
                <w:sz w:val="24"/>
                <w:szCs w:val="24"/>
                <w:highlight w:val="none"/>
              </w:rPr>
            </w:pPr>
          </w:p>
        </w:tc>
        <w:tc>
          <w:tcPr>
            <w:tcW w:w="1693" w:type="dxa"/>
          </w:tcPr>
          <w:p w14:paraId="422ACF9D">
            <w:pPr>
              <w:spacing w:before="156" w:beforeLines="50" w:beforeAutospacing="1" w:after="93" w:afterLines="30" w:afterAutospacing="1" w:line="400" w:lineRule="exact"/>
              <w:rPr>
                <w:rFonts w:ascii="宋体" w:hAnsi="宋体" w:eastAsia="宋体" w:cs="宋体"/>
                <w:color w:val="auto"/>
                <w:sz w:val="24"/>
                <w:szCs w:val="24"/>
                <w:highlight w:val="none"/>
              </w:rPr>
            </w:pPr>
          </w:p>
        </w:tc>
      </w:tr>
      <w:tr w14:paraId="389A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6676" w:type="dxa"/>
            <w:gridSpan w:val="5"/>
          </w:tcPr>
          <w:p w14:paraId="17BEFEBA">
            <w:pPr>
              <w:spacing w:before="156" w:beforeLines="50" w:beforeAutospacing="1" w:after="93" w:afterLines="30" w:afterAutospacing="1" w:line="4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979" w:type="dxa"/>
            <w:gridSpan w:val="2"/>
          </w:tcPr>
          <w:p w14:paraId="22D58B9E">
            <w:pPr>
              <w:spacing w:before="156" w:beforeLines="50" w:beforeAutospacing="1" w:after="93" w:afterLines="30" w:afterAutospacing="1" w:line="400" w:lineRule="exact"/>
              <w:jc w:val="center"/>
              <w:rPr>
                <w:rFonts w:ascii="宋体" w:hAnsi="宋体" w:eastAsia="宋体" w:cs="宋体"/>
                <w:color w:val="auto"/>
                <w:sz w:val="24"/>
                <w:szCs w:val="24"/>
                <w:highlight w:val="none"/>
              </w:rPr>
            </w:pPr>
          </w:p>
        </w:tc>
      </w:tr>
      <w:tr w14:paraId="39A5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655" w:type="dxa"/>
            <w:gridSpan w:val="7"/>
          </w:tcPr>
          <w:p w14:paraId="66F5CFED">
            <w:pPr>
              <w:widowControl/>
              <w:spacing w:before="156" w:beforeLines="50" w:beforeAutospacing="1" w:after="93" w:afterLines="30" w:afterAutospacing="1"/>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合同总金额（大写）：</w:t>
            </w:r>
          </w:p>
        </w:tc>
      </w:tr>
    </w:tbl>
    <w:p w14:paraId="27BB73BA">
      <w:pPr>
        <w:spacing w:line="460" w:lineRule="exact"/>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上述采购的设备须与</w:t>
      </w:r>
      <w:r>
        <w:rPr>
          <w:rFonts w:hint="eastAsia" w:asciiTheme="minorEastAsia" w:hAnsiTheme="minorEastAsia" w:eastAsiaTheme="minorEastAsia"/>
          <w:b/>
          <w:bCs/>
          <w:color w:val="auto"/>
          <w:sz w:val="24"/>
          <w:highlight w:val="none"/>
          <w:lang w:val="en-US" w:eastAsia="zh-CN"/>
        </w:rPr>
        <w:t>污水处理站现有</w:t>
      </w:r>
      <w:r>
        <w:rPr>
          <w:rFonts w:hint="eastAsia" w:ascii="宋体" w:hAnsi="宋体" w:eastAsia="宋体" w:cs="宋体"/>
          <w:b/>
          <w:bCs w:val="0"/>
          <w:color w:val="auto"/>
          <w:sz w:val="24"/>
          <w:szCs w:val="24"/>
          <w:highlight w:val="none"/>
          <w:lang w:val="en-US" w:eastAsia="zh-CN"/>
        </w:rPr>
        <w:t>设备兼容，满足联机调试验收要求，最终通过验收。如因卖方提供的产品无法兼容、无法通过联机调试等，卖方须承担全部责任，给买方造成的损失，买方有权向其追偿。</w:t>
      </w:r>
    </w:p>
    <w:p w14:paraId="76BCCD6A">
      <w:pPr>
        <w:spacing w:line="46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3、合同总价：</w:t>
      </w:r>
    </w:p>
    <w:p w14:paraId="4625895E">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合同总价为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2C036A03">
      <w:pPr>
        <w:autoSpaceDN w:val="0"/>
        <w:spacing w:line="460" w:lineRule="exact"/>
        <w:ind w:firstLine="480" w:firstLineChars="200"/>
        <w:jc w:val="lef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4.付款方式：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64A5074">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5.合同供货（服务）期限及地点和方式：</w:t>
      </w:r>
    </w:p>
    <w:p w14:paraId="73B7D9D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color="000000"/>
          <w:lang w:val="en-US" w:eastAsia="zh-CN"/>
        </w:rPr>
        <w:t>自接到买方通知之日起</w:t>
      </w:r>
      <w:r>
        <w:rPr>
          <w:rFonts w:hint="eastAsia" w:ascii="宋体" w:hAnsi="宋体" w:eastAsia="宋体" w:cs="宋体"/>
          <w:color w:val="auto"/>
          <w:kern w:val="0"/>
          <w:sz w:val="24"/>
          <w:szCs w:val="24"/>
          <w:highlight w:val="none"/>
          <w:u w:val="single" w:color="auto"/>
          <w:lang w:val="en-US" w:eastAsia="zh-CN"/>
        </w:rPr>
        <w:t xml:space="preserve">       </w:t>
      </w:r>
      <w:r>
        <w:rPr>
          <w:rFonts w:hint="eastAsia" w:ascii="宋体" w:hAnsi="宋体" w:eastAsia="宋体" w:cs="宋体"/>
          <w:color w:val="auto"/>
          <w:kern w:val="0"/>
          <w:sz w:val="24"/>
          <w:szCs w:val="24"/>
          <w:highlight w:val="none"/>
          <w:u w:color="000000"/>
          <w:lang w:val="en-US" w:eastAsia="zh-CN"/>
        </w:rPr>
        <w:t>个日历天内完成供货</w:t>
      </w:r>
      <w:r>
        <w:rPr>
          <w:rFonts w:hint="eastAsia" w:ascii="宋体" w:hAnsi="宋体" w:eastAsia="宋体" w:cs="宋体"/>
          <w:color w:val="auto"/>
          <w:sz w:val="24"/>
          <w:szCs w:val="24"/>
          <w:highlight w:val="none"/>
        </w:rPr>
        <w:t>。</w:t>
      </w:r>
    </w:p>
    <w:p w14:paraId="0AADE68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货物运输至买方指定地点到货物验收合格前，卖方负责对货物承担安保义务。</w:t>
      </w:r>
    </w:p>
    <w:p w14:paraId="2B400231">
      <w:pPr>
        <w:pStyle w:val="9"/>
        <w:spacing w:after="0" w:line="500" w:lineRule="exact"/>
        <w:ind w:firstLine="480" w:firstLineChars="200"/>
        <w:jc w:val="left"/>
        <w:rPr>
          <w:rFonts w:hint="eastAsia" w:ascii="宋体" w:hAnsi="宋体" w:eastAsia="宋体" w:cs="宋体"/>
          <w:color w:val="auto"/>
          <w:sz w:val="24"/>
          <w:szCs w:val="24"/>
          <w:highlight w:val="none"/>
        </w:rPr>
      </w:pPr>
      <w:r>
        <w:rPr>
          <w:rFonts w:hint="eastAsia" w:cs="@仿宋_GB2312" w:asciiTheme="minorEastAsia" w:hAnsiTheme="minorEastAsia" w:eastAsiaTheme="minorEastAsia"/>
          <w:color w:val="auto"/>
          <w:sz w:val="24"/>
          <w:szCs w:val="20"/>
          <w:highlight w:val="none"/>
          <w:lang w:val="en-US"/>
        </w:rPr>
        <w:t>供货时所有货物（包括零部件）须为全新的、未使用过的原装正品，并完全符合国家质量标准，</w:t>
      </w:r>
      <w:r>
        <w:rPr>
          <w:rFonts w:hint="eastAsia" w:cs="@仿宋_GB2312" w:asciiTheme="minorEastAsia" w:hAnsiTheme="minorEastAsia" w:eastAsiaTheme="minorEastAsia"/>
          <w:b/>
          <w:bCs/>
          <w:color w:val="auto"/>
          <w:sz w:val="24"/>
          <w:szCs w:val="20"/>
          <w:highlight w:val="none"/>
          <w:lang w:val="en-US" w:eastAsia="zh-CN"/>
        </w:rPr>
        <w:t>供货时</w:t>
      </w:r>
      <w:r>
        <w:rPr>
          <w:rFonts w:hint="eastAsia" w:cs="@仿宋_GB2312" w:asciiTheme="minorEastAsia" w:hAnsiTheme="minorEastAsia" w:eastAsiaTheme="minorEastAsia"/>
          <w:b/>
          <w:bCs/>
          <w:color w:val="auto"/>
          <w:sz w:val="24"/>
          <w:szCs w:val="20"/>
          <w:highlight w:val="none"/>
          <w:lang w:val="en-US"/>
        </w:rPr>
        <w:t>提供厂家出具的合格证书、有国家强制性认证要求的产品须提供相应证书，货物的技术参数及配置情况必须由</w:t>
      </w:r>
      <w:r>
        <w:rPr>
          <w:rFonts w:hint="eastAsia" w:cs="@仿宋_GB2312" w:asciiTheme="minorEastAsia" w:hAnsiTheme="minorEastAsia" w:eastAsiaTheme="minorEastAsia"/>
          <w:b/>
          <w:bCs/>
          <w:color w:val="auto"/>
          <w:sz w:val="24"/>
          <w:szCs w:val="20"/>
          <w:highlight w:val="none"/>
          <w:lang w:val="en-US" w:eastAsia="zh-CN"/>
        </w:rPr>
        <w:t>供应商</w:t>
      </w:r>
      <w:r>
        <w:rPr>
          <w:rFonts w:hint="eastAsia" w:cs="@仿宋_GB2312" w:asciiTheme="minorEastAsia" w:hAnsiTheme="minorEastAsia" w:eastAsiaTheme="minorEastAsia"/>
          <w:b/>
          <w:bCs/>
          <w:color w:val="auto"/>
          <w:sz w:val="24"/>
          <w:szCs w:val="20"/>
          <w:highlight w:val="none"/>
          <w:lang w:val="en-US"/>
        </w:rPr>
        <w:t>提供国家相关检测机构出具的检验报告</w:t>
      </w:r>
      <w:r>
        <w:rPr>
          <w:rFonts w:hint="eastAsia" w:cs="@仿宋_GB2312" w:asciiTheme="minorEastAsia" w:hAnsiTheme="minorEastAsia" w:eastAsiaTheme="minorEastAsia"/>
          <w:b/>
          <w:bCs/>
          <w:color w:val="auto"/>
          <w:sz w:val="24"/>
          <w:szCs w:val="20"/>
          <w:highlight w:val="none"/>
          <w:lang w:val="en-US" w:eastAsia="zh-CN"/>
        </w:rPr>
        <w:t>或</w:t>
      </w:r>
      <w:r>
        <w:rPr>
          <w:rFonts w:hint="eastAsia" w:cs="@仿宋_GB2312" w:asciiTheme="minorEastAsia" w:hAnsiTheme="minorEastAsia" w:eastAsiaTheme="minorEastAsia"/>
          <w:b/>
          <w:bCs/>
          <w:color w:val="auto"/>
          <w:sz w:val="24"/>
          <w:szCs w:val="20"/>
          <w:highlight w:val="none"/>
          <w:lang w:val="en-US"/>
        </w:rPr>
        <w:t>生产厂家公开发布的印刷资料等技术资料予以支持。没有技术资料支持的技术参数及配置不能视为响应。(厂家出具的合格证书供货时提供。)</w:t>
      </w:r>
    </w:p>
    <w:p w14:paraId="1F081173">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6.验收要求：（1）</w:t>
      </w:r>
      <w:r>
        <w:rPr>
          <w:rFonts w:hint="eastAsia" w:ascii="宋体" w:hAnsi="宋体" w:eastAsia="宋体" w:cs="宋体"/>
          <w:color w:val="auto"/>
          <w:sz w:val="24"/>
          <w:szCs w:val="24"/>
          <w:highlight w:val="none"/>
          <w:lang w:val="en-US" w:eastAsia="zh-CN"/>
        </w:rPr>
        <w:t>买方</w:t>
      </w:r>
      <w:r>
        <w:rPr>
          <w:rFonts w:hint="eastAsia" w:ascii="宋体" w:hAnsi="宋体" w:eastAsia="宋体" w:cs="宋体"/>
          <w:color w:val="auto"/>
          <w:sz w:val="24"/>
          <w:szCs w:val="24"/>
          <w:highlight w:val="none"/>
        </w:rPr>
        <w:t>依据</w:t>
      </w:r>
      <w:r>
        <w:rPr>
          <w:rFonts w:hint="eastAsia" w:ascii="宋体" w:hAnsi="宋体" w:eastAsia="宋体" w:cs="宋体"/>
          <w:color w:val="auto"/>
          <w:sz w:val="24"/>
          <w:szCs w:val="24"/>
          <w:highlight w:val="none"/>
          <w:lang w:eastAsia="zh-CN"/>
        </w:rPr>
        <w:t>询价采购文件</w:t>
      </w:r>
      <w:r>
        <w:rPr>
          <w:rFonts w:hint="eastAsia" w:ascii="宋体" w:hAnsi="宋体" w:eastAsia="宋体" w:cs="宋体"/>
          <w:color w:val="auto"/>
          <w:sz w:val="24"/>
          <w:szCs w:val="24"/>
          <w:highlight w:val="none"/>
        </w:rPr>
        <w:t>中的采购需求及技术参数要求、</w:t>
      </w:r>
      <w:r>
        <w:rPr>
          <w:rFonts w:hint="eastAsia" w:ascii="宋体" w:hAnsi="宋体" w:eastAsia="宋体" w:cs="宋体"/>
          <w:color w:val="auto"/>
          <w:sz w:val="24"/>
          <w:szCs w:val="24"/>
          <w:highlight w:val="none"/>
          <w:lang w:val="en-US" w:eastAsia="zh-CN"/>
        </w:rPr>
        <w:t>卖方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文件及国家有关质量标准进行验收。</w:t>
      </w:r>
    </w:p>
    <w:p w14:paraId="16D4BEE8">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卖方</w:t>
      </w:r>
      <w:r>
        <w:rPr>
          <w:rFonts w:hint="eastAsia" w:ascii="宋体" w:hAnsi="宋体" w:eastAsia="宋体" w:cs="宋体"/>
          <w:color w:val="auto"/>
          <w:sz w:val="24"/>
          <w:szCs w:val="24"/>
          <w:highlight w:val="none"/>
        </w:rPr>
        <w:t>交货前应对产品或服务作出全面检查和对验收文件进行整理，并列出清单，作为</w:t>
      </w:r>
      <w:r>
        <w:rPr>
          <w:rFonts w:hint="eastAsia" w:ascii="宋体" w:hAnsi="宋体" w:eastAsia="宋体" w:cs="宋体"/>
          <w:color w:val="auto"/>
          <w:sz w:val="24"/>
          <w:szCs w:val="24"/>
          <w:highlight w:val="none"/>
          <w:lang w:val="en-US" w:eastAsia="zh-CN"/>
        </w:rPr>
        <w:t>买方</w:t>
      </w:r>
      <w:r>
        <w:rPr>
          <w:rFonts w:hint="eastAsia" w:ascii="宋体" w:hAnsi="宋体" w:eastAsia="宋体" w:cs="宋体"/>
          <w:color w:val="auto"/>
          <w:sz w:val="24"/>
          <w:szCs w:val="24"/>
          <w:highlight w:val="none"/>
        </w:rPr>
        <w:t>验收和使用的技术条件依据，检验的结果应随服务一起提交</w:t>
      </w:r>
      <w:r>
        <w:rPr>
          <w:rFonts w:hint="eastAsia" w:ascii="宋体" w:hAnsi="宋体" w:eastAsia="宋体" w:cs="宋体"/>
          <w:color w:val="auto"/>
          <w:sz w:val="24"/>
          <w:szCs w:val="24"/>
          <w:highlight w:val="none"/>
          <w:lang w:val="en-US" w:eastAsia="zh-CN"/>
        </w:rPr>
        <w:t>买方</w:t>
      </w:r>
      <w:r>
        <w:rPr>
          <w:rFonts w:hint="eastAsia" w:ascii="宋体" w:hAnsi="宋体" w:eastAsia="宋体" w:cs="宋体"/>
          <w:color w:val="auto"/>
          <w:sz w:val="24"/>
          <w:szCs w:val="24"/>
          <w:highlight w:val="none"/>
        </w:rPr>
        <w:t>。</w:t>
      </w:r>
    </w:p>
    <w:p w14:paraId="39AFB1F9">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（3）验收时</w:t>
      </w:r>
      <w:r>
        <w:rPr>
          <w:rFonts w:hint="eastAsia" w:ascii="宋体" w:hAnsi="宋体" w:eastAsia="宋体" w:cs="宋体"/>
          <w:color w:val="auto"/>
          <w:sz w:val="24"/>
          <w:szCs w:val="24"/>
          <w:highlight w:val="none"/>
          <w:lang w:val="en-US" w:eastAsia="zh-CN"/>
        </w:rPr>
        <w:t>卖</w:t>
      </w:r>
      <w:r>
        <w:rPr>
          <w:rFonts w:hint="eastAsia" w:ascii="宋体" w:hAnsi="宋体" w:eastAsia="宋体" w:cs="宋体"/>
          <w:color w:val="auto"/>
          <w:sz w:val="24"/>
          <w:szCs w:val="24"/>
          <w:highlight w:val="none"/>
        </w:rPr>
        <w:t>方必须在现场，验收完毕后作出验收结果报告。</w:t>
      </w:r>
    </w:p>
    <w:p w14:paraId="6A4A810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7.售后服务</w:t>
      </w:r>
    </w:p>
    <w:p w14:paraId="78F2F46B">
      <w:pPr>
        <w:pStyle w:val="9"/>
        <w:spacing w:after="0" w:line="500" w:lineRule="exact"/>
        <w:ind w:firstLine="480" w:firstLineChars="200"/>
        <w:jc w:val="left"/>
        <w:rPr>
          <w:rFonts w:hint="eastAsia"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eastAsia="zh-CN"/>
        </w:rPr>
        <w:t>（1）</w:t>
      </w:r>
      <w:r>
        <w:rPr>
          <w:rFonts w:hint="eastAsia" w:cs="@仿宋_GB2312" w:asciiTheme="minorEastAsia" w:hAnsiTheme="minorEastAsia" w:eastAsiaTheme="minorEastAsia"/>
          <w:b/>
          <w:bCs/>
          <w:color w:val="auto"/>
          <w:sz w:val="24"/>
          <w:szCs w:val="20"/>
          <w:highlight w:val="none"/>
          <w:lang w:val="en-US" w:eastAsia="zh-CN"/>
        </w:rPr>
        <w:t>免费质保期为验收合格之日起不少于1年。</w:t>
      </w:r>
      <w:r>
        <w:rPr>
          <w:rFonts w:hint="eastAsia" w:cs="@仿宋_GB2312" w:asciiTheme="minorEastAsia" w:hAnsiTheme="minorEastAsia" w:eastAsiaTheme="minorEastAsia"/>
          <w:color w:val="auto"/>
          <w:sz w:val="24"/>
          <w:szCs w:val="20"/>
          <w:highlight w:val="none"/>
          <w:lang w:val="en-US" w:eastAsia="zh-CN"/>
        </w:rPr>
        <w:t>在免费质保服务期限内，</w:t>
      </w:r>
      <w:r>
        <w:rPr>
          <w:rFonts w:hint="eastAsia" w:ascii="宋体" w:hAnsi="宋体" w:eastAsia="宋体" w:cs="宋体"/>
          <w:color w:val="auto"/>
          <w:sz w:val="24"/>
          <w:szCs w:val="24"/>
          <w:highlight w:val="none"/>
          <w:lang w:val="en-US" w:eastAsia="zh-CN"/>
        </w:rPr>
        <w:t>卖</w:t>
      </w:r>
      <w:r>
        <w:rPr>
          <w:rFonts w:hint="eastAsia" w:cs="@仿宋_GB2312" w:asciiTheme="minorEastAsia" w:hAnsiTheme="minorEastAsia" w:eastAsiaTheme="minorEastAsia"/>
          <w:color w:val="auto"/>
          <w:sz w:val="24"/>
          <w:szCs w:val="20"/>
          <w:highlight w:val="none"/>
          <w:lang w:val="en-US" w:eastAsia="zh-CN"/>
        </w:rPr>
        <w:t>方应在合同货物出现故障和缺陷时，接到</w:t>
      </w:r>
      <w:r>
        <w:rPr>
          <w:rFonts w:hint="eastAsia" w:ascii="宋体" w:hAnsi="宋体" w:eastAsia="宋体" w:cs="宋体"/>
          <w:color w:val="auto"/>
          <w:sz w:val="24"/>
          <w:szCs w:val="24"/>
          <w:highlight w:val="none"/>
        </w:rPr>
        <w:t>买</w:t>
      </w:r>
      <w:r>
        <w:rPr>
          <w:rFonts w:hint="eastAsia" w:cs="@仿宋_GB2312" w:asciiTheme="minorEastAsia" w:hAnsiTheme="minorEastAsia" w:eastAsiaTheme="minorEastAsia"/>
          <w:color w:val="auto"/>
          <w:sz w:val="24"/>
          <w:szCs w:val="20"/>
          <w:highlight w:val="none"/>
          <w:lang w:val="en-US" w:eastAsia="zh-CN"/>
        </w:rPr>
        <w:t>方通知后2小时内予以答复，如</w:t>
      </w:r>
      <w:r>
        <w:rPr>
          <w:rFonts w:hint="eastAsia" w:ascii="宋体" w:hAnsi="宋体" w:eastAsia="宋体" w:cs="宋体"/>
          <w:color w:val="auto"/>
          <w:sz w:val="24"/>
          <w:szCs w:val="24"/>
          <w:highlight w:val="none"/>
        </w:rPr>
        <w:t>买</w:t>
      </w:r>
      <w:r>
        <w:rPr>
          <w:rFonts w:hint="eastAsia" w:cs="@仿宋_GB2312" w:asciiTheme="minorEastAsia" w:hAnsiTheme="minorEastAsia" w:eastAsiaTheme="minorEastAsia"/>
          <w:color w:val="auto"/>
          <w:sz w:val="24"/>
          <w:szCs w:val="20"/>
          <w:highlight w:val="none"/>
          <w:lang w:val="en-US" w:eastAsia="zh-CN"/>
        </w:rPr>
        <w:t>方有要求或必要时，</w:t>
      </w:r>
      <w:r>
        <w:rPr>
          <w:rFonts w:hint="eastAsia" w:ascii="宋体" w:hAnsi="宋体" w:eastAsia="宋体" w:cs="宋体"/>
          <w:color w:val="auto"/>
          <w:sz w:val="24"/>
          <w:szCs w:val="24"/>
          <w:highlight w:val="none"/>
          <w:lang w:val="en-US" w:eastAsia="zh-CN"/>
        </w:rPr>
        <w:t>卖</w:t>
      </w:r>
      <w:r>
        <w:rPr>
          <w:rFonts w:hint="eastAsia" w:cs="@仿宋_GB2312" w:asciiTheme="minorEastAsia" w:hAnsiTheme="minorEastAsia" w:eastAsiaTheme="minorEastAsia"/>
          <w:color w:val="auto"/>
          <w:sz w:val="24"/>
          <w:szCs w:val="20"/>
          <w:highlight w:val="none"/>
          <w:lang w:val="en-US" w:eastAsia="zh-CN"/>
        </w:rPr>
        <w:t>方应在接到买方通知后24小时内进行维修，属于人为损坏的由</w:t>
      </w:r>
      <w:r>
        <w:rPr>
          <w:rFonts w:hint="eastAsia" w:ascii="宋体" w:hAnsi="宋体" w:eastAsia="宋体" w:cs="宋体"/>
          <w:color w:val="auto"/>
          <w:sz w:val="24"/>
          <w:szCs w:val="24"/>
          <w:highlight w:val="none"/>
        </w:rPr>
        <w:t>买</w:t>
      </w:r>
      <w:r>
        <w:rPr>
          <w:rFonts w:hint="eastAsia" w:cs="@仿宋_GB2312" w:asciiTheme="minorEastAsia" w:hAnsiTheme="minorEastAsia" w:eastAsiaTheme="minorEastAsia"/>
          <w:color w:val="auto"/>
          <w:sz w:val="24"/>
          <w:szCs w:val="20"/>
          <w:highlight w:val="none"/>
          <w:lang w:val="en-US" w:eastAsia="zh-CN"/>
        </w:rPr>
        <w:t xml:space="preserve">方负责。 </w:t>
      </w:r>
    </w:p>
    <w:p w14:paraId="3D568905">
      <w:pPr>
        <w:pStyle w:val="9"/>
        <w:spacing w:after="0" w:line="500" w:lineRule="exact"/>
        <w:ind w:firstLine="480" w:firstLineChars="200"/>
        <w:jc w:val="left"/>
        <w:rPr>
          <w:rFonts w:cs="@仿宋_GB2312" w:asciiTheme="minorEastAsia" w:hAnsiTheme="minorEastAsia" w:eastAsiaTheme="minorEastAsia"/>
          <w:color w:val="auto"/>
          <w:sz w:val="24"/>
          <w:szCs w:val="20"/>
          <w:highlight w:val="none"/>
          <w:lang w:val="en-US"/>
        </w:rPr>
      </w:pPr>
      <w:r>
        <w:rPr>
          <w:rFonts w:hint="eastAsia" w:cs="@仿宋_GB2312" w:asciiTheme="minorEastAsia" w:hAnsiTheme="minorEastAsia" w:eastAsiaTheme="minorEastAsia"/>
          <w:color w:val="auto"/>
          <w:sz w:val="24"/>
          <w:szCs w:val="20"/>
          <w:highlight w:val="none"/>
          <w:lang w:val="en-US" w:eastAsia="zh-CN"/>
        </w:rPr>
        <w:t>（2）</w:t>
      </w:r>
      <w:r>
        <w:rPr>
          <w:rFonts w:hint="eastAsia" w:ascii="宋体" w:hAnsi="宋体" w:eastAsia="宋体" w:cs="宋体"/>
          <w:color w:val="auto"/>
          <w:sz w:val="24"/>
          <w:szCs w:val="24"/>
          <w:highlight w:val="none"/>
          <w:lang w:val="en-US" w:eastAsia="zh-CN"/>
        </w:rPr>
        <w:t>卖</w:t>
      </w:r>
      <w:r>
        <w:rPr>
          <w:rFonts w:hint="eastAsia" w:cs="@仿宋_GB2312" w:asciiTheme="minorEastAsia" w:hAnsiTheme="minorEastAsia" w:eastAsiaTheme="minorEastAsia"/>
          <w:color w:val="auto"/>
          <w:sz w:val="24"/>
          <w:szCs w:val="20"/>
          <w:highlight w:val="none"/>
          <w:lang w:val="en-US" w:eastAsia="zh-CN"/>
        </w:rPr>
        <w:t>方不履行免费质保期约定的，</w:t>
      </w:r>
      <w:r>
        <w:rPr>
          <w:rFonts w:hint="eastAsia" w:ascii="宋体" w:hAnsi="宋体" w:eastAsia="宋体" w:cs="宋体"/>
          <w:color w:val="auto"/>
          <w:sz w:val="24"/>
          <w:szCs w:val="24"/>
          <w:highlight w:val="none"/>
        </w:rPr>
        <w:t>买</w:t>
      </w:r>
      <w:r>
        <w:rPr>
          <w:rFonts w:hint="eastAsia" w:cs="@仿宋_GB2312" w:asciiTheme="minorEastAsia" w:hAnsiTheme="minorEastAsia" w:eastAsiaTheme="minorEastAsia"/>
          <w:color w:val="auto"/>
          <w:sz w:val="24"/>
          <w:szCs w:val="20"/>
          <w:highlight w:val="none"/>
          <w:lang w:val="en-US" w:eastAsia="zh-CN"/>
        </w:rPr>
        <w:t>方有权依法依规追究卖方法律责任，由此产生的责任与后果均由卖方承担</w:t>
      </w:r>
      <w:r>
        <w:rPr>
          <w:rFonts w:hint="eastAsia" w:cs="@仿宋_GB2312" w:asciiTheme="minorEastAsia" w:hAnsiTheme="minorEastAsia" w:eastAsiaTheme="minorEastAsia"/>
          <w:color w:val="auto"/>
          <w:sz w:val="24"/>
          <w:szCs w:val="20"/>
          <w:highlight w:val="none"/>
          <w:lang w:val="en-US"/>
        </w:rPr>
        <w:t>。</w:t>
      </w:r>
    </w:p>
    <w:p w14:paraId="7FE86C01">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8.违约责任及解决争议方法：详见合同条款。</w:t>
      </w:r>
    </w:p>
    <w:p w14:paraId="31D61F15">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9.合同的生效</w:t>
      </w:r>
    </w:p>
    <w:p w14:paraId="6F31376A">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合同经双方授权代表签署，买卖双方加盖印章之后生效。</w:t>
      </w:r>
    </w:p>
    <w:p w14:paraId="103296EA">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份，双方各执     份。</w:t>
      </w:r>
    </w:p>
    <w:p w14:paraId="5061DBA7">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0228083A">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名  称：（盖章）                  名  称：（盖章）</w:t>
      </w:r>
    </w:p>
    <w:p w14:paraId="59E3CFCC">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      法定代表人（或委托代理人）：</w:t>
      </w:r>
    </w:p>
    <w:p w14:paraId="1369B3B5">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7466353E">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14:paraId="66464FC4">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14:paraId="24942204">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0B58CC2F">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7340A768">
      <w:pPr>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14:paraId="388B59B7">
      <w:pPr>
        <w:spacing w:line="400" w:lineRule="exact"/>
        <w:ind w:left="360"/>
        <w:outlineLvl w:val="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                         签订时间：</w:t>
      </w:r>
    </w:p>
    <w:p w14:paraId="5E873CC5">
      <w:pPr>
        <w:spacing w:line="400" w:lineRule="exact"/>
        <w:ind w:left="360"/>
        <w:jc w:val="center"/>
        <w:outlineLvl w:val="1"/>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Start w:id="52" w:name="_Toc58430331"/>
      <w:r>
        <w:rPr>
          <w:rFonts w:hint="eastAsia" w:ascii="宋体" w:hAnsi="宋体" w:eastAsia="宋体" w:cs="宋体"/>
          <w:b/>
          <w:color w:val="auto"/>
          <w:sz w:val="24"/>
          <w:szCs w:val="24"/>
          <w:highlight w:val="none"/>
        </w:rPr>
        <w:t>二、合同条款</w:t>
      </w:r>
      <w:bookmarkEnd w:id="52"/>
    </w:p>
    <w:p w14:paraId="033395DD">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合同文件</w:t>
      </w:r>
    </w:p>
    <w:p w14:paraId="3D887F93">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1.合同文件适用法律</w:t>
      </w:r>
    </w:p>
    <w:p w14:paraId="642539DB">
      <w:pPr>
        <w:spacing w:line="500" w:lineRule="exact"/>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适用于合同文件的法律是中华人民共和国现行法律、法规及采购人所在地的地方性法规。</w:t>
      </w:r>
    </w:p>
    <w:p w14:paraId="1C4D41FA">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2.合同文件组成和解释顺序</w:t>
      </w:r>
    </w:p>
    <w:p w14:paraId="1C30A41A">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(1)合同文件的组成和解释顺序如下：</w:t>
      </w:r>
    </w:p>
    <w:p w14:paraId="7662F3B1">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&lt;1&gt;合同的主要条款；</w:t>
      </w:r>
    </w:p>
    <w:p w14:paraId="3E231C29">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&lt;2&gt;合同的一般性条款；</w:t>
      </w:r>
    </w:p>
    <w:p w14:paraId="51E86BFC">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&lt;3&gt;洽商、变更等明确双方权利义务的纪要、协议；</w:t>
      </w:r>
    </w:p>
    <w:p w14:paraId="6A319C82">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&lt;4&gt;中标通知书、投标文件和</w:t>
      </w:r>
      <w:r>
        <w:rPr>
          <w:rFonts w:hint="eastAsia" w:ascii="宋体" w:hAnsi="宋体" w:eastAsia="宋体" w:cs="宋体"/>
          <w:color w:val="auto"/>
          <w:sz w:val="24"/>
          <w:szCs w:val="24"/>
          <w:highlight w:val="none"/>
          <w:lang w:eastAsia="zh-CN"/>
        </w:rPr>
        <w:t>询价采购文件</w:t>
      </w:r>
      <w:r>
        <w:rPr>
          <w:rFonts w:hint="eastAsia" w:ascii="宋体" w:hAnsi="宋体" w:eastAsia="宋体" w:cs="宋体"/>
          <w:color w:val="auto"/>
          <w:sz w:val="24"/>
          <w:szCs w:val="24"/>
          <w:highlight w:val="none"/>
        </w:rPr>
        <w:t>；</w:t>
      </w:r>
    </w:p>
    <w:p w14:paraId="48C113A2">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&lt;5&gt;有关图纸、标准、规范和其它有关技术资料、技术要求。</w:t>
      </w:r>
    </w:p>
    <w:p w14:paraId="25F103F1">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&lt;6&gt;合同的主要条款的效力优于合同的一般性条款的效力。</w:t>
      </w:r>
    </w:p>
    <w:p w14:paraId="42ADEF7E">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3.合同文件使用文字</w:t>
      </w:r>
    </w:p>
    <w:p w14:paraId="229D2A63">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(1)合同文件使用中文书写、解释和说明。</w:t>
      </w:r>
    </w:p>
    <w:p w14:paraId="4200EBBA">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 xml:space="preserve">(2)合同文件使用技术性条款约定的为国家标准和规范；国家没有相应标准、规范时，可使用行业标准、规范。非标货物应按约定的技术性条款的标准和规范。 </w:t>
      </w:r>
    </w:p>
    <w:p w14:paraId="7EB123D6">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标的物的一般条款</w:t>
      </w:r>
    </w:p>
    <w:p w14:paraId="677ACD9C">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4.完整物权</w:t>
      </w:r>
    </w:p>
    <w:p w14:paraId="50461F6E">
      <w:pPr>
        <w:tabs>
          <w:tab w:val="left" w:pos="660"/>
        </w:tabs>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对于出卖的标的物，卖方应当拥有完整物权，并且卖方负有保证第三人不得向买方主张任何权利（包括知识产权）的义务。</w:t>
      </w:r>
    </w:p>
    <w:p w14:paraId="5A71B699">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5.质量保证</w:t>
      </w:r>
    </w:p>
    <w:p w14:paraId="379BA26A">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4B800C74">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68BBAE1">
      <w:pPr>
        <w:pStyle w:val="7"/>
        <w:tabs>
          <w:tab w:val="left" w:pos="90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23306236">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6.包装</w:t>
      </w:r>
    </w:p>
    <w:p w14:paraId="7379326E">
      <w:pPr>
        <w:pStyle w:val="7"/>
        <w:tabs>
          <w:tab w:val="left" w:pos="900"/>
        </w:tabs>
        <w:spacing w:line="500" w:lineRule="exact"/>
        <w:ind w:firstLine="540" w:firstLineChars="225"/>
        <w:rPr>
          <w:rFonts w:hAnsi="宋体" w:cs="宋体"/>
          <w:color w:val="auto"/>
          <w:szCs w:val="24"/>
          <w:highlight w:val="none"/>
          <w:u w:color="000000"/>
        </w:rPr>
      </w:pPr>
      <w:r>
        <w:rPr>
          <w:rFonts w:hint="eastAsia" w:hAnsi="宋体" w:cs="宋体"/>
          <w:color w:val="auto"/>
          <w:szCs w:val="24"/>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77201696">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7.伴随服务</w:t>
      </w:r>
    </w:p>
    <w:p w14:paraId="34618743">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(1)卖方除应履行按期按量交付合格标的物的义务之外，还应提供下列服务：</w:t>
      </w:r>
    </w:p>
    <w:p w14:paraId="705A0F6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&lt;1&gt;标的物的现场安装或指导安装、启动、调试、监督（如果必须安装、调试的话）；</w:t>
      </w:r>
    </w:p>
    <w:p w14:paraId="3D977042">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&lt;2&gt;提供标的物组装和一般维修所必须的工具；</w:t>
      </w:r>
    </w:p>
    <w:p w14:paraId="60A11F48">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&lt;3&gt;在合同规定的期限内对所提供标的物实行运行监督、维修服务的前提条件是该服务并不能免除卖方在质量保证期内所承担的义务；</w:t>
      </w:r>
    </w:p>
    <w:p w14:paraId="4513AD9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&lt;4&gt;对买方技术人员的技术指导或培训。</w:t>
      </w:r>
    </w:p>
    <w:p w14:paraId="5ACB7693">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(2)除合同另有规定之外，伴随服务的费用均已含在合同价款中，买方不再另行进行支付。</w:t>
      </w:r>
    </w:p>
    <w:p w14:paraId="3E10349F">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标的物的交付、检验和验收</w:t>
      </w:r>
    </w:p>
    <w:p w14:paraId="277A241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8.标的物的交付</w:t>
      </w:r>
    </w:p>
    <w:p w14:paraId="4FFE074E">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(1)标的物的所有权自标的物交付时转移。</w:t>
      </w:r>
    </w:p>
    <w:p w14:paraId="523FB010">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(2)卖方应当按照约定的期限和约定的地点交付符合</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要求的标的物。</w:t>
      </w:r>
    </w:p>
    <w:p w14:paraId="435A22FF">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(3)卖方应当按照约定或者交易习惯向采购人交付提取标的物单证以外的有关单证和资料。</w:t>
      </w:r>
    </w:p>
    <w:p w14:paraId="7997D5F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9.检验和验收</w:t>
      </w:r>
    </w:p>
    <w:p w14:paraId="0D9C01A0">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1D2CC3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(2)买方根据合同规定的内容和验收标准进行验收，经检验无误后出具验收合格证明，该证明作为最终付款所需文件的组成部分。</w:t>
      </w:r>
    </w:p>
    <w:p w14:paraId="28EAB55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(3)验收期限自标的物交付之日起5个工作日内。特殊情况需延长的，双方应在合同条款中约定。</w:t>
      </w:r>
    </w:p>
    <w:p w14:paraId="5A383AA5">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 对标的物提出异议的时间和办法</w:t>
      </w:r>
    </w:p>
    <w:p w14:paraId="1B59A90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10.对标的物提出异议的时间和办法 </w:t>
      </w:r>
    </w:p>
    <w:p w14:paraId="1E65304B">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(1)买方在验收过程中，应当于双方约定的检验期间内将标的物的数量或质量不符合约定的情形及处理方式以书面形式通知卖方。</w:t>
      </w:r>
    </w:p>
    <w:p w14:paraId="32B69974">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(2)如买方在验收期满后既不出具验收合格证明又未提出书面异议的视为卖方所交标的物符合合同规定。</w:t>
      </w:r>
    </w:p>
    <w:p w14:paraId="03BB484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(3)卖方应在收到买方书面异议后七天内负责处理问题，否则将视为默认买方提出的异议和处理意见。</w:t>
      </w:r>
    </w:p>
    <w:p w14:paraId="24F15B56">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合同价款和支付</w:t>
      </w:r>
    </w:p>
    <w:p w14:paraId="60779545">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11.合同价款和支付</w:t>
      </w:r>
    </w:p>
    <w:p w14:paraId="2F14A082">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(1)本合同的结算货币为人民币，单位元。</w:t>
      </w:r>
    </w:p>
    <w:p w14:paraId="52D2C8C9">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(2)卖方应按照双方签订的合同规定交货并在合同主要条款规定的期限内持下列单据结算货款：</w:t>
      </w:r>
    </w:p>
    <w:p w14:paraId="07820F73">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&lt;1&gt;合格的销售发票；</w:t>
      </w:r>
    </w:p>
    <w:p w14:paraId="355C41EE">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&lt;2&gt;买方盖章签收后的送货回单和验收合格证明。</w:t>
      </w:r>
    </w:p>
    <w:p w14:paraId="5BBA5D3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(3)买方应按合同主要条款规定的期限和方式付款。</w:t>
      </w:r>
    </w:p>
    <w:p w14:paraId="617EC1D8">
      <w:pPr>
        <w:pStyle w:val="7"/>
        <w:tabs>
          <w:tab w:val="left" w:pos="54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(4)根据现行税法对买方征收的与本合同有关的一切税费均由买方承担；根据现行税法对卖方征收的与本合同有关的一切税费均由卖方承担。</w:t>
      </w:r>
    </w:p>
    <w:p w14:paraId="15732298">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违约责任</w:t>
      </w:r>
    </w:p>
    <w:p w14:paraId="5899D842">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12.违约责任</w:t>
      </w:r>
    </w:p>
    <w:p w14:paraId="480AF608">
      <w:pPr>
        <w:pStyle w:val="7"/>
        <w:spacing w:line="500" w:lineRule="exact"/>
        <w:ind w:firstLine="540" w:firstLineChars="225"/>
        <w:rPr>
          <w:rFonts w:hAnsi="宋体" w:cs="宋体"/>
          <w:color w:val="auto"/>
          <w:szCs w:val="24"/>
          <w:highlight w:val="none"/>
          <w:u w:color="000000"/>
        </w:rPr>
      </w:pPr>
      <w:r>
        <w:rPr>
          <w:rFonts w:hint="eastAsia" w:hAnsi="宋体" w:cs="宋体"/>
          <w:color w:val="auto"/>
          <w:szCs w:val="24"/>
          <w:highlight w:val="none"/>
          <w:u w:color="000000"/>
        </w:rPr>
        <w:t>合同一方不履行合同义务或者履行合同义务不符合约定的，应当承担继续履行、采取补救措施或者赔偿损失等违约责任。</w:t>
      </w:r>
    </w:p>
    <w:p w14:paraId="10409447">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13.买方违约责任</w:t>
      </w:r>
    </w:p>
    <w:p w14:paraId="6CAEA079">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(1)在合同生效后，非产品质量问题，买方要求退货的，应向卖方偿付合同总价款的5%，作为违约金，违约金不足以补偿损失的，卖方有权要求</w:t>
      </w:r>
      <w:r>
        <w:rPr>
          <w:rFonts w:hint="eastAsia" w:hAnsi="宋体" w:cs="宋体"/>
          <w:color w:val="auto"/>
          <w:szCs w:val="24"/>
          <w:highlight w:val="none"/>
          <w:u w:color="000000"/>
          <w:lang w:val="en-US" w:eastAsia="zh-CN"/>
        </w:rPr>
        <w:t>买</w:t>
      </w:r>
      <w:r>
        <w:rPr>
          <w:rFonts w:hint="eastAsia" w:hAnsi="宋体" w:cs="宋体"/>
          <w:color w:val="auto"/>
          <w:szCs w:val="24"/>
          <w:highlight w:val="none"/>
          <w:u w:color="000000"/>
        </w:rPr>
        <w:t>方补足。</w:t>
      </w:r>
    </w:p>
    <w:p w14:paraId="78E1219D">
      <w:pPr>
        <w:pStyle w:val="7"/>
        <w:overflowPunct w:val="0"/>
        <w:spacing w:line="500" w:lineRule="exact"/>
        <w:ind w:right="-334" w:rightChars="-159" w:firstLine="600" w:firstLineChars="250"/>
        <w:rPr>
          <w:rFonts w:hAnsi="宋体" w:cs="宋体"/>
          <w:color w:val="auto"/>
          <w:szCs w:val="24"/>
          <w:highlight w:val="none"/>
          <w:u w:color="000000"/>
        </w:rPr>
      </w:pPr>
      <w:r>
        <w:rPr>
          <w:rFonts w:hint="eastAsia" w:hAnsi="宋体" w:cs="宋体"/>
          <w:color w:val="auto"/>
          <w:szCs w:val="24"/>
          <w:highlight w:val="none"/>
          <w:u w:color="000000"/>
        </w:rPr>
        <w:t>(2)买方逾期付款的应按照逾期付款金额的每天万分之四支付逾期付款违约金。</w:t>
      </w:r>
    </w:p>
    <w:p w14:paraId="7B385366">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(3)买方违反合同规定，拒绝接收卖方交付的符合</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要求的合格标的物，应当承担卖方由此造成的损失。</w:t>
      </w:r>
    </w:p>
    <w:p w14:paraId="273AF87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14.卖方违约责任</w:t>
      </w:r>
    </w:p>
    <w:p w14:paraId="7AE9F22C">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6AA86AF3">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66296ADD">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（3）卖方逾期提供售后服务的，每逾期一天应按货款的每天万分之四支付违约金，同时承担买方因此遭致的损失费用。</w:t>
      </w:r>
    </w:p>
    <w:p w14:paraId="7B7AA0A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w:t>
      </w:r>
    </w:p>
    <w:p w14:paraId="75623746">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(1)因水灾、火灾、地震、战争等不可抗力不能履行合同的，根据不可抗力的影响，部分或者全部免除责任。但合同一方迟延履行后发生不可抗力的，不能免除责任。</w:t>
      </w:r>
    </w:p>
    <w:p w14:paraId="27B61E79">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(2)合同一方因不可抗力不能履行合同的，应当及时通知对方，以减轻可能给对方造成的损失，并应当在合理期限内提供证明。</w:t>
      </w:r>
    </w:p>
    <w:p w14:paraId="4AD0DC80">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 索赔</w:t>
      </w:r>
    </w:p>
    <w:p w14:paraId="7EDCAA0B">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16.索赔</w:t>
      </w:r>
    </w:p>
    <w:p w14:paraId="590F6680">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(1)买方有权根据当地产品质量检验机构或其它有权威部门出具的检验证书向卖方提出索赔。</w:t>
      </w:r>
    </w:p>
    <w:p w14:paraId="5936C79A">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(2)在本合同规定的检验期和质量保证期内，如果卖方对买方提出的索赔或差异有责任，则卖方应按买方同意的下列一种或多种方式解决索赔事宜：</w:t>
      </w:r>
    </w:p>
    <w:p w14:paraId="0673B1E5">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45751B24">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&lt;2&gt;根据标的物的低劣程度、损坏程度以及</w:t>
      </w:r>
      <w:r>
        <w:rPr>
          <w:rFonts w:hint="eastAsia" w:hAnsi="宋体" w:cs="宋体"/>
          <w:color w:val="auto"/>
          <w:szCs w:val="24"/>
          <w:highlight w:val="none"/>
          <w:u w:color="000000"/>
          <w:lang w:val="en-US" w:eastAsia="zh-CN"/>
        </w:rPr>
        <w:t>买</w:t>
      </w:r>
      <w:r>
        <w:rPr>
          <w:rFonts w:hint="eastAsia" w:hAnsi="宋体" w:cs="宋体"/>
          <w:color w:val="auto"/>
          <w:szCs w:val="24"/>
          <w:highlight w:val="none"/>
          <w:u w:color="000000"/>
        </w:rPr>
        <w:t>方遭受损失的数额，经双方协商确定降低标的物的价格；</w:t>
      </w:r>
    </w:p>
    <w:p w14:paraId="47939B38">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59FD496C">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4156D4EB">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(4)买方提出索赔的书面材料应报当地政府采购管理部门备案。卖方同意的索赔方案应报当地政府采购管理部门审核。</w:t>
      </w:r>
    </w:p>
    <w:p w14:paraId="768FC8E0">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 履约保证金</w:t>
      </w:r>
    </w:p>
    <w:p w14:paraId="7D497979">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17.履约保证金</w:t>
      </w:r>
    </w:p>
    <w:p w14:paraId="01F4312B">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(1)卖方应在本合同签订时，按</w:t>
      </w:r>
      <w:r>
        <w:rPr>
          <w:rFonts w:hint="eastAsia" w:hAnsi="宋体" w:cs="宋体"/>
          <w:color w:val="auto"/>
          <w:szCs w:val="24"/>
          <w:highlight w:val="none"/>
          <w:u w:color="000000"/>
          <w:lang w:eastAsia="zh-CN"/>
        </w:rPr>
        <w:t>询价采购文件</w:t>
      </w:r>
      <w:r>
        <w:rPr>
          <w:rFonts w:hint="eastAsia" w:hAnsi="宋体" w:cs="宋体"/>
          <w:color w:val="auto"/>
          <w:szCs w:val="24"/>
          <w:highlight w:val="none"/>
          <w:u w:color="000000"/>
        </w:rPr>
        <w:t>的约定提供相应的履约保证金，保证金的有效期应不低于合同有效期。</w:t>
      </w:r>
    </w:p>
    <w:p w14:paraId="194D8C3F">
      <w:pPr>
        <w:pStyle w:val="7"/>
        <w:overflowPunct w:val="0"/>
        <w:spacing w:line="500" w:lineRule="exact"/>
        <w:ind w:right="-334" w:rightChars="-159" w:firstLine="600" w:firstLineChars="250"/>
        <w:rPr>
          <w:rFonts w:hAnsi="宋体" w:cs="宋体"/>
          <w:color w:val="auto"/>
          <w:szCs w:val="24"/>
          <w:highlight w:val="none"/>
          <w:u w:color="000000"/>
        </w:rPr>
      </w:pPr>
      <w:r>
        <w:rPr>
          <w:rFonts w:hint="eastAsia" w:hAnsi="宋体" w:cs="宋体"/>
          <w:color w:val="auto"/>
          <w:szCs w:val="24"/>
          <w:highlight w:val="none"/>
          <w:u w:color="000000"/>
        </w:rPr>
        <w:t>(2)如果卖方未能履行合同规定的任何义务，买方有权从履约保证金中取得补偿。</w:t>
      </w:r>
    </w:p>
    <w:p w14:paraId="6653A3F8">
      <w:pPr>
        <w:pStyle w:val="7"/>
        <w:overflowPunct w:val="0"/>
        <w:spacing w:line="500" w:lineRule="exact"/>
        <w:ind w:right="-334" w:rightChars="-159" w:firstLine="0"/>
        <w:rPr>
          <w:rFonts w:hAnsi="宋体" w:cs="宋体"/>
          <w:b/>
          <w:color w:val="auto"/>
          <w:kern w:val="2"/>
          <w:szCs w:val="24"/>
          <w:highlight w:val="none"/>
        </w:rPr>
      </w:pPr>
      <w:r>
        <w:rPr>
          <w:rFonts w:hint="eastAsia" w:hAnsi="宋体" w:cs="宋体"/>
          <w:b/>
          <w:color w:val="auto"/>
          <w:kern w:val="2"/>
          <w:szCs w:val="24"/>
          <w:highlight w:val="none"/>
        </w:rPr>
        <w:t>九.  合同的解除和转让</w:t>
      </w:r>
    </w:p>
    <w:p w14:paraId="501B191D">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18.合同的解除</w:t>
      </w:r>
    </w:p>
    <w:p w14:paraId="62BB01CE">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(1)买方和卖方协商一致，可以解除合同。</w:t>
      </w:r>
    </w:p>
    <w:p w14:paraId="54B05CC7">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(2)有下列情形之一，合同一方可以解除合同：</w:t>
      </w:r>
    </w:p>
    <w:p w14:paraId="312C60A5">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&lt;1&gt;因不可抗力致使不能实现合同目的，未受不可抗力影响的一方有权解除合同；</w:t>
      </w:r>
    </w:p>
    <w:p w14:paraId="294EB592">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&lt;2&gt;因合同一方违约导致合同不能履行，另一方有权解除合同。</w:t>
      </w:r>
    </w:p>
    <w:p w14:paraId="3FAE9635">
      <w:pPr>
        <w:pStyle w:val="7"/>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(3)有权解除合同的一方，应当在违约事实或不可抗力发生之后三十天内书面通知对方以主张解除合同，合同在书面通知到达对方时解除。</w:t>
      </w:r>
    </w:p>
    <w:p w14:paraId="00E3ED58">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19.合同的转让</w:t>
      </w:r>
    </w:p>
    <w:p w14:paraId="02BFEA81">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合同的部分和全部都不得转让。</w:t>
      </w:r>
    </w:p>
    <w:p w14:paraId="59051ECE">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 合同的生效</w:t>
      </w:r>
    </w:p>
    <w:p w14:paraId="28417668">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20.合同的生效</w:t>
      </w:r>
    </w:p>
    <w:p w14:paraId="0489174F">
      <w:pPr>
        <w:spacing w:line="500" w:lineRule="exact"/>
        <w:ind w:firstLine="664" w:firstLineChars="27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本合同在双方签字盖章后生效。</w:t>
      </w:r>
    </w:p>
    <w:p w14:paraId="27F0FABC">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 争议解决</w:t>
      </w:r>
    </w:p>
    <w:p w14:paraId="17A4A18C">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21.争议解决</w:t>
      </w:r>
    </w:p>
    <w:p w14:paraId="18B11065">
      <w:pPr>
        <w:pStyle w:val="7"/>
        <w:overflowPunct w:val="0"/>
        <w:spacing w:line="500" w:lineRule="exact"/>
        <w:rPr>
          <w:rFonts w:hAnsi="宋体" w:cs="宋体"/>
          <w:color w:val="auto"/>
          <w:szCs w:val="24"/>
          <w:highlight w:val="none"/>
          <w:u w:color="000000"/>
        </w:rPr>
      </w:pPr>
      <w:r>
        <w:rPr>
          <w:rFonts w:hint="eastAsia" w:hAnsi="宋体" w:cs="宋体"/>
          <w:color w:val="auto"/>
          <w:szCs w:val="24"/>
          <w:highlight w:val="none"/>
          <w:u w:color="000000"/>
        </w:rPr>
        <w:t xml:space="preserve"> 买卖双方因合同发生争议，进行调解，协商不成，可选择：（2）</w:t>
      </w:r>
    </w:p>
    <w:p w14:paraId="23F8C3EC">
      <w:pPr>
        <w:pStyle w:val="7"/>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(1)双方同时</w:t>
      </w:r>
      <w:r>
        <w:rPr>
          <w:rFonts w:hint="eastAsia" w:hAnsi="宋体" w:cs="宋体"/>
          <w:color w:val="auto"/>
          <w:szCs w:val="24"/>
          <w:highlight w:val="none"/>
        </w:rPr>
        <w:t>将争议提交滁州仲裁委员会</w:t>
      </w:r>
      <w:r>
        <w:rPr>
          <w:rFonts w:hint="eastAsia" w:hAnsi="宋体" w:cs="宋体"/>
          <w:color w:val="auto"/>
          <w:szCs w:val="24"/>
          <w:highlight w:val="none"/>
          <w:u w:color="000000"/>
        </w:rPr>
        <w:t>进行仲裁；</w:t>
      </w:r>
    </w:p>
    <w:p w14:paraId="36E13E8C">
      <w:pPr>
        <w:pStyle w:val="7"/>
        <w:tabs>
          <w:tab w:val="left" w:pos="900"/>
        </w:tabs>
        <w:overflowPunct w:val="0"/>
        <w:spacing w:line="500" w:lineRule="exact"/>
        <w:ind w:firstLine="600" w:firstLineChars="250"/>
        <w:rPr>
          <w:rFonts w:hAnsi="宋体" w:cs="宋体"/>
          <w:color w:val="auto"/>
          <w:szCs w:val="24"/>
          <w:highlight w:val="none"/>
          <w:u w:color="000000"/>
        </w:rPr>
      </w:pPr>
      <w:r>
        <w:rPr>
          <w:rFonts w:hint="eastAsia" w:hAnsi="宋体" w:cs="宋体"/>
          <w:color w:val="auto"/>
          <w:szCs w:val="24"/>
          <w:highlight w:val="none"/>
          <w:u w:color="000000"/>
        </w:rPr>
        <w:t>(2)向买方所在地人民法院提起诉讼。</w:t>
      </w:r>
    </w:p>
    <w:p w14:paraId="3BE8577A">
      <w:pPr>
        <w:spacing w:line="50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 .附则</w:t>
      </w:r>
    </w:p>
    <w:p w14:paraId="18EA155A">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22.合同份数。</w:t>
      </w:r>
    </w:p>
    <w:p w14:paraId="1690A9F1">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本合同一式陆份，买卖双方各执叁份。</w:t>
      </w:r>
    </w:p>
    <w:p w14:paraId="53689308">
      <w:pPr>
        <w:spacing w:line="500" w:lineRule="exact"/>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23.未尽事宜</w:t>
      </w:r>
    </w:p>
    <w:p w14:paraId="490B9EF5">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w:t>
      </w:r>
    </w:p>
    <w:p w14:paraId="51DB1056">
      <w:pPr>
        <w:spacing w:line="500" w:lineRule="exact"/>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1598AFEB">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响应文件格式</w:t>
      </w:r>
      <w:bookmarkEnd w:id="51"/>
    </w:p>
    <w:p w14:paraId="5E61D180">
      <w:pPr>
        <w:spacing w:line="900" w:lineRule="exact"/>
        <w:jc w:val="center"/>
        <w:rPr>
          <w:rFonts w:asciiTheme="minorEastAsia" w:hAnsiTheme="minorEastAsia" w:eastAsiaTheme="minorEastAsia"/>
          <w:b/>
          <w:color w:val="auto"/>
          <w:sz w:val="72"/>
          <w:highlight w:val="none"/>
        </w:rPr>
      </w:pPr>
    </w:p>
    <w:p w14:paraId="7DCFACE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22A8F2EF">
      <w:pPr>
        <w:spacing w:line="900" w:lineRule="exact"/>
        <w:jc w:val="center"/>
        <w:rPr>
          <w:rFonts w:asciiTheme="minorEastAsia" w:hAnsiTheme="minorEastAsia" w:eastAsiaTheme="minorEastAsia"/>
          <w:b/>
          <w:color w:val="auto"/>
          <w:sz w:val="72"/>
          <w:highlight w:val="none"/>
        </w:rPr>
      </w:pPr>
    </w:p>
    <w:p w14:paraId="51D55F3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07C1C641">
      <w:pPr>
        <w:spacing w:line="900" w:lineRule="exact"/>
        <w:jc w:val="center"/>
        <w:rPr>
          <w:rFonts w:asciiTheme="minorEastAsia" w:hAnsiTheme="minorEastAsia" w:eastAsiaTheme="minorEastAsia"/>
          <w:b/>
          <w:color w:val="auto"/>
          <w:sz w:val="72"/>
          <w:highlight w:val="none"/>
        </w:rPr>
      </w:pPr>
    </w:p>
    <w:p w14:paraId="7B74CA3F">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78316008">
      <w:pPr>
        <w:spacing w:line="900" w:lineRule="exact"/>
        <w:jc w:val="center"/>
        <w:rPr>
          <w:rFonts w:asciiTheme="minorEastAsia" w:hAnsiTheme="minorEastAsia" w:eastAsiaTheme="minorEastAsia"/>
          <w:b/>
          <w:color w:val="auto"/>
          <w:sz w:val="72"/>
          <w:highlight w:val="none"/>
        </w:rPr>
      </w:pPr>
    </w:p>
    <w:p w14:paraId="2E25726D">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4853E166">
      <w:pPr>
        <w:spacing w:after="156" w:afterLines="50"/>
        <w:jc w:val="center"/>
        <w:rPr>
          <w:rFonts w:asciiTheme="minorEastAsia" w:hAnsiTheme="minorEastAsia" w:eastAsiaTheme="minorEastAsia"/>
          <w:b/>
          <w:color w:val="auto"/>
          <w:sz w:val="72"/>
          <w:highlight w:val="none"/>
        </w:rPr>
      </w:pPr>
    </w:p>
    <w:p w14:paraId="2C7D9CBC">
      <w:pPr>
        <w:spacing w:after="156" w:afterLines="50" w:line="500" w:lineRule="exact"/>
        <w:jc w:val="center"/>
        <w:rPr>
          <w:rFonts w:asciiTheme="minorEastAsia" w:hAnsiTheme="minorEastAsia" w:eastAsiaTheme="minorEastAsia"/>
          <w:b/>
          <w:color w:val="auto"/>
          <w:sz w:val="28"/>
          <w:szCs w:val="28"/>
          <w:highlight w:val="none"/>
        </w:rPr>
      </w:pPr>
    </w:p>
    <w:p w14:paraId="01AC40A9">
      <w:pPr>
        <w:tabs>
          <w:tab w:val="left" w:pos="2410"/>
        </w:tabs>
        <w:autoSpaceDE w:val="0"/>
        <w:autoSpaceDN w:val="0"/>
        <w:adjustRightInd w:val="0"/>
        <w:snapToGrid w:val="0"/>
        <w:spacing w:line="360" w:lineRule="auto"/>
        <w:ind w:firstLine="643" w:firstLineChars="200"/>
        <w:rPr>
          <w:rFonts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p>
    <w:p w14:paraId="41B225B6">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p>
    <w:p w14:paraId="2755CD7A">
      <w:pPr>
        <w:spacing w:after="156" w:afterLines="50" w:line="500" w:lineRule="exact"/>
        <w:ind w:firstLine="643" w:firstLineChars="200"/>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 应 商：</w:t>
      </w:r>
      <w:r>
        <w:rPr>
          <w:rFonts w:hint="eastAsia" w:asciiTheme="minorEastAsia" w:hAnsiTheme="minorEastAsia" w:eastAsiaTheme="minorEastAsia"/>
          <w:b/>
          <w:color w:val="auto"/>
          <w:sz w:val="32"/>
          <w:highlight w:val="none"/>
          <w:u w:val="single"/>
        </w:rPr>
        <w:t xml:space="preserve">                  </w:t>
      </w:r>
    </w:p>
    <w:p w14:paraId="3D23C65E">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53" w:name="_Toc215"/>
      <w:bookmarkStart w:id="54" w:name="_Toc13530"/>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53"/>
      <w:bookmarkEnd w:id="54"/>
    </w:p>
    <w:p w14:paraId="5BD43702">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6A09AA27">
      <w:pPr>
        <w:spacing w:line="360" w:lineRule="auto"/>
        <w:jc w:val="center"/>
        <w:outlineLvl w:val="1"/>
        <w:rPr>
          <w:rFonts w:asciiTheme="minorEastAsia" w:hAnsiTheme="minorEastAsia" w:eastAsiaTheme="minorEastAsia"/>
          <w:b/>
          <w:color w:val="auto"/>
          <w:sz w:val="24"/>
          <w:highlight w:val="none"/>
        </w:rPr>
      </w:pPr>
      <w:bookmarkStart w:id="55" w:name="_Toc14197"/>
      <w:bookmarkStart w:id="56" w:name="_Toc11521"/>
      <w:bookmarkStart w:id="57" w:name="_Hlk23205287"/>
      <w:r>
        <w:rPr>
          <w:rFonts w:hint="eastAsia" w:asciiTheme="minorEastAsia" w:hAnsiTheme="minorEastAsia" w:eastAsiaTheme="minorEastAsia"/>
          <w:b/>
          <w:color w:val="auto"/>
          <w:sz w:val="24"/>
          <w:highlight w:val="none"/>
        </w:rPr>
        <w:t>一、报价表</w:t>
      </w:r>
      <w:bookmarkEnd w:id="55"/>
      <w:bookmarkEnd w:id="56"/>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604"/>
        <w:gridCol w:w="1418"/>
        <w:gridCol w:w="1286"/>
        <w:gridCol w:w="732"/>
        <w:gridCol w:w="777"/>
        <w:gridCol w:w="1022"/>
        <w:gridCol w:w="1024"/>
        <w:gridCol w:w="745"/>
      </w:tblGrid>
      <w:tr w14:paraId="0843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66" w:type="pct"/>
            <w:vAlign w:val="center"/>
          </w:tcPr>
          <w:p w14:paraId="0A52F328">
            <w:pPr>
              <w:pStyle w:val="45"/>
              <w:widowControl w:val="0"/>
              <w:spacing w:before="0" w:beforeAutospacing="0" w:after="0" w:afterAutospacing="0"/>
              <w:rPr>
                <w:rFonts w:asciiTheme="minorEastAsia" w:hAnsiTheme="minorEastAsia" w:eastAsiaTheme="minorEastAsia"/>
                <w:bCs w:val="0"/>
                <w:color w:val="auto"/>
                <w:kern w:val="2"/>
                <w:sz w:val="24"/>
                <w:szCs w:val="24"/>
                <w:highlight w:val="none"/>
              </w:rPr>
            </w:pPr>
            <w:r>
              <w:rPr>
                <w:rFonts w:hint="eastAsia" w:asciiTheme="minorEastAsia" w:hAnsiTheme="minorEastAsia" w:eastAsiaTheme="minorEastAsia"/>
                <w:bCs w:val="0"/>
                <w:color w:val="auto"/>
                <w:kern w:val="2"/>
                <w:sz w:val="24"/>
                <w:szCs w:val="24"/>
                <w:highlight w:val="none"/>
              </w:rPr>
              <w:t>序号</w:t>
            </w:r>
          </w:p>
        </w:tc>
        <w:tc>
          <w:tcPr>
            <w:tcW w:w="864" w:type="pct"/>
            <w:vAlign w:val="center"/>
          </w:tcPr>
          <w:p w14:paraId="24B5BDA7">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货物名称</w:t>
            </w:r>
          </w:p>
        </w:tc>
        <w:tc>
          <w:tcPr>
            <w:tcW w:w="762" w:type="pct"/>
            <w:vAlign w:val="center"/>
          </w:tcPr>
          <w:p w14:paraId="46DD27B4">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品牌、型号</w:t>
            </w:r>
          </w:p>
        </w:tc>
        <w:tc>
          <w:tcPr>
            <w:tcW w:w="692" w:type="pct"/>
            <w:vAlign w:val="center"/>
          </w:tcPr>
          <w:p w14:paraId="2E617260">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生产厂商</w:t>
            </w:r>
          </w:p>
        </w:tc>
        <w:tc>
          <w:tcPr>
            <w:tcW w:w="394" w:type="pct"/>
            <w:vAlign w:val="center"/>
          </w:tcPr>
          <w:p w14:paraId="3BA6BFCB">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单位</w:t>
            </w:r>
          </w:p>
        </w:tc>
        <w:tc>
          <w:tcPr>
            <w:tcW w:w="418" w:type="pct"/>
            <w:vAlign w:val="center"/>
          </w:tcPr>
          <w:p w14:paraId="00623E4C">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550" w:type="pct"/>
            <w:vAlign w:val="center"/>
          </w:tcPr>
          <w:p w14:paraId="09C5DF69">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单价</w:t>
            </w:r>
          </w:p>
          <w:p w14:paraId="3B2D879C">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（元）</w:t>
            </w:r>
          </w:p>
        </w:tc>
        <w:tc>
          <w:tcPr>
            <w:tcW w:w="551" w:type="pct"/>
            <w:vAlign w:val="center"/>
          </w:tcPr>
          <w:p w14:paraId="0CF0BB92">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小计</w:t>
            </w:r>
          </w:p>
          <w:p w14:paraId="0C91675F">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（元）</w:t>
            </w:r>
          </w:p>
        </w:tc>
        <w:tc>
          <w:tcPr>
            <w:tcW w:w="400" w:type="pct"/>
            <w:vAlign w:val="center"/>
          </w:tcPr>
          <w:p w14:paraId="2FE2D17E">
            <w:pPr>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备注</w:t>
            </w:r>
          </w:p>
        </w:tc>
      </w:tr>
      <w:tr w14:paraId="6A1F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Align w:val="center"/>
          </w:tcPr>
          <w:p w14:paraId="03A447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1</w:t>
            </w:r>
          </w:p>
        </w:tc>
        <w:tc>
          <w:tcPr>
            <w:tcW w:w="864" w:type="pct"/>
            <w:vAlign w:val="center"/>
          </w:tcPr>
          <w:p w14:paraId="7755C44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高压水压软管</w:t>
            </w:r>
          </w:p>
        </w:tc>
        <w:tc>
          <w:tcPr>
            <w:tcW w:w="762" w:type="pct"/>
            <w:vAlign w:val="center"/>
          </w:tcPr>
          <w:p w14:paraId="12A2D51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4CBB68C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10A91E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米</w:t>
            </w:r>
          </w:p>
        </w:tc>
        <w:tc>
          <w:tcPr>
            <w:tcW w:w="418" w:type="pct"/>
            <w:vAlign w:val="center"/>
          </w:tcPr>
          <w:p w14:paraId="61277E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20</w:t>
            </w:r>
          </w:p>
        </w:tc>
        <w:tc>
          <w:tcPr>
            <w:tcW w:w="550" w:type="pct"/>
          </w:tcPr>
          <w:p w14:paraId="3E62234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671C24C7">
            <w:pPr>
              <w:rPr>
                <w:rFonts w:asciiTheme="minorEastAsia" w:hAnsiTheme="minorEastAsia" w:eastAsiaTheme="minorEastAsia"/>
                <w:color w:val="auto"/>
                <w:sz w:val="24"/>
                <w:szCs w:val="24"/>
                <w:highlight w:val="none"/>
              </w:rPr>
            </w:pPr>
          </w:p>
        </w:tc>
        <w:tc>
          <w:tcPr>
            <w:tcW w:w="400" w:type="pct"/>
          </w:tcPr>
          <w:p w14:paraId="206C94F3">
            <w:pPr>
              <w:rPr>
                <w:rFonts w:asciiTheme="minorEastAsia" w:hAnsiTheme="minorEastAsia" w:eastAsiaTheme="minorEastAsia"/>
                <w:color w:val="auto"/>
                <w:sz w:val="24"/>
                <w:szCs w:val="24"/>
                <w:highlight w:val="none"/>
              </w:rPr>
            </w:pPr>
          </w:p>
        </w:tc>
      </w:tr>
      <w:tr w14:paraId="73F4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Merge w:val="restart"/>
            <w:vAlign w:val="center"/>
          </w:tcPr>
          <w:p w14:paraId="1A1C5B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864" w:type="pct"/>
            <w:vMerge w:val="restart"/>
            <w:vAlign w:val="center"/>
          </w:tcPr>
          <w:p w14:paraId="36F0C1B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提升泵</w:t>
            </w:r>
          </w:p>
        </w:tc>
        <w:tc>
          <w:tcPr>
            <w:tcW w:w="762" w:type="pct"/>
            <w:vAlign w:val="center"/>
          </w:tcPr>
          <w:p w14:paraId="01BA1B0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4AD34D2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7FA4E2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台</w:t>
            </w:r>
          </w:p>
        </w:tc>
        <w:tc>
          <w:tcPr>
            <w:tcW w:w="418" w:type="pct"/>
            <w:vAlign w:val="center"/>
          </w:tcPr>
          <w:p w14:paraId="524AF7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550" w:type="pct"/>
          </w:tcPr>
          <w:p w14:paraId="3DEA22C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370D760A">
            <w:pPr>
              <w:rPr>
                <w:rFonts w:asciiTheme="minorEastAsia" w:hAnsiTheme="minorEastAsia" w:eastAsiaTheme="minorEastAsia"/>
                <w:color w:val="auto"/>
                <w:sz w:val="24"/>
                <w:szCs w:val="24"/>
                <w:highlight w:val="none"/>
              </w:rPr>
            </w:pPr>
          </w:p>
        </w:tc>
        <w:tc>
          <w:tcPr>
            <w:tcW w:w="400" w:type="pct"/>
          </w:tcPr>
          <w:p w14:paraId="38B8C9F5">
            <w:pPr>
              <w:rPr>
                <w:rFonts w:asciiTheme="minorEastAsia" w:hAnsiTheme="minorEastAsia" w:eastAsiaTheme="minorEastAsia"/>
                <w:color w:val="auto"/>
                <w:sz w:val="24"/>
                <w:szCs w:val="24"/>
                <w:highlight w:val="none"/>
              </w:rPr>
            </w:pPr>
          </w:p>
        </w:tc>
      </w:tr>
      <w:tr w14:paraId="23E3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Merge w:val="continue"/>
            <w:vAlign w:val="center"/>
          </w:tcPr>
          <w:p w14:paraId="32D7DA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p>
        </w:tc>
        <w:tc>
          <w:tcPr>
            <w:tcW w:w="864" w:type="pct"/>
            <w:vMerge w:val="continue"/>
            <w:vAlign w:val="center"/>
          </w:tcPr>
          <w:p w14:paraId="7F67AFF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762" w:type="pct"/>
            <w:vAlign w:val="center"/>
          </w:tcPr>
          <w:p w14:paraId="2EE6298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47961C2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63A161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台</w:t>
            </w:r>
          </w:p>
        </w:tc>
        <w:tc>
          <w:tcPr>
            <w:tcW w:w="418" w:type="pct"/>
            <w:vAlign w:val="center"/>
          </w:tcPr>
          <w:p w14:paraId="0DEC1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550" w:type="pct"/>
          </w:tcPr>
          <w:p w14:paraId="3FEB0D2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0B6DD5AC">
            <w:pPr>
              <w:rPr>
                <w:rFonts w:asciiTheme="minorEastAsia" w:hAnsiTheme="minorEastAsia" w:eastAsiaTheme="minorEastAsia"/>
                <w:color w:val="auto"/>
                <w:sz w:val="24"/>
                <w:szCs w:val="24"/>
                <w:highlight w:val="none"/>
              </w:rPr>
            </w:pPr>
          </w:p>
        </w:tc>
        <w:tc>
          <w:tcPr>
            <w:tcW w:w="400" w:type="pct"/>
          </w:tcPr>
          <w:p w14:paraId="6CED7605">
            <w:pPr>
              <w:rPr>
                <w:rFonts w:asciiTheme="minorEastAsia" w:hAnsiTheme="minorEastAsia" w:eastAsiaTheme="minorEastAsia"/>
                <w:color w:val="auto"/>
                <w:sz w:val="24"/>
                <w:szCs w:val="24"/>
                <w:highlight w:val="none"/>
              </w:rPr>
            </w:pPr>
          </w:p>
        </w:tc>
      </w:tr>
      <w:tr w14:paraId="2843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Merge w:val="restart"/>
            <w:vAlign w:val="center"/>
          </w:tcPr>
          <w:p w14:paraId="03C5F9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864" w:type="pct"/>
            <w:vMerge w:val="restart"/>
            <w:vAlign w:val="center"/>
          </w:tcPr>
          <w:p w14:paraId="3AB1CB8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自吸离心泵</w:t>
            </w:r>
          </w:p>
        </w:tc>
        <w:tc>
          <w:tcPr>
            <w:tcW w:w="762" w:type="pct"/>
            <w:vAlign w:val="center"/>
          </w:tcPr>
          <w:p w14:paraId="5E0B16A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00D6694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6F371E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台</w:t>
            </w:r>
          </w:p>
        </w:tc>
        <w:tc>
          <w:tcPr>
            <w:tcW w:w="418" w:type="pct"/>
            <w:vAlign w:val="center"/>
          </w:tcPr>
          <w:p w14:paraId="158AED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550" w:type="pct"/>
          </w:tcPr>
          <w:p w14:paraId="0CD4544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252B6B26">
            <w:pPr>
              <w:rPr>
                <w:rFonts w:asciiTheme="minorEastAsia" w:hAnsiTheme="minorEastAsia" w:eastAsiaTheme="minorEastAsia"/>
                <w:color w:val="auto"/>
                <w:sz w:val="24"/>
                <w:szCs w:val="24"/>
                <w:highlight w:val="none"/>
              </w:rPr>
            </w:pPr>
          </w:p>
        </w:tc>
        <w:tc>
          <w:tcPr>
            <w:tcW w:w="400" w:type="pct"/>
          </w:tcPr>
          <w:p w14:paraId="07068552">
            <w:pPr>
              <w:rPr>
                <w:rFonts w:asciiTheme="minorEastAsia" w:hAnsiTheme="minorEastAsia" w:eastAsiaTheme="minorEastAsia"/>
                <w:color w:val="auto"/>
                <w:sz w:val="24"/>
                <w:szCs w:val="24"/>
                <w:highlight w:val="none"/>
              </w:rPr>
            </w:pPr>
          </w:p>
        </w:tc>
      </w:tr>
      <w:tr w14:paraId="6BB9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Merge w:val="continue"/>
            <w:vAlign w:val="center"/>
          </w:tcPr>
          <w:p w14:paraId="1066D3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p>
        </w:tc>
        <w:tc>
          <w:tcPr>
            <w:tcW w:w="864" w:type="pct"/>
            <w:vMerge w:val="continue"/>
            <w:vAlign w:val="center"/>
          </w:tcPr>
          <w:p w14:paraId="7B42CD9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762" w:type="pct"/>
            <w:vAlign w:val="center"/>
          </w:tcPr>
          <w:p w14:paraId="47A4A01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2B63766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2658DA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台</w:t>
            </w:r>
          </w:p>
        </w:tc>
        <w:tc>
          <w:tcPr>
            <w:tcW w:w="418" w:type="pct"/>
            <w:vAlign w:val="center"/>
          </w:tcPr>
          <w:p w14:paraId="435756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550" w:type="pct"/>
          </w:tcPr>
          <w:p w14:paraId="2C7C38E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2CF26B7C">
            <w:pPr>
              <w:rPr>
                <w:rFonts w:asciiTheme="minorEastAsia" w:hAnsiTheme="minorEastAsia" w:eastAsiaTheme="minorEastAsia"/>
                <w:color w:val="auto"/>
                <w:sz w:val="24"/>
                <w:szCs w:val="24"/>
                <w:highlight w:val="none"/>
              </w:rPr>
            </w:pPr>
          </w:p>
        </w:tc>
        <w:tc>
          <w:tcPr>
            <w:tcW w:w="400" w:type="pct"/>
          </w:tcPr>
          <w:p w14:paraId="03D3A702">
            <w:pPr>
              <w:rPr>
                <w:rFonts w:asciiTheme="minorEastAsia" w:hAnsiTheme="minorEastAsia" w:eastAsiaTheme="minorEastAsia"/>
                <w:color w:val="auto"/>
                <w:sz w:val="24"/>
                <w:szCs w:val="24"/>
                <w:highlight w:val="none"/>
              </w:rPr>
            </w:pPr>
          </w:p>
        </w:tc>
      </w:tr>
      <w:tr w14:paraId="6A37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Merge w:val="restart"/>
            <w:vAlign w:val="center"/>
          </w:tcPr>
          <w:p w14:paraId="618BDC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864" w:type="pct"/>
            <w:vMerge w:val="restart"/>
            <w:vAlign w:val="center"/>
          </w:tcPr>
          <w:p w14:paraId="66BD954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清水泵</w:t>
            </w:r>
          </w:p>
        </w:tc>
        <w:tc>
          <w:tcPr>
            <w:tcW w:w="762" w:type="pct"/>
            <w:vAlign w:val="center"/>
          </w:tcPr>
          <w:p w14:paraId="413FF89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1E9CF87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7163C18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台</w:t>
            </w:r>
          </w:p>
        </w:tc>
        <w:tc>
          <w:tcPr>
            <w:tcW w:w="418" w:type="pct"/>
            <w:vAlign w:val="center"/>
          </w:tcPr>
          <w:p w14:paraId="17F3FA2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2</w:t>
            </w:r>
          </w:p>
        </w:tc>
        <w:tc>
          <w:tcPr>
            <w:tcW w:w="550" w:type="pct"/>
          </w:tcPr>
          <w:p w14:paraId="59587EB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7887CEDD">
            <w:pPr>
              <w:rPr>
                <w:rFonts w:asciiTheme="minorEastAsia" w:hAnsiTheme="minorEastAsia" w:eastAsiaTheme="minorEastAsia"/>
                <w:color w:val="auto"/>
                <w:sz w:val="24"/>
                <w:szCs w:val="24"/>
                <w:highlight w:val="none"/>
              </w:rPr>
            </w:pPr>
          </w:p>
        </w:tc>
        <w:tc>
          <w:tcPr>
            <w:tcW w:w="400" w:type="pct"/>
          </w:tcPr>
          <w:p w14:paraId="27424B7E">
            <w:pPr>
              <w:rPr>
                <w:rFonts w:asciiTheme="minorEastAsia" w:hAnsiTheme="minorEastAsia" w:eastAsiaTheme="minorEastAsia"/>
                <w:color w:val="auto"/>
                <w:sz w:val="24"/>
                <w:szCs w:val="24"/>
                <w:highlight w:val="none"/>
              </w:rPr>
            </w:pPr>
          </w:p>
        </w:tc>
      </w:tr>
      <w:tr w14:paraId="6616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Merge w:val="continue"/>
            <w:vAlign w:val="center"/>
          </w:tcPr>
          <w:p w14:paraId="40D86A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p>
        </w:tc>
        <w:tc>
          <w:tcPr>
            <w:tcW w:w="864" w:type="pct"/>
            <w:vMerge w:val="continue"/>
            <w:vAlign w:val="center"/>
          </w:tcPr>
          <w:p w14:paraId="2638AC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762" w:type="pct"/>
            <w:vAlign w:val="center"/>
          </w:tcPr>
          <w:p w14:paraId="18A16FA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3B7C150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67BB596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台</w:t>
            </w:r>
          </w:p>
        </w:tc>
        <w:tc>
          <w:tcPr>
            <w:tcW w:w="418" w:type="pct"/>
            <w:vAlign w:val="center"/>
          </w:tcPr>
          <w:p w14:paraId="319DCDC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4</w:t>
            </w:r>
          </w:p>
        </w:tc>
        <w:tc>
          <w:tcPr>
            <w:tcW w:w="550" w:type="pct"/>
          </w:tcPr>
          <w:p w14:paraId="4576A0B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44509030">
            <w:pPr>
              <w:rPr>
                <w:rFonts w:asciiTheme="minorEastAsia" w:hAnsiTheme="minorEastAsia" w:eastAsiaTheme="minorEastAsia"/>
                <w:color w:val="auto"/>
                <w:sz w:val="24"/>
                <w:szCs w:val="24"/>
                <w:highlight w:val="none"/>
              </w:rPr>
            </w:pPr>
          </w:p>
        </w:tc>
        <w:tc>
          <w:tcPr>
            <w:tcW w:w="400" w:type="pct"/>
          </w:tcPr>
          <w:p w14:paraId="02CE6EBF">
            <w:pPr>
              <w:rPr>
                <w:rFonts w:asciiTheme="minorEastAsia" w:hAnsiTheme="minorEastAsia" w:eastAsiaTheme="minorEastAsia"/>
                <w:color w:val="auto"/>
                <w:sz w:val="24"/>
                <w:szCs w:val="24"/>
                <w:highlight w:val="none"/>
              </w:rPr>
            </w:pPr>
          </w:p>
        </w:tc>
      </w:tr>
      <w:tr w14:paraId="58D2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Align w:val="center"/>
          </w:tcPr>
          <w:p w14:paraId="306EAB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5</w:t>
            </w:r>
          </w:p>
        </w:tc>
        <w:tc>
          <w:tcPr>
            <w:tcW w:w="864" w:type="pct"/>
            <w:vAlign w:val="center"/>
          </w:tcPr>
          <w:p w14:paraId="2E6E31D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液位变送器</w:t>
            </w:r>
          </w:p>
        </w:tc>
        <w:tc>
          <w:tcPr>
            <w:tcW w:w="762" w:type="pct"/>
            <w:vAlign w:val="center"/>
          </w:tcPr>
          <w:p w14:paraId="74AE7D4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07EC9E3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3318E4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418" w:type="pct"/>
            <w:vAlign w:val="center"/>
          </w:tcPr>
          <w:p w14:paraId="4E3CCD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3</w:t>
            </w:r>
          </w:p>
        </w:tc>
        <w:tc>
          <w:tcPr>
            <w:tcW w:w="550" w:type="pct"/>
          </w:tcPr>
          <w:p w14:paraId="1DD2567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7DEC2A54">
            <w:pPr>
              <w:rPr>
                <w:rFonts w:asciiTheme="minorEastAsia" w:hAnsiTheme="minorEastAsia" w:eastAsiaTheme="minorEastAsia"/>
                <w:color w:val="auto"/>
                <w:sz w:val="24"/>
                <w:szCs w:val="24"/>
                <w:highlight w:val="none"/>
              </w:rPr>
            </w:pPr>
          </w:p>
        </w:tc>
        <w:tc>
          <w:tcPr>
            <w:tcW w:w="400" w:type="pct"/>
          </w:tcPr>
          <w:p w14:paraId="13F65AB7">
            <w:pPr>
              <w:rPr>
                <w:rFonts w:asciiTheme="minorEastAsia" w:hAnsiTheme="minorEastAsia" w:eastAsiaTheme="minorEastAsia"/>
                <w:color w:val="auto"/>
                <w:sz w:val="24"/>
                <w:szCs w:val="24"/>
                <w:highlight w:val="none"/>
              </w:rPr>
            </w:pPr>
          </w:p>
        </w:tc>
      </w:tr>
      <w:tr w14:paraId="53AA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Merge w:val="restart"/>
            <w:vAlign w:val="center"/>
          </w:tcPr>
          <w:p w14:paraId="1590D2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864" w:type="pct"/>
            <w:vMerge w:val="restart"/>
            <w:vAlign w:val="center"/>
          </w:tcPr>
          <w:p w14:paraId="1C222AED">
            <w:pPr>
              <w:jc w:val="center"/>
              <w:rPr>
                <w:rFonts w:hint="eastAsia" w:ascii="宋体" w:hAnsi="宋体" w:eastAsia="宋体" w:cs="宋体"/>
                <w:color w:val="auto"/>
                <w:sz w:val="21"/>
                <w:szCs w:val="21"/>
                <w:highlight w:val="none"/>
                <w:vertAlign w:val="baseline"/>
                <w:lang w:val="en-US" w:eastAsia="zh-CN"/>
              </w:rPr>
            </w:pPr>
          </w:p>
          <w:p w14:paraId="0FB1EF5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电磁阀</w:t>
            </w:r>
          </w:p>
        </w:tc>
        <w:tc>
          <w:tcPr>
            <w:tcW w:w="762" w:type="pct"/>
            <w:vAlign w:val="center"/>
          </w:tcPr>
          <w:p w14:paraId="642A766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3CEC0E1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289B9F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418" w:type="pct"/>
            <w:vAlign w:val="center"/>
          </w:tcPr>
          <w:p w14:paraId="4A1394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550" w:type="pct"/>
          </w:tcPr>
          <w:p w14:paraId="2B6251C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10F1B02C">
            <w:pPr>
              <w:rPr>
                <w:rFonts w:asciiTheme="minorEastAsia" w:hAnsiTheme="minorEastAsia" w:eastAsiaTheme="minorEastAsia"/>
                <w:color w:val="auto"/>
                <w:sz w:val="24"/>
                <w:szCs w:val="24"/>
                <w:highlight w:val="none"/>
              </w:rPr>
            </w:pPr>
          </w:p>
        </w:tc>
        <w:tc>
          <w:tcPr>
            <w:tcW w:w="400" w:type="pct"/>
          </w:tcPr>
          <w:p w14:paraId="7E67FEA3">
            <w:pPr>
              <w:rPr>
                <w:rFonts w:asciiTheme="minorEastAsia" w:hAnsiTheme="minorEastAsia" w:eastAsiaTheme="minorEastAsia"/>
                <w:color w:val="auto"/>
                <w:sz w:val="24"/>
                <w:szCs w:val="24"/>
                <w:highlight w:val="none"/>
              </w:rPr>
            </w:pPr>
          </w:p>
        </w:tc>
      </w:tr>
      <w:tr w14:paraId="183A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Merge w:val="continue"/>
            <w:vAlign w:val="center"/>
          </w:tcPr>
          <w:p w14:paraId="1E47F1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p>
        </w:tc>
        <w:tc>
          <w:tcPr>
            <w:tcW w:w="864" w:type="pct"/>
            <w:vMerge w:val="continue"/>
            <w:vAlign w:val="center"/>
          </w:tcPr>
          <w:p w14:paraId="17ABC18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762" w:type="pct"/>
            <w:vAlign w:val="center"/>
          </w:tcPr>
          <w:p w14:paraId="2956681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0590740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079A72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418" w:type="pct"/>
            <w:vAlign w:val="center"/>
          </w:tcPr>
          <w:p w14:paraId="0C4E59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550" w:type="pct"/>
          </w:tcPr>
          <w:p w14:paraId="523957D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5BFF01E6">
            <w:pPr>
              <w:rPr>
                <w:rFonts w:asciiTheme="minorEastAsia" w:hAnsiTheme="minorEastAsia" w:eastAsiaTheme="minorEastAsia"/>
                <w:color w:val="auto"/>
                <w:sz w:val="24"/>
                <w:szCs w:val="24"/>
                <w:highlight w:val="none"/>
              </w:rPr>
            </w:pPr>
          </w:p>
        </w:tc>
        <w:tc>
          <w:tcPr>
            <w:tcW w:w="400" w:type="pct"/>
          </w:tcPr>
          <w:p w14:paraId="181D695C">
            <w:pPr>
              <w:rPr>
                <w:rFonts w:asciiTheme="minorEastAsia" w:hAnsiTheme="minorEastAsia" w:eastAsiaTheme="minorEastAsia"/>
                <w:color w:val="auto"/>
                <w:sz w:val="24"/>
                <w:szCs w:val="24"/>
                <w:highlight w:val="none"/>
              </w:rPr>
            </w:pPr>
          </w:p>
        </w:tc>
      </w:tr>
      <w:tr w14:paraId="189E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Merge w:val="continue"/>
            <w:vAlign w:val="center"/>
          </w:tcPr>
          <w:p w14:paraId="33D039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p>
        </w:tc>
        <w:tc>
          <w:tcPr>
            <w:tcW w:w="864" w:type="pct"/>
            <w:vMerge w:val="continue"/>
            <w:vAlign w:val="center"/>
          </w:tcPr>
          <w:p w14:paraId="3B28061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762" w:type="pct"/>
            <w:vAlign w:val="center"/>
          </w:tcPr>
          <w:p w14:paraId="0212651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60A4CF0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7F048C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418" w:type="pct"/>
            <w:vAlign w:val="center"/>
          </w:tcPr>
          <w:p w14:paraId="77A4DB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550" w:type="pct"/>
          </w:tcPr>
          <w:p w14:paraId="6C297D8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0949363C">
            <w:pPr>
              <w:rPr>
                <w:rFonts w:asciiTheme="minorEastAsia" w:hAnsiTheme="minorEastAsia" w:eastAsiaTheme="minorEastAsia"/>
                <w:color w:val="auto"/>
                <w:sz w:val="24"/>
                <w:szCs w:val="24"/>
                <w:highlight w:val="none"/>
              </w:rPr>
            </w:pPr>
          </w:p>
        </w:tc>
        <w:tc>
          <w:tcPr>
            <w:tcW w:w="400" w:type="pct"/>
          </w:tcPr>
          <w:p w14:paraId="33473B91">
            <w:pPr>
              <w:rPr>
                <w:rFonts w:asciiTheme="minorEastAsia" w:hAnsiTheme="minorEastAsia" w:eastAsiaTheme="minorEastAsia"/>
                <w:color w:val="auto"/>
                <w:sz w:val="24"/>
                <w:szCs w:val="24"/>
                <w:highlight w:val="none"/>
              </w:rPr>
            </w:pPr>
          </w:p>
        </w:tc>
      </w:tr>
      <w:tr w14:paraId="3EA8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Merge w:val="continue"/>
            <w:vAlign w:val="center"/>
          </w:tcPr>
          <w:p w14:paraId="16D8AD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lang w:val="en-US" w:eastAsia="zh-CN"/>
              </w:rPr>
            </w:pPr>
          </w:p>
        </w:tc>
        <w:tc>
          <w:tcPr>
            <w:tcW w:w="864" w:type="pct"/>
            <w:vMerge w:val="continue"/>
            <w:vAlign w:val="center"/>
          </w:tcPr>
          <w:p w14:paraId="03B3EBA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762" w:type="pct"/>
            <w:vAlign w:val="center"/>
          </w:tcPr>
          <w:p w14:paraId="385C55C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6932AFE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2B9E59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418" w:type="pct"/>
            <w:vAlign w:val="center"/>
          </w:tcPr>
          <w:p w14:paraId="1E6462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550" w:type="pct"/>
          </w:tcPr>
          <w:p w14:paraId="2F61240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0AE1475F">
            <w:pPr>
              <w:rPr>
                <w:rFonts w:asciiTheme="minorEastAsia" w:hAnsiTheme="minorEastAsia" w:eastAsiaTheme="minorEastAsia"/>
                <w:color w:val="auto"/>
                <w:sz w:val="24"/>
                <w:szCs w:val="24"/>
                <w:highlight w:val="none"/>
              </w:rPr>
            </w:pPr>
          </w:p>
        </w:tc>
        <w:tc>
          <w:tcPr>
            <w:tcW w:w="400" w:type="pct"/>
          </w:tcPr>
          <w:p w14:paraId="1A36D4F9">
            <w:pPr>
              <w:rPr>
                <w:rFonts w:asciiTheme="minorEastAsia" w:hAnsiTheme="minorEastAsia" w:eastAsiaTheme="minorEastAsia"/>
                <w:color w:val="auto"/>
                <w:sz w:val="24"/>
                <w:szCs w:val="24"/>
                <w:highlight w:val="none"/>
              </w:rPr>
            </w:pPr>
          </w:p>
        </w:tc>
      </w:tr>
      <w:tr w14:paraId="6089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Align w:val="center"/>
          </w:tcPr>
          <w:p w14:paraId="71EE4B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864" w:type="pct"/>
            <w:vAlign w:val="center"/>
          </w:tcPr>
          <w:p w14:paraId="395B0CF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卧式铜片单向止回阀</w:t>
            </w:r>
          </w:p>
        </w:tc>
        <w:tc>
          <w:tcPr>
            <w:tcW w:w="762" w:type="pct"/>
            <w:vAlign w:val="center"/>
          </w:tcPr>
          <w:p w14:paraId="2E41E6D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78F2158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3F0B2A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418" w:type="pct"/>
            <w:vAlign w:val="center"/>
          </w:tcPr>
          <w:p w14:paraId="7FB671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4</w:t>
            </w:r>
          </w:p>
        </w:tc>
        <w:tc>
          <w:tcPr>
            <w:tcW w:w="550" w:type="pct"/>
          </w:tcPr>
          <w:p w14:paraId="5460232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14F758AF">
            <w:pPr>
              <w:rPr>
                <w:rFonts w:asciiTheme="minorEastAsia" w:hAnsiTheme="minorEastAsia" w:eastAsiaTheme="minorEastAsia"/>
                <w:color w:val="auto"/>
                <w:sz w:val="24"/>
                <w:szCs w:val="24"/>
                <w:highlight w:val="none"/>
              </w:rPr>
            </w:pPr>
          </w:p>
        </w:tc>
        <w:tc>
          <w:tcPr>
            <w:tcW w:w="400" w:type="pct"/>
          </w:tcPr>
          <w:p w14:paraId="2538FC86">
            <w:pPr>
              <w:rPr>
                <w:rFonts w:asciiTheme="minorEastAsia" w:hAnsiTheme="minorEastAsia" w:eastAsiaTheme="minorEastAsia"/>
                <w:color w:val="auto"/>
                <w:sz w:val="24"/>
                <w:szCs w:val="24"/>
                <w:highlight w:val="none"/>
              </w:rPr>
            </w:pPr>
          </w:p>
        </w:tc>
      </w:tr>
      <w:tr w14:paraId="41CA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Align w:val="center"/>
          </w:tcPr>
          <w:p w14:paraId="73EFAB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8</w:t>
            </w:r>
          </w:p>
        </w:tc>
        <w:tc>
          <w:tcPr>
            <w:tcW w:w="864" w:type="pct"/>
            <w:vAlign w:val="center"/>
          </w:tcPr>
          <w:p w14:paraId="1F399D0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压力变送开关</w:t>
            </w:r>
          </w:p>
        </w:tc>
        <w:tc>
          <w:tcPr>
            <w:tcW w:w="762" w:type="pct"/>
            <w:vAlign w:val="center"/>
          </w:tcPr>
          <w:p w14:paraId="0767CE9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5B9CCDC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517DC6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个</w:t>
            </w:r>
          </w:p>
        </w:tc>
        <w:tc>
          <w:tcPr>
            <w:tcW w:w="418" w:type="pct"/>
            <w:vAlign w:val="center"/>
          </w:tcPr>
          <w:p w14:paraId="48E52D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550" w:type="pct"/>
          </w:tcPr>
          <w:p w14:paraId="5324273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0A3E3118">
            <w:pPr>
              <w:rPr>
                <w:rFonts w:asciiTheme="minorEastAsia" w:hAnsiTheme="minorEastAsia" w:eastAsiaTheme="minorEastAsia"/>
                <w:color w:val="auto"/>
                <w:sz w:val="24"/>
                <w:szCs w:val="24"/>
                <w:highlight w:val="none"/>
              </w:rPr>
            </w:pPr>
          </w:p>
        </w:tc>
        <w:tc>
          <w:tcPr>
            <w:tcW w:w="400" w:type="pct"/>
          </w:tcPr>
          <w:p w14:paraId="5A1E8939">
            <w:pPr>
              <w:rPr>
                <w:rFonts w:asciiTheme="minorEastAsia" w:hAnsiTheme="minorEastAsia" w:eastAsiaTheme="minorEastAsia"/>
                <w:color w:val="auto"/>
                <w:sz w:val="24"/>
                <w:szCs w:val="24"/>
                <w:highlight w:val="none"/>
              </w:rPr>
            </w:pPr>
          </w:p>
        </w:tc>
      </w:tr>
      <w:tr w14:paraId="4ADF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Align w:val="center"/>
          </w:tcPr>
          <w:p w14:paraId="589D82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9</w:t>
            </w:r>
          </w:p>
        </w:tc>
        <w:tc>
          <w:tcPr>
            <w:tcW w:w="864" w:type="pct"/>
            <w:vAlign w:val="center"/>
          </w:tcPr>
          <w:p w14:paraId="7E06CEF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20吨高压风机</w:t>
            </w:r>
          </w:p>
        </w:tc>
        <w:tc>
          <w:tcPr>
            <w:tcW w:w="762" w:type="pct"/>
            <w:vAlign w:val="center"/>
          </w:tcPr>
          <w:p w14:paraId="0D4546F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3F5A644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3DDFE8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台</w:t>
            </w:r>
          </w:p>
        </w:tc>
        <w:tc>
          <w:tcPr>
            <w:tcW w:w="418" w:type="pct"/>
            <w:vAlign w:val="center"/>
          </w:tcPr>
          <w:p w14:paraId="375645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550" w:type="pct"/>
          </w:tcPr>
          <w:p w14:paraId="13A7183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52AE59B7">
            <w:pPr>
              <w:rPr>
                <w:rFonts w:asciiTheme="minorEastAsia" w:hAnsiTheme="minorEastAsia" w:eastAsiaTheme="minorEastAsia"/>
                <w:color w:val="auto"/>
                <w:sz w:val="24"/>
                <w:szCs w:val="24"/>
                <w:highlight w:val="none"/>
              </w:rPr>
            </w:pPr>
          </w:p>
        </w:tc>
        <w:tc>
          <w:tcPr>
            <w:tcW w:w="400" w:type="pct"/>
          </w:tcPr>
          <w:p w14:paraId="1F1999FD">
            <w:pPr>
              <w:rPr>
                <w:rFonts w:asciiTheme="minorEastAsia" w:hAnsiTheme="minorEastAsia" w:eastAsiaTheme="minorEastAsia"/>
                <w:color w:val="auto"/>
                <w:sz w:val="24"/>
                <w:szCs w:val="24"/>
                <w:highlight w:val="none"/>
              </w:rPr>
            </w:pPr>
          </w:p>
        </w:tc>
      </w:tr>
      <w:tr w14:paraId="4957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6" w:type="pct"/>
            <w:vAlign w:val="center"/>
          </w:tcPr>
          <w:p w14:paraId="44CC90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10</w:t>
            </w:r>
          </w:p>
        </w:tc>
        <w:tc>
          <w:tcPr>
            <w:tcW w:w="864" w:type="pct"/>
            <w:vAlign w:val="center"/>
          </w:tcPr>
          <w:p w14:paraId="4353DE3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50吨高压风机</w:t>
            </w:r>
          </w:p>
        </w:tc>
        <w:tc>
          <w:tcPr>
            <w:tcW w:w="762" w:type="pct"/>
            <w:vAlign w:val="center"/>
          </w:tcPr>
          <w:p w14:paraId="5B571C5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692" w:type="pct"/>
            <w:vAlign w:val="center"/>
          </w:tcPr>
          <w:p w14:paraId="2326A20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394" w:type="pct"/>
            <w:vAlign w:val="center"/>
          </w:tcPr>
          <w:p w14:paraId="7701A8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台</w:t>
            </w:r>
          </w:p>
        </w:tc>
        <w:tc>
          <w:tcPr>
            <w:tcW w:w="418" w:type="pct"/>
            <w:vAlign w:val="center"/>
          </w:tcPr>
          <w:p w14:paraId="28C354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auto"/>
                <w:sz w:val="21"/>
                <w:szCs w:val="21"/>
                <w:highlight w:val="none"/>
                <w:u w:val="none"/>
                <w:lang w:val="en-US" w:eastAsia="zh-CN"/>
              </w:rPr>
              <w:t>2</w:t>
            </w:r>
          </w:p>
        </w:tc>
        <w:tc>
          <w:tcPr>
            <w:tcW w:w="550" w:type="pct"/>
          </w:tcPr>
          <w:p w14:paraId="50E2ED5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p>
        </w:tc>
        <w:tc>
          <w:tcPr>
            <w:tcW w:w="551" w:type="pct"/>
          </w:tcPr>
          <w:p w14:paraId="40554822">
            <w:pPr>
              <w:rPr>
                <w:rFonts w:asciiTheme="minorEastAsia" w:hAnsiTheme="minorEastAsia" w:eastAsiaTheme="minorEastAsia"/>
                <w:color w:val="auto"/>
                <w:sz w:val="24"/>
                <w:szCs w:val="24"/>
                <w:highlight w:val="none"/>
              </w:rPr>
            </w:pPr>
          </w:p>
        </w:tc>
        <w:tc>
          <w:tcPr>
            <w:tcW w:w="400" w:type="pct"/>
          </w:tcPr>
          <w:p w14:paraId="687F555C">
            <w:pPr>
              <w:rPr>
                <w:rFonts w:asciiTheme="minorEastAsia" w:hAnsiTheme="minorEastAsia" w:eastAsiaTheme="minorEastAsia"/>
                <w:color w:val="auto"/>
                <w:sz w:val="24"/>
                <w:szCs w:val="24"/>
                <w:highlight w:val="none"/>
              </w:rPr>
            </w:pPr>
          </w:p>
        </w:tc>
      </w:tr>
      <w:tr w14:paraId="4A06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993" w:type="pct"/>
            <w:gridSpan w:val="3"/>
            <w:vAlign w:val="center"/>
          </w:tcPr>
          <w:p w14:paraId="35482A2A">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Theme="minorEastAsia" w:hAnsiTheme="minorEastAsia" w:eastAsiaTheme="minorEastAsia"/>
                <w:b/>
                <w:bCs/>
                <w:color w:val="auto"/>
                <w:sz w:val="24"/>
                <w:szCs w:val="24"/>
                <w:highlight w:val="none"/>
              </w:rPr>
              <w:t>合计（元）</w:t>
            </w:r>
          </w:p>
        </w:tc>
        <w:tc>
          <w:tcPr>
            <w:tcW w:w="3006" w:type="pct"/>
            <w:gridSpan w:val="6"/>
            <w:vAlign w:val="center"/>
          </w:tcPr>
          <w:p w14:paraId="4F485D44">
            <w:pPr>
              <w:rPr>
                <w:rFonts w:hint="eastAsia"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大写：</w:t>
            </w:r>
          </w:p>
          <w:p w14:paraId="2A32B2E2">
            <w:pPr>
              <w:rPr>
                <w:rFonts w:hint="default"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小写：</w:t>
            </w:r>
          </w:p>
        </w:tc>
      </w:tr>
    </w:tbl>
    <w:p w14:paraId="65C3880E">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en-US" w:eastAsia="zh-CN"/>
        </w:rPr>
        <w:t>盖章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0BF46330">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75659998">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注：</w:t>
      </w:r>
    </w:p>
    <w:p w14:paraId="2D612545">
      <w:pPr>
        <w:numPr>
          <w:ilvl w:val="0"/>
          <w:numId w:val="0"/>
        </w:num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所报单价包括</w:t>
      </w:r>
      <w:r>
        <w:rPr>
          <w:rFonts w:hint="eastAsia" w:ascii="宋体" w:hAnsi="宋体" w:eastAsia="宋体" w:cs="宋体"/>
          <w:color w:val="auto"/>
          <w:sz w:val="24"/>
          <w:szCs w:val="24"/>
          <w:highlight w:val="none"/>
        </w:rPr>
        <w:t>货物、货物运输费用、货物人工费、材料费(含主材及辅材) 、装卸费、运输费、管理费、利润、风险费用及国家对成交</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征收的各种税费等所有一切费用</w:t>
      </w:r>
      <w:r>
        <w:rPr>
          <w:rFonts w:hint="eastAsia" w:asciiTheme="minorEastAsia" w:hAnsiTheme="minorEastAsia" w:eastAsiaTheme="minorEastAsia"/>
          <w:color w:val="auto"/>
          <w:sz w:val="24"/>
          <w:highlight w:val="none"/>
        </w:rPr>
        <w:t>，采购人不再为此项目支付任何费用，价格今后将不作任何调增</w:t>
      </w:r>
      <w:r>
        <w:rPr>
          <w:rFonts w:hint="eastAsia" w:asciiTheme="minorEastAsia" w:hAnsiTheme="minorEastAsia" w:eastAsiaTheme="minorEastAsia"/>
          <w:color w:val="auto"/>
          <w:sz w:val="24"/>
          <w:highlight w:val="none"/>
          <w:lang w:eastAsia="zh-CN"/>
        </w:rPr>
        <w:t>。</w:t>
      </w:r>
    </w:p>
    <w:p w14:paraId="6B9AEAB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lang w:val="en-US" w:eastAsia="zh-CN"/>
        </w:rPr>
        <w:t>2、</w:t>
      </w:r>
      <w:r>
        <w:rPr>
          <w:rFonts w:hint="eastAsia" w:asciiTheme="minorEastAsia" w:hAnsiTheme="minorEastAsia" w:eastAsiaTheme="minorEastAsia"/>
          <w:b/>
          <w:bCs/>
          <w:color w:val="auto"/>
          <w:sz w:val="24"/>
          <w:highlight w:val="none"/>
        </w:rPr>
        <w:t>表中须明确列出所投产品的货物名称、品牌、型号、原产地及生产厂商，否则可能导致响应无效</w:t>
      </w:r>
      <w:r>
        <w:rPr>
          <w:rFonts w:hint="eastAsia" w:asciiTheme="minorEastAsia" w:hAnsiTheme="minorEastAsia" w:eastAsiaTheme="minorEastAsia"/>
          <w:color w:val="auto"/>
          <w:sz w:val="24"/>
          <w:highlight w:val="none"/>
        </w:rPr>
        <w:t>。</w:t>
      </w:r>
    </w:p>
    <w:p w14:paraId="0A288BC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任何有选择或有条件的报价，或者表中某一包别填写多个报价，均为无效报价。</w:t>
      </w:r>
    </w:p>
    <w:p w14:paraId="6E0E058A">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E74F2AA">
      <w:pPr>
        <w:jc w:val="center"/>
        <w:rPr>
          <w:rFonts w:hint="eastAsia" w:asciiTheme="minorEastAsia" w:hAnsiTheme="minorEastAsia" w:eastAsiaTheme="minorEastAsia"/>
          <w:b/>
          <w:color w:val="auto"/>
          <w:sz w:val="24"/>
          <w:highlight w:val="none"/>
          <w:lang w:val="en-US" w:eastAsia="zh-CN"/>
        </w:rPr>
      </w:pPr>
      <w:bookmarkStart w:id="58" w:name="_Toc26924"/>
      <w:bookmarkStart w:id="59" w:name="_Toc17882"/>
      <w:r>
        <w:rPr>
          <w:rFonts w:hint="eastAsia" w:asciiTheme="minorEastAsia" w:hAnsiTheme="minorEastAsia" w:eastAsiaTheme="minorEastAsia"/>
          <w:b/>
          <w:color w:val="auto"/>
          <w:sz w:val="24"/>
          <w:highlight w:val="none"/>
          <w:lang w:val="en-US" w:eastAsia="zh-CN"/>
        </w:rPr>
        <w:t>采购人推荐的材料品牌响应表</w:t>
      </w:r>
    </w:p>
    <w:p w14:paraId="4DCAB970">
      <w:pPr>
        <w:pStyle w:val="88"/>
        <w:bidi w:val="0"/>
        <w:rPr>
          <w:rFonts w:hint="eastAsia" w:cs="@仿宋_GB2312" w:asciiTheme="minorEastAsia" w:hAnsiTheme="minorEastAsia" w:eastAsiaTheme="minorEastAsia"/>
          <w:b/>
          <w:bCs w:val="0"/>
          <w:snapToGrid/>
          <w:color w:val="auto"/>
          <w:kern w:val="2"/>
          <w:sz w:val="24"/>
          <w:szCs w:val="20"/>
          <w:highlight w:val="none"/>
          <w:lang w:val="en-US" w:eastAsia="zh-CN" w:bidi="ar-SA"/>
        </w:rPr>
      </w:pPr>
      <w:bookmarkStart w:id="60" w:name="_Toc13748"/>
      <w:bookmarkStart w:id="61" w:name="_Toc9115"/>
      <w:bookmarkStart w:id="62" w:name="_Toc1079"/>
      <w:bookmarkStart w:id="63" w:name="_Toc12073"/>
      <w:bookmarkStart w:id="64" w:name="_Toc17269"/>
      <w:bookmarkStart w:id="65" w:name="_Toc3149"/>
      <w:bookmarkStart w:id="66" w:name="_Toc27050"/>
      <w:bookmarkStart w:id="67" w:name="_Toc23704"/>
      <w:r>
        <w:rPr>
          <w:rFonts w:hint="eastAsia" w:cs="@仿宋_GB2312" w:asciiTheme="minorEastAsia" w:hAnsiTheme="minorEastAsia" w:eastAsiaTheme="minorEastAsia"/>
          <w:b/>
          <w:bCs w:val="0"/>
          <w:snapToGrid/>
          <w:color w:val="auto"/>
          <w:kern w:val="2"/>
          <w:sz w:val="24"/>
          <w:szCs w:val="20"/>
          <w:highlight w:val="none"/>
          <w:lang w:val="en-US" w:eastAsia="zh-CN" w:bidi="ar-SA"/>
        </w:rPr>
        <w:t>项目名称：                                               第   页共   页</w:t>
      </w:r>
    </w:p>
    <w:p w14:paraId="69328858">
      <w:pPr>
        <w:pStyle w:val="89"/>
        <w:bidi w:val="0"/>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品牌推荐表（如要求）</w:t>
      </w:r>
      <w:bookmarkEnd w:id="60"/>
      <w:bookmarkEnd w:id="61"/>
      <w:bookmarkEnd w:id="62"/>
      <w:bookmarkEnd w:id="63"/>
      <w:bookmarkEnd w:id="64"/>
      <w:bookmarkEnd w:id="65"/>
      <w:bookmarkEnd w:id="66"/>
      <w:bookmarkEnd w:id="67"/>
    </w:p>
    <w:tbl>
      <w:tblPr>
        <w:tblStyle w:val="26"/>
        <w:tblW w:w="8964" w:type="dxa"/>
        <w:jc w:val="center"/>
        <w:tblLayout w:type="autofit"/>
        <w:tblCellMar>
          <w:top w:w="0" w:type="dxa"/>
          <w:left w:w="108" w:type="dxa"/>
          <w:bottom w:w="0" w:type="dxa"/>
          <w:right w:w="108" w:type="dxa"/>
        </w:tblCellMar>
      </w:tblPr>
      <w:tblGrid>
        <w:gridCol w:w="833"/>
        <w:gridCol w:w="1846"/>
        <w:gridCol w:w="859"/>
        <w:gridCol w:w="859"/>
        <w:gridCol w:w="859"/>
        <w:gridCol w:w="859"/>
        <w:gridCol w:w="896"/>
        <w:gridCol w:w="1953"/>
      </w:tblGrid>
      <w:tr w14:paraId="533C48B8">
        <w:tblPrEx>
          <w:tblCellMar>
            <w:top w:w="0" w:type="dxa"/>
            <w:left w:w="108" w:type="dxa"/>
            <w:bottom w:w="0" w:type="dxa"/>
            <w:right w:w="108" w:type="dxa"/>
          </w:tblCellMar>
        </w:tblPrEx>
        <w:trPr>
          <w:trHeight w:val="397"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7AA3CCA6">
            <w:pPr>
              <w:pStyle w:val="90"/>
              <w:bidi w:val="0"/>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序号</w:t>
            </w:r>
          </w:p>
        </w:tc>
        <w:tc>
          <w:tcPr>
            <w:tcW w:w="0" w:type="auto"/>
            <w:tcBorders>
              <w:top w:val="single" w:color="auto" w:sz="4" w:space="0"/>
              <w:left w:val="nil"/>
              <w:bottom w:val="single" w:color="auto" w:sz="4" w:space="0"/>
              <w:right w:val="single" w:color="auto" w:sz="4" w:space="0"/>
            </w:tcBorders>
            <w:noWrap w:val="0"/>
            <w:vAlign w:val="center"/>
          </w:tcPr>
          <w:p w14:paraId="5E6A982A">
            <w:pPr>
              <w:pStyle w:val="90"/>
              <w:bidi w:val="0"/>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材料、设备名称</w:t>
            </w:r>
          </w:p>
        </w:tc>
        <w:tc>
          <w:tcPr>
            <w:tcW w:w="0" w:type="auto"/>
            <w:tcBorders>
              <w:top w:val="single" w:color="auto" w:sz="4" w:space="0"/>
              <w:left w:val="nil"/>
              <w:bottom w:val="single" w:color="auto" w:sz="4" w:space="0"/>
              <w:right w:val="single" w:color="auto" w:sz="4" w:space="0"/>
            </w:tcBorders>
            <w:noWrap w:val="0"/>
            <w:vAlign w:val="center"/>
          </w:tcPr>
          <w:p w14:paraId="6C6CB56A">
            <w:pPr>
              <w:pStyle w:val="90"/>
              <w:bidi w:val="0"/>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品牌1</w:t>
            </w:r>
          </w:p>
        </w:tc>
        <w:tc>
          <w:tcPr>
            <w:tcW w:w="0" w:type="auto"/>
            <w:tcBorders>
              <w:top w:val="single" w:color="auto" w:sz="4" w:space="0"/>
              <w:left w:val="nil"/>
              <w:bottom w:val="single" w:color="auto" w:sz="4" w:space="0"/>
              <w:right w:val="single" w:color="auto" w:sz="4" w:space="0"/>
            </w:tcBorders>
            <w:noWrap w:val="0"/>
            <w:vAlign w:val="center"/>
          </w:tcPr>
          <w:p w14:paraId="33A03447">
            <w:pPr>
              <w:pStyle w:val="90"/>
              <w:bidi w:val="0"/>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品牌2</w:t>
            </w:r>
          </w:p>
        </w:tc>
        <w:tc>
          <w:tcPr>
            <w:tcW w:w="0" w:type="auto"/>
            <w:tcBorders>
              <w:top w:val="single" w:color="auto" w:sz="4" w:space="0"/>
              <w:left w:val="nil"/>
              <w:bottom w:val="single" w:color="auto" w:sz="4" w:space="0"/>
              <w:right w:val="single" w:color="auto" w:sz="4" w:space="0"/>
            </w:tcBorders>
            <w:noWrap w:val="0"/>
            <w:vAlign w:val="center"/>
          </w:tcPr>
          <w:p w14:paraId="26282708">
            <w:pPr>
              <w:pStyle w:val="90"/>
              <w:bidi w:val="0"/>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品牌3</w:t>
            </w:r>
          </w:p>
        </w:tc>
        <w:tc>
          <w:tcPr>
            <w:tcW w:w="0" w:type="auto"/>
            <w:tcBorders>
              <w:top w:val="single" w:color="auto" w:sz="4" w:space="0"/>
              <w:left w:val="nil"/>
              <w:bottom w:val="single" w:color="auto" w:sz="4" w:space="0"/>
              <w:right w:val="single" w:color="auto" w:sz="4" w:space="0"/>
            </w:tcBorders>
            <w:noWrap w:val="0"/>
            <w:vAlign w:val="center"/>
          </w:tcPr>
          <w:p w14:paraId="175F4942">
            <w:pPr>
              <w:pStyle w:val="90"/>
              <w:bidi w:val="0"/>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品牌4</w:t>
            </w:r>
          </w:p>
        </w:tc>
        <w:tc>
          <w:tcPr>
            <w:tcW w:w="896" w:type="dxa"/>
            <w:tcBorders>
              <w:top w:val="single" w:color="auto" w:sz="4" w:space="0"/>
              <w:left w:val="nil"/>
              <w:bottom w:val="single" w:color="auto" w:sz="4" w:space="0"/>
              <w:right w:val="single" w:color="auto" w:sz="4" w:space="0"/>
            </w:tcBorders>
            <w:noWrap w:val="0"/>
            <w:vAlign w:val="center"/>
          </w:tcPr>
          <w:p w14:paraId="0DFEBDE1">
            <w:pPr>
              <w:pStyle w:val="90"/>
              <w:bidi w:val="0"/>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备注</w:t>
            </w:r>
          </w:p>
        </w:tc>
        <w:tc>
          <w:tcPr>
            <w:tcW w:w="1953" w:type="dxa"/>
            <w:tcBorders>
              <w:top w:val="single" w:color="auto" w:sz="4" w:space="0"/>
              <w:left w:val="nil"/>
              <w:bottom w:val="single" w:color="auto" w:sz="4" w:space="0"/>
              <w:right w:val="single" w:color="auto" w:sz="4" w:space="0"/>
            </w:tcBorders>
            <w:noWrap w:val="0"/>
            <w:vAlign w:val="top"/>
          </w:tcPr>
          <w:p w14:paraId="29B27729">
            <w:pPr>
              <w:pStyle w:val="90"/>
              <w:bidi w:val="0"/>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投标人选定品牌</w:t>
            </w:r>
          </w:p>
        </w:tc>
      </w:tr>
      <w:tr w14:paraId="0915688F">
        <w:tblPrEx>
          <w:tblCellMar>
            <w:top w:w="0" w:type="dxa"/>
            <w:left w:w="108" w:type="dxa"/>
            <w:bottom w:w="0" w:type="dxa"/>
            <w:right w:w="108" w:type="dxa"/>
          </w:tblCellMar>
        </w:tblPrEx>
        <w:trPr>
          <w:trHeight w:val="481" w:hRule="atLeast"/>
          <w:jc w:val="center"/>
        </w:trPr>
        <w:tc>
          <w:tcPr>
            <w:tcW w:w="833" w:type="dxa"/>
            <w:tcBorders>
              <w:top w:val="nil"/>
              <w:left w:val="single" w:color="auto" w:sz="4" w:space="0"/>
              <w:bottom w:val="single" w:color="auto" w:sz="4" w:space="0"/>
              <w:right w:val="single" w:color="auto" w:sz="4" w:space="0"/>
            </w:tcBorders>
            <w:noWrap w:val="0"/>
            <w:vAlign w:val="center"/>
          </w:tcPr>
          <w:p w14:paraId="42BEBF42">
            <w:pPr>
              <w:widowControl/>
              <w:jc w:val="center"/>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1</w:t>
            </w:r>
          </w:p>
        </w:tc>
        <w:tc>
          <w:tcPr>
            <w:tcW w:w="0" w:type="auto"/>
            <w:tcBorders>
              <w:top w:val="nil"/>
              <w:left w:val="nil"/>
              <w:bottom w:val="single" w:color="auto" w:sz="4" w:space="0"/>
              <w:right w:val="single" w:color="auto" w:sz="4" w:space="0"/>
            </w:tcBorders>
            <w:noWrap w:val="0"/>
            <w:vAlign w:val="center"/>
          </w:tcPr>
          <w:p w14:paraId="4E398783">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72CFA0D2">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05BFFE85">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2BE77CCB">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3AF20C16">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896" w:type="dxa"/>
            <w:tcBorders>
              <w:top w:val="nil"/>
              <w:left w:val="nil"/>
              <w:bottom w:val="single" w:color="auto" w:sz="4" w:space="0"/>
              <w:right w:val="single" w:color="auto" w:sz="4" w:space="0"/>
            </w:tcBorders>
            <w:noWrap w:val="0"/>
            <w:vAlign w:val="center"/>
          </w:tcPr>
          <w:p w14:paraId="624E5F06">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1953" w:type="dxa"/>
            <w:tcBorders>
              <w:top w:val="nil"/>
              <w:left w:val="nil"/>
              <w:bottom w:val="single" w:color="auto" w:sz="4" w:space="0"/>
              <w:right w:val="single" w:color="auto" w:sz="4" w:space="0"/>
            </w:tcBorders>
            <w:noWrap w:val="0"/>
            <w:vAlign w:val="top"/>
          </w:tcPr>
          <w:p w14:paraId="5F3EAFBC">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r>
      <w:tr w14:paraId="7A4E00A9">
        <w:tblPrEx>
          <w:tblCellMar>
            <w:top w:w="0" w:type="dxa"/>
            <w:left w:w="108" w:type="dxa"/>
            <w:bottom w:w="0" w:type="dxa"/>
            <w:right w:w="108" w:type="dxa"/>
          </w:tblCellMar>
        </w:tblPrEx>
        <w:trPr>
          <w:trHeight w:val="481" w:hRule="atLeast"/>
          <w:jc w:val="center"/>
        </w:trPr>
        <w:tc>
          <w:tcPr>
            <w:tcW w:w="833" w:type="dxa"/>
            <w:tcBorders>
              <w:top w:val="nil"/>
              <w:left w:val="single" w:color="auto" w:sz="4" w:space="0"/>
              <w:bottom w:val="single" w:color="auto" w:sz="4" w:space="0"/>
              <w:right w:val="single" w:color="auto" w:sz="4" w:space="0"/>
            </w:tcBorders>
            <w:noWrap w:val="0"/>
            <w:vAlign w:val="center"/>
          </w:tcPr>
          <w:p w14:paraId="502D9A2B">
            <w:pPr>
              <w:widowControl/>
              <w:jc w:val="center"/>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2</w:t>
            </w:r>
          </w:p>
        </w:tc>
        <w:tc>
          <w:tcPr>
            <w:tcW w:w="0" w:type="auto"/>
            <w:tcBorders>
              <w:top w:val="nil"/>
              <w:left w:val="nil"/>
              <w:bottom w:val="single" w:color="auto" w:sz="4" w:space="0"/>
              <w:right w:val="single" w:color="auto" w:sz="4" w:space="0"/>
            </w:tcBorders>
            <w:noWrap w:val="0"/>
            <w:vAlign w:val="center"/>
          </w:tcPr>
          <w:p w14:paraId="3C5C5D10">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32A1EFB8">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57EFF592">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049E3A6F">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050158C9">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896" w:type="dxa"/>
            <w:tcBorders>
              <w:top w:val="nil"/>
              <w:left w:val="nil"/>
              <w:bottom w:val="single" w:color="auto" w:sz="4" w:space="0"/>
              <w:right w:val="single" w:color="auto" w:sz="4" w:space="0"/>
            </w:tcBorders>
            <w:noWrap w:val="0"/>
            <w:vAlign w:val="center"/>
          </w:tcPr>
          <w:p w14:paraId="1388FA4A">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1953" w:type="dxa"/>
            <w:tcBorders>
              <w:top w:val="nil"/>
              <w:left w:val="nil"/>
              <w:bottom w:val="single" w:color="auto" w:sz="4" w:space="0"/>
              <w:right w:val="single" w:color="auto" w:sz="4" w:space="0"/>
            </w:tcBorders>
            <w:noWrap w:val="0"/>
            <w:vAlign w:val="top"/>
          </w:tcPr>
          <w:p w14:paraId="5B86093B">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r>
      <w:tr w14:paraId="68463892">
        <w:tblPrEx>
          <w:tblCellMar>
            <w:top w:w="0" w:type="dxa"/>
            <w:left w:w="108" w:type="dxa"/>
            <w:bottom w:w="0" w:type="dxa"/>
            <w:right w:w="108" w:type="dxa"/>
          </w:tblCellMar>
        </w:tblPrEx>
        <w:trPr>
          <w:trHeight w:val="481" w:hRule="atLeast"/>
          <w:jc w:val="center"/>
        </w:trPr>
        <w:tc>
          <w:tcPr>
            <w:tcW w:w="833" w:type="dxa"/>
            <w:tcBorders>
              <w:top w:val="nil"/>
              <w:left w:val="single" w:color="auto" w:sz="4" w:space="0"/>
              <w:bottom w:val="single" w:color="auto" w:sz="4" w:space="0"/>
              <w:right w:val="single" w:color="auto" w:sz="4" w:space="0"/>
            </w:tcBorders>
            <w:noWrap w:val="0"/>
            <w:vAlign w:val="center"/>
          </w:tcPr>
          <w:p w14:paraId="7E46E353">
            <w:pPr>
              <w:widowControl/>
              <w:jc w:val="center"/>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3</w:t>
            </w:r>
          </w:p>
        </w:tc>
        <w:tc>
          <w:tcPr>
            <w:tcW w:w="0" w:type="auto"/>
            <w:tcBorders>
              <w:top w:val="nil"/>
              <w:left w:val="nil"/>
              <w:bottom w:val="single" w:color="auto" w:sz="4" w:space="0"/>
              <w:right w:val="single" w:color="auto" w:sz="4" w:space="0"/>
            </w:tcBorders>
            <w:noWrap w:val="0"/>
            <w:vAlign w:val="center"/>
          </w:tcPr>
          <w:p w14:paraId="778CF33F">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3E17D71C">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517CA6BF">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598981FD">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075A8BEE">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896" w:type="dxa"/>
            <w:tcBorders>
              <w:top w:val="nil"/>
              <w:left w:val="nil"/>
              <w:bottom w:val="single" w:color="auto" w:sz="4" w:space="0"/>
              <w:right w:val="single" w:color="auto" w:sz="4" w:space="0"/>
            </w:tcBorders>
            <w:noWrap w:val="0"/>
            <w:vAlign w:val="center"/>
          </w:tcPr>
          <w:p w14:paraId="30D083D1">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1953" w:type="dxa"/>
            <w:tcBorders>
              <w:top w:val="nil"/>
              <w:left w:val="nil"/>
              <w:bottom w:val="single" w:color="auto" w:sz="4" w:space="0"/>
              <w:right w:val="single" w:color="auto" w:sz="4" w:space="0"/>
            </w:tcBorders>
            <w:noWrap w:val="0"/>
            <w:vAlign w:val="top"/>
          </w:tcPr>
          <w:p w14:paraId="4640D4AE">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r>
      <w:tr w14:paraId="699E4882">
        <w:tblPrEx>
          <w:tblCellMar>
            <w:top w:w="0" w:type="dxa"/>
            <w:left w:w="108" w:type="dxa"/>
            <w:bottom w:w="0" w:type="dxa"/>
            <w:right w:w="108" w:type="dxa"/>
          </w:tblCellMar>
        </w:tblPrEx>
        <w:trPr>
          <w:trHeight w:val="481" w:hRule="atLeast"/>
          <w:jc w:val="center"/>
        </w:trPr>
        <w:tc>
          <w:tcPr>
            <w:tcW w:w="833" w:type="dxa"/>
            <w:tcBorders>
              <w:top w:val="nil"/>
              <w:left w:val="single" w:color="auto" w:sz="4" w:space="0"/>
              <w:bottom w:val="single" w:color="auto" w:sz="4" w:space="0"/>
              <w:right w:val="single" w:color="auto" w:sz="4" w:space="0"/>
            </w:tcBorders>
            <w:noWrap w:val="0"/>
            <w:vAlign w:val="center"/>
          </w:tcPr>
          <w:p w14:paraId="2A383560">
            <w:pPr>
              <w:widowControl/>
              <w:jc w:val="center"/>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4</w:t>
            </w:r>
          </w:p>
        </w:tc>
        <w:tc>
          <w:tcPr>
            <w:tcW w:w="0" w:type="auto"/>
            <w:tcBorders>
              <w:top w:val="nil"/>
              <w:left w:val="nil"/>
              <w:bottom w:val="single" w:color="auto" w:sz="4" w:space="0"/>
              <w:right w:val="single" w:color="auto" w:sz="4" w:space="0"/>
            </w:tcBorders>
            <w:noWrap w:val="0"/>
            <w:vAlign w:val="center"/>
          </w:tcPr>
          <w:p w14:paraId="429F64F7">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211D5AE6">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19B3C67B">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555384C0">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5E83C283">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896" w:type="dxa"/>
            <w:tcBorders>
              <w:top w:val="nil"/>
              <w:left w:val="nil"/>
              <w:bottom w:val="single" w:color="auto" w:sz="4" w:space="0"/>
              <w:right w:val="single" w:color="auto" w:sz="4" w:space="0"/>
            </w:tcBorders>
            <w:noWrap w:val="0"/>
            <w:vAlign w:val="center"/>
          </w:tcPr>
          <w:p w14:paraId="3F8DDD33">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1953" w:type="dxa"/>
            <w:tcBorders>
              <w:top w:val="nil"/>
              <w:left w:val="nil"/>
              <w:bottom w:val="single" w:color="auto" w:sz="4" w:space="0"/>
              <w:right w:val="single" w:color="auto" w:sz="4" w:space="0"/>
            </w:tcBorders>
            <w:noWrap w:val="0"/>
            <w:vAlign w:val="top"/>
          </w:tcPr>
          <w:p w14:paraId="0E2C3858">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r>
      <w:tr w14:paraId="55548878">
        <w:tblPrEx>
          <w:tblCellMar>
            <w:top w:w="0" w:type="dxa"/>
            <w:left w:w="108" w:type="dxa"/>
            <w:bottom w:w="0" w:type="dxa"/>
            <w:right w:w="108" w:type="dxa"/>
          </w:tblCellMar>
        </w:tblPrEx>
        <w:trPr>
          <w:trHeight w:val="481" w:hRule="atLeast"/>
          <w:jc w:val="center"/>
        </w:trPr>
        <w:tc>
          <w:tcPr>
            <w:tcW w:w="833" w:type="dxa"/>
            <w:tcBorders>
              <w:top w:val="nil"/>
              <w:left w:val="single" w:color="auto" w:sz="4" w:space="0"/>
              <w:bottom w:val="single" w:color="auto" w:sz="4" w:space="0"/>
              <w:right w:val="single" w:color="auto" w:sz="4" w:space="0"/>
            </w:tcBorders>
            <w:noWrap w:val="0"/>
            <w:vAlign w:val="center"/>
          </w:tcPr>
          <w:p w14:paraId="12F393AF">
            <w:pPr>
              <w:widowControl/>
              <w:jc w:val="center"/>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5</w:t>
            </w:r>
          </w:p>
        </w:tc>
        <w:tc>
          <w:tcPr>
            <w:tcW w:w="0" w:type="auto"/>
            <w:tcBorders>
              <w:top w:val="nil"/>
              <w:left w:val="nil"/>
              <w:bottom w:val="single" w:color="auto" w:sz="4" w:space="0"/>
              <w:right w:val="single" w:color="auto" w:sz="4" w:space="0"/>
            </w:tcBorders>
            <w:noWrap w:val="0"/>
            <w:vAlign w:val="center"/>
          </w:tcPr>
          <w:p w14:paraId="6E6C5FB9">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0A770B90">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36C48B05">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4CAF9A5F">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396C8D40">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896" w:type="dxa"/>
            <w:tcBorders>
              <w:top w:val="nil"/>
              <w:left w:val="nil"/>
              <w:bottom w:val="single" w:color="auto" w:sz="4" w:space="0"/>
              <w:right w:val="single" w:color="auto" w:sz="4" w:space="0"/>
            </w:tcBorders>
            <w:noWrap w:val="0"/>
            <w:vAlign w:val="center"/>
          </w:tcPr>
          <w:p w14:paraId="349D3354">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1953" w:type="dxa"/>
            <w:tcBorders>
              <w:top w:val="nil"/>
              <w:left w:val="nil"/>
              <w:bottom w:val="single" w:color="auto" w:sz="4" w:space="0"/>
              <w:right w:val="single" w:color="auto" w:sz="4" w:space="0"/>
            </w:tcBorders>
            <w:noWrap w:val="0"/>
            <w:vAlign w:val="top"/>
          </w:tcPr>
          <w:p w14:paraId="4345743E">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r>
      <w:tr w14:paraId="39604151">
        <w:tblPrEx>
          <w:tblCellMar>
            <w:top w:w="0" w:type="dxa"/>
            <w:left w:w="108" w:type="dxa"/>
            <w:bottom w:w="0" w:type="dxa"/>
            <w:right w:w="108" w:type="dxa"/>
          </w:tblCellMar>
        </w:tblPrEx>
        <w:trPr>
          <w:trHeight w:val="481" w:hRule="atLeast"/>
          <w:jc w:val="center"/>
        </w:trPr>
        <w:tc>
          <w:tcPr>
            <w:tcW w:w="833" w:type="dxa"/>
            <w:tcBorders>
              <w:top w:val="nil"/>
              <w:left w:val="single" w:color="auto" w:sz="4" w:space="0"/>
              <w:bottom w:val="single" w:color="auto" w:sz="4" w:space="0"/>
              <w:right w:val="single" w:color="auto" w:sz="4" w:space="0"/>
            </w:tcBorders>
            <w:noWrap w:val="0"/>
            <w:vAlign w:val="center"/>
          </w:tcPr>
          <w:p w14:paraId="69A7AE89">
            <w:pPr>
              <w:widowControl/>
              <w:jc w:val="center"/>
              <w:rPr>
                <w:rFonts w:hint="eastAsia"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6</w:t>
            </w:r>
          </w:p>
        </w:tc>
        <w:tc>
          <w:tcPr>
            <w:tcW w:w="0" w:type="auto"/>
            <w:tcBorders>
              <w:top w:val="nil"/>
              <w:left w:val="nil"/>
              <w:bottom w:val="single" w:color="auto" w:sz="4" w:space="0"/>
              <w:right w:val="single" w:color="auto" w:sz="4" w:space="0"/>
            </w:tcBorders>
            <w:noWrap w:val="0"/>
            <w:vAlign w:val="center"/>
          </w:tcPr>
          <w:p w14:paraId="783CCBD5">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7DC4B897">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503C64A1">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26D487C3">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4B460035">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896" w:type="dxa"/>
            <w:tcBorders>
              <w:top w:val="nil"/>
              <w:left w:val="nil"/>
              <w:bottom w:val="single" w:color="auto" w:sz="4" w:space="0"/>
              <w:right w:val="single" w:color="auto" w:sz="4" w:space="0"/>
            </w:tcBorders>
            <w:noWrap w:val="0"/>
            <w:vAlign w:val="center"/>
          </w:tcPr>
          <w:p w14:paraId="31A47378">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1953" w:type="dxa"/>
            <w:tcBorders>
              <w:top w:val="nil"/>
              <w:left w:val="nil"/>
              <w:bottom w:val="single" w:color="auto" w:sz="4" w:space="0"/>
              <w:right w:val="single" w:color="auto" w:sz="4" w:space="0"/>
            </w:tcBorders>
            <w:noWrap w:val="0"/>
            <w:vAlign w:val="top"/>
          </w:tcPr>
          <w:p w14:paraId="1C1EECF6">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r>
      <w:tr w14:paraId="439E9374">
        <w:tblPrEx>
          <w:tblCellMar>
            <w:top w:w="0" w:type="dxa"/>
            <w:left w:w="108" w:type="dxa"/>
            <w:bottom w:w="0" w:type="dxa"/>
            <w:right w:w="108" w:type="dxa"/>
          </w:tblCellMar>
        </w:tblPrEx>
        <w:trPr>
          <w:trHeight w:val="481" w:hRule="atLeast"/>
          <w:jc w:val="center"/>
        </w:trPr>
        <w:tc>
          <w:tcPr>
            <w:tcW w:w="833" w:type="dxa"/>
            <w:tcBorders>
              <w:top w:val="nil"/>
              <w:left w:val="single" w:color="auto" w:sz="4" w:space="0"/>
              <w:bottom w:val="single" w:color="auto" w:sz="4" w:space="0"/>
              <w:right w:val="single" w:color="auto" w:sz="4" w:space="0"/>
            </w:tcBorders>
            <w:noWrap w:val="0"/>
            <w:vAlign w:val="center"/>
          </w:tcPr>
          <w:p w14:paraId="69C03549">
            <w:pPr>
              <w:widowControl/>
              <w:jc w:val="center"/>
              <w:rPr>
                <w:rFonts w:hint="default" w:cs="@仿宋_GB2312" w:asciiTheme="minorEastAsia" w:hAnsiTheme="minorEastAsia" w:eastAsiaTheme="minorEastAsia"/>
                <w:b/>
                <w:snapToGrid/>
                <w:color w:val="auto"/>
                <w:kern w:val="2"/>
                <w:sz w:val="24"/>
                <w:szCs w:val="20"/>
                <w:highlight w:val="none"/>
                <w:lang w:val="en-US" w:eastAsia="zh-CN" w:bidi="ar-SA"/>
              </w:rPr>
            </w:pPr>
            <w:r>
              <w:rPr>
                <w:rFonts w:hint="eastAsia" w:cs="@仿宋_GB2312" w:asciiTheme="minorEastAsia" w:hAnsiTheme="minorEastAsia" w:eastAsiaTheme="minorEastAsia"/>
                <w:b/>
                <w:snapToGrid/>
                <w:color w:val="auto"/>
                <w:kern w:val="2"/>
                <w:sz w:val="24"/>
                <w:szCs w:val="20"/>
                <w:highlight w:val="none"/>
                <w:lang w:val="en-US" w:eastAsia="zh-CN" w:bidi="ar-SA"/>
              </w:rPr>
              <w:t>...</w:t>
            </w:r>
          </w:p>
        </w:tc>
        <w:tc>
          <w:tcPr>
            <w:tcW w:w="0" w:type="auto"/>
            <w:tcBorders>
              <w:top w:val="nil"/>
              <w:left w:val="nil"/>
              <w:bottom w:val="single" w:color="auto" w:sz="4" w:space="0"/>
              <w:right w:val="single" w:color="auto" w:sz="4" w:space="0"/>
            </w:tcBorders>
            <w:noWrap w:val="0"/>
            <w:vAlign w:val="center"/>
          </w:tcPr>
          <w:p w14:paraId="321DF57C">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16C90115">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52A224B4">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68632EBD">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42560CB7">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896" w:type="dxa"/>
            <w:tcBorders>
              <w:top w:val="nil"/>
              <w:left w:val="nil"/>
              <w:bottom w:val="single" w:color="auto" w:sz="4" w:space="0"/>
              <w:right w:val="single" w:color="auto" w:sz="4" w:space="0"/>
            </w:tcBorders>
            <w:noWrap w:val="0"/>
            <w:vAlign w:val="center"/>
          </w:tcPr>
          <w:p w14:paraId="5F753473">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1953" w:type="dxa"/>
            <w:tcBorders>
              <w:top w:val="nil"/>
              <w:left w:val="nil"/>
              <w:bottom w:val="single" w:color="auto" w:sz="4" w:space="0"/>
              <w:right w:val="single" w:color="auto" w:sz="4" w:space="0"/>
            </w:tcBorders>
            <w:noWrap w:val="0"/>
            <w:vAlign w:val="top"/>
          </w:tcPr>
          <w:p w14:paraId="40C159DD">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r>
      <w:tr w14:paraId="59FE4216">
        <w:tblPrEx>
          <w:tblCellMar>
            <w:top w:w="0" w:type="dxa"/>
            <w:left w:w="108" w:type="dxa"/>
            <w:bottom w:w="0" w:type="dxa"/>
            <w:right w:w="108" w:type="dxa"/>
          </w:tblCellMar>
        </w:tblPrEx>
        <w:trPr>
          <w:trHeight w:val="481" w:hRule="atLeast"/>
          <w:jc w:val="center"/>
        </w:trPr>
        <w:tc>
          <w:tcPr>
            <w:tcW w:w="833" w:type="dxa"/>
            <w:tcBorders>
              <w:top w:val="nil"/>
              <w:left w:val="single" w:color="auto" w:sz="4" w:space="0"/>
              <w:bottom w:val="single" w:color="auto" w:sz="4" w:space="0"/>
              <w:right w:val="single" w:color="auto" w:sz="4" w:space="0"/>
            </w:tcBorders>
            <w:noWrap w:val="0"/>
            <w:vAlign w:val="center"/>
          </w:tcPr>
          <w:p w14:paraId="1A3419C0">
            <w:pPr>
              <w:widowControl/>
              <w:jc w:val="cente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nil"/>
              <w:left w:val="nil"/>
              <w:bottom w:val="single" w:color="auto" w:sz="4" w:space="0"/>
              <w:right w:val="single" w:color="auto" w:sz="4" w:space="0"/>
            </w:tcBorders>
            <w:noWrap w:val="0"/>
            <w:vAlign w:val="center"/>
          </w:tcPr>
          <w:p w14:paraId="3A456DE5">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58244502">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1FDFFA1F">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6139C20B">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0" w:type="auto"/>
            <w:tcBorders>
              <w:top w:val="single" w:color="auto" w:sz="4" w:space="0"/>
              <w:left w:val="nil"/>
              <w:bottom w:val="single" w:color="auto" w:sz="4" w:space="0"/>
              <w:right w:val="single" w:color="auto" w:sz="4" w:space="0"/>
            </w:tcBorders>
            <w:noWrap w:val="0"/>
            <w:vAlign w:val="center"/>
          </w:tcPr>
          <w:p w14:paraId="1B2DEABA">
            <w:pPr>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896" w:type="dxa"/>
            <w:tcBorders>
              <w:top w:val="nil"/>
              <w:left w:val="nil"/>
              <w:bottom w:val="single" w:color="auto" w:sz="4" w:space="0"/>
              <w:right w:val="single" w:color="auto" w:sz="4" w:space="0"/>
            </w:tcBorders>
            <w:noWrap w:val="0"/>
            <w:vAlign w:val="center"/>
          </w:tcPr>
          <w:p w14:paraId="0A2AD73C">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c>
          <w:tcPr>
            <w:tcW w:w="1953" w:type="dxa"/>
            <w:tcBorders>
              <w:top w:val="nil"/>
              <w:left w:val="nil"/>
              <w:bottom w:val="single" w:color="auto" w:sz="4" w:space="0"/>
              <w:right w:val="single" w:color="auto" w:sz="4" w:space="0"/>
            </w:tcBorders>
            <w:noWrap w:val="0"/>
            <w:vAlign w:val="top"/>
          </w:tcPr>
          <w:p w14:paraId="43B164AB">
            <w:pPr>
              <w:widowControl/>
              <w:rPr>
                <w:rFonts w:hint="eastAsia" w:cs="@仿宋_GB2312" w:asciiTheme="minorEastAsia" w:hAnsiTheme="minorEastAsia" w:eastAsiaTheme="minorEastAsia"/>
                <w:b/>
                <w:snapToGrid/>
                <w:color w:val="auto"/>
                <w:kern w:val="2"/>
                <w:sz w:val="24"/>
                <w:szCs w:val="20"/>
                <w:highlight w:val="none"/>
                <w:lang w:val="en-US" w:eastAsia="zh-CN" w:bidi="ar-SA"/>
              </w:rPr>
            </w:pPr>
          </w:p>
        </w:tc>
      </w:tr>
      <w:tr w14:paraId="0E6FCA51">
        <w:tblPrEx>
          <w:tblCellMar>
            <w:top w:w="0" w:type="dxa"/>
            <w:left w:w="108" w:type="dxa"/>
            <w:bottom w:w="0" w:type="dxa"/>
            <w:right w:w="108" w:type="dxa"/>
          </w:tblCellMar>
        </w:tblPrEx>
        <w:trPr>
          <w:trHeight w:val="481" w:hRule="atLeast"/>
          <w:jc w:val="center"/>
        </w:trPr>
        <w:tc>
          <w:tcPr>
            <w:tcW w:w="833" w:type="dxa"/>
            <w:tcBorders>
              <w:top w:val="nil"/>
              <w:left w:val="single" w:color="auto" w:sz="4" w:space="0"/>
              <w:bottom w:val="single" w:color="auto" w:sz="4" w:space="0"/>
              <w:right w:val="single" w:color="auto" w:sz="4" w:space="0"/>
            </w:tcBorders>
            <w:noWrap w:val="0"/>
            <w:vAlign w:val="center"/>
          </w:tcPr>
          <w:p w14:paraId="269DDDA8">
            <w:pPr>
              <w:widowControl/>
              <w:jc w:val="center"/>
              <w:rPr>
                <w:rFonts w:hint="eastAsia" w:ascii="Times New Roman" w:hAnsi="Times New Roman" w:cs="宋体"/>
                <w:smallCaps w:val="0"/>
                <w:color w:val="auto"/>
                <w:kern w:val="0"/>
                <w:szCs w:val="21"/>
                <w:highlight w:val="none"/>
              </w:rPr>
            </w:pPr>
          </w:p>
        </w:tc>
        <w:tc>
          <w:tcPr>
            <w:tcW w:w="0" w:type="auto"/>
            <w:tcBorders>
              <w:top w:val="nil"/>
              <w:left w:val="nil"/>
              <w:bottom w:val="single" w:color="auto" w:sz="4" w:space="0"/>
              <w:right w:val="single" w:color="auto" w:sz="4" w:space="0"/>
            </w:tcBorders>
            <w:noWrap w:val="0"/>
            <w:vAlign w:val="center"/>
          </w:tcPr>
          <w:p w14:paraId="1EAFCAAF">
            <w:pPr>
              <w:widowControl/>
              <w:rPr>
                <w:rFonts w:hint="eastAsia" w:ascii="Times New Roman" w:hAnsi="Times New Roman" w:cs="宋体"/>
                <w:smallCaps w:val="0"/>
                <w:color w:val="auto"/>
                <w:kern w:val="0"/>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71A5D255">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0668D0E5">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2AB96B30">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082472E5">
            <w:pPr>
              <w:rPr>
                <w:rFonts w:hint="eastAsia" w:ascii="Times New Roman" w:hAnsi="Times New Roman" w:cs="宋体"/>
                <w:smallCaps w:val="0"/>
                <w:color w:val="auto"/>
                <w:sz w:val="22"/>
                <w:highlight w:val="none"/>
              </w:rPr>
            </w:pPr>
          </w:p>
        </w:tc>
        <w:tc>
          <w:tcPr>
            <w:tcW w:w="896" w:type="dxa"/>
            <w:tcBorders>
              <w:top w:val="nil"/>
              <w:left w:val="nil"/>
              <w:bottom w:val="single" w:color="auto" w:sz="4" w:space="0"/>
              <w:right w:val="single" w:color="auto" w:sz="4" w:space="0"/>
            </w:tcBorders>
            <w:noWrap w:val="0"/>
            <w:vAlign w:val="center"/>
          </w:tcPr>
          <w:p w14:paraId="50013766">
            <w:pPr>
              <w:widowControl/>
              <w:rPr>
                <w:rFonts w:hint="eastAsia" w:ascii="Times New Roman" w:hAnsi="Times New Roman" w:cs="宋体"/>
                <w:smallCaps w:val="0"/>
                <w:color w:val="auto"/>
                <w:kern w:val="0"/>
                <w:szCs w:val="21"/>
                <w:highlight w:val="none"/>
              </w:rPr>
            </w:pPr>
          </w:p>
        </w:tc>
        <w:tc>
          <w:tcPr>
            <w:tcW w:w="1953" w:type="dxa"/>
            <w:tcBorders>
              <w:top w:val="nil"/>
              <w:left w:val="nil"/>
              <w:bottom w:val="single" w:color="auto" w:sz="4" w:space="0"/>
              <w:right w:val="single" w:color="auto" w:sz="4" w:space="0"/>
            </w:tcBorders>
            <w:noWrap w:val="0"/>
            <w:vAlign w:val="top"/>
          </w:tcPr>
          <w:p w14:paraId="441C9AEE">
            <w:pPr>
              <w:widowControl/>
              <w:rPr>
                <w:rFonts w:hint="eastAsia" w:ascii="Times New Roman" w:hAnsi="Times New Roman" w:cs="宋体"/>
                <w:smallCaps w:val="0"/>
                <w:color w:val="auto"/>
                <w:kern w:val="0"/>
                <w:szCs w:val="21"/>
                <w:highlight w:val="none"/>
              </w:rPr>
            </w:pPr>
          </w:p>
        </w:tc>
      </w:tr>
      <w:tr w14:paraId="14CEE3F4">
        <w:tblPrEx>
          <w:tblCellMar>
            <w:top w:w="0" w:type="dxa"/>
            <w:left w:w="108" w:type="dxa"/>
            <w:bottom w:w="0" w:type="dxa"/>
            <w:right w:w="108" w:type="dxa"/>
          </w:tblCellMar>
        </w:tblPrEx>
        <w:trPr>
          <w:trHeight w:val="481" w:hRule="atLeast"/>
          <w:jc w:val="center"/>
        </w:trPr>
        <w:tc>
          <w:tcPr>
            <w:tcW w:w="833" w:type="dxa"/>
            <w:tcBorders>
              <w:top w:val="nil"/>
              <w:left w:val="single" w:color="auto" w:sz="4" w:space="0"/>
              <w:bottom w:val="single" w:color="auto" w:sz="4" w:space="0"/>
              <w:right w:val="single" w:color="auto" w:sz="4" w:space="0"/>
            </w:tcBorders>
            <w:noWrap w:val="0"/>
            <w:vAlign w:val="center"/>
          </w:tcPr>
          <w:p w14:paraId="69665B68">
            <w:pPr>
              <w:widowControl/>
              <w:jc w:val="center"/>
              <w:rPr>
                <w:rFonts w:hint="eastAsia" w:ascii="Times New Roman" w:hAnsi="Times New Roman" w:cs="宋体"/>
                <w:smallCaps w:val="0"/>
                <w:color w:val="auto"/>
                <w:kern w:val="0"/>
                <w:szCs w:val="21"/>
                <w:highlight w:val="none"/>
              </w:rPr>
            </w:pPr>
          </w:p>
        </w:tc>
        <w:tc>
          <w:tcPr>
            <w:tcW w:w="0" w:type="auto"/>
            <w:tcBorders>
              <w:top w:val="nil"/>
              <w:left w:val="nil"/>
              <w:bottom w:val="single" w:color="auto" w:sz="4" w:space="0"/>
              <w:right w:val="single" w:color="auto" w:sz="4" w:space="0"/>
            </w:tcBorders>
            <w:noWrap w:val="0"/>
            <w:vAlign w:val="center"/>
          </w:tcPr>
          <w:p w14:paraId="422E61B5">
            <w:pPr>
              <w:widowControl/>
              <w:rPr>
                <w:rFonts w:hint="eastAsia" w:ascii="Times New Roman" w:hAnsi="Times New Roman" w:cs="宋体"/>
                <w:smallCaps w:val="0"/>
                <w:color w:val="auto"/>
                <w:kern w:val="0"/>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53FCE584">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636A84B4">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6BE3CEA0">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127CD868">
            <w:pPr>
              <w:rPr>
                <w:rFonts w:hint="eastAsia" w:ascii="Times New Roman" w:hAnsi="Times New Roman" w:cs="宋体"/>
                <w:smallCaps w:val="0"/>
                <w:color w:val="auto"/>
                <w:sz w:val="22"/>
                <w:highlight w:val="none"/>
              </w:rPr>
            </w:pPr>
          </w:p>
        </w:tc>
        <w:tc>
          <w:tcPr>
            <w:tcW w:w="896" w:type="dxa"/>
            <w:tcBorders>
              <w:top w:val="nil"/>
              <w:left w:val="nil"/>
              <w:bottom w:val="single" w:color="auto" w:sz="4" w:space="0"/>
              <w:right w:val="single" w:color="auto" w:sz="4" w:space="0"/>
            </w:tcBorders>
            <w:noWrap w:val="0"/>
            <w:vAlign w:val="center"/>
          </w:tcPr>
          <w:p w14:paraId="67742ECF">
            <w:pPr>
              <w:widowControl/>
              <w:rPr>
                <w:rFonts w:hint="eastAsia" w:ascii="Times New Roman" w:hAnsi="Times New Roman" w:cs="宋体"/>
                <w:smallCaps w:val="0"/>
                <w:color w:val="auto"/>
                <w:kern w:val="0"/>
                <w:szCs w:val="21"/>
                <w:highlight w:val="none"/>
              </w:rPr>
            </w:pPr>
          </w:p>
        </w:tc>
        <w:tc>
          <w:tcPr>
            <w:tcW w:w="1953" w:type="dxa"/>
            <w:tcBorders>
              <w:top w:val="nil"/>
              <w:left w:val="nil"/>
              <w:bottom w:val="single" w:color="auto" w:sz="4" w:space="0"/>
              <w:right w:val="single" w:color="auto" w:sz="4" w:space="0"/>
            </w:tcBorders>
            <w:noWrap w:val="0"/>
            <w:vAlign w:val="top"/>
          </w:tcPr>
          <w:p w14:paraId="302E2780">
            <w:pPr>
              <w:widowControl/>
              <w:rPr>
                <w:rFonts w:hint="eastAsia" w:ascii="Times New Roman" w:hAnsi="Times New Roman" w:cs="宋体"/>
                <w:smallCaps w:val="0"/>
                <w:color w:val="auto"/>
                <w:kern w:val="0"/>
                <w:szCs w:val="21"/>
                <w:highlight w:val="none"/>
              </w:rPr>
            </w:pPr>
          </w:p>
        </w:tc>
      </w:tr>
      <w:tr w14:paraId="17FEE177">
        <w:tblPrEx>
          <w:tblCellMar>
            <w:top w:w="0" w:type="dxa"/>
            <w:left w:w="108" w:type="dxa"/>
            <w:bottom w:w="0" w:type="dxa"/>
            <w:right w:w="108" w:type="dxa"/>
          </w:tblCellMar>
        </w:tblPrEx>
        <w:trPr>
          <w:trHeight w:val="481" w:hRule="atLeast"/>
          <w:jc w:val="center"/>
        </w:trPr>
        <w:tc>
          <w:tcPr>
            <w:tcW w:w="833" w:type="dxa"/>
            <w:tcBorders>
              <w:top w:val="nil"/>
              <w:left w:val="single" w:color="auto" w:sz="4" w:space="0"/>
              <w:bottom w:val="single" w:color="auto" w:sz="4" w:space="0"/>
              <w:right w:val="single" w:color="auto" w:sz="4" w:space="0"/>
            </w:tcBorders>
            <w:noWrap w:val="0"/>
            <w:vAlign w:val="center"/>
          </w:tcPr>
          <w:p w14:paraId="00365305">
            <w:pPr>
              <w:widowControl/>
              <w:jc w:val="center"/>
              <w:rPr>
                <w:rFonts w:hint="eastAsia" w:ascii="Times New Roman" w:hAnsi="Times New Roman" w:cs="宋体"/>
                <w:smallCaps w:val="0"/>
                <w:color w:val="auto"/>
                <w:kern w:val="0"/>
                <w:szCs w:val="21"/>
                <w:highlight w:val="none"/>
              </w:rPr>
            </w:pPr>
          </w:p>
        </w:tc>
        <w:tc>
          <w:tcPr>
            <w:tcW w:w="0" w:type="auto"/>
            <w:tcBorders>
              <w:top w:val="nil"/>
              <w:left w:val="nil"/>
              <w:bottom w:val="single" w:color="auto" w:sz="4" w:space="0"/>
              <w:right w:val="single" w:color="auto" w:sz="4" w:space="0"/>
            </w:tcBorders>
            <w:noWrap w:val="0"/>
            <w:vAlign w:val="center"/>
          </w:tcPr>
          <w:p w14:paraId="02589C24">
            <w:pPr>
              <w:widowControl/>
              <w:rPr>
                <w:rFonts w:hint="eastAsia" w:ascii="Times New Roman" w:hAnsi="Times New Roman" w:cs="宋体"/>
                <w:smallCaps w:val="0"/>
                <w:color w:val="auto"/>
                <w:kern w:val="0"/>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4E24D6AD">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7A3187A0">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3291DACD">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54D16AAA">
            <w:pPr>
              <w:rPr>
                <w:rFonts w:hint="eastAsia" w:ascii="Times New Roman" w:hAnsi="Times New Roman" w:cs="宋体"/>
                <w:smallCaps w:val="0"/>
                <w:color w:val="auto"/>
                <w:sz w:val="22"/>
                <w:highlight w:val="none"/>
              </w:rPr>
            </w:pPr>
          </w:p>
        </w:tc>
        <w:tc>
          <w:tcPr>
            <w:tcW w:w="896" w:type="dxa"/>
            <w:tcBorders>
              <w:top w:val="nil"/>
              <w:left w:val="nil"/>
              <w:bottom w:val="single" w:color="auto" w:sz="4" w:space="0"/>
              <w:right w:val="single" w:color="auto" w:sz="4" w:space="0"/>
            </w:tcBorders>
            <w:noWrap w:val="0"/>
            <w:vAlign w:val="center"/>
          </w:tcPr>
          <w:p w14:paraId="7DE3726F">
            <w:pPr>
              <w:widowControl/>
              <w:rPr>
                <w:rFonts w:hint="eastAsia" w:ascii="Times New Roman" w:hAnsi="Times New Roman" w:cs="宋体"/>
                <w:smallCaps w:val="0"/>
                <w:color w:val="auto"/>
                <w:kern w:val="0"/>
                <w:szCs w:val="21"/>
                <w:highlight w:val="none"/>
              </w:rPr>
            </w:pPr>
          </w:p>
        </w:tc>
        <w:tc>
          <w:tcPr>
            <w:tcW w:w="1953" w:type="dxa"/>
            <w:tcBorders>
              <w:top w:val="nil"/>
              <w:left w:val="nil"/>
              <w:bottom w:val="single" w:color="auto" w:sz="4" w:space="0"/>
              <w:right w:val="single" w:color="auto" w:sz="4" w:space="0"/>
            </w:tcBorders>
            <w:noWrap w:val="0"/>
            <w:vAlign w:val="top"/>
          </w:tcPr>
          <w:p w14:paraId="5FE4AB2D">
            <w:pPr>
              <w:widowControl/>
              <w:rPr>
                <w:rFonts w:hint="eastAsia" w:ascii="Times New Roman" w:hAnsi="Times New Roman" w:cs="宋体"/>
                <w:smallCaps w:val="0"/>
                <w:color w:val="auto"/>
                <w:kern w:val="0"/>
                <w:szCs w:val="21"/>
                <w:highlight w:val="none"/>
              </w:rPr>
            </w:pPr>
          </w:p>
        </w:tc>
      </w:tr>
      <w:tr w14:paraId="7F7387BF">
        <w:tblPrEx>
          <w:tblCellMar>
            <w:top w:w="0" w:type="dxa"/>
            <w:left w:w="108" w:type="dxa"/>
            <w:bottom w:w="0" w:type="dxa"/>
            <w:right w:w="108" w:type="dxa"/>
          </w:tblCellMar>
        </w:tblPrEx>
        <w:trPr>
          <w:trHeight w:val="481" w:hRule="atLeast"/>
          <w:jc w:val="center"/>
        </w:trPr>
        <w:tc>
          <w:tcPr>
            <w:tcW w:w="833" w:type="dxa"/>
            <w:tcBorders>
              <w:top w:val="nil"/>
              <w:left w:val="single" w:color="auto" w:sz="4" w:space="0"/>
              <w:bottom w:val="single" w:color="auto" w:sz="4" w:space="0"/>
              <w:right w:val="single" w:color="auto" w:sz="4" w:space="0"/>
            </w:tcBorders>
            <w:noWrap w:val="0"/>
            <w:vAlign w:val="center"/>
          </w:tcPr>
          <w:p w14:paraId="5F0FCDE9">
            <w:pPr>
              <w:widowControl/>
              <w:jc w:val="center"/>
              <w:rPr>
                <w:rFonts w:hint="eastAsia" w:ascii="Times New Roman" w:hAnsi="Times New Roman" w:cs="宋体"/>
                <w:smallCaps w:val="0"/>
                <w:color w:val="auto"/>
                <w:kern w:val="0"/>
                <w:szCs w:val="21"/>
                <w:highlight w:val="none"/>
              </w:rPr>
            </w:pPr>
          </w:p>
        </w:tc>
        <w:tc>
          <w:tcPr>
            <w:tcW w:w="0" w:type="auto"/>
            <w:tcBorders>
              <w:top w:val="nil"/>
              <w:left w:val="nil"/>
              <w:bottom w:val="single" w:color="auto" w:sz="4" w:space="0"/>
              <w:right w:val="single" w:color="auto" w:sz="4" w:space="0"/>
            </w:tcBorders>
            <w:noWrap w:val="0"/>
            <w:vAlign w:val="center"/>
          </w:tcPr>
          <w:p w14:paraId="79297A11">
            <w:pPr>
              <w:widowControl/>
              <w:rPr>
                <w:rFonts w:hint="eastAsia" w:ascii="Times New Roman" w:hAnsi="Times New Roman" w:cs="宋体"/>
                <w:smallCaps w:val="0"/>
                <w:color w:val="auto"/>
                <w:kern w:val="0"/>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11D5F0AF">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08449E28">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72AA004D">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37908CBA">
            <w:pPr>
              <w:rPr>
                <w:rFonts w:hint="eastAsia" w:ascii="Times New Roman" w:hAnsi="Times New Roman" w:cs="宋体"/>
                <w:smallCaps w:val="0"/>
                <w:color w:val="auto"/>
                <w:sz w:val="22"/>
                <w:highlight w:val="none"/>
              </w:rPr>
            </w:pPr>
          </w:p>
        </w:tc>
        <w:tc>
          <w:tcPr>
            <w:tcW w:w="896" w:type="dxa"/>
            <w:tcBorders>
              <w:top w:val="nil"/>
              <w:left w:val="nil"/>
              <w:bottom w:val="single" w:color="auto" w:sz="4" w:space="0"/>
              <w:right w:val="single" w:color="auto" w:sz="4" w:space="0"/>
            </w:tcBorders>
            <w:noWrap w:val="0"/>
            <w:vAlign w:val="center"/>
          </w:tcPr>
          <w:p w14:paraId="539CF773">
            <w:pPr>
              <w:widowControl/>
              <w:rPr>
                <w:rFonts w:hint="eastAsia" w:ascii="Times New Roman" w:hAnsi="Times New Roman" w:cs="宋体"/>
                <w:smallCaps w:val="0"/>
                <w:color w:val="auto"/>
                <w:kern w:val="0"/>
                <w:szCs w:val="21"/>
                <w:highlight w:val="none"/>
              </w:rPr>
            </w:pPr>
          </w:p>
        </w:tc>
        <w:tc>
          <w:tcPr>
            <w:tcW w:w="1953" w:type="dxa"/>
            <w:tcBorders>
              <w:top w:val="nil"/>
              <w:left w:val="nil"/>
              <w:bottom w:val="single" w:color="auto" w:sz="4" w:space="0"/>
              <w:right w:val="single" w:color="auto" w:sz="4" w:space="0"/>
            </w:tcBorders>
            <w:noWrap w:val="0"/>
            <w:vAlign w:val="top"/>
          </w:tcPr>
          <w:p w14:paraId="74576E03">
            <w:pPr>
              <w:widowControl/>
              <w:rPr>
                <w:rFonts w:hint="eastAsia" w:ascii="Times New Roman" w:hAnsi="Times New Roman" w:cs="宋体"/>
                <w:smallCaps w:val="0"/>
                <w:color w:val="auto"/>
                <w:kern w:val="0"/>
                <w:szCs w:val="21"/>
                <w:highlight w:val="none"/>
              </w:rPr>
            </w:pPr>
          </w:p>
        </w:tc>
      </w:tr>
      <w:tr w14:paraId="7704D975">
        <w:tblPrEx>
          <w:tblCellMar>
            <w:top w:w="0" w:type="dxa"/>
            <w:left w:w="108" w:type="dxa"/>
            <w:bottom w:w="0" w:type="dxa"/>
            <w:right w:w="108" w:type="dxa"/>
          </w:tblCellMar>
        </w:tblPrEx>
        <w:trPr>
          <w:trHeight w:val="481" w:hRule="atLeast"/>
          <w:jc w:val="center"/>
        </w:trPr>
        <w:tc>
          <w:tcPr>
            <w:tcW w:w="833" w:type="dxa"/>
            <w:tcBorders>
              <w:top w:val="nil"/>
              <w:left w:val="single" w:color="auto" w:sz="4" w:space="0"/>
              <w:bottom w:val="single" w:color="auto" w:sz="4" w:space="0"/>
              <w:right w:val="single" w:color="auto" w:sz="4" w:space="0"/>
            </w:tcBorders>
            <w:noWrap w:val="0"/>
            <w:vAlign w:val="center"/>
          </w:tcPr>
          <w:p w14:paraId="3871BFEE">
            <w:pPr>
              <w:widowControl/>
              <w:jc w:val="center"/>
              <w:rPr>
                <w:rFonts w:hint="eastAsia" w:ascii="Times New Roman" w:hAnsi="Times New Roman" w:cs="宋体"/>
                <w:smallCaps w:val="0"/>
                <w:color w:val="auto"/>
                <w:kern w:val="0"/>
                <w:szCs w:val="21"/>
                <w:highlight w:val="none"/>
              </w:rPr>
            </w:pPr>
          </w:p>
        </w:tc>
        <w:tc>
          <w:tcPr>
            <w:tcW w:w="0" w:type="auto"/>
            <w:tcBorders>
              <w:top w:val="nil"/>
              <w:left w:val="nil"/>
              <w:bottom w:val="single" w:color="auto" w:sz="4" w:space="0"/>
              <w:right w:val="single" w:color="auto" w:sz="4" w:space="0"/>
            </w:tcBorders>
            <w:noWrap w:val="0"/>
            <w:vAlign w:val="center"/>
          </w:tcPr>
          <w:p w14:paraId="39589486">
            <w:pPr>
              <w:widowControl/>
              <w:rPr>
                <w:rFonts w:hint="eastAsia" w:ascii="Times New Roman" w:hAnsi="Times New Roman" w:cs="宋体"/>
                <w:smallCaps w:val="0"/>
                <w:color w:val="auto"/>
                <w:kern w:val="0"/>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2509C4EA">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4A35797E">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2391EB74">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110CBDEC">
            <w:pPr>
              <w:rPr>
                <w:rFonts w:hint="eastAsia" w:ascii="Times New Roman" w:hAnsi="Times New Roman" w:cs="宋体"/>
                <w:smallCaps w:val="0"/>
                <w:color w:val="auto"/>
                <w:sz w:val="22"/>
                <w:highlight w:val="none"/>
              </w:rPr>
            </w:pPr>
          </w:p>
        </w:tc>
        <w:tc>
          <w:tcPr>
            <w:tcW w:w="896" w:type="dxa"/>
            <w:tcBorders>
              <w:top w:val="nil"/>
              <w:left w:val="nil"/>
              <w:bottom w:val="single" w:color="auto" w:sz="4" w:space="0"/>
              <w:right w:val="single" w:color="auto" w:sz="4" w:space="0"/>
            </w:tcBorders>
            <w:noWrap w:val="0"/>
            <w:vAlign w:val="center"/>
          </w:tcPr>
          <w:p w14:paraId="35854C3B">
            <w:pPr>
              <w:widowControl/>
              <w:rPr>
                <w:rFonts w:hint="eastAsia" w:ascii="Times New Roman" w:hAnsi="Times New Roman" w:cs="宋体"/>
                <w:smallCaps w:val="0"/>
                <w:color w:val="auto"/>
                <w:kern w:val="0"/>
                <w:szCs w:val="21"/>
                <w:highlight w:val="none"/>
              </w:rPr>
            </w:pPr>
          </w:p>
        </w:tc>
        <w:tc>
          <w:tcPr>
            <w:tcW w:w="1953" w:type="dxa"/>
            <w:tcBorders>
              <w:top w:val="nil"/>
              <w:left w:val="nil"/>
              <w:bottom w:val="single" w:color="auto" w:sz="4" w:space="0"/>
              <w:right w:val="single" w:color="auto" w:sz="4" w:space="0"/>
            </w:tcBorders>
            <w:noWrap w:val="0"/>
            <w:vAlign w:val="top"/>
          </w:tcPr>
          <w:p w14:paraId="3A39EAA9">
            <w:pPr>
              <w:widowControl/>
              <w:rPr>
                <w:rFonts w:hint="eastAsia" w:ascii="Times New Roman" w:hAnsi="Times New Roman" w:cs="宋体"/>
                <w:smallCaps w:val="0"/>
                <w:color w:val="auto"/>
                <w:kern w:val="0"/>
                <w:szCs w:val="21"/>
                <w:highlight w:val="none"/>
              </w:rPr>
            </w:pPr>
          </w:p>
        </w:tc>
      </w:tr>
      <w:tr w14:paraId="53B20BF7">
        <w:tblPrEx>
          <w:tblCellMar>
            <w:top w:w="0" w:type="dxa"/>
            <w:left w:w="108" w:type="dxa"/>
            <w:bottom w:w="0" w:type="dxa"/>
            <w:right w:w="108" w:type="dxa"/>
          </w:tblCellMar>
        </w:tblPrEx>
        <w:trPr>
          <w:trHeight w:val="491" w:hRule="atLeast"/>
          <w:jc w:val="center"/>
        </w:trPr>
        <w:tc>
          <w:tcPr>
            <w:tcW w:w="833" w:type="dxa"/>
            <w:tcBorders>
              <w:top w:val="nil"/>
              <w:left w:val="single" w:color="auto" w:sz="4" w:space="0"/>
              <w:bottom w:val="single" w:color="auto" w:sz="4" w:space="0"/>
              <w:right w:val="single" w:color="auto" w:sz="4" w:space="0"/>
            </w:tcBorders>
            <w:noWrap w:val="0"/>
            <w:vAlign w:val="center"/>
          </w:tcPr>
          <w:p w14:paraId="5ECADD0C">
            <w:pPr>
              <w:widowControl/>
              <w:jc w:val="center"/>
              <w:rPr>
                <w:rFonts w:hint="eastAsia" w:ascii="Times New Roman" w:hAnsi="Times New Roman" w:cs="宋体"/>
                <w:smallCaps w:val="0"/>
                <w:color w:val="auto"/>
                <w:kern w:val="0"/>
                <w:szCs w:val="21"/>
                <w:highlight w:val="none"/>
              </w:rPr>
            </w:pPr>
          </w:p>
        </w:tc>
        <w:tc>
          <w:tcPr>
            <w:tcW w:w="0" w:type="auto"/>
            <w:tcBorders>
              <w:top w:val="nil"/>
              <w:left w:val="nil"/>
              <w:bottom w:val="single" w:color="auto" w:sz="4" w:space="0"/>
              <w:right w:val="single" w:color="auto" w:sz="4" w:space="0"/>
            </w:tcBorders>
            <w:noWrap w:val="0"/>
            <w:vAlign w:val="center"/>
          </w:tcPr>
          <w:p w14:paraId="4245CFF0">
            <w:pPr>
              <w:widowControl/>
              <w:rPr>
                <w:rFonts w:hint="eastAsia" w:ascii="Times New Roman" w:hAnsi="Times New Roman" w:cs="宋体"/>
                <w:smallCaps w:val="0"/>
                <w:color w:val="auto"/>
                <w:kern w:val="0"/>
                <w:szCs w:val="21"/>
                <w:highlight w:val="none"/>
              </w:rPr>
            </w:pPr>
          </w:p>
        </w:tc>
        <w:tc>
          <w:tcPr>
            <w:tcW w:w="0" w:type="auto"/>
            <w:tcBorders>
              <w:top w:val="single" w:color="auto" w:sz="4" w:space="0"/>
              <w:left w:val="nil"/>
              <w:bottom w:val="single" w:color="auto" w:sz="4" w:space="0"/>
              <w:right w:val="single" w:color="auto" w:sz="4" w:space="0"/>
            </w:tcBorders>
            <w:noWrap w:val="0"/>
            <w:vAlign w:val="center"/>
          </w:tcPr>
          <w:p w14:paraId="12E83849">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658CA4E6">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666EBE7B">
            <w:pPr>
              <w:rPr>
                <w:rFonts w:hint="eastAsia" w:ascii="Times New Roman" w:hAnsi="Times New Roman" w:cs="宋体"/>
                <w:smallCaps w:val="0"/>
                <w:color w:val="auto"/>
                <w:sz w:val="22"/>
                <w:highlight w:val="none"/>
              </w:rPr>
            </w:pPr>
          </w:p>
        </w:tc>
        <w:tc>
          <w:tcPr>
            <w:tcW w:w="0" w:type="auto"/>
            <w:tcBorders>
              <w:top w:val="single" w:color="auto" w:sz="4" w:space="0"/>
              <w:left w:val="nil"/>
              <w:bottom w:val="single" w:color="auto" w:sz="4" w:space="0"/>
              <w:right w:val="single" w:color="auto" w:sz="4" w:space="0"/>
            </w:tcBorders>
            <w:noWrap w:val="0"/>
            <w:vAlign w:val="center"/>
          </w:tcPr>
          <w:p w14:paraId="5E1BC64E">
            <w:pPr>
              <w:rPr>
                <w:rFonts w:hint="eastAsia" w:ascii="Times New Roman" w:hAnsi="Times New Roman" w:cs="宋体"/>
                <w:smallCaps w:val="0"/>
                <w:color w:val="auto"/>
                <w:sz w:val="22"/>
                <w:highlight w:val="none"/>
              </w:rPr>
            </w:pPr>
          </w:p>
        </w:tc>
        <w:tc>
          <w:tcPr>
            <w:tcW w:w="896" w:type="dxa"/>
            <w:tcBorders>
              <w:top w:val="nil"/>
              <w:left w:val="nil"/>
              <w:bottom w:val="single" w:color="auto" w:sz="4" w:space="0"/>
              <w:right w:val="single" w:color="auto" w:sz="4" w:space="0"/>
            </w:tcBorders>
            <w:noWrap w:val="0"/>
            <w:vAlign w:val="center"/>
          </w:tcPr>
          <w:p w14:paraId="7F460F4A">
            <w:pPr>
              <w:widowControl/>
              <w:rPr>
                <w:rFonts w:hint="eastAsia" w:ascii="Times New Roman" w:hAnsi="Times New Roman" w:cs="宋体"/>
                <w:smallCaps w:val="0"/>
                <w:color w:val="auto"/>
                <w:kern w:val="0"/>
                <w:szCs w:val="21"/>
                <w:highlight w:val="none"/>
              </w:rPr>
            </w:pPr>
          </w:p>
        </w:tc>
        <w:tc>
          <w:tcPr>
            <w:tcW w:w="1953" w:type="dxa"/>
            <w:tcBorders>
              <w:top w:val="nil"/>
              <w:left w:val="nil"/>
              <w:bottom w:val="single" w:color="auto" w:sz="4" w:space="0"/>
              <w:right w:val="single" w:color="auto" w:sz="4" w:space="0"/>
            </w:tcBorders>
            <w:noWrap w:val="0"/>
            <w:vAlign w:val="top"/>
          </w:tcPr>
          <w:p w14:paraId="1F89A76B">
            <w:pPr>
              <w:widowControl/>
              <w:rPr>
                <w:rFonts w:hint="eastAsia" w:ascii="Times New Roman" w:hAnsi="Times New Roman" w:cs="宋体"/>
                <w:smallCaps w:val="0"/>
                <w:color w:val="auto"/>
                <w:kern w:val="0"/>
                <w:szCs w:val="21"/>
                <w:highlight w:val="none"/>
              </w:rPr>
            </w:pPr>
          </w:p>
        </w:tc>
      </w:tr>
    </w:tbl>
    <w:p w14:paraId="47070D12">
      <w:pPr>
        <w:pStyle w:val="8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仿宋_GB2312" w:asciiTheme="minorEastAsia" w:hAnsiTheme="minorEastAsia" w:eastAsiaTheme="minorEastAsia"/>
          <w:bCs w:val="0"/>
          <w:snapToGrid/>
          <w:color w:val="auto"/>
          <w:kern w:val="2"/>
          <w:sz w:val="24"/>
          <w:szCs w:val="20"/>
          <w:highlight w:val="none"/>
          <w:lang w:val="en-US" w:eastAsia="zh-CN" w:bidi="ar-SA"/>
        </w:rPr>
      </w:pPr>
      <w:r>
        <w:rPr>
          <w:rFonts w:hint="eastAsia" w:cs="@仿宋_GB2312" w:asciiTheme="minorEastAsia" w:hAnsiTheme="minorEastAsia" w:eastAsiaTheme="minorEastAsia"/>
          <w:bCs w:val="0"/>
          <w:snapToGrid/>
          <w:color w:val="auto"/>
          <w:kern w:val="2"/>
          <w:sz w:val="24"/>
          <w:szCs w:val="20"/>
          <w:highlight w:val="none"/>
          <w:lang w:val="en-US" w:eastAsia="zh-CN" w:bidi="ar-SA"/>
        </w:rPr>
        <w:t>注：</w:t>
      </w:r>
    </w:p>
    <w:p w14:paraId="15413C59">
      <w:pPr>
        <w:pStyle w:val="8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仿宋_GB2312" w:asciiTheme="minorEastAsia" w:hAnsiTheme="minorEastAsia" w:eastAsiaTheme="minorEastAsia"/>
          <w:bCs w:val="0"/>
          <w:snapToGrid/>
          <w:color w:val="auto"/>
          <w:kern w:val="2"/>
          <w:sz w:val="24"/>
          <w:szCs w:val="20"/>
          <w:highlight w:val="none"/>
          <w:lang w:val="en-US" w:eastAsia="zh-CN" w:bidi="ar-SA"/>
        </w:rPr>
      </w:pPr>
      <w:r>
        <w:rPr>
          <w:rFonts w:hint="eastAsia" w:cs="@仿宋_GB2312" w:asciiTheme="minorEastAsia" w:hAnsiTheme="minorEastAsia" w:eastAsiaTheme="minorEastAsia"/>
          <w:bCs w:val="0"/>
          <w:snapToGrid/>
          <w:color w:val="auto"/>
          <w:kern w:val="2"/>
          <w:sz w:val="24"/>
          <w:szCs w:val="20"/>
          <w:highlight w:val="none"/>
          <w:lang w:val="en-US" w:eastAsia="zh-CN" w:bidi="ar-SA"/>
        </w:rPr>
        <w:t>1. 本表仅针对</w:t>
      </w:r>
      <w:r>
        <w:rPr>
          <w:rFonts w:hint="eastAsia" w:cs="@仿宋_GB2312" w:asciiTheme="minorEastAsia" w:hAnsiTheme="minorEastAsia" w:eastAsiaTheme="minorEastAsia"/>
          <w:b/>
          <w:bCs/>
          <w:snapToGrid/>
          <w:color w:val="auto"/>
          <w:kern w:val="2"/>
          <w:sz w:val="30"/>
          <w:szCs w:val="30"/>
          <w:highlight w:val="none"/>
          <w:lang w:val="en-US" w:eastAsia="zh-CN" w:bidi="ar-SA"/>
        </w:rPr>
        <w:t>不采用</w:t>
      </w:r>
      <w:r>
        <w:rPr>
          <w:rFonts w:hint="eastAsia" w:cs="@仿宋_GB2312" w:asciiTheme="minorEastAsia" w:hAnsiTheme="minorEastAsia" w:eastAsiaTheme="minorEastAsia"/>
          <w:bCs w:val="0"/>
          <w:snapToGrid/>
          <w:color w:val="auto"/>
          <w:kern w:val="2"/>
          <w:sz w:val="24"/>
          <w:szCs w:val="20"/>
          <w:highlight w:val="none"/>
          <w:lang w:val="en-US" w:eastAsia="zh-CN" w:bidi="ar-SA"/>
        </w:rPr>
        <w:t>采购人推荐品牌，采用其他品牌的供应商填写，并注明并提供相关技术参数、业绩等供评审委员会评审，未在采购人推荐的材料品牌响应表中注明或未提供相关技术参数、业绩，或经评标委员会评审未通过的，成交后只能从采购人推荐品牌中进行选择，价格不予调整。</w:t>
      </w:r>
    </w:p>
    <w:p w14:paraId="2CFF454D">
      <w:pPr>
        <w:pStyle w:val="8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仿宋_GB2312" w:asciiTheme="minorEastAsia" w:hAnsiTheme="minorEastAsia" w:eastAsiaTheme="minorEastAsia"/>
          <w:bCs w:val="0"/>
          <w:snapToGrid/>
          <w:color w:val="auto"/>
          <w:kern w:val="2"/>
          <w:sz w:val="24"/>
          <w:szCs w:val="20"/>
          <w:highlight w:val="none"/>
          <w:lang w:val="zh-CN" w:eastAsia="zh-CN" w:bidi="ar-SA"/>
        </w:rPr>
      </w:pPr>
      <w:r>
        <w:rPr>
          <w:rFonts w:hint="eastAsia" w:cs="@仿宋_GB2312" w:asciiTheme="minorEastAsia" w:hAnsiTheme="minorEastAsia" w:eastAsiaTheme="minorEastAsia"/>
          <w:bCs w:val="0"/>
          <w:snapToGrid/>
          <w:color w:val="auto"/>
          <w:kern w:val="2"/>
          <w:sz w:val="24"/>
          <w:szCs w:val="20"/>
          <w:highlight w:val="none"/>
          <w:lang w:val="en-US" w:eastAsia="zh-CN" w:bidi="ar-SA"/>
        </w:rPr>
        <w:t>2. 对于采购人推荐品牌的材料、设备等，供应商如认为采购人推荐的品牌有限定性、唯一性、明显不在同一档次等级的或者其他疑问的，应在本项目质疑提出的截止时间前通过电子交易系统提交。</w:t>
      </w:r>
    </w:p>
    <w:p w14:paraId="4A37FDF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eastAsia" w:cs="@仿宋_GB2312" w:asciiTheme="minorEastAsia" w:hAnsiTheme="minorEastAsia" w:eastAsiaTheme="minorEastAsia"/>
          <w:bCs w:val="0"/>
          <w:snapToGrid/>
          <w:color w:val="auto"/>
          <w:kern w:val="2"/>
          <w:sz w:val="24"/>
          <w:szCs w:val="20"/>
          <w:highlight w:val="none"/>
          <w:lang w:val="en-US" w:eastAsia="zh-CN" w:bidi="ar-SA"/>
        </w:rPr>
      </w:pPr>
    </w:p>
    <w:p w14:paraId="249DC11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eastAsia" w:cs="@仿宋_GB2312" w:asciiTheme="minorEastAsia" w:hAnsiTheme="minorEastAsia" w:eastAsiaTheme="minorEastAsia"/>
          <w:bCs w:val="0"/>
          <w:snapToGrid/>
          <w:color w:val="auto"/>
          <w:kern w:val="2"/>
          <w:sz w:val="24"/>
          <w:szCs w:val="20"/>
          <w:highlight w:val="none"/>
          <w:lang w:val="en-US" w:eastAsia="zh-CN" w:bidi="ar-SA"/>
        </w:rPr>
      </w:pPr>
    </w:p>
    <w:p w14:paraId="218CF16B">
      <w:pPr>
        <w:spacing w:line="360" w:lineRule="auto"/>
        <w:jc w:val="center"/>
        <w:outlineLvl w:val="1"/>
        <w:rPr>
          <w:rFonts w:hint="eastAsia" w:asciiTheme="minorEastAsia" w:hAnsiTheme="minorEastAsia" w:eastAsiaTheme="minorEastAsia"/>
          <w:b/>
          <w:color w:val="auto"/>
          <w:sz w:val="24"/>
          <w:highlight w:val="none"/>
        </w:rPr>
      </w:pPr>
    </w:p>
    <w:p w14:paraId="725DE3AC">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二、响应函</w:t>
      </w:r>
      <w:bookmarkEnd w:id="58"/>
      <w:bookmarkEnd w:id="59"/>
    </w:p>
    <w:p w14:paraId="2CF7454D">
      <w:pPr>
        <w:pStyle w:val="13"/>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致：</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采购人</w:t>
      </w:r>
    </w:p>
    <w:p w14:paraId="09F018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根据贵方的询价公告和询价邀请，我方兹宣布同意如下：</w:t>
      </w:r>
    </w:p>
    <w:p w14:paraId="1754A2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1.我方根据</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的规定，严格履行合同的责任和义务,并保证于</w:t>
      </w:r>
      <w:r>
        <w:rPr>
          <w:rFonts w:hint="eastAsia" w:asciiTheme="minorEastAsia" w:hAnsiTheme="minorEastAsia" w:eastAsiaTheme="minorEastAsia"/>
          <w:color w:val="auto"/>
          <w:sz w:val="24"/>
          <w:highlight w:val="none"/>
          <w:lang w:val="en-US" w:eastAsia="zh-CN"/>
        </w:rPr>
        <w:t>采购人</w:t>
      </w:r>
      <w:r>
        <w:rPr>
          <w:rFonts w:hint="eastAsia" w:asciiTheme="minorEastAsia" w:hAnsiTheme="minorEastAsia" w:eastAsiaTheme="minorEastAsia"/>
          <w:color w:val="auto"/>
          <w:sz w:val="24"/>
          <w:highlight w:val="none"/>
        </w:rPr>
        <w:t>要求的日期内完成，并通过</w:t>
      </w:r>
      <w:r>
        <w:rPr>
          <w:rFonts w:hint="eastAsia" w:asciiTheme="minorEastAsia" w:hAnsiTheme="minorEastAsia" w:eastAsiaTheme="minorEastAsia"/>
          <w:color w:val="auto"/>
          <w:sz w:val="24"/>
          <w:highlight w:val="none"/>
          <w:lang w:val="en-US" w:eastAsia="zh-CN"/>
        </w:rPr>
        <w:t>采购人组织的</w:t>
      </w:r>
      <w:r>
        <w:rPr>
          <w:rFonts w:hint="eastAsia" w:asciiTheme="minorEastAsia" w:hAnsiTheme="minorEastAsia" w:eastAsiaTheme="minorEastAsia"/>
          <w:color w:val="auto"/>
          <w:sz w:val="24"/>
          <w:highlight w:val="none"/>
        </w:rPr>
        <w:t>验收。</w:t>
      </w:r>
    </w:p>
    <w:p w14:paraId="498D090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2.我方已详细审核全部</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，包括</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的澄清或修改（如有），参考资料及有关附件，我方正式认可并遵守本次</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，并对</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各项条款、规定及要求均无异议。</w:t>
      </w:r>
    </w:p>
    <w:p w14:paraId="0E5588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3.我方同意从</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规定的响应文件提交截止日期起遵循本</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，并在</w:t>
      </w:r>
      <w:r>
        <w:rPr>
          <w:rFonts w:hint="eastAsia" w:asciiTheme="minorEastAsia" w:hAnsiTheme="minorEastAsia" w:eastAsiaTheme="minorEastAsia"/>
          <w:color w:val="auto"/>
          <w:sz w:val="24"/>
          <w:highlight w:val="none"/>
          <w:lang w:eastAsia="zh-CN"/>
        </w:rPr>
        <w:t>询价采购文件</w:t>
      </w:r>
      <w:r>
        <w:rPr>
          <w:rFonts w:hint="eastAsia" w:asciiTheme="minorEastAsia" w:hAnsiTheme="minorEastAsia" w:eastAsiaTheme="minorEastAsia"/>
          <w:color w:val="auto"/>
          <w:sz w:val="24"/>
          <w:highlight w:val="none"/>
        </w:rPr>
        <w:t>规定的询价有效期之前均具有约束力。</w:t>
      </w:r>
    </w:p>
    <w:p w14:paraId="17AF0BF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声明响应文件所提供的一切资料均真实无误、及时、有效，企业运营正常。由于我方提供资料不实而造成的责任和后果由我方承担。我方同意按照贵方提出的要求，提供与响应文件有关的任何证据、数据或资料。</w:t>
      </w:r>
    </w:p>
    <w:p w14:paraId="391696A5">
      <w:pPr>
        <w:spacing w:line="360" w:lineRule="auto"/>
        <w:ind w:firstLine="435"/>
        <w:rPr>
          <w:rFonts w:asciiTheme="minorEastAsia" w:hAnsiTheme="minorEastAsia" w:eastAsiaTheme="minorEastAsia"/>
          <w:color w:val="auto"/>
          <w:sz w:val="24"/>
          <w:highlight w:val="none"/>
        </w:rPr>
      </w:pPr>
    </w:p>
    <w:p w14:paraId="0D8778AC">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en-US" w:eastAsia="zh-CN"/>
        </w:rPr>
        <w:t>盖章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31B725DF">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301767B2">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53DE0B20">
      <w:pPr>
        <w:spacing w:line="360" w:lineRule="auto"/>
        <w:jc w:val="center"/>
        <w:outlineLvl w:val="1"/>
        <w:rPr>
          <w:rFonts w:asciiTheme="minorEastAsia" w:hAnsiTheme="minorEastAsia" w:eastAsiaTheme="minorEastAsia"/>
          <w:b/>
          <w:color w:val="auto"/>
          <w:sz w:val="24"/>
          <w:highlight w:val="none"/>
        </w:rPr>
      </w:pPr>
      <w:bookmarkStart w:id="68" w:name="_Toc963"/>
      <w:bookmarkStart w:id="69" w:name="_Toc27880"/>
      <w:r>
        <w:rPr>
          <w:rFonts w:hint="eastAsia" w:asciiTheme="minorEastAsia" w:hAnsiTheme="minorEastAsia" w:eastAsiaTheme="minorEastAsia"/>
          <w:b/>
          <w:color w:val="auto"/>
          <w:sz w:val="24"/>
          <w:highlight w:val="none"/>
        </w:rPr>
        <w:t>三．供应商资格声明书</w:t>
      </w:r>
      <w:bookmarkEnd w:id="68"/>
      <w:r>
        <w:rPr>
          <w:rFonts w:hint="eastAsia" w:asciiTheme="minorEastAsia" w:hAnsiTheme="minorEastAsia" w:eastAsiaTheme="minorEastAsia"/>
          <w:b/>
          <w:color w:val="auto"/>
          <w:sz w:val="24"/>
          <w:highlight w:val="none"/>
        </w:rPr>
        <w:t xml:space="preserve"> </w:t>
      </w:r>
    </w:p>
    <w:p w14:paraId="2AA754B2">
      <w:pPr>
        <w:pStyle w:val="13"/>
        <w:spacing w:line="360" w:lineRule="auto"/>
        <w:rPr>
          <w:rFonts w:asciiTheme="minorEastAsia" w:hAnsiTheme="minorEastAsia" w:cstheme="minorEastAsia"/>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采购人</w:t>
      </w:r>
    </w:p>
    <w:p w14:paraId="18E84E41">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在参与本次项目询价中，我单位承诺：</w:t>
      </w:r>
    </w:p>
    <w:p w14:paraId="6590E240">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64416838">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165938C3">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0A264244">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B7AF91">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75FDA942">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3095"/>
        <w:gridCol w:w="3500"/>
      </w:tblGrid>
      <w:tr w14:paraId="42D5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718AEAB1">
            <w:pPr>
              <w:widowControl/>
              <w:spacing w:before="156" w:beforeLines="50" w:after="156" w:afterLines="50"/>
              <w:jc w:val="center"/>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3095" w:type="dxa"/>
            <w:vAlign w:val="center"/>
          </w:tcPr>
          <w:p w14:paraId="4742833B">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3500" w:type="dxa"/>
            <w:vAlign w:val="center"/>
          </w:tcPr>
          <w:p w14:paraId="13A0BC89">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0487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3B25A0D6">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3095" w:type="dxa"/>
            <w:vAlign w:val="center"/>
          </w:tcPr>
          <w:p w14:paraId="52B0C866">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c>
          <w:tcPr>
            <w:tcW w:w="3500" w:type="dxa"/>
            <w:vAlign w:val="center"/>
          </w:tcPr>
          <w:p w14:paraId="23D9BD57">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r>
      <w:tr w14:paraId="19D7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0" w:type="dxa"/>
            <w:vAlign w:val="center"/>
          </w:tcPr>
          <w:p w14:paraId="502B334D">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3095" w:type="dxa"/>
            <w:vAlign w:val="center"/>
          </w:tcPr>
          <w:p w14:paraId="24B9795F">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c>
          <w:tcPr>
            <w:tcW w:w="3500" w:type="dxa"/>
            <w:vAlign w:val="center"/>
          </w:tcPr>
          <w:p w14:paraId="4D28E30A">
            <w:pPr>
              <w:pStyle w:val="9"/>
              <w:spacing w:before="156" w:beforeLines="50" w:after="156" w:afterLines="50"/>
              <w:jc w:val="center"/>
              <w:rPr>
                <w:rFonts w:asciiTheme="minorEastAsia" w:hAnsiTheme="minorEastAsia" w:eastAsiaTheme="minorEastAsia" w:cstheme="minorEastAsia"/>
                <w:color w:val="auto"/>
                <w:kern w:val="0"/>
                <w:sz w:val="24"/>
                <w:highlight w:val="none"/>
                <w:lang w:val="en-US" w:bidi="ar"/>
              </w:rPr>
            </w:pPr>
          </w:p>
        </w:tc>
      </w:tr>
    </w:tbl>
    <w:p w14:paraId="196C2A9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51F3CD28">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en-US" w:eastAsia="zh-CN"/>
        </w:rPr>
        <w:t>盖章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53159FAC">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4901B3AB">
      <w:pPr>
        <w:tabs>
          <w:tab w:val="left" w:pos="630"/>
        </w:tabs>
        <w:spacing w:line="360" w:lineRule="auto"/>
        <w:ind w:firstLine="4800" w:firstLineChars="2000"/>
        <w:rPr>
          <w:rFonts w:ascii="宋体" w:hAnsi="宋体" w:eastAsia="宋体"/>
          <w:color w:val="auto"/>
          <w:sz w:val="24"/>
          <w:highlight w:val="none"/>
          <w:u w:val="single"/>
        </w:rPr>
      </w:pPr>
    </w:p>
    <w:p w14:paraId="6BD5CEB1">
      <w:pPr>
        <w:pStyle w:val="9"/>
        <w:rPr>
          <w:rFonts w:asciiTheme="minorEastAsia" w:hAnsiTheme="minorEastAsia" w:eastAsiaTheme="minorEastAsia" w:cstheme="minorEastAsia"/>
          <w:color w:val="auto"/>
          <w:kern w:val="0"/>
          <w:sz w:val="24"/>
          <w:highlight w:val="none"/>
          <w:lang w:val="en-US" w:bidi="ar"/>
        </w:rPr>
      </w:pPr>
    </w:p>
    <w:p w14:paraId="2C2FF5A3">
      <w:pPr>
        <w:pStyle w:val="9"/>
        <w:rPr>
          <w:rFonts w:asciiTheme="minorEastAsia" w:hAnsiTheme="minorEastAsia" w:eastAsiaTheme="minorEastAsia" w:cstheme="minorEastAsia"/>
          <w:color w:val="auto"/>
          <w:kern w:val="0"/>
          <w:sz w:val="24"/>
          <w:highlight w:val="none"/>
          <w:lang w:val="en-US" w:bidi="ar"/>
        </w:rPr>
      </w:pPr>
    </w:p>
    <w:p w14:paraId="67BBEF0C">
      <w:pPr>
        <w:pStyle w:val="9"/>
        <w:rPr>
          <w:rFonts w:asciiTheme="minorEastAsia" w:hAnsiTheme="minorEastAsia" w:eastAsiaTheme="minorEastAsia" w:cstheme="minorEastAsia"/>
          <w:color w:val="auto"/>
          <w:kern w:val="0"/>
          <w:sz w:val="24"/>
          <w:highlight w:val="none"/>
          <w:lang w:val="en-US" w:bidi="ar"/>
        </w:rPr>
      </w:pPr>
    </w:p>
    <w:p w14:paraId="51C73DA9">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6CAF2A62">
      <w:pPr>
        <w:spacing w:line="360" w:lineRule="auto"/>
        <w:jc w:val="center"/>
        <w:outlineLvl w:val="1"/>
        <w:rPr>
          <w:rFonts w:asciiTheme="minorEastAsia" w:hAnsiTheme="minorEastAsia" w:eastAsiaTheme="minorEastAsia"/>
          <w:b/>
          <w:color w:val="auto"/>
          <w:sz w:val="24"/>
          <w:highlight w:val="none"/>
        </w:rPr>
      </w:pPr>
      <w:bookmarkStart w:id="70" w:name="_Toc21371"/>
      <w:r>
        <w:rPr>
          <w:rFonts w:hint="eastAsia" w:asciiTheme="minorEastAsia" w:hAnsiTheme="minorEastAsia" w:eastAsiaTheme="minorEastAsia"/>
          <w:b/>
          <w:color w:val="auto"/>
          <w:sz w:val="24"/>
          <w:highlight w:val="none"/>
        </w:rPr>
        <w:t>四、授权书</w:t>
      </w:r>
      <w:bookmarkEnd w:id="69"/>
      <w:bookmarkEnd w:id="70"/>
    </w:p>
    <w:p w14:paraId="0C46D0CC">
      <w:pPr>
        <w:pStyle w:val="12"/>
        <w:snapToGrid w:val="0"/>
        <w:spacing w:line="360" w:lineRule="auto"/>
        <w:ind w:firstLine="480" w:firstLineChars="200"/>
        <w:jc w:val="left"/>
        <w:rPr>
          <w:rFonts w:asciiTheme="minorEastAsia" w:hAnsiTheme="minorEastAsia"/>
          <w:color w:val="auto"/>
          <w:sz w:val="24"/>
          <w:szCs w:val="28"/>
          <w:highlight w:val="none"/>
        </w:rPr>
      </w:pPr>
    </w:p>
    <w:p w14:paraId="1905469F">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asciiTheme="minorEastAsia" w:hAnsiTheme="minorEastAsia" w:eastAsiaTheme="minorEastAsia"/>
          <w:color w:val="auto"/>
          <w:sz w:val="24"/>
          <w:szCs w:val="28"/>
          <w:highlight w:val="none"/>
        </w:rPr>
        <w:t>书声明：</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（供应商名称）授权</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（供应商授权代表姓名）代表我方参加本项目</w:t>
      </w:r>
      <w:r>
        <w:rPr>
          <w:rFonts w:hint="eastAsia" w:asciiTheme="minorEastAsia" w:hAnsiTheme="minorEastAsia" w:eastAsiaTheme="minorEastAsia"/>
          <w:bCs/>
          <w:color w:val="auto"/>
          <w:sz w:val="24"/>
          <w:szCs w:val="28"/>
          <w:highlight w:val="none"/>
        </w:rPr>
        <w:t>采购活动</w:t>
      </w:r>
      <w:r>
        <w:rPr>
          <w:rFonts w:hint="eastAsia" w:asciiTheme="minorEastAsia" w:hAnsiTheme="minorEastAsia" w:eastAsiaTheme="minorEastAsia"/>
          <w:color w:val="auto"/>
          <w:sz w:val="24"/>
          <w:szCs w:val="28"/>
          <w:highlight w:val="none"/>
        </w:rPr>
        <w:t>，全权代表我方处理询价过程的一切事宜，包括但不限于：提交响应文件、谈判、签约等。供应商授权代表在询价过程中所签署的一切文件和处理与之有关的一切事务，我方均予以认可并对此承担责任。供应商授权代表无转委托权。特此授权。</w:t>
      </w:r>
    </w:p>
    <w:p w14:paraId="27B2DFAA">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本授权书自出具之日起生效。</w:t>
      </w:r>
    </w:p>
    <w:p w14:paraId="1EC41A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8"/>
          <w:highlight w:val="none"/>
        </w:rPr>
        <w:t>授权</w:t>
      </w:r>
      <w:r>
        <w:rPr>
          <w:rFonts w:hint="eastAsia" w:asciiTheme="minorEastAsia" w:hAnsiTheme="minorEastAsia" w:eastAsiaTheme="minorEastAsia"/>
          <w:color w:val="auto"/>
          <w:sz w:val="24"/>
          <w:highlight w:val="none"/>
        </w:rPr>
        <w:t>代表身份证明扫描件：</w:t>
      </w:r>
    </w:p>
    <w:p w14:paraId="71EDB952">
      <w:pPr>
        <w:spacing w:line="360" w:lineRule="auto"/>
        <w:ind w:firstLine="435"/>
        <w:rPr>
          <w:rFonts w:asciiTheme="minorEastAsia" w:hAnsiTheme="minorEastAsia" w:eastAsiaTheme="minorEastAsia"/>
          <w:color w:val="auto"/>
          <w:sz w:val="24"/>
          <w:highlight w:val="none"/>
        </w:rPr>
      </w:pPr>
    </w:p>
    <w:p w14:paraId="2B6DB829">
      <w:pPr>
        <w:spacing w:line="360" w:lineRule="auto"/>
        <w:ind w:firstLine="435"/>
        <w:rPr>
          <w:rFonts w:asciiTheme="minorEastAsia" w:hAnsiTheme="minorEastAsia" w:eastAsiaTheme="minorEastAsia"/>
          <w:color w:val="auto"/>
          <w:sz w:val="24"/>
          <w:highlight w:val="none"/>
        </w:rPr>
      </w:pPr>
    </w:p>
    <w:p w14:paraId="60D27137">
      <w:pPr>
        <w:spacing w:line="360" w:lineRule="auto"/>
        <w:ind w:firstLine="435"/>
        <w:rPr>
          <w:rFonts w:asciiTheme="minorEastAsia" w:hAnsiTheme="minorEastAsia" w:eastAsiaTheme="minorEastAsia"/>
          <w:color w:val="auto"/>
          <w:sz w:val="24"/>
          <w:highlight w:val="none"/>
        </w:rPr>
      </w:pPr>
    </w:p>
    <w:p w14:paraId="60530BDE">
      <w:pPr>
        <w:spacing w:line="360" w:lineRule="auto"/>
        <w:ind w:firstLine="435"/>
        <w:rPr>
          <w:rFonts w:asciiTheme="minorEastAsia" w:hAnsiTheme="minorEastAsia" w:eastAsiaTheme="minorEastAsia"/>
          <w:color w:val="auto"/>
          <w:sz w:val="24"/>
          <w:highlight w:val="none"/>
        </w:rPr>
      </w:pPr>
    </w:p>
    <w:p w14:paraId="0FB8ED47">
      <w:pPr>
        <w:spacing w:line="360" w:lineRule="auto"/>
        <w:ind w:firstLine="435"/>
        <w:rPr>
          <w:rFonts w:asciiTheme="minorEastAsia" w:hAnsiTheme="minorEastAsia" w:eastAsiaTheme="minorEastAsia"/>
          <w:color w:val="auto"/>
          <w:sz w:val="24"/>
          <w:highlight w:val="none"/>
        </w:rPr>
      </w:pPr>
    </w:p>
    <w:p w14:paraId="4AD77480">
      <w:pPr>
        <w:spacing w:line="360" w:lineRule="auto"/>
        <w:ind w:firstLine="435"/>
        <w:rPr>
          <w:rFonts w:asciiTheme="minorEastAsia" w:hAnsiTheme="minorEastAsia" w:eastAsiaTheme="minorEastAsia"/>
          <w:color w:val="auto"/>
          <w:sz w:val="24"/>
          <w:highlight w:val="none"/>
        </w:rPr>
      </w:pPr>
    </w:p>
    <w:p w14:paraId="72C9380E">
      <w:pPr>
        <w:spacing w:line="360" w:lineRule="auto"/>
        <w:ind w:firstLine="435"/>
        <w:rPr>
          <w:rFonts w:asciiTheme="minorEastAsia" w:hAnsiTheme="minorEastAsia" w:eastAsiaTheme="minorEastAsia"/>
          <w:color w:val="auto"/>
          <w:sz w:val="24"/>
          <w:highlight w:val="none"/>
        </w:rPr>
      </w:pPr>
    </w:p>
    <w:p w14:paraId="2EF444A2">
      <w:pPr>
        <w:spacing w:line="360" w:lineRule="auto"/>
        <w:ind w:firstLine="435"/>
        <w:rPr>
          <w:rFonts w:asciiTheme="minorEastAsia" w:hAnsiTheme="minorEastAsia" w:eastAsiaTheme="minorEastAsia"/>
          <w:color w:val="auto"/>
          <w:sz w:val="24"/>
          <w:highlight w:val="none"/>
        </w:rPr>
      </w:pPr>
    </w:p>
    <w:p w14:paraId="6675E735">
      <w:pPr>
        <w:spacing w:line="360" w:lineRule="auto"/>
        <w:rPr>
          <w:rFonts w:asciiTheme="minorEastAsia" w:hAnsiTheme="minorEastAsia" w:eastAsiaTheme="minorEastAsia"/>
          <w:color w:val="auto"/>
          <w:sz w:val="24"/>
          <w:highlight w:val="none"/>
        </w:rPr>
      </w:pPr>
    </w:p>
    <w:p w14:paraId="38A461C3">
      <w:pPr>
        <w:spacing w:line="360" w:lineRule="auto"/>
        <w:ind w:firstLine="435"/>
        <w:rPr>
          <w:rFonts w:asciiTheme="minorEastAsia" w:hAnsiTheme="minorEastAsia" w:eastAsiaTheme="minorEastAsia"/>
          <w:color w:val="auto"/>
          <w:sz w:val="24"/>
          <w:szCs w:val="28"/>
          <w:highlight w:val="none"/>
          <w:u w:val="single"/>
          <w:lang w:val="zh-CN"/>
        </w:rPr>
      </w:pPr>
      <w:r>
        <w:rPr>
          <w:rFonts w:hint="eastAsia" w:asciiTheme="minorEastAsia" w:hAnsiTheme="minorEastAsia" w:eastAsiaTheme="minorEastAsia"/>
          <w:color w:val="auto"/>
          <w:sz w:val="24"/>
          <w:szCs w:val="28"/>
          <w:highlight w:val="none"/>
        </w:rPr>
        <w:t>授权代表联系方式：</w:t>
      </w:r>
      <w:r>
        <w:rPr>
          <w:rFonts w:hint="eastAsia" w:asciiTheme="minorEastAsia" w:hAnsiTheme="minorEastAsia" w:eastAsiaTheme="minorEastAsia"/>
          <w:color w:val="auto"/>
          <w:sz w:val="24"/>
          <w:szCs w:val="28"/>
          <w:highlight w:val="none"/>
          <w:u w:val="single"/>
        </w:rPr>
        <w:t xml:space="preserve">          （请填写手机号码）</w:t>
      </w:r>
    </w:p>
    <w:p w14:paraId="527E842A">
      <w:pPr>
        <w:spacing w:line="360" w:lineRule="auto"/>
        <w:ind w:firstLine="435"/>
        <w:rPr>
          <w:rFonts w:asciiTheme="minorEastAsia" w:hAnsiTheme="minorEastAsia" w:eastAsiaTheme="minorEastAsia"/>
          <w:color w:val="auto"/>
          <w:sz w:val="24"/>
          <w:szCs w:val="28"/>
          <w:highlight w:val="none"/>
          <w:lang w:val="zh-CN"/>
        </w:rPr>
      </w:pPr>
    </w:p>
    <w:p w14:paraId="460DC44C">
      <w:pPr>
        <w:spacing w:line="360" w:lineRule="auto"/>
        <w:ind w:firstLine="435"/>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Theme="minorEastAsia" w:hAnsiTheme="minorEastAsia" w:eastAsiaTheme="minorEastAsia"/>
          <w:color w:val="auto"/>
          <w:sz w:val="24"/>
          <w:szCs w:val="28"/>
          <w:highlight w:val="none"/>
        </w:rPr>
        <w:t>声明。</w:t>
      </w:r>
    </w:p>
    <w:p w14:paraId="6ED15AD4">
      <w:pPr>
        <w:spacing w:line="360" w:lineRule="auto"/>
        <w:rPr>
          <w:rFonts w:asciiTheme="minorEastAsia" w:hAnsiTheme="minorEastAsia" w:eastAsiaTheme="minorEastAsia"/>
          <w:color w:val="auto"/>
          <w:sz w:val="24"/>
          <w:szCs w:val="28"/>
          <w:highlight w:val="none"/>
        </w:rPr>
      </w:pPr>
    </w:p>
    <w:p w14:paraId="48259945">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en-US" w:eastAsia="zh-CN"/>
        </w:rPr>
        <w:t>盖章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49C6782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45120C86">
      <w:pPr>
        <w:spacing w:line="360" w:lineRule="auto"/>
        <w:ind w:firstLine="435"/>
        <w:rPr>
          <w:rFonts w:asciiTheme="minorEastAsia" w:hAnsiTheme="minorEastAsia" w:eastAsiaTheme="minorEastAsia"/>
          <w:color w:val="auto"/>
          <w:sz w:val="24"/>
          <w:highlight w:val="none"/>
        </w:rPr>
      </w:pPr>
    </w:p>
    <w:p w14:paraId="672E9CFB">
      <w:pPr>
        <w:spacing w:line="360" w:lineRule="auto"/>
        <w:ind w:firstLine="435"/>
        <w:rPr>
          <w:rFonts w:asciiTheme="minorEastAsia" w:hAnsiTheme="minorEastAsia" w:eastAsiaTheme="minorEastAsia"/>
          <w:color w:val="auto"/>
          <w:sz w:val="24"/>
          <w:highlight w:val="none"/>
        </w:rPr>
      </w:pPr>
    </w:p>
    <w:p w14:paraId="18C465B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5ED3D7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1.本项目只允许有唯一的供应商授权代表，提供身份证明扫描件；</w:t>
      </w:r>
    </w:p>
    <w:p w14:paraId="25E005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2.法定代表人参加询价的无需提供授权书，提供身份证明扫描件。</w:t>
      </w:r>
    </w:p>
    <w:p w14:paraId="00B88355">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FA994BB">
      <w:pPr>
        <w:spacing w:line="360" w:lineRule="auto"/>
        <w:jc w:val="center"/>
        <w:outlineLvl w:val="1"/>
        <w:rPr>
          <w:rFonts w:asciiTheme="minorEastAsia" w:hAnsiTheme="minorEastAsia" w:eastAsiaTheme="minorEastAsia"/>
          <w:b/>
          <w:color w:val="auto"/>
          <w:sz w:val="24"/>
          <w:highlight w:val="none"/>
        </w:rPr>
      </w:pPr>
      <w:bookmarkStart w:id="71" w:name="_Toc14799"/>
      <w:bookmarkStart w:id="72" w:name="_Toc24321"/>
      <w:r>
        <w:rPr>
          <w:rFonts w:hint="eastAsia" w:asciiTheme="minorEastAsia" w:hAnsiTheme="minorEastAsia" w:eastAsiaTheme="minorEastAsia"/>
          <w:b/>
          <w:color w:val="auto"/>
          <w:sz w:val="24"/>
          <w:highlight w:val="none"/>
        </w:rPr>
        <w:t>五、响应表</w:t>
      </w:r>
      <w:bookmarkEnd w:id="71"/>
      <w:bookmarkEnd w:id="72"/>
    </w:p>
    <w:p w14:paraId="284D95B8">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5.1</w:t>
      </w:r>
      <w:r>
        <w:rPr>
          <w:rFonts w:hint="eastAsia" w:asciiTheme="minorEastAsia" w:hAnsiTheme="minorEastAsia" w:eastAsiaTheme="minorEastAsia"/>
          <w:b/>
          <w:color w:val="auto"/>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088"/>
        <w:gridCol w:w="2721"/>
        <w:gridCol w:w="2807"/>
        <w:gridCol w:w="882"/>
      </w:tblGrid>
      <w:tr w14:paraId="4E6C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445AA36F">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0E35A4D6">
            <w:pPr>
              <w:pStyle w:val="1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3FBF35D9">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w:t>
            </w:r>
            <w:r>
              <w:rPr>
                <w:rFonts w:hint="eastAsia" w:cs="Wingdings" w:asciiTheme="minorEastAsia" w:hAnsiTheme="minorEastAsia"/>
                <w:b/>
                <w:color w:val="auto"/>
                <w:sz w:val="24"/>
                <w:highlight w:val="none"/>
                <w:lang w:val="en-US" w:eastAsia="zh-CN"/>
              </w:rPr>
              <w:t>采购文件</w:t>
            </w:r>
            <w:r>
              <w:rPr>
                <w:rFonts w:hint="eastAsia" w:cs="Wingdings" w:asciiTheme="minorEastAsia" w:hAnsiTheme="minorEastAsia"/>
                <w:b/>
                <w:color w:val="auto"/>
                <w:sz w:val="24"/>
                <w:highlight w:val="none"/>
              </w:rPr>
              <w:t>要求</w:t>
            </w:r>
          </w:p>
        </w:tc>
        <w:tc>
          <w:tcPr>
            <w:tcW w:w="1511" w:type="pct"/>
            <w:vAlign w:val="center"/>
          </w:tcPr>
          <w:p w14:paraId="32038C03">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5" w:type="pct"/>
            <w:vAlign w:val="center"/>
          </w:tcPr>
          <w:p w14:paraId="695C1B19">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4C0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8BABF2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15036F52">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4931DAF0">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所有货物供货完成并验收合格后付至所供货款的98%，剩余2%作为质量保证金，质保期（1年）满经核验无质量问题后30天内无息付清余款。支付前成交供应商须提供等额增值税专用发票。</w:t>
            </w:r>
          </w:p>
        </w:tc>
        <w:tc>
          <w:tcPr>
            <w:tcW w:w="1511" w:type="pct"/>
            <w:vAlign w:val="center"/>
          </w:tcPr>
          <w:p w14:paraId="259E0967">
            <w:pPr>
              <w:jc w:val="center"/>
              <w:rPr>
                <w:rFonts w:asciiTheme="minorEastAsia" w:hAnsiTheme="minorEastAsia" w:eastAsiaTheme="minorEastAsia"/>
                <w:color w:val="auto"/>
                <w:sz w:val="24"/>
                <w:highlight w:val="none"/>
              </w:rPr>
            </w:pPr>
          </w:p>
        </w:tc>
        <w:tc>
          <w:tcPr>
            <w:tcW w:w="475" w:type="pct"/>
            <w:vAlign w:val="center"/>
          </w:tcPr>
          <w:p w14:paraId="51891BF4">
            <w:pPr>
              <w:jc w:val="center"/>
              <w:rPr>
                <w:rFonts w:asciiTheme="minorEastAsia" w:hAnsiTheme="minorEastAsia" w:eastAsiaTheme="minorEastAsia"/>
                <w:color w:val="auto"/>
                <w:sz w:val="24"/>
                <w:highlight w:val="none"/>
              </w:rPr>
            </w:pPr>
          </w:p>
        </w:tc>
      </w:tr>
      <w:tr w14:paraId="6D77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ACDCFA1">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14F259D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供货地点</w:t>
            </w:r>
          </w:p>
        </w:tc>
        <w:tc>
          <w:tcPr>
            <w:tcW w:w="1465" w:type="pct"/>
            <w:vAlign w:val="center"/>
          </w:tcPr>
          <w:p w14:paraId="652C35B9">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采购人指定地点</w:t>
            </w:r>
          </w:p>
        </w:tc>
        <w:tc>
          <w:tcPr>
            <w:tcW w:w="1511" w:type="pct"/>
            <w:vAlign w:val="center"/>
          </w:tcPr>
          <w:p w14:paraId="494407BF">
            <w:pPr>
              <w:jc w:val="center"/>
              <w:rPr>
                <w:rFonts w:asciiTheme="minorEastAsia" w:hAnsiTheme="minorEastAsia" w:eastAsiaTheme="minorEastAsia"/>
                <w:color w:val="auto"/>
                <w:sz w:val="24"/>
                <w:highlight w:val="none"/>
              </w:rPr>
            </w:pPr>
          </w:p>
        </w:tc>
        <w:tc>
          <w:tcPr>
            <w:tcW w:w="475" w:type="pct"/>
            <w:vAlign w:val="center"/>
          </w:tcPr>
          <w:p w14:paraId="5ACE2511">
            <w:pPr>
              <w:jc w:val="center"/>
              <w:rPr>
                <w:rFonts w:asciiTheme="minorEastAsia" w:hAnsiTheme="minorEastAsia" w:eastAsiaTheme="minorEastAsia"/>
                <w:color w:val="auto"/>
                <w:sz w:val="24"/>
                <w:highlight w:val="none"/>
              </w:rPr>
            </w:pPr>
          </w:p>
        </w:tc>
      </w:tr>
      <w:tr w14:paraId="5811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8A3755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1BCA1B82">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供货期限</w:t>
            </w:r>
          </w:p>
        </w:tc>
        <w:tc>
          <w:tcPr>
            <w:tcW w:w="1465" w:type="pct"/>
            <w:vAlign w:val="center"/>
          </w:tcPr>
          <w:p w14:paraId="4C30CFF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自接到采购人通知之日起15个日历天内完成供货</w:t>
            </w:r>
          </w:p>
        </w:tc>
        <w:tc>
          <w:tcPr>
            <w:tcW w:w="1511" w:type="pct"/>
            <w:vAlign w:val="center"/>
          </w:tcPr>
          <w:p w14:paraId="466F5ED2">
            <w:pPr>
              <w:pStyle w:val="53"/>
              <w:jc w:val="center"/>
              <w:rPr>
                <w:rFonts w:asciiTheme="minorEastAsia" w:hAnsiTheme="minorEastAsia" w:eastAsiaTheme="minorEastAsia"/>
                <w:color w:val="auto"/>
                <w:highlight w:val="none"/>
              </w:rPr>
            </w:pPr>
          </w:p>
        </w:tc>
        <w:tc>
          <w:tcPr>
            <w:tcW w:w="475" w:type="pct"/>
            <w:vAlign w:val="center"/>
          </w:tcPr>
          <w:p w14:paraId="7696EE85">
            <w:pPr>
              <w:jc w:val="center"/>
              <w:rPr>
                <w:rFonts w:asciiTheme="minorEastAsia" w:hAnsiTheme="minorEastAsia" w:eastAsiaTheme="minorEastAsia"/>
                <w:color w:val="auto"/>
                <w:sz w:val="24"/>
                <w:highlight w:val="none"/>
              </w:rPr>
            </w:pPr>
          </w:p>
        </w:tc>
      </w:tr>
      <w:tr w14:paraId="167D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F265CA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124" w:type="pct"/>
            <w:vAlign w:val="center"/>
          </w:tcPr>
          <w:p w14:paraId="5291790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免费质保期</w:t>
            </w:r>
          </w:p>
        </w:tc>
        <w:tc>
          <w:tcPr>
            <w:tcW w:w="1465" w:type="pct"/>
            <w:vAlign w:val="center"/>
          </w:tcPr>
          <w:p w14:paraId="3EE0B9C0">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1年</w:t>
            </w:r>
          </w:p>
        </w:tc>
        <w:tc>
          <w:tcPr>
            <w:tcW w:w="1511" w:type="pct"/>
            <w:vAlign w:val="center"/>
          </w:tcPr>
          <w:p w14:paraId="0B1DC895">
            <w:pPr>
              <w:jc w:val="center"/>
              <w:rPr>
                <w:rFonts w:asciiTheme="minorEastAsia" w:hAnsiTheme="minorEastAsia" w:eastAsiaTheme="minorEastAsia"/>
                <w:color w:val="auto"/>
                <w:sz w:val="24"/>
                <w:highlight w:val="none"/>
              </w:rPr>
            </w:pPr>
          </w:p>
        </w:tc>
        <w:tc>
          <w:tcPr>
            <w:tcW w:w="475" w:type="pct"/>
            <w:vAlign w:val="center"/>
          </w:tcPr>
          <w:p w14:paraId="7C18111A">
            <w:pPr>
              <w:jc w:val="center"/>
              <w:rPr>
                <w:rFonts w:asciiTheme="minorEastAsia" w:hAnsiTheme="minorEastAsia" w:eastAsiaTheme="minorEastAsia"/>
                <w:color w:val="auto"/>
                <w:sz w:val="24"/>
                <w:highlight w:val="none"/>
              </w:rPr>
            </w:pPr>
          </w:p>
        </w:tc>
      </w:tr>
      <w:tr w14:paraId="22DE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5F1F58D">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5D6D4EAB">
            <w:pPr>
              <w:jc w:val="center"/>
              <w:rPr>
                <w:rFonts w:asciiTheme="minorEastAsia" w:hAnsiTheme="minorEastAsia" w:eastAsiaTheme="minorEastAsia"/>
                <w:color w:val="auto"/>
                <w:sz w:val="24"/>
                <w:highlight w:val="none"/>
              </w:rPr>
            </w:pPr>
          </w:p>
        </w:tc>
        <w:tc>
          <w:tcPr>
            <w:tcW w:w="1465" w:type="pct"/>
            <w:vAlign w:val="center"/>
          </w:tcPr>
          <w:p w14:paraId="34FAE906">
            <w:pPr>
              <w:jc w:val="center"/>
              <w:rPr>
                <w:rFonts w:asciiTheme="minorEastAsia" w:hAnsiTheme="minorEastAsia" w:eastAsiaTheme="minorEastAsia"/>
                <w:color w:val="auto"/>
                <w:sz w:val="24"/>
                <w:highlight w:val="none"/>
              </w:rPr>
            </w:pPr>
          </w:p>
        </w:tc>
        <w:tc>
          <w:tcPr>
            <w:tcW w:w="1511" w:type="pct"/>
            <w:vAlign w:val="center"/>
          </w:tcPr>
          <w:p w14:paraId="3176A90B">
            <w:pPr>
              <w:jc w:val="center"/>
              <w:rPr>
                <w:rFonts w:asciiTheme="minorEastAsia" w:hAnsiTheme="minorEastAsia" w:eastAsiaTheme="minorEastAsia"/>
                <w:color w:val="auto"/>
                <w:sz w:val="24"/>
                <w:highlight w:val="none"/>
              </w:rPr>
            </w:pPr>
          </w:p>
        </w:tc>
        <w:tc>
          <w:tcPr>
            <w:tcW w:w="475" w:type="pct"/>
            <w:vAlign w:val="center"/>
          </w:tcPr>
          <w:p w14:paraId="2C1961A7">
            <w:pPr>
              <w:jc w:val="center"/>
              <w:rPr>
                <w:rFonts w:asciiTheme="minorEastAsia" w:hAnsiTheme="minorEastAsia" w:eastAsiaTheme="minorEastAsia"/>
                <w:color w:val="auto"/>
                <w:sz w:val="24"/>
                <w:highlight w:val="none"/>
              </w:rPr>
            </w:pPr>
          </w:p>
        </w:tc>
      </w:tr>
    </w:tbl>
    <w:p w14:paraId="7CCB528C">
      <w:pPr>
        <w:spacing w:line="360" w:lineRule="auto"/>
        <w:ind w:firstLine="435"/>
        <w:outlineLvl w:val="2"/>
        <w:rPr>
          <w:rFonts w:asciiTheme="minorEastAsia" w:hAnsiTheme="minorEastAsia" w:eastAsiaTheme="minorEastAsia"/>
          <w:b/>
          <w:color w:val="auto"/>
          <w:sz w:val="24"/>
          <w:highlight w:val="none"/>
        </w:rPr>
      </w:pPr>
    </w:p>
    <w:p w14:paraId="5E417969">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en-US" w:eastAsia="zh-CN"/>
        </w:rPr>
        <w:t>盖章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5891518D">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7BF48D49">
      <w:pPr>
        <w:spacing w:line="360" w:lineRule="auto"/>
        <w:ind w:firstLine="435"/>
        <w:outlineLvl w:val="2"/>
        <w:rPr>
          <w:rFonts w:asciiTheme="minorEastAsia" w:hAnsiTheme="minorEastAsia" w:eastAsiaTheme="minorEastAsia"/>
          <w:b/>
          <w:color w:val="auto"/>
          <w:sz w:val="24"/>
          <w:highlight w:val="none"/>
        </w:rPr>
      </w:pPr>
    </w:p>
    <w:p w14:paraId="731F578A">
      <w:pPr>
        <w:spacing w:line="360" w:lineRule="auto"/>
        <w:ind w:firstLine="435"/>
        <w:outlineLvl w:val="2"/>
        <w:rPr>
          <w:rFonts w:asciiTheme="minorEastAsia" w:hAnsiTheme="minorEastAsia" w:eastAsiaTheme="minorEastAsia"/>
          <w:b/>
          <w:color w:val="auto"/>
          <w:sz w:val="24"/>
          <w:highlight w:val="none"/>
        </w:rPr>
      </w:pPr>
    </w:p>
    <w:p w14:paraId="0223C12C">
      <w:pPr>
        <w:spacing w:line="360" w:lineRule="auto"/>
        <w:ind w:firstLine="435"/>
        <w:outlineLvl w:val="2"/>
        <w:rPr>
          <w:rFonts w:asciiTheme="minorEastAsia" w:hAnsiTheme="minorEastAsia" w:eastAsiaTheme="minorEastAsia"/>
          <w:b/>
          <w:color w:val="auto"/>
          <w:sz w:val="24"/>
          <w:highlight w:val="none"/>
        </w:rPr>
      </w:pPr>
    </w:p>
    <w:p w14:paraId="5939AE2E">
      <w:pPr>
        <w:spacing w:line="360" w:lineRule="auto"/>
        <w:ind w:firstLine="435"/>
        <w:outlineLvl w:val="2"/>
        <w:rPr>
          <w:rFonts w:asciiTheme="minorEastAsia" w:hAnsiTheme="minorEastAsia" w:eastAsiaTheme="minorEastAsia"/>
          <w:b/>
          <w:color w:val="auto"/>
          <w:sz w:val="24"/>
          <w:highlight w:val="none"/>
        </w:rPr>
      </w:pPr>
    </w:p>
    <w:p w14:paraId="25B44FFE">
      <w:pPr>
        <w:spacing w:line="360" w:lineRule="auto"/>
        <w:ind w:firstLine="435"/>
        <w:outlineLvl w:val="2"/>
        <w:rPr>
          <w:rFonts w:asciiTheme="minorEastAsia" w:hAnsiTheme="minorEastAsia" w:eastAsiaTheme="minorEastAsia"/>
          <w:b/>
          <w:color w:val="auto"/>
          <w:sz w:val="24"/>
          <w:highlight w:val="none"/>
        </w:rPr>
      </w:pPr>
    </w:p>
    <w:p w14:paraId="64BEF3A6">
      <w:pPr>
        <w:spacing w:line="360" w:lineRule="auto"/>
        <w:ind w:firstLine="435"/>
        <w:outlineLvl w:val="2"/>
        <w:rPr>
          <w:rFonts w:asciiTheme="minorEastAsia" w:hAnsiTheme="minorEastAsia" w:eastAsiaTheme="minorEastAsia"/>
          <w:b/>
          <w:color w:val="auto"/>
          <w:sz w:val="24"/>
          <w:highlight w:val="none"/>
        </w:rPr>
      </w:pPr>
    </w:p>
    <w:p w14:paraId="25CDDCBF">
      <w:pPr>
        <w:spacing w:line="360" w:lineRule="auto"/>
        <w:ind w:firstLine="435"/>
        <w:outlineLvl w:val="2"/>
        <w:rPr>
          <w:rFonts w:asciiTheme="minorEastAsia" w:hAnsiTheme="minorEastAsia" w:eastAsiaTheme="minorEastAsia"/>
          <w:b/>
          <w:color w:val="auto"/>
          <w:sz w:val="24"/>
          <w:highlight w:val="none"/>
        </w:rPr>
      </w:pPr>
    </w:p>
    <w:p w14:paraId="1FA8C195">
      <w:pPr>
        <w:spacing w:line="360" w:lineRule="auto"/>
        <w:ind w:firstLine="435"/>
        <w:outlineLvl w:val="2"/>
        <w:rPr>
          <w:rFonts w:asciiTheme="minorEastAsia" w:hAnsiTheme="minorEastAsia" w:eastAsiaTheme="minorEastAsia"/>
          <w:b/>
          <w:color w:val="auto"/>
          <w:sz w:val="24"/>
          <w:highlight w:val="none"/>
        </w:rPr>
      </w:pPr>
    </w:p>
    <w:p w14:paraId="46FFB35C">
      <w:pPr>
        <w:spacing w:line="360" w:lineRule="auto"/>
        <w:ind w:firstLine="435"/>
        <w:outlineLvl w:val="2"/>
        <w:rPr>
          <w:rFonts w:asciiTheme="minorEastAsia" w:hAnsiTheme="minorEastAsia" w:eastAsiaTheme="minorEastAsia"/>
          <w:b/>
          <w:color w:val="auto"/>
          <w:sz w:val="24"/>
          <w:highlight w:val="none"/>
        </w:rPr>
      </w:pPr>
    </w:p>
    <w:p w14:paraId="0380F583">
      <w:pPr>
        <w:spacing w:line="360" w:lineRule="auto"/>
        <w:ind w:firstLine="435"/>
        <w:outlineLvl w:val="2"/>
        <w:rPr>
          <w:rFonts w:asciiTheme="minorEastAsia" w:hAnsiTheme="minorEastAsia" w:eastAsiaTheme="minorEastAsia"/>
          <w:b/>
          <w:color w:val="auto"/>
          <w:sz w:val="24"/>
          <w:highlight w:val="none"/>
        </w:rPr>
      </w:pPr>
    </w:p>
    <w:p w14:paraId="3C58300C">
      <w:pPr>
        <w:spacing w:line="360" w:lineRule="auto"/>
        <w:ind w:firstLine="435"/>
        <w:outlineLvl w:val="2"/>
        <w:rPr>
          <w:rFonts w:asciiTheme="minorEastAsia" w:hAnsiTheme="minorEastAsia" w:eastAsiaTheme="minorEastAsia"/>
          <w:b/>
          <w:color w:val="auto"/>
          <w:sz w:val="24"/>
          <w:highlight w:val="none"/>
        </w:rPr>
      </w:pPr>
    </w:p>
    <w:p w14:paraId="7AD00BA8">
      <w:pPr>
        <w:spacing w:line="360" w:lineRule="auto"/>
        <w:ind w:firstLine="435"/>
        <w:outlineLvl w:val="2"/>
        <w:rPr>
          <w:rFonts w:asciiTheme="minorEastAsia" w:hAnsiTheme="minorEastAsia" w:eastAsiaTheme="minorEastAsia"/>
          <w:b/>
          <w:color w:val="auto"/>
          <w:sz w:val="24"/>
          <w:highlight w:val="none"/>
        </w:rPr>
      </w:pPr>
    </w:p>
    <w:p w14:paraId="6CF0514E">
      <w:pPr>
        <w:spacing w:line="360" w:lineRule="auto"/>
        <w:ind w:firstLine="435"/>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5.2</w:t>
      </w:r>
      <w:r>
        <w:rPr>
          <w:rFonts w:hint="eastAsia" w:asciiTheme="minorEastAsia" w:hAnsiTheme="minorEastAsia" w:eastAsiaTheme="minorEastAsia"/>
          <w:b/>
          <w:color w:val="auto"/>
          <w:sz w:val="24"/>
          <w:highlight w:val="none"/>
        </w:rPr>
        <w:t>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700"/>
        <w:gridCol w:w="3185"/>
        <w:gridCol w:w="2648"/>
        <w:gridCol w:w="933"/>
      </w:tblGrid>
      <w:tr w14:paraId="0EAD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2" w:type="pct"/>
            <w:vAlign w:val="center"/>
          </w:tcPr>
          <w:p w14:paraId="415FCCF5">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915" w:type="pct"/>
            <w:vAlign w:val="center"/>
          </w:tcPr>
          <w:p w14:paraId="693AD1A9">
            <w:pPr>
              <w:pStyle w:val="12"/>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货物名称</w:t>
            </w:r>
          </w:p>
        </w:tc>
        <w:tc>
          <w:tcPr>
            <w:tcW w:w="1714" w:type="pct"/>
            <w:vAlign w:val="center"/>
          </w:tcPr>
          <w:p w14:paraId="3290B0FC">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询价</w:t>
            </w:r>
            <w:r>
              <w:rPr>
                <w:rFonts w:hint="eastAsia" w:cs="Wingdings" w:asciiTheme="minorEastAsia" w:hAnsiTheme="minorEastAsia"/>
                <w:b/>
                <w:color w:val="auto"/>
                <w:sz w:val="24"/>
                <w:highlight w:val="none"/>
                <w:lang w:val="en-US" w:eastAsia="zh-CN"/>
              </w:rPr>
              <w:t>采购文件</w:t>
            </w:r>
            <w:r>
              <w:rPr>
                <w:rFonts w:hint="eastAsia" w:cs="Wingdings" w:asciiTheme="minorEastAsia" w:hAnsiTheme="minorEastAsia"/>
                <w:b/>
                <w:color w:val="auto"/>
                <w:sz w:val="24"/>
                <w:highlight w:val="none"/>
              </w:rPr>
              <w:t>规定的技术参数要求</w:t>
            </w:r>
          </w:p>
        </w:tc>
        <w:tc>
          <w:tcPr>
            <w:tcW w:w="1425" w:type="pct"/>
            <w:vAlign w:val="center"/>
          </w:tcPr>
          <w:p w14:paraId="787D00F3">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所投产品的品牌、型号及技术参数</w:t>
            </w:r>
          </w:p>
        </w:tc>
        <w:tc>
          <w:tcPr>
            <w:tcW w:w="502" w:type="pct"/>
            <w:vAlign w:val="center"/>
          </w:tcPr>
          <w:p w14:paraId="0CEA6EF9">
            <w:pPr>
              <w:pStyle w:val="12"/>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5F8B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Align w:val="center"/>
          </w:tcPr>
          <w:p w14:paraId="6394A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heme="minorEastAsia" w:hAnsiTheme="minorEastAsia" w:eastAsiaTheme="minorEastAsia"/>
                <w:color w:val="auto"/>
                <w:sz w:val="24"/>
                <w:highlight w:val="none"/>
              </w:rPr>
            </w:pPr>
            <w:r>
              <w:rPr>
                <w:rFonts w:hint="eastAsia" w:ascii="宋体" w:hAnsi="宋体" w:eastAsia="宋体" w:cs="宋体"/>
                <w:i w:val="0"/>
                <w:iCs w:val="0"/>
                <w:color w:val="auto"/>
                <w:sz w:val="21"/>
                <w:szCs w:val="21"/>
                <w:highlight w:val="none"/>
                <w:u w:val="none"/>
                <w:lang w:val="en-US" w:eastAsia="zh-CN"/>
              </w:rPr>
              <w:t>1</w:t>
            </w:r>
          </w:p>
        </w:tc>
        <w:tc>
          <w:tcPr>
            <w:tcW w:w="915" w:type="pct"/>
            <w:vAlign w:val="center"/>
          </w:tcPr>
          <w:p w14:paraId="1316789D">
            <w:pPr>
              <w:jc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高压水压软管</w:t>
            </w:r>
          </w:p>
        </w:tc>
        <w:tc>
          <w:tcPr>
            <w:tcW w:w="1714" w:type="pct"/>
            <w:vAlign w:val="center"/>
          </w:tcPr>
          <w:p w14:paraId="3C2AC45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压力承载：0-10kg，50管径，黑色</w:t>
            </w:r>
          </w:p>
        </w:tc>
        <w:tc>
          <w:tcPr>
            <w:tcW w:w="1425" w:type="pct"/>
            <w:vAlign w:val="center"/>
          </w:tcPr>
          <w:p w14:paraId="4B9C1D50">
            <w:pPr>
              <w:jc w:val="center"/>
              <w:rPr>
                <w:rFonts w:asciiTheme="minorEastAsia" w:hAnsiTheme="minorEastAsia" w:eastAsiaTheme="minorEastAsia"/>
                <w:color w:val="auto"/>
                <w:sz w:val="24"/>
                <w:highlight w:val="none"/>
              </w:rPr>
            </w:pPr>
          </w:p>
        </w:tc>
        <w:tc>
          <w:tcPr>
            <w:tcW w:w="502" w:type="pct"/>
            <w:vAlign w:val="center"/>
          </w:tcPr>
          <w:p w14:paraId="27683712">
            <w:pPr>
              <w:jc w:val="center"/>
              <w:rPr>
                <w:rFonts w:asciiTheme="minorEastAsia" w:hAnsiTheme="minorEastAsia" w:eastAsiaTheme="minorEastAsia"/>
                <w:color w:val="auto"/>
                <w:sz w:val="24"/>
                <w:highlight w:val="none"/>
              </w:rPr>
            </w:pPr>
          </w:p>
        </w:tc>
      </w:tr>
      <w:tr w14:paraId="793A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Merge w:val="restart"/>
            <w:vAlign w:val="center"/>
          </w:tcPr>
          <w:p w14:paraId="5F2895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heme="minorEastAsia" w:hAnsiTheme="minorEastAsia" w:eastAsiaTheme="minorEastAsia"/>
                <w:color w:val="auto"/>
                <w:sz w:val="24"/>
                <w:highlight w:val="none"/>
              </w:rPr>
            </w:pPr>
            <w:r>
              <w:rPr>
                <w:rFonts w:hint="eastAsia" w:ascii="宋体" w:hAnsi="宋体" w:eastAsia="宋体" w:cs="宋体"/>
                <w:i w:val="0"/>
                <w:iCs w:val="0"/>
                <w:color w:val="auto"/>
                <w:sz w:val="21"/>
                <w:szCs w:val="21"/>
                <w:highlight w:val="none"/>
                <w:u w:val="none"/>
                <w:lang w:val="en-US" w:eastAsia="zh-CN"/>
              </w:rPr>
              <w:t>2</w:t>
            </w:r>
          </w:p>
        </w:tc>
        <w:tc>
          <w:tcPr>
            <w:tcW w:w="915" w:type="pct"/>
            <w:vMerge w:val="restart"/>
            <w:vAlign w:val="center"/>
          </w:tcPr>
          <w:p w14:paraId="576D243C">
            <w:pPr>
              <w:jc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提升泵</w:t>
            </w:r>
          </w:p>
        </w:tc>
        <w:tc>
          <w:tcPr>
            <w:tcW w:w="1714" w:type="pct"/>
            <w:vAlign w:val="center"/>
          </w:tcPr>
          <w:p w14:paraId="550B07B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0.75kw/380v/50管径</w:t>
            </w:r>
          </w:p>
        </w:tc>
        <w:tc>
          <w:tcPr>
            <w:tcW w:w="1425" w:type="pct"/>
            <w:vAlign w:val="center"/>
          </w:tcPr>
          <w:p w14:paraId="34F99738">
            <w:pPr>
              <w:jc w:val="center"/>
              <w:rPr>
                <w:rFonts w:asciiTheme="minorEastAsia" w:hAnsiTheme="minorEastAsia" w:eastAsiaTheme="minorEastAsia"/>
                <w:color w:val="auto"/>
                <w:sz w:val="24"/>
                <w:highlight w:val="none"/>
              </w:rPr>
            </w:pPr>
          </w:p>
        </w:tc>
        <w:tc>
          <w:tcPr>
            <w:tcW w:w="502" w:type="pct"/>
            <w:vAlign w:val="center"/>
          </w:tcPr>
          <w:p w14:paraId="4B6DA240">
            <w:pPr>
              <w:jc w:val="center"/>
              <w:rPr>
                <w:rFonts w:asciiTheme="minorEastAsia" w:hAnsiTheme="minorEastAsia" w:eastAsiaTheme="minorEastAsia"/>
                <w:color w:val="auto"/>
                <w:sz w:val="24"/>
                <w:highlight w:val="none"/>
              </w:rPr>
            </w:pPr>
          </w:p>
        </w:tc>
      </w:tr>
      <w:tr w14:paraId="628A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Merge w:val="continue"/>
            <w:vAlign w:val="center"/>
          </w:tcPr>
          <w:p w14:paraId="54506AA6">
            <w:pPr>
              <w:jc w:val="center"/>
              <w:rPr>
                <w:rFonts w:asciiTheme="minorEastAsia" w:hAnsiTheme="minorEastAsia" w:eastAsiaTheme="minorEastAsia"/>
                <w:color w:val="auto"/>
                <w:sz w:val="24"/>
                <w:highlight w:val="none"/>
              </w:rPr>
            </w:pPr>
          </w:p>
        </w:tc>
        <w:tc>
          <w:tcPr>
            <w:tcW w:w="915" w:type="pct"/>
            <w:vMerge w:val="continue"/>
            <w:vAlign w:val="center"/>
          </w:tcPr>
          <w:p w14:paraId="2C1882D1">
            <w:pPr>
              <w:jc w:val="center"/>
              <w:rPr>
                <w:rFonts w:asciiTheme="minorEastAsia" w:hAnsiTheme="minorEastAsia" w:eastAsiaTheme="minorEastAsia"/>
                <w:color w:val="auto"/>
                <w:sz w:val="24"/>
                <w:highlight w:val="none"/>
              </w:rPr>
            </w:pPr>
          </w:p>
        </w:tc>
        <w:tc>
          <w:tcPr>
            <w:tcW w:w="1714" w:type="pct"/>
            <w:vAlign w:val="center"/>
          </w:tcPr>
          <w:p w14:paraId="6685665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1.1kw/380v/50管径</w:t>
            </w:r>
          </w:p>
        </w:tc>
        <w:tc>
          <w:tcPr>
            <w:tcW w:w="1425" w:type="pct"/>
            <w:vAlign w:val="center"/>
          </w:tcPr>
          <w:p w14:paraId="09E1BB91">
            <w:pPr>
              <w:pStyle w:val="53"/>
              <w:jc w:val="center"/>
              <w:rPr>
                <w:rFonts w:asciiTheme="minorEastAsia" w:hAnsiTheme="minorEastAsia" w:eastAsiaTheme="minorEastAsia"/>
                <w:color w:val="auto"/>
                <w:highlight w:val="none"/>
              </w:rPr>
            </w:pPr>
          </w:p>
        </w:tc>
        <w:tc>
          <w:tcPr>
            <w:tcW w:w="502" w:type="pct"/>
            <w:vAlign w:val="center"/>
          </w:tcPr>
          <w:p w14:paraId="3659FA32">
            <w:pPr>
              <w:jc w:val="center"/>
              <w:rPr>
                <w:rFonts w:asciiTheme="minorEastAsia" w:hAnsiTheme="minorEastAsia" w:eastAsiaTheme="minorEastAsia"/>
                <w:color w:val="auto"/>
                <w:sz w:val="24"/>
                <w:highlight w:val="none"/>
              </w:rPr>
            </w:pPr>
          </w:p>
        </w:tc>
      </w:tr>
      <w:tr w14:paraId="379D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Merge w:val="restart"/>
            <w:vAlign w:val="center"/>
          </w:tcPr>
          <w:p w14:paraId="11477C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heme="minorEastAsia" w:hAnsiTheme="minorEastAsia" w:eastAsiaTheme="minorEastAsia"/>
                <w:color w:val="auto"/>
                <w:sz w:val="24"/>
                <w:highlight w:val="none"/>
              </w:rPr>
            </w:pPr>
            <w:r>
              <w:rPr>
                <w:rFonts w:hint="eastAsia" w:ascii="宋体" w:hAnsi="宋体" w:eastAsia="宋体" w:cs="宋体"/>
                <w:i w:val="0"/>
                <w:iCs w:val="0"/>
                <w:color w:val="auto"/>
                <w:sz w:val="21"/>
                <w:szCs w:val="21"/>
                <w:highlight w:val="none"/>
                <w:u w:val="none"/>
                <w:lang w:val="en-US" w:eastAsia="zh-CN"/>
              </w:rPr>
              <w:t>3</w:t>
            </w:r>
          </w:p>
        </w:tc>
        <w:tc>
          <w:tcPr>
            <w:tcW w:w="915" w:type="pct"/>
            <w:vMerge w:val="restart"/>
            <w:vAlign w:val="center"/>
          </w:tcPr>
          <w:p w14:paraId="6B015D9B">
            <w:pPr>
              <w:jc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自吸离心泵</w:t>
            </w:r>
          </w:p>
        </w:tc>
        <w:tc>
          <w:tcPr>
            <w:tcW w:w="1714" w:type="pct"/>
            <w:vAlign w:val="center"/>
          </w:tcPr>
          <w:p w14:paraId="16084A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2.2kw/380v/50管径；扬程50m,吸程8-10m</w:t>
            </w:r>
          </w:p>
        </w:tc>
        <w:tc>
          <w:tcPr>
            <w:tcW w:w="1425" w:type="pct"/>
            <w:vAlign w:val="center"/>
          </w:tcPr>
          <w:p w14:paraId="7702723D">
            <w:pPr>
              <w:pStyle w:val="53"/>
              <w:jc w:val="center"/>
              <w:rPr>
                <w:rFonts w:asciiTheme="minorEastAsia" w:hAnsiTheme="minorEastAsia" w:eastAsiaTheme="minorEastAsia"/>
                <w:color w:val="auto"/>
                <w:highlight w:val="none"/>
              </w:rPr>
            </w:pPr>
          </w:p>
        </w:tc>
        <w:tc>
          <w:tcPr>
            <w:tcW w:w="502" w:type="pct"/>
            <w:vAlign w:val="center"/>
          </w:tcPr>
          <w:p w14:paraId="0246B76E">
            <w:pPr>
              <w:jc w:val="center"/>
              <w:rPr>
                <w:rFonts w:asciiTheme="minorEastAsia" w:hAnsiTheme="minorEastAsia" w:eastAsiaTheme="minorEastAsia"/>
                <w:color w:val="auto"/>
                <w:sz w:val="24"/>
                <w:highlight w:val="none"/>
              </w:rPr>
            </w:pPr>
          </w:p>
        </w:tc>
      </w:tr>
      <w:tr w14:paraId="3C88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Merge w:val="continue"/>
            <w:vAlign w:val="center"/>
          </w:tcPr>
          <w:p w14:paraId="25877E17">
            <w:pPr>
              <w:jc w:val="center"/>
              <w:rPr>
                <w:rFonts w:hint="eastAsia" w:asciiTheme="minorEastAsia" w:hAnsiTheme="minorEastAsia" w:eastAsiaTheme="minorEastAsia"/>
                <w:color w:val="auto"/>
                <w:sz w:val="24"/>
                <w:highlight w:val="none"/>
              </w:rPr>
            </w:pPr>
          </w:p>
        </w:tc>
        <w:tc>
          <w:tcPr>
            <w:tcW w:w="915" w:type="pct"/>
            <w:vMerge w:val="continue"/>
            <w:vAlign w:val="center"/>
          </w:tcPr>
          <w:p w14:paraId="429AD93A">
            <w:pPr>
              <w:jc w:val="center"/>
              <w:rPr>
                <w:rFonts w:asciiTheme="minorEastAsia" w:hAnsiTheme="minorEastAsia" w:eastAsiaTheme="minorEastAsia"/>
                <w:color w:val="auto"/>
                <w:sz w:val="24"/>
                <w:highlight w:val="none"/>
              </w:rPr>
            </w:pPr>
          </w:p>
        </w:tc>
        <w:tc>
          <w:tcPr>
            <w:tcW w:w="1714" w:type="pct"/>
            <w:vAlign w:val="center"/>
          </w:tcPr>
          <w:p w14:paraId="271B58B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1.5kw/220~380v/32管径，扬程30m,吸程8-10m</w:t>
            </w:r>
          </w:p>
        </w:tc>
        <w:tc>
          <w:tcPr>
            <w:tcW w:w="1425" w:type="pct"/>
            <w:vAlign w:val="center"/>
          </w:tcPr>
          <w:p w14:paraId="24A12C2E">
            <w:pPr>
              <w:pStyle w:val="53"/>
              <w:jc w:val="center"/>
              <w:rPr>
                <w:rFonts w:asciiTheme="minorEastAsia" w:hAnsiTheme="minorEastAsia" w:eastAsiaTheme="minorEastAsia"/>
                <w:color w:val="auto"/>
                <w:highlight w:val="none"/>
              </w:rPr>
            </w:pPr>
          </w:p>
        </w:tc>
        <w:tc>
          <w:tcPr>
            <w:tcW w:w="502" w:type="pct"/>
            <w:vAlign w:val="center"/>
          </w:tcPr>
          <w:p w14:paraId="5443A80F">
            <w:pPr>
              <w:jc w:val="center"/>
              <w:rPr>
                <w:rFonts w:asciiTheme="minorEastAsia" w:hAnsiTheme="minorEastAsia" w:eastAsiaTheme="minorEastAsia"/>
                <w:color w:val="auto"/>
                <w:sz w:val="24"/>
                <w:highlight w:val="none"/>
              </w:rPr>
            </w:pPr>
          </w:p>
        </w:tc>
      </w:tr>
      <w:tr w14:paraId="15E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Merge w:val="restart"/>
            <w:vAlign w:val="center"/>
          </w:tcPr>
          <w:p w14:paraId="32A061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olor w:val="auto"/>
                <w:sz w:val="24"/>
                <w:highlight w:val="none"/>
              </w:rPr>
            </w:pPr>
            <w:r>
              <w:rPr>
                <w:rFonts w:hint="eastAsia" w:ascii="宋体" w:hAnsi="宋体" w:eastAsia="宋体" w:cs="宋体"/>
                <w:i w:val="0"/>
                <w:iCs w:val="0"/>
                <w:color w:val="auto"/>
                <w:sz w:val="21"/>
                <w:szCs w:val="21"/>
                <w:highlight w:val="none"/>
                <w:u w:val="none"/>
                <w:lang w:val="en-US" w:eastAsia="zh-CN"/>
              </w:rPr>
              <w:t>4</w:t>
            </w:r>
          </w:p>
        </w:tc>
        <w:tc>
          <w:tcPr>
            <w:tcW w:w="915" w:type="pct"/>
            <w:vMerge w:val="restart"/>
            <w:vAlign w:val="center"/>
          </w:tcPr>
          <w:p w14:paraId="3C9C9174">
            <w:pPr>
              <w:jc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清水泵</w:t>
            </w:r>
          </w:p>
        </w:tc>
        <w:tc>
          <w:tcPr>
            <w:tcW w:w="1714" w:type="pct"/>
            <w:vAlign w:val="center"/>
          </w:tcPr>
          <w:p w14:paraId="531891E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2.2kw/380v/50管径</w:t>
            </w:r>
          </w:p>
        </w:tc>
        <w:tc>
          <w:tcPr>
            <w:tcW w:w="1425" w:type="pct"/>
            <w:vAlign w:val="center"/>
          </w:tcPr>
          <w:p w14:paraId="0749727C">
            <w:pPr>
              <w:pStyle w:val="53"/>
              <w:jc w:val="center"/>
              <w:rPr>
                <w:rFonts w:asciiTheme="minorEastAsia" w:hAnsiTheme="minorEastAsia" w:eastAsiaTheme="minorEastAsia"/>
                <w:color w:val="auto"/>
                <w:highlight w:val="none"/>
              </w:rPr>
            </w:pPr>
          </w:p>
        </w:tc>
        <w:tc>
          <w:tcPr>
            <w:tcW w:w="502" w:type="pct"/>
            <w:vAlign w:val="center"/>
          </w:tcPr>
          <w:p w14:paraId="4E993FEF">
            <w:pPr>
              <w:jc w:val="center"/>
              <w:rPr>
                <w:rFonts w:asciiTheme="minorEastAsia" w:hAnsiTheme="minorEastAsia" w:eastAsiaTheme="minorEastAsia"/>
                <w:color w:val="auto"/>
                <w:sz w:val="24"/>
                <w:highlight w:val="none"/>
              </w:rPr>
            </w:pPr>
          </w:p>
        </w:tc>
      </w:tr>
      <w:tr w14:paraId="749E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Merge w:val="continue"/>
            <w:vAlign w:val="center"/>
          </w:tcPr>
          <w:p w14:paraId="355E1BB6">
            <w:pPr>
              <w:jc w:val="center"/>
              <w:rPr>
                <w:rFonts w:hint="eastAsia" w:asciiTheme="minorEastAsia" w:hAnsiTheme="minorEastAsia" w:eastAsiaTheme="minorEastAsia"/>
                <w:color w:val="auto"/>
                <w:sz w:val="24"/>
                <w:highlight w:val="none"/>
              </w:rPr>
            </w:pPr>
          </w:p>
        </w:tc>
        <w:tc>
          <w:tcPr>
            <w:tcW w:w="915" w:type="pct"/>
            <w:vMerge w:val="continue"/>
            <w:vAlign w:val="center"/>
          </w:tcPr>
          <w:p w14:paraId="2080DD7E">
            <w:pPr>
              <w:jc w:val="center"/>
              <w:rPr>
                <w:rFonts w:asciiTheme="minorEastAsia" w:hAnsiTheme="minorEastAsia" w:eastAsiaTheme="minorEastAsia"/>
                <w:color w:val="auto"/>
                <w:sz w:val="24"/>
                <w:highlight w:val="none"/>
              </w:rPr>
            </w:pPr>
          </w:p>
        </w:tc>
        <w:tc>
          <w:tcPr>
            <w:tcW w:w="1714" w:type="pct"/>
            <w:vAlign w:val="center"/>
          </w:tcPr>
          <w:p w14:paraId="6BB1F1E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3kw/380v/50管径</w:t>
            </w:r>
          </w:p>
        </w:tc>
        <w:tc>
          <w:tcPr>
            <w:tcW w:w="1425" w:type="pct"/>
            <w:vAlign w:val="center"/>
          </w:tcPr>
          <w:p w14:paraId="79488448">
            <w:pPr>
              <w:pStyle w:val="53"/>
              <w:jc w:val="center"/>
              <w:rPr>
                <w:rFonts w:asciiTheme="minorEastAsia" w:hAnsiTheme="minorEastAsia" w:eastAsiaTheme="minorEastAsia"/>
                <w:color w:val="auto"/>
                <w:highlight w:val="none"/>
              </w:rPr>
            </w:pPr>
          </w:p>
        </w:tc>
        <w:tc>
          <w:tcPr>
            <w:tcW w:w="502" w:type="pct"/>
            <w:vAlign w:val="center"/>
          </w:tcPr>
          <w:p w14:paraId="54CE16CE">
            <w:pPr>
              <w:jc w:val="center"/>
              <w:rPr>
                <w:rFonts w:asciiTheme="minorEastAsia" w:hAnsiTheme="minorEastAsia" w:eastAsiaTheme="minorEastAsia"/>
                <w:color w:val="auto"/>
                <w:sz w:val="24"/>
                <w:highlight w:val="none"/>
              </w:rPr>
            </w:pPr>
          </w:p>
        </w:tc>
      </w:tr>
      <w:tr w14:paraId="5D92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Align w:val="center"/>
          </w:tcPr>
          <w:p w14:paraId="3B04EA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olor w:val="auto"/>
                <w:sz w:val="24"/>
                <w:highlight w:val="none"/>
              </w:rPr>
            </w:pPr>
            <w:r>
              <w:rPr>
                <w:rFonts w:hint="eastAsia" w:ascii="宋体" w:hAnsi="宋体" w:eastAsia="宋体" w:cs="宋体"/>
                <w:i w:val="0"/>
                <w:iCs w:val="0"/>
                <w:color w:val="auto"/>
                <w:sz w:val="21"/>
                <w:szCs w:val="21"/>
                <w:highlight w:val="none"/>
                <w:u w:val="none"/>
                <w:lang w:val="en-US" w:eastAsia="zh-CN"/>
              </w:rPr>
              <w:t>5</w:t>
            </w:r>
          </w:p>
        </w:tc>
        <w:tc>
          <w:tcPr>
            <w:tcW w:w="915" w:type="pct"/>
            <w:vAlign w:val="center"/>
          </w:tcPr>
          <w:p w14:paraId="2F113805">
            <w:pPr>
              <w:jc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液位变送器</w:t>
            </w:r>
          </w:p>
        </w:tc>
        <w:tc>
          <w:tcPr>
            <w:tcW w:w="1714" w:type="pct"/>
            <w:vAlign w:val="center"/>
          </w:tcPr>
          <w:p w14:paraId="6AB924B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0-5m/4-20mA/24v</w:t>
            </w:r>
          </w:p>
        </w:tc>
        <w:tc>
          <w:tcPr>
            <w:tcW w:w="1425" w:type="pct"/>
            <w:vAlign w:val="center"/>
          </w:tcPr>
          <w:p w14:paraId="4F29AEB0">
            <w:pPr>
              <w:pStyle w:val="53"/>
              <w:jc w:val="center"/>
              <w:rPr>
                <w:rFonts w:asciiTheme="minorEastAsia" w:hAnsiTheme="minorEastAsia" w:eastAsiaTheme="minorEastAsia"/>
                <w:color w:val="auto"/>
                <w:highlight w:val="none"/>
              </w:rPr>
            </w:pPr>
          </w:p>
        </w:tc>
        <w:tc>
          <w:tcPr>
            <w:tcW w:w="502" w:type="pct"/>
            <w:vAlign w:val="center"/>
          </w:tcPr>
          <w:p w14:paraId="32FBAC60">
            <w:pPr>
              <w:jc w:val="center"/>
              <w:rPr>
                <w:rFonts w:asciiTheme="minorEastAsia" w:hAnsiTheme="minorEastAsia" w:eastAsiaTheme="minorEastAsia"/>
                <w:color w:val="auto"/>
                <w:sz w:val="24"/>
                <w:highlight w:val="none"/>
              </w:rPr>
            </w:pPr>
          </w:p>
        </w:tc>
      </w:tr>
      <w:tr w14:paraId="578E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Merge w:val="restart"/>
            <w:vAlign w:val="center"/>
          </w:tcPr>
          <w:p w14:paraId="0DA8B5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olor w:val="auto"/>
                <w:sz w:val="24"/>
                <w:highlight w:val="none"/>
              </w:rPr>
            </w:pPr>
            <w:r>
              <w:rPr>
                <w:rFonts w:hint="eastAsia" w:ascii="宋体" w:hAnsi="宋体" w:eastAsia="宋体" w:cs="宋体"/>
                <w:i w:val="0"/>
                <w:iCs w:val="0"/>
                <w:color w:val="auto"/>
                <w:sz w:val="21"/>
                <w:szCs w:val="21"/>
                <w:highlight w:val="none"/>
                <w:u w:val="none"/>
                <w:lang w:val="en-US" w:eastAsia="zh-CN"/>
              </w:rPr>
              <w:t>6</w:t>
            </w:r>
          </w:p>
        </w:tc>
        <w:tc>
          <w:tcPr>
            <w:tcW w:w="915" w:type="pct"/>
            <w:vMerge w:val="restart"/>
            <w:vAlign w:val="center"/>
          </w:tcPr>
          <w:p w14:paraId="0ABC568A">
            <w:pPr>
              <w:jc w:val="center"/>
              <w:rPr>
                <w:rFonts w:hint="eastAsia" w:ascii="宋体" w:hAnsi="宋体" w:eastAsia="宋体" w:cs="宋体"/>
                <w:color w:val="auto"/>
                <w:sz w:val="21"/>
                <w:szCs w:val="21"/>
                <w:highlight w:val="none"/>
                <w:vertAlign w:val="baseline"/>
                <w:lang w:val="en-US" w:eastAsia="zh-CN"/>
              </w:rPr>
            </w:pPr>
          </w:p>
          <w:p w14:paraId="44FDC7E1">
            <w:pPr>
              <w:jc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电磁阀</w:t>
            </w:r>
          </w:p>
        </w:tc>
        <w:tc>
          <w:tcPr>
            <w:tcW w:w="1714" w:type="pct"/>
            <w:vAlign w:val="center"/>
          </w:tcPr>
          <w:p w14:paraId="60B841F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DN25/220V；常闭型</w:t>
            </w:r>
          </w:p>
        </w:tc>
        <w:tc>
          <w:tcPr>
            <w:tcW w:w="1425" w:type="pct"/>
            <w:vAlign w:val="center"/>
          </w:tcPr>
          <w:p w14:paraId="67397D4D">
            <w:pPr>
              <w:pStyle w:val="53"/>
              <w:jc w:val="center"/>
              <w:rPr>
                <w:rFonts w:asciiTheme="minorEastAsia" w:hAnsiTheme="minorEastAsia" w:eastAsiaTheme="minorEastAsia"/>
                <w:color w:val="auto"/>
                <w:highlight w:val="none"/>
              </w:rPr>
            </w:pPr>
          </w:p>
        </w:tc>
        <w:tc>
          <w:tcPr>
            <w:tcW w:w="502" w:type="pct"/>
            <w:vAlign w:val="center"/>
          </w:tcPr>
          <w:p w14:paraId="03600FE0">
            <w:pPr>
              <w:jc w:val="center"/>
              <w:rPr>
                <w:rFonts w:asciiTheme="minorEastAsia" w:hAnsiTheme="minorEastAsia" w:eastAsiaTheme="minorEastAsia"/>
                <w:color w:val="auto"/>
                <w:sz w:val="24"/>
                <w:highlight w:val="none"/>
              </w:rPr>
            </w:pPr>
          </w:p>
        </w:tc>
      </w:tr>
      <w:tr w14:paraId="472E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Merge w:val="continue"/>
            <w:vAlign w:val="center"/>
          </w:tcPr>
          <w:p w14:paraId="2543384C">
            <w:pPr>
              <w:jc w:val="center"/>
              <w:rPr>
                <w:rFonts w:hint="eastAsia" w:asciiTheme="minorEastAsia" w:hAnsiTheme="minorEastAsia" w:eastAsiaTheme="minorEastAsia"/>
                <w:color w:val="auto"/>
                <w:sz w:val="24"/>
                <w:highlight w:val="none"/>
              </w:rPr>
            </w:pPr>
          </w:p>
        </w:tc>
        <w:tc>
          <w:tcPr>
            <w:tcW w:w="915" w:type="pct"/>
            <w:vMerge w:val="continue"/>
            <w:vAlign w:val="center"/>
          </w:tcPr>
          <w:p w14:paraId="7C870814">
            <w:pPr>
              <w:jc w:val="center"/>
              <w:rPr>
                <w:rFonts w:asciiTheme="minorEastAsia" w:hAnsiTheme="minorEastAsia" w:eastAsiaTheme="minorEastAsia"/>
                <w:color w:val="auto"/>
                <w:sz w:val="24"/>
                <w:highlight w:val="none"/>
              </w:rPr>
            </w:pPr>
          </w:p>
        </w:tc>
        <w:tc>
          <w:tcPr>
            <w:tcW w:w="1714" w:type="pct"/>
            <w:vAlign w:val="center"/>
          </w:tcPr>
          <w:p w14:paraId="49C77C7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DN40/220V；常闭型</w:t>
            </w:r>
          </w:p>
        </w:tc>
        <w:tc>
          <w:tcPr>
            <w:tcW w:w="1425" w:type="pct"/>
            <w:vAlign w:val="center"/>
          </w:tcPr>
          <w:p w14:paraId="1620ED13">
            <w:pPr>
              <w:pStyle w:val="53"/>
              <w:jc w:val="center"/>
              <w:rPr>
                <w:rFonts w:asciiTheme="minorEastAsia" w:hAnsiTheme="minorEastAsia" w:eastAsiaTheme="minorEastAsia"/>
                <w:color w:val="auto"/>
                <w:highlight w:val="none"/>
              </w:rPr>
            </w:pPr>
          </w:p>
        </w:tc>
        <w:tc>
          <w:tcPr>
            <w:tcW w:w="502" w:type="pct"/>
            <w:vAlign w:val="center"/>
          </w:tcPr>
          <w:p w14:paraId="39681BBE">
            <w:pPr>
              <w:jc w:val="center"/>
              <w:rPr>
                <w:rFonts w:asciiTheme="minorEastAsia" w:hAnsiTheme="minorEastAsia" w:eastAsiaTheme="minorEastAsia"/>
                <w:color w:val="auto"/>
                <w:sz w:val="24"/>
                <w:highlight w:val="none"/>
              </w:rPr>
            </w:pPr>
          </w:p>
        </w:tc>
      </w:tr>
      <w:tr w14:paraId="6753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Merge w:val="continue"/>
            <w:vAlign w:val="center"/>
          </w:tcPr>
          <w:p w14:paraId="2BFE2904">
            <w:pPr>
              <w:jc w:val="center"/>
              <w:rPr>
                <w:rFonts w:hint="eastAsia" w:asciiTheme="minorEastAsia" w:hAnsiTheme="minorEastAsia" w:eastAsiaTheme="minorEastAsia"/>
                <w:color w:val="auto"/>
                <w:sz w:val="24"/>
                <w:highlight w:val="none"/>
              </w:rPr>
            </w:pPr>
          </w:p>
        </w:tc>
        <w:tc>
          <w:tcPr>
            <w:tcW w:w="915" w:type="pct"/>
            <w:vMerge w:val="continue"/>
            <w:vAlign w:val="center"/>
          </w:tcPr>
          <w:p w14:paraId="03AD718B">
            <w:pPr>
              <w:jc w:val="center"/>
              <w:rPr>
                <w:rFonts w:hint="eastAsia" w:ascii="宋体" w:hAnsi="宋体" w:eastAsia="宋体" w:cs="宋体"/>
                <w:color w:val="auto"/>
                <w:sz w:val="21"/>
                <w:szCs w:val="21"/>
                <w:highlight w:val="none"/>
                <w:vertAlign w:val="baseline"/>
                <w:lang w:val="en-US" w:eastAsia="zh-CN"/>
              </w:rPr>
            </w:pPr>
          </w:p>
        </w:tc>
        <w:tc>
          <w:tcPr>
            <w:tcW w:w="1714" w:type="pct"/>
            <w:vAlign w:val="center"/>
          </w:tcPr>
          <w:p w14:paraId="3EA8DC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DN25/220V；常开型</w:t>
            </w:r>
          </w:p>
        </w:tc>
        <w:tc>
          <w:tcPr>
            <w:tcW w:w="1425" w:type="pct"/>
            <w:vAlign w:val="center"/>
          </w:tcPr>
          <w:p w14:paraId="21C349D2">
            <w:pPr>
              <w:pStyle w:val="53"/>
              <w:jc w:val="center"/>
              <w:rPr>
                <w:rFonts w:asciiTheme="minorEastAsia" w:hAnsiTheme="minorEastAsia" w:eastAsiaTheme="minorEastAsia"/>
                <w:color w:val="auto"/>
                <w:highlight w:val="none"/>
              </w:rPr>
            </w:pPr>
          </w:p>
        </w:tc>
        <w:tc>
          <w:tcPr>
            <w:tcW w:w="502" w:type="pct"/>
            <w:vAlign w:val="center"/>
          </w:tcPr>
          <w:p w14:paraId="47E440AE">
            <w:pPr>
              <w:jc w:val="center"/>
              <w:rPr>
                <w:rFonts w:asciiTheme="minorEastAsia" w:hAnsiTheme="minorEastAsia" w:eastAsiaTheme="minorEastAsia"/>
                <w:color w:val="auto"/>
                <w:sz w:val="24"/>
                <w:highlight w:val="none"/>
              </w:rPr>
            </w:pPr>
          </w:p>
        </w:tc>
      </w:tr>
      <w:tr w14:paraId="6FF4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Merge w:val="continue"/>
            <w:vAlign w:val="center"/>
          </w:tcPr>
          <w:p w14:paraId="6BB3EAA7">
            <w:pPr>
              <w:jc w:val="center"/>
              <w:rPr>
                <w:rFonts w:hint="eastAsia" w:asciiTheme="minorEastAsia" w:hAnsiTheme="minorEastAsia" w:eastAsiaTheme="minorEastAsia"/>
                <w:color w:val="auto"/>
                <w:sz w:val="24"/>
                <w:highlight w:val="none"/>
              </w:rPr>
            </w:pPr>
          </w:p>
        </w:tc>
        <w:tc>
          <w:tcPr>
            <w:tcW w:w="915" w:type="pct"/>
            <w:vMerge w:val="continue"/>
            <w:vAlign w:val="center"/>
          </w:tcPr>
          <w:p w14:paraId="4DD7E940">
            <w:pPr>
              <w:jc w:val="center"/>
              <w:rPr>
                <w:rFonts w:hint="eastAsia" w:ascii="宋体" w:hAnsi="宋体" w:eastAsia="宋体" w:cs="宋体"/>
                <w:color w:val="auto"/>
                <w:sz w:val="21"/>
                <w:szCs w:val="21"/>
                <w:highlight w:val="none"/>
                <w:vertAlign w:val="baseline"/>
                <w:lang w:val="en-US" w:eastAsia="zh-CN"/>
              </w:rPr>
            </w:pPr>
          </w:p>
        </w:tc>
        <w:tc>
          <w:tcPr>
            <w:tcW w:w="1714" w:type="pct"/>
            <w:vAlign w:val="center"/>
          </w:tcPr>
          <w:p w14:paraId="18557A4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DN40/220V；常开型</w:t>
            </w:r>
          </w:p>
        </w:tc>
        <w:tc>
          <w:tcPr>
            <w:tcW w:w="1425" w:type="pct"/>
            <w:vAlign w:val="center"/>
          </w:tcPr>
          <w:p w14:paraId="70478F36">
            <w:pPr>
              <w:pStyle w:val="53"/>
              <w:jc w:val="center"/>
              <w:rPr>
                <w:rFonts w:asciiTheme="minorEastAsia" w:hAnsiTheme="minorEastAsia" w:eastAsiaTheme="minorEastAsia"/>
                <w:color w:val="auto"/>
                <w:highlight w:val="none"/>
              </w:rPr>
            </w:pPr>
          </w:p>
        </w:tc>
        <w:tc>
          <w:tcPr>
            <w:tcW w:w="502" w:type="pct"/>
            <w:vAlign w:val="center"/>
          </w:tcPr>
          <w:p w14:paraId="78FFB196">
            <w:pPr>
              <w:jc w:val="center"/>
              <w:rPr>
                <w:rFonts w:asciiTheme="minorEastAsia" w:hAnsiTheme="minorEastAsia" w:eastAsiaTheme="minorEastAsia"/>
                <w:color w:val="auto"/>
                <w:sz w:val="24"/>
                <w:highlight w:val="none"/>
              </w:rPr>
            </w:pPr>
          </w:p>
        </w:tc>
      </w:tr>
      <w:tr w14:paraId="7425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Align w:val="center"/>
          </w:tcPr>
          <w:p w14:paraId="01199B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olor w:val="auto"/>
                <w:sz w:val="24"/>
                <w:highlight w:val="none"/>
              </w:rPr>
            </w:pPr>
            <w:r>
              <w:rPr>
                <w:rFonts w:hint="eastAsia" w:ascii="宋体" w:hAnsi="宋体" w:eastAsia="宋体" w:cs="宋体"/>
                <w:i w:val="0"/>
                <w:iCs w:val="0"/>
                <w:color w:val="auto"/>
                <w:sz w:val="21"/>
                <w:szCs w:val="21"/>
                <w:highlight w:val="none"/>
                <w:u w:val="none"/>
                <w:lang w:val="en-US" w:eastAsia="zh-CN"/>
              </w:rPr>
              <w:t>7</w:t>
            </w:r>
          </w:p>
        </w:tc>
        <w:tc>
          <w:tcPr>
            <w:tcW w:w="915" w:type="pct"/>
            <w:vAlign w:val="center"/>
          </w:tcPr>
          <w:p w14:paraId="51CA146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卧式铜片单向止回阀</w:t>
            </w:r>
          </w:p>
        </w:tc>
        <w:tc>
          <w:tcPr>
            <w:tcW w:w="1714" w:type="pct"/>
            <w:vAlign w:val="center"/>
          </w:tcPr>
          <w:p w14:paraId="6B4DA203">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DN40</w:t>
            </w:r>
          </w:p>
        </w:tc>
        <w:tc>
          <w:tcPr>
            <w:tcW w:w="1425" w:type="pct"/>
            <w:vAlign w:val="center"/>
          </w:tcPr>
          <w:p w14:paraId="0006D03F">
            <w:pPr>
              <w:pStyle w:val="53"/>
              <w:jc w:val="center"/>
              <w:rPr>
                <w:rFonts w:asciiTheme="minorEastAsia" w:hAnsiTheme="minorEastAsia" w:eastAsiaTheme="minorEastAsia"/>
                <w:color w:val="auto"/>
                <w:highlight w:val="none"/>
              </w:rPr>
            </w:pPr>
          </w:p>
        </w:tc>
        <w:tc>
          <w:tcPr>
            <w:tcW w:w="502" w:type="pct"/>
            <w:vAlign w:val="center"/>
          </w:tcPr>
          <w:p w14:paraId="35208158">
            <w:pPr>
              <w:jc w:val="center"/>
              <w:rPr>
                <w:rFonts w:asciiTheme="minorEastAsia" w:hAnsiTheme="minorEastAsia" w:eastAsiaTheme="minorEastAsia"/>
                <w:color w:val="auto"/>
                <w:sz w:val="24"/>
                <w:highlight w:val="none"/>
              </w:rPr>
            </w:pPr>
          </w:p>
        </w:tc>
      </w:tr>
      <w:tr w14:paraId="0D09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Align w:val="center"/>
          </w:tcPr>
          <w:p w14:paraId="4BF93B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olor w:val="auto"/>
                <w:sz w:val="24"/>
                <w:highlight w:val="none"/>
              </w:rPr>
            </w:pPr>
            <w:r>
              <w:rPr>
                <w:rFonts w:hint="eastAsia" w:ascii="宋体" w:hAnsi="宋体" w:eastAsia="宋体" w:cs="宋体"/>
                <w:i w:val="0"/>
                <w:iCs w:val="0"/>
                <w:color w:val="auto"/>
                <w:sz w:val="21"/>
                <w:szCs w:val="21"/>
                <w:highlight w:val="none"/>
                <w:u w:val="none"/>
                <w:lang w:val="en-US" w:eastAsia="zh-CN"/>
              </w:rPr>
              <w:t>8</w:t>
            </w:r>
          </w:p>
        </w:tc>
        <w:tc>
          <w:tcPr>
            <w:tcW w:w="915" w:type="pct"/>
            <w:vAlign w:val="center"/>
          </w:tcPr>
          <w:p w14:paraId="48D1858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压力变送开关</w:t>
            </w:r>
          </w:p>
        </w:tc>
        <w:tc>
          <w:tcPr>
            <w:tcW w:w="1714" w:type="pct"/>
            <w:vAlign w:val="center"/>
          </w:tcPr>
          <w:p w14:paraId="61FFB17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Theme="minorEastAsia" w:hAnsiTheme="minorEastAsia" w:eastAsiaTheme="minorEastAsia"/>
                <w:color w:val="auto"/>
                <w:sz w:val="24"/>
                <w:highlight w:val="none"/>
              </w:rPr>
            </w:pPr>
            <w:r>
              <w:rPr>
                <w:rFonts w:hint="eastAsia" w:ascii="宋体" w:hAnsi="宋体" w:eastAsia="宋体" w:cs="宋体"/>
                <w:color w:val="auto"/>
                <w:sz w:val="21"/>
                <w:szCs w:val="21"/>
                <w:highlight w:val="none"/>
                <w:vertAlign w:val="baseline"/>
                <w:lang w:val="en-US" w:eastAsia="zh-CN"/>
              </w:rPr>
              <w:t>0-1MPa/4-20mA/24V</w:t>
            </w:r>
          </w:p>
        </w:tc>
        <w:tc>
          <w:tcPr>
            <w:tcW w:w="1425" w:type="pct"/>
            <w:vAlign w:val="center"/>
          </w:tcPr>
          <w:p w14:paraId="485CB743">
            <w:pPr>
              <w:pStyle w:val="53"/>
              <w:jc w:val="center"/>
              <w:rPr>
                <w:rFonts w:asciiTheme="minorEastAsia" w:hAnsiTheme="minorEastAsia" w:eastAsiaTheme="minorEastAsia"/>
                <w:color w:val="auto"/>
                <w:highlight w:val="none"/>
              </w:rPr>
            </w:pPr>
          </w:p>
        </w:tc>
        <w:tc>
          <w:tcPr>
            <w:tcW w:w="502" w:type="pct"/>
            <w:vAlign w:val="center"/>
          </w:tcPr>
          <w:p w14:paraId="31165E6F">
            <w:pPr>
              <w:jc w:val="center"/>
              <w:rPr>
                <w:rFonts w:asciiTheme="minorEastAsia" w:hAnsiTheme="minorEastAsia" w:eastAsiaTheme="minorEastAsia"/>
                <w:color w:val="auto"/>
                <w:sz w:val="24"/>
                <w:highlight w:val="none"/>
              </w:rPr>
            </w:pPr>
          </w:p>
        </w:tc>
      </w:tr>
      <w:tr w14:paraId="3FA6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Align w:val="center"/>
          </w:tcPr>
          <w:p w14:paraId="5982ED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olor w:val="auto"/>
                <w:sz w:val="24"/>
                <w:highlight w:val="none"/>
              </w:rPr>
            </w:pPr>
            <w:r>
              <w:rPr>
                <w:rFonts w:hint="eastAsia" w:ascii="宋体" w:hAnsi="宋体" w:eastAsia="宋体" w:cs="宋体"/>
                <w:i w:val="0"/>
                <w:iCs w:val="0"/>
                <w:color w:val="auto"/>
                <w:sz w:val="21"/>
                <w:szCs w:val="21"/>
                <w:highlight w:val="none"/>
                <w:u w:val="none"/>
                <w:lang w:val="en-US" w:eastAsia="zh-CN"/>
              </w:rPr>
              <w:t>9</w:t>
            </w:r>
          </w:p>
        </w:tc>
        <w:tc>
          <w:tcPr>
            <w:tcW w:w="915" w:type="pct"/>
            <w:vAlign w:val="center"/>
          </w:tcPr>
          <w:p w14:paraId="112557B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20吨高压风机</w:t>
            </w:r>
          </w:p>
        </w:tc>
        <w:tc>
          <w:tcPr>
            <w:tcW w:w="1714" w:type="pct"/>
            <w:vAlign w:val="center"/>
          </w:tcPr>
          <w:p w14:paraId="7D387D9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电压380v/功率1.5kw/口径40/压力32（28）KPa/流量150m³/h</w:t>
            </w:r>
          </w:p>
        </w:tc>
        <w:tc>
          <w:tcPr>
            <w:tcW w:w="1425" w:type="pct"/>
            <w:vAlign w:val="center"/>
          </w:tcPr>
          <w:p w14:paraId="66697624">
            <w:pPr>
              <w:pStyle w:val="53"/>
              <w:jc w:val="center"/>
              <w:rPr>
                <w:rFonts w:asciiTheme="minorEastAsia" w:hAnsiTheme="minorEastAsia" w:eastAsiaTheme="minorEastAsia"/>
                <w:color w:val="auto"/>
                <w:highlight w:val="none"/>
              </w:rPr>
            </w:pPr>
          </w:p>
        </w:tc>
        <w:tc>
          <w:tcPr>
            <w:tcW w:w="502" w:type="pct"/>
            <w:vAlign w:val="center"/>
          </w:tcPr>
          <w:p w14:paraId="49D7D0EF">
            <w:pPr>
              <w:jc w:val="center"/>
              <w:rPr>
                <w:rFonts w:asciiTheme="minorEastAsia" w:hAnsiTheme="minorEastAsia" w:eastAsiaTheme="minorEastAsia"/>
                <w:color w:val="auto"/>
                <w:sz w:val="24"/>
                <w:highlight w:val="none"/>
              </w:rPr>
            </w:pPr>
          </w:p>
        </w:tc>
      </w:tr>
      <w:tr w14:paraId="1697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2" w:type="pct"/>
            <w:vAlign w:val="center"/>
          </w:tcPr>
          <w:p w14:paraId="3A0304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olor w:val="auto"/>
                <w:sz w:val="24"/>
                <w:highlight w:val="none"/>
              </w:rPr>
            </w:pPr>
            <w:r>
              <w:rPr>
                <w:rFonts w:hint="eastAsia" w:ascii="宋体" w:hAnsi="宋体" w:eastAsia="宋体" w:cs="宋体"/>
                <w:i w:val="0"/>
                <w:iCs w:val="0"/>
                <w:color w:val="auto"/>
                <w:sz w:val="21"/>
                <w:szCs w:val="21"/>
                <w:highlight w:val="none"/>
                <w:u w:val="none"/>
                <w:lang w:val="en-US" w:eastAsia="zh-CN"/>
              </w:rPr>
              <w:t>10</w:t>
            </w:r>
          </w:p>
        </w:tc>
        <w:tc>
          <w:tcPr>
            <w:tcW w:w="915" w:type="pct"/>
            <w:vAlign w:val="center"/>
          </w:tcPr>
          <w:p w14:paraId="13C43E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50吨高压风机</w:t>
            </w:r>
          </w:p>
        </w:tc>
        <w:tc>
          <w:tcPr>
            <w:tcW w:w="1714" w:type="pct"/>
            <w:vAlign w:val="center"/>
          </w:tcPr>
          <w:p w14:paraId="3603C7E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电压380v/功率2.2kw/口径63/压力42（36）KPa/流量230m³/h</w:t>
            </w:r>
          </w:p>
        </w:tc>
        <w:tc>
          <w:tcPr>
            <w:tcW w:w="1425" w:type="pct"/>
            <w:vAlign w:val="center"/>
          </w:tcPr>
          <w:p w14:paraId="509145C1">
            <w:pPr>
              <w:pStyle w:val="53"/>
              <w:jc w:val="center"/>
              <w:rPr>
                <w:rFonts w:asciiTheme="minorEastAsia" w:hAnsiTheme="minorEastAsia" w:eastAsiaTheme="minorEastAsia"/>
                <w:color w:val="auto"/>
                <w:highlight w:val="none"/>
              </w:rPr>
            </w:pPr>
          </w:p>
        </w:tc>
        <w:tc>
          <w:tcPr>
            <w:tcW w:w="502" w:type="pct"/>
            <w:vAlign w:val="center"/>
          </w:tcPr>
          <w:p w14:paraId="4503FFD9">
            <w:pPr>
              <w:jc w:val="center"/>
              <w:rPr>
                <w:rFonts w:asciiTheme="minorEastAsia" w:hAnsiTheme="minorEastAsia" w:eastAsiaTheme="minorEastAsia"/>
                <w:color w:val="auto"/>
                <w:sz w:val="24"/>
                <w:highlight w:val="none"/>
              </w:rPr>
            </w:pPr>
          </w:p>
        </w:tc>
      </w:tr>
    </w:tbl>
    <w:p w14:paraId="213B5337">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eastAsia="宋体"/>
          <w:color w:val="auto"/>
          <w:sz w:val="24"/>
          <w:szCs w:val="24"/>
          <w:highlight w:val="none"/>
          <w:lang w:val="en-US" w:eastAsia="zh-CN"/>
        </w:rPr>
        <w:t>盖章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01CD42F5">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u w:val="single"/>
        </w:rPr>
        <w:t xml:space="preserve">             </w:t>
      </w:r>
    </w:p>
    <w:p w14:paraId="6900DBB8">
      <w:pPr>
        <w:pStyle w:val="13"/>
        <w:spacing w:line="360" w:lineRule="auto"/>
        <w:rPr>
          <w:rFonts w:asciiTheme="minorEastAsia" w:hAnsiTheme="minorEastAsia" w:eastAsiaTheme="minorEastAsia"/>
          <w:b w:val="0"/>
          <w:color w:val="auto"/>
          <w:sz w:val="24"/>
          <w:highlight w:val="none"/>
        </w:rPr>
      </w:pPr>
    </w:p>
    <w:p w14:paraId="34E0C90E">
      <w:pPr>
        <w:pStyle w:val="13"/>
        <w:spacing w:line="360" w:lineRule="auto"/>
        <w:rPr>
          <w:rFonts w:asciiTheme="minorEastAsia" w:hAnsiTheme="minorEastAsia" w:eastAsiaTheme="minorEastAsia"/>
          <w:b w:val="0"/>
          <w:color w:val="auto"/>
          <w:sz w:val="24"/>
          <w:highlight w:val="none"/>
        </w:rPr>
      </w:pPr>
      <w:r>
        <w:rPr>
          <w:rFonts w:asciiTheme="minorEastAsia" w:hAnsiTheme="minorEastAsia" w:eastAsiaTheme="minorEastAsia"/>
          <w:b w:val="0"/>
          <w:color w:val="auto"/>
          <w:sz w:val="24"/>
          <w:highlight w:val="none"/>
        </w:rPr>
        <w:br w:type="page"/>
      </w:r>
    </w:p>
    <w:p w14:paraId="35DCC6ED">
      <w:pPr>
        <w:spacing w:line="360" w:lineRule="auto"/>
        <w:jc w:val="center"/>
        <w:outlineLvl w:val="1"/>
        <w:rPr>
          <w:rFonts w:asciiTheme="minorEastAsia" w:hAnsiTheme="minorEastAsia" w:eastAsiaTheme="minorEastAsia"/>
          <w:b/>
          <w:color w:val="auto"/>
          <w:sz w:val="24"/>
          <w:highlight w:val="none"/>
        </w:rPr>
      </w:pPr>
      <w:bookmarkStart w:id="73" w:name="_Toc10896"/>
      <w:bookmarkStart w:id="74" w:name="_Toc5390"/>
      <w:r>
        <w:rPr>
          <w:rFonts w:hint="eastAsia" w:asciiTheme="minorEastAsia" w:hAnsiTheme="minorEastAsia" w:eastAsiaTheme="minorEastAsia"/>
          <w:b/>
          <w:color w:val="auto"/>
          <w:sz w:val="24"/>
          <w:highlight w:val="none"/>
        </w:rPr>
        <w:t>六、</w:t>
      </w:r>
      <w:bookmarkEnd w:id="73"/>
      <w:bookmarkEnd w:id="74"/>
      <w:r>
        <w:rPr>
          <w:rFonts w:hint="eastAsia" w:asciiTheme="minorEastAsia" w:hAnsiTheme="minorEastAsia" w:eastAsiaTheme="minorEastAsia"/>
          <w:b/>
          <w:color w:val="auto"/>
          <w:sz w:val="24"/>
          <w:highlight w:val="none"/>
        </w:rPr>
        <w:t>诚信响应承诺书</w:t>
      </w:r>
    </w:p>
    <w:p w14:paraId="64D2B54D">
      <w:pPr>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本人以企业法定代表人的身份郑重承诺：</w:t>
      </w:r>
    </w:p>
    <w:p w14:paraId="1A4F41D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一、将遵循公开、公正和诚实信用的原则自愿参加</w:t>
      </w:r>
      <w:r>
        <w:rPr>
          <w:rFonts w:hint="eastAsia" w:ascii="宋体" w:hAnsi="宋体" w:eastAsia="宋体" w:cs="宋体"/>
          <w:color w:val="auto"/>
          <w:sz w:val="24"/>
          <w:szCs w:val="24"/>
          <w:highlight w:val="none"/>
          <w:u w:val="single"/>
        </w:rPr>
        <w:t xml:space="preserve">       （项目名称）         项目</w:t>
      </w:r>
      <w:r>
        <w:rPr>
          <w:rFonts w:hint="eastAsia" w:ascii="宋体" w:hAnsi="宋体" w:eastAsia="宋体" w:cs="宋体"/>
          <w:color w:val="auto"/>
          <w:sz w:val="24"/>
          <w:szCs w:val="24"/>
          <w:highlight w:val="none"/>
        </w:rPr>
        <w:t>的谈判，所提供的一切材料都是真实、有效、合法的；</w:t>
      </w:r>
    </w:p>
    <w:p w14:paraId="2CBF2F8B">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0F2636B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三、不出借、转让资质证书，不让他人挂靠，不以他人名义或者以其他方式弄虚作假，骗取成交；</w:t>
      </w:r>
    </w:p>
    <w:p w14:paraId="56D93451">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四、不与其他供应商相互串通响应报价，不排挤其他供应商的公平竞争、损害采购人的合法权益；</w:t>
      </w:r>
    </w:p>
    <w:p w14:paraId="6DE8287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五、不与采购人、</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或其他供应商串通响应，损害国家利益、社会公共利益或者他人的合法权益；</w:t>
      </w:r>
    </w:p>
    <w:p w14:paraId="3E96CFF0">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Theme="minorEastAsia" w:hAnsiTheme="minorEastAsia" w:eastAsiaTheme="minorEastAsia" w:cstheme="minorEastAsia"/>
          <w:color w:val="auto"/>
          <w:kern w:val="0"/>
          <w:sz w:val="24"/>
          <w:szCs w:val="24"/>
          <w:highlight w:val="none"/>
          <w:u w:val="single"/>
          <w:lang w:bidi="ar"/>
        </w:rPr>
        <w:t xml:space="preserve">       （企业名称）或       （企业名称）</w:t>
      </w:r>
      <w:r>
        <w:rPr>
          <w:rFonts w:hint="eastAsia" w:asciiTheme="minorEastAsia" w:hAnsiTheme="minorEastAsia" w:eastAsiaTheme="minorEastAsia" w:cstheme="minorEastAsia"/>
          <w:color w:val="auto"/>
          <w:kern w:val="0"/>
          <w:sz w:val="24"/>
          <w:szCs w:val="24"/>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w:t>
      </w:r>
      <w:r>
        <w:rPr>
          <w:rFonts w:hint="eastAsia" w:ascii="宋体" w:hAnsi="宋体" w:eastAsia="宋体" w:cs="@仿宋_GB2312"/>
          <w:b w:val="0"/>
          <w:bCs/>
          <w:color w:val="auto"/>
          <w:kern w:val="0"/>
          <w:sz w:val="24"/>
          <w:szCs w:val="28"/>
          <w:highlight w:val="none"/>
          <w:lang w:val="en-US" w:eastAsia="zh-CN" w:bidi="ar-SA"/>
        </w:rPr>
        <w:t>供应商</w:t>
      </w:r>
      <w:r>
        <w:rPr>
          <w:rFonts w:hint="eastAsia" w:asciiTheme="minorEastAsia" w:hAnsiTheme="minorEastAsia" w:eastAsiaTheme="minorEastAsia" w:cstheme="minorEastAsia"/>
          <w:color w:val="auto"/>
          <w:kern w:val="0"/>
          <w:sz w:val="24"/>
          <w:szCs w:val="24"/>
          <w:highlight w:val="none"/>
          <w:lang w:bidi="ar"/>
        </w:rPr>
        <w:t>所属分公司、办事处等分支机构有上述1-7项信誉要求，在此一并承诺我公司所属分公司、办事处等分支机构没有上述1-7项情形）</w:t>
      </w:r>
    </w:p>
    <w:p w14:paraId="2C4690CA">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七、严格遵守谈判现场纪律，服从监管人员管理；</w:t>
      </w:r>
    </w:p>
    <w:p w14:paraId="40F79AE4">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八、保证成交后不转包，若有分包征得采购人同意；</w:t>
      </w:r>
    </w:p>
    <w:p w14:paraId="230B0905">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九、保证成交之后，按照响应文件要求提供相关后续服务；</w:t>
      </w:r>
    </w:p>
    <w:p w14:paraId="57620869">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十、保证企业及所属相关人员在本次响应中无行贿等犯罪行为；</w:t>
      </w:r>
    </w:p>
    <w:p w14:paraId="48E06B0C">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一、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11DFB73">
      <w:pPr>
        <w:spacing w:line="56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以上内容我已仔细阅读，本公司若有违反承诺内容的行为，自愿接受取消响应或者中标（成交）资格、记入不良行为记录等有关处理，愿意承担法律责任，给采购人造成损失的，依法承担赔偿责任。</w:t>
      </w:r>
    </w:p>
    <w:p w14:paraId="6B3861AF">
      <w:pPr>
        <w:spacing w:line="560" w:lineRule="exact"/>
        <w:ind w:firstLine="480" w:firstLineChars="200"/>
        <w:jc w:val="left"/>
        <w:rPr>
          <w:rFonts w:ascii="宋体" w:hAnsi="宋体" w:eastAsia="宋体" w:cs="宋体"/>
          <w:color w:val="auto"/>
          <w:sz w:val="24"/>
          <w:szCs w:val="24"/>
          <w:highlight w:val="none"/>
        </w:rPr>
      </w:pPr>
    </w:p>
    <w:p w14:paraId="28EF9579">
      <w:pPr>
        <w:spacing w:line="520" w:lineRule="exact"/>
        <w:jc w:val="left"/>
        <w:rPr>
          <w:rFonts w:ascii="宋体" w:hAnsi="宋体" w:eastAsia="宋体" w:cs="宋体"/>
          <w:color w:val="auto"/>
          <w:sz w:val="24"/>
          <w:szCs w:val="24"/>
          <w:highlight w:val="none"/>
        </w:rPr>
      </w:pPr>
    </w:p>
    <w:p w14:paraId="732C3673">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基本账户：</w:t>
      </w:r>
    </w:p>
    <w:p w14:paraId="2CE01E43">
      <w:pPr>
        <w:spacing w:line="6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供应商（签章）：             法定代表人（签章）：</w:t>
      </w:r>
    </w:p>
    <w:p w14:paraId="58621119">
      <w:pPr>
        <w:spacing w:line="600" w:lineRule="exact"/>
        <w:ind w:firstLine="4095" w:firstLineChars="1950"/>
        <w:rPr>
          <w:rFonts w:ascii="宋体" w:hAnsi="宋体"/>
          <w:color w:val="auto"/>
          <w:szCs w:val="21"/>
          <w:highlight w:val="none"/>
        </w:rPr>
      </w:pPr>
    </w:p>
    <w:p w14:paraId="6629D935">
      <w:pPr>
        <w:spacing w:line="600" w:lineRule="exact"/>
        <w:ind w:firstLine="480" w:firstLineChars="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169E4C5">
      <w:pPr>
        <w:spacing w:line="360" w:lineRule="auto"/>
        <w:ind w:right="480" w:firstLine="4680" w:firstLineChars="1950"/>
        <w:rPr>
          <w:rFonts w:asciiTheme="minorEastAsia" w:hAnsiTheme="minorEastAsia" w:eastAsiaTheme="minorEastAsia"/>
          <w:color w:val="auto"/>
          <w:sz w:val="24"/>
          <w:highlight w:val="none"/>
        </w:rPr>
      </w:pPr>
    </w:p>
    <w:p w14:paraId="76E6817E">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14:paraId="4DCC4F49">
      <w:pPr>
        <w:spacing w:line="360" w:lineRule="auto"/>
        <w:jc w:val="center"/>
        <w:outlineLvl w:val="1"/>
        <w:rPr>
          <w:rFonts w:asciiTheme="minorEastAsia" w:hAnsiTheme="minorEastAsia" w:eastAsiaTheme="minorEastAsia"/>
          <w:b/>
          <w:color w:val="auto"/>
          <w:sz w:val="24"/>
          <w:highlight w:val="none"/>
        </w:rPr>
      </w:pPr>
      <w:bookmarkStart w:id="75" w:name="_Toc1350"/>
      <w:bookmarkStart w:id="76" w:name="_Toc23417"/>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、诚信履约承诺函</w:t>
      </w:r>
      <w:bookmarkEnd w:id="75"/>
      <w:bookmarkEnd w:id="76"/>
    </w:p>
    <w:p w14:paraId="162A73A2">
      <w:pPr>
        <w:spacing w:line="360" w:lineRule="auto"/>
        <w:rPr>
          <w:rFonts w:asciiTheme="minorEastAsia" w:hAnsiTheme="minorEastAsia" w:eastAsiaTheme="minorEastAsia"/>
          <w:b/>
          <w:bCs/>
          <w:color w:val="auto"/>
          <w:sz w:val="24"/>
          <w:highlight w:val="none"/>
        </w:rPr>
      </w:pPr>
    </w:p>
    <w:p w14:paraId="1C59D4D0">
      <w:pPr>
        <w:spacing w:line="360" w:lineRule="auto"/>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rPr>
        <w:t>采购人</w:t>
      </w:r>
    </w:p>
    <w:p w14:paraId="2456213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w:t>
      </w:r>
      <w:r>
        <w:rPr>
          <w:rFonts w:hint="eastAsia" w:asciiTheme="minorEastAsia" w:hAnsiTheme="minorEastAsia" w:eastAsiaTheme="minorEastAsia"/>
          <w:bCs/>
          <w:color w:val="auto"/>
          <w:sz w:val="24"/>
          <w:highlight w:val="none"/>
          <w:lang w:eastAsia="zh-CN"/>
        </w:rPr>
        <w:t>询价采购文件</w:t>
      </w:r>
      <w:r>
        <w:rPr>
          <w:rFonts w:hint="eastAsia" w:asciiTheme="minorEastAsia" w:hAnsiTheme="minorEastAsia" w:eastAsiaTheme="minorEastAsia"/>
          <w:bCs/>
          <w:color w:val="auto"/>
          <w:sz w:val="24"/>
          <w:highlight w:val="none"/>
        </w:rPr>
        <w:t>中关于合同签订及履约的相关规定，不出现以下情形：</w:t>
      </w:r>
    </w:p>
    <w:p w14:paraId="25445FD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（1）成交后无正当理由拒不与采购人签订政府采购合同；</w:t>
      </w:r>
    </w:p>
    <w:p w14:paraId="2ED02129">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w:t>
      </w:r>
      <w:r>
        <w:rPr>
          <w:rFonts w:hint="eastAsia" w:asciiTheme="minorEastAsia" w:hAnsiTheme="minorEastAsia" w:eastAsiaTheme="minorEastAsia"/>
          <w:bCs/>
          <w:color w:val="auto"/>
          <w:sz w:val="24"/>
          <w:highlight w:val="none"/>
          <w:lang w:eastAsia="zh-CN"/>
        </w:rPr>
        <w:t>询价采购文件</w:t>
      </w:r>
      <w:r>
        <w:rPr>
          <w:rFonts w:hint="eastAsia" w:asciiTheme="minorEastAsia" w:hAnsiTheme="minorEastAsia" w:eastAsiaTheme="minorEastAsia"/>
          <w:bCs/>
          <w:color w:val="auto"/>
          <w:sz w:val="24"/>
          <w:highlight w:val="none"/>
        </w:rPr>
        <w:t>确定的事项签订政府采购合同；</w:t>
      </w:r>
    </w:p>
    <w:p w14:paraId="61E7616D">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49A4B15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21DD001B">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5D82F91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29C33F1">
      <w:pPr>
        <w:spacing w:line="360" w:lineRule="auto"/>
        <w:ind w:firstLine="480" w:firstLineChars="200"/>
        <w:rPr>
          <w:rFonts w:ascii="宋体" w:hAnsi="宋体" w:eastAsia="宋体"/>
          <w:bCs/>
          <w:color w:val="auto"/>
          <w:sz w:val="24"/>
          <w:szCs w:val="24"/>
          <w:highlight w:val="none"/>
        </w:rPr>
      </w:pPr>
      <w:r>
        <w:rPr>
          <w:rFonts w:hint="eastAsia" w:ascii="宋体" w:hAnsi="宋体" w:eastAsia="宋体"/>
          <w:bCs/>
          <w:color w:val="auto"/>
          <w:sz w:val="24"/>
          <w:szCs w:val="24"/>
          <w:highlight w:val="none"/>
          <w:lang w:bidi="ar"/>
        </w:rPr>
        <w:t>本承诺声明：</w:t>
      </w:r>
      <w:r>
        <w:rPr>
          <w:rFonts w:hint="eastAsia" w:ascii="宋体" w:hAnsi="宋体" w:eastAsia="宋体"/>
          <w:bCs/>
          <w:color w:val="auto"/>
          <w:sz w:val="24"/>
          <w:szCs w:val="24"/>
          <w:highlight w:val="none"/>
          <w:u w:val="single"/>
          <w:lang w:bidi="ar"/>
        </w:rPr>
        <w:t xml:space="preserve">                   （供应商名称）</w:t>
      </w:r>
      <w:r>
        <w:rPr>
          <w:rFonts w:hint="eastAsia" w:ascii="宋体" w:hAnsi="宋体" w:eastAsia="宋体"/>
          <w:bCs/>
          <w:color w:val="auto"/>
          <w:sz w:val="24"/>
          <w:szCs w:val="24"/>
          <w:highlight w:val="none"/>
          <w:lang w:bidi="ar"/>
        </w:rPr>
        <w:t>对本</w:t>
      </w:r>
      <w:r>
        <w:rPr>
          <w:rFonts w:hint="eastAsia" w:ascii="宋体" w:hAnsi="宋体" w:eastAsia="宋体"/>
          <w:bCs/>
          <w:color w:val="auto"/>
          <w:sz w:val="24"/>
          <w:szCs w:val="24"/>
          <w:highlight w:val="none"/>
          <w:lang w:eastAsia="zh-CN" w:bidi="ar"/>
        </w:rPr>
        <w:t>询价采购文件</w:t>
      </w:r>
      <w:r>
        <w:rPr>
          <w:rFonts w:hint="eastAsia" w:ascii="宋体" w:hAnsi="宋体" w:eastAsia="宋体"/>
          <w:bCs/>
          <w:color w:val="auto"/>
          <w:sz w:val="24"/>
          <w:szCs w:val="24"/>
          <w:highlight w:val="none"/>
          <w:lang w:bidi="ar"/>
        </w:rPr>
        <w:t>的相关要求完全响应。若有幸成交将严格按照以上承诺进行供货和服务。</w:t>
      </w:r>
    </w:p>
    <w:p w14:paraId="1FACB290">
      <w:pPr>
        <w:spacing w:line="360" w:lineRule="auto"/>
        <w:rPr>
          <w:rFonts w:asciiTheme="minorEastAsia" w:hAnsiTheme="minorEastAsia" w:eastAsiaTheme="minorEastAsia"/>
          <w:bCs/>
          <w:color w:val="auto"/>
          <w:sz w:val="24"/>
          <w:highlight w:val="none"/>
        </w:rPr>
      </w:pPr>
    </w:p>
    <w:p w14:paraId="55662DBD">
      <w:pPr>
        <w:spacing w:line="360" w:lineRule="auto"/>
        <w:rPr>
          <w:rFonts w:asciiTheme="minorEastAsia" w:hAnsiTheme="minorEastAsia" w:eastAsiaTheme="minorEastAsia"/>
          <w:bCs/>
          <w:color w:val="auto"/>
          <w:sz w:val="24"/>
          <w:highlight w:val="none"/>
        </w:rPr>
      </w:pPr>
    </w:p>
    <w:p w14:paraId="3CE890B3">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w:t>
      </w:r>
      <w:r>
        <w:rPr>
          <w:rFonts w:hint="eastAsia" w:asciiTheme="minorEastAsia" w:hAnsiTheme="minorEastAsia" w:eastAsiaTheme="minorEastAsia"/>
          <w:bCs/>
          <w:color w:val="auto"/>
          <w:sz w:val="24"/>
          <w:highlight w:val="none"/>
          <w:lang w:val="en-US" w:eastAsia="zh-CN"/>
        </w:rPr>
        <w:t>盖章</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C78C081">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4E625951">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42A35DEC">
      <w:pPr>
        <w:spacing w:line="360" w:lineRule="auto"/>
        <w:jc w:val="center"/>
        <w:outlineLvl w:val="1"/>
        <w:rPr>
          <w:rFonts w:asciiTheme="minorEastAsia" w:hAnsiTheme="minorEastAsia" w:eastAsiaTheme="minorEastAsia"/>
          <w:b/>
          <w:color w:val="auto"/>
          <w:sz w:val="24"/>
          <w:highlight w:val="none"/>
        </w:rPr>
      </w:pPr>
      <w:bookmarkStart w:id="77" w:name="_Toc12602"/>
      <w:bookmarkStart w:id="78" w:name="_Toc19513"/>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其他相关证明材料</w:t>
      </w:r>
      <w:bookmarkEnd w:id="77"/>
      <w:bookmarkEnd w:id="78"/>
    </w:p>
    <w:p w14:paraId="4D1741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提供符合询价邀请、采购需求及评审方法规定的相关证明文件。</w:t>
      </w:r>
    </w:p>
    <w:p w14:paraId="052869DB">
      <w:pPr>
        <w:spacing w:line="360" w:lineRule="auto"/>
        <w:ind w:firstLine="480" w:firstLineChars="200"/>
        <w:rPr>
          <w:rFonts w:asciiTheme="minorEastAsia" w:hAnsiTheme="minorEastAsia" w:eastAsiaTheme="minorEastAsia"/>
          <w:color w:val="auto"/>
          <w:sz w:val="24"/>
          <w:highlight w:val="none"/>
        </w:rPr>
      </w:pPr>
    </w:p>
    <w:p w14:paraId="454F4844">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02CFC0C5">
      <w:pPr>
        <w:spacing w:line="360" w:lineRule="auto"/>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供应商在响应文件制作时可在此栏内上传</w:t>
      </w:r>
      <w:r>
        <w:rPr>
          <w:rFonts w:hint="eastAsia" w:asciiTheme="minorEastAsia" w:hAnsiTheme="minorEastAsia" w:eastAsiaTheme="minorEastAsia"/>
          <w:b/>
          <w:bCs/>
          <w:color w:val="auto"/>
          <w:sz w:val="24"/>
          <w:highlight w:val="none"/>
          <w:lang w:eastAsia="zh-CN"/>
        </w:rPr>
        <w:t>询价采购文件</w:t>
      </w:r>
      <w:r>
        <w:rPr>
          <w:rFonts w:asciiTheme="minorEastAsia" w:hAnsiTheme="minorEastAsia" w:eastAsiaTheme="minorEastAsia"/>
          <w:b/>
          <w:bCs/>
          <w:color w:val="auto"/>
          <w:sz w:val="24"/>
          <w:highlight w:val="none"/>
        </w:rPr>
        <w:t>要求上传的证明资料</w:t>
      </w:r>
      <w:r>
        <w:rPr>
          <w:rFonts w:hint="eastAsia" w:asciiTheme="minorEastAsia" w:hAnsiTheme="minorEastAsia" w:eastAsiaTheme="minorEastAsia"/>
          <w:b/>
          <w:bCs/>
          <w:color w:val="auto"/>
          <w:sz w:val="24"/>
          <w:highlight w:val="none"/>
        </w:rPr>
        <w:t>，如营业执照</w:t>
      </w:r>
      <w:r>
        <w:rPr>
          <w:rFonts w:asciiTheme="minorEastAsia" w:hAnsiTheme="minorEastAsia" w:eastAsiaTheme="minorEastAsia"/>
          <w:b/>
          <w:bCs/>
          <w:color w:val="auto"/>
          <w:sz w:val="24"/>
          <w:highlight w:val="none"/>
        </w:rPr>
        <w:t>等，应将上述证明材料制作成扫描件上传。</w:t>
      </w:r>
    </w:p>
    <w:bookmarkEnd w:id="57"/>
    <w:p w14:paraId="00943BE2">
      <w:pPr>
        <w:widowControl/>
        <w:jc w:val="left"/>
        <w:rPr>
          <w:rFonts w:ascii="宋体" w:hAnsi="宋体" w:eastAsia="宋体" w:cs="宋体"/>
          <w:b/>
          <w:bCs/>
          <w:color w:val="auto"/>
          <w:kern w:val="0"/>
          <w:sz w:val="24"/>
          <w:szCs w:val="24"/>
          <w:highlight w:val="none"/>
          <w:lang w:bidi="ar"/>
        </w:rPr>
      </w:pPr>
      <w:bookmarkStart w:id="79" w:name="_Toc60608832"/>
      <w:bookmarkStart w:id="80" w:name="_Toc1141"/>
      <w:bookmarkStart w:id="81" w:name="_Toc11711"/>
      <w:r>
        <w:rPr>
          <w:rFonts w:hint="eastAsia" w:ascii="宋体" w:hAnsi="宋体" w:eastAsia="宋体" w:cs="宋体"/>
          <w:b/>
          <w:bCs/>
          <w:color w:val="auto"/>
          <w:kern w:val="0"/>
          <w:sz w:val="24"/>
          <w:szCs w:val="24"/>
          <w:highlight w:val="none"/>
          <w:lang w:bidi="ar"/>
        </w:rPr>
        <w:br w:type="page"/>
      </w:r>
    </w:p>
    <w:p w14:paraId="48EBEF17">
      <w:pPr>
        <w:spacing w:line="360" w:lineRule="auto"/>
        <w:jc w:val="center"/>
        <w:outlineLvl w:val="0"/>
        <w:rPr>
          <w:rFonts w:ascii="宋体" w:hAnsi="宋体" w:eastAsia="宋体"/>
          <w:b/>
          <w:bCs/>
          <w:color w:val="auto"/>
          <w:sz w:val="28"/>
          <w:highlight w:val="none"/>
        </w:rPr>
      </w:pPr>
      <w:r>
        <w:rPr>
          <w:rFonts w:hint="eastAsia" w:asciiTheme="minorEastAsia" w:hAnsiTheme="minorEastAsia" w:eastAsiaTheme="minorEastAsia"/>
          <w:b/>
          <w:color w:val="auto"/>
          <w:sz w:val="28"/>
          <w:highlight w:val="none"/>
        </w:rPr>
        <w:t>第七章</w:t>
      </w:r>
      <w:r>
        <w:rPr>
          <w:rFonts w:hint="eastAsia"/>
          <w:b/>
          <w:bCs/>
          <w:color w:val="auto"/>
          <w:sz w:val="28"/>
          <w:highlight w:val="none"/>
        </w:rPr>
        <w:t xml:space="preserve">  </w:t>
      </w:r>
      <w:bookmarkEnd w:id="79"/>
      <w:r>
        <w:rPr>
          <w:rFonts w:hint="eastAsia" w:ascii="宋体" w:hAnsi="宋体" w:eastAsia="宋体"/>
          <w:b/>
          <w:bCs/>
          <w:color w:val="auto"/>
          <w:sz w:val="28"/>
          <w:highlight w:val="none"/>
        </w:rPr>
        <w:t>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80"/>
      <w:bookmarkEnd w:id="81"/>
    </w:p>
    <w:p w14:paraId="2D6DC504">
      <w:pPr>
        <w:spacing w:line="360" w:lineRule="auto"/>
        <w:jc w:val="center"/>
        <w:outlineLvl w:val="1"/>
        <w:rPr>
          <w:rFonts w:ascii="仿宋" w:hAnsi="仿宋" w:eastAsia="仿宋" w:cs="仿宋"/>
          <w:b/>
          <w:bCs/>
          <w:color w:val="auto"/>
          <w:sz w:val="32"/>
          <w:szCs w:val="44"/>
          <w:highlight w:val="none"/>
        </w:rPr>
      </w:pPr>
      <w:bookmarkStart w:id="82" w:name="_Toc10045"/>
      <w:bookmarkStart w:id="83" w:name="_Toc29389"/>
      <w:r>
        <w:rPr>
          <w:rFonts w:hint="eastAsia" w:ascii="仿宋" w:hAnsi="仿宋" w:eastAsia="仿宋" w:cs="仿宋"/>
          <w:b/>
          <w:bCs/>
          <w:color w:val="auto"/>
          <w:sz w:val="32"/>
          <w:szCs w:val="44"/>
          <w:highlight w:val="none"/>
        </w:rPr>
        <w:t>询问函范本</w:t>
      </w:r>
      <w:bookmarkEnd w:id="82"/>
      <w:bookmarkEnd w:id="83"/>
    </w:p>
    <w:p w14:paraId="2CC531F8">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w:t>
      </w:r>
      <w:r>
        <w:rPr>
          <w:rFonts w:hint="eastAsia" w:cs="仿宋" w:asciiTheme="minorEastAsia" w:hAnsiTheme="minorEastAsia" w:eastAsiaTheme="minorEastAsia"/>
          <w:i/>
          <w:iCs/>
          <w:color w:val="auto"/>
          <w:sz w:val="24"/>
          <w:szCs w:val="24"/>
          <w:highlight w:val="none"/>
          <w:lang w:eastAsia="zh-CN"/>
        </w:rPr>
        <w:t>询价采购文件</w:t>
      </w:r>
      <w:r>
        <w:rPr>
          <w:rFonts w:hint="eastAsia" w:cs="仿宋" w:asciiTheme="minorEastAsia" w:hAnsiTheme="minorEastAsia" w:eastAsiaTheme="minorEastAsia"/>
          <w:i/>
          <w:iCs/>
          <w:color w:val="auto"/>
          <w:sz w:val="24"/>
          <w:szCs w:val="24"/>
          <w:highlight w:val="none"/>
        </w:rPr>
        <w:t>或采购程序的询问或疑问，请按询问函范本或电子交易系统中网上询问格式附件进行提交）</w:t>
      </w:r>
    </w:p>
    <w:p w14:paraId="7A1307F0">
      <w:pPr>
        <w:adjustRightInd w:val="0"/>
        <w:snapToGrid w:val="0"/>
        <w:spacing w:line="360" w:lineRule="auto"/>
        <w:rPr>
          <w:rFonts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致：采购人</w:t>
      </w:r>
    </w:p>
    <w:p w14:paraId="43120C4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 xml:space="preserve"> (项目名称、编号)的采购活动，现有以下内容(或条款)存在疑问(或无法理解)，特提出询问。</w:t>
      </w:r>
    </w:p>
    <w:p w14:paraId="3D02A0CD">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84" w:name="_Toc29678"/>
      <w:bookmarkStart w:id="85" w:name="_Toc23472"/>
      <w:r>
        <w:rPr>
          <w:rFonts w:hint="eastAsia" w:cs="仿宋" w:asciiTheme="minorEastAsia" w:hAnsiTheme="minorEastAsia" w:eastAsiaTheme="minorEastAsia"/>
          <w:color w:val="auto"/>
          <w:sz w:val="24"/>
          <w:szCs w:val="24"/>
          <w:highlight w:val="none"/>
        </w:rPr>
        <w:t>一、(事项一)</w:t>
      </w:r>
      <w:bookmarkEnd w:id="84"/>
      <w:bookmarkEnd w:id="85"/>
    </w:p>
    <w:p w14:paraId="50C923EC">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4937F4E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5C0A70A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2F149F49">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86" w:name="_Toc22463"/>
      <w:bookmarkStart w:id="87" w:name="_Toc20836"/>
      <w:r>
        <w:rPr>
          <w:rFonts w:hint="eastAsia" w:cs="仿宋" w:asciiTheme="minorEastAsia" w:hAnsiTheme="minorEastAsia" w:eastAsiaTheme="minorEastAsia"/>
          <w:color w:val="auto"/>
          <w:sz w:val="24"/>
          <w:szCs w:val="24"/>
          <w:highlight w:val="none"/>
        </w:rPr>
        <w:t>二、(事项二)</w:t>
      </w:r>
      <w:bookmarkEnd w:id="86"/>
      <w:bookmarkEnd w:id="87"/>
    </w:p>
    <w:p w14:paraId="0998134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2A0AEA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582F1F42">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6795E6C1">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3D7FEBF0">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78245941">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1DC226BF">
      <w:pPr>
        <w:jc w:val="center"/>
        <w:outlineLvl w:val="1"/>
        <w:rPr>
          <w:rFonts w:cs="仿宋" w:asciiTheme="minorEastAsia" w:hAnsiTheme="minorEastAsia" w:eastAsiaTheme="minorEastAsia"/>
          <w:b/>
          <w:bCs/>
          <w:color w:val="auto"/>
          <w:sz w:val="32"/>
          <w:szCs w:val="44"/>
          <w:highlight w:val="none"/>
        </w:rPr>
      </w:pPr>
      <w:bookmarkStart w:id="88" w:name="_Toc15057"/>
      <w:bookmarkStart w:id="89" w:name="_Toc31458"/>
      <w:r>
        <w:rPr>
          <w:rFonts w:hint="eastAsia" w:cs="仿宋" w:asciiTheme="minorEastAsia" w:hAnsiTheme="minorEastAsia" w:eastAsiaTheme="minorEastAsia"/>
          <w:b/>
          <w:bCs/>
          <w:color w:val="auto"/>
          <w:sz w:val="32"/>
          <w:szCs w:val="44"/>
          <w:highlight w:val="none"/>
        </w:rPr>
        <w:t>质疑函范本</w:t>
      </w:r>
      <w:bookmarkEnd w:id="88"/>
      <w:bookmarkEnd w:id="89"/>
    </w:p>
    <w:p w14:paraId="45179FD6">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90" w:name="_Toc21471"/>
      <w:bookmarkStart w:id="91" w:name="_Toc22823"/>
      <w:r>
        <w:rPr>
          <w:rFonts w:hint="eastAsia" w:cs="仿宋" w:asciiTheme="minorEastAsia" w:hAnsiTheme="minorEastAsia" w:eastAsiaTheme="minorEastAsia"/>
          <w:b/>
          <w:bCs/>
          <w:color w:val="auto"/>
          <w:sz w:val="24"/>
          <w:szCs w:val="24"/>
          <w:highlight w:val="none"/>
        </w:rPr>
        <w:t>一、质疑供应商基本信息</w:t>
      </w:r>
      <w:bookmarkEnd w:id="90"/>
      <w:bookmarkEnd w:id="91"/>
    </w:p>
    <w:p w14:paraId="45F36B1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2F9F884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294F5E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4DF2449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4DCBF3A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41BB6B6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64E2D073">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92" w:name="_Toc10721"/>
      <w:bookmarkStart w:id="93" w:name="_Toc3326"/>
      <w:r>
        <w:rPr>
          <w:rFonts w:hint="eastAsia" w:cs="仿宋" w:asciiTheme="minorEastAsia" w:hAnsiTheme="minorEastAsia" w:eastAsiaTheme="minorEastAsia"/>
          <w:b/>
          <w:bCs/>
          <w:color w:val="auto"/>
          <w:sz w:val="24"/>
          <w:szCs w:val="24"/>
          <w:highlight w:val="none"/>
        </w:rPr>
        <w:t>二、质疑项目基本情况</w:t>
      </w:r>
      <w:bookmarkEnd w:id="92"/>
      <w:bookmarkEnd w:id="93"/>
    </w:p>
    <w:p w14:paraId="79D72B8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4B4AA9C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738185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04E7E4E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354CC21">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94" w:name="_Toc8391"/>
      <w:bookmarkStart w:id="95" w:name="_Toc21619"/>
      <w:r>
        <w:rPr>
          <w:rFonts w:hint="eastAsia" w:cs="仿宋" w:asciiTheme="minorEastAsia" w:hAnsiTheme="minorEastAsia" w:eastAsiaTheme="minorEastAsia"/>
          <w:b/>
          <w:bCs/>
          <w:color w:val="auto"/>
          <w:sz w:val="24"/>
          <w:szCs w:val="24"/>
          <w:highlight w:val="none"/>
        </w:rPr>
        <w:t>三、质疑事项具体内容</w:t>
      </w:r>
      <w:bookmarkEnd w:id="94"/>
      <w:bookmarkEnd w:id="95"/>
    </w:p>
    <w:p w14:paraId="7306C4D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2679237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352170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46D025D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3D5654C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4EC8C08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40858E0C">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38ADA6CD">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96" w:name="_Toc31747"/>
      <w:bookmarkStart w:id="97" w:name="_Toc10324"/>
      <w:r>
        <w:rPr>
          <w:rFonts w:hint="eastAsia" w:cs="仿宋" w:asciiTheme="minorEastAsia" w:hAnsiTheme="minorEastAsia" w:eastAsiaTheme="minorEastAsia"/>
          <w:b/>
          <w:bCs/>
          <w:color w:val="auto"/>
          <w:sz w:val="24"/>
          <w:szCs w:val="24"/>
          <w:highlight w:val="none"/>
        </w:rPr>
        <w:t>四、与质疑事项相关的质疑请求</w:t>
      </w:r>
      <w:bookmarkEnd w:id="96"/>
      <w:bookmarkEnd w:id="97"/>
    </w:p>
    <w:p w14:paraId="3BB4D78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59DADFDD">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649EC7D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597C1DC0">
      <w:pPr>
        <w:widowControl/>
        <w:jc w:val="left"/>
        <w:rPr>
          <w:rFonts w:cs="仿宋" w:asciiTheme="minorEastAsia" w:hAnsiTheme="minorEastAsia" w:eastAsiaTheme="minorEastAsia"/>
          <w:color w:val="auto"/>
          <w:sz w:val="32"/>
          <w:szCs w:val="32"/>
          <w:highlight w:val="none"/>
        </w:rPr>
      </w:pPr>
      <w:r>
        <w:rPr>
          <w:rFonts w:cs="仿宋" w:asciiTheme="minorEastAsia" w:hAnsiTheme="minorEastAsia" w:eastAsiaTheme="minorEastAsia"/>
          <w:color w:val="auto"/>
          <w:sz w:val="32"/>
          <w:szCs w:val="32"/>
          <w:highlight w:val="none"/>
        </w:rPr>
        <w:br w:type="page"/>
      </w:r>
    </w:p>
    <w:p w14:paraId="660C32CC">
      <w:pPr>
        <w:outlineLvl w:val="0"/>
        <w:rPr>
          <w:rFonts w:asciiTheme="minorEastAsia" w:hAnsiTheme="minorEastAsia" w:eastAsiaTheme="minorEastAsia"/>
          <w:b/>
          <w:color w:val="auto"/>
          <w:sz w:val="28"/>
          <w:szCs w:val="32"/>
          <w:highlight w:val="none"/>
        </w:rPr>
      </w:pPr>
      <w:bookmarkStart w:id="98" w:name="_Toc29795"/>
      <w:bookmarkStart w:id="99" w:name="_Toc27249"/>
      <w:r>
        <w:rPr>
          <w:rFonts w:hint="eastAsia" w:asciiTheme="minorEastAsia" w:hAnsiTheme="minorEastAsia" w:eastAsiaTheme="minorEastAsia"/>
          <w:b/>
          <w:color w:val="auto"/>
          <w:sz w:val="28"/>
          <w:szCs w:val="32"/>
          <w:highlight w:val="none"/>
        </w:rPr>
        <w:t>质疑函制作说明：</w:t>
      </w:r>
      <w:bookmarkEnd w:id="98"/>
      <w:bookmarkEnd w:id="99"/>
    </w:p>
    <w:p w14:paraId="63C25B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87AF6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85DEB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73EB60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5FF531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13AA6C9F">
      <w:pPr>
        <w:spacing w:line="360" w:lineRule="auto"/>
        <w:ind w:firstLine="435"/>
        <w:rPr>
          <w:color w:val="auto"/>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pgSz w:w="11905" w:h="16838"/>
      <w:pgMar w:top="1417" w:right="1417" w:bottom="1417" w:left="1417" w:header="851" w:footer="992"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B5EC">
    <w:pPr>
      <w:pStyle w:val="16"/>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CA731">
    <w:pPr>
      <w:pStyle w:val="16"/>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2A0A6">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D92A0A6">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30A1">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5271E">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62C9F"/>
    <w:multiLevelType w:val="singleLevel"/>
    <w:tmpl w:val="1D962C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276BA1"/>
    <w:rsid w:val="0000043F"/>
    <w:rsid w:val="000016BE"/>
    <w:rsid w:val="000020D0"/>
    <w:rsid w:val="00002178"/>
    <w:rsid w:val="00003B1C"/>
    <w:rsid w:val="000049DA"/>
    <w:rsid w:val="000056B7"/>
    <w:rsid w:val="000131F7"/>
    <w:rsid w:val="0001462A"/>
    <w:rsid w:val="00016B6C"/>
    <w:rsid w:val="00020B57"/>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581E"/>
    <w:rsid w:val="00070E0E"/>
    <w:rsid w:val="00073C57"/>
    <w:rsid w:val="00076DB7"/>
    <w:rsid w:val="00080FEB"/>
    <w:rsid w:val="000871CC"/>
    <w:rsid w:val="00094D41"/>
    <w:rsid w:val="00097CB9"/>
    <w:rsid w:val="000A6693"/>
    <w:rsid w:val="000A6B73"/>
    <w:rsid w:val="000A7D94"/>
    <w:rsid w:val="000B1511"/>
    <w:rsid w:val="000B474F"/>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3A8"/>
    <w:rsid w:val="0012143A"/>
    <w:rsid w:val="001222C6"/>
    <w:rsid w:val="00132A16"/>
    <w:rsid w:val="00136D80"/>
    <w:rsid w:val="00137C7C"/>
    <w:rsid w:val="00140687"/>
    <w:rsid w:val="00144D72"/>
    <w:rsid w:val="00146421"/>
    <w:rsid w:val="001479CF"/>
    <w:rsid w:val="00155F64"/>
    <w:rsid w:val="00157856"/>
    <w:rsid w:val="00160198"/>
    <w:rsid w:val="00160729"/>
    <w:rsid w:val="00163163"/>
    <w:rsid w:val="00166ED8"/>
    <w:rsid w:val="001714C9"/>
    <w:rsid w:val="001770B6"/>
    <w:rsid w:val="00180C48"/>
    <w:rsid w:val="0018119B"/>
    <w:rsid w:val="001844AB"/>
    <w:rsid w:val="00187282"/>
    <w:rsid w:val="00191C9B"/>
    <w:rsid w:val="001944B8"/>
    <w:rsid w:val="00196DA3"/>
    <w:rsid w:val="00197AC4"/>
    <w:rsid w:val="001A5D34"/>
    <w:rsid w:val="001A68E5"/>
    <w:rsid w:val="001B1A1E"/>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232A"/>
    <w:rsid w:val="00223CF4"/>
    <w:rsid w:val="00224C4A"/>
    <w:rsid w:val="0023407E"/>
    <w:rsid w:val="00240278"/>
    <w:rsid w:val="00240B40"/>
    <w:rsid w:val="002440D8"/>
    <w:rsid w:val="00244182"/>
    <w:rsid w:val="00245841"/>
    <w:rsid w:val="00260B94"/>
    <w:rsid w:val="00264F2E"/>
    <w:rsid w:val="00271245"/>
    <w:rsid w:val="00274A9E"/>
    <w:rsid w:val="00276292"/>
    <w:rsid w:val="00276BA1"/>
    <w:rsid w:val="00277094"/>
    <w:rsid w:val="00277264"/>
    <w:rsid w:val="00286D62"/>
    <w:rsid w:val="00287EF5"/>
    <w:rsid w:val="002927A3"/>
    <w:rsid w:val="00293DB3"/>
    <w:rsid w:val="002A1A1D"/>
    <w:rsid w:val="002A210D"/>
    <w:rsid w:val="002A28AD"/>
    <w:rsid w:val="002B1828"/>
    <w:rsid w:val="002B5318"/>
    <w:rsid w:val="002B6D27"/>
    <w:rsid w:val="002C3887"/>
    <w:rsid w:val="002D2965"/>
    <w:rsid w:val="002D3D02"/>
    <w:rsid w:val="002D4CB5"/>
    <w:rsid w:val="002D684B"/>
    <w:rsid w:val="002E3B26"/>
    <w:rsid w:val="002E4AB8"/>
    <w:rsid w:val="00300733"/>
    <w:rsid w:val="00310070"/>
    <w:rsid w:val="003110EC"/>
    <w:rsid w:val="00312317"/>
    <w:rsid w:val="00315CFF"/>
    <w:rsid w:val="00327C92"/>
    <w:rsid w:val="00333292"/>
    <w:rsid w:val="003344E7"/>
    <w:rsid w:val="0033580B"/>
    <w:rsid w:val="003365E7"/>
    <w:rsid w:val="003378D5"/>
    <w:rsid w:val="003405C8"/>
    <w:rsid w:val="003473D7"/>
    <w:rsid w:val="00351AC8"/>
    <w:rsid w:val="00353075"/>
    <w:rsid w:val="00354A38"/>
    <w:rsid w:val="00356E10"/>
    <w:rsid w:val="00360BB3"/>
    <w:rsid w:val="00362A66"/>
    <w:rsid w:val="00363E02"/>
    <w:rsid w:val="00364500"/>
    <w:rsid w:val="00373A96"/>
    <w:rsid w:val="003826C2"/>
    <w:rsid w:val="00383728"/>
    <w:rsid w:val="0038382B"/>
    <w:rsid w:val="00391586"/>
    <w:rsid w:val="00394128"/>
    <w:rsid w:val="003947A4"/>
    <w:rsid w:val="00395235"/>
    <w:rsid w:val="0039561A"/>
    <w:rsid w:val="00397C7D"/>
    <w:rsid w:val="003A004F"/>
    <w:rsid w:val="003A4323"/>
    <w:rsid w:val="003B3120"/>
    <w:rsid w:val="003B4130"/>
    <w:rsid w:val="003B67D3"/>
    <w:rsid w:val="003B715B"/>
    <w:rsid w:val="003C090D"/>
    <w:rsid w:val="003C230C"/>
    <w:rsid w:val="003D1D14"/>
    <w:rsid w:val="003D596D"/>
    <w:rsid w:val="003D6C7C"/>
    <w:rsid w:val="003D6EFB"/>
    <w:rsid w:val="003D7E52"/>
    <w:rsid w:val="003E25C6"/>
    <w:rsid w:val="003F145B"/>
    <w:rsid w:val="004011AA"/>
    <w:rsid w:val="0040202C"/>
    <w:rsid w:val="00405168"/>
    <w:rsid w:val="00406454"/>
    <w:rsid w:val="00406508"/>
    <w:rsid w:val="0041456E"/>
    <w:rsid w:val="00414DBE"/>
    <w:rsid w:val="00414F7E"/>
    <w:rsid w:val="004164F8"/>
    <w:rsid w:val="00416800"/>
    <w:rsid w:val="00416808"/>
    <w:rsid w:val="004259B5"/>
    <w:rsid w:val="004316E6"/>
    <w:rsid w:val="004427B7"/>
    <w:rsid w:val="0044349F"/>
    <w:rsid w:val="00445F1F"/>
    <w:rsid w:val="00451F60"/>
    <w:rsid w:val="00452BB2"/>
    <w:rsid w:val="0045656D"/>
    <w:rsid w:val="00462D98"/>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08A8"/>
    <w:rsid w:val="00524168"/>
    <w:rsid w:val="00524A11"/>
    <w:rsid w:val="00527768"/>
    <w:rsid w:val="005310A0"/>
    <w:rsid w:val="005327FB"/>
    <w:rsid w:val="00533FCA"/>
    <w:rsid w:val="00546D49"/>
    <w:rsid w:val="005521FF"/>
    <w:rsid w:val="005522FC"/>
    <w:rsid w:val="005535FD"/>
    <w:rsid w:val="00555596"/>
    <w:rsid w:val="005616B5"/>
    <w:rsid w:val="00561C68"/>
    <w:rsid w:val="005716D3"/>
    <w:rsid w:val="00574E6F"/>
    <w:rsid w:val="00581E19"/>
    <w:rsid w:val="00582882"/>
    <w:rsid w:val="0059004B"/>
    <w:rsid w:val="00590CA2"/>
    <w:rsid w:val="00591629"/>
    <w:rsid w:val="00597B15"/>
    <w:rsid w:val="005A044C"/>
    <w:rsid w:val="005B06FD"/>
    <w:rsid w:val="005B5C95"/>
    <w:rsid w:val="005B7713"/>
    <w:rsid w:val="005D0200"/>
    <w:rsid w:val="005D0D6E"/>
    <w:rsid w:val="005D2A35"/>
    <w:rsid w:val="005D44EF"/>
    <w:rsid w:val="005D4814"/>
    <w:rsid w:val="005D5112"/>
    <w:rsid w:val="005E39CC"/>
    <w:rsid w:val="005F2CD1"/>
    <w:rsid w:val="005F3914"/>
    <w:rsid w:val="005F3B5A"/>
    <w:rsid w:val="005F6AB4"/>
    <w:rsid w:val="006006F5"/>
    <w:rsid w:val="00601585"/>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25CD"/>
    <w:rsid w:val="00653F7F"/>
    <w:rsid w:val="00662EE8"/>
    <w:rsid w:val="00663813"/>
    <w:rsid w:val="00664AFD"/>
    <w:rsid w:val="00667567"/>
    <w:rsid w:val="0067391A"/>
    <w:rsid w:val="00674173"/>
    <w:rsid w:val="0067535A"/>
    <w:rsid w:val="00682560"/>
    <w:rsid w:val="00683CA0"/>
    <w:rsid w:val="0068614E"/>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5716"/>
    <w:rsid w:val="006C66E9"/>
    <w:rsid w:val="006C74A9"/>
    <w:rsid w:val="006D07DE"/>
    <w:rsid w:val="006D2222"/>
    <w:rsid w:val="006E06D9"/>
    <w:rsid w:val="006E1D40"/>
    <w:rsid w:val="006E2E1F"/>
    <w:rsid w:val="006E7016"/>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0D7F"/>
    <w:rsid w:val="007414E0"/>
    <w:rsid w:val="00745C94"/>
    <w:rsid w:val="00755D75"/>
    <w:rsid w:val="00756245"/>
    <w:rsid w:val="00760A01"/>
    <w:rsid w:val="00761662"/>
    <w:rsid w:val="00762106"/>
    <w:rsid w:val="00764043"/>
    <w:rsid w:val="00766B9C"/>
    <w:rsid w:val="007757CF"/>
    <w:rsid w:val="007772F4"/>
    <w:rsid w:val="0078128F"/>
    <w:rsid w:val="0078683C"/>
    <w:rsid w:val="00790EDB"/>
    <w:rsid w:val="00791538"/>
    <w:rsid w:val="0079326E"/>
    <w:rsid w:val="00796292"/>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95A"/>
    <w:rsid w:val="007E3921"/>
    <w:rsid w:val="00801028"/>
    <w:rsid w:val="00803793"/>
    <w:rsid w:val="00807493"/>
    <w:rsid w:val="008149FD"/>
    <w:rsid w:val="00817A01"/>
    <w:rsid w:val="00825E35"/>
    <w:rsid w:val="00825E64"/>
    <w:rsid w:val="00826194"/>
    <w:rsid w:val="008334F8"/>
    <w:rsid w:val="008341AA"/>
    <w:rsid w:val="00845490"/>
    <w:rsid w:val="00847E67"/>
    <w:rsid w:val="00847ED2"/>
    <w:rsid w:val="00854042"/>
    <w:rsid w:val="00863FDD"/>
    <w:rsid w:val="00871F99"/>
    <w:rsid w:val="00876461"/>
    <w:rsid w:val="00876659"/>
    <w:rsid w:val="0087734C"/>
    <w:rsid w:val="00882141"/>
    <w:rsid w:val="008826D0"/>
    <w:rsid w:val="008922A8"/>
    <w:rsid w:val="00895BD5"/>
    <w:rsid w:val="008969F1"/>
    <w:rsid w:val="0089773E"/>
    <w:rsid w:val="008A1587"/>
    <w:rsid w:val="008A16C4"/>
    <w:rsid w:val="008A6589"/>
    <w:rsid w:val="008A6FED"/>
    <w:rsid w:val="008B39C5"/>
    <w:rsid w:val="008B4793"/>
    <w:rsid w:val="008B51AA"/>
    <w:rsid w:val="008B67A6"/>
    <w:rsid w:val="008C0F31"/>
    <w:rsid w:val="008C67F2"/>
    <w:rsid w:val="008D064A"/>
    <w:rsid w:val="008D2B0F"/>
    <w:rsid w:val="008D6228"/>
    <w:rsid w:val="008E2AFD"/>
    <w:rsid w:val="008E449E"/>
    <w:rsid w:val="008F187F"/>
    <w:rsid w:val="008F402F"/>
    <w:rsid w:val="008F4993"/>
    <w:rsid w:val="008F76E8"/>
    <w:rsid w:val="008F7CD0"/>
    <w:rsid w:val="009078A1"/>
    <w:rsid w:val="00911E9C"/>
    <w:rsid w:val="00917405"/>
    <w:rsid w:val="00920F7C"/>
    <w:rsid w:val="00934CAE"/>
    <w:rsid w:val="0094257D"/>
    <w:rsid w:val="009435AB"/>
    <w:rsid w:val="0095467C"/>
    <w:rsid w:val="00954A61"/>
    <w:rsid w:val="00955C6F"/>
    <w:rsid w:val="00966C7B"/>
    <w:rsid w:val="009701DC"/>
    <w:rsid w:val="009715D8"/>
    <w:rsid w:val="00972D10"/>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74F6"/>
    <w:rsid w:val="009E0512"/>
    <w:rsid w:val="009E3A0A"/>
    <w:rsid w:val="009F174D"/>
    <w:rsid w:val="009F3E91"/>
    <w:rsid w:val="00A05068"/>
    <w:rsid w:val="00A13861"/>
    <w:rsid w:val="00A1499B"/>
    <w:rsid w:val="00A1537A"/>
    <w:rsid w:val="00A27403"/>
    <w:rsid w:val="00A314C2"/>
    <w:rsid w:val="00A572DB"/>
    <w:rsid w:val="00A6163A"/>
    <w:rsid w:val="00A63009"/>
    <w:rsid w:val="00A63E86"/>
    <w:rsid w:val="00A63EE7"/>
    <w:rsid w:val="00A65A1C"/>
    <w:rsid w:val="00A757C3"/>
    <w:rsid w:val="00A75E5B"/>
    <w:rsid w:val="00A763E4"/>
    <w:rsid w:val="00A7684A"/>
    <w:rsid w:val="00A83B69"/>
    <w:rsid w:val="00A86533"/>
    <w:rsid w:val="00A91CA2"/>
    <w:rsid w:val="00A92FB8"/>
    <w:rsid w:val="00A948F1"/>
    <w:rsid w:val="00AA1D7D"/>
    <w:rsid w:val="00AB139D"/>
    <w:rsid w:val="00AB3EFB"/>
    <w:rsid w:val="00AB4A98"/>
    <w:rsid w:val="00AC0574"/>
    <w:rsid w:val="00AC0B05"/>
    <w:rsid w:val="00AC3CEB"/>
    <w:rsid w:val="00AD079A"/>
    <w:rsid w:val="00AD1890"/>
    <w:rsid w:val="00AE0687"/>
    <w:rsid w:val="00AE2149"/>
    <w:rsid w:val="00AE33AE"/>
    <w:rsid w:val="00AE3785"/>
    <w:rsid w:val="00AE3F91"/>
    <w:rsid w:val="00AE452F"/>
    <w:rsid w:val="00AE76E6"/>
    <w:rsid w:val="00AF2B21"/>
    <w:rsid w:val="00B00983"/>
    <w:rsid w:val="00B0267C"/>
    <w:rsid w:val="00B039E3"/>
    <w:rsid w:val="00B22838"/>
    <w:rsid w:val="00B33E95"/>
    <w:rsid w:val="00B351F2"/>
    <w:rsid w:val="00B3720B"/>
    <w:rsid w:val="00B37358"/>
    <w:rsid w:val="00B43954"/>
    <w:rsid w:val="00B43A6D"/>
    <w:rsid w:val="00B4730C"/>
    <w:rsid w:val="00B541BC"/>
    <w:rsid w:val="00B54808"/>
    <w:rsid w:val="00B5558A"/>
    <w:rsid w:val="00B56513"/>
    <w:rsid w:val="00B56B2E"/>
    <w:rsid w:val="00B64376"/>
    <w:rsid w:val="00B70494"/>
    <w:rsid w:val="00B7401F"/>
    <w:rsid w:val="00B740A4"/>
    <w:rsid w:val="00B74FA1"/>
    <w:rsid w:val="00B76345"/>
    <w:rsid w:val="00B806C3"/>
    <w:rsid w:val="00B84FCA"/>
    <w:rsid w:val="00B9089F"/>
    <w:rsid w:val="00B91AEE"/>
    <w:rsid w:val="00B93F8C"/>
    <w:rsid w:val="00B95F5A"/>
    <w:rsid w:val="00B96EAD"/>
    <w:rsid w:val="00BA1CA7"/>
    <w:rsid w:val="00BA79F5"/>
    <w:rsid w:val="00BB1F0D"/>
    <w:rsid w:val="00BB3AB6"/>
    <w:rsid w:val="00BB766D"/>
    <w:rsid w:val="00BC007B"/>
    <w:rsid w:val="00BC26BA"/>
    <w:rsid w:val="00BC35F8"/>
    <w:rsid w:val="00BD65C6"/>
    <w:rsid w:val="00BE481D"/>
    <w:rsid w:val="00BF06B9"/>
    <w:rsid w:val="00BF3696"/>
    <w:rsid w:val="00BF376F"/>
    <w:rsid w:val="00BF46A6"/>
    <w:rsid w:val="00C002C8"/>
    <w:rsid w:val="00C007CF"/>
    <w:rsid w:val="00C0634C"/>
    <w:rsid w:val="00C06545"/>
    <w:rsid w:val="00C06BA4"/>
    <w:rsid w:val="00C1161C"/>
    <w:rsid w:val="00C172D1"/>
    <w:rsid w:val="00C220FC"/>
    <w:rsid w:val="00C24DFA"/>
    <w:rsid w:val="00C4214A"/>
    <w:rsid w:val="00C46399"/>
    <w:rsid w:val="00C46A36"/>
    <w:rsid w:val="00C47037"/>
    <w:rsid w:val="00C474A2"/>
    <w:rsid w:val="00C53625"/>
    <w:rsid w:val="00C602C1"/>
    <w:rsid w:val="00C60EC3"/>
    <w:rsid w:val="00C61AFE"/>
    <w:rsid w:val="00C62248"/>
    <w:rsid w:val="00C63FC0"/>
    <w:rsid w:val="00C66392"/>
    <w:rsid w:val="00C6647F"/>
    <w:rsid w:val="00C74C5E"/>
    <w:rsid w:val="00C81F28"/>
    <w:rsid w:val="00C827A2"/>
    <w:rsid w:val="00C82B69"/>
    <w:rsid w:val="00C83483"/>
    <w:rsid w:val="00C853A3"/>
    <w:rsid w:val="00C86146"/>
    <w:rsid w:val="00C8698F"/>
    <w:rsid w:val="00C91B28"/>
    <w:rsid w:val="00C91F3A"/>
    <w:rsid w:val="00C922DE"/>
    <w:rsid w:val="00CA165D"/>
    <w:rsid w:val="00CA6293"/>
    <w:rsid w:val="00CA66F0"/>
    <w:rsid w:val="00CB5797"/>
    <w:rsid w:val="00CC1202"/>
    <w:rsid w:val="00CC7D56"/>
    <w:rsid w:val="00CD09E1"/>
    <w:rsid w:val="00CD6202"/>
    <w:rsid w:val="00CE1E40"/>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879D1"/>
    <w:rsid w:val="00D93F76"/>
    <w:rsid w:val="00D96126"/>
    <w:rsid w:val="00DB1FFF"/>
    <w:rsid w:val="00DB4B1C"/>
    <w:rsid w:val="00DB5085"/>
    <w:rsid w:val="00DC1062"/>
    <w:rsid w:val="00DC132C"/>
    <w:rsid w:val="00DC4543"/>
    <w:rsid w:val="00DD1224"/>
    <w:rsid w:val="00DD2560"/>
    <w:rsid w:val="00DD43F0"/>
    <w:rsid w:val="00DD44DE"/>
    <w:rsid w:val="00DE09AB"/>
    <w:rsid w:val="00DE2B2D"/>
    <w:rsid w:val="00DE4A3F"/>
    <w:rsid w:val="00DE6121"/>
    <w:rsid w:val="00DF4367"/>
    <w:rsid w:val="00E0574A"/>
    <w:rsid w:val="00E07412"/>
    <w:rsid w:val="00E11F17"/>
    <w:rsid w:val="00E1243D"/>
    <w:rsid w:val="00E12742"/>
    <w:rsid w:val="00E13A25"/>
    <w:rsid w:val="00E146D4"/>
    <w:rsid w:val="00E20976"/>
    <w:rsid w:val="00E22B44"/>
    <w:rsid w:val="00E30ACD"/>
    <w:rsid w:val="00E32735"/>
    <w:rsid w:val="00E450C0"/>
    <w:rsid w:val="00E662C9"/>
    <w:rsid w:val="00E667C6"/>
    <w:rsid w:val="00E66E36"/>
    <w:rsid w:val="00E66FE7"/>
    <w:rsid w:val="00E702ED"/>
    <w:rsid w:val="00E709A4"/>
    <w:rsid w:val="00E726ED"/>
    <w:rsid w:val="00E73822"/>
    <w:rsid w:val="00E772DB"/>
    <w:rsid w:val="00E81B8B"/>
    <w:rsid w:val="00E86012"/>
    <w:rsid w:val="00E86BAB"/>
    <w:rsid w:val="00E918F7"/>
    <w:rsid w:val="00E91B84"/>
    <w:rsid w:val="00E94E10"/>
    <w:rsid w:val="00E9502E"/>
    <w:rsid w:val="00E96743"/>
    <w:rsid w:val="00E96A42"/>
    <w:rsid w:val="00EA0A36"/>
    <w:rsid w:val="00EA49C5"/>
    <w:rsid w:val="00EA5107"/>
    <w:rsid w:val="00EA5D8A"/>
    <w:rsid w:val="00EA5F3B"/>
    <w:rsid w:val="00EB0C34"/>
    <w:rsid w:val="00EB5027"/>
    <w:rsid w:val="00EC1836"/>
    <w:rsid w:val="00EC3990"/>
    <w:rsid w:val="00EC484B"/>
    <w:rsid w:val="00EC65B0"/>
    <w:rsid w:val="00ED15FA"/>
    <w:rsid w:val="00ED45E5"/>
    <w:rsid w:val="00EE275B"/>
    <w:rsid w:val="00EE6E9A"/>
    <w:rsid w:val="00EF0BF1"/>
    <w:rsid w:val="00EF2AC4"/>
    <w:rsid w:val="00EF38E4"/>
    <w:rsid w:val="00EF397E"/>
    <w:rsid w:val="00EF5FC8"/>
    <w:rsid w:val="00F06F68"/>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1D8D"/>
    <w:rsid w:val="00F634AD"/>
    <w:rsid w:val="00F63677"/>
    <w:rsid w:val="00F75B81"/>
    <w:rsid w:val="00F75D8A"/>
    <w:rsid w:val="00F804C4"/>
    <w:rsid w:val="00F82F83"/>
    <w:rsid w:val="00F82FED"/>
    <w:rsid w:val="00F832E5"/>
    <w:rsid w:val="00F87D65"/>
    <w:rsid w:val="00F92B30"/>
    <w:rsid w:val="00F933B9"/>
    <w:rsid w:val="00F94674"/>
    <w:rsid w:val="00F94919"/>
    <w:rsid w:val="00F94A59"/>
    <w:rsid w:val="00FA25B6"/>
    <w:rsid w:val="00FA2FAF"/>
    <w:rsid w:val="00FA573B"/>
    <w:rsid w:val="00FA64B1"/>
    <w:rsid w:val="00FA70F3"/>
    <w:rsid w:val="00FA71CD"/>
    <w:rsid w:val="00FB0453"/>
    <w:rsid w:val="00FB0C07"/>
    <w:rsid w:val="00FB298D"/>
    <w:rsid w:val="00FC1439"/>
    <w:rsid w:val="00FC724B"/>
    <w:rsid w:val="00FC7910"/>
    <w:rsid w:val="00FF0DA7"/>
    <w:rsid w:val="00FF1022"/>
    <w:rsid w:val="00FF44E0"/>
    <w:rsid w:val="00FF624C"/>
    <w:rsid w:val="00FF6C72"/>
    <w:rsid w:val="00FF783A"/>
    <w:rsid w:val="01621FDB"/>
    <w:rsid w:val="01B03BEA"/>
    <w:rsid w:val="02BF6C59"/>
    <w:rsid w:val="048802D5"/>
    <w:rsid w:val="04B765A2"/>
    <w:rsid w:val="05717C88"/>
    <w:rsid w:val="059321F1"/>
    <w:rsid w:val="05AF72A0"/>
    <w:rsid w:val="05B42F17"/>
    <w:rsid w:val="05EE32AE"/>
    <w:rsid w:val="061E4FDD"/>
    <w:rsid w:val="06287461"/>
    <w:rsid w:val="08414ECC"/>
    <w:rsid w:val="0866535E"/>
    <w:rsid w:val="086A1DB6"/>
    <w:rsid w:val="0954653B"/>
    <w:rsid w:val="09734E97"/>
    <w:rsid w:val="0A0236B4"/>
    <w:rsid w:val="0A5C407D"/>
    <w:rsid w:val="0ADC290F"/>
    <w:rsid w:val="0B3655F3"/>
    <w:rsid w:val="0B510EC7"/>
    <w:rsid w:val="0C0E0A28"/>
    <w:rsid w:val="0C5C2F82"/>
    <w:rsid w:val="0CC86361"/>
    <w:rsid w:val="0D262A20"/>
    <w:rsid w:val="0F8347BD"/>
    <w:rsid w:val="0FC30BF6"/>
    <w:rsid w:val="0FE9248E"/>
    <w:rsid w:val="101C5764"/>
    <w:rsid w:val="10E8616A"/>
    <w:rsid w:val="119E52F8"/>
    <w:rsid w:val="11CD084A"/>
    <w:rsid w:val="11F052D6"/>
    <w:rsid w:val="125E1788"/>
    <w:rsid w:val="12BF694C"/>
    <w:rsid w:val="145C4675"/>
    <w:rsid w:val="1475265D"/>
    <w:rsid w:val="14CA2036"/>
    <w:rsid w:val="14D2451C"/>
    <w:rsid w:val="150C08C6"/>
    <w:rsid w:val="157B6A2B"/>
    <w:rsid w:val="15D65C30"/>
    <w:rsid w:val="16C60CFC"/>
    <w:rsid w:val="16CF07A1"/>
    <w:rsid w:val="17E91507"/>
    <w:rsid w:val="18031DFC"/>
    <w:rsid w:val="180F1FC9"/>
    <w:rsid w:val="18633FE4"/>
    <w:rsid w:val="19A32436"/>
    <w:rsid w:val="1A7B316A"/>
    <w:rsid w:val="1BD44E29"/>
    <w:rsid w:val="1CD93E41"/>
    <w:rsid w:val="1D864D41"/>
    <w:rsid w:val="1DDA6DF1"/>
    <w:rsid w:val="1E8A0F92"/>
    <w:rsid w:val="1F04109E"/>
    <w:rsid w:val="1F244811"/>
    <w:rsid w:val="1F9711FA"/>
    <w:rsid w:val="20126D60"/>
    <w:rsid w:val="21030661"/>
    <w:rsid w:val="211654D1"/>
    <w:rsid w:val="214D4F9D"/>
    <w:rsid w:val="218D5DCC"/>
    <w:rsid w:val="21A00E17"/>
    <w:rsid w:val="21C422DC"/>
    <w:rsid w:val="21C85928"/>
    <w:rsid w:val="21F7445F"/>
    <w:rsid w:val="21F7620D"/>
    <w:rsid w:val="226326A4"/>
    <w:rsid w:val="22763AFE"/>
    <w:rsid w:val="23286581"/>
    <w:rsid w:val="23576714"/>
    <w:rsid w:val="23663C2F"/>
    <w:rsid w:val="242A2846"/>
    <w:rsid w:val="245943B5"/>
    <w:rsid w:val="247C1540"/>
    <w:rsid w:val="25754019"/>
    <w:rsid w:val="25F018F1"/>
    <w:rsid w:val="26AF5025"/>
    <w:rsid w:val="278B4F71"/>
    <w:rsid w:val="28251390"/>
    <w:rsid w:val="28CE2356"/>
    <w:rsid w:val="290A2CCA"/>
    <w:rsid w:val="295A2A3F"/>
    <w:rsid w:val="29F63606"/>
    <w:rsid w:val="2A1B7069"/>
    <w:rsid w:val="2A2A21AD"/>
    <w:rsid w:val="2AAD7DB1"/>
    <w:rsid w:val="2C7C57CA"/>
    <w:rsid w:val="2E141EF5"/>
    <w:rsid w:val="2E1A575D"/>
    <w:rsid w:val="2E36227F"/>
    <w:rsid w:val="2E8E4CE9"/>
    <w:rsid w:val="2EA339A5"/>
    <w:rsid w:val="2F3C3432"/>
    <w:rsid w:val="2F7D1FC6"/>
    <w:rsid w:val="3038636F"/>
    <w:rsid w:val="30A754DF"/>
    <w:rsid w:val="322B48DA"/>
    <w:rsid w:val="337E5DD0"/>
    <w:rsid w:val="33D161E8"/>
    <w:rsid w:val="34B2511B"/>
    <w:rsid w:val="352C2916"/>
    <w:rsid w:val="371847E2"/>
    <w:rsid w:val="37BF2AC2"/>
    <w:rsid w:val="38675A43"/>
    <w:rsid w:val="39185E60"/>
    <w:rsid w:val="3ACC1DE3"/>
    <w:rsid w:val="3B214C05"/>
    <w:rsid w:val="3B6732A7"/>
    <w:rsid w:val="3B796242"/>
    <w:rsid w:val="3CEF068E"/>
    <w:rsid w:val="3D6E29D8"/>
    <w:rsid w:val="3DAC0EE9"/>
    <w:rsid w:val="3E314816"/>
    <w:rsid w:val="3E55633E"/>
    <w:rsid w:val="3E691DE9"/>
    <w:rsid w:val="3E9512FD"/>
    <w:rsid w:val="3EBE2135"/>
    <w:rsid w:val="3F42428E"/>
    <w:rsid w:val="3F823162"/>
    <w:rsid w:val="3FB84DD6"/>
    <w:rsid w:val="402F520E"/>
    <w:rsid w:val="41250249"/>
    <w:rsid w:val="41377F7D"/>
    <w:rsid w:val="413A09E6"/>
    <w:rsid w:val="41471C8C"/>
    <w:rsid w:val="41676AB4"/>
    <w:rsid w:val="436037BB"/>
    <w:rsid w:val="44046D3B"/>
    <w:rsid w:val="44F24093"/>
    <w:rsid w:val="45D715E1"/>
    <w:rsid w:val="45F45FF3"/>
    <w:rsid w:val="465F740E"/>
    <w:rsid w:val="4A3825B9"/>
    <w:rsid w:val="4A3F618E"/>
    <w:rsid w:val="4A6D07B9"/>
    <w:rsid w:val="4B497F7A"/>
    <w:rsid w:val="4BB75CCC"/>
    <w:rsid w:val="4BD9233D"/>
    <w:rsid w:val="4BE12910"/>
    <w:rsid w:val="4CDC7AA1"/>
    <w:rsid w:val="4F2E78B5"/>
    <w:rsid w:val="51233DD7"/>
    <w:rsid w:val="52377F97"/>
    <w:rsid w:val="53110BF4"/>
    <w:rsid w:val="53310ADA"/>
    <w:rsid w:val="53CE4739"/>
    <w:rsid w:val="543C1CC1"/>
    <w:rsid w:val="54727336"/>
    <w:rsid w:val="54866DF9"/>
    <w:rsid w:val="5607799E"/>
    <w:rsid w:val="5696684F"/>
    <w:rsid w:val="58F509F1"/>
    <w:rsid w:val="59C4319E"/>
    <w:rsid w:val="59E4582B"/>
    <w:rsid w:val="59FC4F8A"/>
    <w:rsid w:val="5A4D7877"/>
    <w:rsid w:val="5A6804AB"/>
    <w:rsid w:val="5C372975"/>
    <w:rsid w:val="5C740423"/>
    <w:rsid w:val="5C7F166A"/>
    <w:rsid w:val="5E554AD3"/>
    <w:rsid w:val="5E5B12F6"/>
    <w:rsid w:val="5F42525F"/>
    <w:rsid w:val="5FBF7663"/>
    <w:rsid w:val="5FDF6AB4"/>
    <w:rsid w:val="604D40FC"/>
    <w:rsid w:val="60D70DF6"/>
    <w:rsid w:val="622D7DE6"/>
    <w:rsid w:val="625E3163"/>
    <w:rsid w:val="62791362"/>
    <w:rsid w:val="629D2560"/>
    <w:rsid w:val="637A3CA6"/>
    <w:rsid w:val="644E6FB5"/>
    <w:rsid w:val="644F31D5"/>
    <w:rsid w:val="64EC6D10"/>
    <w:rsid w:val="66197A87"/>
    <w:rsid w:val="6623097E"/>
    <w:rsid w:val="67126006"/>
    <w:rsid w:val="674A241E"/>
    <w:rsid w:val="67BB0B3F"/>
    <w:rsid w:val="682F07AA"/>
    <w:rsid w:val="68751207"/>
    <w:rsid w:val="68807C64"/>
    <w:rsid w:val="688C69CF"/>
    <w:rsid w:val="68CD5DAB"/>
    <w:rsid w:val="68E777C5"/>
    <w:rsid w:val="69C21C42"/>
    <w:rsid w:val="6A570167"/>
    <w:rsid w:val="6AC61574"/>
    <w:rsid w:val="6B087209"/>
    <w:rsid w:val="6B3E7572"/>
    <w:rsid w:val="6BE2044C"/>
    <w:rsid w:val="6EDB6611"/>
    <w:rsid w:val="6FBC2114"/>
    <w:rsid w:val="705F607C"/>
    <w:rsid w:val="70902932"/>
    <w:rsid w:val="70F56BEF"/>
    <w:rsid w:val="71533028"/>
    <w:rsid w:val="71946328"/>
    <w:rsid w:val="71BF33D8"/>
    <w:rsid w:val="71DC79A6"/>
    <w:rsid w:val="735D4003"/>
    <w:rsid w:val="73D56FFD"/>
    <w:rsid w:val="73FA265E"/>
    <w:rsid w:val="740C0C71"/>
    <w:rsid w:val="74714F78"/>
    <w:rsid w:val="748C2191"/>
    <w:rsid w:val="74D745B8"/>
    <w:rsid w:val="74F764D9"/>
    <w:rsid w:val="75C537CD"/>
    <w:rsid w:val="766377D4"/>
    <w:rsid w:val="76DE7671"/>
    <w:rsid w:val="76E73479"/>
    <w:rsid w:val="771D30BE"/>
    <w:rsid w:val="77FD363B"/>
    <w:rsid w:val="784E1FE2"/>
    <w:rsid w:val="78803D6C"/>
    <w:rsid w:val="7B0809BE"/>
    <w:rsid w:val="7C25495A"/>
    <w:rsid w:val="7C5173AC"/>
    <w:rsid w:val="7CCC5441"/>
    <w:rsid w:val="7DB52BB3"/>
    <w:rsid w:val="7DDC0B9A"/>
    <w:rsid w:val="7E490EF5"/>
    <w:rsid w:val="7E6E4733"/>
    <w:rsid w:val="7EAB4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6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3"/>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60"/>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49"/>
    <w:autoRedefine/>
    <w:qFormat/>
    <w:uiPriority w:val="99"/>
    <w:rPr>
      <w:rFonts w:ascii="宋体" w:hAnsi="Courier New" w:eastAsiaTheme="minorEastAsia" w:cstheme="minorBidi"/>
      <w:szCs w:val="22"/>
    </w:rPr>
  </w:style>
  <w:style w:type="paragraph" w:styleId="13">
    <w:name w:val="Date"/>
    <w:basedOn w:val="1"/>
    <w:next w:val="1"/>
    <w:link w:val="56"/>
    <w:autoRedefine/>
    <w:qFormat/>
    <w:uiPriority w:val="0"/>
    <w:rPr>
      <w:rFonts w:ascii="Arial" w:hAnsi="Arial" w:eastAsia="宋体" w:cs="Arial"/>
      <w:b/>
      <w:sz w:val="28"/>
    </w:rPr>
  </w:style>
  <w:style w:type="paragraph" w:styleId="14">
    <w:name w:val="Body Text Indent 2"/>
    <w:basedOn w:val="1"/>
    <w:next w:val="1"/>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15">
    <w:name w:val="Balloon Text"/>
    <w:basedOn w:val="1"/>
    <w:link w:val="43"/>
    <w:autoRedefine/>
    <w:semiHidden/>
    <w:unhideWhenUsed/>
    <w:qFormat/>
    <w:uiPriority w:val="99"/>
    <w:rPr>
      <w:sz w:val="18"/>
      <w:szCs w:val="18"/>
    </w:rPr>
  </w:style>
  <w:style w:type="paragraph" w:styleId="16">
    <w:name w:val="footer"/>
    <w:basedOn w:val="1"/>
    <w:link w:val="48"/>
    <w:autoRedefine/>
    <w:unhideWhenUsed/>
    <w:qFormat/>
    <w:uiPriority w:val="99"/>
    <w:pPr>
      <w:tabs>
        <w:tab w:val="center" w:pos="4153"/>
        <w:tab w:val="right" w:pos="8306"/>
      </w:tabs>
      <w:snapToGrid w:val="0"/>
      <w:jc w:val="left"/>
    </w:pPr>
    <w:rPr>
      <w:sz w:val="18"/>
      <w:szCs w:val="18"/>
    </w:rPr>
  </w:style>
  <w:style w:type="paragraph" w:styleId="17">
    <w:name w:val="envelope return"/>
    <w:basedOn w:val="1"/>
    <w:next w:val="6"/>
    <w:qFormat/>
    <w:uiPriority w:val="0"/>
    <w:pPr>
      <w:snapToGrid w:val="0"/>
    </w:pPr>
    <w:rPr>
      <w:rFonts w:ascii="Arial" w:hAnsi="Arial"/>
    </w:rPr>
  </w:style>
  <w:style w:type="paragraph" w:styleId="18">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List"/>
    <w:basedOn w:val="1"/>
    <w:next w:val="1"/>
    <w:qFormat/>
    <w:uiPriority w:val="0"/>
    <w:pPr>
      <w:ind w:left="420" w:hanging="420"/>
    </w:pPr>
    <w:rPr>
      <w:rFonts w:ascii="Arial" w:hAnsi="Arial" w:eastAsia="楷体_GB2312"/>
      <w:sz w:val="28"/>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Normal (Web)"/>
    <w:basedOn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0"/>
    <w:qFormat/>
    <w:uiPriority w:val="0"/>
    <w:pPr>
      <w:spacing w:line="360" w:lineRule="auto"/>
      <w:ind w:firstLine="200" w:firstLineChars="200"/>
    </w:pPr>
    <w:rPr>
      <w:rFonts w:ascii="宋体"/>
    </w:rPr>
  </w:style>
  <w:style w:type="table" w:styleId="27">
    <w:name w:val="Table Grid"/>
    <w:basedOn w:val="26"/>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5C5C5C"/>
      <w:u w:val="none"/>
    </w:rPr>
  </w:style>
  <w:style w:type="character" w:styleId="31">
    <w:name w:val="Emphasis"/>
    <w:basedOn w:val="28"/>
    <w:qFormat/>
    <w:uiPriority w:val="20"/>
    <w:rPr>
      <w:b/>
      <w:bCs/>
    </w:rPr>
  </w:style>
  <w:style w:type="character" w:styleId="32">
    <w:name w:val="HTML Definition"/>
    <w:basedOn w:val="28"/>
    <w:semiHidden/>
    <w:unhideWhenUsed/>
    <w:qFormat/>
    <w:uiPriority w:val="99"/>
  </w:style>
  <w:style w:type="character" w:styleId="33">
    <w:name w:val="HTML Typewriter"/>
    <w:basedOn w:val="28"/>
    <w:semiHidden/>
    <w:unhideWhenUsed/>
    <w:qFormat/>
    <w:uiPriority w:val="99"/>
    <w:rPr>
      <w:rFonts w:hint="default" w:ascii="monospace" w:hAnsi="monospace" w:eastAsia="monospace" w:cs="monospace"/>
      <w:sz w:val="20"/>
    </w:rPr>
  </w:style>
  <w:style w:type="character" w:styleId="34">
    <w:name w:val="HTML Acronym"/>
    <w:basedOn w:val="28"/>
    <w:semiHidden/>
    <w:unhideWhenUsed/>
    <w:qFormat/>
    <w:uiPriority w:val="99"/>
  </w:style>
  <w:style w:type="character" w:styleId="35">
    <w:name w:val="HTML Variable"/>
    <w:basedOn w:val="28"/>
    <w:semiHidden/>
    <w:unhideWhenUsed/>
    <w:qFormat/>
    <w:uiPriority w:val="99"/>
  </w:style>
  <w:style w:type="character" w:styleId="36">
    <w:name w:val="Hyperlink"/>
    <w:basedOn w:val="28"/>
    <w:autoRedefine/>
    <w:unhideWhenUsed/>
    <w:qFormat/>
    <w:uiPriority w:val="99"/>
    <w:rPr>
      <w:color w:val="0000FF" w:themeColor="hyperlink"/>
      <w:u w:val="single"/>
      <w14:textFill>
        <w14:solidFill>
          <w14:schemeClr w14:val="hlink"/>
        </w14:solidFill>
      </w14:textFill>
    </w:rPr>
  </w:style>
  <w:style w:type="character" w:styleId="37">
    <w:name w:val="HTML Code"/>
    <w:basedOn w:val="28"/>
    <w:semiHidden/>
    <w:unhideWhenUsed/>
    <w:qFormat/>
    <w:uiPriority w:val="99"/>
    <w:rPr>
      <w:rFonts w:hint="default" w:ascii="monospace" w:hAnsi="monospace" w:eastAsia="monospace" w:cs="monospace"/>
      <w:sz w:val="20"/>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hint="default" w:ascii="monospace" w:hAnsi="monospace" w:eastAsia="monospace" w:cs="monospace"/>
      <w:color w:val="D6D6D6"/>
      <w:sz w:val="20"/>
    </w:rPr>
  </w:style>
  <w:style w:type="character" w:styleId="40">
    <w:name w:val="HTML Sample"/>
    <w:basedOn w:val="28"/>
    <w:semiHidden/>
    <w:unhideWhenUsed/>
    <w:qFormat/>
    <w:uiPriority w:val="99"/>
    <w:rPr>
      <w:rFonts w:ascii="monospace" w:hAnsi="monospace" w:eastAsia="monospace" w:cs="monospace"/>
    </w:rPr>
  </w:style>
  <w:style w:type="paragraph" w:customStyle="1" w:styleId="41">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42">
    <w:name w:val="正文文字 8"/>
    <w:basedOn w:val="1"/>
    <w:next w:val="1"/>
    <w:qFormat/>
    <w:uiPriority w:val="0"/>
    <w:pPr>
      <w:ind w:left="240"/>
    </w:pPr>
    <w:rPr>
      <w:sz w:val="16"/>
    </w:rPr>
  </w:style>
  <w:style w:type="character" w:customStyle="1" w:styleId="43">
    <w:name w:val="批注框文本 Char"/>
    <w:basedOn w:val="28"/>
    <w:link w:val="15"/>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Char"/>
    <w:basedOn w:val="28"/>
    <w:link w:val="18"/>
    <w:autoRedefine/>
    <w:qFormat/>
    <w:uiPriority w:val="0"/>
    <w:rPr>
      <w:rFonts w:ascii="@仿宋_GB2312" w:hAnsi="@仿宋_GB2312" w:eastAsia="@仿宋_GB2312" w:cs="@仿宋_GB2312"/>
      <w:sz w:val="18"/>
      <w:szCs w:val="18"/>
    </w:rPr>
  </w:style>
  <w:style w:type="character" w:customStyle="1" w:styleId="48">
    <w:name w:val="页脚 Char"/>
    <w:basedOn w:val="28"/>
    <w:link w:val="16"/>
    <w:autoRedefine/>
    <w:qFormat/>
    <w:uiPriority w:val="99"/>
    <w:rPr>
      <w:rFonts w:ascii="@仿宋_GB2312" w:hAnsi="@仿宋_GB2312" w:eastAsia="@仿宋_GB2312" w:cs="@仿宋_GB2312"/>
      <w:sz w:val="18"/>
      <w:szCs w:val="18"/>
    </w:rPr>
  </w:style>
  <w:style w:type="character" w:customStyle="1" w:styleId="49">
    <w:name w:val="纯文本 Char"/>
    <w:link w:val="12"/>
    <w:autoRedefine/>
    <w:qFormat/>
    <w:uiPriority w:val="0"/>
    <w:rPr>
      <w:rFonts w:ascii="宋体" w:hAnsi="Courier New"/>
    </w:rPr>
  </w:style>
  <w:style w:type="character" w:customStyle="1" w:styleId="50">
    <w:name w:val="纯文本 字符1"/>
    <w:basedOn w:val="28"/>
    <w:autoRedefine/>
    <w:semiHidden/>
    <w:qFormat/>
    <w:uiPriority w:val="99"/>
    <w:rPr>
      <w:rFonts w:hAnsi="Courier New" w:cs="Courier New" w:asciiTheme="minorEastAsia"/>
      <w:szCs w:val="20"/>
    </w:rPr>
  </w:style>
  <w:style w:type="character" w:customStyle="1" w:styleId="51">
    <w:name w:val="未处理的提及1"/>
    <w:basedOn w:val="28"/>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28"/>
    <w:autoRedefine/>
    <w:semiHidden/>
    <w:qFormat/>
    <w:uiPriority w:val="99"/>
    <w:rPr>
      <w:rFonts w:ascii="@仿宋_GB2312" w:hAnsi="@仿宋_GB2312" w:eastAsia="@仿宋_GB2312" w:cs="@仿宋_GB2312"/>
      <w:szCs w:val="20"/>
    </w:rPr>
  </w:style>
  <w:style w:type="character" w:customStyle="1" w:styleId="56">
    <w:name w:val="日期 Char"/>
    <w:link w:val="13"/>
    <w:autoRedefine/>
    <w:qFormat/>
    <w:uiPriority w:val="0"/>
    <w:rPr>
      <w:rFonts w:ascii="Arial" w:hAnsi="Arial" w:eastAsia="宋体" w:cs="Arial"/>
      <w:b/>
      <w:sz w:val="28"/>
      <w:szCs w:val="20"/>
    </w:rPr>
  </w:style>
  <w:style w:type="character" w:customStyle="1" w:styleId="57">
    <w:name w:val="纯文本 Char1"/>
    <w:link w:val="58"/>
    <w:autoRedefine/>
    <w:qFormat/>
    <w:locked/>
    <w:uiPriority w:val="0"/>
    <w:rPr>
      <w:rFonts w:ascii="Arial" w:hAnsi="Arial" w:eastAsia="Arial"/>
      <w:kern w:val="2"/>
      <w:sz w:val="21"/>
      <w:lang w:val="en-US" w:eastAsia="zh-CN" w:bidi="ar-SA"/>
    </w:rPr>
  </w:style>
  <w:style w:type="paragraph" w:customStyle="1" w:styleId="58">
    <w:name w:val="纯文本1"/>
    <w:basedOn w:val="1"/>
    <w:link w:val="57"/>
    <w:autoRedefine/>
    <w:qFormat/>
    <w:uiPriority w:val="0"/>
    <w:rPr>
      <w:rFonts w:ascii="Arial" w:hAnsi="Arial" w:eastAsia="Arial" w:cstheme="minorBidi"/>
      <w:szCs w:val="22"/>
    </w:rPr>
  </w:style>
  <w:style w:type="character" w:customStyle="1" w:styleId="59">
    <w:name w:val="批注文字 Char"/>
    <w:basedOn w:val="28"/>
    <w:autoRedefine/>
    <w:semiHidden/>
    <w:qFormat/>
    <w:uiPriority w:val="99"/>
    <w:rPr>
      <w:rFonts w:ascii="@仿宋_GB2312" w:hAnsi="@仿宋_GB2312" w:eastAsia="@仿宋_GB2312" w:cs="@仿宋_GB2312"/>
      <w:szCs w:val="20"/>
    </w:rPr>
  </w:style>
  <w:style w:type="character" w:customStyle="1" w:styleId="60">
    <w:name w:val="批注文字 Char1"/>
    <w:link w:val="8"/>
    <w:autoRedefine/>
    <w:qFormat/>
    <w:uiPriority w:val="0"/>
    <w:rPr>
      <w:rFonts w:ascii="Arial" w:hAnsi="Arial" w:eastAsia="黑体" w:cs="Arial"/>
      <w:szCs w:val="20"/>
    </w:rPr>
  </w:style>
  <w:style w:type="character" w:customStyle="1" w:styleId="61">
    <w:name w:val="标题 1 Char"/>
    <w:basedOn w:val="28"/>
    <w:link w:val="2"/>
    <w:autoRedefine/>
    <w:qFormat/>
    <w:uiPriority w:val="9"/>
    <w:rPr>
      <w:rFonts w:ascii="@仿宋_GB2312" w:hAnsi="@仿宋_GB2312" w:eastAsia="@仿宋_GB2312" w:cs="@仿宋_GB2312"/>
      <w:b/>
      <w:bCs/>
      <w:kern w:val="44"/>
      <w:sz w:val="44"/>
      <w:szCs w:val="44"/>
    </w:rPr>
  </w:style>
  <w:style w:type="paragraph" w:customStyle="1" w:styleId="62">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标题 3 Char"/>
    <w:basedOn w:val="28"/>
    <w:link w:val="4"/>
    <w:autoRedefine/>
    <w:semiHidden/>
    <w:qFormat/>
    <w:uiPriority w:val="9"/>
    <w:rPr>
      <w:rFonts w:ascii="@仿宋_GB2312" w:hAnsi="@仿宋_GB2312" w:eastAsia="@仿宋_GB2312" w:cs="@仿宋_GB2312"/>
      <w:b/>
      <w:bCs/>
      <w:sz w:val="32"/>
      <w:szCs w:val="32"/>
    </w:rPr>
  </w:style>
  <w:style w:type="character" w:customStyle="1" w:styleId="64">
    <w:name w:val="fontstyle01"/>
    <w:basedOn w:val="28"/>
    <w:autoRedefine/>
    <w:qFormat/>
    <w:uiPriority w:val="0"/>
    <w:rPr>
      <w:rFonts w:hint="eastAsia" w:ascii="宋体" w:hAnsi="宋体" w:eastAsia="宋体"/>
      <w:color w:val="000000"/>
      <w:sz w:val="22"/>
      <w:szCs w:val="22"/>
    </w:rPr>
  </w:style>
  <w:style w:type="character" w:customStyle="1" w:styleId="65">
    <w:name w:val="fontstyle21"/>
    <w:basedOn w:val="28"/>
    <w:autoRedefine/>
    <w:qFormat/>
    <w:uiPriority w:val="0"/>
    <w:rPr>
      <w:rFonts w:hint="default" w:ascii="TimesNewRomanPSMT" w:hAnsi="TimesNewRomanPSMT"/>
      <w:color w:val="000000"/>
      <w:sz w:val="22"/>
      <w:szCs w:val="22"/>
    </w:rPr>
  </w:style>
  <w:style w:type="character" w:customStyle="1" w:styleId="6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7">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8">
    <w:name w:val="标题 4 Char"/>
    <w:link w:val="5"/>
    <w:autoRedefine/>
    <w:qFormat/>
    <w:uiPriority w:val="0"/>
    <w:rPr>
      <w:rFonts w:ascii="@仿宋_GB2312" w:hAnsi="@仿宋_GB2312" w:eastAsia="@仿宋_GB2312" w:cs="@仿宋_GB2312"/>
      <w:b/>
      <w:bCs/>
      <w:sz w:val="28"/>
      <w:szCs w:val="28"/>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paragraph" w:customStyle="1" w:styleId="7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列出段落1"/>
    <w:basedOn w:val="1"/>
    <w:autoRedefine/>
    <w:qFormat/>
    <w:uiPriority w:val="0"/>
    <w:pPr>
      <w:ind w:firstLine="420" w:firstLineChars="200"/>
    </w:pPr>
    <w:rPr>
      <w:szCs w:val="21"/>
    </w:rPr>
  </w:style>
  <w:style w:type="character" w:customStyle="1" w:styleId="73">
    <w:name w:val="hover"/>
    <w:basedOn w:val="28"/>
    <w:qFormat/>
    <w:uiPriority w:val="0"/>
    <w:rPr>
      <w:color w:val="2590EB"/>
      <w:shd w:val="clear" w:color="auto" w:fill="E9F4FD"/>
    </w:rPr>
  </w:style>
  <w:style w:type="character" w:customStyle="1" w:styleId="74">
    <w:name w:val="hover1"/>
    <w:basedOn w:val="28"/>
    <w:qFormat/>
    <w:uiPriority w:val="0"/>
    <w:rPr>
      <w:color w:val="2590EB"/>
    </w:rPr>
  </w:style>
  <w:style w:type="character" w:customStyle="1" w:styleId="75">
    <w:name w:val="hover2"/>
    <w:basedOn w:val="28"/>
    <w:qFormat/>
    <w:uiPriority w:val="0"/>
    <w:rPr>
      <w:color w:val="2590EB"/>
    </w:rPr>
  </w:style>
  <w:style w:type="character" w:customStyle="1" w:styleId="76">
    <w:name w:val="hover3"/>
    <w:basedOn w:val="28"/>
    <w:qFormat/>
    <w:uiPriority w:val="0"/>
  </w:style>
  <w:style w:type="character" w:customStyle="1" w:styleId="77">
    <w:name w:val="hover4"/>
    <w:basedOn w:val="28"/>
    <w:qFormat/>
    <w:uiPriority w:val="0"/>
    <w:rPr>
      <w:color w:val="2590EB"/>
      <w:shd w:val="clear" w:color="auto" w:fill="E9F4FD"/>
    </w:rPr>
  </w:style>
  <w:style w:type="character" w:customStyle="1" w:styleId="78">
    <w:name w:val="layui-this"/>
    <w:basedOn w:val="28"/>
    <w:qFormat/>
    <w:uiPriority w:val="0"/>
    <w:rPr>
      <w:bdr w:val="single" w:color="EEEEEE" w:sz="6" w:space="0"/>
      <w:shd w:val="clear" w:fill="FFFFFF"/>
    </w:rPr>
  </w:style>
  <w:style w:type="character" w:customStyle="1" w:styleId="79">
    <w:name w:val="first-child"/>
    <w:basedOn w:val="28"/>
    <w:qFormat/>
    <w:uiPriority w:val="0"/>
  </w:style>
  <w:style w:type="character" w:customStyle="1" w:styleId="80">
    <w:name w:val="font41"/>
    <w:basedOn w:val="28"/>
    <w:qFormat/>
    <w:uiPriority w:val="0"/>
    <w:rPr>
      <w:rFonts w:hint="eastAsia" w:ascii="宋体" w:hAnsi="宋体" w:eastAsia="宋体" w:cs="宋体"/>
      <w:color w:val="000000"/>
      <w:sz w:val="20"/>
      <w:szCs w:val="20"/>
      <w:u w:val="none"/>
    </w:rPr>
  </w:style>
  <w:style w:type="character" w:customStyle="1" w:styleId="81">
    <w:name w:val="font71"/>
    <w:basedOn w:val="28"/>
    <w:qFormat/>
    <w:uiPriority w:val="0"/>
    <w:rPr>
      <w:rFonts w:ascii="MS Sans Serif" w:hAnsi="MS Sans Serif" w:eastAsia="MS Sans Serif" w:cs="MS Sans Serif"/>
      <w:color w:val="000000"/>
      <w:sz w:val="20"/>
      <w:szCs w:val="20"/>
      <w:u w:val="none"/>
    </w:rPr>
  </w:style>
  <w:style w:type="character" w:customStyle="1" w:styleId="82">
    <w:name w:val="time"/>
    <w:basedOn w:val="28"/>
    <w:qFormat/>
    <w:uiPriority w:val="0"/>
  </w:style>
  <w:style w:type="character" w:customStyle="1" w:styleId="83">
    <w:name w:val="status"/>
    <w:basedOn w:val="28"/>
    <w:qFormat/>
    <w:uiPriority w:val="0"/>
    <w:rPr>
      <w:color w:val="0776DD"/>
    </w:rPr>
  </w:style>
  <w:style w:type="character" w:customStyle="1" w:styleId="84">
    <w:name w:val="font81"/>
    <w:basedOn w:val="28"/>
    <w:qFormat/>
    <w:uiPriority w:val="0"/>
    <w:rPr>
      <w:rFonts w:hint="eastAsia" w:ascii="宋体" w:hAnsi="宋体" w:eastAsia="宋体" w:cs="宋体"/>
      <w:b/>
      <w:bCs/>
      <w:color w:val="000000"/>
      <w:sz w:val="20"/>
      <w:szCs w:val="20"/>
      <w:u w:val="none"/>
    </w:rPr>
  </w:style>
  <w:style w:type="character" w:customStyle="1" w:styleId="85">
    <w:name w:val="font91"/>
    <w:basedOn w:val="28"/>
    <w:qFormat/>
    <w:uiPriority w:val="0"/>
    <w:rPr>
      <w:rFonts w:ascii="Calibri" w:hAnsi="Calibri" w:cs="Calibri"/>
      <w:color w:val="000000"/>
      <w:sz w:val="20"/>
      <w:szCs w:val="20"/>
      <w:u w:val="none"/>
    </w:rPr>
  </w:style>
  <w:style w:type="character" w:customStyle="1" w:styleId="86">
    <w:name w:val="font31"/>
    <w:basedOn w:val="28"/>
    <w:qFormat/>
    <w:uiPriority w:val="0"/>
    <w:rPr>
      <w:rFonts w:hint="eastAsia" w:ascii="宋体" w:hAnsi="宋体" w:eastAsia="宋体" w:cs="宋体"/>
      <w:color w:val="000000"/>
      <w:sz w:val="20"/>
      <w:szCs w:val="20"/>
      <w:u w:val="none"/>
    </w:rPr>
  </w:style>
  <w:style w:type="character" w:customStyle="1" w:styleId="87">
    <w:name w:val="font101"/>
    <w:basedOn w:val="28"/>
    <w:qFormat/>
    <w:uiPriority w:val="0"/>
    <w:rPr>
      <w:rFonts w:ascii="MS Sans Serif" w:hAnsi="MS Sans Serif" w:eastAsia="MS Sans Serif" w:cs="MS Sans Serif"/>
      <w:color w:val="000000"/>
      <w:sz w:val="20"/>
      <w:szCs w:val="20"/>
      <w:u w:val="none"/>
    </w:rPr>
  </w:style>
  <w:style w:type="paragraph" w:customStyle="1" w:styleId="88">
    <w:name w:val="范本-正文-宋体-五号-首行缩进2字符"/>
    <w:basedOn w:val="1"/>
    <w:qFormat/>
    <w:uiPriority w:val="0"/>
    <w:pPr>
      <w:adjustRightInd/>
      <w:ind w:firstLine="643" w:firstLineChars="200"/>
      <w:jc w:val="left"/>
      <w:outlineLvl w:val="9"/>
    </w:pPr>
    <w:rPr>
      <w:rFonts w:hint="eastAsia" w:ascii="黑体" w:hAnsi="黑体" w:cs="黑体"/>
      <w:bCs/>
      <w:snapToGrid w:val="0"/>
      <w:color w:val="auto"/>
      <w:sz w:val="21"/>
      <w:szCs w:val="32"/>
    </w:rPr>
  </w:style>
  <w:style w:type="paragraph" w:customStyle="1" w:styleId="89">
    <w:name w:val="范本-标题-黑体-四号-居中-固定值20磅"/>
    <w:basedOn w:val="1"/>
    <w:qFormat/>
    <w:uiPriority w:val="0"/>
    <w:pPr>
      <w:adjustRightInd/>
      <w:spacing w:line="400" w:lineRule="exact"/>
      <w:jc w:val="center"/>
    </w:pPr>
    <w:rPr>
      <w:rFonts w:hint="eastAsia" w:ascii="黑体" w:hAnsi="黑体" w:eastAsia="黑体"/>
      <w:snapToGrid w:val="0"/>
      <w:color w:val="000000"/>
      <w:sz w:val="28"/>
      <w:szCs w:val="28"/>
    </w:rPr>
  </w:style>
  <w:style w:type="paragraph" w:customStyle="1" w:styleId="90">
    <w:name w:val="范本-表格-标题行-宋体加粗-五号-固定值20磅"/>
    <w:basedOn w:val="1"/>
    <w:qFormat/>
    <w:uiPriority w:val="0"/>
    <w:pPr>
      <w:spacing w:line="400" w:lineRule="exact"/>
      <w:jc w:val="center"/>
    </w:pPr>
    <w:rPr>
      <w:b/>
      <w:sz w:val="21"/>
    </w:rPr>
  </w:style>
  <w:style w:type="character" w:customStyle="1" w:styleId="91">
    <w:name w:val="layui-layer-tabnow"/>
    <w:basedOn w:val="28"/>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02E19-8E66-40F2-B87B-00A45F8FBF0F}">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45</Pages>
  <Words>1791</Words>
  <Characters>2323</Characters>
  <Lines>267</Lines>
  <Paragraphs>75</Paragraphs>
  <TotalTime>22</TotalTime>
  <ScaleCrop>false</ScaleCrop>
  <LinksUpToDate>false</LinksUpToDate>
  <CharactersWithSpaces>2368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2025-05-21T00:14:00Z</dcterms:created>
  <dc:creator>Anakin</dc:creator>
  <cp:lastModifiedBy>代理</cp:lastModifiedBy>
  <cp:lastPrinted>2019-12-07T15:22:00Z</cp:lastPrinted>
  <dcterms:modified xsi:type="dcterms:W3CDTF">2025-09-04T11:19:20Z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3E21F978A1FE4062ACF8D809CDF0439B_13</vt:lpwstr>
  </property>
  <property fmtid="{D5CDD505-2E9C-101B-9397-08002B2CF9AE}" pid="4" name="KSOTemplateDocerSaveRecord">
    <vt:lpwstr>eyJoZGlkIjoiOTc5MDNjMmIyODczM2YwMGZkZTNjYWY1NjIxZTY5YjciLCJ1c2VySWQiOiI1MDM3MjkwOTMifQ==</vt:lpwstr>
  </property>
</Properties>
</file>