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D1BB0">
      <w:pPr>
        <w:rPr>
          <w:color w:val="auto"/>
          <w:highlight w:val="none"/>
        </w:rPr>
      </w:pPr>
      <w:bookmarkStart w:id="0" w:name="OLE_LINK1"/>
    </w:p>
    <w:p w14:paraId="09EA444D">
      <w:pPr>
        <w:snapToGrid w:val="0"/>
        <w:spacing w:before="312" w:beforeLines="100" w:after="312" w:afterLines="100" w:line="800" w:lineRule="exact"/>
        <w:jc w:val="center"/>
        <w:rPr>
          <w:rFonts w:hint="eastAsia" w:eastAsia="宋体"/>
          <w:color w:val="auto"/>
          <w:sz w:val="22"/>
          <w:szCs w:val="28"/>
          <w:highlight w:val="none"/>
          <w:lang w:eastAsia="zh-CN"/>
        </w:rPr>
      </w:pPr>
      <w:r>
        <w:rPr>
          <w:rFonts w:hint="eastAsia" w:ascii="宋体" w:hAnsi="宋体" w:cs="宋体"/>
          <w:b/>
          <w:bCs/>
          <w:color w:val="auto"/>
          <w:w w:val="85"/>
          <w:sz w:val="48"/>
          <w:szCs w:val="48"/>
          <w:highlight w:val="none"/>
          <w:lang w:eastAsia="zh-CN"/>
        </w:rPr>
        <w:t>滁州市住房和城乡建设局食堂外包服务项目</w:t>
      </w:r>
    </w:p>
    <w:p w14:paraId="14E1221B">
      <w:pPr>
        <w:jc w:val="center"/>
        <w:rPr>
          <w:rFonts w:ascii="宋体" w:hAnsi="宋体" w:cs="宋体"/>
          <w:b/>
          <w:color w:val="auto"/>
          <w:sz w:val="44"/>
          <w:szCs w:val="44"/>
          <w:highlight w:val="none"/>
        </w:rPr>
      </w:pPr>
    </w:p>
    <w:p w14:paraId="7BF893CD">
      <w:pPr>
        <w:jc w:val="center"/>
        <w:rPr>
          <w:rFonts w:ascii="宋体" w:hAnsi="宋体" w:cs="宋体"/>
          <w:b/>
          <w:color w:val="auto"/>
          <w:sz w:val="44"/>
          <w:szCs w:val="44"/>
          <w:highlight w:val="none"/>
        </w:rPr>
      </w:pPr>
      <w:r>
        <w:rPr>
          <w:rFonts w:hint="eastAsia" w:ascii="宋体" w:hAnsi="宋体" w:cs="宋体"/>
          <w:b/>
          <w:color w:val="auto"/>
          <w:sz w:val="44"/>
          <w:szCs w:val="44"/>
          <w:highlight w:val="none"/>
        </w:rPr>
        <w:t>（公开招标）</w:t>
      </w:r>
    </w:p>
    <w:p w14:paraId="2655BDED">
      <w:pPr>
        <w:jc w:val="center"/>
        <w:rPr>
          <w:rFonts w:ascii="宋体" w:hAnsi="宋体" w:cs="宋体"/>
          <w:b/>
          <w:color w:val="auto"/>
          <w:sz w:val="44"/>
          <w:szCs w:val="44"/>
          <w:highlight w:val="none"/>
        </w:rPr>
      </w:pPr>
    </w:p>
    <w:p w14:paraId="069466AB">
      <w:pPr>
        <w:spacing w:line="360" w:lineRule="auto"/>
        <w:jc w:val="center"/>
        <w:rPr>
          <w:rFonts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7A0FBFBC">
      <w:pPr>
        <w:rPr>
          <w:rFonts w:ascii="宋体" w:hAnsi="宋体"/>
          <w:b/>
          <w:color w:val="auto"/>
          <w:sz w:val="84"/>
          <w:szCs w:val="84"/>
          <w:highlight w:val="none"/>
        </w:rPr>
      </w:pPr>
    </w:p>
    <w:p w14:paraId="4F5FDD95">
      <w:pPr>
        <w:pStyle w:val="36"/>
        <w:rPr>
          <w:color w:val="auto"/>
          <w:highlight w:val="none"/>
        </w:rPr>
      </w:pPr>
    </w:p>
    <w:p w14:paraId="06FF292E">
      <w:pPr>
        <w:rPr>
          <w:color w:val="auto"/>
          <w:highlight w:val="none"/>
        </w:rPr>
      </w:pPr>
    </w:p>
    <w:p w14:paraId="7575664A">
      <w:pPr>
        <w:rPr>
          <w:rFonts w:ascii="宋体"/>
          <w:color w:val="auto"/>
          <w:sz w:val="28"/>
          <w:szCs w:val="28"/>
          <w:highlight w:val="none"/>
        </w:rPr>
      </w:pPr>
    </w:p>
    <w:p w14:paraId="518CFFF2">
      <w:pPr>
        <w:pStyle w:val="23"/>
        <w:rPr>
          <w:color w:val="auto"/>
          <w:highlight w:val="none"/>
        </w:rPr>
      </w:pPr>
    </w:p>
    <w:p w14:paraId="10745C7C">
      <w:pPr>
        <w:pStyle w:val="23"/>
        <w:rPr>
          <w:color w:val="auto"/>
          <w:highlight w:val="none"/>
        </w:rPr>
      </w:pPr>
    </w:p>
    <w:p w14:paraId="15FC91CA">
      <w:pPr>
        <w:pStyle w:val="23"/>
        <w:rPr>
          <w:color w:val="auto"/>
          <w:highlight w:val="none"/>
        </w:rPr>
      </w:pPr>
    </w:p>
    <w:p w14:paraId="20C5760E">
      <w:pPr>
        <w:pStyle w:val="23"/>
        <w:rPr>
          <w:color w:val="auto"/>
          <w:highlight w:val="none"/>
        </w:rPr>
      </w:pPr>
    </w:p>
    <w:p w14:paraId="49557343">
      <w:pPr>
        <w:rPr>
          <w:rFonts w:ascii="宋体"/>
          <w:b/>
          <w:color w:val="auto"/>
          <w:sz w:val="32"/>
          <w:szCs w:val="32"/>
          <w:highlight w:val="none"/>
        </w:rPr>
      </w:pPr>
    </w:p>
    <w:p w14:paraId="02575FA3">
      <w:pPr>
        <w:pStyle w:val="36"/>
        <w:rPr>
          <w:color w:val="auto"/>
          <w:highlight w:val="none"/>
        </w:rPr>
      </w:pPr>
    </w:p>
    <w:p w14:paraId="24977953">
      <w:pPr>
        <w:pStyle w:val="29"/>
        <w:rPr>
          <w:color w:val="auto"/>
          <w:highlight w:val="none"/>
        </w:rPr>
      </w:pPr>
    </w:p>
    <w:p w14:paraId="4C59A5BF">
      <w:pPr>
        <w:spacing w:line="900" w:lineRule="exact"/>
        <w:ind w:firstLine="964" w:firstLineChars="300"/>
        <w:rPr>
          <w:rFonts w:ascii="宋体"/>
          <w:b/>
          <w:color w:val="auto"/>
          <w:sz w:val="32"/>
          <w:szCs w:val="32"/>
          <w:highlight w:val="none"/>
        </w:rPr>
      </w:pPr>
      <w:r>
        <w:rPr>
          <w:rFonts w:hint="eastAsia" w:ascii="宋体"/>
          <w:b/>
          <w:color w:val="auto"/>
          <w:sz w:val="32"/>
          <w:szCs w:val="32"/>
          <w:highlight w:val="none"/>
        </w:rPr>
        <w:t>招   标   人：</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eastAsia="zh-CN"/>
        </w:rPr>
        <w:t>滁州市住房和城乡建设局</w:t>
      </w:r>
      <w:r>
        <w:rPr>
          <w:rFonts w:hint="eastAsia" w:ascii="宋体"/>
          <w:b/>
          <w:color w:val="auto"/>
          <w:sz w:val="32"/>
          <w:szCs w:val="32"/>
          <w:highlight w:val="none"/>
          <w:u w:val="single"/>
        </w:rPr>
        <w:t xml:space="preserve">  </w:t>
      </w:r>
      <w:r>
        <w:rPr>
          <w:rFonts w:hint="eastAsia" w:ascii="宋体"/>
          <w:b/>
          <w:color w:val="auto"/>
          <w:sz w:val="32"/>
          <w:szCs w:val="32"/>
          <w:highlight w:val="none"/>
        </w:rPr>
        <w:t>（盖单位章）</w:t>
      </w:r>
    </w:p>
    <w:p w14:paraId="761A5328">
      <w:pPr>
        <w:spacing w:line="900" w:lineRule="exact"/>
        <w:ind w:firstLine="964" w:firstLineChars="300"/>
        <w:rPr>
          <w:rFonts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32470C21">
      <w:pPr>
        <w:spacing w:line="9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rPr>
        <w:t>1</w:t>
      </w:r>
      <w:r>
        <w:rPr>
          <w:rFonts w:hint="eastAsia" w:ascii="宋体"/>
          <w:b/>
          <w:color w:val="auto"/>
          <w:sz w:val="32"/>
          <w:szCs w:val="32"/>
          <w:highlight w:val="none"/>
        </w:rPr>
        <w:t>月</w:t>
      </w:r>
    </w:p>
    <w:p w14:paraId="399CDB36">
      <w:pPr>
        <w:spacing w:line="360" w:lineRule="exact"/>
        <w:rPr>
          <w:b/>
          <w:color w:val="auto"/>
          <w:sz w:val="36"/>
          <w:highlight w:val="none"/>
        </w:rPr>
      </w:pPr>
    </w:p>
    <w:p w14:paraId="734D7AD6">
      <w:pPr>
        <w:spacing w:line="360" w:lineRule="exact"/>
        <w:jc w:val="center"/>
        <w:rPr>
          <w:b/>
          <w:color w:val="auto"/>
          <w:sz w:val="36"/>
          <w:highlight w:val="none"/>
        </w:rPr>
      </w:pPr>
      <w:r>
        <w:rPr>
          <w:rFonts w:hint="eastAsia"/>
          <w:b/>
          <w:color w:val="auto"/>
          <w:sz w:val="36"/>
          <w:highlight w:val="none"/>
        </w:rPr>
        <w:br w:type="page"/>
      </w:r>
    </w:p>
    <w:p w14:paraId="3ECAC668">
      <w:pPr>
        <w:spacing w:line="360" w:lineRule="exact"/>
        <w:jc w:val="center"/>
        <w:rPr>
          <w:b/>
          <w:color w:val="auto"/>
          <w:sz w:val="36"/>
          <w:highlight w:val="none"/>
        </w:rPr>
      </w:pPr>
      <w:r>
        <w:rPr>
          <w:rFonts w:hint="eastAsia"/>
          <w:b/>
          <w:color w:val="auto"/>
          <w:sz w:val="36"/>
          <w:highlight w:val="none"/>
        </w:rPr>
        <w:t>目  录</w:t>
      </w:r>
    </w:p>
    <w:p w14:paraId="7CE93377">
      <w:pPr>
        <w:spacing w:line="360" w:lineRule="exact"/>
        <w:jc w:val="center"/>
        <w:rPr>
          <w:b/>
          <w:color w:val="auto"/>
          <w:sz w:val="36"/>
          <w:highlight w:val="none"/>
        </w:rPr>
      </w:pPr>
    </w:p>
    <w:p w14:paraId="36E74937">
      <w:pPr>
        <w:pStyle w:val="27"/>
        <w:tabs>
          <w:tab w:val="right" w:leader="dot" w:pos="8296"/>
        </w:tabs>
        <w:spacing w:before="156" w:beforeLines="50" w:after="156" w:afterLines="50" w:line="500" w:lineRule="exact"/>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color w:val="auto"/>
          <w:highlight w:val="none"/>
        </w:rPr>
        <w:fldChar w:fldCharType="begin"/>
      </w:r>
      <w:r>
        <w:rPr>
          <w:color w:val="auto"/>
          <w:highlight w:val="none"/>
        </w:rPr>
        <w:instrText xml:space="preserve"> HYPERLINK \l "_Toc58430304" </w:instrText>
      </w:r>
      <w:r>
        <w:rPr>
          <w:color w:val="auto"/>
          <w:highlight w:val="none"/>
        </w:rPr>
        <w:fldChar w:fldCharType="separate"/>
      </w:r>
      <w:r>
        <w:rPr>
          <w:rStyle w:val="48"/>
          <w:rFonts w:hint="eastAsia" w:ascii="宋体" w:hAnsi="宋体"/>
          <w:b/>
          <w:color w:val="auto"/>
          <w:sz w:val="24"/>
          <w:highlight w:val="none"/>
        </w:rPr>
        <w:t>第一章</w:t>
      </w:r>
      <w:r>
        <w:rPr>
          <w:rStyle w:val="48"/>
          <w:rFonts w:ascii="宋体" w:hAnsi="宋体"/>
          <w:b/>
          <w:color w:val="auto"/>
          <w:sz w:val="24"/>
          <w:highlight w:val="none"/>
        </w:rPr>
        <w:t xml:space="preserve"> </w:t>
      </w:r>
      <w:r>
        <w:rPr>
          <w:rStyle w:val="48"/>
          <w:rFonts w:hint="eastAsia" w:ascii="宋体" w:hAnsi="宋体"/>
          <w:b/>
          <w:color w:val="auto"/>
          <w:sz w:val="24"/>
          <w:highlight w:val="none"/>
        </w:rPr>
        <w:t>招标公告</w:t>
      </w:r>
      <w:r>
        <w:rPr>
          <w:rFonts w:ascii="宋体" w:hAnsi="宋体"/>
          <w:b/>
          <w:color w:val="auto"/>
          <w:sz w:val="24"/>
          <w:highlight w:val="none"/>
        </w:rPr>
        <w:tab/>
      </w:r>
      <w:r>
        <w:rPr>
          <w:rFonts w:hint="eastAsia" w:ascii="宋体" w:hAnsi="宋体"/>
          <w:b/>
          <w:color w:val="auto"/>
          <w:sz w:val="24"/>
          <w:highlight w:val="none"/>
          <w:lang w:val="en-US" w:eastAsia="zh-CN"/>
        </w:rPr>
        <w:t>3</w:t>
      </w:r>
      <w:r>
        <w:rPr>
          <w:rFonts w:hint="eastAsia" w:ascii="宋体" w:hAnsi="宋体"/>
          <w:b/>
          <w:color w:val="auto"/>
          <w:sz w:val="24"/>
          <w:highlight w:val="none"/>
        </w:rPr>
        <w:fldChar w:fldCharType="end"/>
      </w:r>
    </w:p>
    <w:p w14:paraId="69E62C18">
      <w:pPr>
        <w:pStyle w:val="27"/>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color w:val="auto"/>
          <w:highlight w:val="none"/>
        </w:rPr>
        <w:fldChar w:fldCharType="begin"/>
      </w:r>
      <w:r>
        <w:rPr>
          <w:color w:val="auto"/>
          <w:highlight w:val="none"/>
        </w:rPr>
        <w:instrText xml:space="preserve"> HYPERLINK \l "_Toc58430313" </w:instrText>
      </w:r>
      <w:r>
        <w:rPr>
          <w:color w:val="auto"/>
          <w:highlight w:val="none"/>
        </w:rPr>
        <w:fldChar w:fldCharType="separate"/>
      </w:r>
      <w:r>
        <w:rPr>
          <w:rStyle w:val="48"/>
          <w:rFonts w:hint="eastAsia" w:ascii="宋体" w:hAnsi="宋体"/>
          <w:b/>
          <w:color w:val="auto"/>
          <w:sz w:val="24"/>
          <w:highlight w:val="none"/>
        </w:rPr>
        <w:t>第二章</w:t>
      </w:r>
      <w:r>
        <w:rPr>
          <w:rStyle w:val="48"/>
          <w:rFonts w:ascii="宋体" w:hAnsi="宋体"/>
          <w:b/>
          <w:color w:val="auto"/>
          <w:sz w:val="24"/>
          <w:highlight w:val="none"/>
        </w:rPr>
        <w:t xml:space="preserve"> </w:t>
      </w:r>
      <w:r>
        <w:rPr>
          <w:rStyle w:val="48"/>
          <w:rFonts w:hint="eastAsia" w:ascii="宋体" w:hAnsi="宋体"/>
          <w:b/>
          <w:color w:val="auto"/>
          <w:sz w:val="24"/>
          <w:highlight w:val="none"/>
        </w:rPr>
        <w:t>投标人须知</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6</w:t>
      </w:r>
    </w:p>
    <w:p w14:paraId="1DA0EF9E">
      <w:pPr>
        <w:pStyle w:val="27"/>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color w:val="auto"/>
          <w:highlight w:val="none"/>
        </w:rPr>
        <w:fldChar w:fldCharType="begin"/>
      </w:r>
      <w:r>
        <w:rPr>
          <w:color w:val="auto"/>
          <w:highlight w:val="none"/>
        </w:rPr>
        <w:instrText xml:space="preserve"> HYPERLINK \l "_Toc58430316" </w:instrText>
      </w:r>
      <w:r>
        <w:rPr>
          <w:color w:val="auto"/>
          <w:highlight w:val="none"/>
        </w:rPr>
        <w:fldChar w:fldCharType="separate"/>
      </w:r>
      <w:r>
        <w:rPr>
          <w:rStyle w:val="48"/>
          <w:rFonts w:hint="eastAsia" w:ascii="宋体" w:hAnsi="宋体"/>
          <w:b/>
          <w:color w:val="auto"/>
          <w:sz w:val="24"/>
          <w:highlight w:val="none"/>
        </w:rPr>
        <w:t>第三章</w:t>
      </w:r>
      <w:r>
        <w:rPr>
          <w:rStyle w:val="48"/>
          <w:rFonts w:ascii="宋体" w:hAnsi="宋体"/>
          <w:b/>
          <w:color w:val="auto"/>
          <w:sz w:val="24"/>
          <w:highlight w:val="none"/>
        </w:rPr>
        <w:t xml:space="preserve"> </w:t>
      </w:r>
      <w:r>
        <w:rPr>
          <w:rStyle w:val="48"/>
          <w:rFonts w:hint="eastAsia" w:ascii="宋体" w:hAnsi="宋体"/>
          <w:b/>
          <w:color w:val="auto"/>
          <w:sz w:val="24"/>
          <w:highlight w:val="none"/>
        </w:rPr>
        <w:t>评标办法（综合评分法）</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rPr>
        <w:t>1</w:t>
      </w:r>
      <w:r>
        <w:rPr>
          <w:rFonts w:hint="eastAsia" w:ascii="宋体" w:hAnsi="宋体"/>
          <w:b/>
          <w:color w:val="auto"/>
          <w:sz w:val="24"/>
          <w:highlight w:val="none"/>
          <w:lang w:val="en-US" w:eastAsia="zh-CN"/>
        </w:rPr>
        <w:t>9</w:t>
      </w:r>
    </w:p>
    <w:p w14:paraId="53CFE85E">
      <w:pPr>
        <w:pStyle w:val="27"/>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color w:val="auto"/>
          <w:highlight w:val="none"/>
        </w:rPr>
        <w:fldChar w:fldCharType="begin"/>
      </w:r>
      <w:r>
        <w:rPr>
          <w:color w:val="auto"/>
          <w:highlight w:val="none"/>
        </w:rPr>
        <w:instrText xml:space="preserve"> HYPERLINK \l "_Toc58430328" </w:instrText>
      </w:r>
      <w:r>
        <w:rPr>
          <w:color w:val="auto"/>
          <w:highlight w:val="none"/>
        </w:rPr>
        <w:fldChar w:fldCharType="separate"/>
      </w:r>
      <w:r>
        <w:rPr>
          <w:rStyle w:val="48"/>
          <w:rFonts w:hint="eastAsia" w:ascii="宋体" w:hAnsi="宋体"/>
          <w:b/>
          <w:color w:val="auto"/>
          <w:sz w:val="24"/>
          <w:highlight w:val="none"/>
        </w:rPr>
        <w:t>第四章</w:t>
      </w:r>
      <w:r>
        <w:rPr>
          <w:rStyle w:val="48"/>
          <w:rFonts w:ascii="宋体" w:hAnsi="宋体"/>
          <w:b/>
          <w:color w:val="auto"/>
          <w:sz w:val="24"/>
          <w:highlight w:val="none"/>
        </w:rPr>
        <w:t xml:space="preserve"> </w:t>
      </w:r>
      <w:r>
        <w:rPr>
          <w:rStyle w:val="48"/>
          <w:rFonts w:hint="eastAsia" w:ascii="宋体" w:hAnsi="宋体"/>
          <w:b/>
          <w:color w:val="auto"/>
          <w:sz w:val="24"/>
          <w:highlight w:val="none"/>
        </w:rPr>
        <w:t>采购需求</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rPr>
        <w:t>2</w:t>
      </w:r>
      <w:r>
        <w:rPr>
          <w:rFonts w:hint="eastAsia" w:ascii="宋体" w:hAnsi="宋体"/>
          <w:b/>
          <w:color w:val="auto"/>
          <w:sz w:val="24"/>
          <w:highlight w:val="none"/>
          <w:lang w:val="en-US" w:eastAsia="zh-CN"/>
        </w:rPr>
        <w:t>7</w:t>
      </w:r>
    </w:p>
    <w:p w14:paraId="796FB9A3">
      <w:pPr>
        <w:pStyle w:val="27"/>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rFonts w:hint="eastAsia" w:ascii="宋体" w:hAnsi="宋体"/>
          <w:b/>
          <w:color w:val="auto"/>
          <w:sz w:val="24"/>
          <w:highlight w:val="none"/>
        </w:rPr>
        <w:t>第五章 合同格式（参考）</w:t>
      </w:r>
      <w:r>
        <w:rPr>
          <w:rFonts w:ascii="宋体" w:hAnsi="宋体"/>
          <w:b/>
          <w:color w:val="auto"/>
          <w:sz w:val="24"/>
          <w:highlight w:val="none"/>
        </w:rPr>
        <w:tab/>
      </w:r>
      <w:r>
        <w:rPr>
          <w:rFonts w:hint="eastAsia" w:ascii="宋体" w:hAnsi="宋体"/>
          <w:b/>
          <w:color w:val="auto"/>
          <w:sz w:val="24"/>
          <w:highlight w:val="none"/>
        </w:rPr>
        <w:t>3</w:t>
      </w:r>
      <w:r>
        <w:rPr>
          <w:rFonts w:hint="eastAsia" w:ascii="宋体" w:hAnsi="宋体"/>
          <w:b/>
          <w:color w:val="auto"/>
          <w:sz w:val="24"/>
          <w:highlight w:val="none"/>
          <w:lang w:val="en-US" w:eastAsia="zh-CN"/>
        </w:rPr>
        <w:t>6</w:t>
      </w:r>
    </w:p>
    <w:p w14:paraId="4C6317D9">
      <w:pPr>
        <w:pStyle w:val="27"/>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color w:val="auto"/>
          <w:highlight w:val="none"/>
        </w:rPr>
        <w:fldChar w:fldCharType="begin"/>
      </w:r>
      <w:r>
        <w:rPr>
          <w:color w:val="auto"/>
          <w:highlight w:val="none"/>
        </w:rPr>
        <w:instrText xml:space="preserve"> HYPERLINK \l "_Toc58430332" </w:instrText>
      </w:r>
      <w:r>
        <w:rPr>
          <w:color w:val="auto"/>
          <w:highlight w:val="none"/>
        </w:rPr>
        <w:fldChar w:fldCharType="separate"/>
      </w:r>
      <w:r>
        <w:rPr>
          <w:rStyle w:val="48"/>
          <w:rFonts w:hint="eastAsia" w:ascii="宋体" w:hAnsi="宋体"/>
          <w:b/>
          <w:color w:val="auto"/>
          <w:sz w:val="24"/>
          <w:highlight w:val="none"/>
        </w:rPr>
        <w:t>第六章</w:t>
      </w:r>
      <w:r>
        <w:rPr>
          <w:rStyle w:val="48"/>
          <w:rFonts w:ascii="宋体" w:hAnsi="宋体"/>
          <w:b/>
          <w:color w:val="auto"/>
          <w:sz w:val="24"/>
          <w:highlight w:val="none"/>
        </w:rPr>
        <w:t xml:space="preserve"> </w:t>
      </w:r>
      <w:r>
        <w:rPr>
          <w:rStyle w:val="48"/>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40</w:t>
      </w:r>
    </w:p>
    <w:p w14:paraId="718B119B">
      <w:pPr>
        <w:pStyle w:val="27"/>
        <w:tabs>
          <w:tab w:val="right" w:leader="dot" w:pos="8296"/>
        </w:tabs>
        <w:adjustRightInd w:val="0"/>
        <w:snapToGrid w:val="0"/>
        <w:spacing w:before="156" w:beforeLines="50" w:after="156" w:afterLines="50" w:line="500" w:lineRule="exact"/>
        <w:ind w:left="120" w:hanging="120" w:hangingChars="50"/>
        <w:jc w:val="center"/>
        <w:rPr>
          <w:rFonts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270" w:right="1020" w:bottom="1270" w:left="1020" w:header="851" w:footer="992" w:gutter="0"/>
          <w:pgNumType w:start="1"/>
          <w:cols w:space="0" w:num="1"/>
          <w:docGrid w:type="lines" w:linePitch="312" w:charSpace="0"/>
        </w:sectPr>
      </w:pPr>
      <w:r>
        <w:rPr>
          <w:rFonts w:hint="eastAsia" w:ascii="宋体" w:hAnsi="宋体" w:cs="宋体"/>
          <w:color w:val="auto"/>
          <w:sz w:val="24"/>
          <w:highlight w:val="none"/>
        </w:rPr>
        <w:fldChar w:fldCharType="end"/>
      </w:r>
    </w:p>
    <w:p w14:paraId="55C46D4B">
      <w:pPr>
        <w:spacing w:before="156" w:beforeLines="50" w:after="156" w:afterLines="50" w:line="600" w:lineRule="exact"/>
        <w:jc w:val="center"/>
        <w:outlineLvl w:val="0"/>
        <w:rPr>
          <w:rFonts w:ascii="宋体"/>
          <w:b/>
          <w:color w:val="auto"/>
          <w:sz w:val="32"/>
          <w:szCs w:val="32"/>
          <w:highlight w:val="none"/>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rPr>
        <w:t>招标公告</w:t>
      </w:r>
    </w:p>
    <w:p w14:paraId="455F55DF">
      <w:pPr>
        <w:keepNext/>
        <w:keepLines/>
        <w:spacing w:line="640" w:lineRule="exact"/>
        <w:ind w:firstLine="560" w:firstLineChars="200"/>
        <w:rPr>
          <w:rFonts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47ABABDC">
      <w:pPr>
        <w:keepNext/>
        <w:keepLines/>
        <w:spacing w:line="640" w:lineRule="exact"/>
        <w:ind w:firstLine="560" w:firstLineChars="200"/>
        <w:jc w:val="left"/>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滁州市住房和城乡建设局食堂外包服务项目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lang w:eastAsia="zh-CN"/>
        </w:rPr>
        <w:t>滁州市城投工程咨询管理有限公司官网（https://www.czctgczx.com/）</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01</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23</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09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6C3A16F7">
      <w:pPr>
        <w:keepNext/>
        <w:keepLines/>
        <w:spacing w:before="160" w:line="64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3CB29A12">
      <w:pPr>
        <w:spacing w:line="64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滁州市住房和城乡建设局食堂外包服务项目</w:t>
      </w:r>
    </w:p>
    <w:p w14:paraId="3FA5F4AB">
      <w:pPr>
        <w:spacing w:line="6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eastAsia="zh-CN"/>
        </w:rPr>
        <w:t>滁州市住房和城乡建设局</w:t>
      </w:r>
      <w:r>
        <w:rPr>
          <w:rFonts w:hint="eastAsia" w:ascii="仿宋" w:hAnsi="仿宋" w:eastAsia="仿宋" w:cs="仿宋"/>
          <w:color w:val="auto"/>
          <w:sz w:val="28"/>
          <w:szCs w:val="28"/>
          <w:highlight w:val="none"/>
        </w:rPr>
        <w:t>食堂外包服务，保障约</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00人就餐服务。</w:t>
      </w:r>
    </w:p>
    <w:p w14:paraId="47AEF122">
      <w:pPr>
        <w:spacing w:line="6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合同履行期限：服务期限为三年，合同一年一签，根据招标人考核结果决定是否续签，未达标的招标人有权终止合同并重新选取服务单位，被终止合同的供应商不得参加该项目重新招标。</w:t>
      </w:r>
    </w:p>
    <w:p w14:paraId="04E2BB80">
      <w:pPr>
        <w:spacing w:line="6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本项目不接受联合体投标。</w:t>
      </w:r>
    </w:p>
    <w:p w14:paraId="0380A1A9">
      <w:pPr>
        <w:spacing w:line="64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标段划分：一个标段</w:t>
      </w:r>
    </w:p>
    <w:p w14:paraId="4AB7D6EB">
      <w:pPr>
        <w:keepNext/>
        <w:keepLines/>
        <w:spacing w:before="160" w:line="640" w:lineRule="exact"/>
        <w:rPr>
          <w:rFonts w:ascii="黑体" w:hAnsi="黑体" w:eastAsia="黑体" w:cs="黑体"/>
          <w:color w:val="auto"/>
          <w:sz w:val="28"/>
          <w:szCs w:val="28"/>
          <w:highlight w:val="none"/>
        </w:rPr>
      </w:pPr>
      <w:bookmarkStart w:id="3" w:name="_Toc28359003"/>
      <w:bookmarkStart w:id="4" w:name="_Toc28359080"/>
      <w:bookmarkStart w:id="5" w:name="_Toc35393791"/>
      <w:bookmarkStart w:id="6" w:name="_Toc35393622"/>
      <w:r>
        <w:rPr>
          <w:rFonts w:hint="eastAsia" w:ascii="黑体" w:hAnsi="黑体" w:eastAsia="黑体" w:cs="黑体"/>
          <w:color w:val="auto"/>
          <w:sz w:val="28"/>
          <w:szCs w:val="28"/>
          <w:highlight w:val="none"/>
        </w:rPr>
        <w:t>二、申请人的资格要求</w:t>
      </w:r>
      <w:bookmarkEnd w:id="3"/>
      <w:bookmarkEnd w:id="4"/>
      <w:bookmarkEnd w:id="5"/>
      <w:bookmarkEnd w:id="6"/>
    </w:p>
    <w:p w14:paraId="1DF32991">
      <w:pPr>
        <w:spacing w:line="640" w:lineRule="exact"/>
        <w:ind w:firstLine="560" w:firstLineChars="200"/>
        <w:rPr>
          <w:rFonts w:ascii="仿宋" w:hAnsi="仿宋" w:eastAsia="仿宋"/>
          <w:color w:val="auto"/>
          <w:sz w:val="28"/>
          <w:szCs w:val="28"/>
          <w:highlight w:val="none"/>
        </w:rPr>
      </w:pPr>
      <w:bookmarkStart w:id="7" w:name="_Toc28359081"/>
      <w:bookmarkStart w:id="8" w:name="_Toc35393623"/>
      <w:bookmarkStart w:id="9" w:name="_Toc28359004"/>
      <w:bookmarkStart w:id="10" w:name="_Toc35393792"/>
      <w:r>
        <w:rPr>
          <w:rFonts w:hint="eastAsia" w:ascii="仿宋" w:hAnsi="仿宋" w:eastAsia="仿宋"/>
          <w:color w:val="auto"/>
          <w:sz w:val="28"/>
          <w:szCs w:val="28"/>
          <w:highlight w:val="none"/>
        </w:rPr>
        <w:t>1.投标人为具有独立承担民事责任能力的企业；</w:t>
      </w:r>
    </w:p>
    <w:p w14:paraId="0C4BDFE5">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2.投标人具有有效的食品经营许可证；</w:t>
      </w:r>
    </w:p>
    <w:p w14:paraId="525A2487">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3.信誉要求：投标人不得存在以下情形：</w:t>
      </w:r>
    </w:p>
    <w:p w14:paraId="00E912C6">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①被列入“信用中国”网站“失信被执行人”的； </w:t>
      </w:r>
    </w:p>
    <w:p w14:paraId="03D34C1D">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②被列入“信用中国”网站“重大税收违法失信主体”的； </w:t>
      </w:r>
    </w:p>
    <w:p w14:paraId="12E2788C">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③被列入“信用中国”网站 “严重失信主体名单”的； </w:t>
      </w:r>
    </w:p>
    <w:p w14:paraId="79D8CD00">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④在“信用中国”网站上披露的仍在公示期的严重失信行为(具体行 为类别及判定依据见“信用中国”查询的严重失信行为类别及判定依据) 的；</w:t>
      </w:r>
    </w:p>
    <w:p w14:paraId="2B4CCA9B">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⑤被列入国家企业信用信息公示系统网站“经营异常名录”或者“严 重违法失信名单”的；</w:t>
      </w:r>
    </w:p>
    <w:p w14:paraId="617B1F58">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⑥被列入中国政府采购网站“政府采购严重违法失信行为信息记录” 的；</w:t>
      </w:r>
    </w:p>
    <w:p w14:paraId="67671DE9">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⑦前三年有行贿犯罪行为的单位和个人。</w:t>
      </w:r>
    </w:p>
    <w:p w14:paraId="75B5A575">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4.投标人所属分公司、办事处等分支机构存在第3款信誉要求①-⑦项情形之一的，接受投标人参加本项目。</w:t>
      </w:r>
    </w:p>
    <w:p w14:paraId="29C9AF2B">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备注：第3、4条按照“关于联合惩戒失信行为加强信用查询管理的通知”查询或承诺。</w:t>
      </w:r>
    </w:p>
    <w:p w14:paraId="2596F9B3">
      <w:pPr>
        <w:keepNext/>
        <w:keepLines/>
        <w:spacing w:before="160" w:line="64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7"/>
      <w:bookmarkEnd w:id="8"/>
      <w:bookmarkEnd w:id="9"/>
      <w:bookmarkEnd w:id="10"/>
    </w:p>
    <w:p w14:paraId="05AA77C2">
      <w:pPr>
        <w:spacing w:line="640" w:lineRule="exact"/>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时间：</w:t>
      </w:r>
      <w:r>
        <w:rPr>
          <w:rFonts w:hint="eastAsia" w:ascii="仿宋" w:hAnsi="仿宋" w:eastAsia="仿宋" w:cs="仿宋"/>
          <w:color w:val="auto"/>
          <w:sz w:val="28"/>
          <w:szCs w:val="28"/>
          <w:highlight w:val="none"/>
          <w:shd w:val="clear" w:color="auto" w:fill="FFFFFF"/>
        </w:rPr>
        <w:t>202</w:t>
      </w:r>
      <w:r>
        <w:rPr>
          <w:rFonts w:hint="eastAsia" w:ascii="仿宋" w:hAnsi="仿宋" w:eastAsia="仿宋" w:cs="仿宋"/>
          <w:color w:val="auto"/>
          <w:sz w:val="28"/>
          <w:szCs w:val="28"/>
          <w:highlight w:val="none"/>
          <w:shd w:val="clear" w:color="auto" w:fill="FFFFFF"/>
          <w:lang w:val="en-US" w:eastAsia="zh-CN"/>
        </w:rPr>
        <w:t>6</w:t>
      </w:r>
      <w:r>
        <w:rPr>
          <w:rFonts w:hint="eastAsia" w:ascii="仿宋" w:hAnsi="仿宋" w:eastAsia="仿宋" w:cs="仿宋"/>
          <w:color w:val="auto"/>
          <w:sz w:val="28"/>
          <w:szCs w:val="28"/>
          <w:highlight w:val="none"/>
          <w:shd w:val="clear" w:color="auto" w:fill="FFFFFF"/>
        </w:rPr>
        <w:t>年</w:t>
      </w:r>
      <w:r>
        <w:rPr>
          <w:rFonts w:hint="eastAsia" w:ascii="仿宋" w:hAnsi="仿宋" w:eastAsia="仿宋" w:cs="仿宋"/>
          <w:color w:val="auto"/>
          <w:sz w:val="28"/>
          <w:szCs w:val="28"/>
          <w:highlight w:val="none"/>
          <w:shd w:val="clear" w:color="auto" w:fill="FFFFFF"/>
          <w:lang w:val="en-US" w:eastAsia="zh-CN"/>
        </w:rPr>
        <w:t>01</w:t>
      </w:r>
      <w:r>
        <w:rPr>
          <w:rFonts w:hint="eastAsia" w:ascii="仿宋" w:hAnsi="仿宋" w:eastAsia="仿宋" w:cs="仿宋"/>
          <w:color w:val="auto"/>
          <w:sz w:val="28"/>
          <w:szCs w:val="28"/>
          <w:highlight w:val="none"/>
          <w:shd w:val="clear" w:color="auto" w:fill="FFFFFF"/>
        </w:rPr>
        <w:t>月</w:t>
      </w:r>
      <w:r>
        <w:rPr>
          <w:rFonts w:hint="eastAsia" w:ascii="仿宋" w:hAnsi="仿宋" w:eastAsia="仿宋" w:cs="仿宋"/>
          <w:color w:val="auto"/>
          <w:sz w:val="28"/>
          <w:szCs w:val="28"/>
          <w:highlight w:val="none"/>
          <w:shd w:val="clear" w:color="auto" w:fill="FFFFFF"/>
          <w:lang w:val="en-US" w:eastAsia="zh-CN"/>
        </w:rPr>
        <w:t>16</w:t>
      </w:r>
      <w:r>
        <w:rPr>
          <w:rFonts w:hint="eastAsia" w:ascii="仿宋" w:hAnsi="仿宋" w:eastAsia="仿宋" w:cs="仿宋"/>
          <w:color w:val="auto"/>
          <w:sz w:val="28"/>
          <w:szCs w:val="28"/>
          <w:highlight w:val="none"/>
          <w:shd w:val="clear" w:color="auto" w:fill="FFFFFF"/>
        </w:rPr>
        <w:t>日至2026年01月23日09点30分</w:t>
      </w:r>
    </w:p>
    <w:p w14:paraId="604712C3">
      <w:pPr>
        <w:spacing w:line="640" w:lineRule="exact"/>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4110FF4E">
      <w:pPr>
        <w:spacing w:line="640" w:lineRule="exact"/>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14A27E92">
      <w:pPr>
        <w:keepNext/>
        <w:keepLines/>
        <w:spacing w:before="160" w:line="640" w:lineRule="exact"/>
        <w:rPr>
          <w:rFonts w:ascii="黑体" w:hAnsi="黑体" w:eastAsia="黑体" w:cs="黑体"/>
          <w:color w:val="auto"/>
          <w:sz w:val="28"/>
          <w:szCs w:val="28"/>
          <w:highlight w:val="none"/>
        </w:rPr>
      </w:pPr>
      <w:bookmarkStart w:id="11" w:name="_Toc28359082"/>
      <w:bookmarkStart w:id="12" w:name="_Toc28359005"/>
      <w:bookmarkStart w:id="13" w:name="_Toc35393793"/>
      <w:bookmarkStart w:id="14" w:name="_Toc35393624"/>
      <w:r>
        <w:rPr>
          <w:rFonts w:hint="eastAsia" w:ascii="黑体" w:hAnsi="黑体" w:eastAsia="黑体" w:cs="黑体"/>
          <w:color w:val="auto"/>
          <w:sz w:val="28"/>
          <w:szCs w:val="28"/>
          <w:highlight w:val="none"/>
        </w:rPr>
        <w:t>四、提交投标文件</w:t>
      </w:r>
      <w:bookmarkEnd w:id="11"/>
      <w:bookmarkEnd w:id="12"/>
      <w:r>
        <w:rPr>
          <w:rFonts w:hint="eastAsia" w:ascii="黑体" w:hAnsi="黑体" w:eastAsia="黑体" w:cs="黑体"/>
          <w:color w:val="auto"/>
          <w:sz w:val="28"/>
          <w:szCs w:val="28"/>
          <w:highlight w:val="none"/>
        </w:rPr>
        <w:t>截止时间、开标时间和地点</w:t>
      </w:r>
      <w:bookmarkEnd w:id="13"/>
      <w:bookmarkEnd w:id="14"/>
    </w:p>
    <w:p w14:paraId="48432B8E">
      <w:pPr>
        <w:spacing w:line="640" w:lineRule="exact"/>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时间：2026年01月23日09点30分</w:t>
      </w:r>
    </w:p>
    <w:p w14:paraId="558CFBD5">
      <w:pPr>
        <w:spacing w:line="640" w:lineRule="exact"/>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地点：滁州市城投工程咨询管理有限公司（滁州市龙蟠大道109号房产大厦6楼）</w:t>
      </w:r>
      <w:r>
        <w:rPr>
          <w:rFonts w:hint="eastAsia" w:ascii="仿宋" w:hAnsi="仿宋" w:eastAsia="仿宋" w:cs="宋体"/>
          <w:color w:val="auto"/>
          <w:sz w:val="28"/>
          <w:szCs w:val="28"/>
          <w:highlight w:val="none"/>
          <w:lang w:val="en-US" w:eastAsia="zh-CN"/>
        </w:rPr>
        <w:t>622</w:t>
      </w:r>
      <w:r>
        <w:rPr>
          <w:rFonts w:hint="eastAsia" w:ascii="仿宋" w:hAnsi="仿宋" w:eastAsia="仿宋" w:cs="宋体"/>
          <w:color w:val="auto"/>
          <w:sz w:val="28"/>
          <w:szCs w:val="28"/>
          <w:highlight w:val="none"/>
        </w:rPr>
        <w:t>会议室</w:t>
      </w:r>
    </w:p>
    <w:p w14:paraId="532EA4B7">
      <w:pPr>
        <w:keepNext/>
        <w:keepLines/>
        <w:spacing w:before="160" w:line="64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五、投标保证金金额及缴纳账户</w:t>
      </w:r>
    </w:p>
    <w:p w14:paraId="089A5D74">
      <w:pPr>
        <w:pStyle w:val="130"/>
        <w:spacing w:line="640" w:lineRule="exact"/>
        <w:rPr>
          <w:color w:val="auto"/>
          <w:highlight w:val="none"/>
        </w:rPr>
      </w:pPr>
      <w:bookmarkStart w:id="15" w:name="_Toc35393626"/>
      <w:bookmarkStart w:id="16" w:name="_Toc35393795"/>
      <w:r>
        <w:rPr>
          <w:color w:val="auto"/>
          <w:highlight w:val="none"/>
        </w:rPr>
        <w:t>窗体顶端</w:t>
      </w:r>
    </w:p>
    <w:p w14:paraId="41C1534B">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不要求投标人提交投标保证金。</w:t>
      </w:r>
      <w:bookmarkEnd w:id="15"/>
      <w:bookmarkEnd w:id="16"/>
    </w:p>
    <w:p w14:paraId="77A82A8D">
      <w:pPr>
        <w:keepNext/>
        <w:keepLines/>
        <w:spacing w:before="160" w:line="64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六、公告发布期限</w:t>
      </w:r>
    </w:p>
    <w:p w14:paraId="703EDEC6">
      <w:pPr>
        <w:spacing w:line="64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自本公告发布之日起至投标截止时间止。</w:t>
      </w:r>
    </w:p>
    <w:p w14:paraId="408F86D4">
      <w:pPr>
        <w:keepNext/>
        <w:keepLines/>
        <w:spacing w:before="160" w:line="640" w:lineRule="exact"/>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七、对本次招标提出询问，请按以下方式联系</w:t>
      </w:r>
    </w:p>
    <w:p w14:paraId="09EA3B02">
      <w:pPr>
        <w:pStyle w:val="5"/>
        <w:numPr>
          <w:ilvl w:val="0"/>
          <w:numId w:val="0"/>
        </w:numPr>
        <w:adjustRightInd/>
        <w:spacing w:line="640" w:lineRule="exact"/>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470E61ED">
      <w:pPr>
        <w:spacing w:line="640" w:lineRule="exact"/>
        <w:ind w:left="-199" w:leftChars="-95" w:firstLine="840" w:firstLineChars="300"/>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滁州市住房和城乡建设局</w:t>
      </w:r>
    </w:p>
    <w:p w14:paraId="600CB1F7">
      <w:pPr>
        <w:spacing w:line="640" w:lineRule="exact"/>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滁州市琅琊区琅琊街道琅琊西路81号</w:t>
      </w:r>
      <w:r>
        <w:rPr>
          <w:rFonts w:hint="eastAsia" w:ascii="仿宋" w:hAnsi="仿宋" w:eastAsia="仿宋" w:cs="仿宋"/>
          <w:color w:val="auto"/>
          <w:sz w:val="28"/>
          <w:szCs w:val="28"/>
          <w:highlight w:val="none"/>
          <w:u w:val="single"/>
        </w:rPr>
        <w:t xml:space="preserve">   </w:t>
      </w:r>
    </w:p>
    <w:p w14:paraId="0EAE4311">
      <w:pPr>
        <w:spacing w:line="640" w:lineRule="exact"/>
        <w:ind w:firstLine="560" w:firstLineChars="200"/>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李昂</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 xml:space="preserve">0550-3036040 </w:t>
      </w:r>
    </w:p>
    <w:p w14:paraId="4DFD9FF7">
      <w:pPr>
        <w:pStyle w:val="5"/>
        <w:numPr>
          <w:ilvl w:val="0"/>
          <w:numId w:val="0"/>
        </w:numPr>
        <w:adjustRightInd/>
        <w:spacing w:line="640" w:lineRule="exact"/>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76E7B8F">
      <w:pPr>
        <w:spacing w:line="640" w:lineRule="exact"/>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4CE4E3C2">
      <w:pPr>
        <w:spacing w:line="640" w:lineRule="exact"/>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1AF44DA5">
      <w:pPr>
        <w:spacing w:line="640" w:lineRule="exact"/>
        <w:ind w:left="-199" w:leftChars="-95" w:firstLine="840" w:firstLineChars="300"/>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eastAsia="zh-CN"/>
        </w:rPr>
        <w:t>0550-3519598、15385506369</w:t>
      </w:r>
    </w:p>
    <w:p w14:paraId="4E3926B2">
      <w:pPr>
        <w:pStyle w:val="5"/>
        <w:numPr>
          <w:ilvl w:val="0"/>
          <w:numId w:val="0"/>
        </w:numPr>
        <w:adjustRightInd/>
        <w:spacing w:line="640" w:lineRule="exact"/>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4A6E98F6">
      <w:pPr>
        <w:pStyle w:val="20"/>
        <w:spacing w:line="640" w:lineRule="exact"/>
        <w:ind w:left="-199" w:leftChars="-95" w:firstLine="840" w:firstLineChars="300"/>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李昂、</w:t>
      </w:r>
      <w:r>
        <w:rPr>
          <w:rFonts w:hint="eastAsia" w:ascii="仿宋" w:hAnsi="仿宋" w:eastAsia="仿宋" w:cs="仿宋"/>
          <w:color w:val="auto"/>
          <w:sz w:val="28"/>
          <w:szCs w:val="28"/>
          <w:highlight w:val="none"/>
          <w:u w:val="single"/>
          <w:lang w:eastAsia="zh-CN"/>
        </w:rPr>
        <w:t>毕玉</w:t>
      </w:r>
    </w:p>
    <w:p w14:paraId="551F9138">
      <w:pPr>
        <w:spacing w:line="640" w:lineRule="exact"/>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val="en-US" w:eastAsia="zh-CN"/>
        </w:rPr>
        <w:t xml:space="preserve"> 0550-3036040</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0550-3519598</w:t>
      </w:r>
      <w:r>
        <w:rPr>
          <w:rFonts w:hint="eastAsia" w:ascii="仿宋" w:hAnsi="仿宋" w:eastAsia="仿宋" w:cs="仿宋"/>
          <w:color w:val="auto"/>
          <w:sz w:val="28"/>
          <w:szCs w:val="28"/>
          <w:highlight w:val="none"/>
          <w:u w:val="single"/>
        </w:rPr>
        <w:t xml:space="preserve"> </w:t>
      </w:r>
    </w:p>
    <w:p w14:paraId="1E3E3E4C">
      <w:pPr>
        <w:spacing w:before="156" w:beforeLines="50" w:after="156" w:afterLines="50" w:line="600" w:lineRule="exact"/>
        <w:jc w:val="center"/>
        <w:outlineLvl w:val="0"/>
        <w:rPr>
          <w:rFonts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第二章 投标人须知</w:t>
      </w:r>
      <w:bookmarkEnd w:id="2"/>
    </w:p>
    <w:p w14:paraId="74AE7264">
      <w:pPr>
        <w:snapToGrid w:val="0"/>
        <w:spacing w:before="93" w:beforeLines="30" w:after="93" w:afterLines="30" w:line="500" w:lineRule="exact"/>
        <w:jc w:val="center"/>
        <w:outlineLvl w:val="1"/>
        <w:rPr>
          <w:rFonts w:ascii="宋体"/>
          <w:b/>
          <w:color w:val="auto"/>
          <w:sz w:val="28"/>
          <w:szCs w:val="28"/>
          <w:highlight w:val="none"/>
        </w:rPr>
      </w:pPr>
      <w:bookmarkStart w:id="17" w:name="_Toc58430314"/>
      <w:bookmarkStart w:id="18"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7"/>
      <w:bookmarkEnd w:id="18"/>
    </w:p>
    <w:tbl>
      <w:tblPr>
        <w:tblStyle w:val="37"/>
        <w:tblW w:w="1007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82"/>
        <w:gridCol w:w="2000"/>
        <w:gridCol w:w="7395"/>
      </w:tblGrid>
      <w:tr w14:paraId="5A405C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682" w:type="dxa"/>
            <w:vAlign w:val="center"/>
          </w:tcPr>
          <w:p w14:paraId="76ED5102">
            <w:pPr>
              <w:pStyle w:val="20"/>
              <w:spacing w:line="500" w:lineRule="exact"/>
              <w:jc w:val="center"/>
              <w:rPr>
                <w:rFonts w:hAnsi="宋体" w:cs="宋体"/>
                <w:b/>
                <w:color w:val="auto"/>
                <w:szCs w:val="21"/>
                <w:highlight w:val="none"/>
              </w:rPr>
            </w:pPr>
            <w:r>
              <w:rPr>
                <w:rFonts w:hint="eastAsia" w:hAnsi="宋体" w:cs="宋体"/>
                <w:b/>
                <w:color w:val="auto"/>
                <w:szCs w:val="21"/>
                <w:highlight w:val="none"/>
              </w:rPr>
              <w:t>序号</w:t>
            </w:r>
          </w:p>
        </w:tc>
        <w:tc>
          <w:tcPr>
            <w:tcW w:w="2000" w:type="dxa"/>
            <w:vAlign w:val="center"/>
          </w:tcPr>
          <w:p w14:paraId="36249840">
            <w:pPr>
              <w:pStyle w:val="20"/>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7395" w:type="dxa"/>
            <w:vAlign w:val="center"/>
          </w:tcPr>
          <w:p w14:paraId="55B3CC61">
            <w:pPr>
              <w:pStyle w:val="20"/>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4EE3A1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682" w:type="dxa"/>
            <w:vAlign w:val="center"/>
          </w:tcPr>
          <w:p w14:paraId="79136C3E">
            <w:pPr>
              <w:pStyle w:val="20"/>
              <w:spacing w:line="500" w:lineRule="exact"/>
              <w:jc w:val="center"/>
              <w:rPr>
                <w:rFonts w:hAnsi="宋体" w:cs="宋体"/>
                <w:color w:val="auto"/>
                <w:szCs w:val="21"/>
                <w:highlight w:val="none"/>
              </w:rPr>
            </w:pPr>
            <w:r>
              <w:rPr>
                <w:rFonts w:hint="eastAsia" w:hAnsi="宋体" w:cs="宋体"/>
                <w:color w:val="auto"/>
                <w:szCs w:val="21"/>
                <w:highlight w:val="none"/>
              </w:rPr>
              <w:t>1</w:t>
            </w:r>
          </w:p>
        </w:tc>
        <w:tc>
          <w:tcPr>
            <w:tcW w:w="2000" w:type="dxa"/>
            <w:vAlign w:val="center"/>
          </w:tcPr>
          <w:p w14:paraId="6F722959">
            <w:pPr>
              <w:pStyle w:val="20"/>
              <w:spacing w:line="500" w:lineRule="exact"/>
              <w:jc w:val="left"/>
              <w:rPr>
                <w:rFonts w:hAnsi="宋体" w:cs="宋体"/>
                <w:color w:val="auto"/>
                <w:szCs w:val="21"/>
                <w:highlight w:val="none"/>
              </w:rPr>
            </w:pPr>
            <w:r>
              <w:rPr>
                <w:rFonts w:hint="eastAsia" w:hAnsi="宋体" w:cs="宋体"/>
                <w:color w:val="auto"/>
                <w:szCs w:val="21"/>
                <w:highlight w:val="none"/>
              </w:rPr>
              <w:t>项目名称</w:t>
            </w:r>
          </w:p>
        </w:tc>
        <w:tc>
          <w:tcPr>
            <w:tcW w:w="7395" w:type="dxa"/>
            <w:vAlign w:val="center"/>
          </w:tcPr>
          <w:p w14:paraId="3951158E">
            <w:pPr>
              <w:pStyle w:val="20"/>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eastAsia="zh-CN"/>
              </w:rPr>
              <w:t>滁州市住房和城乡建设局食堂外包服务项目</w:t>
            </w:r>
          </w:p>
        </w:tc>
      </w:tr>
      <w:tr w14:paraId="6309F0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682" w:type="dxa"/>
            <w:vAlign w:val="center"/>
          </w:tcPr>
          <w:p w14:paraId="290D2F55">
            <w:pPr>
              <w:pStyle w:val="20"/>
              <w:spacing w:line="500" w:lineRule="exact"/>
              <w:jc w:val="center"/>
              <w:rPr>
                <w:rFonts w:hAnsi="宋体" w:cs="宋体"/>
                <w:color w:val="auto"/>
                <w:szCs w:val="21"/>
                <w:highlight w:val="none"/>
              </w:rPr>
            </w:pPr>
            <w:r>
              <w:rPr>
                <w:rFonts w:hint="eastAsia" w:hAnsi="宋体" w:cs="宋体"/>
                <w:color w:val="auto"/>
                <w:szCs w:val="21"/>
                <w:highlight w:val="none"/>
              </w:rPr>
              <w:t>2</w:t>
            </w:r>
          </w:p>
        </w:tc>
        <w:tc>
          <w:tcPr>
            <w:tcW w:w="2000" w:type="dxa"/>
            <w:vAlign w:val="center"/>
          </w:tcPr>
          <w:p w14:paraId="3D7AFB78">
            <w:pPr>
              <w:pStyle w:val="20"/>
              <w:spacing w:line="500" w:lineRule="exact"/>
              <w:jc w:val="left"/>
              <w:rPr>
                <w:rFonts w:hAnsi="宋体" w:cs="宋体"/>
                <w:color w:val="auto"/>
                <w:szCs w:val="21"/>
                <w:highlight w:val="none"/>
              </w:rPr>
            </w:pPr>
            <w:r>
              <w:rPr>
                <w:rFonts w:hint="eastAsia" w:hAnsi="宋体" w:cs="宋体"/>
                <w:color w:val="auto"/>
                <w:szCs w:val="21"/>
                <w:highlight w:val="none"/>
              </w:rPr>
              <w:t>服务期</w:t>
            </w:r>
          </w:p>
        </w:tc>
        <w:tc>
          <w:tcPr>
            <w:tcW w:w="7395" w:type="dxa"/>
            <w:vAlign w:val="center"/>
          </w:tcPr>
          <w:p w14:paraId="69575F8A">
            <w:pPr>
              <w:pStyle w:val="23"/>
              <w:spacing w:line="500" w:lineRule="exact"/>
              <w:rPr>
                <w:rFonts w:ascii="宋体" w:hAnsi="宋体" w:cs="宋体"/>
                <w:color w:val="auto"/>
                <w:szCs w:val="21"/>
                <w:highlight w:val="none"/>
              </w:rPr>
            </w:pPr>
            <w:r>
              <w:rPr>
                <w:rFonts w:hint="eastAsia" w:ascii="宋体" w:hAnsi="宋体" w:cs="宋体"/>
                <w:color w:val="auto"/>
                <w:szCs w:val="21"/>
                <w:highlight w:val="none"/>
              </w:rPr>
              <w:t>服务期限为三年，合同一年一签，根据招标人考核结果决定是否续签，未达标的招标人有权终止合同并重新选取服务单位，被终止合同的供应商不得参加该项目重新招标。</w:t>
            </w:r>
          </w:p>
          <w:p w14:paraId="786DF8B0">
            <w:pPr>
              <w:pStyle w:val="23"/>
              <w:spacing w:line="500" w:lineRule="exact"/>
              <w:rPr>
                <w:rFonts w:ascii="宋体" w:hAnsi="宋体" w:cs="宋体"/>
                <w:color w:val="auto"/>
                <w:szCs w:val="21"/>
                <w:highlight w:val="none"/>
              </w:rPr>
            </w:pPr>
            <w:r>
              <w:rPr>
                <w:rFonts w:hint="eastAsia" w:ascii="宋体" w:hAnsi="宋体" w:cs="宋体"/>
                <w:b/>
                <w:bCs/>
                <w:color w:val="auto"/>
                <w:szCs w:val="21"/>
                <w:highlight w:val="none"/>
              </w:rPr>
              <w:t>注：中标人试运行期三个月，三个月内试用合格后签订一年的服务合同（包含试用期）；试用不合格招标人有权终止合作另行选取服务单位。</w:t>
            </w:r>
          </w:p>
        </w:tc>
      </w:tr>
      <w:tr w14:paraId="1EF254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682" w:type="dxa"/>
            <w:vAlign w:val="center"/>
          </w:tcPr>
          <w:p w14:paraId="53A576FD">
            <w:pPr>
              <w:pStyle w:val="20"/>
              <w:spacing w:line="500" w:lineRule="exact"/>
              <w:jc w:val="center"/>
              <w:rPr>
                <w:rFonts w:hAnsi="宋体" w:cs="宋体"/>
                <w:color w:val="auto"/>
                <w:szCs w:val="21"/>
                <w:highlight w:val="none"/>
              </w:rPr>
            </w:pPr>
            <w:r>
              <w:rPr>
                <w:rFonts w:hint="eastAsia" w:hAnsi="宋体" w:cs="宋体"/>
                <w:color w:val="auto"/>
                <w:szCs w:val="21"/>
                <w:highlight w:val="none"/>
              </w:rPr>
              <w:t>3</w:t>
            </w:r>
          </w:p>
        </w:tc>
        <w:tc>
          <w:tcPr>
            <w:tcW w:w="2000" w:type="dxa"/>
            <w:vAlign w:val="center"/>
          </w:tcPr>
          <w:p w14:paraId="77206284">
            <w:pPr>
              <w:pStyle w:val="20"/>
              <w:spacing w:line="500" w:lineRule="exact"/>
              <w:jc w:val="left"/>
              <w:rPr>
                <w:rFonts w:hAnsi="宋体" w:cs="宋体"/>
                <w:color w:val="auto"/>
                <w:szCs w:val="21"/>
                <w:highlight w:val="none"/>
              </w:rPr>
            </w:pPr>
            <w:r>
              <w:rPr>
                <w:rFonts w:hint="eastAsia" w:hAnsi="宋体" w:cs="宋体"/>
                <w:color w:val="auto"/>
                <w:szCs w:val="21"/>
                <w:highlight w:val="none"/>
              </w:rPr>
              <w:t>服务地点</w:t>
            </w:r>
          </w:p>
        </w:tc>
        <w:tc>
          <w:tcPr>
            <w:tcW w:w="7395" w:type="dxa"/>
            <w:vAlign w:val="center"/>
          </w:tcPr>
          <w:p w14:paraId="70C3F5A9">
            <w:pPr>
              <w:pStyle w:val="20"/>
              <w:spacing w:line="500" w:lineRule="exact"/>
              <w:rPr>
                <w:rFonts w:hAnsi="宋体" w:cs="宋体"/>
                <w:color w:val="auto"/>
                <w:szCs w:val="21"/>
                <w:highlight w:val="none"/>
              </w:rPr>
            </w:pPr>
            <w:r>
              <w:rPr>
                <w:rFonts w:hint="eastAsia" w:hAnsi="宋体" w:cs="宋体"/>
                <w:color w:val="auto"/>
                <w:szCs w:val="21"/>
                <w:highlight w:val="none"/>
              </w:rPr>
              <w:t>招标人指定地点</w:t>
            </w:r>
          </w:p>
        </w:tc>
      </w:tr>
      <w:tr w14:paraId="751BB6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682" w:type="dxa"/>
            <w:vAlign w:val="center"/>
          </w:tcPr>
          <w:p w14:paraId="5AD9BFE3">
            <w:pPr>
              <w:pStyle w:val="20"/>
              <w:spacing w:line="500" w:lineRule="exact"/>
              <w:jc w:val="center"/>
              <w:rPr>
                <w:rFonts w:hAnsi="宋体" w:cs="宋体"/>
                <w:color w:val="auto"/>
                <w:szCs w:val="21"/>
                <w:highlight w:val="none"/>
              </w:rPr>
            </w:pPr>
            <w:r>
              <w:rPr>
                <w:rFonts w:hint="eastAsia" w:hAnsi="宋体" w:cs="宋体"/>
                <w:color w:val="auto"/>
                <w:szCs w:val="21"/>
                <w:highlight w:val="none"/>
              </w:rPr>
              <w:t>4</w:t>
            </w:r>
          </w:p>
        </w:tc>
        <w:tc>
          <w:tcPr>
            <w:tcW w:w="2000" w:type="dxa"/>
            <w:vAlign w:val="center"/>
          </w:tcPr>
          <w:p w14:paraId="08B7BB1C">
            <w:pPr>
              <w:pStyle w:val="20"/>
              <w:spacing w:line="500" w:lineRule="exact"/>
              <w:jc w:val="left"/>
              <w:rPr>
                <w:rFonts w:hAnsi="宋体" w:cs="宋体"/>
                <w:color w:val="auto"/>
                <w:szCs w:val="21"/>
                <w:highlight w:val="none"/>
              </w:rPr>
            </w:pPr>
            <w:r>
              <w:rPr>
                <w:rFonts w:hint="eastAsia" w:hAnsi="宋体" w:cs="宋体"/>
                <w:color w:val="auto"/>
                <w:szCs w:val="21"/>
                <w:highlight w:val="none"/>
              </w:rPr>
              <w:t>招标人联系人及电话</w:t>
            </w:r>
          </w:p>
        </w:tc>
        <w:tc>
          <w:tcPr>
            <w:tcW w:w="7395" w:type="dxa"/>
            <w:vAlign w:val="center"/>
          </w:tcPr>
          <w:p w14:paraId="263F1B22">
            <w:pPr>
              <w:pStyle w:val="20"/>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rPr>
              <w:t>联系人：李昂</w:t>
            </w:r>
            <w:r>
              <w:rPr>
                <w:rFonts w:hint="eastAsia" w:hAnsi="宋体" w:cs="宋体"/>
                <w:color w:val="auto"/>
                <w:szCs w:val="21"/>
                <w:highlight w:val="none"/>
                <w:lang w:val="en-US" w:eastAsia="zh-CN"/>
              </w:rPr>
              <w:t xml:space="preserve">        </w:t>
            </w:r>
            <w:r>
              <w:rPr>
                <w:rFonts w:hint="eastAsia" w:hAnsi="宋体" w:cs="宋体"/>
                <w:color w:val="auto"/>
                <w:szCs w:val="21"/>
                <w:highlight w:val="none"/>
              </w:rPr>
              <w:t>电话：0550-3036040</w:t>
            </w:r>
            <w:r>
              <w:rPr>
                <w:rFonts w:hint="eastAsia" w:hAnsi="宋体" w:cs="宋体"/>
                <w:color w:val="auto"/>
                <w:szCs w:val="21"/>
                <w:highlight w:val="none"/>
                <w:lang w:val="en-US" w:eastAsia="zh-CN"/>
              </w:rPr>
              <w:t xml:space="preserve"> </w:t>
            </w:r>
          </w:p>
        </w:tc>
      </w:tr>
      <w:tr w14:paraId="7FBFBC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682" w:type="dxa"/>
            <w:vAlign w:val="center"/>
          </w:tcPr>
          <w:p w14:paraId="7748B778">
            <w:pPr>
              <w:pStyle w:val="20"/>
              <w:spacing w:line="500" w:lineRule="exact"/>
              <w:jc w:val="center"/>
              <w:rPr>
                <w:rFonts w:hAnsi="宋体" w:cs="宋体"/>
                <w:color w:val="auto"/>
                <w:szCs w:val="21"/>
                <w:highlight w:val="none"/>
              </w:rPr>
            </w:pPr>
            <w:r>
              <w:rPr>
                <w:rFonts w:hint="eastAsia" w:hAnsi="宋体" w:cs="宋体"/>
                <w:color w:val="auto"/>
                <w:szCs w:val="21"/>
                <w:highlight w:val="none"/>
              </w:rPr>
              <w:t>5</w:t>
            </w:r>
          </w:p>
        </w:tc>
        <w:tc>
          <w:tcPr>
            <w:tcW w:w="2000" w:type="dxa"/>
            <w:vAlign w:val="center"/>
          </w:tcPr>
          <w:p w14:paraId="60ED3864">
            <w:pPr>
              <w:pStyle w:val="20"/>
              <w:spacing w:line="500" w:lineRule="exact"/>
              <w:jc w:val="left"/>
              <w:rPr>
                <w:rFonts w:hAnsi="宋体" w:cs="宋体"/>
                <w:color w:val="auto"/>
                <w:szCs w:val="21"/>
                <w:highlight w:val="none"/>
              </w:rPr>
            </w:pPr>
            <w:r>
              <w:rPr>
                <w:rFonts w:hint="eastAsia" w:hAnsi="宋体" w:cs="宋体"/>
                <w:color w:val="auto"/>
                <w:szCs w:val="21"/>
                <w:highlight w:val="none"/>
              </w:rPr>
              <w:t>采购代理机构联系人及电话</w:t>
            </w:r>
          </w:p>
        </w:tc>
        <w:tc>
          <w:tcPr>
            <w:tcW w:w="7395" w:type="dxa"/>
            <w:vAlign w:val="center"/>
          </w:tcPr>
          <w:p w14:paraId="5BF94DE9">
            <w:pPr>
              <w:pStyle w:val="20"/>
              <w:spacing w:line="500" w:lineRule="exact"/>
              <w:rPr>
                <w:rFonts w:hAnsi="宋体" w:cs="宋体"/>
                <w:color w:val="auto"/>
                <w:szCs w:val="21"/>
                <w:highlight w:val="none"/>
              </w:rPr>
            </w:pPr>
            <w:r>
              <w:rPr>
                <w:rFonts w:hint="eastAsia" w:hAnsi="宋体" w:cs="宋体"/>
                <w:color w:val="auto"/>
                <w:szCs w:val="21"/>
                <w:highlight w:val="none"/>
              </w:rPr>
              <w:t>联系人：</w:t>
            </w:r>
            <w:r>
              <w:rPr>
                <w:rFonts w:hint="eastAsia" w:hAnsi="宋体" w:cs="宋体"/>
                <w:color w:val="auto"/>
                <w:szCs w:val="21"/>
                <w:highlight w:val="none"/>
                <w:lang w:eastAsia="zh-CN"/>
              </w:rPr>
              <w:t>毕玉</w:t>
            </w:r>
            <w:r>
              <w:rPr>
                <w:rFonts w:hint="eastAsia" w:hAnsi="宋体" w:cs="宋体"/>
                <w:color w:val="auto"/>
                <w:szCs w:val="21"/>
                <w:highlight w:val="none"/>
              </w:rPr>
              <w:t xml:space="preserve">      </w:t>
            </w:r>
            <w:r>
              <w:rPr>
                <w:rFonts w:hint="eastAsia" w:hAnsi="宋体" w:cs="宋体"/>
                <w:color w:val="auto"/>
                <w:szCs w:val="21"/>
                <w:highlight w:val="none"/>
                <w:lang w:val="en-US" w:eastAsia="zh-CN"/>
              </w:rPr>
              <w:t xml:space="preserve"> </w:t>
            </w:r>
            <w:r>
              <w:rPr>
                <w:rFonts w:hint="eastAsia" w:hAnsi="宋体" w:cs="宋体"/>
                <w:color w:val="auto"/>
                <w:szCs w:val="21"/>
                <w:highlight w:val="none"/>
              </w:rPr>
              <w:t xml:space="preserve"> 电话0550-30519590、18005501210</w:t>
            </w:r>
          </w:p>
        </w:tc>
      </w:tr>
      <w:tr w14:paraId="1C8839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682" w:type="dxa"/>
            <w:vAlign w:val="center"/>
          </w:tcPr>
          <w:p w14:paraId="48BB10CB">
            <w:pPr>
              <w:pStyle w:val="20"/>
              <w:spacing w:line="500" w:lineRule="exact"/>
              <w:jc w:val="center"/>
              <w:rPr>
                <w:rFonts w:hAnsi="宋体" w:cs="宋体"/>
                <w:color w:val="auto"/>
                <w:szCs w:val="21"/>
                <w:highlight w:val="none"/>
              </w:rPr>
            </w:pPr>
            <w:r>
              <w:rPr>
                <w:rFonts w:hint="eastAsia" w:hAnsi="宋体" w:cs="宋体"/>
                <w:color w:val="auto"/>
                <w:szCs w:val="21"/>
                <w:highlight w:val="none"/>
              </w:rPr>
              <w:t>6</w:t>
            </w:r>
          </w:p>
        </w:tc>
        <w:tc>
          <w:tcPr>
            <w:tcW w:w="2000" w:type="dxa"/>
            <w:vAlign w:val="center"/>
          </w:tcPr>
          <w:p w14:paraId="1CFC76AD">
            <w:pPr>
              <w:pStyle w:val="20"/>
              <w:spacing w:line="500" w:lineRule="exact"/>
              <w:jc w:val="left"/>
              <w:rPr>
                <w:rFonts w:hAnsi="宋体" w:cs="宋体"/>
                <w:color w:val="auto"/>
                <w:szCs w:val="21"/>
                <w:highlight w:val="none"/>
              </w:rPr>
            </w:pPr>
            <w:r>
              <w:rPr>
                <w:rFonts w:hint="eastAsia" w:hAnsi="宋体" w:cs="宋体"/>
                <w:color w:val="auto"/>
                <w:szCs w:val="21"/>
                <w:highlight w:val="none"/>
              </w:rPr>
              <w:t xml:space="preserve">资金来源                                                                                                                                                                 </w:t>
            </w:r>
          </w:p>
        </w:tc>
        <w:tc>
          <w:tcPr>
            <w:tcW w:w="7395" w:type="dxa"/>
            <w:vAlign w:val="center"/>
          </w:tcPr>
          <w:p w14:paraId="1E7BE9ED">
            <w:pPr>
              <w:pStyle w:val="20"/>
              <w:spacing w:line="500" w:lineRule="exact"/>
              <w:rPr>
                <w:rFonts w:hAnsi="宋体" w:cs="宋体"/>
                <w:color w:val="auto"/>
                <w:szCs w:val="21"/>
                <w:highlight w:val="none"/>
              </w:rPr>
            </w:pPr>
            <w:r>
              <w:rPr>
                <w:rFonts w:hint="eastAsia" w:hAnsi="宋体" w:cs="宋体"/>
                <w:color w:val="auto"/>
                <w:szCs w:val="21"/>
                <w:highlight w:val="none"/>
              </w:rPr>
              <w:t>自筹资金</w:t>
            </w:r>
          </w:p>
        </w:tc>
      </w:tr>
      <w:tr w14:paraId="6BEDA1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682" w:type="dxa"/>
            <w:vAlign w:val="center"/>
          </w:tcPr>
          <w:p w14:paraId="0D02EC3F">
            <w:pPr>
              <w:pStyle w:val="20"/>
              <w:spacing w:line="500" w:lineRule="exact"/>
              <w:jc w:val="center"/>
              <w:rPr>
                <w:rFonts w:hAnsi="宋体" w:cs="宋体"/>
                <w:color w:val="auto"/>
                <w:szCs w:val="21"/>
                <w:highlight w:val="none"/>
              </w:rPr>
            </w:pPr>
            <w:r>
              <w:rPr>
                <w:rFonts w:hint="eastAsia" w:hAnsi="宋体" w:cs="宋体"/>
                <w:color w:val="auto"/>
                <w:szCs w:val="21"/>
                <w:highlight w:val="none"/>
              </w:rPr>
              <w:t>7</w:t>
            </w:r>
          </w:p>
        </w:tc>
        <w:tc>
          <w:tcPr>
            <w:tcW w:w="2000" w:type="dxa"/>
            <w:vAlign w:val="center"/>
          </w:tcPr>
          <w:p w14:paraId="42B4167B">
            <w:pPr>
              <w:pStyle w:val="20"/>
              <w:spacing w:line="500" w:lineRule="exact"/>
              <w:jc w:val="left"/>
              <w:rPr>
                <w:rFonts w:hAnsi="宋体" w:cs="宋体"/>
                <w:color w:val="auto"/>
                <w:szCs w:val="21"/>
                <w:highlight w:val="none"/>
              </w:rPr>
            </w:pPr>
            <w:r>
              <w:rPr>
                <w:rFonts w:hint="eastAsia" w:hAnsi="宋体" w:cs="宋体"/>
                <w:color w:val="auto"/>
                <w:szCs w:val="21"/>
                <w:highlight w:val="none"/>
              </w:rPr>
              <w:t>采购预算</w:t>
            </w:r>
          </w:p>
        </w:tc>
        <w:tc>
          <w:tcPr>
            <w:tcW w:w="7395" w:type="dxa"/>
            <w:vAlign w:val="center"/>
          </w:tcPr>
          <w:p w14:paraId="3A38292C">
            <w:pPr>
              <w:pStyle w:val="20"/>
              <w:spacing w:line="500" w:lineRule="exact"/>
              <w:rPr>
                <w:rFonts w:hAnsi="宋体" w:cs="宋体"/>
                <w:color w:val="auto"/>
                <w:szCs w:val="21"/>
                <w:highlight w:val="none"/>
              </w:rPr>
            </w:pPr>
            <w:r>
              <w:rPr>
                <w:rFonts w:hint="eastAsia" w:hAnsi="宋体" w:cs="宋体"/>
                <w:color w:val="auto"/>
                <w:szCs w:val="21"/>
                <w:highlight w:val="none"/>
              </w:rPr>
              <w:t>/</w:t>
            </w:r>
          </w:p>
        </w:tc>
      </w:tr>
      <w:tr w14:paraId="54DA4E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82" w:type="dxa"/>
            <w:vAlign w:val="center"/>
          </w:tcPr>
          <w:p w14:paraId="0AE6E38F">
            <w:pPr>
              <w:pStyle w:val="20"/>
              <w:spacing w:line="500" w:lineRule="exact"/>
              <w:jc w:val="center"/>
              <w:rPr>
                <w:rFonts w:hAnsi="宋体" w:cs="宋体"/>
                <w:color w:val="auto"/>
                <w:szCs w:val="21"/>
                <w:highlight w:val="none"/>
              </w:rPr>
            </w:pPr>
            <w:r>
              <w:rPr>
                <w:rFonts w:hint="eastAsia" w:hAnsi="宋体" w:cs="宋体"/>
                <w:color w:val="auto"/>
                <w:szCs w:val="21"/>
                <w:highlight w:val="none"/>
              </w:rPr>
              <w:t>8</w:t>
            </w:r>
          </w:p>
        </w:tc>
        <w:tc>
          <w:tcPr>
            <w:tcW w:w="2000" w:type="dxa"/>
            <w:vAlign w:val="center"/>
          </w:tcPr>
          <w:p w14:paraId="7E473692">
            <w:pPr>
              <w:pStyle w:val="20"/>
              <w:spacing w:line="500" w:lineRule="exact"/>
              <w:jc w:val="left"/>
              <w:rPr>
                <w:rFonts w:hAnsi="宋体" w:cs="宋体"/>
                <w:color w:val="auto"/>
                <w:szCs w:val="21"/>
                <w:highlight w:val="none"/>
              </w:rPr>
            </w:pPr>
            <w:r>
              <w:rPr>
                <w:rFonts w:hint="eastAsia" w:hAnsi="宋体" w:cs="宋体"/>
                <w:color w:val="auto"/>
                <w:szCs w:val="21"/>
                <w:highlight w:val="none"/>
              </w:rPr>
              <w:t>最高限价</w:t>
            </w:r>
          </w:p>
        </w:tc>
        <w:tc>
          <w:tcPr>
            <w:tcW w:w="7395" w:type="dxa"/>
            <w:vAlign w:val="center"/>
          </w:tcPr>
          <w:p w14:paraId="733470BF">
            <w:pPr>
              <w:pStyle w:val="20"/>
              <w:spacing w:line="500" w:lineRule="exact"/>
              <w:rPr>
                <w:rFonts w:hAnsi="宋体" w:cs="宋体"/>
                <w:color w:val="auto"/>
                <w:szCs w:val="21"/>
                <w:highlight w:val="none"/>
              </w:rPr>
            </w:pPr>
            <w:r>
              <w:rPr>
                <w:rFonts w:hint="eastAsia" w:hAnsi="宋体" w:cs="宋体"/>
                <w:color w:val="auto"/>
                <w:szCs w:val="21"/>
                <w:highlight w:val="none"/>
              </w:rPr>
              <w:t>/</w:t>
            </w:r>
          </w:p>
        </w:tc>
      </w:tr>
      <w:tr w14:paraId="57D3C4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82" w:type="dxa"/>
            <w:vAlign w:val="center"/>
          </w:tcPr>
          <w:p w14:paraId="5B2598F8">
            <w:pPr>
              <w:pStyle w:val="20"/>
              <w:spacing w:line="500" w:lineRule="exact"/>
              <w:jc w:val="center"/>
              <w:rPr>
                <w:rFonts w:hAnsi="宋体" w:cs="宋体"/>
                <w:color w:val="auto"/>
                <w:szCs w:val="21"/>
                <w:highlight w:val="none"/>
              </w:rPr>
            </w:pPr>
            <w:r>
              <w:rPr>
                <w:rFonts w:hint="eastAsia" w:hAnsi="宋体" w:cs="宋体"/>
                <w:color w:val="auto"/>
                <w:szCs w:val="21"/>
                <w:highlight w:val="none"/>
              </w:rPr>
              <w:t>9</w:t>
            </w:r>
          </w:p>
        </w:tc>
        <w:tc>
          <w:tcPr>
            <w:tcW w:w="2000" w:type="dxa"/>
            <w:vAlign w:val="center"/>
          </w:tcPr>
          <w:p w14:paraId="55C3242C">
            <w:pPr>
              <w:pStyle w:val="20"/>
              <w:spacing w:line="500" w:lineRule="exact"/>
              <w:jc w:val="left"/>
              <w:rPr>
                <w:rFonts w:hAnsi="宋体" w:cs="宋体"/>
                <w:color w:val="auto"/>
                <w:szCs w:val="21"/>
                <w:highlight w:val="none"/>
              </w:rPr>
            </w:pPr>
            <w:r>
              <w:rPr>
                <w:rFonts w:hint="eastAsia" w:hAnsi="宋体" w:cs="宋体"/>
                <w:color w:val="auto"/>
                <w:szCs w:val="21"/>
                <w:highlight w:val="none"/>
              </w:rPr>
              <w:t>采购内容</w:t>
            </w:r>
          </w:p>
        </w:tc>
        <w:tc>
          <w:tcPr>
            <w:tcW w:w="7395" w:type="dxa"/>
            <w:vAlign w:val="center"/>
          </w:tcPr>
          <w:p w14:paraId="70D62FB5">
            <w:pPr>
              <w:pStyle w:val="20"/>
              <w:spacing w:line="500" w:lineRule="exact"/>
              <w:rPr>
                <w:rFonts w:hAnsi="宋体" w:cs="宋体"/>
                <w:color w:val="auto"/>
                <w:szCs w:val="21"/>
                <w:highlight w:val="none"/>
              </w:rPr>
            </w:pPr>
            <w:r>
              <w:rPr>
                <w:rFonts w:hint="eastAsia" w:hAnsi="宋体" w:cs="宋体"/>
                <w:color w:val="auto"/>
                <w:szCs w:val="21"/>
                <w:highlight w:val="none"/>
              </w:rPr>
              <w:t>本项目采购内容包括：详见《采购需求》</w:t>
            </w:r>
          </w:p>
        </w:tc>
      </w:tr>
      <w:tr w14:paraId="06EE38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682" w:type="dxa"/>
            <w:vAlign w:val="center"/>
          </w:tcPr>
          <w:p w14:paraId="6ADF64AA">
            <w:pPr>
              <w:pStyle w:val="20"/>
              <w:spacing w:line="500" w:lineRule="exact"/>
              <w:jc w:val="center"/>
              <w:rPr>
                <w:rFonts w:hAnsi="宋体" w:cs="宋体"/>
                <w:color w:val="auto"/>
                <w:szCs w:val="21"/>
                <w:highlight w:val="none"/>
              </w:rPr>
            </w:pPr>
            <w:r>
              <w:rPr>
                <w:rFonts w:hint="eastAsia" w:hAnsi="宋体" w:cs="宋体"/>
                <w:color w:val="auto"/>
                <w:szCs w:val="21"/>
                <w:highlight w:val="none"/>
              </w:rPr>
              <w:t>10</w:t>
            </w:r>
          </w:p>
        </w:tc>
        <w:tc>
          <w:tcPr>
            <w:tcW w:w="2000" w:type="dxa"/>
            <w:vAlign w:val="center"/>
          </w:tcPr>
          <w:p w14:paraId="6D7E2CE0">
            <w:pPr>
              <w:pStyle w:val="20"/>
              <w:spacing w:line="500" w:lineRule="exact"/>
              <w:jc w:val="left"/>
              <w:rPr>
                <w:rFonts w:hAnsi="宋体" w:cs="宋体"/>
                <w:color w:val="auto"/>
                <w:szCs w:val="21"/>
                <w:highlight w:val="none"/>
              </w:rPr>
            </w:pPr>
            <w:r>
              <w:rPr>
                <w:rFonts w:hint="eastAsia" w:hAnsi="宋体" w:cs="宋体"/>
                <w:color w:val="auto"/>
                <w:szCs w:val="21"/>
                <w:highlight w:val="none"/>
              </w:rPr>
              <w:t>标包划分</w:t>
            </w:r>
          </w:p>
        </w:tc>
        <w:tc>
          <w:tcPr>
            <w:tcW w:w="7395" w:type="dxa"/>
            <w:vAlign w:val="center"/>
          </w:tcPr>
          <w:p w14:paraId="03C44145">
            <w:pPr>
              <w:pStyle w:val="20"/>
              <w:spacing w:line="500" w:lineRule="exact"/>
              <w:rPr>
                <w:rFonts w:hAnsi="宋体" w:cs="宋体"/>
                <w:color w:val="auto"/>
                <w:szCs w:val="21"/>
                <w:highlight w:val="none"/>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  </w:t>
            </w:r>
            <w:r>
              <w:rPr>
                <w:rFonts w:hint="eastAsia" w:hAnsi="宋体" w:cs="宋体"/>
                <w:color w:val="auto"/>
                <w:szCs w:val="21"/>
                <w:highlight w:val="none"/>
              </w:rPr>
              <w:t>个标包</w:t>
            </w:r>
          </w:p>
        </w:tc>
      </w:tr>
      <w:tr w14:paraId="28BCFD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682" w:type="dxa"/>
            <w:vAlign w:val="center"/>
          </w:tcPr>
          <w:p w14:paraId="6BFE6853">
            <w:pPr>
              <w:pStyle w:val="20"/>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000" w:type="dxa"/>
            <w:vAlign w:val="center"/>
          </w:tcPr>
          <w:p w14:paraId="3D652119">
            <w:pPr>
              <w:pStyle w:val="20"/>
              <w:spacing w:line="500" w:lineRule="exact"/>
              <w:jc w:val="left"/>
              <w:rPr>
                <w:rFonts w:hAnsi="宋体" w:cs="宋体"/>
                <w:color w:val="auto"/>
                <w:szCs w:val="21"/>
                <w:highlight w:val="none"/>
              </w:rPr>
            </w:pPr>
            <w:r>
              <w:rPr>
                <w:rFonts w:hint="eastAsia" w:hAnsi="宋体" w:cs="宋体"/>
                <w:color w:val="auto"/>
                <w:szCs w:val="21"/>
                <w:highlight w:val="none"/>
              </w:rPr>
              <w:t>招标方式</w:t>
            </w:r>
          </w:p>
        </w:tc>
        <w:tc>
          <w:tcPr>
            <w:tcW w:w="7395" w:type="dxa"/>
            <w:vAlign w:val="center"/>
          </w:tcPr>
          <w:p w14:paraId="208393F7">
            <w:pPr>
              <w:pStyle w:val="20"/>
              <w:spacing w:line="500" w:lineRule="exact"/>
              <w:rPr>
                <w:rFonts w:hAnsi="宋体" w:cs="宋体"/>
                <w:color w:val="auto"/>
                <w:szCs w:val="21"/>
                <w:highlight w:val="none"/>
              </w:rPr>
            </w:pPr>
            <w:r>
              <w:rPr>
                <w:rFonts w:hint="eastAsia" w:hAnsi="宋体" w:cs="宋体"/>
                <w:color w:val="auto"/>
                <w:szCs w:val="21"/>
                <w:highlight w:val="none"/>
              </w:rPr>
              <w:t>公开招标</w:t>
            </w:r>
          </w:p>
        </w:tc>
      </w:tr>
      <w:tr w14:paraId="599095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682" w:type="dxa"/>
            <w:vAlign w:val="center"/>
          </w:tcPr>
          <w:p w14:paraId="69200B64">
            <w:pPr>
              <w:pStyle w:val="20"/>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000" w:type="dxa"/>
            <w:vAlign w:val="center"/>
          </w:tcPr>
          <w:p w14:paraId="6DFFF2DE">
            <w:pPr>
              <w:pStyle w:val="20"/>
              <w:spacing w:line="500" w:lineRule="exact"/>
              <w:jc w:val="left"/>
              <w:rPr>
                <w:rFonts w:hAnsi="宋体" w:cs="宋体"/>
                <w:color w:val="auto"/>
                <w:szCs w:val="21"/>
                <w:highlight w:val="none"/>
              </w:rPr>
            </w:pPr>
            <w:r>
              <w:rPr>
                <w:rFonts w:hint="eastAsia" w:hAnsi="宋体" w:cs="宋体"/>
                <w:color w:val="auto"/>
                <w:szCs w:val="21"/>
                <w:highlight w:val="none"/>
              </w:rPr>
              <w:t>投标人资格条件及其他要求</w:t>
            </w:r>
          </w:p>
        </w:tc>
        <w:tc>
          <w:tcPr>
            <w:tcW w:w="7395" w:type="dxa"/>
            <w:vAlign w:val="center"/>
          </w:tcPr>
          <w:p w14:paraId="641B274D">
            <w:pP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79D7B3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51AC0CF7">
            <w:pPr>
              <w:pStyle w:val="20"/>
              <w:spacing w:line="500" w:lineRule="exact"/>
              <w:jc w:val="center"/>
              <w:rPr>
                <w:rFonts w:hAnsi="宋体" w:cs="宋体"/>
                <w:color w:val="auto"/>
                <w:szCs w:val="21"/>
                <w:highlight w:val="none"/>
              </w:rPr>
            </w:pPr>
            <w:r>
              <w:rPr>
                <w:rFonts w:hint="eastAsia" w:hAnsi="宋体" w:cs="宋体"/>
                <w:color w:val="auto"/>
                <w:szCs w:val="21"/>
                <w:highlight w:val="none"/>
              </w:rPr>
              <w:t>13</w:t>
            </w:r>
          </w:p>
        </w:tc>
        <w:tc>
          <w:tcPr>
            <w:tcW w:w="2000" w:type="dxa"/>
            <w:vAlign w:val="center"/>
          </w:tcPr>
          <w:p w14:paraId="3DBE2D6B">
            <w:pPr>
              <w:pStyle w:val="20"/>
              <w:spacing w:line="500" w:lineRule="exact"/>
              <w:jc w:val="left"/>
              <w:rPr>
                <w:rFonts w:hAnsi="宋体" w:cs="宋体"/>
                <w:color w:val="auto"/>
                <w:szCs w:val="21"/>
                <w:highlight w:val="none"/>
              </w:rPr>
            </w:pPr>
            <w:r>
              <w:rPr>
                <w:rFonts w:hint="eastAsia" w:hAnsi="宋体" w:cs="宋体"/>
                <w:color w:val="auto"/>
                <w:szCs w:val="21"/>
                <w:highlight w:val="none"/>
              </w:rPr>
              <w:t>踏勘现场</w:t>
            </w:r>
          </w:p>
        </w:tc>
        <w:tc>
          <w:tcPr>
            <w:tcW w:w="7395" w:type="dxa"/>
            <w:vAlign w:val="center"/>
          </w:tcPr>
          <w:p w14:paraId="4DFC325E">
            <w:pPr>
              <w:pStyle w:val="20"/>
              <w:spacing w:line="500" w:lineRule="exact"/>
              <w:rPr>
                <w:rFonts w:hAnsi="宋体" w:cs="宋体"/>
                <w:color w:val="auto"/>
                <w:szCs w:val="21"/>
                <w:highlight w:val="none"/>
              </w:rPr>
            </w:pPr>
            <w:r>
              <w:rPr>
                <w:rFonts w:hint="eastAsia" w:hAnsi="宋体" w:cs="宋体"/>
                <w:color w:val="auto"/>
                <w:szCs w:val="21"/>
                <w:highlight w:val="none"/>
              </w:rPr>
              <w:t>不组织,投标人自行踏勘现场</w:t>
            </w:r>
          </w:p>
        </w:tc>
      </w:tr>
      <w:tr w14:paraId="0BAA41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07D3CEC3">
            <w:pPr>
              <w:pStyle w:val="20"/>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000" w:type="dxa"/>
            <w:vAlign w:val="center"/>
          </w:tcPr>
          <w:p w14:paraId="7FCF2D79">
            <w:pPr>
              <w:pStyle w:val="20"/>
              <w:spacing w:line="500" w:lineRule="exact"/>
              <w:jc w:val="left"/>
              <w:rPr>
                <w:rFonts w:hAnsi="宋体" w:cs="宋体"/>
                <w:color w:val="auto"/>
                <w:szCs w:val="21"/>
                <w:highlight w:val="none"/>
              </w:rPr>
            </w:pPr>
            <w:r>
              <w:rPr>
                <w:rFonts w:hint="eastAsia" w:hAnsi="宋体" w:cs="宋体"/>
                <w:color w:val="auto"/>
                <w:szCs w:val="21"/>
                <w:highlight w:val="none"/>
              </w:rPr>
              <w:t>投标预备会</w:t>
            </w:r>
          </w:p>
        </w:tc>
        <w:tc>
          <w:tcPr>
            <w:tcW w:w="7395" w:type="dxa"/>
            <w:vAlign w:val="center"/>
          </w:tcPr>
          <w:p w14:paraId="6A601178">
            <w:pPr>
              <w:pStyle w:val="20"/>
              <w:spacing w:line="500" w:lineRule="exact"/>
              <w:rPr>
                <w:rFonts w:hAnsi="宋体" w:cs="宋体"/>
                <w:color w:val="auto"/>
                <w:szCs w:val="21"/>
                <w:highlight w:val="none"/>
              </w:rPr>
            </w:pPr>
            <w:r>
              <w:rPr>
                <w:rFonts w:hint="eastAsia" w:hAnsi="宋体" w:cs="宋体"/>
                <w:color w:val="auto"/>
                <w:szCs w:val="21"/>
                <w:highlight w:val="none"/>
              </w:rPr>
              <w:t>不召开</w:t>
            </w:r>
          </w:p>
        </w:tc>
      </w:tr>
      <w:tr w14:paraId="3175FF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682" w:type="dxa"/>
            <w:vAlign w:val="center"/>
          </w:tcPr>
          <w:p w14:paraId="0E79C674">
            <w:pPr>
              <w:pStyle w:val="20"/>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000" w:type="dxa"/>
            <w:vAlign w:val="center"/>
          </w:tcPr>
          <w:p w14:paraId="762E8876">
            <w:pPr>
              <w:pStyle w:val="20"/>
              <w:spacing w:line="500" w:lineRule="exact"/>
              <w:jc w:val="left"/>
              <w:rPr>
                <w:rFonts w:hAnsi="宋体" w:cs="宋体"/>
                <w:color w:val="auto"/>
                <w:szCs w:val="21"/>
                <w:highlight w:val="none"/>
              </w:rPr>
            </w:pPr>
            <w:r>
              <w:rPr>
                <w:rFonts w:hint="eastAsia" w:hAnsi="宋体" w:cs="宋体"/>
                <w:color w:val="auto"/>
                <w:szCs w:val="21"/>
                <w:highlight w:val="none"/>
              </w:rPr>
              <w:t>联合体投标</w:t>
            </w:r>
          </w:p>
        </w:tc>
        <w:tc>
          <w:tcPr>
            <w:tcW w:w="7395" w:type="dxa"/>
            <w:vAlign w:val="center"/>
          </w:tcPr>
          <w:p w14:paraId="521ADDE6">
            <w:pPr>
              <w:pStyle w:val="20"/>
              <w:spacing w:line="500" w:lineRule="exact"/>
              <w:rPr>
                <w:rFonts w:hAnsi="宋体" w:cs="宋体"/>
                <w:color w:val="auto"/>
                <w:szCs w:val="21"/>
                <w:highlight w:val="none"/>
              </w:rPr>
            </w:pPr>
            <w:r>
              <w:rPr>
                <w:rFonts w:hint="eastAsia" w:hAnsi="宋体" w:cs="宋体"/>
                <w:color w:val="auto"/>
                <w:szCs w:val="21"/>
                <w:highlight w:val="none"/>
              </w:rPr>
              <w:t>详见第一章“招标公告”</w:t>
            </w:r>
          </w:p>
        </w:tc>
      </w:tr>
      <w:tr w14:paraId="047AC4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682" w:type="dxa"/>
            <w:vAlign w:val="center"/>
          </w:tcPr>
          <w:p w14:paraId="638199E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w:t>
            </w:r>
          </w:p>
        </w:tc>
        <w:tc>
          <w:tcPr>
            <w:tcW w:w="2000" w:type="dxa"/>
            <w:vAlign w:val="center"/>
          </w:tcPr>
          <w:p w14:paraId="64B5227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招标代理费及其他费用</w:t>
            </w:r>
          </w:p>
        </w:tc>
        <w:tc>
          <w:tcPr>
            <w:tcW w:w="7395" w:type="dxa"/>
            <w:vAlign w:val="center"/>
          </w:tcPr>
          <w:p w14:paraId="0E8807A2">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代理服务费金额：3000元；专家评审费用约1240元（具体以实际发生费用为准）。</w:t>
            </w:r>
          </w:p>
          <w:p w14:paraId="5225D7F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支付主体：代理服务由中标人在领取</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中标通知书前一次性付至代理机构，专家评审费由招标人支付。</w:t>
            </w:r>
          </w:p>
        </w:tc>
      </w:tr>
      <w:tr w14:paraId="1EDB3B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471DB4B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17</w:t>
            </w:r>
          </w:p>
        </w:tc>
        <w:tc>
          <w:tcPr>
            <w:tcW w:w="2000" w:type="dxa"/>
            <w:vAlign w:val="center"/>
          </w:tcPr>
          <w:p w14:paraId="1B05A075">
            <w:pPr>
              <w:pStyle w:val="20"/>
              <w:spacing w:line="500" w:lineRule="exact"/>
              <w:jc w:val="left"/>
              <w:rPr>
                <w:rFonts w:hAnsi="宋体" w:cs="宋体"/>
                <w:color w:val="auto"/>
                <w:szCs w:val="21"/>
                <w:highlight w:val="none"/>
              </w:rPr>
            </w:pPr>
            <w:r>
              <w:rPr>
                <w:rFonts w:hint="eastAsia" w:hAnsi="宋体" w:cs="宋体"/>
                <w:color w:val="auto"/>
                <w:szCs w:val="21"/>
                <w:highlight w:val="none"/>
              </w:rPr>
              <w:t>招标人澄清的方式</w:t>
            </w:r>
          </w:p>
        </w:tc>
        <w:tc>
          <w:tcPr>
            <w:tcW w:w="7395" w:type="dxa"/>
            <w:vAlign w:val="center"/>
          </w:tcPr>
          <w:p w14:paraId="3D8E5AF4">
            <w:pPr>
              <w:spacing w:line="500" w:lineRule="exact"/>
              <w:rPr>
                <w:rFonts w:ascii="宋体" w:hAnsi="宋体" w:cs="宋体"/>
                <w:color w:val="auto"/>
                <w:szCs w:val="21"/>
                <w:highlight w:val="none"/>
              </w:rPr>
            </w:pPr>
            <w:r>
              <w:rPr>
                <w:rFonts w:hint="eastAsia" w:ascii="宋体" w:hAnsi="宋体" w:cs="宋体"/>
                <w:color w:val="auto"/>
                <w:spacing w:val="-4"/>
                <w:szCs w:val="21"/>
                <w:highlight w:val="none"/>
              </w:rPr>
              <w:t>如投标人对招标文件有疑问，请于</w:t>
            </w:r>
            <w:r>
              <w:rPr>
                <w:rFonts w:hint="eastAsia" w:ascii="宋体" w:hAnsi="宋体" w:cs="宋体"/>
                <w:b/>
                <w:bCs/>
                <w:color w:val="auto"/>
                <w:spacing w:val="-4"/>
                <w:szCs w:val="21"/>
                <w:highlight w:val="none"/>
              </w:rPr>
              <w:t>202</w:t>
            </w:r>
            <w:r>
              <w:rPr>
                <w:rFonts w:hint="eastAsia" w:ascii="宋体" w:hAnsi="宋体" w:cs="宋体"/>
                <w:b/>
                <w:bCs/>
                <w:color w:val="auto"/>
                <w:spacing w:val="-4"/>
                <w:szCs w:val="21"/>
                <w:highlight w:val="none"/>
                <w:lang w:val="en-US" w:eastAsia="zh-CN"/>
              </w:rPr>
              <w:t>6</w:t>
            </w:r>
            <w:r>
              <w:rPr>
                <w:rFonts w:hint="eastAsia" w:ascii="宋体" w:hAnsi="宋体" w:cs="宋体"/>
                <w:b/>
                <w:bCs/>
                <w:color w:val="auto"/>
                <w:spacing w:val="-4"/>
                <w:szCs w:val="21"/>
                <w:highlight w:val="none"/>
              </w:rPr>
              <w:t>年</w:t>
            </w:r>
            <w:r>
              <w:rPr>
                <w:rFonts w:hint="eastAsia" w:ascii="宋体" w:hAnsi="宋体" w:cs="宋体"/>
                <w:b/>
                <w:bCs/>
                <w:color w:val="auto"/>
                <w:spacing w:val="-4"/>
                <w:szCs w:val="21"/>
                <w:highlight w:val="none"/>
                <w:lang w:val="en-US" w:eastAsia="zh-CN"/>
              </w:rPr>
              <w:t>01</w:t>
            </w:r>
            <w:r>
              <w:rPr>
                <w:rFonts w:hint="eastAsia" w:ascii="宋体" w:hAnsi="宋体" w:cs="宋体"/>
                <w:b/>
                <w:bCs/>
                <w:color w:val="auto"/>
                <w:spacing w:val="-4"/>
                <w:szCs w:val="21"/>
                <w:highlight w:val="none"/>
              </w:rPr>
              <w:t>月</w:t>
            </w:r>
            <w:r>
              <w:rPr>
                <w:rFonts w:hint="eastAsia" w:ascii="宋体" w:hAnsi="宋体" w:cs="宋体"/>
                <w:b/>
                <w:bCs/>
                <w:color w:val="auto"/>
                <w:spacing w:val="-4"/>
                <w:szCs w:val="21"/>
                <w:highlight w:val="none"/>
                <w:lang w:val="en-US" w:eastAsia="zh-CN"/>
              </w:rPr>
              <w:t>20</w:t>
            </w:r>
            <w:r>
              <w:rPr>
                <w:color w:val="auto"/>
                <w:highlight w:val="none"/>
              </w:rPr>
              <w:fldChar w:fldCharType="begin"/>
            </w:r>
            <w:r>
              <w:rPr>
                <w:color w:val="auto"/>
                <w:highlight w:val="none"/>
              </w:rPr>
              <w:instrText xml:space="preserve"> HYPERLINK "mailto:日12时前将疑问内容以电子邮件形式发送至czsctgczx@163.com（滁州市城投工程咨询管理有限公司邮箱），招标人将在2024年4月" </w:instrText>
            </w:r>
            <w:r>
              <w:rPr>
                <w:color w:val="auto"/>
                <w:highlight w:val="none"/>
              </w:rPr>
              <w:fldChar w:fldCharType="separate"/>
            </w:r>
            <w:r>
              <w:rPr>
                <w:rFonts w:hint="eastAsia" w:ascii="宋体" w:hAnsi="宋体" w:cs="宋体"/>
                <w:b/>
                <w:bCs/>
                <w:color w:val="auto"/>
                <w:spacing w:val="-4"/>
                <w:szCs w:val="21"/>
                <w:highlight w:val="none"/>
              </w:rPr>
              <w:t>日1</w:t>
            </w:r>
            <w:r>
              <w:rPr>
                <w:rFonts w:hint="eastAsia" w:ascii="宋体" w:hAnsi="宋体" w:cs="宋体"/>
                <w:b/>
                <w:bCs/>
                <w:color w:val="auto"/>
                <w:spacing w:val="-4"/>
                <w:szCs w:val="21"/>
                <w:highlight w:val="none"/>
                <w:lang w:val="en-US" w:eastAsia="zh-CN"/>
              </w:rPr>
              <w:t>7</w:t>
            </w:r>
            <w:r>
              <w:rPr>
                <w:rFonts w:hint="eastAsia" w:ascii="宋体" w:hAnsi="宋体" w:cs="宋体"/>
                <w:b/>
                <w:bCs/>
                <w:color w:val="auto"/>
                <w:spacing w:val="-4"/>
                <w:szCs w:val="21"/>
                <w:highlight w:val="none"/>
              </w:rPr>
              <w:t>时前</w:t>
            </w:r>
            <w:r>
              <w:rPr>
                <w:rFonts w:hint="eastAsia" w:ascii="宋体" w:hAnsi="宋体" w:cs="宋体"/>
                <w:color w:val="auto"/>
                <w:szCs w:val="21"/>
                <w:highlight w:val="none"/>
              </w:rPr>
              <w:t>将疑问内容发送至</w:t>
            </w:r>
            <w:r>
              <w:rPr>
                <w:rFonts w:hint="eastAsia" w:ascii="宋体" w:hAnsi="宋体" w:cs="宋体"/>
                <w:color w:val="auto"/>
                <w:szCs w:val="21"/>
                <w:highlight w:val="none"/>
                <w:lang w:eastAsia="zh-CN"/>
              </w:rPr>
              <w:t>czsctgczx@163.com</w:t>
            </w:r>
            <w:r>
              <w:rPr>
                <w:rFonts w:hint="eastAsia" w:ascii="宋体" w:hAnsi="宋体" w:cs="宋体"/>
                <w:color w:val="auto"/>
                <w:spacing w:val="-4"/>
                <w:szCs w:val="21"/>
                <w:highlight w:val="none"/>
              </w:rPr>
              <w:t>，招标人将在</w:t>
            </w:r>
            <w:r>
              <w:rPr>
                <w:rFonts w:hint="eastAsia" w:ascii="宋体" w:hAnsi="宋体" w:cs="宋体"/>
                <w:color w:val="auto"/>
                <w:spacing w:val="-4"/>
                <w:szCs w:val="21"/>
                <w:highlight w:val="none"/>
                <w:lang w:val="en-US" w:eastAsia="zh-CN"/>
              </w:rPr>
              <w:t>2</w:t>
            </w:r>
            <w:r>
              <w:rPr>
                <w:rFonts w:hint="eastAsia" w:ascii="宋体" w:hAnsi="宋体" w:cs="宋体"/>
                <w:b/>
                <w:bCs/>
                <w:color w:val="auto"/>
                <w:spacing w:val="-4"/>
                <w:szCs w:val="21"/>
                <w:highlight w:val="none"/>
              </w:rPr>
              <w:t>02</w:t>
            </w:r>
            <w:r>
              <w:rPr>
                <w:rFonts w:hint="eastAsia" w:ascii="宋体" w:hAnsi="宋体" w:cs="宋体"/>
                <w:b/>
                <w:bCs/>
                <w:color w:val="auto"/>
                <w:spacing w:val="-4"/>
                <w:szCs w:val="21"/>
                <w:highlight w:val="none"/>
                <w:lang w:val="en-US" w:eastAsia="zh-CN"/>
              </w:rPr>
              <w:t>6</w:t>
            </w:r>
            <w:r>
              <w:rPr>
                <w:rFonts w:hint="eastAsia" w:ascii="宋体" w:hAnsi="宋体" w:cs="宋体"/>
                <w:b/>
                <w:bCs/>
                <w:color w:val="auto"/>
                <w:spacing w:val="-4"/>
                <w:szCs w:val="21"/>
                <w:highlight w:val="none"/>
              </w:rPr>
              <w:t>年</w:t>
            </w:r>
            <w:r>
              <w:rPr>
                <w:rFonts w:hint="eastAsia" w:ascii="宋体" w:hAnsi="宋体" w:cs="宋体"/>
                <w:b/>
                <w:bCs/>
                <w:color w:val="auto"/>
                <w:spacing w:val="-4"/>
                <w:szCs w:val="21"/>
                <w:highlight w:val="none"/>
                <w:lang w:val="en-US" w:eastAsia="zh-CN"/>
              </w:rPr>
              <w:t>01</w:t>
            </w:r>
            <w:r>
              <w:rPr>
                <w:rFonts w:hint="eastAsia" w:ascii="宋体" w:hAnsi="宋体" w:cs="宋体"/>
                <w:b/>
                <w:bCs/>
                <w:color w:val="auto"/>
                <w:spacing w:val="-4"/>
                <w:szCs w:val="21"/>
                <w:highlight w:val="none"/>
              </w:rPr>
              <w:t>月</w:t>
            </w:r>
            <w:r>
              <w:rPr>
                <w:rFonts w:hint="eastAsia" w:ascii="宋体" w:hAnsi="宋体" w:cs="宋体"/>
                <w:b/>
                <w:bCs/>
                <w:color w:val="auto"/>
                <w:spacing w:val="-4"/>
                <w:szCs w:val="21"/>
                <w:highlight w:val="none"/>
              </w:rPr>
              <w:fldChar w:fldCharType="end"/>
            </w:r>
            <w:r>
              <w:rPr>
                <w:rFonts w:hint="eastAsia" w:ascii="宋体" w:hAnsi="宋体" w:cs="宋体"/>
                <w:b/>
                <w:bCs/>
                <w:color w:val="auto"/>
                <w:spacing w:val="-4"/>
                <w:szCs w:val="21"/>
                <w:highlight w:val="none"/>
                <w:lang w:val="en-US" w:eastAsia="zh-CN"/>
              </w:rPr>
              <w:t>21</w:t>
            </w:r>
            <w:r>
              <w:rPr>
                <w:rFonts w:hint="eastAsia" w:ascii="宋体" w:hAnsi="宋体" w:cs="宋体"/>
                <w:b/>
                <w:bCs/>
                <w:color w:val="auto"/>
                <w:spacing w:val="-4"/>
                <w:szCs w:val="21"/>
                <w:highlight w:val="none"/>
              </w:rPr>
              <w:t>日1</w:t>
            </w:r>
            <w:r>
              <w:rPr>
                <w:rFonts w:hint="eastAsia" w:ascii="宋体" w:hAnsi="宋体" w:cs="宋体"/>
                <w:b/>
                <w:bCs/>
                <w:color w:val="auto"/>
                <w:spacing w:val="-4"/>
                <w:szCs w:val="21"/>
                <w:highlight w:val="none"/>
                <w:lang w:val="en-US" w:eastAsia="zh-CN"/>
              </w:rPr>
              <w:t>2</w:t>
            </w:r>
            <w:r>
              <w:rPr>
                <w:rFonts w:hint="eastAsia" w:ascii="宋体" w:hAnsi="宋体" w:cs="宋体"/>
                <w:b/>
                <w:bCs/>
                <w:color w:val="auto"/>
                <w:spacing w:val="-4"/>
                <w:szCs w:val="21"/>
                <w:highlight w:val="none"/>
              </w:rPr>
              <w:t>时</w:t>
            </w:r>
            <w:r>
              <w:rPr>
                <w:rFonts w:hint="eastAsia" w:ascii="宋体" w:hAnsi="宋体" w:cs="宋体"/>
                <w:color w:val="auto"/>
                <w:spacing w:val="-4"/>
                <w:szCs w:val="21"/>
                <w:highlight w:val="none"/>
              </w:rPr>
              <w:t>后</w:t>
            </w:r>
            <w:r>
              <w:rPr>
                <w:rFonts w:hint="eastAsia" w:ascii="宋体" w:hAnsi="宋体" w:cs="宋体"/>
                <w:color w:val="auto"/>
                <w:szCs w:val="21"/>
                <w:highlight w:val="none"/>
              </w:rPr>
              <w:t>在</w:t>
            </w:r>
            <w:r>
              <w:rPr>
                <w:rFonts w:hint="eastAsia" w:ascii="宋体" w:hAnsi="宋体" w:cs="宋体"/>
                <w:color w:val="auto"/>
                <w:szCs w:val="21"/>
                <w:highlight w:val="none"/>
                <w:lang w:eastAsia="zh-CN"/>
              </w:rPr>
              <w:t>滁州市城投工程咨询管理有限公司官网（https://www.czctgczx.com/）</w:t>
            </w:r>
            <w:r>
              <w:rPr>
                <w:rFonts w:hint="eastAsia" w:ascii="宋体" w:hAnsi="宋体" w:cs="宋体"/>
                <w:color w:val="auto"/>
                <w:szCs w:val="21"/>
                <w:highlight w:val="none"/>
              </w:rPr>
              <w:t>发布，请各位投标人注意查看有关澄清内容，如不及时查看造成后果由投标人自负。</w:t>
            </w:r>
          </w:p>
        </w:tc>
      </w:tr>
      <w:tr w14:paraId="19FF11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0D3580FE">
            <w:pPr>
              <w:pStyle w:val="20"/>
              <w:spacing w:line="500" w:lineRule="exact"/>
              <w:jc w:val="center"/>
              <w:rPr>
                <w:rFonts w:hAnsi="宋体" w:cs="宋体"/>
                <w:color w:val="auto"/>
                <w:szCs w:val="21"/>
                <w:highlight w:val="none"/>
              </w:rPr>
            </w:pPr>
            <w:r>
              <w:rPr>
                <w:rFonts w:hint="eastAsia" w:hAnsi="宋体" w:cs="宋体"/>
                <w:color w:val="auto"/>
                <w:szCs w:val="21"/>
                <w:highlight w:val="none"/>
              </w:rPr>
              <w:t>18</w:t>
            </w:r>
          </w:p>
        </w:tc>
        <w:tc>
          <w:tcPr>
            <w:tcW w:w="2000" w:type="dxa"/>
            <w:vAlign w:val="center"/>
          </w:tcPr>
          <w:p w14:paraId="3E53A47B">
            <w:pPr>
              <w:pStyle w:val="20"/>
              <w:spacing w:line="500" w:lineRule="exact"/>
              <w:jc w:val="left"/>
              <w:rPr>
                <w:rFonts w:hAnsi="宋体" w:cs="宋体"/>
                <w:color w:val="auto"/>
                <w:szCs w:val="21"/>
                <w:highlight w:val="none"/>
              </w:rPr>
            </w:pPr>
            <w:r>
              <w:rPr>
                <w:rFonts w:hint="eastAsia" w:hAnsi="宋体" w:cs="宋体"/>
                <w:color w:val="auto"/>
                <w:szCs w:val="21"/>
                <w:highlight w:val="none"/>
              </w:rPr>
              <w:t>投标有效期</w:t>
            </w:r>
          </w:p>
        </w:tc>
        <w:tc>
          <w:tcPr>
            <w:tcW w:w="7395" w:type="dxa"/>
            <w:vAlign w:val="center"/>
          </w:tcPr>
          <w:p w14:paraId="0BE0F988">
            <w:pPr>
              <w:pStyle w:val="20"/>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60 </w:t>
            </w:r>
            <w:r>
              <w:rPr>
                <w:rFonts w:hint="eastAsia" w:hAnsi="宋体" w:cs="宋体"/>
                <w:color w:val="auto"/>
                <w:szCs w:val="21"/>
                <w:highlight w:val="none"/>
              </w:rPr>
              <w:t>日历天（从投标截止之日算起）。在此期限内，凡符合本招标文件要求的投标文件均保持有效。</w:t>
            </w:r>
          </w:p>
        </w:tc>
      </w:tr>
      <w:tr w14:paraId="5073FB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82" w:type="dxa"/>
            <w:vAlign w:val="center"/>
          </w:tcPr>
          <w:p w14:paraId="159EB8E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19</w:t>
            </w:r>
          </w:p>
        </w:tc>
        <w:tc>
          <w:tcPr>
            <w:tcW w:w="2000" w:type="dxa"/>
            <w:vAlign w:val="center"/>
          </w:tcPr>
          <w:p w14:paraId="5E50454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投标保证金</w:t>
            </w:r>
          </w:p>
        </w:tc>
        <w:tc>
          <w:tcPr>
            <w:tcW w:w="7395" w:type="dxa"/>
          </w:tcPr>
          <w:p w14:paraId="4D7DAC90">
            <w:pPr>
              <w:widowControl/>
              <w:shd w:val="clear" w:color="auto" w:fill="FFFFFF"/>
              <w:spacing w:line="500" w:lineRule="exact"/>
              <w:jc w:val="left"/>
              <w:rPr>
                <w:rFonts w:ascii="宋体" w:hAnsi="宋体" w:cs="宋体"/>
                <w:color w:val="auto"/>
                <w:szCs w:val="21"/>
                <w:highlight w:val="none"/>
              </w:rPr>
            </w:pPr>
            <w:r>
              <w:rPr>
                <w:rFonts w:hint="eastAsia" w:ascii="宋体" w:hAnsi="宋体" w:cs="宋体"/>
                <w:color w:val="auto"/>
                <w:szCs w:val="21"/>
                <w:highlight w:val="none"/>
              </w:rPr>
              <w:t>不收取</w:t>
            </w:r>
          </w:p>
        </w:tc>
      </w:tr>
      <w:tr w14:paraId="5A5041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682" w:type="dxa"/>
            <w:vAlign w:val="center"/>
          </w:tcPr>
          <w:p w14:paraId="7ED34380">
            <w:pPr>
              <w:pStyle w:val="20"/>
              <w:spacing w:line="500" w:lineRule="exact"/>
              <w:jc w:val="center"/>
              <w:rPr>
                <w:rFonts w:hAnsi="宋体" w:cs="宋体"/>
                <w:color w:val="auto"/>
                <w:szCs w:val="21"/>
                <w:highlight w:val="none"/>
              </w:rPr>
            </w:pPr>
            <w:r>
              <w:rPr>
                <w:rFonts w:hint="eastAsia" w:hAnsi="宋体" w:cs="宋体"/>
                <w:color w:val="auto"/>
                <w:szCs w:val="21"/>
                <w:highlight w:val="none"/>
              </w:rPr>
              <w:t>20</w:t>
            </w:r>
          </w:p>
        </w:tc>
        <w:tc>
          <w:tcPr>
            <w:tcW w:w="2000" w:type="dxa"/>
            <w:vAlign w:val="center"/>
          </w:tcPr>
          <w:p w14:paraId="43F5E55F">
            <w:pPr>
              <w:pStyle w:val="20"/>
              <w:spacing w:line="500" w:lineRule="exact"/>
              <w:jc w:val="left"/>
              <w:rPr>
                <w:rFonts w:hAnsi="宋体" w:cs="宋体"/>
                <w:color w:val="auto"/>
                <w:szCs w:val="21"/>
                <w:highlight w:val="none"/>
              </w:rPr>
            </w:pPr>
            <w:r>
              <w:rPr>
                <w:rFonts w:hint="eastAsia" w:hAnsi="宋体" w:cs="宋体"/>
                <w:color w:val="auto"/>
                <w:szCs w:val="21"/>
                <w:highlight w:val="none"/>
              </w:rPr>
              <w:t>投标文件份数及密封要求</w:t>
            </w:r>
          </w:p>
        </w:tc>
        <w:tc>
          <w:tcPr>
            <w:tcW w:w="7395" w:type="dxa"/>
            <w:vAlign w:val="center"/>
          </w:tcPr>
          <w:p w14:paraId="33B18DC4">
            <w:pPr>
              <w:spacing w:line="500" w:lineRule="exact"/>
              <w:rPr>
                <w:rFonts w:ascii="宋体" w:hAnsi="宋体" w:cs="宋体"/>
                <w:color w:val="auto"/>
                <w:szCs w:val="21"/>
                <w:highlight w:val="none"/>
              </w:rPr>
            </w:pPr>
            <w:r>
              <w:rPr>
                <w:rFonts w:hint="eastAsia" w:ascii="宋体" w:hAnsi="宋体" w:cs="宋体"/>
                <w:color w:val="auto"/>
                <w:szCs w:val="21"/>
                <w:highlight w:val="none"/>
              </w:rPr>
              <w:t>份数：正本一份；副本一份。</w:t>
            </w:r>
          </w:p>
          <w:p w14:paraId="4767CB1D">
            <w:pPr>
              <w:spacing w:line="500" w:lineRule="exact"/>
              <w:rPr>
                <w:rFonts w:ascii="宋体" w:hAnsi="宋体" w:cs="宋体"/>
                <w:color w:val="auto"/>
                <w:szCs w:val="21"/>
                <w:highlight w:val="none"/>
              </w:rPr>
            </w:pPr>
            <w:r>
              <w:rPr>
                <w:rFonts w:hint="eastAsia" w:ascii="宋体" w:hAnsi="宋体" w:cs="宋体"/>
                <w:color w:val="auto"/>
                <w:szCs w:val="21"/>
                <w:highlight w:val="none"/>
              </w:rPr>
              <w:t>资信证明文件正本、副本密封在资信证明文件袋内；技术标文件正本、副本密封在技术标文件袋内。</w:t>
            </w:r>
          </w:p>
        </w:tc>
      </w:tr>
      <w:tr w14:paraId="2D31A3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027E5A4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000" w:type="dxa"/>
            <w:vAlign w:val="center"/>
          </w:tcPr>
          <w:p w14:paraId="68965790">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395" w:type="dxa"/>
            <w:vAlign w:val="center"/>
          </w:tcPr>
          <w:p w14:paraId="353479BD">
            <w:pPr>
              <w:widowControl/>
              <w:spacing w:line="500" w:lineRule="exact"/>
              <w:jc w:val="left"/>
              <w:rPr>
                <w:rFonts w:ascii="宋体" w:hAnsi="宋体" w:cs="宋体"/>
                <w:color w:val="auto"/>
                <w:szCs w:val="21"/>
                <w:highlight w:val="none"/>
              </w:rPr>
            </w:pPr>
            <w:r>
              <w:rPr>
                <w:rFonts w:hint="eastAsia" w:ascii="宋体" w:hAnsi="宋体" w:cs="宋体"/>
                <w:bCs/>
                <w:color w:val="auto"/>
                <w:kern w:val="0"/>
                <w:szCs w:val="21"/>
                <w:highlight w:val="none"/>
              </w:rPr>
              <w:t>投标文件须按格式文件要求签字或盖章，否则经评委会一致认定后，按照无效投标处理。</w:t>
            </w:r>
          </w:p>
        </w:tc>
      </w:tr>
      <w:tr w14:paraId="4E95A4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682" w:type="dxa"/>
            <w:vAlign w:val="center"/>
          </w:tcPr>
          <w:p w14:paraId="20E65E0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2000" w:type="dxa"/>
            <w:vAlign w:val="center"/>
          </w:tcPr>
          <w:p w14:paraId="149DB65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7395" w:type="dxa"/>
            <w:vAlign w:val="center"/>
          </w:tcPr>
          <w:p w14:paraId="0E5966CF">
            <w:pPr>
              <w:spacing w:line="500" w:lineRule="exact"/>
              <w:rPr>
                <w:rFonts w:ascii="宋体" w:hAnsi="宋体" w:cs="宋体"/>
                <w:color w:val="auto"/>
                <w:szCs w:val="21"/>
                <w:highlight w:val="none"/>
              </w:rPr>
            </w:pP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01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23</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09</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tc>
      </w:tr>
      <w:tr w14:paraId="093873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682" w:type="dxa"/>
            <w:vAlign w:val="center"/>
          </w:tcPr>
          <w:p w14:paraId="2A319BA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2000" w:type="dxa"/>
            <w:vAlign w:val="center"/>
          </w:tcPr>
          <w:p w14:paraId="18660D19">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7395" w:type="dxa"/>
            <w:vAlign w:val="center"/>
          </w:tcPr>
          <w:p w14:paraId="2AD77A34">
            <w:pPr>
              <w:spacing w:line="50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649AE1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7F05761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000" w:type="dxa"/>
            <w:vAlign w:val="center"/>
          </w:tcPr>
          <w:p w14:paraId="76B510B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7395" w:type="dxa"/>
            <w:vAlign w:val="center"/>
          </w:tcPr>
          <w:p w14:paraId="127EC07C">
            <w:pPr>
              <w:spacing w:line="500" w:lineRule="exact"/>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01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23</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09</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0CB8637F">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开标地点：滁州市城投工程咨询管理有限公司（滁州市龙蟠大道109号房产大厦6楼）622会议室</w:t>
            </w:r>
          </w:p>
        </w:tc>
      </w:tr>
      <w:tr w14:paraId="7862BD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82" w:type="dxa"/>
            <w:vAlign w:val="center"/>
          </w:tcPr>
          <w:p w14:paraId="0FAA18E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2000" w:type="dxa"/>
            <w:vAlign w:val="center"/>
          </w:tcPr>
          <w:p w14:paraId="52F236B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开标程序</w:t>
            </w:r>
          </w:p>
        </w:tc>
        <w:tc>
          <w:tcPr>
            <w:tcW w:w="7395" w:type="dxa"/>
            <w:vAlign w:val="center"/>
          </w:tcPr>
          <w:p w14:paraId="7100EBD6">
            <w:pPr>
              <w:spacing w:line="500" w:lineRule="exact"/>
              <w:rPr>
                <w:rFonts w:ascii="宋体" w:hAnsi="宋体" w:cs="宋体"/>
                <w:color w:val="auto"/>
                <w:szCs w:val="21"/>
                <w:highlight w:val="none"/>
              </w:rPr>
            </w:pPr>
            <w:r>
              <w:rPr>
                <w:rFonts w:hint="eastAsia" w:ascii="宋体" w:hAnsi="宋体" w:cs="宋体"/>
                <w:color w:val="auto"/>
                <w:szCs w:val="21"/>
                <w:highlight w:val="none"/>
              </w:rPr>
              <w:t>先进行符合性审查，再进行综合评审。</w:t>
            </w:r>
          </w:p>
        </w:tc>
      </w:tr>
      <w:tr w14:paraId="2A0C25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682" w:type="dxa"/>
            <w:vAlign w:val="center"/>
          </w:tcPr>
          <w:p w14:paraId="505D8484">
            <w:pPr>
              <w:pStyle w:val="20"/>
              <w:spacing w:line="500" w:lineRule="exact"/>
              <w:jc w:val="center"/>
              <w:rPr>
                <w:rFonts w:hAnsi="宋体" w:cs="宋体"/>
                <w:color w:val="auto"/>
                <w:szCs w:val="21"/>
                <w:highlight w:val="none"/>
              </w:rPr>
            </w:pPr>
            <w:r>
              <w:rPr>
                <w:rFonts w:hint="eastAsia" w:hAnsi="宋体" w:cs="宋体"/>
                <w:color w:val="auto"/>
                <w:szCs w:val="21"/>
                <w:highlight w:val="none"/>
              </w:rPr>
              <w:t>26</w:t>
            </w:r>
          </w:p>
        </w:tc>
        <w:tc>
          <w:tcPr>
            <w:tcW w:w="2000" w:type="dxa"/>
            <w:vAlign w:val="center"/>
          </w:tcPr>
          <w:p w14:paraId="5FF3FB82">
            <w:pPr>
              <w:pStyle w:val="20"/>
              <w:spacing w:line="500" w:lineRule="exact"/>
              <w:jc w:val="left"/>
              <w:rPr>
                <w:rFonts w:hAnsi="宋体" w:cs="宋体"/>
                <w:color w:val="auto"/>
                <w:szCs w:val="21"/>
                <w:highlight w:val="none"/>
              </w:rPr>
            </w:pPr>
            <w:r>
              <w:rPr>
                <w:rFonts w:hint="eastAsia" w:hAnsi="宋体" w:cs="宋体"/>
                <w:color w:val="auto"/>
                <w:szCs w:val="21"/>
                <w:highlight w:val="none"/>
              </w:rPr>
              <w:t>评标委员会的组建</w:t>
            </w:r>
          </w:p>
        </w:tc>
        <w:tc>
          <w:tcPr>
            <w:tcW w:w="7395" w:type="dxa"/>
          </w:tcPr>
          <w:p w14:paraId="3D734DD1">
            <w:pPr>
              <w:pStyle w:val="20"/>
              <w:spacing w:line="500" w:lineRule="exact"/>
              <w:rPr>
                <w:rFonts w:hAnsi="宋体" w:cs="宋体"/>
                <w:color w:val="auto"/>
                <w:szCs w:val="21"/>
                <w:highlight w:val="none"/>
              </w:rPr>
            </w:pPr>
            <w:r>
              <w:rPr>
                <w:rFonts w:hint="eastAsia" w:hAnsi="宋体" w:cs="宋体"/>
                <w:color w:val="auto"/>
                <w:szCs w:val="21"/>
                <w:highlight w:val="none"/>
              </w:rPr>
              <w:t>评标委员会由招标人</w:t>
            </w:r>
            <w:r>
              <w:rPr>
                <w:rFonts w:hint="eastAsia" w:hAnsi="宋体" w:cs="宋体"/>
                <w:color w:val="auto"/>
                <w:szCs w:val="21"/>
                <w:highlight w:val="none"/>
                <w:lang w:val="en-US" w:eastAsia="zh-CN"/>
              </w:rPr>
              <w:t>自行</w:t>
            </w:r>
            <w:r>
              <w:rPr>
                <w:rFonts w:hint="eastAsia" w:hAnsi="宋体" w:cs="宋体"/>
                <w:color w:val="auto"/>
                <w:szCs w:val="21"/>
                <w:highlight w:val="none"/>
              </w:rPr>
              <w:t>组建。</w:t>
            </w:r>
          </w:p>
        </w:tc>
      </w:tr>
      <w:tr w14:paraId="5A4991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682" w:type="dxa"/>
            <w:vAlign w:val="center"/>
          </w:tcPr>
          <w:p w14:paraId="63FD914C">
            <w:pPr>
              <w:pStyle w:val="20"/>
              <w:spacing w:line="500" w:lineRule="exact"/>
              <w:jc w:val="center"/>
              <w:rPr>
                <w:rFonts w:hAnsi="宋体" w:cs="宋体"/>
                <w:color w:val="auto"/>
                <w:szCs w:val="21"/>
                <w:highlight w:val="none"/>
              </w:rPr>
            </w:pPr>
            <w:r>
              <w:rPr>
                <w:rFonts w:hint="eastAsia" w:hAnsi="宋体" w:cs="宋体"/>
                <w:color w:val="auto"/>
                <w:szCs w:val="21"/>
                <w:highlight w:val="none"/>
              </w:rPr>
              <w:t>27</w:t>
            </w:r>
          </w:p>
        </w:tc>
        <w:tc>
          <w:tcPr>
            <w:tcW w:w="2000" w:type="dxa"/>
            <w:vAlign w:val="center"/>
          </w:tcPr>
          <w:p w14:paraId="491CE198">
            <w:pPr>
              <w:pStyle w:val="20"/>
              <w:spacing w:line="500" w:lineRule="exact"/>
              <w:jc w:val="left"/>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7395" w:type="dxa"/>
            <w:vAlign w:val="center"/>
          </w:tcPr>
          <w:p w14:paraId="051F30DE">
            <w:pPr>
              <w:pStyle w:val="20"/>
              <w:spacing w:line="500" w:lineRule="exact"/>
              <w:rPr>
                <w:rFonts w:hAnsi="宋体" w:cs="宋体"/>
                <w:color w:val="auto"/>
                <w:szCs w:val="21"/>
                <w:highlight w:val="none"/>
              </w:rPr>
            </w:pPr>
            <w:r>
              <w:rPr>
                <w:rFonts w:hint="eastAsia" w:hAnsi="宋体" w:cs="宋体"/>
                <w:color w:val="auto"/>
                <w:szCs w:val="21"/>
                <w:highlight w:val="none"/>
              </w:rPr>
              <w:t>是，评标委员会推荐</w:t>
            </w:r>
            <w:r>
              <w:rPr>
                <w:rFonts w:hint="eastAsia" w:hAnsi="宋体" w:cs="宋体"/>
                <w:color w:val="auto"/>
                <w:szCs w:val="21"/>
                <w:highlight w:val="none"/>
                <w:u w:val="single"/>
              </w:rPr>
              <w:t xml:space="preserve"> 3</w:t>
            </w:r>
            <w:r>
              <w:rPr>
                <w:rFonts w:hint="eastAsia" w:hAnsi="宋体" w:cs="宋体"/>
                <w:color w:val="auto"/>
                <w:szCs w:val="21"/>
                <w:highlight w:val="none"/>
              </w:rPr>
              <w:t>名中标候选人。</w:t>
            </w:r>
          </w:p>
        </w:tc>
      </w:tr>
      <w:tr w14:paraId="35B8AB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682" w:type="dxa"/>
            <w:vAlign w:val="center"/>
          </w:tcPr>
          <w:p w14:paraId="1667DC36">
            <w:pPr>
              <w:pStyle w:val="20"/>
              <w:spacing w:line="500" w:lineRule="exact"/>
              <w:jc w:val="center"/>
              <w:rPr>
                <w:rFonts w:hAnsi="宋体" w:cs="宋体"/>
                <w:color w:val="auto"/>
                <w:szCs w:val="21"/>
                <w:highlight w:val="none"/>
              </w:rPr>
            </w:pPr>
            <w:r>
              <w:rPr>
                <w:rFonts w:hint="eastAsia" w:hAnsi="宋体" w:cs="宋体"/>
                <w:color w:val="auto"/>
                <w:szCs w:val="21"/>
                <w:highlight w:val="none"/>
              </w:rPr>
              <w:t>28</w:t>
            </w:r>
          </w:p>
        </w:tc>
        <w:tc>
          <w:tcPr>
            <w:tcW w:w="2000" w:type="dxa"/>
            <w:shd w:val="clear" w:color="auto" w:fill="auto"/>
            <w:vAlign w:val="center"/>
          </w:tcPr>
          <w:p w14:paraId="17C1BD66">
            <w:pPr>
              <w:pStyle w:val="20"/>
              <w:spacing w:line="500" w:lineRule="exact"/>
              <w:rPr>
                <w:rFonts w:hAnsi="宋体" w:cs="宋体"/>
                <w:color w:val="auto"/>
                <w:szCs w:val="21"/>
                <w:highlight w:val="none"/>
              </w:rPr>
            </w:pPr>
            <w:r>
              <w:rPr>
                <w:rFonts w:hint="eastAsia" w:hAnsi="宋体" w:cs="宋体"/>
                <w:color w:val="auto"/>
                <w:szCs w:val="21"/>
                <w:highlight w:val="none"/>
              </w:rPr>
              <w:t>中标结果公告媒介</w:t>
            </w:r>
          </w:p>
        </w:tc>
        <w:tc>
          <w:tcPr>
            <w:tcW w:w="7395" w:type="dxa"/>
            <w:shd w:val="clear" w:color="auto" w:fill="auto"/>
            <w:vAlign w:val="center"/>
          </w:tcPr>
          <w:p w14:paraId="5634FEE5">
            <w:pPr>
              <w:pStyle w:val="20"/>
              <w:spacing w:line="500" w:lineRule="exact"/>
              <w:rPr>
                <w:rFonts w:hAnsi="宋体" w:cs="宋体"/>
                <w:color w:val="auto"/>
                <w:szCs w:val="21"/>
                <w:highlight w:val="none"/>
              </w:rPr>
            </w:pPr>
            <w:r>
              <w:rPr>
                <w:rFonts w:hint="eastAsia" w:hAnsi="宋体" w:cs="宋体"/>
                <w:color w:val="auto"/>
                <w:szCs w:val="21"/>
                <w:highlight w:val="none"/>
                <w:lang w:eastAsia="zh-CN"/>
              </w:rPr>
              <w:t>滁州市城投工程咨询管理有限公司官网（https://www.czctgczx.com/）</w:t>
            </w:r>
          </w:p>
        </w:tc>
      </w:tr>
      <w:tr w14:paraId="26AA45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682" w:type="dxa"/>
            <w:vAlign w:val="center"/>
          </w:tcPr>
          <w:p w14:paraId="61B58E1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29</w:t>
            </w:r>
          </w:p>
        </w:tc>
        <w:tc>
          <w:tcPr>
            <w:tcW w:w="2000" w:type="dxa"/>
            <w:vAlign w:val="center"/>
          </w:tcPr>
          <w:p w14:paraId="642B06E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中标通知书</w:t>
            </w:r>
          </w:p>
        </w:tc>
        <w:tc>
          <w:tcPr>
            <w:tcW w:w="7395" w:type="dxa"/>
            <w:vAlign w:val="center"/>
          </w:tcPr>
          <w:p w14:paraId="3D6731E7">
            <w:pP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中标通知书须加盖招标人及代理机构公章后方可发出。</w:t>
            </w:r>
          </w:p>
        </w:tc>
      </w:tr>
      <w:tr w14:paraId="467F5F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682" w:type="dxa"/>
            <w:vAlign w:val="center"/>
          </w:tcPr>
          <w:p w14:paraId="5A2467E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30</w:t>
            </w:r>
          </w:p>
        </w:tc>
        <w:tc>
          <w:tcPr>
            <w:tcW w:w="2000" w:type="dxa"/>
            <w:vAlign w:val="center"/>
          </w:tcPr>
          <w:p w14:paraId="1819807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履约担保</w:t>
            </w:r>
          </w:p>
        </w:tc>
        <w:tc>
          <w:tcPr>
            <w:tcW w:w="7395" w:type="dxa"/>
            <w:vAlign w:val="center"/>
          </w:tcPr>
          <w:p w14:paraId="42D3E9C0">
            <w:pP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本项目不收取履约担保。</w:t>
            </w:r>
          </w:p>
        </w:tc>
      </w:tr>
    </w:tbl>
    <w:p w14:paraId="34929F13">
      <w:pPr>
        <w:rPr>
          <w:rFonts w:ascii="宋体"/>
          <w:b/>
          <w:color w:val="auto"/>
          <w:sz w:val="32"/>
          <w:szCs w:val="32"/>
          <w:highlight w:val="none"/>
        </w:rPr>
      </w:pPr>
      <w:bookmarkStart w:id="19" w:name="_Toc449028866"/>
      <w:bookmarkStart w:id="20" w:name="_Toc58430315"/>
      <w:r>
        <w:rPr>
          <w:rFonts w:hint="eastAsia" w:ascii="宋体"/>
          <w:b/>
          <w:color w:val="auto"/>
          <w:sz w:val="32"/>
          <w:szCs w:val="32"/>
          <w:highlight w:val="none"/>
        </w:rPr>
        <w:br w:type="page"/>
      </w:r>
    </w:p>
    <w:p w14:paraId="68048250">
      <w:pPr>
        <w:snapToGrid w:val="0"/>
        <w:spacing w:before="93" w:beforeLines="30" w:after="93" w:afterLines="30" w:line="500" w:lineRule="exact"/>
        <w:jc w:val="center"/>
        <w:outlineLvl w:val="1"/>
        <w:rPr>
          <w:rFonts w:ascii="宋体"/>
          <w:b/>
          <w:color w:val="auto"/>
          <w:sz w:val="32"/>
          <w:szCs w:val="32"/>
          <w:highlight w:val="none"/>
        </w:rPr>
      </w:pPr>
      <w:r>
        <w:rPr>
          <w:rFonts w:hint="eastAsia" w:ascii="宋体"/>
          <w:b/>
          <w:color w:val="auto"/>
          <w:sz w:val="32"/>
          <w:szCs w:val="32"/>
          <w:highlight w:val="none"/>
        </w:rPr>
        <w:t>二、投标人须知</w:t>
      </w:r>
      <w:bookmarkEnd w:id="19"/>
      <w:bookmarkEnd w:id="20"/>
    </w:p>
    <w:p w14:paraId="6FEC4DAA">
      <w:pPr>
        <w:spacing w:before="93" w:beforeLines="30" w:after="93" w:afterLines="30" w:line="500" w:lineRule="exact"/>
        <w:jc w:val="center"/>
        <w:rPr>
          <w:rFonts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73DB0C81">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1.项目概况</w:t>
      </w:r>
    </w:p>
    <w:p w14:paraId="6BD09D19">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363400B4">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项目编号：见投标人须知前附表。</w:t>
      </w:r>
    </w:p>
    <w:p w14:paraId="21902E3D">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22501569">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服务期：见投标人须知前附表。</w:t>
      </w:r>
    </w:p>
    <w:p w14:paraId="467914BC">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服务地点：见投标人须知前附表。</w:t>
      </w:r>
    </w:p>
    <w:p w14:paraId="3DDFC637">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7C542D0E">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38C54FED">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47D410EA">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2BFCE3F1">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42DB10CB">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2.招标范围：</w:t>
      </w:r>
    </w:p>
    <w:p w14:paraId="759F8F13">
      <w:pPr>
        <w:snapToGrid w:val="0"/>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2.1 采购内容：见投标人须知前附表。</w:t>
      </w:r>
    </w:p>
    <w:p w14:paraId="201EDCD8">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 技术要求：详见招标文件第四章采购需求。</w:t>
      </w:r>
    </w:p>
    <w:p w14:paraId="5B688C4E">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3.标包划分：</w:t>
      </w:r>
    </w:p>
    <w:p w14:paraId="2FBF61A9">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5B456042">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4.招标方式：</w:t>
      </w:r>
    </w:p>
    <w:p w14:paraId="5F7767AF">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395C90CC">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5.计价方式：</w:t>
      </w:r>
    </w:p>
    <w:p w14:paraId="5A9F0AFF">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单价合同 </w:t>
      </w:r>
      <w:r>
        <w:rPr>
          <w:rFonts w:hint="eastAsia" w:ascii="宋体" w:hAnsi="宋体" w:cs="宋体"/>
          <w:color w:val="auto"/>
          <w:szCs w:val="21"/>
          <w:highlight w:val="none"/>
        </w:rPr>
        <w:t>。</w:t>
      </w:r>
    </w:p>
    <w:p w14:paraId="1B5A11FF">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6.评标办法：</w:t>
      </w:r>
    </w:p>
    <w:p w14:paraId="4A2F4347">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5AFA8CDB">
      <w:pPr>
        <w:snapToGrid w:val="0"/>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7.投标人资格：</w:t>
      </w:r>
    </w:p>
    <w:p w14:paraId="3010258E">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7.1本项目投标人资格：见投标人须知前附表。</w:t>
      </w:r>
    </w:p>
    <w:p w14:paraId="020528F0">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 投标费用</w:t>
      </w:r>
    </w:p>
    <w:p w14:paraId="7627C85D">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2624C069">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9.</w:t>
      </w:r>
      <w:bookmarkStart w:id="22" w:name="_Toc152045539"/>
      <w:bookmarkStart w:id="23" w:name="_Toc247513962"/>
      <w:bookmarkStart w:id="24" w:name="_Toc144974507"/>
      <w:bookmarkStart w:id="25" w:name="_Toc296602429"/>
      <w:bookmarkStart w:id="26" w:name="_Toc247592876"/>
      <w:bookmarkStart w:id="27" w:name="_Toc247527563"/>
      <w:bookmarkStart w:id="28" w:name="_Toc152042315"/>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2870BD5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2542603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3817B02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2650EF0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29" w:name="_Toc296602430"/>
      <w:bookmarkStart w:id="30" w:name="_Toc152042316"/>
      <w:bookmarkStart w:id="31" w:name="_Toc152045540"/>
      <w:bookmarkStart w:id="32" w:name="_Toc144974508"/>
      <w:bookmarkStart w:id="33" w:name="_Toc247527564"/>
      <w:bookmarkStart w:id="34" w:name="_Toc247592877"/>
      <w:bookmarkStart w:id="35" w:name="_Toc247513963"/>
    </w:p>
    <w:p w14:paraId="3F2CD26F">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7E8B45D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10.1投标人须知前附表规定召开投标预备会的，招标人按投标人须知前附表规定的时间和地点召开投标预备会，澄清投标人提出的问题。</w:t>
      </w:r>
    </w:p>
    <w:p w14:paraId="4D81494A">
      <w:pPr>
        <w:numPr>
          <w:ilvl w:val="0"/>
          <w:numId w:val="8"/>
        </w:num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联合投标、合同分包（本项目不采用）</w:t>
      </w:r>
    </w:p>
    <w:p w14:paraId="57039EF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11.1 两个以上投标人可以组成一个投标联合体，以一个投标人的身份投标。以联合体形式参加投标的，联合体各方均应当符合《</w:t>
      </w:r>
      <w:r>
        <w:rPr>
          <w:rFonts w:hint="eastAsia" w:ascii="宋体" w:hAnsi="宋体" w:cs="宋体"/>
          <w:color w:val="auto"/>
          <w:highlight w:val="none"/>
        </w:rPr>
        <w:t>中华人民共和国政府采购法</w:t>
      </w:r>
      <w:r>
        <w:rPr>
          <w:rFonts w:hint="eastAsia" w:ascii="宋体" w:hAnsi="宋体" w:cs="宋体"/>
          <w:color w:val="auto"/>
          <w:szCs w:val="21"/>
          <w:highlight w:val="none"/>
        </w:rPr>
        <w:t>》第二十二条规定的条件。招标人根据采购项目的特殊要求规定投标人特定条件的，联合体各方中至少应当有一方符合招标人规定的特定条件。</w:t>
      </w:r>
    </w:p>
    <w:p w14:paraId="7309DEB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2D7CF32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11.3联合体应当确定其中一个单位为投标的全权代表，负责参加投标的一切事务，并承担投标及履约中应承担的全部责任与义务。</w:t>
      </w:r>
    </w:p>
    <w:p w14:paraId="63B07FD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11.4联合体各方应当共同与招标人签订采购合同，就采购合同约定的事项对招标人承担连带责任。</w:t>
      </w:r>
    </w:p>
    <w:p w14:paraId="70C2F28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11.5联合体中有同类资质的供应商按照联合体分工承担相同工作的，应当按照资质等级较低的供应商确定资质等级。</w:t>
      </w:r>
    </w:p>
    <w:p w14:paraId="53C05195">
      <w:pPr>
        <w:pStyle w:val="36"/>
        <w:spacing w:after="0" w:line="500" w:lineRule="exact"/>
        <w:ind w:left="0" w:leftChars="0"/>
        <w:rPr>
          <w:rFonts w:ascii="宋体" w:hAnsi="宋体" w:cs="宋体"/>
          <w:b/>
          <w:color w:val="auto"/>
          <w:szCs w:val="21"/>
          <w:highlight w:val="none"/>
        </w:rPr>
      </w:pPr>
      <w:r>
        <w:rPr>
          <w:rFonts w:hint="eastAsia" w:ascii="宋体" w:hAnsi="宋体" w:cs="宋体"/>
          <w:color w:val="auto"/>
          <w:szCs w:val="21"/>
          <w:highlight w:val="none"/>
        </w:rPr>
        <w:t>11.6非专门面向中小企业采购项目是否允许大中型企业向一家或者多家小微企业分包见投标人须知前附表。</w:t>
      </w:r>
    </w:p>
    <w:p w14:paraId="597981D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12.招标代理费和其他费用</w:t>
      </w:r>
    </w:p>
    <w:p w14:paraId="2714EC20">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见投标人须知前附表。</w:t>
      </w:r>
    </w:p>
    <w:p w14:paraId="1A8E412B">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0E85B89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13.1投标人一旦参加投标，即被认为接受了本招标文件中的所有条件和规定。投标人必须严格按招标文件的要求编制投标文件，以便评委审核。否则，由此产生的一切后果由投标人承担。</w:t>
      </w:r>
    </w:p>
    <w:p w14:paraId="6847DF3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03450A8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13.3</w:t>
      </w:r>
      <w:r>
        <w:rPr>
          <w:rFonts w:hint="eastAsia" w:ascii="宋体" w:hAnsi="宋体" w:cs="宋体"/>
          <w:bCs/>
          <w:color w:val="auto"/>
          <w:szCs w:val="21"/>
          <w:highlight w:val="none"/>
        </w:rPr>
        <w:t>单位负责人为同一人或者存在直接控股、管理关系的不同投标人，不得参加同一合同项下的政府采购活动。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01C177D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 投标人被视为充分熟悉本招标项目所在地的与履行合同有关的各种情况，包括但不限于：</w:t>
      </w:r>
    </w:p>
    <w:p w14:paraId="59C42DC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58AA7CB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4DD7D7E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63BD105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48D9BFC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13.6中标候选人无正当理由放弃中标候选人资格的，其将被记不良信息记录。</w:t>
      </w:r>
    </w:p>
    <w:p w14:paraId="4F42C157">
      <w:pPr>
        <w:spacing w:before="93" w:beforeLines="30" w:after="93" w:afterLines="30" w:line="500" w:lineRule="exact"/>
        <w:jc w:val="center"/>
        <w:rPr>
          <w:rFonts w:ascii="宋体" w:hAnsi="宋体" w:cs="宋体"/>
          <w:b/>
          <w:color w:val="auto"/>
          <w:sz w:val="28"/>
          <w:szCs w:val="28"/>
          <w:highlight w:val="none"/>
        </w:rPr>
      </w:pPr>
      <w:bookmarkStart w:id="36" w:name="_Toc449028868"/>
      <w:r>
        <w:rPr>
          <w:rFonts w:hint="eastAsia" w:ascii="宋体" w:hAnsi="宋体" w:cs="宋体"/>
          <w:b/>
          <w:color w:val="auto"/>
          <w:sz w:val="28"/>
          <w:szCs w:val="28"/>
          <w:highlight w:val="none"/>
        </w:rPr>
        <w:t>（二）</w:t>
      </w:r>
      <w:bookmarkEnd w:id="36"/>
      <w:r>
        <w:rPr>
          <w:rFonts w:hint="eastAsia" w:ascii="宋体" w:hAnsi="宋体" w:cs="宋体"/>
          <w:b/>
          <w:color w:val="auto"/>
          <w:sz w:val="28"/>
          <w:szCs w:val="28"/>
          <w:highlight w:val="none"/>
        </w:rPr>
        <w:t>招标文件</w:t>
      </w:r>
    </w:p>
    <w:p w14:paraId="49403D15">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 招标文件的编制依据</w:t>
      </w:r>
    </w:p>
    <w:p w14:paraId="4421A8C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相关法律法规和规章及部、省、市级规范性文件的规定，编制本招标文件。</w:t>
      </w:r>
    </w:p>
    <w:p w14:paraId="7FB7F843">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招标文件的组成</w:t>
      </w:r>
    </w:p>
    <w:p w14:paraId="62B9C60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15.1 招标文件包括内容：</w:t>
      </w:r>
    </w:p>
    <w:p w14:paraId="605FA2E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2489FD6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1919AFD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51D7CE0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采购需求</w:t>
      </w:r>
    </w:p>
    <w:p w14:paraId="6BEC46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合同条款（参考）</w:t>
      </w:r>
    </w:p>
    <w:p w14:paraId="3E2D370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0FFA2C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15.2 除15.1款内容外，招标答疑亦为招标文件的组成部分，对招标人和投标人起约束作用。</w:t>
      </w:r>
    </w:p>
    <w:p w14:paraId="5465AC7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15.3投标人应仔细阅读和检查招标文件的全部内容。如发现缺页或附件不全，应及时向招标人提出，以便补齐。</w:t>
      </w:r>
    </w:p>
    <w:p w14:paraId="75E1F64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15.4 投标人可以将疑问内容发送至</w:t>
      </w:r>
      <w:r>
        <w:rPr>
          <w:rFonts w:hint="eastAsia" w:ascii="宋体" w:hAnsi="宋体" w:cs="宋体"/>
          <w:color w:val="auto"/>
          <w:szCs w:val="21"/>
          <w:highlight w:val="none"/>
          <w:lang w:eastAsia="zh-CN"/>
        </w:rPr>
        <w:t>czsctgczx@163.com</w:t>
      </w:r>
      <w:r>
        <w:rPr>
          <w:rFonts w:hint="eastAsia" w:ascii="宋体" w:hAnsi="宋体" w:cs="宋体"/>
          <w:color w:val="auto"/>
          <w:szCs w:val="21"/>
          <w:highlight w:val="none"/>
        </w:rPr>
        <w:t>，招标文件的澄清将以更正公告形式在</w:t>
      </w:r>
      <w:r>
        <w:rPr>
          <w:rFonts w:hint="eastAsia" w:ascii="宋体" w:hAnsi="宋体" w:cs="宋体"/>
          <w:color w:val="auto"/>
          <w:szCs w:val="21"/>
          <w:highlight w:val="none"/>
          <w:lang w:eastAsia="zh-CN"/>
        </w:rPr>
        <w:t>滁州市城投工程咨询管理有限公司官网（https://www.czctgczx.com/）</w:t>
      </w:r>
      <w:r>
        <w:rPr>
          <w:rFonts w:hint="eastAsia" w:ascii="宋体" w:hAnsi="宋体" w:cs="宋体"/>
          <w:color w:val="auto"/>
          <w:szCs w:val="21"/>
          <w:highlight w:val="none"/>
        </w:rPr>
        <w:t>予以公布，但不指明澄清问题的来源。如果澄清内容影响投标文件编制的，将相应延长投标截止时间。</w:t>
      </w:r>
    </w:p>
    <w:p w14:paraId="47EA4340">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16. 招标文件的修改、补充、解释</w:t>
      </w:r>
    </w:p>
    <w:p w14:paraId="66CF474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招标文件发出后，招标人在规定的投标截止时间前可对招标文件进行必要的修改和补充，并以更正公告形式在</w:t>
      </w:r>
      <w:r>
        <w:rPr>
          <w:rFonts w:hint="eastAsia" w:ascii="宋体" w:hAnsi="宋体" w:cs="宋体"/>
          <w:color w:val="auto"/>
          <w:szCs w:val="21"/>
          <w:highlight w:val="none"/>
          <w:lang w:eastAsia="zh-CN"/>
        </w:rPr>
        <w:t>滁州市城投工程咨询管理有限公司官网（https://www.czctgczx.com/）</w:t>
      </w:r>
      <w:r>
        <w:rPr>
          <w:rFonts w:hint="eastAsia" w:ascii="宋体" w:hAnsi="宋体" w:cs="宋体"/>
          <w:color w:val="auto"/>
          <w:szCs w:val="21"/>
          <w:highlight w:val="none"/>
        </w:rPr>
        <w:t>予以公布。请各位投标人注意查看有关澄清内容，如不及时查看造成后果由投标人自负。招标文件的修改、补充等内容作为招标文件的组成部分，具有约束作用。</w:t>
      </w:r>
    </w:p>
    <w:p w14:paraId="7E0F8B5E">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16.2招标文件的解释</w:t>
      </w:r>
    </w:p>
    <w:p w14:paraId="1EC1DF1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002AAEA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34B1160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04EC85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77DC8B4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421196DF">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17. 招标文件的发出</w:t>
      </w:r>
    </w:p>
    <w:p w14:paraId="3F0B69F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17.1招标文件、招标文件的澄清、修改、补充及招标答疑等均应报招标人审核后，方可发出。</w:t>
      </w:r>
    </w:p>
    <w:p w14:paraId="5D1D9EAC">
      <w:pPr>
        <w:spacing w:before="93" w:beforeLines="30" w:after="93" w:afterLines="30" w:line="500" w:lineRule="exact"/>
        <w:jc w:val="center"/>
        <w:rPr>
          <w:rFonts w:ascii="宋体" w:hAnsi="宋体" w:cs="宋体"/>
          <w:b/>
          <w:color w:val="auto"/>
          <w:sz w:val="28"/>
          <w:szCs w:val="28"/>
          <w:highlight w:val="none"/>
        </w:rPr>
      </w:pPr>
      <w:bookmarkStart w:id="37" w:name="_Toc449028869"/>
      <w:r>
        <w:rPr>
          <w:rFonts w:hint="eastAsia" w:ascii="宋体" w:hAnsi="宋体" w:cs="宋体"/>
          <w:b/>
          <w:color w:val="auto"/>
          <w:sz w:val="28"/>
          <w:szCs w:val="28"/>
          <w:highlight w:val="none"/>
        </w:rPr>
        <w:t>（三）投标文件的编制</w:t>
      </w:r>
      <w:bookmarkEnd w:id="37"/>
    </w:p>
    <w:p w14:paraId="5E20A13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18.投标的语言及度量衡单位</w:t>
      </w:r>
    </w:p>
    <w:p w14:paraId="62C4197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18.1投标人的投标文件、以及投标人与招标人就投标的所有往来函电，均须使用简体中文。</w:t>
      </w:r>
    </w:p>
    <w:p w14:paraId="0282A7E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18.2除招标文件中另有规定外，投标文件所使用的度量衡均须采用法定计量单位。</w:t>
      </w:r>
    </w:p>
    <w:p w14:paraId="5873E363">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19.投标文件的组成</w:t>
      </w:r>
    </w:p>
    <w:p w14:paraId="3F48AFA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具体内容详见第六章投标文件格式内容。</w:t>
      </w:r>
    </w:p>
    <w:p w14:paraId="183BB020">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20</w:t>
      </w:r>
      <w:r>
        <w:rPr>
          <w:rFonts w:hint="eastAsia" w:ascii="宋体" w:hAnsi="宋体" w:cs="宋体"/>
          <w:color w:val="auto"/>
          <w:szCs w:val="21"/>
          <w:highlight w:val="none"/>
        </w:rPr>
        <w:t>.</w:t>
      </w:r>
      <w:r>
        <w:rPr>
          <w:rFonts w:hint="eastAsia" w:ascii="宋体" w:hAnsi="宋体" w:cs="宋体"/>
          <w:b/>
          <w:color w:val="auto"/>
          <w:szCs w:val="21"/>
          <w:highlight w:val="none"/>
        </w:rPr>
        <w:t>投标报价（本项目不采用）</w:t>
      </w:r>
    </w:p>
    <w:p w14:paraId="2D69FB1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20.1投标报价文件中报价采用人民币表示。投标人的报价应含有服务（货物）、利润、税金、政策性文件规定及合同包含的所有风险、责任、义务等，即为完成招标文件要求的服务（货物）内容所包含的一切应有费用，中标价格今后将不作任何调整，招标人后期不再追加费用，投标供应商自行考虑投标风险。</w:t>
      </w:r>
    </w:p>
    <w:p w14:paraId="5A5ED21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20.2投标人只允许有一个方案、一个报价。</w:t>
      </w:r>
    </w:p>
    <w:p w14:paraId="71EA9AF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20.3投标报价应由法定代表人或被授权人签署。</w:t>
      </w:r>
    </w:p>
    <w:p w14:paraId="364D2A64">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20.4</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否则将作为无效投标处理。（本项目不采用）</w:t>
      </w:r>
    </w:p>
    <w:p w14:paraId="4BB97E8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 投标有效期</w:t>
      </w:r>
    </w:p>
    <w:p w14:paraId="52B2FCA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 投标有效期见投标人须知前附表。</w:t>
      </w:r>
    </w:p>
    <w:p w14:paraId="7B3C155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21.2在投标有效期内，投标人撤销或修改其投标文件的，应承担招标文件和法律规定的责任。</w:t>
      </w:r>
    </w:p>
    <w:p w14:paraId="0D3546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21.3出现特殊情况需要延长投标有效期的，招标人以书面形式通知所有投标人延长投标有效期。投标人同意延长的，不得要求或被允许修改或撤销其投标文件；投标人拒绝延长的，其投标失效。</w:t>
      </w:r>
    </w:p>
    <w:p w14:paraId="7BA0B688">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22. 投标保证金</w:t>
      </w:r>
    </w:p>
    <w:p w14:paraId="3B9D0BE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22.1本项目不缴纳投标保证金。</w:t>
      </w:r>
    </w:p>
    <w:p w14:paraId="6D901C67">
      <w:pPr>
        <w:spacing w:before="93" w:beforeLines="30" w:after="93" w:afterLines="30" w:line="500" w:lineRule="exact"/>
        <w:jc w:val="center"/>
        <w:rPr>
          <w:rFonts w:ascii="宋体" w:hAnsi="宋体" w:cs="宋体"/>
          <w:b/>
          <w:color w:val="auto"/>
          <w:sz w:val="28"/>
          <w:szCs w:val="28"/>
          <w:highlight w:val="none"/>
        </w:rPr>
      </w:pPr>
      <w:bookmarkStart w:id="38" w:name="_Toc449028870"/>
      <w:r>
        <w:rPr>
          <w:rFonts w:hint="eastAsia" w:ascii="宋体" w:hAnsi="宋体" w:cs="宋体"/>
          <w:b/>
          <w:color w:val="auto"/>
          <w:sz w:val="28"/>
          <w:szCs w:val="28"/>
          <w:highlight w:val="none"/>
        </w:rPr>
        <w:t>（四）投标文件的递交</w:t>
      </w:r>
      <w:bookmarkEnd w:id="38"/>
    </w:p>
    <w:p w14:paraId="1BCD5BD6">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23. 投标文件的份数和签署</w:t>
      </w:r>
    </w:p>
    <w:p w14:paraId="54A83A34">
      <w:pPr>
        <w:spacing w:line="500" w:lineRule="exact"/>
        <w:ind w:firstLine="420" w:firstLineChars="200"/>
        <w:rPr>
          <w:rFonts w:ascii="宋体" w:hAnsi="宋体" w:cs="宋体"/>
          <w:color w:val="auto"/>
          <w:szCs w:val="21"/>
          <w:highlight w:val="none"/>
        </w:rPr>
      </w:pPr>
      <w:bookmarkStart w:id="39" w:name="_Toc449028871"/>
      <w:r>
        <w:rPr>
          <w:rFonts w:hint="eastAsia" w:ascii="宋体" w:hAnsi="宋体" w:cs="宋体"/>
          <w:color w:val="auto"/>
          <w:szCs w:val="21"/>
          <w:highlight w:val="none"/>
        </w:rPr>
        <w:t>23.1投标文件份数：正本一份，副本一份。</w:t>
      </w:r>
    </w:p>
    <w:p w14:paraId="6D47CDF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23.2投标文件须按格式文件要求签字或盖章，否则经评委会一致认定后, 按照无效投标处理。</w:t>
      </w:r>
    </w:p>
    <w:p w14:paraId="29385FF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24. 投标文件的提交</w:t>
      </w:r>
    </w:p>
    <w:p w14:paraId="501068DB">
      <w:pPr>
        <w:spacing w:line="50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24.1投标人应在投标截止时间前将投标文件递交至招标人或招标代理机构。</w:t>
      </w:r>
    </w:p>
    <w:p w14:paraId="311485F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24.2投标人应当在投标截止时间前完成投标文件的递交， 并可以补充、修改或者撤回投标文件。投标截止时间前未完成投标文件递交的，视为撤回投标文件。未按规定密封或投标截止时间后递交投标文件的，应当拒收，投标无效。</w:t>
      </w:r>
    </w:p>
    <w:p w14:paraId="5A1646C2">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25．投标文件的修改与撤回</w:t>
      </w:r>
    </w:p>
    <w:p w14:paraId="58DCFA5F">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25.1</w:t>
      </w:r>
      <w:r>
        <w:rPr>
          <w:rFonts w:hint="eastAsia" w:ascii="宋体" w:hAnsi="宋体" w:cs="宋体"/>
          <w:color w:val="auto"/>
          <w:szCs w:val="21"/>
          <w:highlight w:val="none"/>
        </w:rPr>
        <w:t>在规定的投标截止时间前，投标人可以自行撤回已递交的投标文件，并可修改后重新递交，开标时以投标截止时间前投标人最终递交的投标文件为准。</w:t>
      </w:r>
    </w:p>
    <w:p w14:paraId="1AE06B93">
      <w:pPr>
        <w:spacing w:before="93" w:beforeLines="30" w:after="93" w:afterLines="3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39"/>
    </w:p>
    <w:p w14:paraId="40A6AD4F">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26. 开标</w:t>
      </w:r>
    </w:p>
    <w:p w14:paraId="4649575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26.1开标的时间和地点</w:t>
      </w:r>
    </w:p>
    <w:p w14:paraId="1C157A55">
      <w:pPr>
        <w:adjustRightInd w:val="0"/>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26.1.1招标人在投标人须知前附表规定的投标截止时间（开标时间）和地点公开开标。</w:t>
      </w:r>
    </w:p>
    <w:p w14:paraId="7559B082">
      <w:pPr>
        <w:spacing w:line="500" w:lineRule="exact"/>
        <w:ind w:right="-155" w:rightChars="-74" w:firstLine="420" w:firstLineChars="200"/>
        <w:jc w:val="left"/>
        <w:rPr>
          <w:rFonts w:ascii="宋体" w:hAnsi="宋体" w:cs="宋体"/>
          <w:color w:val="auto"/>
          <w:szCs w:val="21"/>
          <w:highlight w:val="none"/>
        </w:rPr>
      </w:pPr>
      <w:r>
        <w:rPr>
          <w:rFonts w:hint="eastAsia" w:ascii="宋体" w:hAnsi="宋体" w:cs="宋体"/>
          <w:color w:val="auto"/>
          <w:szCs w:val="21"/>
          <w:highlight w:val="none"/>
        </w:rPr>
        <w:t>26.2开标程序</w:t>
      </w:r>
    </w:p>
    <w:p w14:paraId="1781DD1F">
      <w:pPr>
        <w:spacing w:line="500" w:lineRule="exact"/>
        <w:ind w:firstLine="420" w:firstLineChars="200"/>
        <w:outlineLvl w:val="2"/>
        <w:rPr>
          <w:rFonts w:ascii="宋体" w:hAnsi="宋体" w:cs="宋体"/>
          <w:color w:val="auto"/>
          <w:szCs w:val="21"/>
          <w:highlight w:val="none"/>
        </w:rPr>
      </w:pPr>
      <w:r>
        <w:rPr>
          <w:rFonts w:hint="eastAsia" w:ascii="宋体" w:hAnsi="宋体" w:cs="宋体"/>
          <w:color w:val="auto"/>
          <w:szCs w:val="21"/>
          <w:highlight w:val="none"/>
        </w:rPr>
        <w:t xml:space="preserve">开标会议由采购代理机构主持。 </w:t>
      </w:r>
    </w:p>
    <w:p w14:paraId="5245D067">
      <w:pPr>
        <w:spacing w:line="500" w:lineRule="exact"/>
        <w:ind w:firstLine="420" w:firstLineChars="200"/>
        <w:jc w:val="left"/>
        <w:rPr>
          <w:rFonts w:ascii="宋体" w:hAnsi="宋体" w:cs="宋体"/>
          <w:color w:val="auto"/>
          <w:szCs w:val="21"/>
          <w:highlight w:val="none"/>
        </w:rPr>
      </w:pPr>
      <w:bookmarkStart w:id="40" w:name="_Toc15058877"/>
      <w:r>
        <w:rPr>
          <w:rFonts w:hint="eastAsia" w:ascii="宋体" w:hAnsi="宋体" w:cs="宋体"/>
          <w:color w:val="auto"/>
          <w:szCs w:val="21"/>
          <w:highlight w:val="none"/>
        </w:rPr>
        <w:t>（1）宣布开标纪律；</w:t>
      </w:r>
      <w:bookmarkEnd w:id="40"/>
    </w:p>
    <w:p w14:paraId="1EA2E9F4">
      <w:pPr>
        <w:spacing w:line="500" w:lineRule="exact"/>
        <w:ind w:firstLine="420" w:firstLineChars="200"/>
        <w:jc w:val="left"/>
        <w:rPr>
          <w:rFonts w:ascii="宋体" w:hAnsi="宋体" w:cs="宋体"/>
          <w:color w:val="auto"/>
          <w:szCs w:val="21"/>
          <w:highlight w:val="none"/>
        </w:rPr>
      </w:pPr>
      <w:bookmarkStart w:id="41" w:name="_Toc15058878"/>
      <w:r>
        <w:rPr>
          <w:rFonts w:hint="eastAsia" w:ascii="宋体" w:hAnsi="宋体" w:cs="宋体"/>
          <w:color w:val="auto"/>
          <w:szCs w:val="21"/>
          <w:highlight w:val="none"/>
        </w:rPr>
        <w:t>（2）宣布招标人、代理机构主持人等有关人员姓名；</w:t>
      </w:r>
      <w:bookmarkEnd w:id="41"/>
    </w:p>
    <w:p w14:paraId="567465E7">
      <w:pPr>
        <w:spacing w:line="500" w:lineRule="exact"/>
        <w:ind w:firstLine="420" w:firstLineChars="200"/>
        <w:jc w:val="left"/>
        <w:rPr>
          <w:rFonts w:ascii="宋体" w:hAnsi="宋体" w:cs="宋体"/>
          <w:color w:val="auto"/>
          <w:szCs w:val="21"/>
          <w:highlight w:val="none"/>
        </w:rPr>
      </w:pPr>
      <w:bookmarkStart w:id="42" w:name="_Toc15058879"/>
      <w:r>
        <w:rPr>
          <w:rFonts w:hint="eastAsia" w:ascii="宋体" w:hAnsi="宋体" w:cs="宋体"/>
          <w:color w:val="auto"/>
          <w:szCs w:val="21"/>
          <w:highlight w:val="none"/>
        </w:rPr>
        <w:t>（3）公布递交投标文件的投标人名称等；</w:t>
      </w:r>
      <w:bookmarkEnd w:id="42"/>
      <w:r>
        <w:rPr>
          <w:rFonts w:hint="eastAsia" w:ascii="宋体" w:hAnsi="宋体" w:cs="宋体"/>
          <w:color w:val="auto"/>
          <w:szCs w:val="21"/>
          <w:highlight w:val="none"/>
        </w:rPr>
        <w:t xml:space="preserve"> </w:t>
      </w:r>
    </w:p>
    <w:p w14:paraId="4366E670">
      <w:pPr>
        <w:spacing w:line="500" w:lineRule="exact"/>
        <w:ind w:firstLine="420" w:firstLineChars="200"/>
        <w:jc w:val="left"/>
        <w:rPr>
          <w:rFonts w:ascii="宋体" w:hAnsi="宋体" w:cs="宋体"/>
          <w:color w:val="auto"/>
          <w:szCs w:val="21"/>
          <w:highlight w:val="none"/>
        </w:rPr>
      </w:pPr>
      <w:bookmarkStart w:id="43" w:name="_Toc15058880"/>
      <w:r>
        <w:rPr>
          <w:rFonts w:hint="eastAsia" w:ascii="宋体" w:hAnsi="宋体" w:cs="宋体"/>
          <w:color w:val="auto"/>
          <w:szCs w:val="21"/>
          <w:highlight w:val="none"/>
        </w:rPr>
        <w:t>（4）公布投标人投标报价、工期及其他内容，并记录在案；</w:t>
      </w:r>
      <w:bookmarkEnd w:id="43"/>
      <w:bookmarkStart w:id="44" w:name="_Toc15058881"/>
    </w:p>
    <w:p w14:paraId="73A2CD7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bookmarkEnd w:id="44"/>
      <w:r>
        <w:rPr>
          <w:rFonts w:hint="eastAsia" w:ascii="宋体" w:hAnsi="宋体" w:cs="宋体"/>
          <w:color w:val="auto"/>
          <w:szCs w:val="21"/>
          <w:highlight w:val="none"/>
        </w:rPr>
        <w:t>评标委员会对投标文件进行评审，公布评审结果；</w:t>
      </w:r>
    </w:p>
    <w:p w14:paraId="543D0B2D">
      <w:pPr>
        <w:spacing w:line="500" w:lineRule="exact"/>
        <w:ind w:firstLine="420" w:firstLineChars="200"/>
        <w:jc w:val="left"/>
        <w:rPr>
          <w:rFonts w:ascii="宋体" w:hAnsi="宋体" w:cs="宋体"/>
          <w:color w:val="auto"/>
          <w:szCs w:val="21"/>
          <w:highlight w:val="none"/>
        </w:rPr>
      </w:pPr>
      <w:bookmarkStart w:id="45" w:name="_Toc15058882"/>
      <w:r>
        <w:rPr>
          <w:rFonts w:hint="eastAsia" w:ascii="宋体" w:hAnsi="宋体" w:cs="宋体"/>
          <w:color w:val="auto"/>
          <w:szCs w:val="21"/>
          <w:highlight w:val="none"/>
        </w:rPr>
        <w:t>（6）开标结束。</w:t>
      </w:r>
      <w:bookmarkEnd w:id="45"/>
    </w:p>
    <w:p w14:paraId="74032C12">
      <w:pPr>
        <w:spacing w:line="500" w:lineRule="exact"/>
        <w:ind w:right="-155" w:rightChars="-74" w:firstLine="420" w:firstLineChars="200"/>
        <w:jc w:val="left"/>
        <w:rPr>
          <w:rFonts w:ascii="宋体" w:hAnsi="宋体" w:cs="宋体"/>
          <w:color w:val="auto"/>
          <w:szCs w:val="21"/>
          <w:highlight w:val="none"/>
        </w:rPr>
      </w:pPr>
      <w:r>
        <w:rPr>
          <w:rFonts w:hint="eastAsia" w:ascii="宋体" w:hAnsi="宋体" w:cs="宋体"/>
          <w:color w:val="auto"/>
          <w:szCs w:val="21"/>
          <w:highlight w:val="none"/>
        </w:rPr>
        <w:t>26.4开标异议</w:t>
      </w:r>
    </w:p>
    <w:p w14:paraId="2410BF1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w:t>
      </w:r>
    </w:p>
    <w:p w14:paraId="6CB366A3">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27.评标委员会</w:t>
      </w:r>
    </w:p>
    <w:p w14:paraId="24979D7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27.1  评标委员会的组成</w:t>
      </w:r>
    </w:p>
    <w:p w14:paraId="5798542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27.1.1评标由招标人依法组建的评标委员会负责。</w:t>
      </w:r>
    </w:p>
    <w:p w14:paraId="7002FB3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27.1.2评标委员会负责人依法推荐或确定。</w:t>
      </w:r>
    </w:p>
    <w:p w14:paraId="5B7AC1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27.2评标委员会成员名单在中标结果确定前应当保密。</w:t>
      </w:r>
    </w:p>
    <w:p w14:paraId="51AF93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27.3评标委员会成员有下述情形的，应当主动提出回避：</w:t>
      </w:r>
    </w:p>
    <w:p w14:paraId="0493CA9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（1）供应商或供应商主要负责人的近亲属；</w:t>
      </w:r>
    </w:p>
    <w:p w14:paraId="7BAE983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276D228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（3）与供应商有经济利益关系；</w:t>
      </w:r>
    </w:p>
    <w:p w14:paraId="2870F8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17F31CF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（5）与供应商有其他利害关系。</w:t>
      </w:r>
    </w:p>
    <w:p w14:paraId="7119134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27.4评标委员会应当向招标人提出书面评标报告，并抄送有关行政监督部门。评标报告应当如实记载以下内容：</w:t>
      </w:r>
    </w:p>
    <w:p w14:paraId="0780518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（1）基本情况和数据表；</w:t>
      </w:r>
    </w:p>
    <w:p w14:paraId="43D57D6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（2）评标委员会成员名单；</w:t>
      </w:r>
    </w:p>
    <w:p w14:paraId="7426730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（3）开标记录；</w:t>
      </w:r>
    </w:p>
    <w:p w14:paraId="1B38C6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（4）符合要求的供应商一览表；</w:t>
      </w:r>
    </w:p>
    <w:p w14:paraId="3B444CD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（5）无效情况说明；</w:t>
      </w:r>
    </w:p>
    <w:p w14:paraId="54669E8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（6）评标标准、评标方法或者评标因素一览表；</w:t>
      </w:r>
    </w:p>
    <w:p w14:paraId="6D118A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（7）经评审的价格或者评分比较一览表；</w:t>
      </w:r>
    </w:p>
    <w:p w14:paraId="2B53F9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（8）供应商串标、围标等违规行为的确认报告；</w:t>
      </w:r>
    </w:p>
    <w:p w14:paraId="5F8ED46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（9）经评审的供应商排序；</w:t>
      </w:r>
    </w:p>
    <w:p w14:paraId="524128E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（10）推荐的中标候选人名单；</w:t>
      </w:r>
    </w:p>
    <w:p w14:paraId="44ADCF1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（11）澄清、说明、补正事项纪要。</w:t>
      </w:r>
    </w:p>
    <w:p w14:paraId="3379569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27.5评标委员会接受招标人授权对供应商资格进行审查。</w:t>
      </w:r>
    </w:p>
    <w:p w14:paraId="5BDEE843">
      <w:pPr>
        <w:tabs>
          <w:tab w:val="left" w:pos="720"/>
        </w:tabs>
        <w:spacing w:line="5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27.6评标委员会应自觉接受有关监督管理部门的现场监督，评标委员会成员和与评标活动有关的工作人员和监督人员不得向他人透露对投标文件的评审和比较、中标候选人的推荐以及与评标有关的其他情况。投标文件及与评标有关的资料应当保密。</w:t>
      </w:r>
    </w:p>
    <w:p w14:paraId="758F713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28. 评标</w:t>
      </w:r>
    </w:p>
    <w:p w14:paraId="483E512D">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28.1评标准备工作</w:t>
      </w:r>
    </w:p>
    <w:p w14:paraId="73616E03">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28.1.1阅读由招标人或招标代理单位编写的招标项目情况的说明材料；</w:t>
      </w:r>
    </w:p>
    <w:p w14:paraId="12978E9F">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28.1.2阅读、研究招标文件和相关评标资料，获取评标所需要的重要信息和数据；</w:t>
      </w:r>
    </w:p>
    <w:p w14:paraId="6E967477">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28.1.3熟悉招标文件规定的评标方法及在评标过程中需要考虑的相关因素；</w:t>
      </w:r>
    </w:p>
    <w:p w14:paraId="291C3AC7">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28.1.4核对评标工作用表。</w:t>
      </w:r>
    </w:p>
    <w:p w14:paraId="5CE92FBF">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28.2评标办法</w:t>
      </w:r>
    </w:p>
    <w:p w14:paraId="6C71955D">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28.2.1评审小组按照第三章“评标办法”规定的方法、评审因素、标准和程序对投标文件进行评审。第三章“评标办法”没有规定的方法、评审因素和标准，不作为评标依据。</w:t>
      </w:r>
    </w:p>
    <w:p w14:paraId="251BA30F">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28.2.2评标原则：遵循公平、公正、科学和择优的原则。</w:t>
      </w:r>
    </w:p>
    <w:p w14:paraId="1A6BBF47">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28.3投标文件的澄清</w:t>
      </w:r>
    </w:p>
    <w:p w14:paraId="55EBE2DA">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28.3.1在评审过程中，评审小组认为需要，可要求投标人对投标文件中的有关问题进行澄清或提供补充说明及有关资料，投标人应做出书面答复。</w:t>
      </w:r>
    </w:p>
    <w:p w14:paraId="1CDE4FFF">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28.3.2书面答复须经投标人法定代表人或其委托代理人签字或盖章，签字或盖章的书面答复将被视为投标文件的组成部分。</w:t>
      </w:r>
    </w:p>
    <w:p w14:paraId="69E70CBC">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28.4报价合理性的判断</w:t>
      </w:r>
    </w:p>
    <w:p w14:paraId="05B50F95">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w:t>
      </w:r>
    </w:p>
    <w:p w14:paraId="2FD3DF0C">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28.5评审意见分歧的处理办法</w:t>
      </w:r>
    </w:p>
    <w:p w14:paraId="6718F505">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（1）评审小组应当对投标人提供的报告、证明材料及详细说明认真研究。对存在意见分歧的，可采用投票方式表决决定（按多数评委意见为准）；</w:t>
      </w:r>
    </w:p>
    <w:p w14:paraId="362CBBD9">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28.6评标报告的签署</w:t>
      </w:r>
    </w:p>
    <w:p w14:paraId="029D027E">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28.6.1评审小组应当编制书面评标报告,所有成员应签字确认。对评标结论持有异议的评审小组成员可以书面方式阐述其不同意见和理由。评审小组成员拒绝在评标报告上签字且不陈述其不同意见和理由的，视为同意评标结论。</w:t>
      </w:r>
    </w:p>
    <w:p w14:paraId="1EDC68C8">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28.7评标过程的保密</w:t>
      </w:r>
    </w:p>
    <w:p w14:paraId="47E1AA60">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评审小组成员和与评标活动有关的工作人员不得透露对投标文件的评审和比较、中标候选人的推荐情况以及与评标有关的其他情况。 </w:t>
      </w:r>
    </w:p>
    <w:p w14:paraId="3E5003F2">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29. 定标</w:t>
      </w:r>
    </w:p>
    <w:p w14:paraId="53922A18">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中标人的确定</w:t>
      </w:r>
    </w:p>
    <w:p w14:paraId="54759F71">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依据评标委员会推荐的第一中标候选人确定为中标人，排名第一的中标候选人放弃中标、因不可抗力提出不能履约合同，或者招标文件规定应当提交履约保证金而在规定的期限内未能提交的或存在弄虚作假等其他违法行为骗取中标的，或合同履行过程中，被终止协议的，招标人可以确定排名第二的中标候选人为中标人，以此类推。招标人也可依法重新组织招标。</w:t>
      </w:r>
    </w:p>
    <w:p w14:paraId="782D61D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29.1.2中标人确定后，招标人应将中标人名单在前附表规定的网站进行网上公示。</w:t>
      </w:r>
    </w:p>
    <w:p w14:paraId="6FA2991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中标通知书</w:t>
      </w:r>
    </w:p>
    <w:p w14:paraId="202E7A77">
      <w:pPr>
        <w:pStyle w:val="14"/>
        <w:spacing w:line="500" w:lineRule="exact"/>
        <w:ind w:firstLine="420" w:firstLineChars="200"/>
        <w:rPr>
          <w:rFonts w:ascii="宋体" w:hAnsi="宋体" w:cs="宋体"/>
          <w:color w:val="auto"/>
          <w:highlight w:val="none"/>
        </w:rPr>
      </w:pPr>
      <w:r>
        <w:rPr>
          <w:rFonts w:hint="eastAsia" w:ascii="宋体" w:hAnsi="宋体" w:cs="宋体"/>
          <w:color w:val="auto"/>
          <w:szCs w:val="21"/>
          <w:highlight w:val="none"/>
        </w:rPr>
        <w:t>29.2.1</w:t>
      </w:r>
      <w:r>
        <w:rPr>
          <w:rFonts w:hint="eastAsia" w:ascii="宋体" w:hAnsi="宋体" w:cs="宋体"/>
          <w:color w:val="auto"/>
          <w:highlight w:val="none"/>
        </w:rPr>
        <w:t>招标人或采购代理机构应在中标人确定之日起2个工作日内，向中标人发出中标通知书。</w:t>
      </w:r>
    </w:p>
    <w:p w14:paraId="6C07D3A7">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29.2.2中标通知书须加盖招标人、采购代理机构公章后，方可发出。</w:t>
      </w:r>
    </w:p>
    <w:p w14:paraId="7C4EE432">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30. 开评标异常情况处理</w:t>
      </w:r>
    </w:p>
    <w:p w14:paraId="1C6F044D">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30.1废标（重新招标）</w:t>
      </w:r>
    </w:p>
    <w:p w14:paraId="186ECADE">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有下列情形之一的，招标人将废标（重新招标）：</w:t>
      </w:r>
    </w:p>
    <w:p w14:paraId="0A7A2C8E">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 xml:space="preserve">(1)投标截止时间止，投标人少于三个的； </w:t>
      </w:r>
    </w:p>
    <w:p w14:paraId="5CD8243B">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(2)</w:t>
      </w:r>
      <w:r>
        <w:rPr>
          <w:rFonts w:hint="eastAsia" w:ascii="宋体" w:hAnsi="宋体" w:cs="宋体"/>
          <w:color w:val="auto"/>
          <w:szCs w:val="21"/>
          <w:highlight w:val="none"/>
          <w:shd w:val="clear" w:color="auto" w:fill="FFFFFF"/>
        </w:rPr>
        <w:t>符合专业条件的供应商或者对招标文件作实质响应的供应商不足三家的</w:t>
      </w:r>
      <w:r>
        <w:rPr>
          <w:rFonts w:hint="eastAsia" w:ascii="宋体" w:hAnsi="宋体" w:cs="宋体"/>
          <w:color w:val="auto"/>
          <w:kern w:val="10"/>
          <w:szCs w:val="21"/>
          <w:highlight w:val="none"/>
        </w:rPr>
        <w:t>；</w:t>
      </w:r>
    </w:p>
    <w:p w14:paraId="166EFF84">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(3)出现影响采购公正的违法、违规行为的；</w:t>
      </w:r>
    </w:p>
    <w:p w14:paraId="785457D1">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(4)投标人的报价均脱离实际且无充分证据的；</w:t>
      </w:r>
    </w:p>
    <w:p w14:paraId="678295E5">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(5)因重大变故，采购任务取消的。</w:t>
      </w:r>
      <w:bookmarkStart w:id="46" w:name="_Toc449028873"/>
    </w:p>
    <w:p w14:paraId="5089FC85">
      <w:pPr>
        <w:spacing w:before="93" w:beforeLines="30" w:after="93" w:afterLines="3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（六）合同的授予</w:t>
      </w:r>
      <w:bookmarkEnd w:id="46"/>
    </w:p>
    <w:p w14:paraId="63852260">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31.合同授予标准</w:t>
      </w:r>
    </w:p>
    <w:p w14:paraId="3FD0A96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31.1 本招标项目的合同将授予按本投标须知第29条规定所确定的中标人。 </w:t>
      </w:r>
    </w:p>
    <w:p w14:paraId="188E66B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332.合同协议书的签订</w:t>
      </w:r>
    </w:p>
    <w:p w14:paraId="1CB0210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32.1招标人与中标人将于中标通知书发出之日起30日内，按照招标文件和中标人的投标文件订立书面采购合同。招标人和中标人不得再行订立背离合同实质性内容的其他协议。</w:t>
      </w:r>
    </w:p>
    <w:p w14:paraId="405E40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32.2 招标人如不按本投标须知第31条的规定与中标人订立合同，或者招标人、中标人订立背离合同实质性内容的协议，给他人造成损失的，依法承担民事责任，同时依法承担相应法律责任。</w:t>
      </w:r>
    </w:p>
    <w:p w14:paraId="6409A84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32.3中标人如不按本投标须知第31条的规定与招标人订立合同，依法承担民事责任，同时依法承担相应法律责任。</w:t>
      </w:r>
    </w:p>
    <w:p w14:paraId="1B8700F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32.4中标人应当按照合同约定履行义务，完成中标项目，不得将中标项目转让（转包）给他人。</w:t>
      </w:r>
    </w:p>
    <w:p w14:paraId="3CF3711C">
      <w:pPr>
        <w:spacing w:line="50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33.</w:t>
      </w:r>
      <w:bookmarkStart w:id="47" w:name="_Toc217446068"/>
      <w:r>
        <w:rPr>
          <w:rFonts w:hint="eastAsia" w:ascii="宋体" w:hAnsi="宋体" w:cs="宋体"/>
          <w:b/>
          <w:color w:val="auto"/>
          <w:szCs w:val="21"/>
          <w:highlight w:val="none"/>
        </w:rPr>
        <w:t>履约保证金</w:t>
      </w:r>
      <w:bookmarkEnd w:id="47"/>
      <w:r>
        <w:rPr>
          <w:rFonts w:hint="eastAsia" w:ascii="宋体" w:hAnsi="宋体" w:cs="宋体"/>
          <w:b/>
          <w:color w:val="auto"/>
          <w:szCs w:val="21"/>
          <w:highlight w:val="none"/>
        </w:rPr>
        <w:t>（本项目不采用）</w:t>
      </w:r>
    </w:p>
    <w:p w14:paraId="7B74A4D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33.1在签订合同前，中标人应按投标人须知前附表规定的担保形式、金额和招标文件第五章“合同条款及格式”规定的或者事先经过招标人书面认可的履约担保格式向招标人提交履约担保。</w:t>
      </w:r>
    </w:p>
    <w:p w14:paraId="47A92E3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33.2 中标人不能按本章第33.1款要求提交履约担保的，视为放弃中标，</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1ECF42B3">
      <w:pPr>
        <w:spacing w:before="93" w:beforeLines="30" w:after="93" w:afterLines="30" w:line="500" w:lineRule="exact"/>
        <w:jc w:val="center"/>
        <w:rPr>
          <w:rFonts w:ascii="宋体" w:hAnsi="宋体" w:cs="宋体"/>
          <w:b/>
          <w:color w:val="auto"/>
          <w:sz w:val="28"/>
          <w:szCs w:val="28"/>
          <w:highlight w:val="none"/>
        </w:rPr>
      </w:pPr>
      <w:bookmarkStart w:id="48" w:name="_Toc449028874"/>
      <w:r>
        <w:rPr>
          <w:rFonts w:hint="eastAsia" w:ascii="宋体" w:hAnsi="宋体" w:cs="宋体"/>
          <w:b/>
          <w:color w:val="auto"/>
          <w:sz w:val="28"/>
          <w:szCs w:val="28"/>
          <w:highlight w:val="none"/>
        </w:rPr>
        <w:t>（七）纪律和监督</w:t>
      </w:r>
      <w:bookmarkEnd w:id="48"/>
    </w:p>
    <w:p w14:paraId="1E6A4206">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34.对招标人的纪律要求 </w:t>
      </w:r>
    </w:p>
    <w:p w14:paraId="1174C4E6">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 xml:space="preserve">34.1招标人不得泄漏招标投标活动中应当保密的情况和资料，不得与投标人串通损害国家利益，社会公共利益或者他人合法权益。 </w:t>
      </w:r>
    </w:p>
    <w:p w14:paraId="444FFD52">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35.对投标人的纪律要求 </w:t>
      </w:r>
    </w:p>
    <w:p w14:paraId="113B871D">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35.1投标人不得相互串通投标或者与招标人串通投标，不得向招标人或者评标委员会成员行贿谋取中标，不得以他人名义投标或者以其他方式弄虚作假骗取中标；投标人不得以任何方式干扰、影响评标工作。</w:t>
      </w:r>
    </w:p>
    <w:p w14:paraId="7429100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36.对评标委员会成员的纪律要求 </w:t>
      </w:r>
    </w:p>
    <w:p w14:paraId="117A911F">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36.1评标委员会成员不得收受他人的财物或者其他好处，不得向他人透漏对投标文件的评审和比较、中标候选人的推荐情况以及评标有关的其他情况。</w:t>
      </w:r>
    </w:p>
    <w:p w14:paraId="3D3179D0">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 xml:space="preserve">36.2在评标活动中，评标委员会成员不得擅离职守，影响评标程序正常进行，不得使用第三章“评标办法”没有规定的评审因素和标准进行评标。 </w:t>
      </w:r>
    </w:p>
    <w:p w14:paraId="5942CE6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37.对与评标活动有关的工作人员的纪律要求 </w:t>
      </w:r>
    </w:p>
    <w:p w14:paraId="6B6B0822">
      <w:pPr>
        <w:adjustRightInd w:val="0"/>
        <w:snapToGrid w:val="0"/>
        <w:spacing w:line="500" w:lineRule="exact"/>
        <w:ind w:firstLine="420" w:firstLineChars="200"/>
        <w:rPr>
          <w:rFonts w:ascii="宋体" w:hAnsi="宋体" w:cs="宋体"/>
          <w:color w:val="auto"/>
          <w:kern w:val="10"/>
          <w:szCs w:val="21"/>
          <w:highlight w:val="none"/>
        </w:rPr>
      </w:pPr>
      <w:r>
        <w:rPr>
          <w:rFonts w:hint="eastAsia" w:ascii="宋体" w:hAnsi="宋体" w:cs="宋体"/>
          <w:color w:val="auto"/>
          <w:kern w:val="10"/>
          <w:szCs w:val="21"/>
          <w:highlight w:val="none"/>
        </w:rPr>
        <w:t>37.1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A2DA3B3">
      <w:pPr>
        <w:spacing w:before="93" w:beforeLines="30" w:after="93" w:afterLines="30" w:line="500" w:lineRule="exact"/>
        <w:jc w:val="center"/>
        <w:rPr>
          <w:rFonts w:ascii="宋体" w:hAnsi="宋体" w:cs="宋体"/>
          <w:b/>
          <w:color w:val="auto"/>
          <w:sz w:val="28"/>
          <w:szCs w:val="28"/>
          <w:highlight w:val="none"/>
        </w:rPr>
      </w:pPr>
      <w:bookmarkStart w:id="49" w:name="_Toc449028875"/>
      <w:r>
        <w:rPr>
          <w:rFonts w:hint="eastAsia" w:ascii="宋体" w:hAnsi="宋体" w:cs="宋体"/>
          <w:b/>
          <w:color w:val="auto"/>
          <w:sz w:val="28"/>
          <w:szCs w:val="28"/>
          <w:highlight w:val="none"/>
        </w:rPr>
        <w:t>（八）质疑与投诉</w:t>
      </w:r>
      <w:bookmarkEnd w:id="49"/>
    </w:p>
    <w:p w14:paraId="57FBCED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38. 询问、质疑</w:t>
      </w:r>
    </w:p>
    <w:p w14:paraId="665A0DE6">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szCs w:val="21"/>
          <w:highlight w:val="none"/>
        </w:rPr>
        <w:t>38.1</w:t>
      </w:r>
      <w:r>
        <w:rPr>
          <w:rFonts w:hint="eastAsia" w:ascii="宋体" w:hAnsi="宋体" w:cs="宋体"/>
          <w:color w:val="auto"/>
          <w:kern w:val="10"/>
          <w:szCs w:val="21"/>
          <w:highlight w:val="none"/>
        </w:rPr>
        <w:t>若投标人或者其他利害关系人对中标结果有异议，可在公示期内以书面形式，并在工作时间内（上午8:00-12:00,下午2:30-5:30）向招标人或招标代理机构提出异议。</w:t>
      </w:r>
    </w:p>
    <w:p w14:paraId="202E2F9D">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异议应以书面形式实名提出，书面异议材料应当包括以下内容： </w:t>
      </w:r>
    </w:p>
    <w:p w14:paraId="1293D16F">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（1）异议人的名称、地址、有效联系方式； </w:t>
      </w:r>
    </w:p>
    <w:p w14:paraId="1C9A8C45">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（2）项目名称、项目编号、标段号（如有）； </w:t>
      </w:r>
    </w:p>
    <w:p w14:paraId="58739C68">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（3）被异议人名称； </w:t>
      </w:r>
    </w:p>
    <w:p w14:paraId="4DEC6B6E">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（4）具体的异议事项、基本事实及必要的证明材料； </w:t>
      </w:r>
    </w:p>
    <w:p w14:paraId="6001247C">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（5）明确的请求及主张； </w:t>
      </w:r>
    </w:p>
    <w:p w14:paraId="011FA0B8">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（6）提起异议的日期。 </w:t>
      </w:r>
    </w:p>
    <w:p w14:paraId="2B4CB0F1">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（7）异议人为法人的，应当由法定代表人或授权代表签字并加盖公章；为其他组织或个人的，异议材料须由其主要负责人或者异议人本人签字，并附有效身份证明复印件。 </w:t>
      </w:r>
    </w:p>
    <w:p w14:paraId="660E8717">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（8）异议人需要修改、补充异议材料的，应当在招标人或招标代理机构规定的期限内提交修改或补充材料。 </w:t>
      </w:r>
    </w:p>
    <w:p w14:paraId="3C73E483">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szCs w:val="21"/>
          <w:highlight w:val="none"/>
        </w:rPr>
        <w:t xml:space="preserve">38.2 </w:t>
      </w:r>
      <w:r>
        <w:rPr>
          <w:rFonts w:hint="eastAsia" w:ascii="宋体" w:hAnsi="宋体" w:cs="宋体"/>
          <w:color w:val="auto"/>
          <w:kern w:val="10"/>
          <w:szCs w:val="21"/>
          <w:highlight w:val="none"/>
        </w:rPr>
        <w:t>有下列情形之一的，不予受理： </w:t>
      </w:r>
    </w:p>
    <w:p w14:paraId="26101FD1">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（1）提出异议的主体不是所异议项目投标人或者其他利害关系人的；</w:t>
      </w:r>
    </w:p>
    <w:p w14:paraId="12943363">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（2）对于依法必须招标的项目，未在公示期间提出异议的；</w:t>
      </w:r>
    </w:p>
    <w:p w14:paraId="6DF119E8">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（3）异议材料不完整的； </w:t>
      </w:r>
    </w:p>
    <w:p w14:paraId="7EA50C9E">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（4）异议事项含有主观猜测等内容且未提供有效线索、难以查证的； </w:t>
      </w:r>
    </w:p>
    <w:p w14:paraId="0294B8F7">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 xml:space="preserve">   （5）对其他投标人的投标文件详细内容异议，无法提供合法来源渠道的； </w:t>
      </w:r>
    </w:p>
    <w:p w14:paraId="72A9D6FD">
      <w:pPr>
        <w:spacing w:line="500" w:lineRule="exact"/>
        <w:ind w:right="-386" w:rightChars="-184" w:firstLine="420" w:firstLineChars="200"/>
        <w:jc w:val="left"/>
        <w:rPr>
          <w:rFonts w:ascii="宋体" w:hAnsi="宋体" w:cs="宋体"/>
          <w:color w:val="auto"/>
          <w:szCs w:val="21"/>
          <w:highlight w:val="none"/>
        </w:rPr>
      </w:pPr>
      <w:r>
        <w:rPr>
          <w:rFonts w:hint="eastAsia" w:ascii="宋体" w:hAnsi="宋体" w:cs="宋体"/>
          <w:color w:val="auto"/>
          <w:kern w:val="10"/>
          <w:szCs w:val="21"/>
          <w:highlight w:val="none"/>
        </w:rPr>
        <w:t xml:space="preserve">   （6）异议事项已进入投诉处理、行政复议或行政诉讼程序的。</w:t>
      </w:r>
    </w:p>
    <w:p w14:paraId="065F4525">
      <w:pPr>
        <w:spacing w:line="500" w:lineRule="exact"/>
        <w:ind w:right="-386" w:rightChars="-184"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39. 投诉</w:t>
      </w:r>
    </w:p>
    <w:p w14:paraId="295E0BDD">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39.1投标人和其他利害关系人认为本次招标活动违反法律、法规和规章规定的，有权向有关行政监督部门投诉。投诉应当有明确的请求和必要的证明材料。</w:t>
      </w:r>
    </w:p>
    <w:p w14:paraId="18F10F06">
      <w:pPr>
        <w:spacing w:line="500" w:lineRule="exact"/>
        <w:ind w:right="-386" w:rightChars="-184" w:firstLine="420" w:firstLineChars="200"/>
        <w:jc w:val="left"/>
        <w:rPr>
          <w:rFonts w:ascii="宋体" w:hAnsi="宋体" w:cs="宋体"/>
          <w:color w:val="auto"/>
          <w:kern w:val="10"/>
          <w:szCs w:val="21"/>
          <w:highlight w:val="none"/>
        </w:rPr>
      </w:pPr>
      <w:r>
        <w:rPr>
          <w:rFonts w:hint="eastAsia" w:ascii="宋体" w:hAnsi="宋体" w:cs="宋体"/>
          <w:color w:val="auto"/>
          <w:kern w:val="10"/>
          <w:szCs w:val="21"/>
          <w:highlight w:val="none"/>
        </w:rPr>
        <w:t>39.2投标人和其他利害关系人对评标结果等事项投诉的，应当在开标期间或中标结果公示期间，先向招标人提出异议。</w:t>
      </w:r>
    </w:p>
    <w:p w14:paraId="5B79A05F">
      <w:pPr>
        <w:spacing w:before="156" w:beforeLines="50" w:after="156" w:afterLines="50" w:line="600" w:lineRule="exact"/>
        <w:jc w:val="center"/>
        <w:outlineLvl w:val="0"/>
        <w:rPr>
          <w:rFonts w:ascii="宋体"/>
          <w:b/>
          <w:color w:val="auto"/>
          <w:sz w:val="32"/>
          <w:szCs w:val="32"/>
          <w:highlight w:val="none"/>
        </w:rPr>
      </w:pPr>
      <w:bookmarkStart w:id="50" w:name="_Toc58430316"/>
      <w:r>
        <w:rPr>
          <w:rFonts w:hint="eastAsia" w:ascii="宋体"/>
          <w:b/>
          <w:color w:val="auto"/>
          <w:sz w:val="32"/>
          <w:szCs w:val="32"/>
          <w:highlight w:val="none"/>
        </w:rPr>
        <w:br w:type="page"/>
      </w:r>
      <w:r>
        <w:rPr>
          <w:rFonts w:hint="eastAsia" w:ascii="宋体"/>
          <w:b/>
          <w:color w:val="auto"/>
          <w:sz w:val="32"/>
          <w:szCs w:val="32"/>
          <w:highlight w:val="none"/>
        </w:rPr>
        <w:t>第三章 评标办法（综合评分法）</w:t>
      </w:r>
      <w:bookmarkEnd w:id="50"/>
    </w:p>
    <w:p w14:paraId="0335793B">
      <w:pPr>
        <w:snapToGrid w:val="0"/>
        <w:spacing w:before="93" w:beforeLines="30" w:after="93" w:afterLines="30" w:line="500" w:lineRule="exact"/>
        <w:jc w:val="center"/>
        <w:outlineLvl w:val="1"/>
        <w:rPr>
          <w:rFonts w:ascii="宋体"/>
          <w:b/>
          <w:color w:val="auto"/>
          <w:sz w:val="32"/>
          <w:szCs w:val="32"/>
          <w:highlight w:val="none"/>
        </w:rPr>
      </w:pPr>
      <w:bookmarkStart w:id="51" w:name="_Toc58430317"/>
      <w:bookmarkStart w:id="52" w:name="_Toc449028877"/>
      <w:bookmarkStart w:id="53" w:name="_Toc362983801"/>
      <w:bookmarkStart w:id="54" w:name="_Toc267320058"/>
      <w:bookmarkStart w:id="55" w:name="_Toc363135205"/>
      <w:r>
        <w:rPr>
          <w:rFonts w:hint="eastAsia" w:ascii="宋体"/>
          <w:b/>
          <w:color w:val="auto"/>
          <w:sz w:val="32"/>
          <w:szCs w:val="32"/>
          <w:highlight w:val="none"/>
        </w:rPr>
        <w:t>一、总则</w:t>
      </w:r>
      <w:bookmarkEnd w:id="51"/>
      <w:bookmarkEnd w:id="52"/>
      <w:bookmarkEnd w:id="53"/>
    </w:p>
    <w:p w14:paraId="5FB2C862">
      <w:pPr>
        <w:spacing w:line="500" w:lineRule="exact"/>
        <w:ind w:firstLine="316" w:firstLineChars="150"/>
        <w:jc w:val="left"/>
        <w:rPr>
          <w:rFonts w:ascii="宋体"/>
          <w:b/>
          <w:color w:val="auto"/>
          <w:szCs w:val="21"/>
          <w:highlight w:val="none"/>
        </w:rPr>
      </w:pPr>
      <w:r>
        <w:rPr>
          <w:rFonts w:hint="eastAsia" w:ascii="宋体"/>
          <w:b/>
          <w:color w:val="auto"/>
          <w:szCs w:val="21"/>
          <w:highlight w:val="none"/>
        </w:rPr>
        <w:t xml:space="preserve"> 1. 本次评标采用综合评分法</w:t>
      </w:r>
    </w:p>
    <w:p w14:paraId="2301F70D">
      <w:pPr>
        <w:spacing w:line="500" w:lineRule="exact"/>
        <w:ind w:firstLine="420" w:firstLineChars="200"/>
        <w:jc w:val="left"/>
        <w:rPr>
          <w:rFonts w:ascii="宋体" w:hAnsi="宋体"/>
          <w:color w:val="auto"/>
          <w:szCs w:val="21"/>
          <w:highlight w:val="none"/>
        </w:rPr>
      </w:pPr>
      <w:r>
        <w:rPr>
          <w:rFonts w:hint="eastAsia" w:ascii="宋体"/>
          <w:color w:val="auto"/>
          <w:szCs w:val="21"/>
          <w:highlight w:val="none"/>
        </w:rPr>
        <w:t>1.1综合评分法是指投标文件满足招标文件全部实质性要求且按照评审因素的量化指标评审总得分从高到低的供应商为中标候选人的评标方法。</w:t>
      </w:r>
    </w:p>
    <w:p w14:paraId="7FCBFB4B">
      <w:pPr>
        <w:spacing w:line="500" w:lineRule="exact"/>
        <w:ind w:firstLine="420" w:firstLineChars="200"/>
        <w:jc w:val="left"/>
        <w:rPr>
          <w:rFonts w:ascii="宋体"/>
          <w:color w:val="auto"/>
          <w:szCs w:val="21"/>
          <w:highlight w:val="none"/>
        </w:rPr>
      </w:pPr>
      <w:r>
        <w:rPr>
          <w:rFonts w:hint="eastAsia" w:ascii="宋体"/>
          <w:color w:val="auto"/>
          <w:szCs w:val="21"/>
          <w:highlight w:val="none"/>
        </w:rPr>
        <w:t xml:space="preserve"> 1.2综合评分法一般适用于较为复杂、评价指标难以量化且价格为非主要因素的非标准定制商品和非通用服务项目的项目评审。</w:t>
      </w:r>
    </w:p>
    <w:p w14:paraId="62842977">
      <w:pPr>
        <w:spacing w:line="500" w:lineRule="exact"/>
        <w:ind w:firstLine="422" w:firstLineChars="200"/>
        <w:rPr>
          <w:rFonts w:ascii="宋体"/>
          <w:b/>
          <w:color w:val="auto"/>
          <w:szCs w:val="21"/>
          <w:highlight w:val="none"/>
        </w:rPr>
      </w:pPr>
      <w:r>
        <w:rPr>
          <w:rFonts w:hint="eastAsia" w:ascii="宋体"/>
          <w:b/>
          <w:color w:val="auto"/>
          <w:szCs w:val="21"/>
          <w:highlight w:val="none"/>
        </w:rPr>
        <w:t>2．评标程序</w:t>
      </w:r>
    </w:p>
    <w:p w14:paraId="217DFD90">
      <w:pPr>
        <w:spacing w:line="500" w:lineRule="exact"/>
        <w:ind w:firstLine="420" w:firstLineChars="200"/>
        <w:rPr>
          <w:rFonts w:ascii="宋体"/>
          <w:color w:val="auto"/>
          <w:szCs w:val="21"/>
          <w:highlight w:val="none"/>
        </w:rPr>
      </w:pPr>
      <w:r>
        <w:rPr>
          <w:rFonts w:hint="eastAsia" w:ascii="宋体"/>
          <w:color w:val="auto"/>
          <w:szCs w:val="21"/>
          <w:highlight w:val="none"/>
        </w:rPr>
        <w:t>2.1投标文件的初审</w:t>
      </w:r>
    </w:p>
    <w:p w14:paraId="7B9479D2">
      <w:pPr>
        <w:spacing w:line="500" w:lineRule="exact"/>
        <w:ind w:firstLine="420" w:firstLineChars="200"/>
        <w:jc w:val="left"/>
        <w:rPr>
          <w:rFonts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4049E6AD">
      <w:pPr>
        <w:spacing w:line="500" w:lineRule="exact"/>
        <w:ind w:firstLine="420" w:firstLineChars="200"/>
        <w:jc w:val="left"/>
        <w:rPr>
          <w:rFonts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1AE61BE7">
      <w:pPr>
        <w:spacing w:line="500" w:lineRule="exact"/>
        <w:ind w:firstLine="420" w:firstLineChars="200"/>
        <w:rPr>
          <w:rFonts w:ascii="宋体"/>
          <w:color w:val="auto"/>
          <w:szCs w:val="21"/>
          <w:highlight w:val="none"/>
        </w:rPr>
      </w:pPr>
      <w:r>
        <w:rPr>
          <w:rFonts w:hint="eastAsia" w:ascii="宋体"/>
          <w:color w:val="auto"/>
          <w:szCs w:val="21"/>
          <w:highlight w:val="none"/>
        </w:rPr>
        <w:t>2.2比较与评价</w:t>
      </w:r>
    </w:p>
    <w:p w14:paraId="52AA310B">
      <w:pPr>
        <w:spacing w:line="500" w:lineRule="exact"/>
        <w:ind w:firstLine="420" w:firstLineChars="200"/>
        <w:jc w:val="left"/>
        <w:rPr>
          <w:rFonts w:ascii="宋体"/>
          <w:color w:val="auto"/>
          <w:szCs w:val="21"/>
          <w:highlight w:val="none"/>
        </w:rPr>
      </w:pPr>
      <w:r>
        <w:rPr>
          <w:rFonts w:hint="eastAsia" w:ascii="宋体"/>
          <w:color w:val="auto"/>
          <w:szCs w:val="21"/>
          <w:highlight w:val="none"/>
        </w:rPr>
        <w:t>2.2.1按招标文件中规定的评标方法和标准，对资格性检查和符合性检查合格的投标文件进行资信、商务和技术评估，综合比较与评价。</w:t>
      </w:r>
    </w:p>
    <w:p w14:paraId="70FC2F1E">
      <w:pPr>
        <w:spacing w:line="500" w:lineRule="exact"/>
        <w:ind w:firstLine="420" w:firstLineChars="200"/>
        <w:jc w:val="left"/>
        <w:rPr>
          <w:rFonts w:ascii="宋体"/>
          <w:color w:val="auto"/>
          <w:szCs w:val="21"/>
          <w:highlight w:val="none"/>
        </w:rPr>
      </w:pPr>
      <w:r>
        <w:rPr>
          <w:rFonts w:hint="eastAsia" w:ascii="宋体"/>
          <w:color w:val="auto"/>
          <w:szCs w:val="21"/>
          <w:highlight w:val="none"/>
        </w:rPr>
        <w:t>2.3推荐中标候选人名单</w:t>
      </w:r>
    </w:p>
    <w:p w14:paraId="6A4DC2F7">
      <w:pPr>
        <w:spacing w:line="500" w:lineRule="exact"/>
        <w:ind w:firstLine="420" w:firstLineChars="200"/>
        <w:jc w:val="left"/>
        <w:rPr>
          <w:rFonts w:ascii="宋体"/>
          <w:color w:val="auto"/>
          <w:szCs w:val="21"/>
          <w:highlight w:val="none"/>
        </w:rPr>
      </w:pPr>
      <w:r>
        <w:rPr>
          <w:rFonts w:hint="eastAsia" w:ascii="宋体"/>
          <w:color w:val="auto"/>
          <w:szCs w:val="21"/>
          <w:highlight w:val="none"/>
        </w:rPr>
        <w:t>2.3.1中标候选人数量应当根据采购需要确定，但必须按顺序排列中标候选人。</w:t>
      </w:r>
    </w:p>
    <w:p w14:paraId="12DD6927">
      <w:pPr>
        <w:spacing w:line="500" w:lineRule="exact"/>
        <w:ind w:firstLine="420" w:firstLineChars="200"/>
        <w:jc w:val="left"/>
        <w:rPr>
          <w:rFonts w:ascii="宋体"/>
          <w:color w:val="auto"/>
          <w:szCs w:val="21"/>
          <w:highlight w:val="none"/>
        </w:rPr>
      </w:pPr>
      <w:r>
        <w:rPr>
          <w:rFonts w:hint="eastAsia" w:ascii="宋体"/>
          <w:color w:val="auto"/>
          <w:szCs w:val="21"/>
          <w:highlight w:val="none"/>
        </w:rPr>
        <w:t>2.4在投标文件的审查、澄清、评价和比较以及授予合同过程中，投标人对招标人和评标委员会成员施加影响的任何行为，都将导致取消其中标资格。</w:t>
      </w:r>
    </w:p>
    <w:p w14:paraId="479F6A89">
      <w:pPr>
        <w:snapToGrid w:val="0"/>
        <w:spacing w:before="93" w:beforeLines="30" w:after="93" w:afterLines="30" w:line="500" w:lineRule="exact"/>
        <w:jc w:val="center"/>
        <w:outlineLvl w:val="1"/>
        <w:rPr>
          <w:rFonts w:hint="eastAsia" w:ascii="宋体"/>
          <w:b/>
          <w:color w:val="auto"/>
          <w:sz w:val="32"/>
          <w:szCs w:val="32"/>
          <w:highlight w:val="none"/>
        </w:rPr>
      </w:pPr>
      <w:bookmarkStart w:id="56" w:name="_Toc362983802"/>
      <w:bookmarkStart w:id="57" w:name="_Toc449028878"/>
      <w:bookmarkStart w:id="58" w:name="_Toc58430318"/>
      <w:r>
        <w:rPr>
          <w:rFonts w:hint="eastAsia" w:ascii="宋体"/>
          <w:b/>
          <w:color w:val="auto"/>
          <w:sz w:val="32"/>
          <w:szCs w:val="32"/>
          <w:highlight w:val="none"/>
        </w:rPr>
        <w:t>二、投标文件初审</w:t>
      </w:r>
      <w:bookmarkEnd w:id="56"/>
      <w:bookmarkEnd w:id="57"/>
      <w:bookmarkEnd w:id="58"/>
    </w:p>
    <w:p w14:paraId="6A4E27B5">
      <w:pPr>
        <w:spacing w:line="50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3.资格性审查:</w:t>
      </w:r>
    </w:p>
    <w:p w14:paraId="2EE6D5A8">
      <w:pPr>
        <w:spacing w:line="500" w:lineRule="exact"/>
        <w:ind w:firstLine="308" w:firstLineChars="147"/>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3368"/>
        <w:gridCol w:w="4492"/>
      </w:tblGrid>
      <w:tr w14:paraId="455B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95" w:type="dxa"/>
            <w:vAlign w:val="center"/>
          </w:tcPr>
          <w:p w14:paraId="096EA93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643" w:type="dxa"/>
            <w:gridSpan w:val="2"/>
            <w:vAlign w:val="center"/>
          </w:tcPr>
          <w:p w14:paraId="3EB4CD67">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4492" w:type="dxa"/>
            <w:vAlign w:val="center"/>
          </w:tcPr>
          <w:p w14:paraId="6F662EDB">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5FAD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95" w:type="dxa"/>
            <w:vAlign w:val="center"/>
          </w:tcPr>
          <w:p w14:paraId="3D40DDB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75" w:type="dxa"/>
            <w:vAlign w:val="center"/>
          </w:tcPr>
          <w:p w14:paraId="253DBF5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3368" w:type="dxa"/>
            <w:vAlign w:val="center"/>
          </w:tcPr>
          <w:p w14:paraId="5E84B70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492" w:type="dxa"/>
            <w:vAlign w:val="center"/>
          </w:tcPr>
          <w:p w14:paraId="1DAEB77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检验投标文件。</w:t>
            </w:r>
          </w:p>
        </w:tc>
      </w:tr>
      <w:tr w14:paraId="65ED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95" w:type="dxa"/>
            <w:vMerge w:val="restart"/>
            <w:vAlign w:val="center"/>
          </w:tcPr>
          <w:p w14:paraId="3F35471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275" w:type="dxa"/>
            <w:vMerge w:val="restart"/>
            <w:vAlign w:val="center"/>
          </w:tcPr>
          <w:p w14:paraId="03E1FE45">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368" w:type="dxa"/>
            <w:vAlign w:val="center"/>
          </w:tcPr>
          <w:p w14:paraId="1272B41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（2）具有独立承担民事责任能力</w:t>
            </w:r>
          </w:p>
        </w:tc>
        <w:tc>
          <w:tcPr>
            <w:tcW w:w="4492" w:type="dxa"/>
            <w:vAlign w:val="center"/>
          </w:tcPr>
          <w:p w14:paraId="7254AE8D">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评审核验投标文件中的下列证书、证明材料：</w:t>
            </w:r>
          </w:p>
          <w:p w14:paraId="20E824CD">
            <w:pPr>
              <w:spacing w:line="500" w:lineRule="exact"/>
              <w:rPr>
                <w:rFonts w:ascii="宋体" w:hAnsi="宋体" w:cs="宋体"/>
                <w:color w:val="auto"/>
                <w:szCs w:val="21"/>
                <w:highlight w:val="none"/>
              </w:rPr>
            </w:pPr>
            <w:r>
              <w:rPr>
                <w:rFonts w:hint="eastAsia" w:ascii="宋体"/>
                <w:color w:val="auto"/>
                <w:szCs w:val="21"/>
                <w:highlight w:val="none"/>
              </w:rPr>
              <w:t>有效的营业执照原件或复印件加盖单位公章</w:t>
            </w:r>
          </w:p>
        </w:tc>
      </w:tr>
      <w:tr w14:paraId="576C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95" w:type="dxa"/>
            <w:vMerge w:val="continue"/>
            <w:vAlign w:val="center"/>
          </w:tcPr>
          <w:p w14:paraId="338191CB">
            <w:pPr>
              <w:spacing w:line="500" w:lineRule="exact"/>
              <w:jc w:val="center"/>
              <w:rPr>
                <w:rFonts w:ascii="宋体" w:hAnsi="宋体" w:cs="宋体"/>
                <w:color w:val="auto"/>
                <w:szCs w:val="21"/>
                <w:highlight w:val="none"/>
              </w:rPr>
            </w:pPr>
          </w:p>
        </w:tc>
        <w:tc>
          <w:tcPr>
            <w:tcW w:w="1275" w:type="dxa"/>
            <w:vMerge w:val="continue"/>
            <w:vAlign w:val="center"/>
          </w:tcPr>
          <w:p w14:paraId="2C0A044B">
            <w:pPr>
              <w:spacing w:line="500" w:lineRule="exact"/>
              <w:rPr>
                <w:rFonts w:ascii="宋体" w:hAnsi="宋体" w:cs="宋体"/>
                <w:color w:val="auto"/>
                <w:szCs w:val="21"/>
                <w:highlight w:val="none"/>
              </w:rPr>
            </w:pPr>
          </w:p>
        </w:tc>
        <w:tc>
          <w:tcPr>
            <w:tcW w:w="3368" w:type="dxa"/>
            <w:vAlign w:val="center"/>
          </w:tcPr>
          <w:p w14:paraId="2D168E6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（3）投标人具有有效的食品经营许可证；</w:t>
            </w:r>
          </w:p>
        </w:tc>
        <w:tc>
          <w:tcPr>
            <w:tcW w:w="4492" w:type="dxa"/>
            <w:vAlign w:val="center"/>
          </w:tcPr>
          <w:p w14:paraId="31F95549">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评审核验投标文件中的下列证书、证明材料：</w:t>
            </w:r>
          </w:p>
          <w:p w14:paraId="22696BC1">
            <w:pPr>
              <w:spacing w:line="500" w:lineRule="exact"/>
              <w:rPr>
                <w:rFonts w:ascii="宋体"/>
                <w:color w:val="auto"/>
                <w:szCs w:val="21"/>
                <w:highlight w:val="none"/>
              </w:rPr>
            </w:pPr>
            <w:r>
              <w:rPr>
                <w:rFonts w:hint="eastAsia" w:ascii="宋体"/>
                <w:color w:val="auto"/>
                <w:szCs w:val="21"/>
                <w:highlight w:val="none"/>
              </w:rPr>
              <w:t>有效的食品经营许可证原件或复印件加盖单位公章</w:t>
            </w:r>
          </w:p>
        </w:tc>
      </w:tr>
      <w:tr w14:paraId="6034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95" w:type="dxa"/>
            <w:vMerge w:val="continue"/>
            <w:vAlign w:val="center"/>
          </w:tcPr>
          <w:p w14:paraId="381F17F4">
            <w:pPr>
              <w:spacing w:line="500" w:lineRule="exact"/>
              <w:jc w:val="center"/>
              <w:rPr>
                <w:rFonts w:ascii="宋体" w:hAnsi="宋体" w:cs="宋体"/>
                <w:color w:val="auto"/>
                <w:szCs w:val="21"/>
                <w:highlight w:val="none"/>
              </w:rPr>
            </w:pPr>
          </w:p>
        </w:tc>
        <w:tc>
          <w:tcPr>
            <w:tcW w:w="1275" w:type="dxa"/>
            <w:vMerge w:val="continue"/>
            <w:vAlign w:val="center"/>
          </w:tcPr>
          <w:p w14:paraId="5458C3A5">
            <w:pPr>
              <w:spacing w:line="500" w:lineRule="exact"/>
              <w:rPr>
                <w:rFonts w:ascii="宋体" w:hAnsi="宋体" w:cs="宋体"/>
                <w:color w:val="auto"/>
                <w:szCs w:val="21"/>
                <w:highlight w:val="none"/>
              </w:rPr>
            </w:pPr>
          </w:p>
        </w:tc>
        <w:tc>
          <w:tcPr>
            <w:tcW w:w="3368" w:type="dxa"/>
            <w:vAlign w:val="center"/>
          </w:tcPr>
          <w:p w14:paraId="47C2E5C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（4）诚信投标承诺书</w:t>
            </w:r>
          </w:p>
        </w:tc>
        <w:tc>
          <w:tcPr>
            <w:tcW w:w="4492" w:type="dxa"/>
          </w:tcPr>
          <w:p w14:paraId="1EAD099B">
            <w:pPr>
              <w:spacing w:line="500" w:lineRule="exact"/>
              <w:rPr>
                <w:rFonts w:ascii="宋体" w:hAnsi="宋体" w:cs="宋体"/>
                <w:b/>
                <w:color w:val="auto"/>
                <w:szCs w:val="21"/>
                <w:highlight w:val="none"/>
              </w:rPr>
            </w:pPr>
            <w:r>
              <w:rPr>
                <w:rFonts w:hint="eastAsia" w:ascii="宋体" w:hAnsi="宋体" w:cs="宋体"/>
                <w:color w:val="auto"/>
                <w:szCs w:val="21"/>
                <w:highlight w:val="none"/>
              </w:rPr>
              <w:t>格式见附件，检验投标文件</w:t>
            </w:r>
          </w:p>
        </w:tc>
      </w:tr>
    </w:tbl>
    <w:p w14:paraId="58DF54FE">
      <w:pPr>
        <w:spacing w:line="500" w:lineRule="exact"/>
        <w:ind w:firstLine="508" w:firstLineChars="241"/>
        <w:rPr>
          <w:rFonts w:ascii="宋体" w:hAnsi="宋体" w:cs="宋体"/>
          <w:b/>
          <w:color w:val="auto"/>
          <w:szCs w:val="21"/>
          <w:highlight w:val="none"/>
        </w:rPr>
      </w:pPr>
      <w:r>
        <w:rPr>
          <w:rFonts w:hint="eastAsia" w:ascii="宋体" w:hAnsi="宋体" w:cs="宋体"/>
          <w:b/>
          <w:color w:val="auto"/>
          <w:szCs w:val="21"/>
          <w:highlight w:val="none"/>
        </w:rPr>
        <w:t>3.2如评标专家在检验投标文件过程中，如果由于投标人自身原因导致评标专家无法查看并检验投标文件中相关资料的，否决其投标。即使投标人将原件携带至现场的，同样按否决投标处理。</w:t>
      </w:r>
    </w:p>
    <w:p w14:paraId="1B7ABBB2">
      <w:pPr>
        <w:spacing w:line="500" w:lineRule="exact"/>
        <w:ind w:firstLine="310" w:firstLineChars="147"/>
        <w:rPr>
          <w:rFonts w:ascii="宋体" w:hAnsi="宋体" w:cs="宋体"/>
          <w:b/>
          <w:color w:val="auto"/>
          <w:szCs w:val="21"/>
          <w:highlight w:val="none"/>
        </w:rPr>
      </w:pPr>
      <w:r>
        <w:rPr>
          <w:rFonts w:hint="eastAsia" w:ascii="宋体" w:hAnsi="宋体" w:cs="宋体"/>
          <w:b/>
          <w:color w:val="auto"/>
          <w:szCs w:val="21"/>
          <w:highlight w:val="none"/>
        </w:rPr>
        <w:t>4.符合性审查</w:t>
      </w:r>
    </w:p>
    <w:p w14:paraId="7594D95B">
      <w:pPr>
        <w:spacing w:line="5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3071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vAlign w:val="center"/>
          </w:tcPr>
          <w:p w14:paraId="3BE001F5">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vAlign w:val="center"/>
          </w:tcPr>
          <w:p w14:paraId="5C300B2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vAlign w:val="center"/>
          </w:tcPr>
          <w:p w14:paraId="30E25045">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1B71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31" w:type="dxa"/>
            <w:vMerge w:val="restart"/>
            <w:vAlign w:val="center"/>
          </w:tcPr>
          <w:p w14:paraId="1E16ED3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vAlign w:val="center"/>
          </w:tcPr>
          <w:p w14:paraId="53120493">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37735129">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vAlign w:val="center"/>
          </w:tcPr>
          <w:p w14:paraId="368E038B">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38CF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continue"/>
            <w:vAlign w:val="center"/>
          </w:tcPr>
          <w:p w14:paraId="160C09E3">
            <w:pPr>
              <w:spacing w:line="500" w:lineRule="exact"/>
              <w:rPr>
                <w:rFonts w:ascii="宋体" w:hAnsi="宋体" w:cs="宋体"/>
                <w:color w:val="auto"/>
                <w:szCs w:val="21"/>
                <w:highlight w:val="none"/>
              </w:rPr>
            </w:pPr>
          </w:p>
        </w:tc>
        <w:tc>
          <w:tcPr>
            <w:tcW w:w="1204" w:type="dxa"/>
            <w:vMerge w:val="continue"/>
            <w:vAlign w:val="center"/>
          </w:tcPr>
          <w:p w14:paraId="213D1AD6">
            <w:pPr>
              <w:spacing w:line="500" w:lineRule="exact"/>
              <w:rPr>
                <w:rFonts w:ascii="宋体" w:hAnsi="宋体" w:cs="宋体"/>
                <w:color w:val="auto"/>
                <w:szCs w:val="21"/>
                <w:highlight w:val="none"/>
              </w:rPr>
            </w:pPr>
          </w:p>
        </w:tc>
        <w:tc>
          <w:tcPr>
            <w:tcW w:w="2931" w:type="dxa"/>
            <w:vAlign w:val="center"/>
          </w:tcPr>
          <w:p w14:paraId="55B790DB">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vAlign w:val="center"/>
          </w:tcPr>
          <w:p w14:paraId="12CEBB64">
            <w:pPr>
              <w:spacing w:line="500" w:lineRule="exac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F08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vAlign w:val="center"/>
          </w:tcPr>
          <w:p w14:paraId="5CB4DB2D">
            <w:pPr>
              <w:spacing w:line="500" w:lineRule="exact"/>
              <w:rPr>
                <w:rFonts w:ascii="宋体" w:hAnsi="宋体" w:cs="宋体"/>
                <w:color w:val="auto"/>
                <w:szCs w:val="21"/>
                <w:highlight w:val="none"/>
              </w:rPr>
            </w:pPr>
          </w:p>
        </w:tc>
        <w:tc>
          <w:tcPr>
            <w:tcW w:w="1204" w:type="dxa"/>
            <w:vMerge w:val="continue"/>
            <w:vAlign w:val="center"/>
          </w:tcPr>
          <w:p w14:paraId="781DCA88">
            <w:pPr>
              <w:spacing w:line="500" w:lineRule="exact"/>
              <w:rPr>
                <w:rFonts w:ascii="宋体" w:hAnsi="宋体" w:cs="宋体"/>
                <w:color w:val="auto"/>
                <w:szCs w:val="21"/>
                <w:highlight w:val="none"/>
              </w:rPr>
            </w:pPr>
          </w:p>
        </w:tc>
        <w:tc>
          <w:tcPr>
            <w:tcW w:w="2931" w:type="dxa"/>
            <w:vAlign w:val="center"/>
          </w:tcPr>
          <w:p w14:paraId="692D607D">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 (3) 投标文件的有效期</w:t>
            </w:r>
          </w:p>
        </w:tc>
        <w:tc>
          <w:tcPr>
            <w:tcW w:w="4173" w:type="dxa"/>
            <w:vAlign w:val="center"/>
          </w:tcPr>
          <w:p w14:paraId="35E32BD2">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2909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vAlign w:val="center"/>
          </w:tcPr>
          <w:p w14:paraId="7478396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vAlign w:val="center"/>
          </w:tcPr>
          <w:p w14:paraId="3CE0A777">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300ABC72">
            <w:pPr>
              <w:spacing w:line="500" w:lineRule="exact"/>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4</w:t>
            </w:r>
            <w:r>
              <w:rPr>
                <w:rFonts w:hint="eastAsia" w:ascii="宋体" w:hAnsi="宋体" w:cs="宋体"/>
                <w:color w:val="auto"/>
                <w:szCs w:val="21"/>
                <w:highlight w:val="none"/>
                <w:lang w:val="zh-CN"/>
              </w:rPr>
              <w:t>）投标文件份数</w:t>
            </w:r>
          </w:p>
        </w:tc>
        <w:tc>
          <w:tcPr>
            <w:tcW w:w="4173" w:type="dxa"/>
            <w:vAlign w:val="center"/>
          </w:tcPr>
          <w:p w14:paraId="6644A75E">
            <w:pPr>
              <w:spacing w:line="500" w:lineRule="exact"/>
              <w:rPr>
                <w:rFonts w:ascii="宋体" w:hAnsi="宋体" w:cs="宋体"/>
                <w:color w:val="auto"/>
                <w:szCs w:val="21"/>
                <w:highlight w:val="none"/>
              </w:rPr>
            </w:pPr>
            <w:r>
              <w:rPr>
                <w:rFonts w:hint="eastAsia" w:ascii="宋体" w:hAnsi="宋体" w:cs="宋体"/>
                <w:color w:val="auto"/>
                <w:szCs w:val="21"/>
                <w:highlight w:val="none"/>
                <w:lang w:val="zh-CN"/>
              </w:rPr>
              <w:t>完全响应</w:t>
            </w:r>
          </w:p>
        </w:tc>
      </w:tr>
      <w:tr w14:paraId="391A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vAlign w:val="center"/>
          </w:tcPr>
          <w:p w14:paraId="1B040413">
            <w:pPr>
              <w:spacing w:line="500" w:lineRule="exact"/>
              <w:rPr>
                <w:rFonts w:ascii="宋体" w:hAnsi="宋体" w:cs="宋体"/>
                <w:color w:val="auto"/>
                <w:szCs w:val="21"/>
                <w:highlight w:val="none"/>
              </w:rPr>
            </w:pPr>
          </w:p>
        </w:tc>
        <w:tc>
          <w:tcPr>
            <w:tcW w:w="1204" w:type="dxa"/>
            <w:vMerge w:val="continue"/>
            <w:vAlign w:val="center"/>
          </w:tcPr>
          <w:p w14:paraId="5496149F">
            <w:pPr>
              <w:spacing w:line="500" w:lineRule="exact"/>
              <w:rPr>
                <w:rFonts w:ascii="宋体" w:hAnsi="宋体" w:cs="宋体"/>
                <w:color w:val="auto"/>
                <w:szCs w:val="21"/>
                <w:highlight w:val="none"/>
              </w:rPr>
            </w:pPr>
          </w:p>
        </w:tc>
        <w:tc>
          <w:tcPr>
            <w:tcW w:w="2931" w:type="dxa"/>
            <w:vAlign w:val="center"/>
          </w:tcPr>
          <w:p w14:paraId="3485AD19">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5</w:t>
            </w:r>
            <w:r>
              <w:rPr>
                <w:rFonts w:hint="eastAsia" w:ascii="宋体" w:hAnsi="宋体" w:cs="宋体"/>
                <w:color w:val="auto"/>
                <w:szCs w:val="21"/>
                <w:highlight w:val="none"/>
                <w:lang w:val="zh-CN"/>
              </w:rPr>
              <w:t>）投标文件形式内容</w:t>
            </w:r>
          </w:p>
        </w:tc>
        <w:tc>
          <w:tcPr>
            <w:tcW w:w="4173" w:type="dxa"/>
            <w:vAlign w:val="center"/>
          </w:tcPr>
          <w:p w14:paraId="42D6053B">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119A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1" w:type="dxa"/>
            <w:vMerge w:val="restart"/>
            <w:vAlign w:val="center"/>
          </w:tcPr>
          <w:p w14:paraId="3548798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vAlign w:val="center"/>
          </w:tcPr>
          <w:p w14:paraId="7A26532A">
            <w:pPr>
              <w:spacing w:line="5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08073B17">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6</w:t>
            </w:r>
            <w:r>
              <w:rPr>
                <w:rFonts w:hint="eastAsia" w:ascii="宋体" w:hAnsi="宋体" w:cs="宋体"/>
                <w:color w:val="auto"/>
                <w:szCs w:val="21"/>
                <w:highlight w:val="none"/>
                <w:lang w:val="zh-CN"/>
              </w:rPr>
              <w:t>）采购需求响应程度</w:t>
            </w:r>
          </w:p>
        </w:tc>
        <w:tc>
          <w:tcPr>
            <w:tcW w:w="4173" w:type="dxa"/>
            <w:vAlign w:val="center"/>
          </w:tcPr>
          <w:p w14:paraId="41288536">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rPr>
              <w:t>或优于</w:t>
            </w:r>
            <w:r>
              <w:rPr>
                <w:rFonts w:hint="eastAsia" w:ascii="宋体" w:hAnsi="宋体" w:cs="宋体"/>
                <w:color w:val="auto"/>
                <w:szCs w:val="21"/>
                <w:highlight w:val="none"/>
                <w:lang w:val="zh-CN"/>
              </w:rPr>
              <w:t>招标文件要求</w:t>
            </w:r>
          </w:p>
        </w:tc>
      </w:tr>
      <w:tr w14:paraId="65CB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31" w:type="dxa"/>
            <w:vMerge w:val="continue"/>
            <w:vAlign w:val="center"/>
          </w:tcPr>
          <w:p w14:paraId="3C3AC8E5">
            <w:pPr>
              <w:spacing w:line="500" w:lineRule="exact"/>
              <w:rPr>
                <w:rFonts w:ascii="宋体" w:hAnsi="宋体" w:cs="宋体"/>
                <w:color w:val="auto"/>
                <w:szCs w:val="21"/>
                <w:highlight w:val="none"/>
              </w:rPr>
            </w:pPr>
          </w:p>
        </w:tc>
        <w:tc>
          <w:tcPr>
            <w:tcW w:w="1204" w:type="dxa"/>
            <w:vMerge w:val="continue"/>
            <w:vAlign w:val="center"/>
          </w:tcPr>
          <w:p w14:paraId="402A3FFE">
            <w:pPr>
              <w:spacing w:line="500" w:lineRule="exact"/>
              <w:rPr>
                <w:rFonts w:ascii="宋体" w:hAnsi="宋体" w:cs="宋体"/>
                <w:color w:val="auto"/>
                <w:szCs w:val="21"/>
                <w:highlight w:val="none"/>
              </w:rPr>
            </w:pPr>
          </w:p>
        </w:tc>
        <w:tc>
          <w:tcPr>
            <w:tcW w:w="2931" w:type="dxa"/>
            <w:vAlign w:val="center"/>
          </w:tcPr>
          <w:p w14:paraId="0545214E">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7</w:t>
            </w:r>
            <w:r>
              <w:rPr>
                <w:rFonts w:hint="eastAsia" w:ascii="宋体" w:hAnsi="宋体" w:cs="宋体"/>
                <w:color w:val="auto"/>
                <w:szCs w:val="21"/>
                <w:highlight w:val="none"/>
                <w:lang w:val="zh-CN"/>
              </w:rPr>
              <w:t>）商务条款响应程度（包括供</w:t>
            </w:r>
            <w:r>
              <w:rPr>
                <w:rFonts w:hint="eastAsia" w:ascii="宋体" w:hAnsi="宋体" w:cs="宋体"/>
                <w:color w:val="auto"/>
                <w:szCs w:val="21"/>
                <w:highlight w:val="none"/>
              </w:rPr>
              <w:t>服务</w:t>
            </w:r>
            <w:r>
              <w:rPr>
                <w:rFonts w:hint="eastAsia" w:ascii="宋体" w:hAnsi="宋体" w:cs="宋体"/>
                <w:color w:val="auto"/>
                <w:szCs w:val="21"/>
                <w:highlight w:val="none"/>
                <w:lang w:val="zh-CN"/>
              </w:rPr>
              <w:t>、售后服务、技术培训等）</w:t>
            </w:r>
          </w:p>
        </w:tc>
        <w:tc>
          <w:tcPr>
            <w:tcW w:w="4173" w:type="dxa"/>
            <w:vAlign w:val="center"/>
          </w:tcPr>
          <w:p w14:paraId="6714FAA5">
            <w:pPr>
              <w:spacing w:line="500" w:lineRule="exact"/>
              <w:rPr>
                <w:rFonts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rPr>
              <w:t>或优于</w:t>
            </w:r>
            <w:r>
              <w:rPr>
                <w:rFonts w:hint="eastAsia" w:ascii="宋体" w:hAnsi="宋体" w:cs="宋体"/>
                <w:color w:val="auto"/>
                <w:szCs w:val="21"/>
                <w:highlight w:val="none"/>
                <w:lang w:val="zh-CN"/>
              </w:rPr>
              <w:t>招标文件要求</w:t>
            </w:r>
          </w:p>
        </w:tc>
      </w:tr>
    </w:tbl>
    <w:p w14:paraId="3C554C4F">
      <w:pPr>
        <w:spacing w:line="500" w:lineRule="exact"/>
        <w:ind w:firstLine="506" w:firstLineChars="241"/>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4.2资格审查及评分细则中涉及的有关证明材料及相关证书，投标文件中须按招标文件要求提供。</w:t>
      </w:r>
    </w:p>
    <w:p w14:paraId="1AA202D1">
      <w:pPr>
        <w:spacing w:line="500" w:lineRule="exact"/>
        <w:ind w:firstLine="506" w:firstLineChars="241"/>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53252030">
      <w:pPr>
        <w:spacing w:line="500" w:lineRule="exact"/>
        <w:ind w:firstLine="506" w:firstLineChars="241"/>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25226BF5">
      <w:pPr>
        <w:spacing w:line="5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2FF86DBF">
      <w:pPr>
        <w:snapToGrid w:val="0"/>
        <w:spacing w:before="93" w:beforeLines="30" w:after="93" w:afterLines="30" w:line="500" w:lineRule="exact"/>
        <w:jc w:val="center"/>
        <w:outlineLvl w:val="1"/>
        <w:rPr>
          <w:rFonts w:ascii="宋体"/>
          <w:b/>
          <w:color w:val="auto"/>
          <w:sz w:val="32"/>
          <w:szCs w:val="32"/>
          <w:highlight w:val="none"/>
        </w:rPr>
      </w:pPr>
      <w:bookmarkStart w:id="59" w:name="_Toc58430319"/>
      <w:bookmarkStart w:id="60" w:name="_Toc449028879"/>
      <w:bookmarkStart w:id="61" w:name="_Toc362983803"/>
      <w:r>
        <w:rPr>
          <w:rFonts w:hint="eastAsia" w:ascii="宋体"/>
          <w:b/>
          <w:color w:val="auto"/>
          <w:sz w:val="32"/>
          <w:szCs w:val="32"/>
          <w:highlight w:val="none"/>
        </w:rPr>
        <w:t>三、投标文件的澄清和补正</w:t>
      </w:r>
      <w:bookmarkEnd w:id="59"/>
      <w:bookmarkEnd w:id="60"/>
      <w:bookmarkEnd w:id="61"/>
    </w:p>
    <w:p w14:paraId="15A19F27">
      <w:pPr>
        <w:spacing w:line="500" w:lineRule="exact"/>
        <w:ind w:firstLine="525" w:firstLineChars="250"/>
        <w:jc w:val="left"/>
        <w:rPr>
          <w:rFonts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2341CEED">
      <w:pPr>
        <w:spacing w:line="500" w:lineRule="exact"/>
        <w:ind w:firstLine="525" w:firstLineChars="250"/>
        <w:jc w:val="left"/>
        <w:rPr>
          <w:rFonts w:ascii="宋体"/>
          <w:color w:val="auto"/>
          <w:szCs w:val="21"/>
          <w:highlight w:val="none"/>
        </w:rPr>
      </w:pPr>
      <w:r>
        <w:rPr>
          <w:rFonts w:hint="eastAsia" w:ascii="宋体"/>
          <w:color w:val="auto"/>
          <w:szCs w:val="21"/>
          <w:highlight w:val="none"/>
        </w:rPr>
        <w:t>5.2投标人的澄清、说明或者补正应当在现场进行，但不得超出投标文件的范围或者改变投标文件的实质性内容。</w:t>
      </w:r>
    </w:p>
    <w:p w14:paraId="116B11E8">
      <w:pPr>
        <w:snapToGrid w:val="0"/>
        <w:spacing w:before="93" w:beforeLines="30" w:after="93" w:afterLines="30" w:line="500" w:lineRule="exact"/>
        <w:jc w:val="center"/>
        <w:outlineLvl w:val="1"/>
        <w:rPr>
          <w:rFonts w:ascii="宋体"/>
          <w:b/>
          <w:color w:val="auto"/>
          <w:sz w:val="32"/>
          <w:szCs w:val="32"/>
          <w:highlight w:val="none"/>
        </w:rPr>
      </w:pPr>
      <w:bookmarkStart w:id="62" w:name="_Toc449028880"/>
      <w:bookmarkStart w:id="63" w:name="_Toc58430320"/>
      <w:r>
        <w:rPr>
          <w:rFonts w:hint="eastAsia" w:ascii="宋体"/>
          <w:b/>
          <w:color w:val="auto"/>
          <w:sz w:val="32"/>
          <w:szCs w:val="32"/>
          <w:highlight w:val="none"/>
        </w:rPr>
        <w:t>四、比较与评价</w:t>
      </w:r>
      <w:bookmarkEnd w:id="62"/>
      <w:bookmarkEnd w:id="63"/>
    </w:p>
    <w:p w14:paraId="3C81709C">
      <w:pPr>
        <w:spacing w:line="5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64" w:name="_Toc362983805"/>
      <w:r>
        <w:rPr>
          <w:rFonts w:hint="eastAsia" w:ascii="宋体" w:hAnsi="宋体" w:cs="宋体"/>
          <w:b/>
          <w:color w:val="auto"/>
          <w:szCs w:val="21"/>
          <w:highlight w:val="none"/>
        </w:rPr>
        <w:t xml:space="preserve"> 详细评审即按招标文件中规定的评标方法和标准，评标委员会将对通过初审的投标文件，进行资信、技术和商务部分评估、综合比较与评价。</w:t>
      </w:r>
    </w:p>
    <w:p w14:paraId="2EB567E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6.1资信评分细则（</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分）</w:t>
      </w:r>
    </w:p>
    <w:tbl>
      <w:tblPr>
        <w:tblStyle w:val="37"/>
        <w:tblW w:w="10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62"/>
        <w:gridCol w:w="675"/>
        <w:gridCol w:w="8100"/>
      </w:tblGrid>
      <w:tr w14:paraId="70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0205F39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762" w:type="dxa"/>
            <w:vAlign w:val="center"/>
          </w:tcPr>
          <w:p w14:paraId="7B4792FA">
            <w:pPr>
              <w:spacing w:line="500" w:lineRule="exact"/>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675" w:type="dxa"/>
            <w:vAlign w:val="center"/>
          </w:tcPr>
          <w:p w14:paraId="737A32E0">
            <w:pPr>
              <w:spacing w:line="500" w:lineRule="exact"/>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8100" w:type="dxa"/>
            <w:vAlign w:val="center"/>
          </w:tcPr>
          <w:p w14:paraId="6FA0D58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57DA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45" w:type="dxa"/>
            <w:vAlign w:val="center"/>
          </w:tcPr>
          <w:p w14:paraId="5E4B605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62" w:type="dxa"/>
            <w:vAlign w:val="center"/>
          </w:tcPr>
          <w:p w14:paraId="484D9D1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企业实力</w:t>
            </w:r>
          </w:p>
        </w:tc>
        <w:tc>
          <w:tcPr>
            <w:tcW w:w="675" w:type="dxa"/>
            <w:vAlign w:val="center"/>
          </w:tcPr>
          <w:p w14:paraId="6D686A6E">
            <w:pPr>
              <w:spacing w:line="5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c>
          <w:tcPr>
            <w:tcW w:w="8100" w:type="dxa"/>
            <w:vAlign w:val="center"/>
          </w:tcPr>
          <w:p w14:paraId="494BE3D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1.投标人（具有独立法人资格且法定代表人与投标人法定代表人为同一人或</w:t>
            </w:r>
            <w:r>
              <w:rPr>
                <w:rFonts w:hint="eastAsia" w:ascii="宋体" w:hAnsi="宋体" w:cs="宋体"/>
                <w:color w:val="auto"/>
                <w:szCs w:val="21"/>
                <w:highlight w:val="none"/>
                <w:lang w:val="en-US" w:eastAsia="zh-CN"/>
              </w:rPr>
              <w:t>投标人分公司</w:t>
            </w:r>
            <w:r>
              <w:rPr>
                <w:rFonts w:hint="eastAsia" w:ascii="宋体" w:hAnsi="宋体" w:cs="宋体"/>
                <w:color w:val="auto"/>
                <w:szCs w:val="21"/>
                <w:highlight w:val="none"/>
              </w:rPr>
              <w:t>）</w:t>
            </w:r>
            <w:r>
              <w:rPr>
                <w:rFonts w:hint="eastAsia" w:ascii="宋体" w:hAnsi="宋体" w:cs="宋体"/>
                <w:color w:val="auto"/>
                <w:szCs w:val="21"/>
                <w:highlight w:val="none"/>
                <w:lang w:val="zh-CN"/>
              </w:rPr>
              <w:t>有</w:t>
            </w:r>
            <w:r>
              <w:rPr>
                <w:rFonts w:hint="eastAsia" w:ascii="宋体" w:hAnsi="宋体" w:cs="宋体"/>
                <w:color w:val="auto"/>
                <w:szCs w:val="21"/>
                <w:highlight w:val="none"/>
              </w:rPr>
              <w:t>在滁州</w:t>
            </w:r>
            <w:r>
              <w:rPr>
                <w:rFonts w:hint="eastAsia" w:ascii="宋体" w:hAnsi="宋体" w:cs="宋体"/>
                <w:color w:val="auto"/>
                <w:szCs w:val="21"/>
                <w:highlight w:val="none"/>
                <w:lang w:val="zh-CN"/>
              </w:rPr>
              <w:t>正在经营的</w:t>
            </w:r>
            <w:r>
              <w:rPr>
                <w:rFonts w:hint="eastAsia" w:ascii="宋体" w:hAnsi="宋体" w:cs="宋体"/>
                <w:color w:val="auto"/>
                <w:szCs w:val="21"/>
                <w:highlight w:val="none"/>
                <w:lang w:val="en-US" w:eastAsia="zh-CN"/>
              </w:rPr>
              <w:t>食堂（</w:t>
            </w:r>
            <w:r>
              <w:rPr>
                <w:rFonts w:hint="eastAsia" w:ascii="宋体" w:hAnsi="宋体" w:cs="宋体"/>
                <w:color w:val="auto"/>
                <w:szCs w:val="21"/>
                <w:highlight w:val="none"/>
                <w:lang w:val="zh-CN"/>
              </w:rPr>
              <w:t>团膳规模达</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val="zh-CN"/>
              </w:rPr>
              <w:t>0人/每餐</w:t>
            </w:r>
            <w:r>
              <w:rPr>
                <w:rFonts w:hint="eastAsia" w:ascii="宋体" w:hAnsi="宋体" w:cs="宋体"/>
                <w:color w:val="auto"/>
                <w:szCs w:val="21"/>
                <w:highlight w:val="none"/>
                <w:lang w:val="en-US" w:eastAsia="zh-CN"/>
              </w:rPr>
              <w:t>）或超市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zh-CN"/>
              </w:rPr>
              <w:t>经营面积达到</w:t>
            </w:r>
            <w:r>
              <w:rPr>
                <w:rFonts w:hint="eastAsia" w:ascii="宋体" w:hAnsi="宋体" w:cs="宋体"/>
                <w:color w:val="auto"/>
                <w:szCs w:val="21"/>
                <w:highlight w:val="none"/>
                <w:lang w:val="en-US" w:eastAsia="zh-CN"/>
              </w:rPr>
              <w:t>350</w:t>
            </w:r>
            <w:r>
              <w:rPr>
                <w:rFonts w:hint="eastAsia" w:ascii="宋体" w:hAnsi="宋体" w:cs="宋体"/>
                <w:color w:val="auto"/>
                <w:szCs w:val="21"/>
                <w:highlight w:val="none"/>
                <w:lang w:val="zh-CN"/>
              </w:rPr>
              <w:t>平方米</w:t>
            </w:r>
            <w:r>
              <w:rPr>
                <w:rFonts w:hint="eastAsia" w:ascii="宋体" w:hAnsi="宋体" w:cs="宋体"/>
                <w:color w:val="auto"/>
                <w:szCs w:val="21"/>
                <w:highlight w:val="none"/>
              </w:rPr>
              <w:t>及</w:t>
            </w:r>
            <w:r>
              <w:rPr>
                <w:rFonts w:hint="eastAsia" w:ascii="宋体" w:hAnsi="宋体" w:cs="宋体"/>
                <w:color w:val="auto"/>
                <w:szCs w:val="21"/>
                <w:highlight w:val="none"/>
                <w:lang w:val="zh-CN"/>
              </w:rPr>
              <w:t>以上</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每有一处得5分，最多得10分</w:t>
            </w:r>
            <w:r>
              <w:rPr>
                <w:rFonts w:hint="eastAsia" w:ascii="宋体" w:hAnsi="宋体" w:cs="宋体"/>
                <w:color w:val="auto"/>
                <w:szCs w:val="21"/>
                <w:highlight w:val="none"/>
              </w:rPr>
              <w:t>。</w:t>
            </w:r>
          </w:p>
          <w:p w14:paraId="14C6AAF3">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注：投标文件中同时</w:t>
            </w:r>
            <w:r>
              <w:rPr>
                <w:rFonts w:hint="eastAsia" w:ascii="宋体" w:hAnsi="宋体" w:cs="宋体"/>
                <w:b/>
                <w:bCs/>
                <w:color w:val="auto"/>
                <w:szCs w:val="21"/>
                <w:highlight w:val="none"/>
                <w:lang w:val="en-US" w:eastAsia="zh-CN"/>
              </w:rPr>
              <w:t>提供食品经营许可证</w:t>
            </w:r>
            <w:r>
              <w:rPr>
                <w:rFonts w:hint="eastAsia" w:ascii="宋体" w:hAnsi="宋体" w:cs="宋体"/>
                <w:b/>
                <w:bCs/>
                <w:color w:val="auto"/>
                <w:szCs w:val="21"/>
                <w:highlight w:val="none"/>
              </w:rPr>
              <w:t>及现场照片彩色打印件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或正在经营的经营合同及现场照片彩色打印件</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如提供的材料中无法看出评审因素，可提供其他配套佐证证明材料（如办理的餐卡数量或经营合同中载明的服务人数等），</w:t>
            </w:r>
            <w:r>
              <w:rPr>
                <w:rFonts w:hint="eastAsia" w:ascii="宋体" w:hAnsi="宋体" w:cs="宋体"/>
                <w:b/>
                <w:bCs/>
                <w:color w:val="auto"/>
                <w:szCs w:val="21"/>
                <w:highlight w:val="none"/>
              </w:rPr>
              <w:t>上述材料均需加盖公章。</w:t>
            </w:r>
          </w:p>
          <w:p w14:paraId="7B18B6AF">
            <w:pPr>
              <w:pStyle w:val="54"/>
              <w:spacing w:line="500" w:lineRule="exact"/>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2.投标人承诺愿在招标人提供的场所内按招标人的要求（以合同约定为准，</w:t>
            </w:r>
            <w:r>
              <w:rPr>
                <w:rFonts w:hint="eastAsia" w:ascii="宋体" w:hAnsi="宋体" w:eastAsia="宋体" w:cs="宋体"/>
                <w:color w:val="auto"/>
                <w:sz w:val="21"/>
                <w:szCs w:val="21"/>
                <w:highlight w:val="none"/>
                <w:lang w:val="en-US" w:eastAsia="zh-CN"/>
              </w:rPr>
              <w:t>合同会约定所办超市的定价规则，不得偏离常规市场价等约定</w:t>
            </w:r>
            <w:r>
              <w:rPr>
                <w:rFonts w:hint="eastAsia" w:ascii="宋体" w:hAnsi="宋体" w:eastAsia="宋体" w:cs="宋体"/>
                <w:color w:val="auto"/>
                <w:sz w:val="21"/>
                <w:szCs w:val="21"/>
                <w:highlight w:val="none"/>
                <w:lang w:val="zh-CN"/>
              </w:rPr>
              <w:t>）开办超市的得2分。</w:t>
            </w:r>
          </w:p>
          <w:p w14:paraId="70F1DF58">
            <w:pPr>
              <w:pStyle w:val="54"/>
              <w:spacing w:line="500" w:lineRule="exac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注：投标文件中提供承诺函原件（格式自拟）</w:t>
            </w:r>
          </w:p>
        </w:tc>
      </w:tr>
      <w:tr w14:paraId="7E33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023196D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762" w:type="dxa"/>
            <w:vAlign w:val="center"/>
          </w:tcPr>
          <w:p w14:paraId="2323CEA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企业业绩</w:t>
            </w:r>
          </w:p>
        </w:tc>
        <w:tc>
          <w:tcPr>
            <w:tcW w:w="675" w:type="dxa"/>
            <w:vAlign w:val="center"/>
          </w:tcPr>
          <w:p w14:paraId="70117BBF">
            <w:pPr>
              <w:spacing w:line="5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8100" w:type="dxa"/>
            <w:vAlign w:val="center"/>
          </w:tcPr>
          <w:p w14:paraId="43C6238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投标人</w:t>
            </w:r>
            <w:r>
              <w:rPr>
                <w:rFonts w:hint="eastAsia" w:ascii="宋体" w:hAnsi="宋体" w:cs="宋体"/>
                <w:color w:val="auto"/>
                <w:szCs w:val="21"/>
                <w:highlight w:val="none"/>
              </w:rPr>
              <w:t>（具有独立法人资格且法定代表人与投标人法定代表人为同一人或</w:t>
            </w:r>
            <w:r>
              <w:rPr>
                <w:rFonts w:hint="eastAsia" w:ascii="宋体" w:hAnsi="宋体" w:cs="宋体"/>
                <w:color w:val="auto"/>
                <w:szCs w:val="21"/>
                <w:highlight w:val="none"/>
                <w:lang w:val="en-US" w:eastAsia="zh-CN"/>
              </w:rPr>
              <w:t>投标人分公司</w:t>
            </w:r>
            <w:r>
              <w:rPr>
                <w:rFonts w:hint="eastAsia" w:ascii="宋体" w:hAnsi="宋体" w:cs="宋体"/>
                <w:color w:val="auto"/>
                <w:szCs w:val="21"/>
                <w:highlight w:val="none"/>
              </w:rPr>
              <w:t>）</w:t>
            </w:r>
            <w:r>
              <w:rPr>
                <w:rFonts w:hint="eastAsia" w:ascii="宋体" w:hAnsi="宋体" w:cs="宋体"/>
                <w:color w:val="auto"/>
                <w:szCs w:val="21"/>
                <w:highlight w:val="none"/>
                <w:lang w:val="zh-CN"/>
              </w:rPr>
              <w:t>自20</w:t>
            </w:r>
            <w:r>
              <w:rPr>
                <w:rFonts w:hint="eastAsia" w:ascii="宋体" w:hAnsi="宋体" w:cs="宋体"/>
                <w:color w:val="auto"/>
                <w:szCs w:val="21"/>
                <w:highlight w:val="none"/>
              </w:rPr>
              <w:t>22</w:t>
            </w:r>
            <w:r>
              <w:rPr>
                <w:rFonts w:hint="eastAsia" w:ascii="宋体" w:hAnsi="宋体" w:cs="宋体"/>
                <w:color w:val="auto"/>
                <w:szCs w:val="21"/>
                <w:highlight w:val="none"/>
                <w:lang w:val="zh-CN"/>
              </w:rPr>
              <w:t>年1月1日至投标截止时间（以合同签订时间为准），具有党政机关或企事业单位食堂餐饮服务业绩且用餐人数在</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00人及以上的，</w:t>
            </w:r>
            <w:r>
              <w:rPr>
                <w:rFonts w:hint="eastAsia" w:ascii="宋体" w:hAnsi="宋体" w:cs="宋体"/>
                <w:color w:val="auto"/>
                <w:szCs w:val="21"/>
                <w:highlight w:val="none"/>
                <w:lang w:val="en-US" w:eastAsia="zh-CN"/>
              </w:rPr>
              <w:t>每有一处</w:t>
            </w:r>
            <w:r>
              <w:rPr>
                <w:rFonts w:hint="eastAsia" w:ascii="宋体" w:hAnsi="宋体" w:cs="宋体"/>
                <w:color w:val="auto"/>
                <w:szCs w:val="21"/>
                <w:highlight w:val="none"/>
                <w:lang w:val="zh-CN"/>
              </w:rPr>
              <w:t>得5分，</w:t>
            </w:r>
            <w:r>
              <w:rPr>
                <w:rFonts w:hint="eastAsia" w:ascii="宋体" w:hAnsi="宋体" w:cs="宋体"/>
                <w:color w:val="auto"/>
                <w:szCs w:val="21"/>
                <w:highlight w:val="none"/>
                <w:lang w:val="en-US" w:eastAsia="zh-CN"/>
              </w:rPr>
              <w:t>最多得10分</w:t>
            </w:r>
            <w:r>
              <w:rPr>
                <w:rFonts w:hint="eastAsia" w:ascii="宋体" w:hAnsi="宋体" w:cs="宋体"/>
                <w:color w:val="auto"/>
                <w:szCs w:val="21"/>
                <w:highlight w:val="none"/>
                <w:lang w:val="zh-CN"/>
              </w:rPr>
              <w:t>（合同如无法体现就餐人数，则须同时提供业主方出具的证明材料）。</w:t>
            </w:r>
          </w:p>
          <w:p w14:paraId="456CBC60">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注：1.投标文件中提供合同复印件并加盖公章，如合同不能说明用餐人数，须提供项目业绩业主单位针对“用餐人数”出具的证明。</w:t>
            </w:r>
          </w:p>
          <w:p w14:paraId="4CC95751">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rPr>
              <w:t>2.正在履约的业绩予以认可。</w:t>
            </w:r>
          </w:p>
        </w:tc>
      </w:tr>
      <w:tr w14:paraId="2AF4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69756FEF">
            <w:pPr>
              <w:spacing w:line="5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762" w:type="dxa"/>
            <w:vAlign w:val="center"/>
          </w:tcPr>
          <w:p w14:paraId="300BC1A6">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w:t>
            </w:r>
          </w:p>
          <w:p w14:paraId="2E16D81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保障</w:t>
            </w:r>
          </w:p>
        </w:tc>
        <w:tc>
          <w:tcPr>
            <w:tcW w:w="675" w:type="dxa"/>
            <w:vAlign w:val="center"/>
          </w:tcPr>
          <w:p w14:paraId="174FFE3A">
            <w:pPr>
              <w:spacing w:line="5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5分</w:t>
            </w:r>
          </w:p>
        </w:tc>
        <w:tc>
          <w:tcPr>
            <w:tcW w:w="8100" w:type="dxa"/>
            <w:vAlign w:val="center"/>
          </w:tcPr>
          <w:p w14:paraId="3EB2FACC">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投标人自行承诺中标后为本项目购买《食品安全责任险》或《公众责任险》的得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分，否则不得分。</w:t>
            </w:r>
          </w:p>
          <w:p w14:paraId="5BDAFF3A">
            <w:pPr>
              <w:spacing w:line="500" w:lineRule="exact"/>
              <w:rPr>
                <w:rFonts w:hint="eastAsia" w:ascii="宋体" w:hAnsi="宋体" w:cs="宋体"/>
                <w:color w:val="auto"/>
                <w:szCs w:val="21"/>
                <w:highlight w:val="none"/>
              </w:rPr>
            </w:pPr>
            <w:r>
              <w:rPr>
                <w:rFonts w:hint="eastAsia" w:ascii="宋体" w:hAnsi="宋体" w:cs="宋体"/>
                <w:b/>
                <w:bCs/>
                <w:color w:val="auto"/>
                <w:szCs w:val="21"/>
                <w:highlight w:val="none"/>
              </w:rPr>
              <w:t>投标人自行承诺，格式自拟，否则不得分。</w:t>
            </w:r>
          </w:p>
        </w:tc>
      </w:tr>
    </w:tbl>
    <w:p w14:paraId="16D4ABD3">
      <w:pPr>
        <w:pStyle w:val="2"/>
        <w:spacing w:after="0" w:line="500" w:lineRule="exact"/>
        <w:ind w:firstLine="211"/>
        <w:rPr>
          <w:rFonts w:ascii="宋体" w:hAnsi="宋体" w:cs="宋体"/>
          <w:b/>
          <w:bCs/>
          <w:color w:val="auto"/>
          <w:szCs w:val="21"/>
          <w:highlight w:val="none"/>
        </w:rPr>
      </w:pPr>
      <w:r>
        <w:rPr>
          <w:rFonts w:hint="eastAsia" w:ascii="宋体" w:hAnsi="宋体" w:cs="宋体"/>
          <w:b/>
          <w:bCs/>
          <w:color w:val="auto"/>
          <w:szCs w:val="21"/>
          <w:highlight w:val="none"/>
        </w:rPr>
        <w:t>注：取所有评委分值的算术平均值作为投标的资信分值。</w:t>
      </w:r>
    </w:p>
    <w:p w14:paraId="11B536D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6.1技术标评分细则（</w:t>
      </w:r>
      <w:r>
        <w:rPr>
          <w:rFonts w:hint="eastAsia" w:ascii="宋体" w:hAnsi="宋体" w:cs="宋体"/>
          <w:color w:val="auto"/>
          <w:szCs w:val="21"/>
          <w:highlight w:val="none"/>
          <w:lang w:val="en-US" w:eastAsia="zh-CN"/>
        </w:rPr>
        <w:t>63</w:t>
      </w:r>
      <w:r>
        <w:rPr>
          <w:rFonts w:hint="eastAsia" w:ascii="宋体" w:hAnsi="宋体" w:cs="宋体"/>
          <w:color w:val="auto"/>
          <w:szCs w:val="21"/>
          <w:highlight w:val="none"/>
        </w:rPr>
        <w:t>分）</w:t>
      </w:r>
    </w:p>
    <w:tbl>
      <w:tblPr>
        <w:tblStyle w:val="37"/>
        <w:tblW w:w="10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30"/>
        <w:gridCol w:w="750"/>
        <w:gridCol w:w="7585"/>
      </w:tblGrid>
      <w:tr w14:paraId="1685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1" w:type="dxa"/>
            <w:vAlign w:val="center"/>
          </w:tcPr>
          <w:p w14:paraId="557A750F">
            <w:pPr>
              <w:spacing w:line="500" w:lineRule="exact"/>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30" w:type="dxa"/>
            <w:vAlign w:val="center"/>
          </w:tcPr>
          <w:p w14:paraId="51156DB7">
            <w:pPr>
              <w:spacing w:line="500" w:lineRule="exact"/>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50" w:type="dxa"/>
            <w:vAlign w:val="center"/>
          </w:tcPr>
          <w:p w14:paraId="6D595F5C">
            <w:pPr>
              <w:spacing w:line="500" w:lineRule="exact"/>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585" w:type="dxa"/>
            <w:vAlign w:val="center"/>
          </w:tcPr>
          <w:p w14:paraId="4495D36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0C99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1" w:type="dxa"/>
            <w:vAlign w:val="center"/>
          </w:tcPr>
          <w:p w14:paraId="0D7CB81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30" w:type="dxa"/>
            <w:vAlign w:val="center"/>
          </w:tcPr>
          <w:p w14:paraId="77C3EE2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保障方案</w:t>
            </w:r>
          </w:p>
        </w:tc>
        <w:tc>
          <w:tcPr>
            <w:tcW w:w="750" w:type="dxa"/>
            <w:vAlign w:val="center"/>
          </w:tcPr>
          <w:p w14:paraId="7DB85D6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tc>
        <w:tc>
          <w:tcPr>
            <w:tcW w:w="7585" w:type="dxa"/>
            <w:vAlign w:val="center"/>
          </w:tcPr>
          <w:p w14:paraId="5A7648A2">
            <w:pPr>
              <w:pStyle w:val="54"/>
              <w:spacing w:line="5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针对本项目制定完整适合于招标人工作需求的实施保障方案，包括但不限于服务目标、范围和任务、工作流程、服务团队、组织安排、配送服务、饭菜品质、食品价格以及应急保障需求。评标委员会进行综合对比评审，优秀得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分，良好得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分，一般得4分，未提供或不合格的不得分。</w:t>
            </w:r>
          </w:p>
        </w:tc>
      </w:tr>
      <w:tr w14:paraId="3C29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1" w:type="dxa"/>
            <w:vAlign w:val="center"/>
          </w:tcPr>
          <w:p w14:paraId="1998FA3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230" w:type="dxa"/>
            <w:vAlign w:val="center"/>
          </w:tcPr>
          <w:p w14:paraId="4B57436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食品质量制度</w:t>
            </w:r>
          </w:p>
        </w:tc>
        <w:tc>
          <w:tcPr>
            <w:tcW w:w="750" w:type="dxa"/>
            <w:vAlign w:val="center"/>
          </w:tcPr>
          <w:p w14:paraId="4DA97DF7">
            <w:pPr>
              <w:spacing w:line="5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7585" w:type="dxa"/>
            <w:vAlign w:val="center"/>
          </w:tcPr>
          <w:p w14:paraId="55AC0FDD">
            <w:pPr>
              <w:pStyle w:val="54"/>
              <w:spacing w:line="5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根据投标人提供的食品质量控制制度进行打分，制度要求从科学性、合理性角度评价。制度合理、科学性强的得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 制度较合理、科学性较强的得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分；制度合理性一般、科学性一般的得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 未提供不得分。</w:t>
            </w:r>
          </w:p>
        </w:tc>
      </w:tr>
      <w:tr w14:paraId="03B2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1" w:type="dxa"/>
            <w:vAlign w:val="center"/>
          </w:tcPr>
          <w:p w14:paraId="7E11599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230" w:type="dxa"/>
            <w:vAlign w:val="center"/>
          </w:tcPr>
          <w:p w14:paraId="1D9122B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服务质量制度</w:t>
            </w:r>
          </w:p>
        </w:tc>
        <w:tc>
          <w:tcPr>
            <w:tcW w:w="750" w:type="dxa"/>
            <w:vAlign w:val="center"/>
          </w:tcPr>
          <w:p w14:paraId="027A85B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7585" w:type="dxa"/>
            <w:vAlign w:val="center"/>
          </w:tcPr>
          <w:p w14:paraId="2462E19D">
            <w:pPr>
              <w:pStyle w:val="54"/>
              <w:spacing w:line="5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根据投标人提供的服务质量制度进行打分，制度要求从科学性、合理性角度评价。制度合理、科学性强的得5分； 制度较合理、科学性较强的得3分；制度合理性一般、科学性一般的得1分； 未提供不得分。</w:t>
            </w:r>
          </w:p>
        </w:tc>
      </w:tr>
      <w:tr w14:paraId="2B46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1" w:type="dxa"/>
            <w:vAlign w:val="center"/>
          </w:tcPr>
          <w:p w14:paraId="48AD658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230" w:type="dxa"/>
            <w:vAlign w:val="center"/>
          </w:tcPr>
          <w:p w14:paraId="0B41804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卫生管理制度</w:t>
            </w:r>
          </w:p>
        </w:tc>
        <w:tc>
          <w:tcPr>
            <w:tcW w:w="750" w:type="dxa"/>
            <w:vAlign w:val="center"/>
          </w:tcPr>
          <w:p w14:paraId="3016E26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7585" w:type="dxa"/>
            <w:vAlign w:val="center"/>
          </w:tcPr>
          <w:p w14:paraId="41FB5E1F">
            <w:pPr>
              <w:pStyle w:val="54"/>
              <w:spacing w:line="5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包含食品卫生、人员卫生、环境卫生、垃圾处理控制制度等。根据投标人提供的卫生管理制度进行打分，制度要求从科学性、合理性角度评价。制度合理、科学性强的得5分； 制度较合理、科学性较强的得3分；制度合理性一般、科学性一般的得1分； 未提供不得分。</w:t>
            </w:r>
          </w:p>
        </w:tc>
      </w:tr>
      <w:tr w14:paraId="3122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1" w:type="dxa"/>
            <w:vAlign w:val="center"/>
          </w:tcPr>
          <w:p w14:paraId="06F413B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230" w:type="dxa"/>
            <w:vAlign w:val="center"/>
          </w:tcPr>
          <w:p w14:paraId="7FBE352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原材料采购管理制度</w:t>
            </w:r>
          </w:p>
        </w:tc>
        <w:tc>
          <w:tcPr>
            <w:tcW w:w="750" w:type="dxa"/>
            <w:vAlign w:val="center"/>
          </w:tcPr>
          <w:p w14:paraId="4A9C7563">
            <w:pPr>
              <w:spacing w:line="5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7585" w:type="dxa"/>
            <w:vAlign w:val="center"/>
          </w:tcPr>
          <w:p w14:paraId="08BDF2A1">
            <w:pPr>
              <w:pStyle w:val="54"/>
              <w:spacing w:line="5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根据投标人提供的原材料采购管理制度进行打分，制度要求从科学性、合理性角度评价。制度合理、科学性强的得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 制度较合理、科学性较强的得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分；制度合理性一般、科学性一般的得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 未提供不得分。</w:t>
            </w:r>
          </w:p>
        </w:tc>
      </w:tr>
      <w:tr w14:paraId="0C24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1" w:type="dxa"/>
            <w:vAlign w:val="center"/>
          </w:tcPr>
          <w:p w14:paraId="6BD45EB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230" w:type="dxa"/>
            <w:vAlign w:val="center"/>
          </w:tcPr>
          <w:p w14:paraId="633894E6">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食品保存管理制度</w:t>
            </w:r>
          </w:p>
        </w:tc>
        <w:tc>
          <w:tcPr>
            <w:tcW w:w="750" w:type="dxa"/>
            <w:vAlign w:val="center"/>
          </w:tcPr>
          <w:p w14:paraId="7DDC207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7585" w:type="dxa"/>
            <w:vAlign w:val="center"/>
          </w:tcPr>
          <w:p w14:paraId="14F12092">
            <w:pPr>
              <w:pStyle w:val="54"/>
              <w:spacing w:line="5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根据投标人提供的食品保存管理制度进行打分，制度要求从科学性、合理性角度评价。制度合理、科学性强的得5分； 制度较合理、科学性较强的得3分；制度合理性一般、科学性一般的得1分；未提供不得分。</w:t>
            </w:r>
          </w:p>
        </w:tc>
      </w:tr>
      <w:tr w14:paraId="733C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1" w:type="dxa"/>
            <w:vAlign w:val="center"/>
          </w:tcPr>
          <w:p w14:paraId="28263DA4">
            <w:pPr>
              <w:spacing w:line="5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230" w:type="dxa"/>
            <w:vAlign w:val="center"/>
          </w:tcPr>
          <w:p w14:paraId="76E42B9A">
            <w:pPr>
              <w:keepNext w:val="0"/>
              <w:keepLines w:val="0"/>
              <w:widowControl/>
              <w:suppressLineNumbers w:val="0"/>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装修</w:t>
            </w:r>
          </w:p>
          <w:p w14:paraId="7C04CACC">
            <w:pPr>
              <w:keepNext w:val="0"/>
              <w:keepLines w:val="0"/>
              <w:widowControl/>
              <w:suppressLineNumbers w:val="0"/>
              <w:jc w:val="left"/>
              <w:rPr>
                <w:rFonts w:hint="eastAsia" w:ascii="宋体" w:hAnsi="宋体" w:cs="宋体"/>
                <w:color w:val="auto"/>
                <w:szCs w:val="21"/>
                <w:highlight w:val="none"/>
              </w:rPr>
            </w:pPr>
            <w:r>
              <w:rPr>
                <w:rFonts w:hint="eastAsia" w:ascii="宋体" w:hAnsi="宋体" w:eastAsia="宋体" w:cs="宋体"/>
                <w:color w:val="auto"/>
                <w:kern w:val="0"/>
                <w:sz w:val="22"/>
                <w:szCs w:val="22"/>
                <w:highlight w:val="none"/>
                <w:lang w:val="en-US" w:eastAsia="zh-CN" w:bidi="ar"/>
              </w:rPr>
              <w:t>方案</w:t>
            </w:r>
          </w:p>
        </w:tc>
        <w:tc>
          <w:tcPr>
            <w:tcW w:w="750" w:type="dxa"/>
            <w:vAlign w:val="center"/>
          </w:tcPr>
          <w:p w14:paraId="6258DD9B">
            <w:pPr>
              <w:spacing w:line="5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20分</w:t>
            </w:r>
          </w:p>
        </w:tc>
        <w:tc>
          <w:tcPr>
            <w:tcW w:w="7585" w:type="dxa"/>
            <w:vAlign w:val="center"/>
          </w:tcPr>
          <w:p w14:paraId="3235FB64">
            <w:pPr>
              <w:pStyle w:val="54"/>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根据投标人提供的装修方案，包括空间布局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提供概念图纸不少于3张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、材料选用、投资估算等内容进行评分：</w:t>
            </w:r>
          </w:p>
          <w:p w14:paraId="3A2B2530">
            <w:pPr>
              <w:pStyle w:val="54"/>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（1）方案完整，可行性强，针对性强，完全满足且优于项目需求的得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7E00371A">
            <w:pPr>
              <w:pStyle w:val="54"/>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（2）方案较完整，可行性较强，针对性较强，完全满足项目需求的得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53F1A8CE">
            <w:pPr>
              <w:pStyle w:val="54"/>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（3）方案基本完整，可行性基本合理，基本满足项目需求的得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1BE16789">
            <w:pPr>
              <w:pStyle w:val="54"/>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（4）方案不完整，部分内容欠缺，需要进一步完善的得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7B821122">
            <w:pPr>
              <w:pStyle w:val="54"/>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（5）不提供方案不得分。</w:t>
            </w:r>
          </w:p>
        </w:tc>
      </w:tr>
    </w:tbl>
    <w:p w14:paraId="29ED14DF">
      <w:pPr>
        <w:pStyle w:val="2"/>
        <w:spacing w:after="0" w:line="500" w:lineRule="exact"/>
        <w:ind w:firstLine="211"/>
        <w:rPr>
          <w:rFonts w:ascii="宋体" w:hAnsi="宋体" w:cs="宋体"/>
          <w:b/>
          <w:bCs/>
          <w:color w:val="auto"/>
          <w:szCs w:val="21"/>
          <w:highlight w:val="none"/>
        </w:rPr>
      </w:pPr>
      <w:r>
        <w:rPr>
          <w:rFonts w:hint="eastAsia" w:ascii="宋体" w:hAnsi="宋体" w:cs="宋体"/>
          <w:b/>
          <w:bCs/>
          <w:color w:val="auto"/>
          <w:szCs w:val="21"/>
          <w:highlight w:val="none"/>
        </w:rPr>
        <w:t>注：取所有评委分值的算术平均值作为投标的技术分值。</w:t>
      </w:r>
    </w:p>
    <w:p w14:paraId="5D78D3B0">
      <w:pPr>
        <w:pStyle w:val="2"/>
        <w:spacing w:after="0" w:line="500" w:lineRule="exact"/>
        <w:ind w:firstLine="210"/>
        <w:rPr>
          <w:rFonts w:ascii="宋体" w:hAnsi="宋体" w:cs="宋体"/>
          <w:color w:val="auto"/>
          <w:szCs w:val="21"/>
          <w:highlight w:val="none"/>
        </w:rPr>
      </w:pPr>
      <w:r>
        <w:rPr>
          <w:rFonts w:hint="eastAsia" w:ascii="宋体" w:hAnsi="宋体" w:cs="宋体"/>
          <w:color w:val="auto"/>
          <w:szCs w:val="21"/>
          <w:highlight w:val="none"/>
        </w:rPr>
        <w:t>6.3商务标评审细则（</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bl>
      <w:tblPr>
        <w:tblStyle w:val="37"/>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40"/>
        <w:gridCol w:w="7820"/>
      </w:tblGrid>
      <w:tr w14:paraId="63FB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36" w:type="dxa"/>
            <w:vAlign w:val="center"/>
          </w:tcPr>
          <w:p w14:paraId="192B87A8">
            <w:pPr>
              <w:spacing w:line="500" w:lineRule="exact"/>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1140" w:type="dxa"/>
            <w:vAlign w:val="center"/>
          </w:tcPr>
          <w:p w14:paraId="4E4FB864">
            <w:pPr>
              <w:spacing w:line="500" w:lineRule="exact"/>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820" w:type="dxa"/>
            <w:vAlign w:val="center"/>
          </w:tcPr>
          <w:p w14:paraId="155C920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217B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36" w:type="dxa"/>
            <w:vAlign w:val="center"/>
          </w:tcPr>
          <w:p w14:paraId="5AD349A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商务标</w:t>
            </w:r>
          </w:p>
        </w:tc>
        <w:tc>
          <w:tcPr>
            <w:tcW w:w="1140" w:type="dxa"/>
            <w:vAlign w:val="center"/>
          </w:tcPr>
          <w:p w14:paraId="166ADAA1">
            <w:pPr>
              <w:spacing w:line="5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10</w:t>
            </w:r>
            <w:bookmarkStart w:id="136" w:name="_GoBack"/>
            <w:bookmarkEnd w:id="136"/>
            <w:r>
              <w:rPr>
                <w:rFonts w:hint="eastAsia" w:ascii="宋体" w:hAnsi="宋体" w:cs="宋体"/>
                <w:color w:val="auto"/>
                <w:szCs w:val="21"/>
                <w:highlight w:val="none"/>
              </w:rPr>
              <w:t>分</w:t>
            </w:r>
          </w:p>
        </w:tc>
        <w:tc>
          <w:tcPr>
            <w:tcW w:w="7820" w:type="dxa"/>
            <w:vAlign w:val="center"/>
          </w:tcPr>
          <w:p w14:paraId="5E4BD9F5">
            <w:pPr>
              <w:numPr>
                <w:ilvl w:val="0"/>
                <w:numId w:val="0"/>
              </w:numPr>
              <w:spacing w:line="5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通过资格审核及符合性审查的有效投标人，须提供承诺书，承诺完全满足本项目采购需求要求，进行根据现有情况进行的装修、购置、改造等工作，直至食堂投入使用，所需费用包含在后期经营收益中，不另向采购人收取费用。</w:t>
            </w:r>
          </w:p>
          <w:p w14:paraId="548D3D78">
            <w:pPr>
              <w:numPr>
                <w:ilvl w:val="0"/>
                <w:numId w:val="0"/>
              </w:numPr>
              <w:spacing w:line="500" w:lineRule="exact"/>
              <w:rPr>
                <w:rFonts w:hint="default"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提供承诺书并加盖公章，承诺书格式自拟。</w:t>
            </w:r>
          </w:p>
        </w:tc>
      </w:tr>
    </w:tbl>
    <w:p w14:paraId="212F23FD">
      <w:pPr>
        <w:spacing w:line="500" w:lineRule="exact"/>
        <w:jc w:val="left"/>
        <w:rPr>
          <w:color w:val="auto"/>
          <w:highlight w:val="none"/>
        </w:rPr>
      </w:pPr>
      <w:r>
        <w:rPr>
          <w:rFonts w:hint="eastAsia" w:ascii="宋体" w:cs="宋体"/>
          <w:b/>
          <w:color w:val="auto"/>
          <w:szCs w:val="21"/>
          <w:highlight w:val="none"/>
        </w:rPr>
        <w:t>特别说明：</w:t>
      </w:r>
    </w:p>
    <w:p w14:paraId="2FDBBD24">
      <w:pPr>
        <w:spacing w:line="500" w:lineRule="exact"/>
        <w:ind w:left="-420" w:leftChars="-200" w:firstLine="420" w:firstLineChars="200"/>
        <w:jc w:val="left"/>
        <w:rPr>
          <w:bCs/>
          <w:color w:val="auto"/>
          <w:szCs w:val="21"/>
          <w:highlight w:val="none"/>
        </w:rPr>
      </w:pPr>
      <w:r>
        <w:rPr>
          <w:rFonts w:hint="eastAsia"/>
          <w:bCs/>
          <w:color w:val="auto"/>
          <w:szCs w:val="21"/>
          <w:highlight w:val="none"/>
        </w:rPr>
        <w:t>1.评标专家检验投标文件的上述材料，如果由于投标人自身原因导致评标专家无法查看并检验投标文件中以上相关资料的，后果由投标人自行承担。</w:t>
      </w:r>
    </w:p>
    <w:p w14:paraId="29959F7F">
      <w:pPr>
        <w:spacing w:line="500" w:lineRule="exact"/>
        <w:ind w:left="-420" w:leftChars="-200" w:firstLine="420" w:firstLineChars="200"/>
        <w:jc w:val="left"/>
        <w:rPr>
          <w:bCs/>
          <w:color w:val="auto"/>
          <w:szCs w:val="21"/>
          <w:highlight w:val="none"/>
        </w:rPr>
      </w:pPr>
      <w:r>
        <w:rPr>
          <w:rFonts w:hint="eastAsia"/>
          <w:bCs/>
          <w:color w:val="auto"/>
          <w:szCs w:val="21"/>
          <w:highlight w:val="none"/>
        </w:rPr>
        <w:t>2.以上分值均保留二位小数，小数点后第三位四舍五入。</w:t>
      </w:r>
      <w:bookmarkStart w:id="65" w:name="_Toc449028881"/>
    </w:p>
    <w:p w14:paraId="3ACF3FEC">
      <w:pPr>
        <w:spacing w:line="500" w:lineRule="exact"/>
        <w:ind w:left="-420" w:leftChars="-200" w:firstLine="420" w:firstLineChars="200"/>
        <w:jc w:val="left"/>
        <w:rPr>
          <w:bCs/>
          <w:color w:val="auto"/>
          <w:szCs w:val="21"/>
          <w:highlight w:val="none"/>
        </w:rPr>
      </w:pPr>
      <w:r>
        <w:rPr>
          <w:rFonts w:hint="eastAsia"/>
          <w:bCs/>
          <w:color w:val="auto"/>
          <w:szCs w:val="21"/>
          <w:highlight w:val="none"/>
        </w:rPr>
        <w:t>3.各投标人须保证所提供的供评审核验的相关证明材料真实有效，不得弄虚作假，否则予以一票否决，且该单位不得参与招标人关于本项目的再次招标活动</w:t>
      </w:r>
    </w:p>
    <w:p w14:paraId="1A7AC794">
      <w:pPr>
        <w:snapToGrid w:val="0"/>
        <w:spacing w:before="93" w:beforeLines="30" w:after="93" w:afterLines="30" w:line="500" w:lineRule="exact"/>
        <w:jc w:val="center"/>
        <w:outlineLvl w:val="1"/>
        <w:rPr>
          <w:rFonts w:ascii="宋体"/>
          <w:b/>
          <w:color w:val="auto"/>
          <w:sz w:val="32"/>
          <w:szCs w:val="32"/>
          <w:highlight w:val="none"/>
        </w:rPr>
      </w:pPr>
      <w:bookmarkStart w:id="66" w:name="_Toc58430321"/>
      <w:r>
        <w:rPr>
          <w:rFonts w:hint="eastAsia" w:ascii="宋体"/>
          <w:b/>
          <w:color w:val="auto"/>
          <w:sz w:val="32"/>
          <w:szCs w:val="32"/>
          <w:highlight w:val="none"/>
        </w:rPr>
        <w:t>五、推荐中标候选人</w:t>
      </w:r>
      <w:bookmarkEnd w:id="64"/>
      <w:bookmarkEnd w:id="65"/>
      <w:bookmarkEnd w:id="66"/>
    </w:p>
    <w:bookmarkEnd w:id="54"/>
    <w:p w14:paraId="18299DBA">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7.评标委员会按</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得分之和，从高到低按顺序，根据第二章投标人须知及前附表的规定数量推荐中标候选人。</w:t>
      </w:r>
    </w:p>
    <w:p w14:paraId="20D91A2C">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7.1总得分相同的，按</w:t>
      </w:r>
      <w:r>
        <w:rPr>
          <w:rFonts w:hint="eastAsia" w:ascii="宋体" w:hAnsi="宋体" w:cs="宋体"/>
          <w:color w:val="auto"/>
          <w:szCs w:val="21"/>
          <w:highlight w:val="none"/>
          <w:lang w:val="en-US" w:eastAsia="zh-CN"/>
        </w:rPr>
        <w:t>资信标</w:t>
      </w:r>
      <w:r>
        <w:rPr>
          <w:rFonts w:hint="eastAsia" w:ascii="宋体" w:hAnsi="宋体" w:cs="宋体"/>
          <w:color w:val="auto"/>
          <w:szCs w:val="21"/>
          <w:highlight w:val="none"/>
        </w:rPr>
        <w:t>分值由高到低排列。总得分及</w:t>
      </w:r>
      <w:r>
        <w:rPr>
          <w:rFonts w:hint="eastAsia" w:ascii="宋体" w:hAnsi="宋体" w:cs="宋体"/>
          <w:color w:val="auto"/>
          <w:szCs w:val="21"/>
          <w:highlight w:val="none"/>
          <w:lang w:val="en-US" w:eastAsia="zh-CN"/>
        </w:rPr>
        <w:t>资信标</w:t>
      </w:r>
      <w:r>
        <w:rPr>
          <w:rFonts w:hint="eastAsia" w:ascii="宋体" w:hAnsi="宋体" w:cs="宋体"/>
          <w:color w:val="auto"/>
          <w:szCs w:val="21"/>
          <w:highlight w:val="none"/>
        </w:rPr>
        <w:t>分值均相同的，由招标人现场采取随机摇号的方式确定中标候选人。</w:t>
      </w:r>
    </w:p>
    <w:p w14:paraId="09904D9D">
      <w:pPr>
        <w:snapToGrid w:val="0"/>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8. </w:t>
      </w:r>
      <w:bookmarkStart w:id="67" w:name="_Hlk61815781"/>
      <w:r>
        <w:rPr>
          <w:rFonts w:hint="eastAsia" w:ascii="宋体" w:hAnsi="宋体" w:cs="宋体"/>
          <w:b/>
          <w:color w:val="auto"/>
          <w:szCs w:val="21"/>
          <w:highlight w:val="none"/>
        </w:rPr>
        <w:t>无效投标条款</w:t>
      </w:r>
    </w:p>
    <w:p w14:paraId="727B71D0">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51F1D16C">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 未在开标截止时间前递交有效投标文件的，投标将被拒绝。</w:t>
      </w:r>
    </w:p>
    <w:p w14:paraId="37376F58">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6CC8D8A4">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08C40607">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02F7FE48">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(3) 评标专家无法查看并检验投标文件中相关资料的；</w:t>
      </w:r>
    </w:p>
    <w:p w14:paraId="65243590">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(4)被暂停营业的；</w:t>
      </w:r>
    </w:p>
    <w:p w14:paraId="56C640C3">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(5)被暂停或取消投标资格的；</w:t>
      </w:r>
    </w:p>
    <w:p w14:paraId="3ED5E1DA">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(6)投标人单位负责人为同一人或者存在直接控股、管理关系的不同单位的；</w:t>
      </w:r>
    </w:p>
    <w:p w14:paraId="20D1EDE2">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(7)投标人基本资格条件和特定资格条件中有一项及以上不符合要求的；</w:t>
      </w:r>
    </w:p>
    <w:p w14:paraId="405CDFA7">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(8)其它情形，经评标委员会委提出按无效投标处理的；</w:t>
      </w:r>
    </w:p>
    <w:p w14:paraId="2BCD3368">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7AF676C6">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476069BD">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60AC5B44">
      <w:pPr>
        <w:snapToGrid w:val="0"/>
        <w:spacing w:line="500" w:lineRule="exact"/>
        <w:jc w:val="left"/>
        <w:rPr>
          <w:rFonts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71809029">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878BCF3">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29139D60">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(5)投标报价超出规定的投标限价或公布的采购预算的（本项目不采用）；</w:t>
      </w:r>
    </w:p>
    <w:p w14:paraId="4E73D4F1">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31F20A7C">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244850F9">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50DF332B">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77EFF799">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5D848CDB">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6BA487C6">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39C8251A">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10CAB2C0">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(4)报价明显低于其他投标人，且不能证明报价合理性的投标无效（本项目不采用）；</w:t>
      </w:r>
    </w:p>
    <w:p w14:paraId="403D0E34">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5F4AB7A2">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(6)其它情形，经评标委员会委提出按无效投标处理的；</w:t>
      </w:r>
    </w:p>
    <w:p w14:paraId="673E091A">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(7)招标文件规定的其它无效投标情形。</w:t>
      </w:r>
    </w:p>
    <w:bookmarkEnd w:id="67"/>
    <w:p w14:paraId="19722E05">
      <w:pPr>
        <w:spacing w:before="156" w:beforeLines="50" w:after="156" w:afterLines="50" w:line="600" w:lineRule="exact"/>
        <w:jc w:val="center"/>
        <w:outlineLvl w:val="0"/>
        <w:rPr>
          <w:rFonts w:ascii="宋体"/>
          <w:b/>
          <w:color w:val="auto"/>
          <w:sz w:val="32"/>
          <w:szCs w:val="32"/>
          <w:highlight w:val="none"/>
        </w:rPr>
      </w:pPr>
      <w:bookmarkStart w:id="68" w:name="_Toc58430328"/>
      <w:r>
        <w:rPr>
          <w:rFonts w:hint="eastAsia" w:ascii="宋体"/>
          <w:b/>
          <w:color w:val="auto"/>
          <w:sz w:val="32"/>
          <w:szCs w:val="32"/>
          <w:highlight w:val="none"/>
        </w:rPr>
        <w:br w:type="page"/>
      </w:r>
      <w:r>
        <w:rPr>
          <w:rFonts w:hint="eastAsia" w:ascii="宋体"/>
          <w:b/>
          <w:color w:val="auto"/>
          <w:sz w:val="32"/>
          <w:szCs w:val="32"/>
          <w:highlight w:val="none"/>
        </w:rPr>
        <w:t>第四章  采购需求</w:t>
      </w:r>
    </w:p>
    <w:bookmarkEnd w:id="55"/>
    <w:bookmarkEnd w:id="68"/>
    <w:p w14:paraId="5EA02B2C">
      <w:pPr>
        <w:shd w:val="clear" w:color="auto" w:fill="FFFFFF"/>
        <w:spacing w:before="93" w:beforeLines="30" w:after="93" w:afterLines="30" w:line="500" w:lineRule="exact"/>
        <w:ind w:firstLine="482" w:firstLineChars="200"/>
        <w:rPr>
          <w:rFonts w:ascii="宋体" w:hAnsi="宋体" w:cs="宋体"/>
          <w:b/>
          <w:bCs/>
          <w:color w:val="auto"/>
          <w:sz w:val="24"/>
          <w:highlight w:val="none"/>
        </w:rPr>
      </w:pPr>
      <w:bookmarkStart w:id="69" w:name="_Toc449028945"/>
      <w:bookmarkStart w:id="70" w:name="_Toc58430329"/>
      <w:r>
        <w:rPr>
          <w:rFonts w:hint="eastAsia" w:ascii="宋体" w:hAnsi="宋体" w:cs="宋体"/>
          <w:b/>
          <w:bCs/>
          <w:color w:val="auto"/>
          <w:sz w:val="24"/>
          <w:highlight w:val="none"/>
        </w:rPr>
        <w:t>一、食堂基本情况</w:t>
      </w:r>
    </w:p>
    <w:p w14:paraId="56C4B63C">
      <w:pPr>
        <w:shd w:val="clear" w:color="auto" w:fill="FFFFFF"/>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（一）招标方：</w:t>
      </w:r>
      <w:r>
        <w:rPr>
          <w:rFonts w:hint="eastAsia" w:ascii="宋体" w:hAnsi="宋体" w:cs="宋体"/>
          <w:color w:val="auto"/>
          <w:szCs w:val="21"/>
          <w:highlight w:val="none"/>
          <w:lang w:eastAsia="zh-CN"/>
        </w:rPr>
        <w:t>滁州市住房和城乡建设局</w:t>
      </w:r>
    </w:p>
    <w:p w14:paraId="593DCBD7">
      <w:pPr>
        <w:spacing w:line="500" w:lineRule="exact"/>
        <w:ind w:firstLine="403" w:firstLineChars="192"/>
        <w:rPr>
          <w:rFonts w:ascii="宋体" w:hAnsi="宋体" w:cs="宋体"/>
          <w:color w:val="auto"/>
          <w:szCs w:val="21"/>
          <w:highlight w:val="none"/>
        </w:rPr>
      </w:pPr>
      <w:r>
        <w:rPr>
          <w:rFonts w:hint="eastAsia" w:ascii="宋体" w:hAnsi="宋体" w:cs="宋体"/>
          <w:color w:val="auto"/>
          <w:szCs w:val="21"/>
          <w:highlight w:val="none"/>
        </w:rPr>
        <w:t>（二）项目内容简介：</w:t>
      </w:r>
      <w:r>
        <w:rPr>
          <w:rFonts w:hint="eastAsia" w:ascii="宋体" w:hAnsi="宋体" w:cs="宋体"/>
          <w:color w:val="auto"/>
          <w:szCs w:val="21"/>
          <w:highlight w:val="none"/>
          <w:lang w:eastAsia="zh-CN"/>
        </w:rPr>
        <w:t>滁州市住房和城乡建设局</w:t>
      </w:r>
      <w:r>
        <w:rPr>
          <w:rFonts w:hint="eastAsia" w:ascii="宋体" w:hAnsi="宋体" w:cs="宋体"/>
          <w:color w:val="auto"/>
          <w:szCs w:val="21"/>
          <w:highlight w:val="none"/>
        </w:rPr>
        <w:t>项目位于</w:t>
      </w:r>
      <w:r>
        <w:rPr>
          <w:rFonts w:hint="eastAsia" w:ascii="宋体" w:hAnsi="宋体" w:cs="宋体"/>
          <w:color w:val="auto"/>
          <w:szCs w:val="21"/>
          <w:highlight w:val="none"/>
          <w:lang w:eastAsia="zh-CN"/>
        </w:rPr>
        <w:t>滁州市琅琊区琅琊街道琅琊西路81号</w:t>
      </w:r>
      <w:r>
        <w:rPr>
          <w:rFonts w:hint="eastAsia" w:ascii="宋体" w:hAnsi="宋体" w:cs="宋体"/>
          <w:color w:val="auto"/>
          <w:szCs w:val="21"/>
          <w:highlight w:val="none"/>
        </w:rPr>
        <w:t>，食堂须保障约</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00人就餐服务，包间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个，超市一间。招标人</w:t>
      </w:r>
      <w:r>
        <w:rPr>
          <w:rFonts w:hint="eastAsia" w:ascii="宋体" w:hAnsi="宋体" w:cs="宋体"/>
          <w:color w:val="auto"/>
          <w:szCs w:val="21"/>
          <w:highlight w:val="none"/>
          <w:lang w:val="en-US" w:eastAsia="zh-CN"/>
        </w:rPr>
        <w:t>仅</w:t>
      </w: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现有的</w:t>
      </w:r>
      <w:r>
        <w:rPr>
          <w:rFonts w:hint="eastAsia" w:ascii="宋体" w:hAnsi="宋体" w:cs="宋体"/>
          <w:color w:val="auto"/>
          <w:szCs w:val="21"/>
          <w:highlight w:val="none"/>
        </w:rPr>
        <w:t>基本</w:t>
      </w:r>
      <w:r>
        <w:rPr>
          <w:rFonts w:hint="eastAsia" w:ascii="宋体" w:hAnsi="宋体" w:cs="宋体"/>
          <w:color w:val="auto"/>
          <w:szCs w:val="21"/>
          <w:highlight w:val="none"/>
          <w:lang w:val="en-US" w:eastAsia="zh-CN"/>
        </w:rPr>
        <w:t>场地，开设食堂所需</w:t>
      </w:r>
      <w:r>
        <w:rPr>
          <w:rFonts w:hint="eastAsia" w:ascii="宋体" w:hAnsi="宋体" w:cs="宋体"/>
          <w:color w:val="auto"/>
          <w:szCs w:val="21"/>
          <w:highlight w:val="none"/>
        </w:rPr>
        <w:t>厨房设施及大型设备，中标人依据投标文件必须履行的服务功能所需的</w:t>
      </w:r>
      <w:r>
        <w:rPr>
          <w:rFonts w:hint="eastAsia" w:ascii="宋体" w:hAnsi="宋体" w:cs="宋体"/>
          <w:color w:val="auto"/>
          <w:szCs w:val="21"/>
          <w:highlight w:val="none"/>
          <w:lang w:val="en-US" w:eastAsia="zh-CN"/>
        </w:rPr>
        <w:t>所有食堂</w:t>
      </w:r>
      <w:r>
        <w:rPr>
          <w:rFonts w:hint="eastAsia" w:ascii="宋体" w:hAnsi="宋体" w:cs="宋体"/>
          <w:color w:val="auto"/>
          <w:szCs w:val="21"/>
          <w:highlight w:val="none"/>
        </w:rPr>
        <w:t>厨房</w:t>
      </w:r>
      <w:r>
        <w:rPr>
          <w:rFonts w:hint="eastAsia" w:ascii="宋体" w:hAnsi="宋体" w:cs="宋体"/>
          <w:color w:val="auto"/>
          <w:szCs w:val="21"/>
          <w:highlight w:val="none"/>
          <w:lang w:val="en-US" w:eastAsia="zh-CN"/>
        </w:rPr>
        <w:t>及用餐</w:t>
      </w:r>
      <w:r>
        <w:rPr>
          <w:rFonts w:hint="eastAsia" w:ascii="宋体" w:hAnsi="宋体" w:cs="宋体"/>
          <w:color w:val="auto"/>
          <w:szCs w:val="21"/>
          <w:highlight w:val="none"/>
        </w:rPr>
        <w:t>用具、刷卡机、易耗品等设备，由中标人根据实际就餐需要自行配备，有意者自行现场勘察。</w:t>
      </w:r>
    </w:p>
    <w:p w14:paraId="3F8AB1FB">
      <w:pPr>
        <w:shd w:val="clear" w:color="auto" w:fill="FFFFFF"/>
        <w:spacing w:before="93" w:beforeLines="30" w:after="93" w:afterLines="30"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二、经营范围（包含但不限于下述内容，具体以实际实施为准）</w:t>
      </w:r>
    </w:p>
    <w:p w14:paraId="3E1F2D17">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滁州市住房和城乡建设局</w:t>
      </w:r>
      <w:r>
        <w:rPr>
          <w:rFonts w:hint="eastAsia" w:ascii="宋体" w:hAnsi="宋体" w:cs="宋体"/>
          <w:color w:val="auto"/>
          <w:szCs w:val="21"/>
          <w:highlight w:val="none"/>
        </w:rPr>
        <w:t>机关食堂外包服务，主要为本单位职工提供一日三餐膳食服务；</w:t>
      </w:r>
    </w:p>
    <w:p w14:paraId="346B2CA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2、饭、菜、自制面点、特色糕点和风味小吃；</w:t>
      </w:r>
    </w:p>
    <w:p w14:paraId="6B9BF9B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3、负责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个包间的接待服务，有接待时须安排专职服务人员保障服务；</w:t>
      </w:r>
    </w:p>
    <w:p w14:paraId="541248B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4、经营内部超市一间，须配备果蔬、生鲜、鱼肉及生活用品等供就餐人员选择；</w:t>
      </w:r>
    </w:p>
    <w:p w14:paraId="6FFC6C0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5、每</w:t>
      </w:r>
      <w:r>
        <w:rPr>
          <w:rFonts w:hint="eastAsia" w:ascii="宋体" w:hAnsi="宋体" w:cs="宋体"/>
          <w:color w:val="auto"/>
          <w:szCs w:val="21"/>
          <w:highlight w:val="none"/>
          <w:lang w:val="en-US" w:eastAsia="zh-CN"/>
        </w:rPr>
        <w:t>日中餐应</w:t>
      </w:r>
      <w:r>
        <w:rPr>
          <w:rFonts w:hint="eastAsia" w:ascii="宋体" w:hAnsi="宋体" w:cs="宋体"/>
          <w:color w:val="auto"/>
          <w:szCs w:val="21"/>
          <w:highlight w:val="none"/>
        </w:rPr>
        <w:t>供应水果、牛奶；</w:t>
      </w:r>
    </w:p>
    <w:p w14:paraId="6711BBF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6、根据甲方工作性质和工作要求，提供饮食保障的餐饮需求。</w:t>
      </w:r>
    </w:p>
    <w:p w14:paraId="16046085">
      <w:pPr>
        <w:shd w:val="clear" w:color="auto" w:fill="FFFFFF"/>
        <w:spacing w:before="93" w:beforeLines="30" w:after="93" w:afterLines="30"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 三、经营期限</w:t>
      </w:r>
    </w:p>
    <w:p w14:paraId="52B556E0">
      <w:pPr>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服务期限为三年，合同一年一签，根据招标人考核结果决定是否续签，未达标的招标人有权终止合同并重新选取服务单位，被终止合同的供应商不得参加该项目重新招标。</w:t>
      </w:r>
    </w:p>
    <w:p w14:paraId="6FB685FE">
      <w:pPr>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w:t>
      </w:r>
      <w:bookmarkStart w:id="71" w:name="_Toc325653882"/>
      <w:bookmarkStart w:id="72" w:name="_Toc325653830"/>
      <w:bookmarkStart w:id="73" w:name="_Toc325653739"/>
      <w:r>
        <w:rPr>
          <w:rFonts w:hint="eastAsia" w:ascii="宋体" w:hAnsi="宋体" w:cs="宋体"/>
          <w:b/>
          <w:bCs/>
          <w:color w:val="auto"/>
          <w:szCs w:val="21"/>
          <w:highlight w:val="none"/>
        </w:rPr>
        <w:t>中标人试运行期三个月，三个月内试用合格后签订一年的服务合同（包含试用期）；试用不合格招标人有权终止合作另行选取服务单位。</w:t>
      </w:r>
    </w:p>
    <w:p w14:paraId="472E30E5">
      <w:pPr>
        <w:shd w:val="clear" w:color="auto" w:fill="FFFFFF"/>
        <w:spacing w:before="93" w:beforeLines="30" w:after="93" w:afterLines="30"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四、责任分工</w:t>
      </w:r>
      <w:bookmarkEnd w:id="71"/>
      <w:bookmarkEnd w:id="72"/>
      <w:bookmarkEnd w:id="73"/>
      <w:r>
        <w:rPr>
          <w:rFonts w:hint="eastAsia" w:ascii="宋体" w:hAnsi="宋体" w:cs="宋体"/>
          <w:b/>
          <w:bCs/>
          <w:color w:val="auto"/>
          <w:sz w:val="24"/>
          <w:highlight w:val="none"/>
        </w:rPr>
        <w:t>（甲方即招标人，乙方即中标人）</w:t>
      </w:r>
    </w:p>
    <w:p w14:paraId="2F287A2F">
      <w:pPr>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（一）甲方：</w:t>
      </w:r>
    </w:p>
    <w:p w14:paraId="725968C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1.甲方负责提供场地</w:t>
      </w:r>
      <w:r>
        <w:rPr>
          <w:rFonts w:hint="eastAsia" w:ascii="宋体" w:hAnsi="宋体" w:cs="宋体"/>
          <w:color w:val="auto"/>
          <w:szCs w:val="21"/>
          <w:highlight w:val="none"/>
          <w:lang w:eastAsia="zh-CN"/>
        </w:rPr>
        <w:t>，</w:t>
      </w:r>
      <w:r>
        <w:rPr>
          <w:rFonts w:hint="eastAsia" w:ascii="宋体" w:hAnsi="宋体" w:cs="宋体"/>
          <w:color w:val="auto"/>
          <w:szCs w:val="21"/>
          <w:highlight w:val="none"/>
        </w:rPr>
        <w:t>经费管理和员工就餐；</w:t>
      </w:r>
    </w:p>
    <w:p w14:paraId="754FC3B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2.负责食堂管理，对食堂的伙食质量和改善进行检查指导；</w:t>
      </w:r>
    </w:p>
    <w:p w14:paraId="7109E54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3.对食堂的卫生和伙食卫生安全进行检查、监督；</w:t>
      </w:r>
    </w:p>
    <w:p w14:paraId="3D785698">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4.对食堂设备设施和餐厨具等享有所有权，并定期进行清点检查；</w:t>
      </w:r>
    </w:p>
    <w:p w14:paraId="6FDCE3F3">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5.对乙方员工进行政治审查；</w:t>
      </w:r>
    </w:p>
    <w:p w14:paraId="030E794A">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6.要求乙方员工遵守甲方的相关规定；</w:t>
      </w:r>
    </w:p>
    <w:p w14:paraId="64EB18EB">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7.可以随时抽查乙方员工</w:t>
      </w:r>
      <w:r>
        <w:rPr>
          <w:rFonts w:hint="eastAsia" w:ascii="宋体" w:hAnsi="宋体" w:cs="宋体"/>
          <w:color w:val="auto"/>
          <w:szCs w:val="21"/>
          <w:highlight w:val="none"/>
          <w:lang w:val="en-US" w:eastAsia="zh-CN"/>
        </w:rPr>
        <w:t>的仪容仪表、精神面貌，严禁不符合卫生要求的情形</w:t>
      </w:r>
      <w:r>
        <w:rPr>
          <w:rFonts w:hint="eastAsia" w:ascii="宋体" w:hAnsi="宋体" w:cs="宋体"/>
          <w:color w:val="auto"/>
          <w:szCs w:val="21"/>
          <w:highlight w:val="none"/>
        </w:rPr>
        <w:t>；</w:t>
      </w:r>
    </w:p>
    <w:p w14:paraId="34F4483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8.可以随时要求更换未达到甲方要求的乙方员工；</w:t>
      </w:r>
    </w:p>
    <w:p w14:paraId="08E86B9B">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9.其他。</w:t>
      </w:r>
    </w:p>
    <w:p w14:paraId="2DF6BF99">
      <w:pPr>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（二）乙方：</w:t>
      </w:r>
    </w:p>
    <w:p w14:paraId="57F4FAB4">
      <w:pPr>
        <w:snapToGrid w:val="0"/>
        <w:spacing w:line="500" w:lineRule="exact"/>
        <w:ind w:firstLine="420" w:firstLineChars="200"/>
        <w:jc w:val="left"/>
        <w:rPr>
          <w:rFonts w:hint="default"/>
          <w:color w:val="auto"/>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乙方负责根据现在现场情况，对场地内已有物品进行清运及打扫（清运物品须在甲方的配合下，不可私自决定物品的处置）；</w:t>
      </w:r>
    </w:p>
    <w:p w14:paraId="013EF266">
      <w:pPr>
        <w:snapToGrid w:val="0"/>
        <w:spacing w:line="500" w:lineRule="exact"/>
        <w:ind w:firstLine="420" w:firstLineChars="200"/>
        <w:jc w:val="left"/>
        <w:rPr>
          <w:rFonts w:hint="default"/>
          <w:color w:val="auto"/>
          <w:highlight w:val="none"/>
          <w:lang w:val="en-US" w:eastAsia="zh-CN"/>
        </w:rPr>
      </w:pPr>
      <w:r>
        <w:rPr>
          <w:rFonts w:hint="eastAsia" w:ascii="宋体" w:hAnsi="宋体" w:cs="宋体"/>
          <w:color w:val="auto"/>
          <w:szCs w:val="21"/>
          <w:highlight w:val="none"/>
          <w:lang w:val="en-US" w:eastAsia="zh-CN"/>
        </w:rPr>
        <w:t>2.根据现有现场情况，进行食堂区域的装修改造，装修改造过程符合相关部门的管理规定，按要求办理整施工许可、燃气安装等证件；且装修方案及风格等，须获得甲方的认可后开始实施。</w:t>
      </w:r>
    </w:p>
    <w:p w14:paraId="03A1C30D">
      <w:pPr>
        <w:snapToGrid w:val="0"/>
        <w:spacing w:line="5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3.乙方负责采购及安装食堂开设所需的所有</w:t>
      </w:r>
      <w:r>
        <w:rPr>
          <w:rFonts w:hint="eastAsia" w:ascii="宋体" w:hAnsi="宋体" w:cs="宋体"/>
          <w:color w:val="auto"/>
          <w:szCs w:val="21"/>
          <w:highlight w:val="none"/>
        </w:rPr>
        <w:t>设施、设备、餐、厨具</w:t>
      </w:r>
      <w:r>
        <w:rPr>
          <w:rFonts w:hint="eastAsia" w:ascii="宋体" w:hAnsi="宋体" w:cs="宋体"/>
          <w:color w:val="auto"/>
          <w:szCs w:val="21"/>
          <w:highlight w:val="none"/>
          <w:lang w:val="en-US" w:eastAsia="zh-CN"/>
        </w:rPr>
        <w:t>等，相关设备采购须为合格产品且乙方负责全过程的设施设备安装及投入使用后的管理工作，如发生安全事故，由乙方承担全部责任。</w:t>
      </w:r>
    </w:p>
    <w:p w14:paraId="509E203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乙方负责伙食调剂、原材料采购加工制作、备餐、食品卫生安全和人力资源管理；</w:t>
      </w:r>
    </w:p>
    <w:p w14:paraId="22C54AF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乙方承担所有保洁用品、低值易耗品（破损餐具补充、机用液、催干剂、洗洁精、“84”消毒液、“914”保鲜膜、白提袋、卷筒塑料袋、大水勺、木筷、米筐、刷锅把、木砧板、磨刀石、锅铲把、灭蟑药、机用保险膜、不锈钢漏勺、不锈钢油格、大刨刀、小刨刀、十八子菜刀、大铁丝捞勺、不锈钢小碗、不锈钢中碗、不锈钢汤勺、不锈钢饭勺、不锈钢菜勺、铁锅、不锈钢菜夹、塑料饭盒、炒菜勺、喷水壶、小排刷、面刮刀、面铲、竹把漏勺、2518托盘、2015托盘、筷子、白色大塑料筐、蓝色大塑料筐、不锈钢中汤桶、不锈钢大菜盆、小锅铲、保鲜盒、扫把、拖把、簸箕）、保障环境卫生、食品卫生的用品、用具、购置费等。  </w:t>
      </w:r>
    </w:p>
    <w:p w14:paraId="774EE07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.乙方负责食堂内部卫生保洁，餐饮服务工作。乙方积极配合甲方科学制定采购计划，管理和节约食材，维护设备。</w:t>
      </w:r>
    </w:p>
    <w:p w14:paraId="5DF4031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.乙方必须具备有足以保证项目运行的专职工作人员。</w:t>
      </w:r>
    </w:p>
    <w:p w14:paraId="24CD2F9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.制定和执行相应的工作范围、现场管理、食品卫生安全、员工招聘、培训、调配、和奖惩等规章制度。</w:t>
      </w:r>
    </w:p>
    <w:p w14:paraId="4282B1C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.按照约定提供早、中、晚餐，保障临时性不定时工作餐的加工制作。</w:t>
      </w:r>
    </w:p>
    <w:p w14:paraId="06CB148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.乙方接到紧急保障指令后，按照指令要求的时间、地点、份数准备餐饮，使用保温桶或保温盒按时送达，</w:t>
      </w:r>
      <w:r>
        <w:rPr>
          <w:rFonts w:hint="eastAsia" w:ascii="宋体" w:hAnsi="宋体" w:cs="宋体"/>
          <w:color w:val="auto"/>
          <w:szCs w:val="21"/>
          <w:highlight w:val="none"/>
          <w:lang w:val="en-US" w:eastAsia="zh-CN"/>
        </w:rPr>
        <w:t>工作</w:t>
      </w:r>
      <w:r>
        <w:rPr>
          <w:rFonts w:hint="eastAsia" w:ascii="宋体" w:hAnsi="宋体" w:cs="宋体"/>
          <w:color w:val="auto"/>
          <w:szCs w:val="21"/>
          <w:highlight w:val="none"/>
        </w:rPr>
        <w:t>人员就餐完毕后，食堂服务人员及时清理餐具并妥善保管，以备下次使用。</w:t>
      </w:r>
    </w:p>
    <w:p w14:paraId="7590CC6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.根据伙食费标准做好伙食调剂，控制伙食成本，杜绝浪费。</w:t>
      </w:r>
    </w:p>
    <w:p w14:paraId="30B9728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.按照25元/人/天制定每周食谱，符合就餐群体的总需求、符合营养配餐要求（午餐荤菜2-4个，半荤、素菜若干，米饭、汤免费），食谱报甲方食堂管理员确认。</w:t>
      </w:r>
    </w:p>
    <w:p w14:paraId="738B642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w:t>
      </w:r>
      <w:r>
        <w:rPr>
          <w:rFonts w:hint="eastAsia" w:ascii="宋体" w:hAnsi="宋体" w:cs="宋体"/>
          <w:color w:val="auto"/>
          <w:szCs w:val="21"/>
          <w:highlight w:val="none"/>
          <w:lang w:val="en-US" w:eastAsia="zh-CN"/>
        </w:rPr>
        <w:t>需</w:t>
      </w:r>
      <w:r>
        <w:rPr>
          <w:rFonts w:hint="eastAsia" w:ascii="宋体" w:hAnsi="宋体" w:cs="宋体"/>
          <w:color w:val="auto"/>
          <w:szCs w:val="21"/>
          <w:highlight w:val="none"/>
        </w:rPr>
        <w:t>负责员工的使用、管理、教育、培训、奖惩和调配工作；负责员工意外事故和劳动纠纷的处理工作；按时支付员工工资、保险及其他福利。</w:t>
      </w:r>
    </w:p>
    <w:p w14:paraId="4758256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.负责餐饮工作人员的安全教育工作。乙方员工及第三人出现人身伤亡、财产损失事故，乙方要负完全责任，所有费用由乙方支付，甲方概不负责。</w:t>
      </w:r>
    </w:p>
    <w:p w14:paraId="719EC99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.负责食堂安全，安排专人对食堂水、电、燃气和设备设施检查，发现问题及时通报甲方。</w:t>
      </w:r>
    </w:p>
    <w:p w14:paraId="1EFAD28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虚心听取就餐人员意见，有针对性改进工作。食堂厨师长和乙方负责人须按甲方要求参与会议。甲乙双方每月还须进行一次协调会，以确保合作双方有效沟通及提高工作效率和用餐人员满意度，食堂厨师长和乙方负责人必须参会。</w:t>
      </w:r>
    </w:p>
    <w:p w14:paraId="47173DAA">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.合理使用并爱护设备设施和公物，要节约用水、电、气等，做好油烟管道的清理工作。</w:t>
      </w:r>
    </w:p>
    <w:p w14:paraId="7C72DC3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.乙方员工应严格遵守甲方的保密要求，签订保密协议。</w:t>
      </w:r>
    </w:p>
    <w:p w14:paraId="47C383B9">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.乙方为甲方所提供的食品要符合食品卫生要求，如发生其他意外，经相关部门鉴定为乙方责任的，乙方应承担全部责任及费用，甲方概不负责。</w:t>
      </w:r>
    </w:p>
    <w:p w14:paraId="64BFE2D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.乙方应为食堂定期轮换各地口味，做好厨余垃圾清运工作。</w:t>
      </w:r>
    </w:p>
    <w:p w14:paraId="4A245CD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.乙方应相应具有完善的餐饮管理体系及管理标准。</w:t>
      </w:r>
    </w:p>
    <w:p w14:paraId="6C23F7F7">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.乙方因餐饮质量、服务质量不高，经甲方提出整改意见后，仍达不到质量要求，或乙方在承包期内有一定影响的安全生产事件的，甲方有权单方面终止合同。</w:t>
      </w:r>
    </w:p>
    <w:p w14:paraId="255D189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服务经营期间，</w:t>
      </w:r>
      <w:r>
        <w:rPr>
          <w:rFonts w:hint="eastAsia" w:ascii="宋体" w:hAnsi="宋体" w:cs="宋体"/>
          <w:color w:val="auto"/>
          <w:szCs w:val="21"/>
          <w:highlight w:val="none"/>
          <w:lang w:val="en-US" w:eastAsia="zh-CN"/>
        </w:rPr>
        <w:t>乙方自行承担</w:t>
      </w:r>
      <w:r>
        <w:rPr>
          <w:rFonts w:hint="eastAsia" w:ascii="宋体" w:hAnsi="宋体" w:cs="宋体"/>
          <w:color w:val="auto"/>
          <w:szCs w:val="21"/>
          <w:highlight w:val="none"/>
        </w:rPr>
        <w:t>水、电，燃气费</w:t>
      </w:r>
      <w:r>
        <w:rPr>
          <w:rFonts w:hint="eastAsia" w:ascii="宋体" w:hAnsi="宋体" w:cs="宋体"/>
          <w:color w:val="auto"/>
          <w:szCs w:val="21"/>
          <w:highlight w:val="none"/>
          <w:lang w:val="en-US" w:eastAsia="zh-CN"/>
        </w:rPr>
        <w:t>等经营所需费用</w:t>
      </w:r>
      <w:r>
        <w:rPr>
          <w:rFonts w:hint="eastAsia" w:ascii="宋体" w:hAnsi="宋体" w:cs="宋体"/>
          <w:color w:val="auto"/>
          <w:szCs w:val="21"/>
          <w:highlight w:val="none"/>
        </w:rPr>
        <w:t>；</w:t>
      </w:r>
    </w:p>
    <w:p w14:paraId="0DC09602">
      <w:pPr>
        <w:shd w:val="clear" w:color="auto" w:fill="FFFFFF"/>
        <w:spacing w:before="93" w:beforeLines="30" w:after="93" w:afterLines="30"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五、管理要求</w:t>
      </w:r>
    </w:p>
    <w:p w14:paraId="2BEB349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1、中标方对招标人提供的经营场所,进行</w:t>
      </w:r>
      <w:r>
        <w:rPr>
          <w:rFonts w:hint="eastAsia" w:ascii="宋体" w:hAnsi="宋体" w:cs="宋体"/>
          <w:color w:val="auto"/>
          <w:szCs w:val="21"/>
          <w:highlight w:val="none"/>
          <w:lang w:val="en-US" w:eastAsia="zh-CN"/>
        </w:rPr>
        <w:t>应有的所有</w:t>
      </w:r>
      <w:r>
        <w:rPr>
          <w:rFonts w:hint="eastAsia" w:ascii="宋体" w:hAnsi="宋体" w:cs="宋体"/>
          <w:color w:val="auto"/>
          <w:szCs w:val="21"/>
          <w:highlight w:val="none"/>
        </w:rPr>
        <w:t>装修并添置厨房设备</w:t>
      </w:r>
      <w:r>
        <w:rPr>
          <w:rFonts w:hint="eastAsia" w:ascii="宋体" w:hAnsi="宋体" w:cs="宋体"/>
          <w:color w:val="auto"/>
          <w:szCs w:val="21"/>
          <w:highlight w:val="none"/>
          <w:lang w:val="en-US" w:eastAsia="zh-CN"/>
        </w:rPr>
        <w:t>及所需全部设施</w:t>
      </w:r>
      <w:r>
        <w:rPr>
          <w:rFonts w:hint="eastAsia" w:ascii="宋体" w:hAnsi="宋体" w:cs="宋体"/>
          <w:color w:val="auto"/>
          <w:szCs w:val="21"/>
          <w:highlight w:val="none"/>
        </w:rPr>
        <w:t>，中标方在经营期间进行必要的维护并做好记录。中标方因工作需要自购增添的燃气灶等</w:t>
      </w:r>
      <w:r>
        <w:rPr>
          <w:rFonts w:hint="eastAsia" w:ascii="宋体" w:hAnsi="宋体" w:cs="宋体"/>
          <w:color w:val="auto"/>
          <w:szCs w:val="21"/>
          <w:highlight w:val="none"/>
          <w:lang w:val="en-US" w:eastAsia="zh-CN"/>
        </w:rPr>
        <w:t>所有</w:t>
      </w:r>
      <w:r>
        <w:rPr>
          <w:rFonts w:hint="eastAsia" w:ascii="宋体" w:hAnsi="宋体" w:cs="宋体"/>
          <w:color w:val="auto"/>
          <w:szCs w:val="21"/>
          <w:highlight w:val="none"/>
        </w:rPr>
        <w:t>厨房设备必须符合食品安全及消防安全要求。中标人必须对提供的设施、设备进行定期保养、维护，定期清洗油烟罩及油烟管道并做好相关记录。</w:t>
      </w:r>
    </w:p>
    <w:p w14:paraId="3EDEEB4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中标后，需对招标人提供的场所进行装修，并自备餐饮设备、用具等，所分割的操作间、功能用房等可自主调整，必须经招标人同意，且流程须符合食品卫生监督机构的要求；乙方自行负责卫生、垃圾清运费及管道疏通、窨井清淤等费用，并缴纳工商管理费、税费等各项行政事业性收费；</w:t>
      </w:r>
    </w:p>
    <w:p w14:paraId="1C27608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经营期间须向招标人提供优质的餐饮服务，保证一日三餐正点，足量、优质、饭菜价格合理。不准出售变质、变味以及剩饭菜，保证按需供应，做到安全卫生，新鲜可口，品种多样，早、晚餐主副食品种分别不少于</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种，中餐主副食品种不少于</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种，主要供应本单位职工就餐及根据招标人需要的应急保障等，若经营期间遇突发原因（停电、停水、停气及疫情等），中标人必须无条件保质保量提供招标人餐饮服务，所产生的任何费用由中标人自行承担。</w:t>
      </w:r>
    </w:p>
    <w:p w14:paraId="09FCE2CA">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4、中标人要接受招标人的指导和管理。相关许可证等报批由中标人自行办理，产生的一切费用由中标人承担，招标方协助提供有关文件资料。</w:t>
      </w:r>
    </w:p>
    <w:p w14:paraId="3FB739CB">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5、中标人拥有食堂自主经营权，自负盈亏，卫生检疫、工作人员体检、环保验收等费用均由中标人自理，因中标人经营管理不善造成人员食物中毒，由中标人全权负责并承担法律责任。</w:t>
      </w:r>
    </w:p>
    <w:p w14:paraId="334C532A">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中标人有工作人员岗位责任、职业道德、行为规范与考核制度。相关人员符合食品安全上岗健康要求；有食品安全与卫生管理制度和膳食经营管理制度（财务管理、经营核算、设备维护等）；有配送餐饮的措施并落实。</w:t>
      </w:r>
    </w:p>
    <w:p w14:paraId="2339FAB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中标人有食品原料采购、仓储、加工的卫生管理相关制度和规范，符合卫生管理要求并落实；有食品留样相关制度并落实；相关人员知晓本部门、本岗位的履职要求；有措施保障食品卫生管理相关制度和规范的落实。</w:t>
      </w:r>
    </w:p>
    <w:p w14:paraId="79AA6BA8">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中标人如在经营期间不能保证食堂正常运转，本单位职工普遍反映较差或履遭投诉，经相关科室核准并报请招标人同意，招标人有权解除中标合同，中标人自收到招标人书面通知十日内，无条件交回经营场地，其前期投资的设施、设备、用具等物品自行处置，中标人不得以任何理由拒绝。</w:t>
      </w:r>
    </w:p>
    <w:p w14:paraId="03FEA7B3">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9、经营期内未征得招标方书面同意，不得擅自破坏房屋结构及改变房屋的用途，不得转包给第三方经营，更不能利用招标人资产搞不法经营。一经发现，招标方有权收回房屋，一切损失由中标方自行承担。</w:t>
      </w:r>
    </w:p>
    <w:p w14:paraId="7B5E1C1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10、经营所需原材料由中标人自行采购，并建台账和三餐饭菜留样。</w:t>
      </w:r>
    </w:p>
    <w:p w14:paraId="7C726F7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11、中标人经营服务所需用工必须符合《劳动合同法》要求，依法用工。如发生用工纠纷，由中标人自行负责。</w:t>
      </w:r>
    </w:p>
    <w:p w14:paraId="0948586C">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12、中标人负责生产场所的用电、天然气等消防安全工作，服从招标人职能部门的统一管理，确保安全生产无事故。</w:t>
      </w:r>
    </w:p>
    <w:p w14:paraId="21AE68EB">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13、招标人有权对食堂的财务状况、经营状况、成本、利润、服务质量、饭菜价格进行监督检查；经营期间必须服从招标人的监督管理，如不服从，招标人有权终止双方合同。</w:t>
      </w:r>
    </w:p>
    <w:p w14:paraId="7DAFA3F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14、餐厅、操作间及房屋周边3米内均属于中标人管理范围，中标人保证经营区域卫生、整洁。</w:t>
      </w:r>
    </w:p>
    <w:p w14:paraId="070A0863">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15、工作人员要遵守食品安全法规以及招标人管理规定，要有良好的服务态度并监督实施，不能与职工发生争吵或冲突，如发现有违反上述要求的情况，招标人有权视情节提出处理意见。</w:t>
      </w:r>
    </w:p>
    <w:p w14:paraId="0EB1FD9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16、中标方必须自行规范安装防鼠、灭蚊蝇、蟑螂等病媒防治设施、设备，食堂的卫生防疫、就餐环境必须达到招标人及市卫生监督管理部门制定的标准，招标人有权监督，并定期进行检查。</w:t>
      </w:r>
    </w:p>
    <w:p w14:paraId="6B95E4C9">
      <w:pPr>
        <w:snapToGrid w:val="0"/>
        <w:spacing w:line="500" w:lineRule="exact"/>
        <w:ind w:firstLine="420" w:firstLineChars="200"/>
        <w:jc w:val="left"/>
        <w:rPr>
          <w:rFonts w:ascii="宋体" w:hAnsi="宋体" w:cs="宋体"/>
          <w:b/>
          <w:bCs/>
          <w:color w:val="auto"/>
          <w:sz w:val="22"/>
          <w:szCs w:val="22"/>
          <w:highlight w:val="none"/>
        </w:rPr>
      </w:pPr>
      <w:r>
        <w:rPr>
          <w:rFonts w:hint="eastAsia" w:ascii="宋体" w:hAnsi="宋体" w:cs="宋体"/>
          <w:color w:val="auto"/>
          <w:szCs w:val="21"/>
          <w:highlight w:val="none"/>
        </w:rPr>
        <w:t>17、</w:t>
      </w:r>
      <w:r>
        <w:rPr>
          <w:rFonts w:hint="eastAsia" w:ascii="宋体" w:hAnsi="宋体" w:cs="宋体"/>
          <w:b/>
          <w:bCs/>
          <w:color w:val="auto"/>
          <w:sz w:val="22"/>
          <w:szCs w:val="22"/>
          <w:highlight w:val="none"/>
        </w:rPr>
        <w:t>中标方在</w:t>
      </w:r>
      <w:r>
        <w:rPr>
          <w:rFonts w:hint="eastAsia" w:ascii="宋体" w:hAnsi="宋体" w:cs="宋体"/>
          <w:b/>
          <w:bCs/>
          <w:color w:val="auto"/>
          <w:sz w:val="22"/>
          <w:szCs w:val="22"/>
          <w:highlight w:val="none"/>
          <w:lang w:val="en-US" w:eastAsia="zh-CN"/>
        </w:rPr>
        <w:t>合同签订后30日内，须根据现有情况进行装修及购置够做，在30日内具备经营条件；</w:t>
      </w:r>
      <w:r>
        <w:rPr>
          <w:rFonts w:hint="eastAsia" w:ascii="宋体" w:hAnsi="宋体" w:cs="宋体"/>
          <w:b/>
          <w:bCs/>
          <w:color w:val="auto"/>
          <w:sz w:val="22"/>
          <w:szCs w:val="22"/>
          <w:highlight w:val="none"/>
        </w:rPr>
        <w:t>接到招标方正式运营的通知5日内，</w:t>
      </w:r>
      <w:r>
        <w:rPr>
          <w:rFonts w:hint="eastAsia" w:ascii="宋体" w:hAnsi="宋体" w:cs="宋体"/>
          <w:b/>
          <w:bCs/>
          <w:color w:val="auto"/>
          <w:sz w:val="22"/>
          <w:szCs w:val="22"/>
          <w:highlight w:val="none"/>
          <w:lang w:val="en-US" w:eastAsia="zh-CN"/>
        </w:rPr>
        <w:t>正式运营。</w:t>
      </w:r>
      <w:r>
        <w:rPr>
          <w:rFonts w:hint="eastAsia" w:ascii="宋体" w:hAnsi="宋体" w:cs="宋体"/>
          <w:b/>
          <w:bCs/>
          <w:color w:val="auto"/>
          <w:sz w:val="22"/>
          <w:szCs w:val="22"/>
          <w:highlight w:val="none"/>
        </w:rPr>
        <w:t>售卖期间确保餐厅空调等所有设施、设备可以正常运行并投入使用，保证本单位职工就餐时的舒适。</w:t>
      </w:r>
    </w:p>
    <w:p w14:paraId="26D6791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18、食堂如因招标人重新规划、动迁、改造，给乙方造成的损失，甲方不负担任何赔偿责任。</w:t>
      </w:r>
    </w:p>
    <w:p w14:paraId="77A7FEFA">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19、中标方必须提供清洁消毒的餐具给本单位职工就餐使用，外卖餐盒须使用便于携带且能用微波加热的塑料餐盒，只可收取成本费。</w:t>
      </w:r>
    </w:p>
    <w:p w14:paraId="0FCBDB5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20、中标方自行配备的本单位职工就餐消费卡机、电脑等设备，招标人有权随时查看后台的信息数据。</w:t>
      </w:r>
    </w:p>
    <w:p w14:paraId="5AA815C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21、中标方作为反对餐饮浪费、厉行节约的前沿，必须率先垂范并制止餐饮浪费行为，同时积极开展绿色食堂的建设。</w:t>
      </w:r>
    </w:p>
    <w:p w14:paraId="41AFA264">
      <w:pPr>
        <w:snapToGrid w:val="0"/>
        <w:spacing w:line="5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中标方在投入经营后，日常派驻在现场的工作团队人员不得少于15人，且各岗位人员应具有满足岗位要求的证书（包括但不限于健康证、厨师证、食品安全管理员证书等）</w:t>
      </w:r>
    </w:p>
    <w:p w14:paraId="78BA7B3C">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中标方不得使用国家明令禁止的一次性不可降解的塑料制品。</w:t>
      </w:r>
    </w:p>
    <w:p w14:paraId="14003F4C">
      <w:pPr>
        <w:shd w:val="clear" w:color="auto" w:fill="FFFFFF"/>
        <w:spacing w:before="93" w:beforeLines="30" w:after="93" w:afterLines="30"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六、食材要求</w:t>
      </w:r>
    </w:p>
    <w:p w14:paraId="1DA0359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1、不得使用转基因食物及含有转基因成分的主、辅料。</w:t>
      </w:r>
    </w:p>
    <w:p w14:paraId="301A044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2、采购的大米、面粉、食用油以及禽畜肉类、果蔬、水产品等食品原材料必须保存进货证明、检验检疫证明：</w:t>
      </w:r>
    </w:p>
    <w:p w14:paraId="1CF165B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（1）大米质量不低于《大米》（GB1354）二级粳米要求，面粉质量不低于《小麦粉国家质量标准》（GB1355）二级中筋小麦粉要求，符合国家粮食卫生标准；</w:t>
      </w:r>
    </w:p>
    <w:p w14:paraId="7FFA4AF3">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（2）新鲜、优质的生猪肉原料，符合国家食品卫生的有关规定。不得提供病猪肉、死猪肉、变质肉、种猪肉、注水肉；</w:t>
      </w:r>
    </w:p>
    <w:p w14:paraId="2CCBF753">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（3）食用油要求：产品取得QS标志，具有产品合格证，符合现行国家标准。</w:t>
      </w:r>
    </w:p>
    <w:p w14:paraId="0315687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中标人必须严格把好食品卫生安全关，必须严格执行食品质量检验与留样制度。留存食品必须做到有早餐、中餐、晚餐标签、留足数量（每个品种留样量不少于125克）、留足时间（专用冰箱冷藏条件下存放48小时以上）、留样登记、留样人、进货索证等常规安全手续并做好存档资料工作；</w:t>
      </w:r>
    </w:p>
    <w:p w14:paraId="603FA4B8">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4、不得采购不合格食品（三无产品或原料），不采购和使用含铝膨松剂、人工色素以及含有人工色素的食品原料及调味品。</w:t>
      </w:r>
    </w:p>
    <w:p w14:paraId="534DC1B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中标人必须严格按《中华人民共和国食品安全法》要求，通过正规渠道、可靠供应商、蔬菜基地和批发市场等采购优质原料精心制作各种食品，注重色、香、味美，做到饭熟菜香、可口足量、营养搭配科学合理。</w:t>
      </w:r>
    </w:p>
    <w:p w14:paraId="4BA7D497">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中标人必须遵守国家规定的卫生管理条例，必须保证供应新鲜的鱼、肉、蔬菜等，饭菜卫生要保证，若发现食用腐烂变质鱼、肉、蔬菜，引起的食物卫生事故，由此产生的一切责任和经济损失由中标人负责，招标人有权终止合同。</w:t>
      </w:r>
    </w:p>
    <w:p w14:paraId="09710F6C">
      <w:pPr>
        <w:shd w:val="clear" w:color="auto" w:fill="FFFFFF"/>
        <w:spacing w:before="93" w:beforeLines="30" w:after="93" w:afterLines="30"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七、招标人对食堂经营要求及经营者处违约金标准 </w:t>
      </w:r>
    </w:p>
    <w:p w14:paraId="743FAED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1、经营人不允许分包、二次转包或委托他人经营食堂，更不能违法经营。一经发现，招标人有权取消其承包资格，并给予经济处罚或诉诸法律。</w:t>
      </w:r>
    </w:p>
    <w:p w14:paraId="4A86494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2．食堂由中标餐饮企业负责经营，任命一位有资质、有经验的管理人员，全权负责食堂的日常管理，并接受招标人的监督管理，落实合同约定的要求。</w:t>
      </w:r>
    </w:p>
    <w:p w14:paraId="42F8E5B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招标人负责全面监管，经营人自主经营，独立核算、自负盈亏。工作人员全部由经营人自行安排，与招标人不存在雇佣等劳动关系，经营人应按规定与工作人员签订劳动合同，并依照新劳动法规定为工作人员购买社会保险。经营人及其雇佣人员，发生任何人身财产的意外损害均由经营人自行承担，与招标人无关。 </w:t>
      </w:r>
    </w:p>
    <w:p w14:paraId="71CA939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4、重视和搞好食品卫生安全和食堂卫生防疫工作，就餐环境必须达到招标人和上级主管部门制定的标准。如因经营人的管理不善造成安全事故，由经营人负全部责任。</w:t>
      </w:r>
    </w:p>
    <w:p w14:paraId="61D86F2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所有招标人添置设备乙方须妥善保管、维护，经营服务期结束后，必须维修至完好无损，方可交还招标人，如有遗失、损坏按购置实际价格赔偿。承包期间经营人为必须履行的服务功能所添置的厨具、刷卡机等设备，承包期满后由经营人自行处理，招标人不接收。</w:t>
      </w:r>
    </w:p>
    <w:p w14:paraId="5A345339">
      <w:pPr>
        <w:snapToGrid w:val="0"/>
        <w:spacing w:line="50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、经营期间，因管理不善造成他人伤害及经济损失，由经营人全部承担，招标人不负连带责任。</w:t>
      </w:r>
    </w:p>
    <w:p w14:paraId="2F4D570D">
      <w:pPr>
        <w:snapToGrid w:val="0"/>
        <w:spacing w:line="50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、经营人所聘用人员必须向招标人提供其身份证、健康证及相应的职业资格证书，报招标人批准备案，培训考核合格并与经营人签定合同后方可上岗。培训内容：《中华人民共和国食品安全法》等。</w:t>
      </w:r>
    </w:p>
    <w:p w14:paraId="6903CCE7">
      <w:pPr>
        <w:snapToGrid w:val="0"/>
        <w:spacing w:line="50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、所供菜肴须品种多样、营养丰富,每天要求更换其中的三分之一品种。</w:t>
      </w:r>
    </w:p>
    <w:p w14:paraId="3342DE2B">
      <w:pPr>
        <w:snapToGrid w:val="0"/>
        <w:spacing w:line="50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、食堂必须明码标价,且定价、定量须经过招标人监管部门认可、备案，不得随意涨价，如发现一次扣罚200元，三次及以上加倍处罚。</w:t>
      </w:r>
    </w:p>
    <w:p w14:paraId="5B4910FA">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10、乙方需对经营中的服务质量、食品卫生、品种、价格、口味、毛利率等方面作出必要的承诺，随时接受招标人的监督管理。</w:t>
      </w:r>
    </w:p>
    <w:p w14:paraId="6395740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11、部分饭菜价格定量标准如下：</w:t>
      </w:r>
    </w:p>
    <w:p w14:paraId="2E83C00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荤、素菜按市场批发价核算，食品定价原则必须分别按质量、数量、原料进货价格不同，合理定价，保证质优价廉、营养卫生，菜、点心单项毛利率均控制在50％范围内、米蒸成饭的价格不得高于米价的30%，未经厨房加工的食品及食品原料、等物品毛利率不得高于20%，高中低档菜肴满足不同层次的消费需求（中低档菜，不低于所有品种的 2/3）。</w:t>
      </w:r>
    </w:p>
    <w:p w14:paraId="63FA248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（2）饭、粥一律用当年合格粳米，在当年稻谷未上市的情况下，方可使用上一年合格粳米。</w:t>
      </w:r>
    </w:p>
    <w:p w14:paraId="6071551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（3）其他熟食成品质量、数量不低于市场批发价标准，价格不高于市场批发价标准。 若经营人违反约定，如饭菜数量少、质量差、温度低、不卫生， 招标人有权给予经营人处违约金，直至停业整顿，行为恶劣的，招标人有权取消其承包资格。</w:t>
      </w:r>
    </w:p>
    <w:p w14:paraId="3EE94FF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12、招标人对经营人处违约金标准 </w:t>
      </w:r>
    </w:p>
    <w:p w14:paraId="375F1B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（1）不明码公示饭菜价格，处违约金200元/次。 </w:t>
      </w:r>
    </w:p>
    <w:p w14:paraId="6F8187A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（2）饭菜价格检查利润超过招标人规定要求，如发现超出一次扣罚200元。</w:t>
      </w:r>
    </w:p>
    <w:p w14:paraId="3C68FAEC">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（3）不遵守招标人统一规定的饭菜价格，查出一次处违约金200元。</w:t>
      </w:r>
    </w:p>
    <w:p w14:paraId="1228059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（4）不准闲杂人员进入操作间，发现一次处违约金100元。 </w:t>
      </w:r>
    </w:p>
    <w:p w14:paraId="1C8DD7E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（5）餐厅、操作间苍蝇密度每视距不得超过三只的规定，否则处违约金200元。 </w:t>
      </w:r>
    </w:p>
    <w:p w14:paraId="2805D247">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（6）食堂必须具有病媒防治措施，否则处违约金500元/次。 </w:t>
      </w:r>
    </w:p>
    <w:p w14:paraId="7521782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（7）生熟物品及加工用具必须明确标志，分开使用，否则发现一次处违约金200元。 </w:t>
      </w:r>
    </w:p>
    <w:p w14:paraId="52A7F3E7">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（8）禁止加热售卖隔餐剩饭、剩菜，否则发现一次处违约金 200元。 </w:t>
      </w:r>
    </w:p>
    <w:p w14:paraId="72F039D7">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（9）冰柜定期清理、生熟分开存放，违者处违约金200元。 </w:t>
      </w:r>
    </w:p>
    <w:p w14:paraId="7E78D9F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（10）对餐具及用具应及时消毒，未及时消毒发现一次处违约金500元。 </w:t>
      </w:r>
    </w:p>
    <w:p w14:paraId="53AAC24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（11）垃圾必须送到指定地点，乱倒垃圾，发现一次处违约金2000元。 </w:t>
      </w:r>
    </w:p>
    <w:p w14:paraId="04390AA9">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（12）操作间打扫不干净，发现一次处违约金200元。 </w:t>
      </w:r>
    </w:p>
    <w:p w14:paraId="371D8BF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13、经营期结束，必须完好地移交招标人提供的物资，如损坏按价赔偿。及时撤走经营人自备物资，把场所交给招标人，迟交一天处违约金500元，直至招标人强制搬出。</w:t>
      </w:r>
    </w:p>
    <w:p w14:paraId="06769B1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14、食堂（含餐厅、操作间）的泔水处理，经营人必须与收集人签有协议，报招标人备案。 </w:t>
      </w:r>
    </w:p>
    <w:p w14:paraId="02612E13">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15、招标人对经营环境、就餐人数、经营时间等不作任何承诺。</w:t>
      </w:r>
    </w:p>
    <w:p w14:paraId="3C6B70A7">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16、经营人在经营期间所产生债务赊欠责任自负。</w:t>
      </w:r>
    </w:p>
    <w:p w14:paraId="373FA83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17、经营人对食堂的水电装修及房屋结构等改造，需经招标人同意后方可施工，费用由经营人自负，承包期满后所有设施归招标人所有。</w:t>
      </w:r>
    </w:p>
    <w:p w14:paraId="206BA62A">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18、招标人设专职食堂卫生安全管理员，对经营人进菜、配菜、营养搭配、服务水平及卫生状况进行检查监督，并有权要求经营人及时整改，经营人应服从招标人职能部门管理。</w:t>
      </w:r>
    </w:p>
    <w:p w14:paraId="7F43CEDB">
      <w:pPr>
        <w:snapToGrid w:val="0"/>
        <w:spacing w:line="50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19</w:t>
      </w:r>
      <w:r>
        <w:rPr>
          <w:rFonts w:hint="eastAsia" w:ascii="宋体" w:hAnsi="宋体" w:cs="宋体"/>
          <w:color w:val="auto"/>
          <w:szCs w:val="21"/>
          <w:highlight w:val="none"/>
        </w:rPr>
        <w:t>、经营人应依法经营、履行协议，严禁违法经营和超范围经营。不得销售“三无”产品以及违禁物品；否则视为违约。</w:t>
      </w:r>
    </w:p>
    <w:p w14:paraId="77F590C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经营人要对所聘用人员签订劳务用工合同报招标人备案，并负责聘用人员的工资奖金、社保福利的发放；经营人负责对所聘用人员的职业道德教育和安全教育工作。经营方任何人员出现工伤或死亡事故，经营人要负完全责任，所有费用由经营人支付，招标人不承担任何责任。</w:t>
      </w:r>
    </w:p>
    <w:p w14:paraId="291D159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21、经营人应严格遵守《食品安全法》、《环境保护法》及招标人的相关规定。具体如下：</w:t>
      </w:r>
    </w:p>
    <w:p w14:paraId="7DEC338B">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（1）食堂内餐具必须严格做到一刮、二洗、三冲、四消毒、五保洁，应保证消毒柜的正常运行和使用；</w:t>
      </w:r>
    </w:p>
    <w:p w14:paraId="11BD049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（2）食堂工作人员衣帽必须统一、穿戴整齐，保持整洁，每个员工应有冬、夏工作服各两套；</w:t>
      </w:r>
    </w:p>
    <w:p w14:paraId="007738D8">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（3）食堂内应有健全的防鼠、防蝇、防蟑螂等病媒防治措施；</w:t>
      </w:r>
    </w:p>
    <w:p w14:paraId="1ECA61CB">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（4）经营人应制订食堂卫生管理制度，搞好操作间、餐厅及食堂周围室内外环境卫生，要求每餐一小扫、每天一大扫，建立食堂卫生安全工作自查台帐记录；</w:t>
      </w:r>
    </w:p>
    <w:p w14:paraId="32442DF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（5）食堂所有垃圾应倒在招标人指定的垃圾收集点，否则招标人将从经营人的月度未结算金额中扣除卫生管理费200元/次；垃圾清运费用由经营人和物业公司结算。</w:t>
      </w:r>
    </w:p>
    <w:p w14:paraId="14357AE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（6）食堂工作人员应讲卫生，进操作间不准戴首饰、不准涂指甲油、必须穿工作服，售饭时必须戴口罩和一次性手套；</w:t>
      </w:r>
    </w:p>
    <w:p w14:paraId="69CABFC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（7）食堂严禁出售假冒、伪劣、过期、腐烂、变质、有毒物品。</w:t>
      </w:r>
    </w:p>
    <w:p w14:paraId="1881AFF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经营人必须严格遵守食品原料（如：米、面、油、肉、调味品、豆类等）采购制度，购买物品必须做到定点采购，严禁随意采购，并且要及时索要供应商的食品卫生许可证、营业执照复印件，招标人保留在必要时，会同经营人共同通过招标采购确定的权利。对于青菜之类食品要让卖方出具签字手续，并建立台账每月向招标人报备。</w:t>
      </w:r>
    </w:p>
    <w:p w14:paraId="06F11CB8">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经营人储藏食品原料必须离地、离墙20cm以上，食品按种类分类，分柜存放，并实行标签化管理；食品贮存场所禁止存放有毒、有害物品及个人生活物品；食品不得与药品、杀虫剂、洗涤剂、防腐剂、杂品等物品混放；生、熟食品要分开存放。</w:t>
      </w:r>
    </w:p>
    <w:p w14:paraId="7C1E73AE">
      <w:pPr>
        <w:snapToGrid w:val="0"/>
        <w:spacing w:line="50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24</w:t>
      </w:r>
      <w:r>
        <w:rPr>
          <w:rFonts w:hint="eastAsia" w:ascii="宋体" w:hAnsi="宋体" w:cs="宋体"/>
          <w:color w:val="auto"/>
          <w:szCs w:val="21"/>
          <w:highlight w:val="none"/>
        </w:rPr>
        <w:t>、经营人加工食品必须严格执行卫生标准，做到双刀、双案，洗菜、洗肉、洗刷餐具是三个水池，加工食品分类、分区摆放，并且标志张贴明显。</w:t>
      </w:r>
    </w:p>
    <w:p w14:paraId="5BEE6D6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经营人保证采购、制作、销售的食品质量要求符合国家的卫生、安全标准，并保证随时接受招标人对食堂进货渠道和产品质量检查与监督。如果发现三无食品、过期食品、劣质食品、劣质米、无检疫猪肉，招标人将进行处罚；若受到工商部门或卫生防疫部门的处罚，由经营人承担一切责任。</w:t>
      </w:r>
    </w:p>
    <w:p w14:paraId="689F7FD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、经营人应认真做好防火、防盗、卫生防疫及有关安全工作，若出现安全事故，其责任完全由经营人承担。</w:t>
      </w:r>
    </w:p>
    <w:p w14:paraId="4202395A">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27、若经营人在经营中，造成食物中毒等重大事故者，承担在此事故中的全部法律责任和所有费用，招标人有权解除协议，造成损失由经营人负责，情节严重的走司法程序。</w:t>
      </w:r>
    </w:p>
    <w:p w14:paraId="339A7B3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28、经营人要按招标人规定的就餐时间准备饭菜，不得拖延；如遇特殊情况须延迟应及时通知招标人。</w:t>
      </w:r>
    </w:p>
    <w:p w14:paraId="73C1A85B">
      <w:pPr>
        <w:snapToGrid w:val="0"/>
        <w:spacing w:line="500" w:lineRule="exact"/>
        <w:ind w:firstLine="420" w:firstLineChars="20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、经营人应在食堂显著地方公布菜谱价格，并接受招标人监督。若经营人供应饭菜价格与市场价格差异较大，招标人有权向经营人提出相关建议并督促经营人加以整改。</w:t>
      </w:r>
    </w:p>
    <w:p w14:paraId="0F8C7C38">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30、经营人在经营过程中注意维护招标人的财产不受损失，不得将产权属招标人的设备、用具等拿出招标单位外；承包期内招标人食堂内的固定资产由经营人负责管理使用，维修年检一切费用由经营人自己承担。</w:t>
      </w:r>
    </w:p>
    <w:p w14:paraId="73ECEF9C">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31、若工商、税务、卫生监督等行政管理部门需要收取有关费用（含税费）由经营人自负。</w:t>
      </w:r>
    </w:p>
    <w:p w14:paraId="4D79F87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32、若经营人有违反上述之规定，招标人有权对经营人进行经济处罚、限期整改乃至停业整改，情节严重的可以解除协议。</w:t>
      </w:r>
    </w:p>
    <w:p w14:paraId="3E2D7C5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33、违约责任</w:t>
      </w:r>
    </w:p>
    <w:p w14:paraId="68B923F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33.1经营人若中途停止营业，所在月度不予结算，作为经营人不正常营业给招标人造成损失的补偿。</w:t>
      </w:r>
    </w:p>
    <w:p w14:paraId="39B444A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33.2经营人因违反《食品安全法》、《环境保护法》给招标人造成损失，经营人应负全部经济责任及相关法律责任。</w:t>
      </w:r>
    </w:p>
    <w:p w14:paraId="73DD530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33.3承包期满或解除、终止协议时，经营人应将招标人所有固定资产（设备设施）完好交还招标人（自然损耗自行购置设备除外），否则项招标人支付实际维修费或赔偿费。</w:t>
      </w:r>
    </w:p>
    <w:p w14:paraId="1874DC5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33.4经营人逾期无法办理从业人员健康证，招标人有权责令经营人整改。因经营人不具备条件而被卫生防疫部门处罚，经营人应负赔偿责任。</w:t>
      </w:r>
    </w:p>
    <w:p w14:paraId="24AEC0B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33.5若经营人违反本协议中的没有注明处违约金条款的，招标人将有权责令其限期整改，并视情况直接从经营人未结算款项中每次扣除500元直至全部，作为经营人违约给招标人造成损失的补偿，若违约金使用超过月度结算金额，超出的部分由经营人如数交纳，协议自行解除。</w:t>
      </w:r>
    </w:p>
    <w:p w14:paraId="0EDAEC6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33.6若经营人将所承包的招标人食堂转包给他人经营，则招标人有权中止协议。</w:t>
      </w:r>
    </w:p>
    <w:p w14:paraId="18BA6BB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33.7招标人若违反本协议的有关约定，招标人应给予经营人赔偿。如因不可抗拒或国家政策因素引起的变化，招标人不承担因此而给承包人造成的任何损失。</w:t>
      </w:r>
    </w:p>
    <w:p w14:paraId="3B618B08">
      <w:pPr>
        <w:shd w:val="clear" w:color="auto" w:fill="FFFFFF"/>
        <w:spacing w:before="93" w:beforeLines="30" w:after="93" w:afterLines="30"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八、其他需要说明的事项</w:t>
      </w:r>
    </w:p>
    <w:p w14:paraId="616B2D3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经营服务单位需接受招标人委托的第三方机构不定期的抽样检查，如发现问题招标人有权要求服务单位按要求进行整改，连续两次抽检不合格或整改不合格的，招标人有权终止合同，并另行选择服务单位。</w:t>
      </w:r>
    </w:p>
    <w:p w14:paraId="1447C46C">
      <w:pPr>
        <w:spacing w:line="500" w:lineRule="exact"/>
        <w:ind w:firstLine="420" w:firstLineChars="200"/>
        <w:jc w:val="left"/>
        <w:rPr>
          <w:rFonts w:ascii="宋体"/>
          <w:b/>
          <w:color w:val="auto"/>
          <w:sz w:val="32"/>
          <w:szCs w:val="32"/>
          <w:highlight w:val="none"/>
        </w:rPr>
      </w:pPr>
      <w:r>
        <w:rPr>
          <w:rFonts w:hint="eastAsia" w:ascii="宋体" w:hAnsi="宋体" w:cs="宋体"/>
          <w:color w:val="auto"/>
          <w:szCs w:val="21"/>
          <w:highlight w:val="none"/>
        </w:rPr>
        <w:t>抽检内容包含但不限于：1.食堂环境；2.防蚊蝇、虫情况；3.废弃物处理情况；4.食堂原材料是否合格；5.从业人员健康、卫生情况；6.原材料及食品采购日期、发票、存储情况；7.食品经营加工过程；8.生、熟物隔离存放情况；9.餐具消毒情况；10.垃圾分类情况等。</w:t>
      </w:r>
      <w:r>
        <w:rPr>
          <w:rFonts w:hint="eastAsia" w:ascii="宋体"/>
          <w:b/>
          <w:color w:val="auto"/>
          <w:sz w:val="32"/>
          <w:szCs w:val="32"/>
          <w:highlight w:val="none"/>
        </w:rPr>
        <w:br w:type="page"/>
      </w:r>
    </w:p>
    <w:p w14:paraId="2A628818">
      <w:pPr>
        <w:spacing w:before="156" w:beforeLines="50" w:after="156" w:afterLines="50" w:line="600" w:lineRule="exact"/>
        <w:jc w:val="center"/>
        <w:outlineLvl w:val="0"/>
        <w:rPr>
          <w:rFonts w:ascii="宋体"/>
          <w:b/>
          <w:color w:val="auto"/>
          <w:sz w:val="32"/>
          <w:szCs w:val="32"/>
          <w:highlight w:val="none"/>
        </w:rPr>
      </w:pPr>
      <w:r>
        <w:rPr>
          <w:rFonts w:hint="eastAsia" w:ascii="宋体"/>
          <w:b/>
          <w:color w:val="auto"/>
          <w:sz w:val="32"/>
          <w:szCs w:val="32"/>
          <w:highlight w:val="none"/>
        </w:rPr>
        <w:t>第五章 合同格式（参考）</w:t>
      </w:r>
    </w:p>
    <w:p w14:paraId="77F6808B">
      <w:pPr>
        <w:spacing w:line="360" w:lineRule="auto"/>
        <w:ind w:left="360"/>
        <w:jc w:val="center"/>
        <w:rPr>
          <w:rFonts w:ascii="宋体"/>
          <w:b/>
          <w:color w:val="auto"/>
          <w:szCs w:val="21"/>
          <w:highlight w:val="none"/>
        </w:rPr>
      </w:pPr>
      <w:bookmarkStart w:id="74" w:name="_Toc23785_WPSOffice_Level2"/>
      <w:r>
        <w:rPr>
          <w:rFonts w:hint="eastAsia" w:ascii="宋体"/>
          <w:b/>
          <w:color w:val="auto"/>
          <w:szCs w:val="21"/>
          <w:highlight w:val="none"/>
        </w:rPr>
        <w:t>本合同模板仅供参考，具体内容以实际签订合同为准</w:t>
      </w:r>
      <w:bookmarkEnd w:id="74"/>
    </w:p>
    <w:p w14:paraId="3543775B">
      <w:pPr>
        <w:spacing w:line="480" w:lineRule="exact"/>
        <w:jc w:val="center"/>
        <w:rPr>
          <w:rFonts w:ascii="宋体" w:hAnsi="宋体" w:cs="宋体"/>
          <w:b/>
          <w:bCs/>
          <w:color w:val="auto"/>
          <w:spacing w:val="4"/>
          <w:sz w:val="32"/>
          <w:szCs w:val="32"/>
          <w:highlight w:val="none"/>
        </w:rPr>
      </w:pPr>
    </w:p>
    <w:p w14:paraId="3944AD7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甲 方：</w:t>
      </w:r>
      <w:r>
        <w:rPr>
          <w:rFonts w:hint="eastAsia" w:ascii="宋体" w:hAnsi="宋体" w:cs="宋体"/>
          <w:color w:val="auto"/>
          <w:szCs w:val="21"/>
          <w:highlight w:val="none"/>
          <w:lang w:eastAsia="zh-CN"/>
        </w:rPr>
        <w:t>滁州市住房和城乡建设局</w:t>
      </w:r>
      <w:r>
        <w:rPr>
          <w:rFonts w:hint="eastAsia" w:ascii="宋体" w:hAnsi="宋体" w:cs="宋体"/>
          <w:color w:val="auto"/>
          <w:szCs w:val="21"/>
          <w:highlight w:val="none"/>
        </w:rPr>
        <w:t>               （以下简称“甲方”）     </w:t>
      </w:r>
    </w:p>
    <w:p w14:paraId="2A77F14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 方：                              （以下简称“乙方”）      </w:t>
      </w:r>
    </w:p>
    <w:p w14:paraId="7DC40E6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下列每一文件均应作为合同的组成部分：（1）招标文件（2）投标文件（3）中标通知书（4）经双方确认进入合同的其它文件、补充条款或说明，内容条款不一致的，以有利于甲方最大利益的为准。 根据《中华人民共和国民法典》及相关法律规定，甲乙双方就甲方食堂承包事宜共同协商，达成如下协议：</w:t>
      </w:r>
    </w:p>
    <w:p w14:paraId="6120EB0A">
      <w:pPr>
        <w:spacing w:before="93" w:beforeLines="30" w:after="93" w:afterLines="30"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一、经营方式：    </w:t>
      </w:r>
    </w:p>
    <w:p w14:paraId="6A9EDF6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、甲方</w:t>
      </w:r>
      <w:r>
        <w:rPr>
          <w:rFonts w:hint="eastAsia" w:ascii="宋体" w:hAnsi="宋体" w:cs="宋体"/>
          <w:color w:val="auto"/>
          <w:szCs w:val="21"/>
          <w:highlight w:val="none"/>
          <w:lang w:val="en-US" w:eastAsia="zh-CN"/>
        </w:rPr>
        <w:t>提供场地</w:t>
      </w:r>
      <w:r>
        <w:rPr>
          <w:rFonts w:hint="eastAsia" w:ascii="宋体" w:hAnsi="宋体" w:cs="宋体"/>
          <w:color w:val="auto"/>
          <w:szCs w:val="21"/>
          <w:highlight w:val="none"/>
        </w:rPr>
        <w:t xml:space="preserve">。   </w:t>
      </w:r>
    </w:p>
    <w:p w14:paraId="7B650D6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、乙方负责甲方提供的</w:t>
      </w:r>
      <w:r>
        <w:rPr>
          <w:rFonts w:hint="eastAsia" w:ascii="宋体" w:hAnsi="宋体" w:cs="宋体"/>
          <w:color w:val="auto"/>
          <w:szCs w:val="21"/>
          <w:highlight w:val="none"/>
          <w:lang w:val="en-US" w:eastAsia="zh-CN"/>
        </w:rPr>
        <w:t>场地的装修</w:t>
      </w:r>
      <w:r>
        <w:rPr>
          <w:rFonts w:hint="eastAsia" w:ascii="宋体" w:hAnsi="宋体" w:cs="宋体"/>
          <w:color w:val="auto"/>
          <w:szCs w:val="21"/>
          <w:highlight w:val="none"/>
        </w:rPr>
        <w:t xml:space="preserve">、餐厅、基本厨房设备厨房设施保修期外的维护，若甲方财产发生人为损坏，乙方需照价赔偿。中标人必须对招标人提供的设施、设备进行定期保养、维护，定期清洗油烟罩及油烟管道并做好相关记录。 </w:t>
      </w:r>
    </w:p>
    <w:p w14:paraId="5CD3DF8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 、乙方自行采购、加工，自负盈亏。    </w:t>
      </w:r>
    </w:p>
    <w:p w14:paraId="34BF4A6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、乙方自行安排厨房员工，并负责厨房员工工资福利。</w:t>
      </w:r>
      <w:r>
        <w:rPr>
          <w:rFonts w:hint="eastAsia" w:ascii="宋体" w:hAnsi="宋体" w:cs="宋体"/>
          <w:color w:val="auto"/>
          <w:szCs w:val="21"/>
          <w:highlight w:val="none"/>
          <w:lang w:val="en"/>
        </w:rPr>
        <w:t>中标人负责对所聘用人员的职业道德教育和安全教育工作。中标人</w:t>
      </w:r>
      <w:r>
        <w:rPr>
          <w:rFonts w:hint="eastAsia" w:ascii="宋体" w:hAnsi="宋体" w:cs="宋体"/>
          <w:color w:val="auto"/>
          <w:szCs w:val="21"/>
          <w:highlight w:val="none"/>
        </w:rPr>
        <w:t>服务期间</w:t>
      </w:r>
      <w:r>
        <w:rPr>
          <w:rFonts w:hint="eastAsia" w:ascii="宋体" w:hAnsi="宋体" w:cs="宋体"/>
          <w:color w:val="auto"/>
          <w:szCs w:val="21"/>
          <w:highlight w:val="none"/>
          <w:lang w:val="en"/>
        </w:rPr>
        <w:t>任何人员出现工伤或死亡事故，</w:t>
      </w:r>
      <w:r>
        <w:rPr>
          <w:rFonts w:hint="eastAsia" w:ascii="宋体" w:hAnsi="宋体" w:cs="宋体"/>
          <w:color w:val="auto"/>
          <w:szCs w:val="21"/>
          <w:highlight w:val="none"/>
        </w:rPr>
        <w:t>或对其他人员造成伤害的，</w:t>
      </w:r>
      <w:r>
        <w:rPr>
          <w:rFonts w:hint="eastAsia" w:ascii="宋体" w:hAnsi="宋体" w:cs="宋体"/>
          <w:color w:val="auto"/>
          <w:szCs w:val="21"/>
          <w:highlight w:val="none"/>
          <w:lang w:val="en"/>
        </w:rPr>
        <w:t>中标人要负完全责任，所有费用由中标人支付，招标人</w:t>
      </w:r>
      <w:r>
        <w:rPr>
          <w:rFonts w:hint="eastAsia" w:ascii="宋体" w:hAnsi="宋体" w:cs="宋体"/>
          <w:color w:val="auto"/>
          <w:szCs w:val="21"/>
          <w:highlight w:val="none"/>
        </w:rPr>
        <w:t>不</w:t>
      </w:r>
      <w:r>
        <w:rPr>
          <w:rFonts w:hint="eastAsia" w:ascii="宋体" w:hAnsi="宋体" w:cs="宋体"/>
          <w:color w:val="auto"/>
          <w:szCs w:val="21"/>
          <w:highlight w:val="none"/>
          <w:lang w:val="en"/>
        </w:rPr>
        <w:t>承担任何责任。</w:t>
      </w:r>
      <w:r>
        <w:rPr>
          <w:rFonts w:hint="eastAsia" w:ascii="宋体" w:hAnsi="宋体" w:cs="宋体"/>
          <w:color w:val="auto"/>
          <w:szCs w:val="21"/>
          <w:highlight w:val="none"/>
        </w:rPr>
        <w:t xml:space="preserve">    </w:t>
      </w:r>
    </w:p>
    <w:p w14:paraId="1BF430A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 、承包期内为满足招标方案的需求所必须添置或更换厨房设备，由乙方负责购置，必须符合食品安全及消防安全要求。</w:t>
      </w:r>
    </w:p>
    <w:p w14:paraId="169CC0C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6、中标方作为反对餐饮浪费、厉行节约的前沿，必须率先垂范并制止餐饮浪费行为，同时积极开展绿色食堂的建设。</w:t>
      </w:r>
    </w:p>
    <w:p w14:paraId="06C98E1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7、中标方不得使用国家明令禁止的一次性不可降解的塑料制品。 </w:t>
      </w:r>
    </w:p>
    <w:p w14:paraId="145C377C">
      <w:pPr>
        <w:spacing w:before="93" w:beforeLines="30" w:after="93" w:afterLines="30"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 xml:space="preserve">二、 双方权利及义务：    </w:t>
      </w:r>
    </w:p>
    <w:p w14:paraId="2F39270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 、甲方权利义务：    </w:t>
      </w:r>
    </w:p>
    <w:p w14:paraId="4071409F">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1.甲方负责提供场地，经费管理和员工就餐；</w:t>
      </w:r>
    </w:p>
    <w:p w14:paraId="77D09A95">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2.负责食堂管理，对食堂的伙食质量和改善进行检查指导；</w:t>
      </w:r>
    </w:p>
    <w:p w14:paraId="6028811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3.对食堂的卫生和伙食卫生安全进行检查、监督；</w:t>
      </w:r>
    </w:p>
    <w:p w14:paraId="6EED69C0">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4.对食堂设备设施和餐厨具等享有所有权，并定期进行清点检查；</w:t>
      </w:r>
    </w:p>
    <w:p w14:paraId="0CB17699">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5.对乙方员工进行政治审查；</w:t>
      </w:r>
    </w:p>
    <w:p w14:paraId="441B342E">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6.要求乙方员工遵守甲方的相关规定；</w:t>
      </w:r>
    </w:p>
    <w:p w14:paraId="22344C59">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7.可以随时抽查乙方员工与乙方签订的劳动合同，禁止无签订劳动合同的乙方员工给甲方提供服务；</w:t>
      </w:r>
    </w:p>
    <w:p w14:paraId="4B50A74E">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8.可以随时要求更换未达到甲方要求的乙方员工；</w:t>
      </w:r>
    </w:p>
    <w:p w14:paraId="25E1841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9.服务经营期间，甲方先行支付水、电，燃气费视服务情况决定是否予以报销；</w:t>
      </w:r>
    </w:p>
    <w:p w14:paraId="202D8FF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10.其他。</w:t>
      </w:r>
    </w:p>
    <w:p w14:paraId="2ACFF85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2、乙方的权利义务：    </w:t>
      </w:r>
    </w:p>
    <w:p w14:paraId="17F3BF0A">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1.乙方负责根据现在现场情况，对场地内已有物品进行清运及打扫（清运物品须在甲方的配合虾，不可私自决定物品的处置）；</w:t>
      </w:r>
    </w:p>
    <w:p w14:paraId="207BAF53">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2.根据现有现场情况，进行食堂区域的装修改造，装修改造过程符合相关部门的管理规定，按要求办理整施工许可、燃气安装等证件；且装修方案及风格等，须获得甲方的认可后开始实施。</w:t>
      </w:r>
    </w:p>
    <w:p w14:paraId="0A13E8C9">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3.乙方负责采购及安装食堂开设所需的所有设施、设备、餐、厨具等，相关设备采购须为合格产品且乙方负责全过程的设施设备安装及投入使用后的管理工作，如发生安全事故，由乙方承担全部责任。</w:t>
      </w:r>
    </w:p>
    <w:p w14:paraId="5ECF1A23">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4.乙方负责伙食调剂、原材料采购加工制作、备餐、食品卫生安全和人力资源管理；</w:t>
      </w:r>
    </w:p>
    <w:p w14:paraId="561CBF45">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5.乙方承担所有保洁用品、低值易耗品（破损餐具补充、机用液、催干剂、洗洁精、“84”消毒液、“914”保鲜膜、白提袋、卷筒塑料袋、大水勺、木筷、米筐、刷锅把、木砧板、磨刀石、锅铲把、灭蟑药、机用保险膜、不锈钢漏勺、不锈钢油格、大刨刀、小刨刀、十八子菜刀、大铁丝捞勺、不锈钢小碗、不锈钢中碗、不锈钢汤勺、不锈钢饭勺、不锈钢菜勺、铁锅、不锈钢菜夹、塑料饭盒、炒菜勺、喷水壶、小排刷、面刮刀、面铲、竹把漏勺、2518托盘、2015托盘、筷子、白色大塑料筐、蓝色大塑料筐、不锈钢中汤桶、不锈钢大菜盆、小锅铲、保鲜盒、扫把、拖把、簸箕）、保障环境卫生、食品卫生的用品、用具、购置费等。  </w:t>
      </w:r>
    </w:p>
    <w:p w14:paraId="43954940">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6.乙方负责食堂内部卫生保洁，餐饮服务工作。乙方积极配合甲方科学制定采购计划，管理和节约食材，维护设备。</w:t>
      </w:r>
    </w:p>
    <w:p w14:paraId="459B1263">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7.乙方必须具备有足以保证项目运行的专职工作人员。</w:t>
      </w:r>
    </w:p>
    <w:p w14:paraId="75238F9A">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8.制定和执行相应的工作范围、现场管理、食品卫生安全、员工招聘、培训、调配、和奖惩等规章制度。</w:t>
      </w:r>
    </w:p>
    <w:p w14:paraId="63E30BFE">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9.按照约定提供早、中、晚餐，保障临时性不定时工作餐的加工制作。</w:t>
      </w:r>
    </w:p>
    <w:p w14:paraId="634F01A4">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10.乙方接到紧急保障指令后，按照指令要求的时间、地点、份数准备餐饮，使用保温桶或保温盒按时送达，工作人员就餐完毕后，食堂服务人员及时清理餐具并妥善保管，以备下次使用。</w:t>
      </w:r>
    </w:p>
    <w:p w14:paraId="66F3A748">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11.根据伙食费标准做好伙食调剂，控制伙食成本，杜绝浪费。</w:t>
      </w:r>
    </w:p>
    <w:p w14:paraId="66F0B7B1">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12.按照25元/人/天制定每周食谱，符合就餐群体的总需求、符合营养配餐要求（午餐荤菜2-4个，半荤、素菜若干，米饭、汤免费），食谱报甲方食堂管理员确认。</w:t>
      </w:r>
    </w:p>
    <w:p w14:paraId="5AA46041">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13.乙方须与员工签订正式劳动合同，负责员工的使用、管理、教育、培训、奖惩和调配工作；负责员工意外事故和劳动纠纷的处理工作；按时支付员工工资、保险及其他福利。</w:t>
      </w:r>
    </w:p>
    <w:p w14:paraId="24785F08">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14.负责餐饮工作人员的安全教育工作。乙方员工及第三人出现人身伤亡、财产损失事故，乙方要负完全责任，所有费用由乙方支付，甲方概不负责。</w:t>
      </w:r>
    </w:p>
    <w:p w14:paraId="443C075E">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15.负责食堂安全，安排专人对食堂水、电、燃气和设备设施检查，发现问题及时通报甲方。</w:t>
      </w:r>
    </w:p>
    <w:p w14:paraId="595ABFC9">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虚心听取就餐人员意见，有针对性改进工作。食堂厨师长和乙方负责人须按甲方要求参与会议。甲乙双方每月还须进行一次协调会，以确保合作双方有效沟通及提高工作效率和用餐人员满意度，食堂厨师长和乙方负责人必须参会。</w:t>
      </w:r>
    </w:p>
    <w:p w14:paraId="46AB0D3D">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17.合理使用并爱护设备设施和公物，要节约用水、电、气等，做好油烟管道的清理工作。</w:t>
      </w:r>
    </w:p>
    <w:p w14:paraId="49B78BEB">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18.乙方员工应严格遵守甲方的保密要求，签订保密协议。</w:t>
      </w:r>
    </w:p>
    <w:p w14:paraId="28DFE823">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19.乙方为甲方所提供的食品要符合食品卫生要求，如发生其他意外，经相关部门鉴定为乙方责任的，乙方应承担全部责任及费用，甲方概不负责。</w:t>
      </w:r>
    </w:p>
    <w:p w14:paraId="0C9928D6">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20.乙方应为食堂定期轮换各地口味，做好厨余垃圾清运工作。</w:t>
      </w:r>
    </w:p>
    <w:p w14:paraId="1615052F">
      <w:pPr>
        <w:spacing w:before="93" w:beforeLines="30" w:after="93" w:afterLines="30"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21.乙方应相应具有完善的餐饮管理体系及管理标准。</w:t>
      </w:r>
    </w:p>
    <w:p w14:paraId="5DBBA84C">
      <w:pPr>
        <w:spacing w:before="93" w:beforeLines="30" w:after="93" w:afterLines="30"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22.乙方因餐饮质量、服务质量不高，经甲方提出整改意见后，仍达不到质量要求，或乙方在承包期内有一定影响的安全生产事件的，甲方有权单方面终止合同。</w:t>
      </w:r>
    </w:p>
    <w:p w14:paraId="2B8F38B7">
      <w:pPr>
        <w:spacing w:before="93" w:beforeLines="30" w:after="93" w:afterLines="30"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三、 伙食标准：</w:t>
      </w:r>
    </w:p>
    <w:p w14:paraId="1D938F3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以招标文件中要求为准，同时需明码标价，且所定食品售价经相关科室核准。</w:t>
      </w:r>
    </w:p>
    <w:p w14:paraId="5C92EACB">
      <w:pPr>
        <w:spacing w:before="93" w:beforeLines="30" w:after="93" w:afterLines="30"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 xml:space="preserve">四、合同期限： </w:t>
      </w:r>
      <w:r>
        <w:rPr>
          <w:rFonts w:hint="eastAsia" w:ascii="宋体" w:hAnsi="宋体" w:cs="宋体"/>
          <w:color w:val="auto"/>
          <w:szCs w:val="21"/>
          <w:highlight w:val="none"/>
        </w:rPr>
        <w:t xml:space="preserve">      </w:t>
      </w:r>
    </w:p>
    <w:p w14:paraId="306D4BDE">
      <w:pPr>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服务期限为三年，合同一年一签，根据招标人考核结果决定是否续签，未达标的，招标人有权终止合同并重新选取服务单位，被终止合同的供应商不得参加该项目的重新招标。</w:t>
      </w:r>
    </w:p>
    <w:p w14:paraId="6CC2AFF4">
      <w:pPr>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注：中标人试运行期三个月，三个月内试用合格后签订一年的服务合同（包含试用期）；试用不合格招标人有权终止合作另行选取服务单位。</w:t>
      </w:r>
    </w:p>
    <w:p w14:paraId="0226D9BF">
      <w:pPr>
        <w:spacing w:before="93" w:beforeLines="30" w:after="93" w:afterLines="30"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 xml:space="preserve">五、人员配备：  </w:t>
      </w:r>
      <w:r>
        <w:rPr>
          <w:rFonts w:hint="eastAsia" w:ascii="宋体" w:hAnsi="宋体" w:cs="宋体"/>
          <w:color w:val="auto"/>
          <w:szCs w:val="21"/>
          <w:highlight w:val="none"/>
        </w:rPr>
        <w:t xml:space="preserve">     </w:t>
      </w:r>
    </w:p>
    <w:p w14:paraId="2F469DD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以招标文件中要求为准。</w:t>
      </w:r>
    </w:p>
    <w:p w14:paraId="125EA44E">
      <w:pPr>
        <w:spacing w:before="93" w:beforeLines="30" w:after="93" w:afterLines="30"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六、营业约定：</w:t>
      </w:r>
    </w:p>
    <w:p w14:paraId="6EE4C4A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1、协议有效期内，非经甲方同意，乙方不得以任何理由擅自停业。乙方如擅自停业，甲方将视情节轻重，予以罚款并解约。</w:t>
      </w:r>
    </w:p>
    <w:p w14:paraId="6C2821F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2、乙方不得擅自将经营权转让，或委托他人经营；甲方因而遭受损失时，乙方应负责相应赔偿。</w:t>
      </w:r>
    </w:p>
    <w:p w14:paraId="1139E08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3、乙方不得以任何名义及方式，擅自变更食堂的经营范围和业务，如有违反，甲方即终止与乙方之合作协议。</w:t>
      </w:r>
    </w:p>
    <w:p w14:paraId="17A2C60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4、乙方为甲方提供米、面、油及其他肉类的品质检验报告，并由甲方进行抽检。</w:t>
      </w:r>
    </w:p>
    <w:p w14:paraId="60D3406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5、甲方有权对乙方原材质量、营养搭配、服务质量及卫生状况进行监督，并要求乙方立即改善；并视情形由甲方出具书面整改通知。</w:t>
      </w:r>
    </w:p>
    <w:p w14:paraId="6FEF805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6、因乙方提供不洁食物造成甲方人员食物中毒的，由乙方负责赔偿并承担相应的法律后果。</w:t>
      </w:r>
    </w:p>
    <w:p w14:paraId="4ABB9054">
      <w:pPr>
        <w:spacing w:before="93" w:beforeLines="30" w:after="93" w:afterLines="30"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七、水、电、燃气</w:t>
      </w:r>
    </w:p>
    <w:p w14:paraId="70817DA4">
      <w:pPr>
        <w:snapToGrid w:val="0"/>
        <w:spacing w:line="50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服务经营期间，甲方支付水、电，燃气费视服务情况决定是否予以报销；</w:t>
      </w:r>
    </w:p>
    <w:p w14:paraId="031C4A00">
      <w:pPr>
        <w:spacing w:before="93" w:beforeLines="30" w:after="93" w:afterLines="30"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八、违约处理</w:t>
      </w:r>
    </w:p>
    <w:p w14:paraId="2EF7692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详见招标文件。</w:t>
      </w:r>
    </w:p>
    <w:p w14:paraId="732C31FB">
      <w:pPr>
        <w:spacing w:before="93" w:beforeLines="30" w:after="93" w:afterLines="30"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九、 其它：</w:t>
      </w:r>
    </w:p>
    <w:p w14:paraId="2B651AB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本合同壹式四份，甲乙双方各执壹份，备案用两份，双方签字盖章后生效。未尽事宜，双方协商解决。          </w:t>
      </w:r>
    </w:p>
    <w:p w14:paraId="1CB03543">
      <w:pPr>
        <w:shd w:val="clear" w:color="auto" w:fill="FFFFFF"/>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甲方（公章）：                                乙方（公章）：</w:t>
      </w:r>
    </w:p>
    <w:p w14:paraId="05B907D4">
      <w:pPr>
        <w:shd w:val="clear" w:color="auto" w:fill="FFFFFF"/>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法定代表人或受委托人（签字或盖章）：            法定代表人或受委托人（签字或盖章）：</w:t>
      </w:r>
    </w:p>
    <w:p w14:paraId="3E6D2363">
      <w:pPr>
        <w:shd w:val="clear" w:color="auto" w:fill="FFFFFF"/>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 xml:space="preserve">地址：                                        地址： </w:t>
      </w:r>
    </w:p>
    <w:p w14:paraId="67E206AE">
      <w:pPr>
        <w:shd w:val="clear" w:color="auto" w:fill="FFFFFF"/>
        <w:spacing w:line="50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电话：                                        电话：</w:t>
      </w:r>
    </w:p>
    <w:p w14:paraId="4CC2D498">
      <w:pPr>
        <w:pStyle w:val="151"/>
        <w:spacing w:line="500" w:lineRule="exact"/>
        <w:ind w:firstLine="420"/>
        <w:rPr>
          <w:rFonts w:hAnsi="宋体" w:cs="宋体"/>
          <w:color w:val="auto"/>
          <w:sz w:val="21"/>
          <w:highlight w:val="none"/>
          <w:shd w:val="clear" w:color="auto" w:fill="FFFFFF"/>
        </w:rPr>
      </w:pPr>
    </w:p>
    <w:p w14:paraId="6EC6A464">
      <w:pPr>
        <w:pStyle w:val="151"/>
        <w:spacing w:line="500" w:lineRule="exact"/>
        <w:ind w:firstLine="420"/>
        <w:rPr>
          <w:rFonts w:hAnsi="宋体" w:cs="宋体"/>
          <w:color w:val="auto"/>
          <w:sz w:val="21"/>
          <w:highlight w:val="none"/>
        </w:rPr>
      </w:pPr>
      <w:r>
        <w:rPr>
          <w:rFonts w:hint="eastAsia" w:hAnsi="宋体" w:cs="宋体"/>
          <w:color w:val="auto"/>
          <w:sz w:val="21"/>
          <w:highlight w:val="none"/>
          <w:shd w:val="clear" w:color="auto" w:fill="FFFFFF"/>
        </w:rPr>
        <w:t>签约时间：      年   月   日</w:t>
      </w:r>
    </w:p>
    <w:p w14:paraId="27B35543">
      <w:pPr>
        <w:rPr>
          <w:rFonts w:ascii="宋体"/>
          <w:b/>
          <w:color w:val="auto"/>
          <w:sz w:val="32"/>
          <w:szCs w:val="32"/>
          <w:highlight w:val="none"/>
        </w:rPr>
      </w:pPr>
      <w:r>
        <w:rPr>
          <w:rFonts w:hint="eastAsia" w:ascii="宋体"/>
          <w:b/>
          <w:color w:val="auto"/>
          <w:sz w:val="32"/>
          <w:szCs w:val="32"/>
          <w:highlight w:val="none"/>
        </w:rPr>
        <w:br w:type="page"/>
      </w:r>
    </w:p>
    <w:p w14:paraId="24359B73">
      <w:pPr>
        <w:spacing w:before="156" w:beforeLines="50" w:after="156" w:afterLines="50" w:line="600" w:lineRule="exact"/>
        <w:jc w:val="center"/>
        <w:outlineLvl w:val="0"/>
        <w:rPr>
          <w:rFonts w:ascii="宋体"/>
          <w:b/>
          <w:color w:val="auto"/>
          <w:sz w:val="32"/>
          <w:szCs w:val="32"/>
          <w:highlight w:val="none"/>
        </w:rPr>
      </w:pPr>
      <w:r>
        <w:rPr>
          <w:rFonts w:hint="eastAsia" w:ascii="宋体"/>
          <w:b/>
          <w:color w:val="auto"/>
          <w:sz w:val="32"/>
          <w:szCs w:val="32"/>
          <w:highlight w:val="none"/>
        </w:rPr>
        <w:t>第六章  投标文件格式</w:t>
      </w:r>
    </w:p>
    <w:p w14:paraId="42C0A2B7">
      <w:pPr>
        <w:jc w:val="center"/>
        <w:rPr>
          <w:rFonts w:eastAsia="黑体"/>
          <w:color w:val="auto"/>
          <w:sz w:val="20"/>
          <w:highlight w:val="none"/>
        </w:rPr>
      </w:pPr>
    </w:p>
    <w:p w14:paraId="22DF9D30">
      <w:pPr>
        <w:rPr>
          <w:rFonts w:eastAsia="黑体"/>
          <w:color w:val="auto"/>
          <w:sz w:val="20"/>
          <w:highlight w:val="none"/>
        </w:rPr>
      </w:pPr>
    </w:p>
    <w:p w14:paraId="3B6C72BE">
      <w:pPr>
        <w:pStyle w:val="17"/>
        <w:rPr>
          <w:color w:val="auto"/>
          <w:highlight w:val="none"/>
        </w:rPr>
      </w:pPr>
    </w:p>
    <w:p w14:paraId="2BD515C7">
      <w:pPr>
        <w:rPr>
          <w:rFonts w:eastAsia="黑体"/>
          <w:color w:val="auto"/>
          <w:sz w:val="20"/>
          <w:highlight w:val="none"/>
        </w:rPr>
      </w:pPr>
    </w:p>
    <w:p w14:paraId="7C92CD71">
      <w:pPr>
        <w:rPr>
          <w:rFonts w:eastAsia="黑体"/>
          <w:color w:val="auto"/>
          <w:sz w:val="20"/>
          <w:highlight w:val="none"/>
        </w:rPr>
      </w:pPr>
    </w:p>
    <w:p w14:paraId="0D09CC4D">
      <w:pPr>
        <w:jc w:val="center"/>
        <w:rPr>
          <w:rFonts w:eastAsia="黑体"/>
          <w:color w:val="auto"/>
          <w:sz w:val="44"/>
          <w:szCs w:val="44"/>
          <w:highlight w:val="none"/>
        </w:rPr>
      </w:pPr>
      <w:r>
        <w:rPr>
          <w:rFonts w:hint="eastAsia" w:ascii="宋体" w:eastAsia="黑体"/>
          <w:b/>
          <w:color w:val="auto"/>
          <w:sz w:val="44"/>
          <w:szCs w:val="44"/>
          <w:highlight w:val="none"/>
        </w:rPr>
        <w:t>资信证明文件</w:t>
      </w:r>
    </w:p>
    <w:p w14:paraId="585104FB">
      <w:pPr>
        <w:jc w:val="center"/>
        <w:rPr>
          <w:rFonts w:eastAsia="黑体"/>
          <w:color w:val="auto"/>
          <w:sz w:val="44"/>
          <w:szCs w:val="44"/>
          <w:highlight w:val="none"/>
        </w:rPr>
      </w:pPr>
    </w:p>
    <w:p w14:paraId="0B10D43D">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CFC4FF4">
      <w:pPr>
        <w:jc w:val="center"/>
        <w:rPr>
          <w:rFonts w:ascii="宋体"/>
          <w:color w:val="auto"/>
          <w:sz w:val="44"/>
          <w:szCs w:val="44"/>
          <w:highlight w:val="none"/>
        </w:rPr>
      </w:pPr>
      <w:r>
        <w:rPr>
          <w:rFonts w:hint="eastAsia" w:ascii="宋体"/>
          <w:color w:val="auto"/>
          <w:sz w:val="28"/>
          <w:szCs w:val="28"/>
          <w:highlight w:val="none"/>
          <w:u w:val="single"/>
        </w:rPr>
        <w:t xml:space="preserve">  </w:t>
      </w:r>
    </w:p>
    <w:p w14:paraId="4471D085">
      <w:pPr>
        <w:rPr>
          <w:rFonts w:ascii="宋体"/>
          <w:color w:val="auto"/>
          <w:sz w:val="28"/>
          <w:szCs w:val="28"/>
          <w:highlight w:val="none"/>
        </w:rPr>
      </w:pPr>
    </w:p>
    <w:p w14:paraId="5F36DAFB">
      <w:pPr>
        <w:pStyle w:val="17"/>
        <w:ind w:left="0" w:firstLine="0"/>
        <w:rPr>
          <w:rFonts w:ascii="宋体"/>
          <w:color w:val="auto"/>
          <w:sz w:val="28"/>
          <w:szCs w:val="28"/>
          <w:highlight w:val="none"/>
        </w:rPr>
      </w:pPr>
    </w:p>
    <w:p w14:paraId="4014DEB2">
      <w:pPr>
        <w:rPr>
          <w:rFonts w:ascii="宋体"/>
          <w:color w:val="auto"/>
          <w:sz w:val="28"/>
          <w:szCs w:val="28"/>
          <w:highlight w:val="none"/>
        </w:rPr>
      </w:pPr>
    </w:p>
    <w:p w14:paraId="722099CB">
      <w:pPr>
        <w:rPr>
          <w:rFonts w:ascii="宋体"/>
          <w:color w:val="auto"/>
          <w:sz w:val="28"/>
          <w:szCs w:val="28"/>
          <w:highlight w:val="none"/>
        </w:rPr>
      </w:pPr>
    </w:p>
    <w:p w14:paraId="0EEE872D">
      <w:pPr>
        <w:rPr>
          <w:rFonts w:ascii="宋体"/>
          <w:color w:val="auto"/>
          <w:sz w:val="28"/>
          <w:szCs w:val="28"/>
          <w:highlight w:val="none"/>
        </w:rPr>
      </w:pPr>
    </w:p>
    <w:p w14:paraId="6E03A43E">
      <w:pPr>
        <w:rPr>
          <w:rFonts w:ascii="宋体"/>
          <w:color w:val="auto"/>
          <w:sz w:val="28"/>
          <w:szCs w:val="28"/>
          <w:highlight w:val="none"/>
        </w:rPr>
      </w:pPr>
    </w:p>
    <w:p w14:paraId="31450BAB">
      <w:pPr>
        <w:rPr>
          <w:rFonts w:ascii="宋体"/>
          <w:color w:val="auto"/>
          <w:sz w:val="28"/>
          <w:szCs w:val="28"/>
          <w:highlight w:val="none"/>
        </w:rPr>
      </w:pPr>
    </w:p>
    <w:p w14:paraId="2E159EA7">
      <w:pPr>
        <w:rPr>
          <w:rFonts w:ascii="宋体"/>
          <w:color w:val="auto"/>
          <w:sz w:val="28"/>
          <w:szCs w:val="28"/>
          <w:highlight w:val="none"/>
        </w:rPr>
      </w:pPr>
    </w:p>
    <w:p w14:paraId="73B83296">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FC75F2C">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59F5A043">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2FFE2A04">
      <w:pPr>
        <w:spacing w:line="720" w:lineRule="auto"/>
        <w:jc w:val="center"/>
        <w:rPr>
          <w:rFonts w:ascii="宋体"/>
          <w:b/>
          <w:color w:val="auto"/>
          <w:sz w:val="36"/>
          <w:szCs w:val="36"/>
          <w:highlight w:val="none"/>
        </w:rPr>
      </w:pPr>
    </w:p>
    <w:p w14:paraId="1C668CCA">
      <w:pPr>
        <w:spacing w:line="400" w:lineRule="exact"/>
        <w:ind w:firstLine="4130" w:firstLineChars="935"/>
        <w:rPr>
          <w:b/>
          <w:color w:val="auto"/>
          <w:sz w:val="44"/>
          <w:szCs w:val="44"/>
          <w:highlight w:val="none"/>
        </w:rPr>
      </w:pPr>
    </w:p>
    <w:p w14:paraId="7337D337">
      <w:pPr>
        <w:rPr>
          <w:b/>
          <w:color w:val="auto"/>
          <w:sz w:val="44"/>
          <w:szCs w:val="44"/>
          <w:highlight w:val="none"/>
        </w:rPr>
      </w:pPr>
      <w:r>
        <w:rPr>
          <w:b/>
          <w:color w:val="auto"/>
          <w:sz w:val="44"/>
          <w:szCs w:val="44"/>
          <w:highlight w:val="none"/>
        </w:rPr>
        <w:br w:type="page"/>
      </w:r>
    </w:p>
    <w:p w14:paraId="387E28B0">
      <w:pPr>
        <w:pStyle w:val="2"/>
        <w:rPr>
          <w:color w:val="auto"/>
          <w:highlight w:val="none"/>
        </w:rPr>
      </w:pPr>
    </w:p>
    <w:p w14:paraId="136A0020">
      <w:pPr>
        <w:jc w:val="center"/>
        <w:rPr>
          <w:b/>
          <w:color w:val="auto"/>
          <w:sz w:val="44"/>
          <w:szCs w:val="44"/>
          <w:highlight w:val="none"/>
        </w:rPr>
      </w:pPr>
      <w:r>
        <w:rPr>
          <w:rFonts w:hint="eastAsia"/>
          <w:b/>
          <w:color w:val="auto"/>
          <w:sz w:val="36"/>
          <w:szCs w:val="36"/>
          <w:highlight w:val="none"/>
        </w:rPr>
        <w:t>目   录</w:t>
      </w:r>
    </w:p>
    <w:p w14:paraId="05DD255B">
      <w:pPr>
        <w:spacing w:line="400" w:lineRule="exact"/>
        <w:ind w:firstLine="562" w:firstLineChars="200"/>
        <w:rPr>
          <w:b/>
          <w:color w:val="auto"/>
          <w:sz w:val="28"/>
          <w:szCs w:val="28"/>
          <w:highlight w:val="none"/>
        </w:rPr>
      </w:pPr>
    </w:p>
    <w:p w14:paraId="1CF5D445">
      <w:pPr>
        <w:spacing w:line="500" w:lineRule="exact"/>
        <w:ind w:firstLine="420" w:firstLineChars="200"/>
        <w:jc w:val="left"/>
        <w:rPr>
          <w:rFonts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4EFD9D27">
      <w:pPr>
        <w:spacing w:line="500" w:lineRule="exact"/>
        <w:ind w:firstLine="420" w:firstLineChars="200"/>
        <w:jc w:val="left"/>
        <w:rPr>
          <w:rFonts w:ascii="宋体"/>
          <w:color w:val="auto"/>
          <w:szCs w:val="21"/>
          <w:highlight w:val="none"/>
        </w:rPr>
      </w:pPr>
      <w:r>
        <w:rPr>
          <w:rFonts w:hint="eastAsia" w:ascii="宋体"/>
          <w:color w:val="auto"/>
          <w:szCs w:val="21"/>
          <w:highlight w:val="none"/>
        </w:rPr>
        <w:t xml:space="preserve">（2）诚信投标承诺书（格式见附件）；                                                                                                                                                                                                                                                                                                                                                                                                                                                                                                                                                                                                                                                                                                                                                                                                                                                                                                                                                                                                                                                                                                                                                                                                                                                                                                                                                                                                                                                                                                                                                                                                                                                                                      </w:t>
      </w:r>
    </w:p>
    <w:p w14:paraId="6C645D9E">
      <w:pPr>
        <w:spacing w:line="500" w:lineRule="exact"/>
        <w:ind w:firstLine="420" w:firstLineChars="200"/>
        <w:jc w:val="left"/>
        <w:rPr>
          <w:rFonts w:ascii="宋体"/>
          <w:color w:val="auto"/>
          <w:szCs w:val="21"/>
          <w:highlight w:val="none"/>
        </w:rPr>
      </w:pPr>
      <w:r>
        <w:rPr>
          <w:rFonts w:hint="eastAsia" w:ascii="宋体"/>
          <w:color w:val="auto"/>
          <w:szCs w:val="21"/>
          <w:highlight w:val="none"/>
        </w:rPr>
        <w:t>（3）</w:t>
      </w:r>
      <w:r>
        <w:rPr>
          <w:rFonts w:hint="eastAsia" w:hAnsi="宋体"/>
          <w:color w:val="auto"/>
          <w:szCs w:val="21"/>
          <w:highlight w:val="none"/>
        </w:rPr>
        <w:t>投标人有效的营业执照</w:t>
      </w:r>
      <w:r>
        <w:rPr>
          <w:rFonts w:hint="eastAsia" w:ascii="宋体"/>
          <w:color w:val="auto"/>
          <w:szCs w:val="21"/>
          <w:highlight w:val="none"/>
        </w:rPr>
        <w:t>；</w:t>
      </w:r>
    </w:p>
    <w:p w14:paraId="73D4FB63">
      <w:pPr>
        <w:spacing w:line="500" w:lineRule="exact"/>
        <w:ind w:firstLine="420" w:firstLineChars="200"/>
        <w:jc w:val="left"/>
        <w:rPr>
          <w:rFonts w:ascii="宋体"/>
          <w:color w:val="auto"/>
          <w:szCs w:val="21"/>
          <w:highlight w:val="none"/>
        </w:rPr>
      </w:pPr>
      <w:r>
        <w:rPr>
          <w:rFonts w:hint="eastAsia" w:ascii="宋体" w:hAnsi="宋体" w:cs="宋体-18030"/>
          <w:color w:val="auto"/>
          <w:szCs w:val="21"/>
          <w:highlight w:val="none"/>
        </w:rPr>
        <w:t>（4）投标人有效的食品经营许可证；</w:t>
      </w:r>
    </w:p>
    <w:p w14:paraId="251D573D">
      <w:pPr>
        <w:spacing w:line="500" w:lineRule="exact"/>
        <w:ind w:firstLine="420" w:firstLineChars="200"/>
        <w:jc w:val="left"/>
        <w:rPr>
          <w:rFonts w:ascii="宋体"/>
          <w:color w:val="auto"/>
          <w:szCs w:val="21"/>
          <w:highlight w:val="none"/>
        </w:rPr>
      </w:pPr>
      <w:r>
        <w:rPr>
          <w:rFonts w:hint="eastAsia" w:ascii="宋体"/>
          <w:color w:val="auto"/>
          <w:szCs w:val="21"/>
          <w:highlight w:val="none"/>
        </w:rPr>
        <w:t>（5）招标文件中要求的其他评审和评分的支持资料。</w:t>
      </w:r>
    </w:p>
    <w:p w14:paraId="022F2138">
      <w:pPr>
        <w:spacing w:line="500" w:lineRule="exact"/>
        <w:ind w:firstLine="420" w:firstLineChars="200"/>
        <w:jc w:val="left"/>
        <w:rPr>
          <w:rFonts w:ascii="宋体"/>
          <w:color w:val="auto"/>
          <w:szCs w:val="21"/>
          <w:highlight w:val="none"/>
        </w:rPr>
      </w:pPr>
    </w:p>
    <w:p w14:paraId="281D9648">
      <w:pPr>
        <w:spacing w:line="400" w:lineRule="exact"/>
        <w:ind w:firstLine="562" w:firstLineChars="200"/>
        <w:rPr>
          <w:b/>
          <w:color w:val="auto"/>
          <w:sz w:val="28"/>
          <w:szCs w:val="28"/>
          <w:highlight w:val="none"/>
        </w:rPr>
      </w:pPr>
    </w:p>
    <w:p w14:paraId="3FEBDCF6">
      <w:pPr>
        <w:spacing w:line="400" w:lineRule="exact"/>
        <w:ind w:firstLine="562" w:firstLineChars="200"/>
        <w:rPr>
          <w:b/>
          <w:color w:val="auto"/>
          <w:sz w:val="28"/>
          <w:szCs w:val="28"/>
          <w:highlight w:val="none"/>
        </w:rPr>
      </w:pPr>
    </w:p>
    <w:p w14:paraId="412D65F3">
      <w:pPr>
        <w:spacing w:line="400" w:lineRule="exact"/>
        <w:ind w:firstLine="562" w:firstLineChars="200"/>
        <w:rPr>
          <w:b/>
          <w:color w:val="auto"/>
          <w:sz w:val="28"/>
          <w:szCs w:val="28"/>
          <w:highlight w:val="none"/>
        </w:rPr>
      </w:pPr>
    </w:p>
    <w:p w14:paraId="2F6D4972">
      <w:pPr>
        <w:spacing w:line="400" w:lineRule="exact"/>
        <w:ind w:firstLine="562" w:firstLineChars="200"/>
        <w:rPr>
          <w:b/>
          <w:color w:val="auto"/>
          <w:sz w:val="28"/>
          <w:szCs w:val="28"/>
          <w:highlight w:val="none"/>
        </w:rPr>
      </w:pPr>
    </w:p>
    <w:p w14:paraId="55918932">
      <w:pPr>
        <w:spacing w:line="400" w:lineRule="exact"/>
        <w:ind w:firstLine="562" w:firstLineChars="200"/>
        <w:rPr>
          <w:b/>
          <w:color w:val="auto"/>
          <w:sz w:val="28"/>
          <w:szCs w:val="28"/>
          <w:highlight w:val="none"/>
        </w:rPr>
      </w:pPr>
    </w:p>
    <w:p w14:paraId="11A8B802">
      <w:pPr>
        <w:spacing w:line="400" w:lineRule="exact"/>
        <w:rPr>
          <w:b/>
          <w:color w:val="auto"/>
          <w:sz w:val="28"/>
          <w:szCs w:val="28"/>
          <w:highlight w:val="none"/>
        </w:rPr>
        <w:sectPr>
          <w:headerReference r:id="rId8" w:type="default"/>
          <w:footerReference r:id="rId9" w:type="default"/>
          <w:pgSz w:w="11906" w:h="16838"/>
          <w:pgMar w:top="1270" w:right="1020" w:bottom="1270" w:left="1020" w:header="851" w:footer="992" w:gutter="0"/>
          <w:pgNumType w:fmt="numberInDash"/>
          <w:cols w:space="0" w:num="1"/>
          <w:docGrid w:type="lines" w:linePitch="312" w:charSpace="0"/>
        </w:sectPr>
      </w:pPr>
    </w:p>
    <w:p w14:paraId="7F02ED56">
      <w:pPr>
        <w:spacing w:line="360" w:lineRule="auto"/>
        <w:rPr>
          <w:b/>
          <w:color w:val="auto"/>
          <w:sz w:val="28"/>
          <w:szCs w:val="28"/>
          <w:highlight w:val="none"/>
        </w:rPr>
      </w:pPr>
      <w:r>
        <w:rPr>
          <w:rFonts w:hint="eastAsia"/>
          <w:b/>
          <w:color w:val="auto"/>
          <w:sz w:val="28"/>
          <w:szCs w:val="28"/>
          <w:highlight w:val="none"/>
        </w:rPr>
        <w:t>附件1</w:t>
      </w:r>
    </w:p>
    <w:p w14:paraId="50FEBB51">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753DBF81">
      <w:pPr>
        <w:pStyle w:val="124"/>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1A56C2E2">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2F457F1B">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54808243">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2F2FB226">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203470DB">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1E5A835A">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6ED70ACE">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2A847A54">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41C3FDE3">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019D0913">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3A7A610C">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4392981E">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02B8E754">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79D24C77">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4EBAC0C8">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3775C648">
      <w:pPr>
        <w:spacing w:line="480" w:lineRule="exact"/>
        <w:rPr>
          <w:rFonts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（盖单位章）</w:t>
      </w:r>
    </w:p>
    <w:p w14:paraId="55B015D4">
      <w:pPr>
        <w:spacing w:line="480" w:lineRule="exact"/>
        <w:ind w:firstLine="2280" w:firstLineChars="950"/>
        <w:rPr>
          <w:rFonts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（签字或盖章）</w:t>
      </w:r>
    </w:p>
    <w:p w14:paraId="11293B57">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443A77D6">
      <w:pPr>
        <w:spacing w:line="360" w:lineRule="exact"/>
        <w:ind w:firstLine="413" w:firstLineChars="147"/>
        <w:rPr>
          <w:b/>
          <w:color w:val="auto"/>
          <w:sz w:val="28"/>
          <w:szCs w:val="28"/>
          <w:highlight w:val="none"/>
          <w:u w:val="single"/>
        </w:rPr>
      </w:pPr>
    </w:p>
    <w:p w14:paraId="33DF2DE3">
      <w:pPr>
        <w:spacing w:line="360" w:lineRule="exact"/>
        <w:ind w:firstLine="413" w:firstLineChars="147"/>
        <w:rPr>
          <w:b/>
          <w:color w:val="auto"/>
          <w:sz w:val="28"/>
          <w:szCs w:val="28"/>
          <w:highlight w:val="none"/>
          <w:u w:val="single"/>
        </w:rPr>
      </w:pPr>
    </w:p>
    <w:p w14:paraId="4F617C18">
      <w:pPr>
        <w:rPr>
          <w:rFonts w:hint="eastAsia" w:ascii="宋体"/>
          <w:b/>
          <w:color w:val="auto"/>
          <w:sz w:val="30"/>
          <w:szCs w:val="30"/>
          <w:highlight w:val="none"/>
        </w:rPr>
      </w:pPr>
      <w:r>
        <w:rPr>
          <w:rFonts w:hint="eastAsia" w:ascii="宋体"/>
          <w:b/>
          <w:color w:val="auto"/>
          <w:sz w:val="30"/>
          <w:szCs w:val="30"/>
          <w:highlight w:val="none"/>
        </w:rPr>
        <w:br w:type="page"/>
      </w:r>
    </w:p>
    <w:p w14:paraId="19215ED8">
      <w:pPr>
        <w:spacing w:line="360" w:lineRule="exact"/>
        <w:ind w:firstLine="443" w:firstLineChars="147"/>
        <w:rPr>
          <w:rFonts w:ascii="宋体"/>
          <w:b/>
          <w:color w:val="auto"/>
          <w:sz w:val="30"/>
          <w:szCs w:val="30"/>
          <w:highlight w:val="none"/>
        </w:rPr>
      </w:pPr>
      <w:r>
        <w:rPr>
          <w:rFonts w:hint="eastAsia" w:ascii="宋体"/>
          <w:b/>
          <w:color w:val="auto"/>
          <w:sz w:val="30"/>
          <w:szCs w:val="30"/>
          <w:highlight w:val="none"/>
        </w:rPr>
        <w:t>附件2</w:t>
      </w:r>
    </w:p>
    <w:p w14:paraId="2ABD27BF">
      <w:pPr>
        <w:spacing w:line="360" w:lineRule="auto"/>
        <w:jc w:val="center"/>
        <w:rPr>
          <w:b/>
          <w:color w:val="auto"/>
          <w:sz w:val="28"/>
          <w:szCs w:val="28"/>
          <w:highlight w:val="none"/>
        </w:rPr>
      </w:pPr>
      <w:bookmarkStart w:id="75" w:name="_Toc440443268"/>
      <w:bookmarkStart w:id="76" w:name="_Toc449028950"/>
      <w:r>
        <w:rPr>
          <w:rFonts w:hint="eastAsia"/>
          <w:b/>
          <w:color w:val="auto"/>
          <w:sz w:val="28"/>
          <w:szCs w:val="28"/>
          <w:highlight w:val="none"/>
        </w:rPr>
        <w:t>诚信投标承诺书 </w:t>
      </w:r>
    </w:p>
    <w:p w14:paraId="43031590">
      <w:pPr>
        <w:spacing w:line="440" w:lineRule="exact"/>
        <w:jc w:val="left"/>
        <w:rPr>
          <w:rFonts w:ascii="宋体" w:hAnsi="宋体" w:cs="宋体"/>
          <w:color w:val="auto"/>
          <w:sz w:val="24"/>
          <w:highlight w:val="none"/>
        </w:rPr>
      </w:pPr>
      <w:r>
        <w:rPr>
          <w:rFonts w:hint="eastAsia" w:ascii="宋体" w:hAnsi="宋体" w:cs="宋体"/>
          <w:color w:val="auto"/>
          <w:sz w:val="24"/>
          <w:highlight w:val="none"/>
        </w:rPr>
        <w:t>本人以企业法定代表人的身份郑重承诺：</w:t>
      </w:r>
    </w:p>
    <w:p w14:paraId="2AE68764">
      <w:pPr>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一、将遵循公开、公正和诚实信用的原则自愿参加</w:t>
      </w:r>
      <w:r>
        <w:rPr>
          <w:rFonts w:hint="eastAsia" w:ascii="宋体" w:hAnsi="宋体" w:cs="宋体"/>
          <w:color w:val="auto"/>
          <w:sz w:val="24"/>
          <w:highlight w:val="none"/>
          <w:u w:val="single"/>
        </w:rPr>
        <w:t xml:space="preserve">       （项目名称）         项目</w:t>
      </w:r>
      <w:r>
        <w:rPr>
          <w:rFonts w:hint="eastAsia" w:ascii="宋体" w:hAnsi="宋体" w:cs="宋体"/>
          <w:color w:val="auto"/>
          <w:sz w:val="24"/>
          <w:highlight w:val="none"/>
        </w:rPr>
        <w:t>的投标，所提供的一切材料都是真实、有效、合法的；</w:t>
      </w:r>
    </w:p>
    <w:p w14:paraId="462E6B86">
      <w:pPr>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二、不出借、转让资质证书，不让他人挂靠，不以他人名义或者以其他方式弄虚作假，骗取成交；</w:t>
      </w:r>
    </w:p>
    <w:p w14:paraId="407A49DC">
      <w:pPr>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三、不与其他供应商相互串通响应报价，不排挤其他供应商的公平竞争、损害采购人的合法权益；</w:t>
      </w:r>
    </w:p>
    <w:p w14:paraId="70EF06CC">
      <w:pPr>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四、不与招标人、代理机构或其他供应商串通响应，损害国家利益、社会公共利益或者他人的合法权益；</w:t>
      </w:r>
    </w:p>
    <w:p w14:paraId="4A5DA00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w:t>
      </w:r>
      <w:r>
        <w:rPr>
          <w:rFonts w:hint="eastAsia" w:asciiTheme="minorEastAsia" w:hAnsiTheme="minorEastAsia" w:eastAsiaTheme="minorEastAsia" w:cstheme="minorEastAsia"/>
          <w:color w:val="auto"/>
          <w:kern w:val="0"/>
          <w:sz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12DE224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七、严格遵守开标现场纪律，服从监管人员管理；</w:t>
      </w:r>
    </w:p>
    <w:p w14:paraId="470D0D36">
      <w:pPr>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八、保证中标后不转包，若有分包征得采购人同意；</w:t>
      </w:r>
    </w:p>
    <w:p w14:paraId="5A21A686">
      <w:pPr>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九、保证中标之后，按照投标文件要求提供相关后续服务；</w:t>
      </w:r>
    </w:p>
    <w:p w14:paraId="01940E85">
      <w:pPr>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十、保证企业及所属相关人员在本次响应中无行贿等犯罪行为；</w:t>
      </w:r>
    </w:p>
    <w:p w14:paraId="37CB1D66">
      <w:pPr>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4067A524">
      <w:pPr>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以上内容我已仔细阅读，本公司若有违反承诺内容的行为，自愿接受取消响应或者中标资格、记入不良行为记录等有关处理，愿意承担法律责任，给采购人造成损失的，依法承担赔偿责任。</w:t>
      </w:r>
    </w:p>
    <w:p w14:paraId="1AF57994">
      <w:pPr>
        <w:spacing w:line="560" w:lineRule="exact"/>
        <w:ind w:firstLine="480" w:firstLineChars="200"/>
        <w:jc w:val="left"/>
        <w:rPr>
          <w:rFonts w:ascii="宋体" w:hAnsi="宋体" w:cs="宋体"/>
          <w:color w:val="auto"/>
          <w:sz w:val="24"/>
          <w:highlight w:val="none"/>
        </w:rPr>
      </w:pPr>
    </w:p>
    <w:p w14:paraId="2014D788">
      <w:pPr>
        <w:spacing w:line="520" w:lineRule="exact"/>
        <w:jc w:val="left"/>
        <w:rPr>
          <w:rFonts w:ascii="宋体" w:hAnsi="宋体" w:cs="宋体"/>
          <w:color w:val="auto"/>
          <w:sz w:val="24"/>
          <w:highlight w:val="none"/>
        </w:rPr>
      </w:pPr>
    </w:p>
    <w:p w14:paraId="2624E3FA">
      <w:pPr>
        <w:spacing w:line="6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开户银行：                   基本账户：</w:t>
      </w:r>
    </w:p>
    <w:p w14:paraId="4D8DBA84">
      <w:pPr>
        <w:spacing w:line="6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投标人（签章）：             法定代表人（签章）：</w:t>
      </w:r>
    </w:p>
    <w:p w14:paraId="3D24E915">
      <w:pPr>
        <w:spacing w:line="600" w:lineRule="exact"/>
        <w:ind w:firstLine="4095" w:firstLineChars="1950"/>
        <w:rPr>
          <w:rFonts w:ascii="宋体" w:hAnsi="宋体"/>
          <w:color w:val="auto"/>
          <w:szCs w:val="21"/>
          <w:highlight w:val="none"/>
        </w:rPr>
      </w:pPr>
    </w:p>
    <w:p w14:paraId="2BB5E07D">
      <w:pPr>
        <w:spacing w:line="6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       年      月      日</w:t>
      </w:r>
    </w:p>
    <w:p w14:paraId="36E041AF">
      <w:pPr>
        <w:spacing w:line="360" w:lineRule="auto"/>
        <w:jc w:val="center"/>
        <w:rPr>
          <w:b/>
          <w:color w:val="auto"/>
          <w:sz w:val="28"/>
          <w:szCs w:val="28"/>
          <w:highlight w:val="none"/>
        </w:rPr>
      </w:pPr>
    </w:p>
    <w:p w14:paraId="3D3FFFDC">
      <w:pPr>
        <w:spacing w:line="360" w:lineRule="exact"/>
        <w:ind w:firstLine="443" w:firstLineChars="147"/>
        <w:rPr>
          <w:rFonts w:ascii="宋体"/>
          <w:b/>
          <w:color w:val="auto"/>
          <w:sz w:val="30"/>
          <w:szCs w:val="30"/>
          <w:highlight w:val="none"/>
        </w:rPr>
      </w:pPr>
    </w:p>
    <w:p w14:paraId="06A90897">
      <w:pPr>
        <w:spacing w:line="360" w:lineRule="exact"/>
        <w:ind w:firstLine="443" w:firstLineChars="147"/>
        <w:rPr>
          <w:rFonts w:ascii="宋体"/>
          <w:b/>
          <w:color w:val="auto"/>
          <w:sz w:val="30"/>
          <w:szCs w:val="30"/>
          <w:highlight w:val="none"/>
        </w:rPr>
      </w:pPr>
    </w:p>
    <w:p w14:paraId="20156248">
      <w:pPr>
        <w:spacing w:line="360" w:lineRule="exact"/>
        <w:ind w:firstLine="443" w:firstLineChars="147"/>
        <w:rPr>
          <w:rFonts w:ascii="宋体"/>
          <w:b/>
          <w:color w:val="auto"/>
          <w:sz w:val="30"/>
          <w:szCs w:val="30"/>
          <w:highlight w:val="none"/>
        </w:rPr>
      </w:pPr>
    </w:p>
    <w:p w14:paraId="0A12B68B">
      <w:pPr>
        <w:spacing w:line="360" w:lineRule="exact"/>
        <w:ind w:firstLine="443" w:firstLineChars="147"/>
        <w:rPr>
          <w:rFonts w:ascii="宋体"/>
          <w:b/>
          <w:color w:val="auto"/>
          <w:sz w:val="30"/>
          <w:szCs w:val="30"/>
          <w:highlight w:val="none"/>
        </w:rPr>
      </w:pPr>
    </w:p>
    <w:p w14:paraId="0E811FC8">
      <w:pPr>
        <w:spacing w:line="360" w:lineRule="exact"/>
        <w:ind w:firstLine="443" w:firstLineChars="147"/>
        <w:rPr>
          <w:rFonts w:ascii="宋体"/>
          <w:b/>
          <w:color w:val="auto"/>
          <w:sz w:val="30"/>
          <w:szCs w:val="30"/>
          <w:highlight w:val="none"/>
        </w:rPr>
      </w:pPr>
    </w:p>
    <w:p w14:paraId="424FCF46">
      <w:pPr>
        <w:spacing w:line="360" w:lineRule="exact"/>
        <w:ind w:firstLine="443" w:firstLineChars="147"/>
        <w:rPr>
          <w:rFonts w:ascii="宋体"/>
          <w:b/>
          <w:color w:val="auto"/>
          <w:sz w:val="30"/>
          <w:szCs w:val="30"/>
          <w:highlight w:val="none"/>
        </w:rPr>
      </w:pPr>
    </w:p>
    <w:p w14:paraId="7AF04A8F">
      <w:pPr>
        <w:spacing w:line="360" w:lineRule="exact"/>
        <w:ind w:firstLine="443" w:firstLineChars="147"/>
        <w:rPr>
          <w:rFonts w:ascii="宋体"/>
          <w:b/>
          <w:color w:val="auto"/>
          <w:sz w:val="30"/>
          <w:szCs w:val="30"/>
          <w:highlight w:val="none"/>
        </w:rPr>
      </w:pPr>
    </w:p>
    <w:p w14:paraId="02F4276E">
      <w:pPr>
        <w:spacing w:line="360" w:lineRule="exact"/>
        <w:ind w:firstLine="443" w:firstLineChars="147"/>
        <w:rPr>
          <w:rFonts w:ascii="宋体"/>
          <w:b/>
          <w:color w:val="auto"/>
          <w:sz w:val="30"/>
          <w:szCs w:val="30"/>
          <w:highlight w:val="none"/>
        </w:rPr>
      </w:pPr>
    </w:p>
    <w:p w14:paraId="20E5002E">
      <w:pPr>
        <w:rPr>
          <w:rFonts w:eastAsia="黑体"/>
          <w:color w:val="auto"/>
          <w:sz w:val="20"/>
          <w:highlight w:val="none"/>
        </w:rPr>
      </w:pPr>
      <w:r>
        <w:rPr>
          <w:rFonts w:hint="eastAsia" w:ascii="宋体"/>
          <w:b/>
          <w:color w:val="auto"/>
          <w:sz w:val="44"/>
          <w:szCs w:val="44"/>
          <w:highlight w:val="none"/>
        </w:rPr>
        <w:br w:type="page"/>
      </w:r>
      <w:bookmarkEnd w:id="69"/>
      <w:bookmarkEnd w:id="70"/>
      <w:bookmarkEnd w:id="75"/>
      <w:bookmarkEnd w:id="76"/>
      <w:bookmarkStart w:id="77" w:name="_Toc58430333"/>
      <w:bookmarkStart w:id="78" w:name="_Toc449028957"/>
    </w:p>
    <w:p w14:paraId="72BEE327">
      <w:pPr>
        <w:rPr>
          <w:rFonts w:eastAsia="黑体"/>
          <w:color w:val="auto"/>
          <w:sz w:val="20"/>
          <w:highlight w:val="none"/>
        </w:rPr>
      </w:pPr>
    </w:p>
    <w:p w14:paraId="204D7935">
      <w:pPr>
        <w:jc w:val="center"/>
        <w:rPr>
          <w:rFonts w:ascii="宋体" w:eastAsia="黑体"/>
          <w:b/>
          <w:color w:val="auto"/>
          <w:sz w:val="44"/>
          <w:szCs w:val="44"/>
          <w:highlight w:val="none"/>
        </w:rPr>
      </w:pPr>
    </w:p>
    <w:p w14:paraId="2B5F34F3">
      <w:pPr>
        <w:jc w:val="center"/>
        <w:rPr>
          <w:rFonts w:eastAsia="黑体"/>
          <w:color w:val="auto"/>
          <w:sz w:val="44"/>
          <w:szCs w:val="44"/>
          <w:highlight w:val="none"/>
        </w:rPr>
      </w:pPr>
      <w:r>
        <w:rPr>
          <w:rFonts w:hint="eastAsia" w:ascii="宋体" w:eastAsia="黑体"/>
          <w:b/>
          <w:color w:val="auto"/>
          <w:sz w:val="44"/>
          <w:szCs w:val="44"/>
          <w:highlight w:val="none"/>
        </w:rPr>
        <w:t>技术标文件</w:t>
      </w:r>
    </w:p>
    <w:p w14:paraId="1C966801">
      <w:pPr>
        <w:jc w:val="center"/>
        <w:rPr>
          <w:rFonts w:eastAsia="黑体"/>
          <w:color w:val="auto"/>
          <w:sz w:val="44"/>
          <w:szCs w:val="44"/>
          <w:highlight w:val="none"/>
        </w:rPr>
      </w:pPr>
    </w:p>
    <w:p w14:paraId="4C5545DC">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682BED7">
      <w:pPr>
        <w:jc w:val="center"/>
        <w:rPr>
          <w:rFonts w:ascii="宋体"/>
          <w:color w:val="auto"/>
          <w:sz w:val="44"/>
          <w:szCs w:val="44"/>
          <w:highlight w:val="none"/>
        </w:rPr>
      </w:pPr>
      <w:r>
        <w:rPr>
          <w:rFonts w:hint="eastAsia" w:ascii="宋体"/>
          <w:color w:val="auto"/>
          <w:sz w:val="28"/>
          <w:szCs w:val="28"/>
          <w:highlight w:val="none"/>
          <w:u w:val="single"/>
        </w:rPr>
        <w:t xml:space="preserve">  </w:t>
      </w:r>
    </w:p>
    <w:p w14:paraId="6D863994">
      <w:pPr>
        <w:rPr>
          <w:rFonts w:ascii="宋体"/>
          <w:color w:val="auto"/>
          <w:sz w:val="28"/>
          <w:szCs w:val="28"/>
          <w:highlight w:val="none"/>
        </w:rPr>
      </w:pPr>
    </w:p>
    <w:p w14:paraId="3329620A">
      <w:pPr>
        <w:pStyle w:val="17"/>
        <w:ind w:left="0" w:firstLine="0"/>
        <w:rPr>
          <w:rFonts w:ascii="宋体"/>
          <w:color w:val="auto"/>
          <w:sz w:val="28"/>
          <w:szCs w:val="28"/>
          <w:highlight w:val="none"/>
        </w:rPr>
      </w:pPr>
    </w:p>
    <w:p w14:paraId="76216369">
      <w:pPr>
        <w:rPr>
          <w:rFonts w:ascii="宋体"/>
          <w:color w:val="auto"/>
          <w:sz w:val="28"/>
          <w:szCs w:val="28"/>
          <w:highlight w:val="none"/>
        </w:rPr>
      </w:pPr>
    </w:p>
    <w:p w14:paraId="78699C8D">
      <w:pPr>
        <w:rPr>
          <w:rFonts w:ascii="宋体"/>
          <w:color w:val="auto"/>
          <w:sz w:val="28"/>
          <w:szCs w:val="28"/>
          <w:highlight w:val="none"/>
        </w:rPr>
      </w:pPr>
    </w:p>
    <w:p w14:paraId="60AC260E">
      <w:pPr>
        <w:rPr>
          <w:rFonts w:ascii="宋体"/>
          <w:color w:val="auto"/>
          <w:sz w:val="28"/>
          <w:szCs w:val="28"/>
          <w:highlight w:val="none"/>
        </w:rPr>
      </w:pPr>
    </w:p>
    <w:p w14:paraId="46FA9491">
      <w:pPr>
        <w:rPr>
          <w:rFonts w:ascii="宋体"/>
          <w:color w:val="auto"/>
          <w:sz w:val="28"/>
          <w:szCs w:val="28"/>
          <w:highlight w:val="none"/>
        </w:rPr>
      </w:pPr>
    </w:p>
    <w:p w14:paraId="405F1630">
      <w:pPr>
        <w:rPr>
          <w:rFonts w:ascii="宋体"/>
          <w:color w:val="auto"/>
          <w:sz w:val="28"/>
          <w:szCs w:val="28"/>
          <w:highlight w:val="none"/>
        </w:rPr>
      </w:pPr>
    </w:p>
    <w:p w14:paraId="79872A08">
      <w:pPr>
        <w:rPr>
          <w:rFonts w:ascii="宋体"/>
          <w:color w:val="auto"/>
          <w:sz w:val="28"/>
          <w:szCs w:val="28"/>
          <w:highlight w:val="none"/>
        </w:rPr>
      </w:pPr>
    </w:p>
    <w:p w14:paraId="3392FE6F">
      <w:pPr>
        <w:pStyle w:val="54"/>
        <w:rPr>
          <w:rFonts w:ascii="宋体"/>
          <w:color w:val="auto"/>
          <w:sz w:val="28"/>
          <w:szCs w:val="28"/>
          <w:highlight w:val="none"/>
        </w:rPr>
      </w:pPr>
    </w:p>
    <w:p w14:paraId="0743C632">
      <w:pPr>
        <w:pStyle w:val="54"/>
        <w:rPr>
          <w:rFonts w:ascii="宋体"/>
          <w:color w:val="auto"/>
          <w:sz w:val="28"/>
          <w:szCs w:val="28"/>
          <w:highlight w:val="none"/>
        </w:rPr>
      </w:pPr>
    </w:p>
    <w:p w14:paraId="0355E88F">
      <w:pPr>
        <w:pStyle w:val="54"/>
        <w:rPr>
          <w:rFonts w:ascii="宋体"/>
          <w:color w:val="auto"/>
          <w:sz w:val="28"/>
          <w:szCs w:val="28"/>
          <w:highlight w:val="none"/>
        </w:rPr>
      </w:pPr>
    </w:p>
    <w:p w14:paraId="0915D3B4">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7210C6F">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3EE712C1">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FB2AD41">
      <w:pPr>
        <w:spacing w:line="720" w:lineRule="auto"/>
        <w:jc w:val="center"/>
        <w:rPr>
          <w:rFonts w:ascii="宋体"/>
          <w:b/>
          <w:color w:val="auto"/>
          <w:sz w:val="36"/>
          <w:szCs w:val="36"/>
          <w:highlight w:val="none"/>
        </w:rPr>
      </w:pPr>
    </w:p>
    <w:p w14:paraId="4D165D4D">
      <w:pPr>
        <w:spacing w:line="400" w:lineRule="exact"/>
        <w:ind w:firstLine="4130" w:firstLineChars="935"/>
        <w:rPr>
          <w:b/>
          <w:color w:val="auto"/>
          <w:sz w:val="44"/>
          <w:szCs w:val="44"/>
          <w:highlight w:val="none"/>
        </w:rPr>
      </w:pPr>
    </w:p>
    <w:p w14:paraId="421675AB">
      <w:pPr>
        <w:spacing w:line="400" w:lineRule="exact"/>
        <w:ind w:firstLine="4130" w:firstLineChars="935"/>
        <w:rPr>
          <w:b/>
          <w:color w:val="auto"/>
          <w:sz w:val="44"/>
          <w:szCs w:val="44"/>
          <w:highlight w:val="none"/>
        </w:rPr>
      </w:pPr>
    </w:p>
    <w:p w14:paraId="2A38CA5A">
      <w:pPr>
        <w:jc w:val="center"/>
        <w:rPr>
          <w:b/>
          <w:color w:val="auto"/>
          <w:sz w:val="44"/>
          <w:szCs w:val="44"/>
          <w:highlight w:val="none"/>
        </w:rPr>
      </w:pPr>
      <w:r>
        <w:rPr>
          <w:rFonts w:hint="eastAsia"/>
          <w:b/>
          <w:color w:val="auto"/>
          <w:sz w:val="36"/>
          <w:szCs w:val="36"/>
          <w:highlight w:val="none"/>
        </w:rPr>
        <w:t>目   录</w:t>
      </w:r>
    </w:p>
    <w:p w14:paraId="55021451">
      <w:pPr>
        <w:spacing w:line="400" w:lineRule="exact"/>
        <w:ind w:firstLine="562" w:firstLineChars="200"/>
        <w:rPr>
          <w:b/>
          <w:color w:val="auto"/>
          <w:sz w:val="28"/>
          <w:szCs w:val="28"/>
          <w:highlight w:val="none"/>
        </w:rPr>
      </w:pPr>
    </w:p>
    <w:p w14:paraId="060ACFD6">
      <w:pPr>
        <w:spacing w:line="500" w:lineRule="exact"/>
        <w:ind w:firstLine="420" w:firstLineChars="200"/>
        <w:jc w:val="left"/>
        <w:rPr>
          <w:rFonts w:ascii="宋体"/>
          <w:color w:val="auto"/>
          <w:szCs w:val="21"/>
          <w:highlight w:val="none"/>
        </w:rPr>
      </w:pPr>
    </w:p>
    <w:p w14:paraId="1725D0D1">
      <w:pPr>
        <w:spacing w:line="500" w:lineRule="exact"/>
        <w:ind w:firstLine="420" w:firstLineChars="200"/>
        <w:jc w:val="left"/>
        <w:rPr>
          <w:rFonts w:ascii="宋体"/>
          <w:color w:val="auto"/>
          <w:szCs w:val="21"/>
          <w:highlight w:val="none"/>
        </w:rPr>
      </w:pPr>
      <w:r>
        <w:rPr>
          <w:rFonts w:hint="eastAsia" w:ascii="宋体"/>
          <w:color w:val="auto"/>
          <w:szCs w:val="21"/>
          <w:highlight w:val="none"/>
        </w:rPr>
        <w:t>（1）技术标评分的支持资料。</w:t>
      </w:r>
    </w:p>
    <w:p w14:paraId="5AAC6D7F">
      <w:pPr>
        <w:rPr>
          <w:rFonts w:ascii="宋体"/>
          <w:b/>
          <w:color w:val="auto"/>
          <w:sz w:val="32"/>
          <w:szCs w:val="32"/>
          <w:highlight w:val="none"/>
        </w:rPr>
      </w:pPr>
      <w:r>
        <w:rPr>
          <w:rFonts w:ascii="宋体"/>
          <w:b/>
          <w:color w:val="auto"/>
          <w:sz w:val="32"/>
          <w:szCs w:val="32"/>
          <w:highlight w:val="none"/>
        </w:rPr>
        <w:br w:type="page"/>
      </w:r>
    </w:p>
    <w:p w14:paraId="7BECC132">
      <w:pPr>
        <w:pStyle w:val="54"/>
        <w:rPr>
          <w:color w:val="auto"/>
          <w:highlight w:val="none"/>
        </w:rPr>
      </w:pPr>
    </w:p>
    <w:p w14:paraId="546DE1AC">
      <w:pPr>
        <w:spacing w:before="156" w:beforeLines="50" w:after="156" w:afterLines="50" w:line="600" w:lineRule="exact"/>
        <w:jc w:val="center"/>
        <w:outlineLvl w:val="0"/>
        <w:rPr>
          <w:rFonts w:ascii="宋体"/>
          <w:b/>
          <w:color w:val="auto"/>
          <w:sz w:val="32"/>
          <w:szCs w:val="32"/>
          <w:highlight w:val="none"/>
        </w:rPr>
      </w:pPr>
      <w:r>
        <w:rPr>
          <w:rFonts w:hint="eastAsia" w:ascii="宋体"/>
          <w:b/>
          <w:color w:val="auto"/>
          <w:sz w:val="32"/>
          <w:szCs w:val="32"/>
          <w:highlight w:val="none"/>
        </w:rPr>
        <w:t>招标人、招标代理机构对本招标文件的确认</w:t>
      </w:r>
      <w:bookmarkEnd w:id="77"/>
      <w:bookmarkEnd w:id="78"/>
    </w:p>
    <w:p w14:paraId="30D23E33">
      <w:pPr>
        <w:spacing w:line="440" w:lineRule="exact"/>
        <w:rPr>
          <w:rFonts w:ascii="宋体"/>
          <w:color w:val="auto"/>
          <w:sz w:val="24"/>
          <w:highlight w:val="none"/>
          <w:u w:val="single"/>
        </w:rPr>
      </w:pPr>
    </w:p>
    <w:tbl>
      <w:tblPr>
        <w:tblStyle w:val="37"/>
        <w:tblW w:w="0" w:type="auto"/>
        <w:jc w:val="center"/>
        <w:tblLayout w:type="fixed"/>
        <w:tblCellMar>
          <w:top w:w="0" w:type="dxa"/>
          <w:left w:w="108" w:type="dxa"/>
          <w:bottom w:w="0" w:type="dxa"/>
          <w:right w:w="108" w:type="dxa"/>
        </w:tblCellMar>
      </w:tblPr>
      <w:tblGrid>
        <w:gridCol w:w="9374"/>
      </w:tblGrid>
      <w:tr w14:paraId="78A35E51">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tcPr>
          <w:p w14:paraId="4BC48D90">
            <w:pPr>
              <w:spacing w:line="440" w:lineRule="exact"/>
              <w:ind w:firstLine="560" w:firstLineChars="200"/>
              <w:rPr>
                <w:rFonts w:ascii="宋体" w:cs="宋体"/>
                <w:color w:val="auto"/>
                <w:sz w:val="28"/>
                <w:szCs w:val="28"/>
                <w:highlight w:val="none"/>
              </w:rPr>
            </w:pPr>
          </w:p>
          <w:p w14:paraId="59E44ED3">
            <w:pPr>
              <w:spacing w:line="360" w:lineRule="auto"/>
              <w:ind w:firstLine="560" w:firstLineChars="200"/>
              <w:rPr>
                <w:rFonts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eastAsia="zh-CN"/>
              </w:rPr>
              <w:t>滁州市住房和城乡建设局食堂外包服务项目</w:t>
            </w:r>
            <w:r>
              <w:rPr>
                <w:rFonts w:hint="eastAsia" w:ascii="宋体" w:cs="宋体"/>
                <w:color w:val="auto"/>
                <w:sz w:val="28"/>
                <w:szCs w:val="28"/>
                <w:highlight w:val="none"/>
              </w:rPr>
              <w:t>的招标文件进行确认。</w:t>
            </w:r>
          </w:p>
          <w:p w14:paraId="7FB5A9DA">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滁州市住房和城乡建设局</w:t>
            </w:r>
          </w:p>
          <w:p w14:paraId="4A29E8F1">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委托代理人：李昂 </w:t>
            </w:r>
          </w:p>
          <w:p w14:paraId="4B1CFFA3">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联系电话：</w:t>
            </w:r>
            <w:r>
              <w:rPr>
                <w:rFonts w:hint="eastAsia" w:ascii="仿宋" w:hAnsi="仿宋" w:eastAsia="仿宋" w:cs="仿宋"/>
                <w:color w:val="auto"/>
                <w:sz w:val="28"/>
                <w:szCs w:val="28"/>
                <w:highlight w:val="none"/>
                <w:u w:val="none"/>
                <w:lang w:val="en-US" w:eastAsia="zh-CN"/>
              </w:rPr>
              <w:t>0550-3036040</w:t>
            </w:r>
          </w:p>
          <w:p w14:paraId="2E540798">
            <w:pPr>
              <w:spacing w:line="540" w:lineRule="exact"/>
              <w:jc w:val="right"/>
              <w:rPr>
                <w:rFonts w:ascii="宋体" w:cs="宋体"/>
                <w:color w:val="auto"/>
                <w:sz w:val="28"/>
                <w:szCs w:val="28"/>
                <w:highlight w:val="none"/>
              </w:rPr>
            </w:pPr>
            <w:r>
              <w:rPr>
                <w:rFonts w:hint="eastAsia" w:ascii="宋体" w:cs="宋体"/>
                <w:color w:val="auto"/>
                <w:sz w:val="28"/>
                <w:szCs w:val="28"/>
                <w:highlight w:val="none"/>
              </w:rPr>
              <w:t>（盖单位章）</w:t>
            </w:r>
          </w:p>
          <w:p w14:paraId="4F9D04FF">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tr w14:paraId="3E73B55C">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tcPr>
          <w:p w14:paraId="33A657D6">
            <w:pPr>
              <w:spacing w:line="440" w:lineRule="exact"/>
              <w:rPr>
                <w:rFonts w:ascii="宋体" w:cs="宋体"/>
                <w:color w:val="auto"/>
                <w:sz w:val="28"/>
                <w:szCs w:val="28"/>
                <w:highlight w:val="none"/>
              </w:rPr>
            </w:pPr>
          </w:p>
          <w:p w14:paraId="201E1CC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1C125FE2">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eastAsia="zh-CN"/>
              </w:rPr>
              <w:t>毕玉</w:t>
            </w:r>
          </w:p>
          <w:p w14:paraId="0E989F56">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电  话：</w:t>
            </w:r>
            <w:r>
              <w:rPr>
                <w:rFonts w:hint="eastAsia" w:ascii="宋体" w:cs="宋体"/>
                <w:color w:val="auto"/>
                <w:sz w:val="28"/>
                <w:szCs w:val="28"/>
                <w:highlight w:val="none"/>
                <w:lang w:eastAsia="zh-CN"/>
              </w:rPr>
              <w:t>0550-3519598、15385506369</w:t>
            </w:r>
          </w:p>
          <w:p w14:paraId="3C934EDC">
            <w:pPr>
              <w:spacing w:line="520" w:lineRule="exact"/>
              <w:ind w:firstLine="6300" w:firstLineChars="2250"/>
              <w:rPr>
                <w:rFonts w:ascii="宋体" w:cs="宋体"/>
                <w:color w:val="auto"/>
                <w:sz w:val="28"/>
                <w:szCs w:val="28"/>
                <w:highlight w:val="none"/>
              </w:rPr>
            </w:pPr>
          </w:p>
          <w:p w14:paraId="4046F4D0">
            <w:pPr>
              <w:pStyle w:val="36"/>
              <w:rPr>
                <w:color w:val="auto"/>
                <w:highlight w:val="none"/>
              </w:rPr>
            </w:pPr>
          </w:p>
          <w:p w14:paraId="5DC615EB">
            <w:pPr>
              <w:spacing w:line="520" w:lineRule="exact"/>
              <w:ind w:firstLine="6580" w:firstLineChars="2350"/>
              <w:rPr>
                <w:rFonts w:ascii="宋体" w:cs="宋体"/>
                <w:color w:val="auto"/>
                <w:sz w:val="28"/>
                <w:szCs w:val="28"/>
                <w:highlight w:val="none"/>
              </w:rPr>
            </w:pPr>
          </w:p>
          <w:p w14:paraId="4DBF2196">
            <w:pPr>
              <w:spacing w:line="520" w:lineRule="exact"/>
              <w:jc w:val="right"/>
              <w:rPr>
                <w:rFonts w:ascii="宋体" w:cs="宋体"/>
                <w:color w:val="auto"/>
                <w:sz w:val="28"/>
                <w:szCs w:val="28"/>
                <w:highlight w:val="none"/>
              </w:rPr>
            </w:pPr>
            <w:r>
              <w:rPr>
                <w:rFonts w:hint="eastAsia" w:ascii="宋体" w:cs="宋体"/>
                <w:color w:val="auto"/>
                <w:sz w:val="28"/>
                <w:szCs w:val="28"/>
                <w:highlight w:val="none"/>
              </w:rPr>
              <w:t>（盖单位章）</w:t>
            </w:r>
          </w:p>
          <w:p w14:paraId="7AF58EB1">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bookmarkEnd w:id="0"/>
    </w:tbl>
    <w:p w14:paraId="16A282A5">
      <w:pPr>
        <w:rPr>
          <w:color w:val="auto"/>
          <w:highlight w:val="none"/>
        </w:rPr>
      </w:pPr>
      <w:r>
        <w:rPr>
          <w:color w:val="auto"/>
          <w:highlight w:val="none"/>
        </w:rPr>
        <w:br w:type="page"/>
      </w:r>
    </w:p>
    <w:p w14:paraId="76E4FFF4">
      <w:pPr>
        <w:keepNext/>
        <w:keepLines/>
        <w:spacing w:before="200" w:after="200" w:line="600" w:lineRule="exact"/>
        <w:outlineLvl w:val="0"/>
        <w:rPr>
          <w:rFonts w:ascii="黑体" w:hAnsi="黑体" w:eastAsia="黑体"/>
          <w:b/>
          <w:bCs/>
          <w:color w:val="auto"/>
          <w:kern w:val="44"/>
          <w:sz w:val="28"/>
          <w:szCs w:val="28"/>
          <w:highlight w:val="none"/>
        </w:rPr>
      </w:pPr>
      <w:bookmarkStart w:id="79" w:name="OLE_LINK7"/>
      <w:bookmarkStart w:id="80" w:name="OLE_LINK24"/>
      <w:bookmarkStart w:id="81" w:name="OLE_LINK25"/>
      <w:r>
        <w:rPr>
          <w:rFonts w:hint="eastAsia" w:ascii="黑体" w:hAnsi="黑体" w:eastAsia="黑体"/>
          <w:b/>
          <w:bCs/>
          <w:color w:val="auto"/>
          <w:kern w:val="44"/>
          <w:sz w:val="36"/>
          <w:szCs w:val="28"/>
          <w:highlight w:val="none"/>
        </w:rPr>
        <w:t>附件1 关于联合惩戒失信行为加强信用查询管理的通知</w:t>
      </w:r>
    </w:p>
    <w:bookmarkEnd w:id="79"/>
    <w:p w14:paraId="467B4C23">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65E9CB1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0BECF341">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80"/>
    <w:bookmarkEnd w:id="81"/>
    <w:p w14:paraId="29821E1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82" w:name="OLE_LINK91"/>
      <w:bookmarkStart w:id="83" w:name="OLE_LINK93"/>
      <w:bookmarkStart w:id="84" w:name="OLE_LINK103"/>
      <w:bookmarkStart w:id="85" w:name="OLE_LINK92"/>
      <w:r>
        <w:rPr>
          <w:rFonts w:hint="eastAsia" w:ascii="仿宋_GB2312" w:hAnsi="宋体" w:eastAsia="仿宋_GB2312"/>
          <w:color w:val="auto"/>
          <w:sz w:val="28"/>
          <w:szCs w:val="28"/>
          <w:highlight w:val="none"/>
        </w:rPr>
        <w:t>投标人、法定代表人及其项目经理(建造师)</w:t>
      </w:r>
      <w:bookmarkEnd w:id="82"/>
      <w:bookmarkEnd w:id="83"/>
      <w:bookmarkEnd w:id="84"/>
      <w:bookmarkEnd w:id="85"/>
      <w:r>
        <w:rPr>
          <w:rFonts w:hint="eastAsia" w:ascii="仿宋_GB2312" w:hAnsi="宋体" w:eastAsia="仿宋_GB2312"/>
          <w:color w:val="auto"/>
          <w:sz w:val="28"/>
          <w:szCs w:val="28"/>
          <w:highlight w:val="none"/>
        </w:rPr>
        <w:t>以下失信行为：</w:t>
      </w:r>
    </w:p>
    <w:p w14:paraId="3677FB52">
      <w:pPr>
        <w:adjustRightInd w:val="0"/>
        <w:snapToGrid w:val="0"/>
        <w:spacing w:line="560" w:lineRule="exact"/>
        <w:ind w:firstLine="560" w:firstLineChars="200"/>
        <w:rPr>
          <w:rFonts w:ascii="仿宋_GB2312" w:hAnsi="宋体" w:eastAsia="仿宋_GB2312"/>
          <w:color w:val="auto"/>
          <w:sz w:val="28"/>
          <w:szCs w:val="28"/>
          <w:highlight w:val="none"/>
        </w:rPr>
      </w:pPr>
      <w:bookmarkStart w:id="86" w:name="OLE_LINK87"/>
      <w:bookmarkStart w:id="87" w:name="OLE_LINK119"/>
      <w:bookmarkStart w:id="88" w:name="OLE_LINK86"/>
      <w:bookmarkStart w:id="89" w:name="OLE_LINK94"/>
      <w:r>
        <w:rPr>
          <w:rFonts w:hint="eastAsia" w:ascii="仿宋_GB2312" w:hAnsi="宋体" w:eastAsia="仿宋_GB2312"/>
          <w:color w:val="auto"/>
          <w:sz w:val="28"/>
          <w:szCs w:val="28"/>
          <w:highlight w:val="none"/>
        </w:rPr>
        <w:t>①被列入“失信被执行人”的;</w:t>
      </w:r>
    </w:p>
    <w:p w14:paraId="3CAB74E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90" w:name="OLE_LINK116"/>
      <w:bookmarkStart w:id="91" w:name="OLE_LINK117"/>
      <w:bookmarkStart w:id="92" w:name="OLE_LINK115"/>
      <w:bookmarkStart w:id="93" w:name="OLE_LINK118"/>
      <w:r>
        <w:rPr>
          <w:rFonts w:hint="eastAsia" w:ascii="仿宋_GB2312" w:hAnsi="宋体" w:eastAsia="仿宋_GB2312"/>
          <w:color w:val="auto"/>
          <w:sz w:val="28"/>
          <w:szCs w:val="28"/>
          <w:highlight w:val="none"/>
        </w:rPr>
        <w:t>“重大税收违法失信主体”</w:t>
      </w:r>
      <w:bookmarkEnd w:id="90"/>
      <w:bookmarkEnd w:id="91"/>
      <w:bookmarkEnd w:id="92"/>
      <w:bookmarkEnd w:id="93"/>
      <w:r>
        <w:rPr>
          <w:rFonts w:hint="eastAsia" w:ascii="仿宋_GB2312" w:hAnsi="宋体" w:eastAsia="仿宋_GB2312"/>
          <w:color w:val="auto"/>
          <w:sz w:val="28"/>
          <w:szCs w:val="28"/>
          <w:highlight w:val="none"/>
        </w:rPr>
        <w:t>的；</w:t>
      </w:r>
    </w:p>
    <w:p w14:paraId="59BACD6E">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94" w:name="OLE_LINK84"/>
      <w:bookmarkStart w:id="95" w:name="OLE_LINK85"/>
      <w:r>
        <w:rPr>
          <w:rFonts w:hint="eastAsia" w:ascii="仿宋_GB2312" w:hAnsi="宋体" w:eastAsia="仿宋_GB2312"/>
          <w:color w:val="auto"/>
          <w:sz w:val="28"/>
          <w:szCs w:val="28"/>
          <w:highlight w:val="none"/>
        </w:rPr>
        <w:t>农民工工资失信联合惩戒对象</w:t>
      </w:r>
      <w:bookmarkEnd w:id="94"/>
      <w:bookmarkEnd w:id="95"/>
      <w:r>
        <w:rPr>
          <w:rFonts w:hint="eastAsia" w:ascii="仿宋_GB2312" w:hAnsi="宋体" w:eastAsia="仿宋_GB2312"/>
          <w:color w:val="auto"/>
          <w:sz w:val="28"/>
          <w:szCs w:val="28"/>
          <w:highlight w:val="none"/>
        </w:rPr>
        <w:t>名单”的；</w:t>
      </w:r>
    </w:p>
    <w:p w14:paraId="1F28F71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DA09CF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86"/>
    <w:bookmarkEnd w:id="87"/>
    <w:bookmarkEnd w:id="88"/>
    <w:bookmarkEnd w:id="89"/>
    <w:p w14:paraId="4E1AACB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96" w:name="OLE_LINK130"/>
      <w:r>
        <w:rPr>
          <w:rFonts w:hint="eastAsia" w:ascii="仿宋_GB2312" w:hAnsi="宋体" w:eastAsia="仿宋_GB2312"/>
          <w:color w:val="auto"/>
          <w:sz w:val="28"/>
          <w:szCs w:val="28"/>
          <w:highlight w:val="none"/>
        </w:rPr>
        <w:t>国家企业信用信息公示系统网站</w:t>
      </w:r>
      <w:bookmarkEnd w:id="96"/>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97" w:name="OLE_LINK90"/>
      <w:bookmarkStart w:id="98" w:name="OLE_LINK89"/>
      <w:r>
        <w:rPr>
          <w:rStyle w:val="48"/>
          <w:rFonts w:hint="eastAsia" w:ascii="仿宋_GB2312" w:hAnsi="宋体" w:eastAsia="仿宋_GB2312"/>
          <w:color w:val="auto"/>
          <w:sz w:val="28"/>
          <w:szCs w:val="28"/>
          <w:highlight w:val="none"/>
        </w:rPr>
        <w:t>www.gsxt.gov.cn</w:t>
      </w:r>
      <w:bookmarkEnd w:id="97"/>
      <w:bookmarkEnd w:id="98"/>
      <w:r>
        <w:rPr>
          <w:rStyle w:val="48"/>
          <w:rFonts w:hint="eastAsia" w:ascii="仿宋_GB2312" w:hAnsi="宋体" w:eastAsia="仿宋_GB2312"/>
          <w:color w:val="auto"/>
          <w:sz w:val="28"/>
          <w:szCs w:val="28"/>
          <w:highlight w:val="none"/>
        </w:rPr>
        <w:t>）</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查询投标人以下失信行为：</w:t>
      </w:r>
    </w:p>
    <w:p w14:paraId="357704E8">
      <w:pPr>
        <w:adjustRightInd w:val="0"/>
        <w:snapToGrid w:val="0"/>
        <w:spacing w:line="560" w:lineRule="exact"/>
        <w:ind w:firstLine="560" w:firstLineChars="200"/>
        <w:rPr>
          <w:rFonts w:ascii="仿宋_GB2312" w:hAnsi="宋体" w:eastAsia="仿宋_GB2312"/>
          <w:color w:val="auto"/>
          <w:sz w:val="28"/>
          <w:szCs w:val="28"/>
          <w:highlight w:val="none"/>
        </w:rPr>
      </w:pPr>
      <w:bookmarkStart w:id="99" w:name="OLE_LINK120"/>
      <w:bookmarkStart w:id="100" w:name="OLE_LINK122"/>
      <w:bookmarkStart w:id="101" w:name="OLE_LINK121"/>
      <w:r>
        <w:rPr>
          <w:rFonts w:hint="eastAsia" w:ascii="仿宋_GB2312" w:hAnsi="宋体" w:eastAsia="仿宋_GB2312"/>
          <w:color w:val="auto"/>
          <w:sz w:val="28"/>
          <w:szCs w:val="28"/>
          <w:highlight w:val="none"/>
        </w:rPr>
        <w:t>①被列入“经营异常名录”或者“严重违法失信名单”的。</w:t>
      </w:r>
      <w:bookmarkEnd w:id="99"/>
      <w:bookmarkEnd w:id="100"/>
      <w:bookmarkEnd w:id="101"/>
    </w:p>
    <w:p w14:paraId="182D1C3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7E98CE7D">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102" w:name="OLE_LINK124"/>
      <w:bookmarkStart w:id="103"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DF3D08E">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4BC2834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030D3A5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04" w:name="OLE_LINK107"/>
      <w:bookmarkStart w:id="105" w:name="OLE_LINK108"/>
      <w:r>
        <w:rPr>
          <w:rFonts w:hint="eastAsia" w:ascii="仿宋_GB2312" w:hAnsi="宋体" w:eastAsia="仿宋_GB2312"/>
          <w:color w:val="auto"/>
          <w:sz w:val="28"/>
          <w:szCs w:val="28"/>
          <w:highlight w:val="none"/>
        </w:rPr>
        <w:t>县级及以上有关行政主管部门限制投标资格且在限制期限内的</w:t>
      </w:r>
      <w:bookmarkEnd w:id="104"/>
      <w:bookmarkEnd w:id="105"/>
      <w:r>
        <w:rPr>
          <w:rFonts w:hint="eastAsia" w:ascii="仿宋_GB2312" w:hAnsi="宋体" w:eastAsia="仿宋_GB2312"/>
          <w:color w:val="auto"/>
          <w:sz w:val="28"/>
          <w:szCs w:val="28"/>
          <w:highlight w:val="none"/>
        </w:rPr>
        <w:t>；</w:t>
      </w:r>
    </w:p>
    <w:p w14:paraId="2E38501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2"/>
    <w:bookmarkEnd w:id="103"/>
    <w:p w14:paraId="262A7EE6">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4D747B3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48"/>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0C4974A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6FD6DA0D">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6B894E4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 “严重失信主体名单”的；</w:t>
      </w:r>
    </w:p>
    <w:p w14:paraId="229EBCFD">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④在“信用中国”网站上披露的仍在公示期的严重失信行为(具体行为类别及判定依据见附件2)的。</w:t>
      </w:r>
    </w:p>
    <w:p w14:paraId="15B4FC4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48"/>
          <w:rFonts w:hint="eastAsia" w:ascii="仿宋" w:hAnsi="仿宋" w:eastAsia="仿宋"/>
          <w:color w:val="auto"/>
          <w:sz w:val="28"/>
          <w:szCs w:val="28"/>
          <w:highlight w:val="none"/>
        </w:rPr>
        <w:t>www.gsxt.gov.cn）</w:t>
      </w:r>
      <w:r>
        <w:rPr>
          <w:rStyle w:val="48"/>
          <w:rFonts w:hint="eastAsia" w:ascii="仿宋" w:hAnsi="仿宋" w:eastAsia="仿宋"/>
          <w:color w:val="auto"/>
          <w:sz w:val="28"/>
          <w:szCs w:val="28"/>
          <w:highlight w:val="none"/>
        </w:rPr>
        <w:fldChar w:fldCharType="end"/>
      </w:r>
      <w:r>
        <w:rPr>
          <w:rFonts w:hint="eastAsia" w:ascii="仿宋_GB2312" w:hAnsi="宋体" w:eastAsia="仿宋_GB2312"/>
          <w:color w:val="auto"/>
          <w:sz w:val="28"/>
          <w:szCs w:val="28"/>
          <w:highlight w:val="none"/>
        </w:rPr>
        <w:t>查询供应商以下失信行为：</w:t>
      </w:r>
    </w:p>
    <w:p w14:paraId="7530339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06" w:name="OLE_LINK100"/>
      <w:bookmarkStart w:id="107" w:name="OLE_LINK102"/>
      <w:bookmarkStart w:id="108" w:name="OLE_LINK101"/>
      <w:r>
        <w:rPr>
          <w:rFonts w:hint="eastAsia" w:ascii="仿宋_GB2312" w:hAnsi="宋体" w:eastAsia="仿宋_GB2312"/>
          <w:color w:val="auto"/>
          <w:sz w:val="28"/>
          <w:szCs w:val="28"/>
          <w:highlight w:val="none"/>
        </w:rPr>
        <w:t>被列入“经营异常名录”或者“严重违法失信名单”的</w:t>
      </w:r>
      <w:bookmarkEnd w:id="106"/>
      <w:bookmarkEnd w:id="107"/>
      <w:bookmarkEnd w:id="108"/>
      <w:r>
        <w:rPr>
          <w:rFonts w:hint="eastAsia" w:ascii="仿宋_GB2312" w:hAnsi="宋体" w:eastAsia="仿宋_GB2312"/>
          <w:color w:val="auto"/>
          <w:sz w:val="28"/>
          <w:szCs w:val="28"/>
          <w:highlight w:val="none"/>
        </w:rPr>
        <w:t>。</w:t>
      </w:r>
    </w:p>
    <w:p w14:paraId="7855BCF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09" w:name="OLE_LINK96"/>
      <w:bookmarkStart w:id="110"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48"/>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09"/>
      <w:bookmarkEnd w:id="110"/>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15CD1B9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11" w:name="OLE_LINK106"/>
      <w:bookmarkStart w:id="112" w:name="OLE_LINK104"/>
      <w:bookmarkStart w:id="113" w:name="OLE_LINK105"/>
      <w:r>
        <w:rPr>
          <w:rFonts w:hint="eastAsia" w:ascii="仿宋_GB2312" w:hAnsi="宋体" w:eastAsia="仿宋_GB2312"/>
          <w:color w:val="auto"/>
          <w:sz w:val="28"/>
          <w:szCs w:val="28"/>
          <w:highlight w:val="none"/>
        </w:rPr>
        <w:t>被列入“政府采购严重违法失信行为信息记录”的</w:t>
      </w:r>
      <w:bookmarkEnd w:id="111"/>
      <w:bookmarkEnd w:id="112"/>
      <w:bookmarkEnd w:id="113"/>
      <w:r>
        <w:rPr>
          <w:rFonts w:hint="eastAsia" w:ascii="仿宋_GB2312" w:hAnsi="宋体" w:eastAsia="仿宋_GB2312" w:cs="楷体"/>
          <w:color w:val="auto"/>
          <w:sz w:val="28"/>
          <w:szCs w:val="28"/>
          <w:highlight w:val="none"/>
        </w:rPr>
        <w:t>。</w:t>
      </w:r>
    </w:p>
    <w:p w14:paraId="2B3197A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5138604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30EDA3ED">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A064EC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EA9EEA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12DCF2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00A0E0EA">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1688074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7AC4E76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6A57064">
      <w:pPr>
        <w:wordWrap w:val="0"/>
        <w:adjustRightInd w:val="0"/>
        <w:snapToGrid w:val="0"/>
        <w:spacing w:line="560" w:lineRule="exact"/>
        <w:ind w:firstLine="560" w:firstLineChars="200"/>
        <w:rPr>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48"/>
          <w:rFonts w:hint="eastAsia" w:ascii="仿宋_GB2312" w:hAnsi="宋体" w:eastAsia="仿宋_GB2312"/>
          <w:color w:val="auto"/>
          <w:sz w:val="28"/>
          <w:szCs w:val="28"/>
          <w:highlight w:val="none"/>
        </w:rPr>
        <w:t>https://credit.ah.gov.cn/xinyong-fuwu/xvbahv/index.html</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223B83BC">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48198BB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79F4F5B3">
      <w:pPr>
        <w:ind w:right="960"/>
        <w:rPr>
          <w:rFonts w:ascii="仿宋" w:hAnsi="仿宋" w:eastAsia="仿宋"/>
          <w:color w:val="auto"/>
          <w:sz w:val="32"/>
          <w:szCs w:val="32"/>
          <w:highlight w:val="none"/>
        </w:rPr>
      </w:pPr>
    </w:p>
    <w:p w14:paraId="313449C8">
      <w:pPr>
        <w:ind w:right="960"/>
        <w:rPr>
          <w:rFonts w:ascii="仿宋" w:hAnsi="仿宋" w:eastAsia="仿宋"/>
          <w:color w:val="auto"/>
          <w:sz w:val="32"/>
          <w:szCs w:val="32"/>
          <w:highlight w:val="none"/>
        </w:rPr>
      </w:pPr>
    </w:p>
    <w:p w14:paraId="5F62B6A4">
      <w:pPr>
        <w:ind w:right="960"/>
        <w:rPr>
          <w:rFonts w:ascii="仿宋" w:hAnsi="仿宋" w:eastAsia="仿宋"/>
          <w:color w:val="auto"/>
          <w:sz w:val="32"/>
          <w:szCs w:val="32"/>
          <w:highlight w:val="none"/>
        </w:rPr>
      </w:pPr>
    </w:p>
    <w:p w14:paraId="79D5CA09">
      <w:pPr>
        <w:ind w:right="960"/>
        <w:rPr>
          <w:rFonts w:ascii="仿宋" w:hAnsi="仿宋" w:eastAsia="仿宋"/>
          <w:color w:val="auto"/>
          <w:sz w:val="32"/>
          <w:szCs w:val="32"/>
          <w:highlight w:val="none"/>
        </w:rPr>
      </w:pPr>
    </w:p>
    <w:p w14:paraId="78AE5218">
      <w:pPr>
        <w:ind w:right="960"/>
        <w:rPr>
          <w:rFonts w:ascii="仿宋" w:hAnsi="仿宋" w:eastAsia="仿宋"/>
          <w:color w:val="auto"/>
          <w:sz w:val="32"/>
          <w:szCs w:val="32"/>
          <w:highlight w:val="none"/>
        </w:rPr>
      </w:pPr>
    </w:p>
    <w:p w14:paraId="62DA05C1">
      <w:pPr>
        <w:ind w:right="960"/>
        <w:rPr>
          <w:rFonts w:ascii="仿宋" w:hAnsi="仿宋" w:eastAsia="仿宋"/>
          <w:color w:val="auto"/>
          <w:sz w:val="32"/>
          <w:szCs w:val="32"/>
          <w:highlight w:val="none"/>
        </w:rPr>
      </w:pPr>
    </w:p>
    <w:p w14:paraId="6BD30286">
      <w:pPr>
        <w:ind w:right="960"/>
        <w:rPr>
          <w:rFonts w:ascii="仿宋" w:hAnsi="仿宋" w:eastAsia="仿宋"/>
          <w:color w:val="auto"/>
          <w:sz w:val="32"/>
          <w:szCs w:val="32"/>
          <w:highlight w:val="none"/>
        </w:rPr>
      </w:pPr>
    </w:p>
    <w:p w14:paraId="601B102F">
      <w:pPr>
        <w:ind w:right="960"/>
        <w:rPr>
          <w:rFonts w:ascii="仿宋" w:hAnsi="仿宋" w:eastAsia="仿宋"/>
          <w:color w:val="auto"/>
          <w:sz w:val="32"/>
          <w:szCs w:val="32"/>
          <w:highlight w:val="none"/>
        </w:rPr>
      </w:pPr>
    </w:p>
    <w:p w14:paraId="5DBEF6C7">
      <w:pPr>
        <w:pStyle w:val="36"/>
        <w:rPr>
          <w:color w:val="auto"/>
          <w:highlight w:val="none"/>
        </w:rPr>
      </w:pPr>
    </w:p>
    <w:p w14:paraId="7675A4C8">
      <w:pPr>
        <w:rPr>
          <w:color w:val="auto"/>
          <w:highlight w:val="none"/>
        </w:rPr>
      </w:pPr>
    </w:p>
    <w:p w14:paraId="674C33AB">
      <w:pPr>
        <w:pStyle w:val="36"/>
        <w:rPr>
          <w:color w:val="auto"/>
          <w:highlight w:val="none"/>
        </w:rPr>
      </w:pPr>
    </w:p>
    <w:p w14:paraId="5F98DBB4">
      <w:pPr>
        <w:rPr>
          <w:color w:val="auto"/>
          <w:highlight w:val="none"/>
        </w:rPr>
      </w:pPr>
    </w:p>
    <w:p w14:paraId="29EA2DB0">
      <w:pPr>
        <w:pStyle w:val="36"/>
        <w:rPr>
          <w:color w:val="auto"/>
          <w:highlight w:val="none"/>
        </w:rPr>
      </w:pPr>
    </w:p>
    <w:p w14:paraId="1D1B1735">
      <w:pPr>
        <w:rPr>
          <w:color w:val="auto"/>
          <w:highlight w:val="none"/>
        </w:rPr>
      </w:pPr>
    </w:p>
    <w:p w14:paraId="61AFA56A">
      <w:pPr>
        <w:ind w:right="960"/>
        <w:rPr>
          <w:rFonts w:ascii="仿宋" w:hAnsi="仿宋" w:eastAsia="仿宋"/>
          <w:color w:val="auto"/>
          <w:sz w:val="32"/>
          <w:szCs w:val="32"/>
          <w:highlight w:val="none"/>
        </w:rPr>
      </w:pPr>
    </w:p>
    <w:p w14:paraId="3FA4B9EF">
      <w:pPr>
        <w:keepNext/>
        <w:keepLines/>
        <w:spacing w:before="200" w:after="200" w:line="600" w:lineRule="exact"/>
        <w:outlineLvl w:val="0"/>
        <w:rPr>
          <w:rFonts w:ascii="黑体" w:hAnsi="黑体" w:eastAsia="黑体"/>
          <w:b/>
          <w:bCs/>
          <w:color w:val="auto"/>
          <w:kern w:val="44"/>
          <w:sz w:val="36"/>
          <w:szCs w:val="28"/>
          <w:highlight w:val="none"/>
        </w:rPr>
      </w:pPr>
      <w:bookmarkStart w:id="114" w:name="_Toc95223549"/>
      <w:bookmarkStart w:id="115" w:name="OLE_LINK32"/>
      <w:bookmarkStart w:id="116" w:name="OLE_LINK31"/>
      <w:bookmarkStart w:id="117" w:name="OLE_LINK41"/>
      <w:r>
        <w:rPr>
          <w:rFonts w:hint="eastAsia" w:ascii="黑体" w:hAnsi="黑体" w:eastAsia="黑体"/>
          <w:b/>
          <w:bCs/>
          <w:color w:val="auto"/>
          <w:kern w:val="44"/>
          <w:sz w:val="36"/>
          <w:szCs w:val="28"/>
          <w:highlight w:val="none"/>
        </w:rPr>
        <w:t xml:space="preserve">附件2 </w:t>
      </w:r>
      <w:bookmarkStart w:id="118" w:name="OLE_LINK74"/>
      <w:bookmarkStart w:id="119" w:name="OLE_LINK75"/>
      <w:r>
        <w:rPr>
          <w:rFonts w:hint="eastAsia" w:ascii="黑体" w:hAnsi="黑体" w:eastAsia="黑体"/>
          <w:b/>
          <w:bCs/>
          <w:color w:val="auto"/>
          <w:kern w:val="44"/>
          <w:sz w:val="36"/>
          <w:szCs w:val="28"/>
          <w:highlight w:val="none"/>
        </w:rPr>
        <w:t>“信用中国”查询的严重失信行为</w:t>
      </w:r>
      <w:bookmarkStart w:id="120" w:name="OLE_LINK38"/>
      <w:bookmarkStart w:id="121" w:name="OLE_LINK39"/>
      <w:bookmarkStart w:id="122" w:name="OLE_LINK76"/>
      <w:bookmarkStart w:id="123" w:name="OLE_LINK40"/>
      <w:r>
        <w:rPr>
          <w:rFonts w:hint="eastAsia" w:ascii="黑体" w:hAnsi="黑体" w:eastAsia="黑体"/>
          <w:b/>
          <w:bCs/>
          <w:color w:val="auto"/>
          <w:kern w:val="44"/>
          <w:sz w:val="36"/>
          <w:szCs w:val="28"/>
          <w:highlight w:val="none"/>
        </w:rPr>
        <w:t>类别及判定依据</w:t>
      </w:r>
      <w:bookmarkEnd w:id="114"/>
      <w:bookmarkEnd w:id="118"/>
      <w:bookmarkEnd w:id="119"/>
      <w:bookmarkEnd w:id="120"/>
      <w:bookmarkEnd w:id="121"/>
      <w:bookmarkEnd w:id="122"/>
      <w:bookmarkEnd w:id="123"/>
    </w:p>
    <w:bookmarkEnd w:id="115"/>
    <w:bookmarkEnd w:id="116"/>
    <w:bookmarkEnd w:id="117"/>
    <w:p w14:paraId="64C1DE8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32D8FBBB">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05EC2F4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0F4D161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58754B3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05C9DBB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7E6CC76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091CD95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3AA4F7C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5E1C336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015B43F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2A75BB1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748A85D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44D2C9D2">
      <w:pPr>
        <w:adjustRightInd w:val="0"/>
        <w:snapToGrid w:val="0"/>
        <w:spacing w:line="560" w:lineRule="exact"/>
        <w:ind w:firstLine="645"/>
        <w:jc w:val="left"/>
        <w:rPr>
          <w:rFonts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64E6AD22">
      <w:pPr>
        <w:adjustRightInd w:val="0"/>
        <w:snapToGrid w:val="0"/>
        <w:spacing w:line="560" w:lineRule="exact"/>
        <w:ind w:firstLine="645"/>
        <w:jc w:val="left"/>
        <w:rPr>
          <w:rFonts w:ascii="仿宋_GB2312" w:hAnsi="宋体" w:eastAsia="仿宋_GB2312"/>
          <w:b/>
          <w:color w:val="auto"/>
          <w:sz w:val="28"/>
          <w:szCs w:val="28"/>
          <w:highlight w:val="none"/>
        </w:rPr>
      </w:pPr>
    </w:p>
    <w:p w14:paraId="17367C9B">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B6847B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环境犯罪</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32F78C6F">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建设项目环境影响评价</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4A76C74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竣工环保验收</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2BCAA6E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EC12CBA">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293B723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渗井</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大气污染物</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0050DAA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经营许可证</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5970BD3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环境违法行为</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707075F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国家重点生态功能区</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48"/>
          <w:rFonts w:hint="eastAsia" w:ascii="仿宋_GB2312" w:hAnsi="宋体" w:eastAsia="仿宋_GB2312"/>
          <w:color w:val="auto"/>
          <w:sz w:val="28"/>
          <w:szCs w:val="28"/>
          <w:highlight w:val="none"/>
        </w:rPr>
        <w:t>基本农田保护区</w:t>
      </w:r>
      <w:r>
        <w:rPr>
          <w:rStyle w:val="48"/>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270A4D6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512C8AF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20751A2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2119E6DB">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0A52536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A6CF379">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24" w:name="OLE_LINK10"/>
      <w:bookmarkStart w:id="125" w:name="OLE_LINK9"/>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24"/>
      <w:bookmarkEnd w:id="125"/>
      <w:r>
        <w:rPr>
          <w:rFonts w:hint="eastAsia" w:ascii="仿宋_GB2312" w:hAnsi="宋体" w:eastAsia="仿宋_GB2312"/>
          <w:b/>
          <w:color w:val="auto"/>
          <w:sz w:val="28"/>
          <w:szCs w:val="28"/>
          <w:highlight w:val="none"/>
        </w:rPr>
        <w:t>》、《</w:t>
      </w:r>
      <w:bookmarkStart w:id="126" w:name="OLE_LINK12"/>
      <w:bookmarkStart w:id="127" w:name="OLE_LINK11"/>
      <w:r>
        <w:rPr>
          <w:rFonts w:hint="eastAsia" w:ascii="仿宋_GB2312" w:hAnsi="宋体" w:eastAsia="仿宋_GB2312"/>
          <w:b/>
          <w:color w:val="auto"/>
          <w:sz w:val="28"/>
          <w:szCs w:val="28"/>
          <w:highlight w:val="none"/>
        </w:rPr>
        <w:t>企业环境信用评价办法（试行）</w:t>
      </w:r>
      <w:bookmarkEnd w:id="126"/>
      <w:bookmarkEnd w:id="127"/>
      <w:r>
        <w:rPr>
          <w:rFonts w:hint="eastAsia" w:ascii="仿宋_GB2312" w:hAnsi="宋体" w:eastAsia="仿宋_GB2312"/>
          <w:b/>
          <w:color w:val="auto"/>
          <w:sz w:val="28"/>
          <w:szCs w:val="28"/>
          <w:highlight w:val="none"/>
        </w:rPr>
        <w:t>》（环发〔2013〕150号）</w:t>
      </w:r>
    </w:p>
    <w:p w14:paraId="7C64C087">
      <w:pPr>
        <w:adjustRightInd w:val="0"/>
        <w:snapToGrid w:val="0"/>
        <w:spacing w:line="560" w:lineRule="exact"/>
        <w:ind w:firstLine="645"/>
        <w:jc w:val="left"/>
        <w:rPr>
          <w:rFonts w:ascii="仿宋_GB2312" w:hAnsi="宋体" w:eastAsia="仿宋_GB2312"/>
          <w:b/>
          <w:color w:val="auto"/>
          <w:sz w:val="28"/>
          <w:szCs w:val="28"/>
          <w:highlight w:val="none"/>
        </w:rPr>
      </w:pPr>
    </w:p>
    <w:p w14:paraId="4D9628D6">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40351C40">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2EEB07DF">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4514E785">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0AF8EFB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610FD5C0">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5DCDFD24">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2E5A82E5">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5307A7BA">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919FEB9">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646A755A">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533F96F3">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01D2E7D0">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4D2C3DEF">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B31044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C445A59">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5E6E7D7E">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01272BD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4E5E36C">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7637FE5B">
      <w:pPr>
        <w:adjustRightInd w:val="0"/>
        <w:snapToGrid w:val="0"/>
        <w:spacing w:line="560" w:lineRule="exact"/>
        <w:ind w:left="141" w:leftChars="67" w:firstLine="420" w:firstLineChars="150"/>
        <w:jc w:val="left"/>
        <w:rPr>
          <w:rFonts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163DECAF">
      <w:pPr>
        <w:adjustRightInd w:val="0"/>
        <w:snapToGrid w:val="0"/>
        <w:spacing w:line="560" w:lineRule="exact"/>
        <w:ind w:firstLine="894" w:firstLineChars="318"/>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28" w:name="OLE_LINK14"/>
      <w:bookmarkStart w:id="129" w:name="OLE_LINK13"/>
      <w:r>
        <w:rPr>
          <w:rFonts w:hint="eastAsia" w:ascii="仿宋_GB2312" w:hAnsi="宋体" w:eastAsia="仿宋_GB2312"/>
          <w:b/>
          <w:color w:val="auto"/>
          <w:sz w:val="28"/>
          <w:szCs w:val="28"/>
          <w:highlight w:val="none"/>
        </w:rPr>
        <w:t>关于对公共资源交易领域严重失信主体开展联合惩戒的备忘录</w:t>
      </w:r>
      <w:bookmarkEnd w:id="128"/>
      <w:bookmarkEnd w:id="129"/>
      <w:r>
        <w:rPr>
          <w:rFonts w:hint="eastAsia" w:ascii="仿宋_GB2312" w:hAnsi="宋体" w:eastAsia="仿宋_GB2312"/>
          <w:b/>
          <w:color w:val="auto"/>
          <w:sz w:val="28"/>
          <w:szCs w:val="28"/>
          <w:highlight w:val="none"/>
        </w:rPr>
        <w:t>》（发改法规〔2018〕457号）</w:t>
      </w:r>
    </w:p>
    <w:p w14:paraId="1E12A34E">
      <w:pPr>
        <w:adjustRightInd w:val="0"/>
        <w:snapToGrid w:val="0"/>
        <w:spacing w:line="560" w:lineRule="exact"/>
        <w:ind w:firstLine="645"/>
        <w:jc w:val="left"/>
        <w:rPr>
          <w:rFonts w:ascii="仿宋_GB2312" w:hAnsi="宋体" w:eastAsia="仿宋_GB2312"/>
          <w:color w:val="auto"/>
          <w:sz w:val="28"/>
          <w:szCs w:val="28"/>
          <w:highlight w:val="none"/>
        </w:rPr>
      </w:pPr>
    </w:p>
    <w:p w14:paraId="71B8BADC">
      <w:pPr>
        <w:adjustRightInd w:val="0"/>
        <w:snapToGrid w:val="0"/>
        <w:spacing w:line="560" w:lineRule="exact"/>
        <w:ind w:firstLine="645"/>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4D93EA9B">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435C0312">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115FC681">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258A5610">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6F5AED5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48B14F06">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178F9D82">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11ECB2A5">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83F188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545D8075">
      <w:pPr>
        <w:adjustRightInd w:val="0"/>
        <w:snapToGrid w:val="0"/>
        <w:spacing w:line="560" w:lineRule="exact"/>
        <w:ind w:firstLine="551" w:firstLineChars="196"/>
        <w:jc w:val="left"/>
        <w:rPr>
          <w:rFonts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30" w:name="OLE_LINK15"/>
      <w:bookmarkStart w:id="131" w:name="OLE_LINK16"/>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30"/>
      <w:bookmarkEnd w:id="131"/>
      <w:r>
        <w:rPr>
          <w:rFonts w:hint="eastAsia" w:ascii="仿宋_GB2312" w:hAnsi="Calibri" w:eastAsia="仿宋_GB2312"/>
          <w:b/>
          <w:color w:val="auto"/>
          <w:sz w:val="28"/>
          <w:szCs w:val="28"/>
          <w:highlight w:val="none"/>
        </w:rPr>
        <w:t>》（发改财金〔2018〕1704号）</w:t>
      </w:r>
    </w:p>
    <w:p w14:paraId="0B597AD4">
      <w:pPr>
        <w:adjustRightInd w:val="0"/>
        <w:snapToGrid w:val="0"/>
        <w:spacing w:line="560" w:lineRule="exact"/>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24DA61C4">
      <w:pPr>
        <w:adjustRightInd w:val="0"/>
        <w:snapToGrid w:val="0"/>
        <w:spacing w:line="560" w:lineRule="exact"/>
        <w:ind w:firstLine="562" w:firstLineChars="200"/>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71E9BCD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78CE481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3A975AF4">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372D5D60">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4A7D777F">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4FF92456">
      <w:pPr>
        <w:ind w:firstLine="562" w:firstLineChars="200"/>
        <w:jc w:val="left"/>
        <w:rPr>
          <w:rFonts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132" w:name="OLE_LINK17"/>
      <w:bookmarkStart w:id="133" w:name="OLE_LINK18"/>
      <w:r>
        <w:rPr>
          <w:rFonts w:hint="eastAsia" w:ascii="仿宋_GB2312" w:hAnsi="Calibri" w:eastAsia="仿宋_GB2312"/>
          <w:b/>
          <w:color w:val="auto"/>
          <w:sz w:val="28"/>
          <w:szCs w:val="28"/>
          <w:highlight w:val="none"/>
        </w:rPr>
        <w:t>建筑市场信用管理暂行办法</w:t>
      </w:r>
      <w:bookmarkEnd w:id="132"/>
      <w:bookmarkEnd w:id="133"/>
      <w:r>
        <w:rPr>
          <w:rFonts w:hint="eastAsia" w:ascii="仿宋_GB2312" w:hAnsi="Calibri" w:eastAsia="仿宋_GB2312"/>
          <w:b/>
          <w:color w:val="auto"/>
          <w:sz w:val="28"/>
          <w:szCs w:val="28"/>
          <w:highlight w:val="none"/>
        </w:rPr>
        <w:t>》（建市〔2017〕241号）</w:t>
      </w:r>
    </w:p>
    <w:p w14:paraId="6710CA60">
      <w:pPr>
        <w:adjustRightInd w:val="0"/>
        <w:snapToGrid w:val="0"/>
        <w:spacing w:line="560" w:lineRule="exact"/>
        <w:rPr>
          <w:rFonts w:ascii="仿宋_GB2312" w:hAnsi="宋体" w:eastAsia="仿宋_GB2312"/>
          <w:b/>
          <w:color w:val="auto"/>
          <w:sz w:val="28"/>
          <w:szCs w:val="28"/>
          <w:highlight w:val="none"/>
        </w:rPr>
      </w:pPr>
    </w:p>
    <w:p w14:paraId="5210022F">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34" w:name="OLE_LINK19"/>
      <w:bookmarkStart w:id="135" w:name="OLE_LINK20"/>
      <w:r>
        <w:rPr>
          <w:rFonts w:hint="eastAsia" w:ascii="仿宋_GB2312" w:hAnsi="宋体" w:eastAsia="仿宋_GB2312"/>
          <w:b/>
          <w:color w:val="auto"/>
          <w:sz w:val="28"/>
          <w:szCs w:val="28"/>
          <w:highlight w:val="none"/>
        </w:rPr>
        <w:t>政府采购严重失信行为</w:t>
      </w:r>
      <w:bookmarkEnd w:id="134"/>
      <w:bookmarkEnd w:id="135"/>
    </w:p>
    <w:p w14:paraId="104BDBF8">
      <w:pPr>
        <w:adjustRightInd w:val="0"/>
        <w:snapToGrid w:val="0"/>
        <w:spacing w:line="560" w:lineRule="exact"/>
        <w:ind w:firstLine="615"/>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194E3F90">
      <w:pPr>
        <w:adjustRightInd w:val="0"/>
        <w:snapToGrid w:val="0"/>
        <w:spacing w:line="560" w:lineRule="exact"/>
        <w:ind w:firstLine="562" w:firstLineChars="200"/>
        <w:jc w:val="left"/>
        <w:rPr>
          <w:rFonts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595B1C32">
      <w:pPr>
        <w:adjustRightInd w:val="0"/>
        <w:snapToGrid w:val="0"/>
        <w:spacing w:line="560" w:lineRule="exact"/>
        <w:rPr>
          <w:rFonts w:ascii="仿宋_GB2312" w:hAnsi="宋体" w:eastAsia="仿宋_GB2312"/>
          <w:b/>
          <w:color w:val="auto"/>
          <w:sz w:val="28"/>
          <w:szCs w:val="28"/>
          <w:highlight w:val="none"/>
        </w:rPr>
      </w:pPr>
    </w:p>
    <w:p w14:paraId="561C17C9">
      <w:pPr>
        <w:pStyle w:val="2"/>
        <w:ind w:firstLine="281"/>
        <w:rPr>
          <w:color w:val="auto"/>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sectPr>
      <w:headerReference r:id="rId10" w:type="default"/>
      <w:footerReference r:id="rId11" w:type="default"/>
      <w:pgSz w:w="11906" w:h="16838"/>
      <w:pgMar w:top="1270" w:right="1020" w:bottom="1270" w:left="102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Leelawadee UI"/>
    <w:panose1 w:val="00000000000000000000"/>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9E4FB">
    <w:pPr>
      <w:pStyle w:val="2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9068C">
    <w:pPr>
      <w:pStyle w:val="25"/>
      <w:framePr w:wrap="around" w:vAnchor="text" w:hAnchor="margin" w:xAlign="center" w:y="1"/>
      <w:tabs>
        <w:tab w:val="clear" w:pos="4153"/>
        <w:tab w:val="clear" w:pos="8306"/>
      </w:tabs>
      <w:rPr>
        <w:rStyle w:val="41"/>
      </w:rPr>
    </w:pPr>
    <w:r>
      <w:fldChar w:fldCharType="begin"/>
    </w:r>
    <w:r>
      <w:rPr>
        <w:rStyle w:val="41"/>
      </w:rPr>
      <w:instrText xml:space="preserve">PAGE  </w:instrText>
    </w:r>
    <w:r>
      <w:fldChar w:fldCharType="separate"/>
    </w:r>
    <w:r>
      <w:t xml:space="preserve"> </w:t>
    </w:r>
    <w:r>
      <w:fldChar w:fldCharType="end"/>
    </w:r>
  </w:p>
  <w:p w14:paraId="5A318DCA">
    <w:pPr>
      <w:pStyle w:val="25"/>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1545">
    <w:pPr>
      <w:pStyle w:val="25"/>
      <w:framePr w:wrap="around" w:vAnchor="text" w:hAnchor="margin" w:xAlign="center" w:y="1"/>
      <w:tabs>
        <w:tab w:val="clear" w:pos="4153"/>
        <w:tab w:val="clear" w:pos="8306"/>
      </w:tabs>
      <w:rPr>
        <w:rStyle w:val="41"/>
      </w:rPr>
    </w:pPr>
  </w:p>
  <w:p w14:paraId="2A8BFA1B">
    <w:pPr>
      <w:pStyle w:val="25"/>
      <w:tabs>
        <w:tab w:val="clear" w:pos="4153"/>
        <w:tab w:val="clear" w:pos="8306"/>
      </w:tabs>
      <w:rPr>
        <w:szCs w:val="21"/>
      </w:rPr>
    </w:pPr>
  </w:p>
  <w:p w14:paraId="488095FC">
    <w:pPr>
      <w:pStyle w:val="25"/>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3509">
    <w:pPr>
      <w:pStyle w:val="25"/>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279DCE">
                          <w:pPr>
                            <w:pStyle w:val="25"/>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14:paraId="2B279DCE">
                    <w:pPr>
                      <w:pStyle w:val="25"/>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DE92">
    <w:pPr>
      <w:pStyle w:val="25"/>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9273C1">
                          <w:pPr>
                            <w:pStyle w:val="25"/>
                          </w:pPr>
                          <w:r>
                            <w:fldChar w:fldCharType="begin"/>
                          </w:r>
                          <w:r>
                            <w:instrText xml:space="preserve"> PAGE  \* MERGEFORMAT </w:instrText>
                          </w:r>
                          <w:r>
                            <w:fldChar w:fldCharType="separate"/>
                          </w:r>
                          <w:r>
                            <w:t>- 46 -</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qFUCn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l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6hVApywEAAJcDAAAOAAAAAAAAAAEAIAAAACIBAABkcnMv&#10;ZTJvRG9jLnhtbFBLBQYAAAAABgAGAFkBAABfBQAAAAA=&#10;">
              <v:fill on="f" focussize="0,0"/>
              <v:stroke on="f" weight="1.25pt"/>
              <v:imagedata o:title=""/>
              <o:lock v:ext="edit" aspectratio="f"/>
              <v:textbox inset="0mm,0mm,0mm,0mm" style="mso-fit-shape-to-text:t;">
                <w:txbxContent>
                  <w:p w14:paraId="3A9273C1">
                    <w:pPr>
                      <w:pStyle w:val="25"/>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AFDB">
    <w:pPr>
      <w:pStyle w:val="26"/>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8919">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F3948">
    <w:pPr>
      <w:pStyle w:val="26"/>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701E">
    <w:pPr>
      <w:pStyle w:val="26"/>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21"/>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6"/>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4"/>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4"/>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5"/>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2"/>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8"/>
      <w:lvlText w:val="%1."/>
      <w:lvlJc w:val="left"/>
      <w:pPr>
        <w:ind w:left="42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5DE7"/>
    <w:rsid w:val="0000620B"/>
    <w:rsid w:val="0000682D"/>
    <w:rsid w:val="00007272"/>
    <w:rsid w:val="00007892"/>
    <w:rsid w:val="00011FD2"/>
    <w:rsid w:val="0001207D"/>
    <w:rsid w:val="00012CBB"/>
    <w:rsid w:val="00012CFA"/>
    <w:rsid w:val="00013187"/>
    <w:rsid w:val="000131BA"/>
    <w:rsid w:val="00014B17"/>
    <w:rsid w:val="000152FA"/>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519"/>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658"/>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5579"/>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B32"/>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0DC"/>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4BA3"/>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33E"/>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647"/>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4F6D69"/>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48"/>
    <w:rsid w:val="0056185D"/>
    <w:rsid w:val="00561DE3"/>
    <w:rsid w:val="005623A4"/>
    <w:rsid w:val="00562825"/>
    <w:rsid w:val="00562CB9"/>
    <w:rsid w:val="00563E7F"/>
    <w:rsid w:val="005651DF"/>
    <w:rsid w:val="0056536A"/>
    <w:rsid w:val="0056585D"/>
    <w:rsid w:val="00566026"/>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4DC"/>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152"/>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28"/>
    <w:rsid w:val="006C119B"/>
    <w:rsid w:val="006C1DF0"/>
    <w:rsid w:val="006C208C"/>
    <w:rsid w:val="006C2803"/>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162"/>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19A9"/>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D88"/>
    <w:rsid w:val="007A2E94"/>
    <w:rsid w:val="007A38B9"/>
    <w:rsid w:val="007A3A13"/>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29A"/>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9DA"/>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43EA"/>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57D1"/>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4E"/>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279"/>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5E65"/>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5645"/>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D7D81"/>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5D6E"/>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21B1"/>
    <w:rsid w:val="00D6300D"/>
    <w:rsid w:val="00D63840"/>
    <w:rsid w:val="00D64361"/>
    <w:rsid w:val="00D64AAF"/>
    <w:rsid w:val="00D64ADE"/>
    <w:rsid w:val="00D64C44"/>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2B5"/>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976"/>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3AD7"/>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C2F"/>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56C5"/>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0E6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BCE"/>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177E"/>
    <w:rsid w:val="0156352C"/>
    <w:rsid w:val="0160078A"/>
    <w:rsid w:val="016025FC"/>
    <w:rsid w:val="01727AD4"/>
    <w:rsid w:val="018C519F"/>
    <w:rsid w:val="01910A08"/>
    <w:rsid w:val="01A56261"/>
    <w:rsid w:val="01CE57B8"/>
    <w:rsid w:val="01F30A1B"/>
    <w:rsid w:val="02136A35"/>
    <w:rsid w:val="02263E9A"/>
    <w:rsid w:val="02276CDB"/>
    <w:rsid w:val="02602E58"/>
    <w:rsid w:val="026A14A8"/>
    <w:rsid w:val="0284108D"/>
    <w:rsid w:val="02846ED2"/>
    <w:rsid w:val="029F0F02"/>
    <w:rsid w:val="02AB3F80"/>
    <w:rsid w:val="02F92D08"/>
    <w:rsid w:val="02FF011F"/>
    <w:rsid w:val="0306625F"/>
    <w:rsid w:val="0314369E"/>
    <w:rsid w:val="032B6C3A"/>
    <w:rsid w:val="03433F84"/>
    <w:rsid w:val="034D4E02"/>
    <w:rsid w:val="03636F78"/>
    <w:rsid w:val="036F2552"/>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A64C7"/>
    <w:rsid w:val="04BD2AAB"/>
    <w:rsid w:val="04C00E1E"/>
    <w:rsid w:val="04C90D1F"/>
    <w:rsid w:val="050138D2"/>
    <w:rsid w:val="05037796"/>
    <w:rsid w:val="05047743"/>
    <w:rsid w:val="05072DB3"/>
    <w:rsid w:val="051E0804"/>
    <w:rsid w:val="055C132D"/>
    <w:rsid w:val="05713E65"/>
    <w:rsid w:val="05777F14"/>
    <w:rsid w:val="057F7413"/>
    <w:rsid w:val="05903973"/>
    <w:rsid w:val="059302F0"/>
    <w:rsid w:val="05B55DC4"/>
    <w:rsid w:val="05C56ED2"/>
    <w:rsid w:val="05EB7E30"/>
    <w:rsid w:val="0600615C"/>
    <w:rsid w:val="0619721E"/>
    <w:rsid w:val="062459A5"/>
    <w:rsid w:val="06304C93"/>
    <w:rsid w:val="06441AEE"/>
    <w:rsid w:val="064510DB"/>
    <w:rsid w:val="06581AF4"/>
    <w:rsid w:val="06620B3A"/>
    <w:rsid w:val="066E7569"/>
    <w:rsid w:val="069717B9"/>
    <w:rsid w:val="06D0451E"/>
    <w:rsid w:val="06DA6FC6"/>
    <w:rsid w:val="06EB6E0C"/>
    <w:rsid w:val="06F34B4B"/>
    <w:rsid w:val="06FF299A"/>
    <w:rsid w:val="070A729C"/>
    <w:rsid w:val="07342561"/>
    <w:rsid w:val="073C599D"/>
    <w:rsid w:val="073E5575"/>
    <w:rsid w:val="074128B0"/>
    <w:rsid w:val="074A10F8"/>
    <w:rsid w:val="0761194E"/>
    <w:rsid w:val="076432D3"/>
    <w:rsid w:val="0781151E"/>
    <w:rsid w:val="07B54D24"/>
    <w:rsid w:val="07B63215"/>
    <w:rsid w:val="07B77A9C"/>
    <w:rsid w:val="07BC624E"/>
    <w:rsid w:val="07DC7A53"/>
    <w:rsid w:val="07E01DA1"/>
    <w:rsid w:val="07EB63AA"/>
    <w:rsid w:val="08000695"/>
    <w:rsid w:val="08081FA5"/>
    <w:rsid w:val="080B7557"/>
    <w:rsid w:val="08181E21"/>
    <w:rsid w:val="08184EC7"/>
    <w:rsid w:val="081C0B89"/>
    <w:rsid w:val="082B48A9"/>
    <w:rsid w:val="082D6348"/>
    <w:rsid w:val="0837481D"/>
    <w:rsid w:val="084F5179"/>
    <w:rsid w:val="085264A2"/>
    <w:rsid w:val="085D7896"/>
    <w:rsid w:val="08684A24"/>
    <w:rsid w:val="0878647D"/>
    <w:rsid w:val="08924472"/>
    <w:rsid w:val="08A62997"/>
    <w:rsid w:val="08A969C4"/>
    <w:rsid w:val="08AF6108"/>
    <w:rsid w:val="08B001C4"/>
    <w:rsid w:val="08D00FFA"/>
    <w:rsid w:val="08EF5F46"/>
    <w:rsid w:val="09086D86"/>
    <w:rsid w:val="090F12E9"/>
    <w:rsid w:val="09367BAA"/>
    <w:rsid w:val="09381D73"/>
    <w:rsid w:val="09473B2C"/>
    <w:rsid w:val="096A3477"/>
    <w:rsid w:val="097C361B"/>
    <w:rsid w:val="09AB5942"/>
    <w:rsid w:val="09B064D1"/>
    <w:rsid w:val="09BF2ED7"/>
    <w:rsid w:val="09BF7674"/>
    <w:rsid w:val="09F45FD8"/>
    <w:rsid w:val="09F806A3"/>
    <w:rsid w:val="0A0B50CF"/>
    <w:rsid w:val="0A0D1190"/>
    <w:rsid w:val="0A2456C5"/>
    <w:rsid w:val="0A2543E3"/>
    <w:rsid w:val="0A474057"/>
    <w:rsid w:val="0A641E3D"/>
    <w:rsid w:val="0AA34B1B"/>
    <w:rsid w:val="0AAD7CD9"/>
    <w:rsid w:val="0AB6328D"/>
    <w:rsid w:val="0ABD15CE"/>
    <w:rsid w:val="0ABF263A"/>
    <w:rsid w:val="0AD12B8F"/>
    <w:rsid w:val="0AF618DB"/>
    <w:rsid w:val="0B0A6314"/>
    <w:rsid w:val="0B335CF7"/>
    <w:rsid w:val="0B567443"/>
    <w:rsid w:val="0B5C5BE2"/>
    <w:rsid w:val="0B6B051B"/>
    <w:rsid w:val="0B6E6353"/>
    <w:rsid w:val="0B762476"/>
    <w:rsid w:val="0B7B2E88"/>
    <w:rsid w:val="0B8415DD"/>
    <w:rsid w:val="0B842ECF"/>
    <w:rsid w:val="0BA53A0C"/>
    <w:rsid w:val="0BA8462C"/>
    <w:rsid w:val="0BD10EF4"/>
    <w:rsid w:val="0BEC0639"/>
    <w:rsid w:val="0BED0F30"/>
    <w:rsid w:val="0BED19DF"/>
    <w:rsid w:val="0C130BB2"/>
    <w:rsid w:val="0C193B8E"/>
    <w:rsid w:val="0C1C4E30"/>
    <w:rsid w:val="0C2653A0"/>
    <w:rsid w:val="0C392862"/>
    <w:rsid w:val="0C403BDE"/>
    <w:rsid w:val="0C447B66"/>
    <w:rsid w:val="0C4B726D"/>
    <w:rsid w:val="0C563442"/>
    <w:rsid w:val="0C56723C"/>
    <w:rsid w:val="0C6172A8"/>
    <w:rsid w:val="0C782EF0"/>
    <w:rsid w:val="0C7B0EF4"/>
    <w:rsid w:val="0C7D0C73"/>
    <w:rsid w:val="0C8E44C1"/>
    <w:rsid w:val="0C9C7EE1"/>
    <w:rsid w:val="0CA20839"/>
    <w:rsid w:val="0CA21D1B"/>
    <w:rsid w:val="0CB14648"/>
    <w:rsid w:val="0CB21A52"/>
    <w:rsid w:val="0CBF7754"/>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9773A6"/>
    <w:rsid w:val="0DDB1F25"/>
    <w:rsid w:val="0DE34346"/>
    <w:rsid w:val="0DF465A6"/>
    <w:rsid w:val="0DFC545B"/>
    <w:rsid w:val="0E004116"/>
    <w:rsid w:val="0E077E36"/>
    <w:rsid w:val="0E0E22E1"/>
    <w:rsid w:val="0E554C8F"/>
    <w:rsid w:val="0E5A2C39"/>
    <w:rsid w:val="0E736B11"/>
    <w:rsid w:val="0E7F3562"/>
    <w:rsid w:val="0E811E04"/>
    <w:rsid w:val="0E8E126E"/>
    <w:rsid w:val="0EBD2885"/>
    <w:rsid w:val="0EC34B2B"/>
    <w:rsid w:val="0ECA6B2D"/>
    <w:rsid w:val="0ECB5D10"/>
    <w:rsid w:val="0ECC1E18"/>
    <w:rsid w:val="0EE11257"/>
    <w:rsid w:val="0EE35EF2"/>
    <w:rsid w:val="0EEE7499"/>
    <w:rsid w:val="0EFA5849"/>
    <w:rsid w:val="0F00541F"/>
    <w:rsid w:val="0F16254C"/>
    <w:rsid w:val="0F1E6594"/>
    <w:rsid w:val="0F295746"/>
    <w:rsid w:val="0F2B6888"/>
    <w:rsid w:val="0F4F5F19"/>
    <w:rsid w:val="0F547B71"/>
    <w:rsid w:val="0F590199"/>
    <w:rsid w:val="0F7936CC"/>
    <w:rsid w:val="0F882744"/>
    <w:rsid w:val="0F8F3081"/>
    <w:rsid w:val="0FA5195F"/>
    <w:rsid w:val="0FAD4701"/>
    <w:rsid w:val="0FD146C5"/>
    <w:rsid w:val="0FE825FD"/>
    <w:rsid w:val="0FF61E2B"/>
    <w:rsid w:val="10280789"/>
    <w:rsid w:val="104D6442"/>
    <w:rsid w:val="106F4618"/>
    <w:rsid w:val="10735462"/>
    <w:rsid w:val="10760938"/>
    <w:rsid w:val="10771710"/>
    <w:rsid w:val="10934AB9"/>
    <w:rsid w:val="109E4EEF"/>
    <w:rsid w:val="10B64B12"/>
    <w:rsid w:val="10B7072A"/>
    <w:rsid w:val="10B93AD7"/>
    <w:rsid w:val="10C04E65"/>
    <w:rsid w:val="10D57578"/>
    <w:rsid w:val="10E83584"/>
    <w:rsid w:val="10F245C8"/>
    <w:rsid w:val="10FD18AA"/>
    <w:rsid w:val="11136BE5"/>
    <w:rsid w:val="112244C7"/>
    <w:rsid w:val="113E38BD"/>
    <w:rsid w:val="11531836"/>
    <w:rsid w:val="11633A20"/>
    <w:rsid w:val="11700B96"/>
    <w:rsid w:val="117A7D9D"/>
    <w:rsid w:val="117B6FDE"/>
    <w:rsid w:val="117D1895"/>
    <w:rsid w:val="1189681F"/>
    <w:rsid w:val="118D065E"/>
    <w:rsid w:val="119111DD"/>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7658D7"/>
    <w:rsid w:val="12864FA7"/>
    <w:rsid w:val="12957C2C"/>
    <w:rsid w:val="12CC7D65"/>
    <w:rsid w:val="12F466E5"/>
    <w:rsid w:val="130D010A"/>
    <w:rsid w:val="130E5DFE"/>
    <w:rsid w:val="1318492B"/>
    <w:rsid w:val="13195D86"/>
    <w:rsid w:val="133415D2"/>
    <w:rsid w:val="13390EFF"/>
    <w:rsid w:val="134659BB"/>
    <w:rsid w:val="13534D6F"/>
    <w:rsid w:val="1362355A"/>
    <w:rsid w:val="136B46BF"/>
    <w:rsid w:val="13860D94"/>
    <w:rsid w:val="138A779A"/>
    <w:rsid w:val="138D2BCA"/>
    <w:rsid w:val="139879D4"/>
    <w:rsid w:val="13A12FBB"/>
    <w:rsid w:val="13C44C6D"/>
    <w:rsid w:val="13F53078"/>
    <w:rsid w:val="13FD017F"/>
    <w:rsid w:val="1400703C"/>
    <w:rsid w:val="14024E31"/>
    <w:rsid w:val="140B464A"/>
    <w:rsid w:val="142F0857"/>
    <w:rsid w:val="1444680B"/>
    <w:rsid w:val="14473B09"/>
    <w:rsid w:val="14526E7B"/>
    <w:rsid w:val="145853B5"/>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6275CE"/>
    <w:rsid w:val="157952EA"/>
    <w:rsid w:val="157B75AD"/>
    <w:rsid w:val="15876E40"/>
    <w:rsid w:val="158C2DC7"/>
    <w:rsid w:val="15A718D7"/>
    <w:rsid w:val="15BF64B6"/>
    <w:rsid w:val="15D975F0"/>
    <w:rsid w:val="15EC6D9F"/>
    <w:rsid w:val="15F64207"/>
    <w:rsid w:val="15FB6C69"/>
    <w:rsid w:val="160B3752"/>
    <w:rsid w:val="16153411"/>
    <w:rsid w:val="161B13E4"/>
    <w:rsid w:val="1626576B"/>
    <w:rsid w:val="163F2811"/>
    <w:rsid w:val="16442095"/>
    <w:rsid w:val="164E7686"/>
    <w:rsid w:val="165322D8"/>
    <w:rsid w:val="16535142"/>
    <w:rsid w:val="165665A6"/>
    <w:rsid w:val="165C2B80"/>
    <w:rsid w:val="16630A92"/>
    <w:rsid w:val="16704820"/>
    <w:rsid w:val="16850E26"/>
    <w:rsid w:val="16893F4C"/>
    <w:rsid w:val="16956D5E"/>
    <w:rsid w:val="1699418F"/>
    <w:rsid w:val="16A22419"/>
    <w:rsid w:val="16AC459E"/>
    <w:rsid w:val="16BB08D6"/>
    <w:rsid w:val="16C33CD0"/>
    <w:rsid w:val="16C86EEE"/>
    <w:rsid w:val="16CF74AC"/>
    <w:rsid w:val="16D62899"/>
    <w:rsid w:val="16D86AD9"/>
    <w:rsid w:val="16E24DAF"/>
    <w:rsid w:val="16E478E9"/>
    <w:rsid w:val="16F21AF1"/>
    <w:rsid w:val="16F45869"/>
    <w:rsid w:val="17025136"/>
    <w:rsid w:val="17080CB3"/>
    <w:rsid w:val="17104E33"/>
    <w:rsid w:val="171E6442"/>
    <w:rsid w:val="172779EC"/>
    <w:rsid w:val="172B40FC"/>
    <w:rsid w:val="172C5003"/>
    <w:rsid w:val="17435B9A"/>
    <w:rsid w:val="17530278"/>
    <w:rsid w:val="1770488D"/>
    <w:rsid w:val="177251DB"/>
    <w:rsid w:val="179F403B"/>
    <w:rsid w:val="17B46DA6"/>
    <w:rsid w:val="17E07B23"/>
    <w:rsid w:val="17F04282"/>
    <w:rsid w:val="181D21AB"/>
    <w:rsid w:val="18241EFA"/>
    <w:rsid w:val="182551D2"/>
    <w:rsid w:val="18302625"/>
    <w:rsid w:val="183C5221"/>
    <w:rsid w:val="184B770B"/>
    <w:rsid w:val="188056B2"/>
    <w:rsid w:val="1887731B"/>
    <w:rsid w:val="18A312F5"/>
    <w:rsid w:val="18A71570"/>
    <w:rsid w:val="18AF5EEB"/>
    <w:rsid w:val="18B06992"/>
    <w:rsid w:val="18BF29A5"/>
    <w:rsid w:val="18C43019"/>
    <w:rsid w:val="18D95C4B"/>
    <w:rsid w:val="18E33521"/>
    <w:rsid w:val="18EB67F8"/>
    <w:rsid w:val="18FA4C8D"/>
    <w:rsid w:val="18FF7748"/>
    <w:rsid w:val="19133920"/>
    <w:rsid w:val="19296091"/>
    <w:rsid w:val="19526877"/>
    <w:rsid w:val="196C36C2"/>
    <w:rsid w:val="19733208"/>
    <w:rsid w:val="1978271D"/>
    <w:rsid w:val="197E7B00"/>
    <w:rsid w:val="19933B34"/>
    <w:rsid w:val="19AF1F1B"/>
    <w:rsid w:val="19C96DDB"/>
    <w:rsid w:val="19CF01B9"/>
    <w:rsid w:val="19DC46F7"/>
    <w:rsid w:val="19DE34A8"/>
    <w:rsid w:val="19E52623"/>
    <w:rsid w:val="19FA6457"/>
    <w:rsid w:val="1A0B2274"/>
    <w:rsid w:val="1A187AC0"/>
    <w:rsid w:val="1A393B90"/>
    <w:rsid w:val="1A535B25"/>
    <w:rsid w:val="1A7208D9"/>
    <w:rsid w:val="1A764FB0"/>
    <w:rsid w:val="1A767F97"/>
    <w:rsid w:val="1A8C60A2"/>
    <w:rsid w:val="1A932C82"/>
    <w:rsid w:val="1AA37850"/>
    <w:rsid w:val="1AA650CC"/>
    <w:rsid w:val="1AA864FA"/>
    <w:rsid w:val="1AB97B24"/>
    <w:rsid w:val="1AC90DBB"/>
    <w:rsid w:val="1AD930B1"/>
    <w:rsid w:val="1AE16479"/>
    <w:rsid w:val="1AFA71C6"/>
    <w:rsid w:val="1B267FBB"/>
    <w:rsid w:val="1B3C77DE"/>
    <w:rsid w:val="1B3E1360"/>
    <w:rsid w:val="1B446E20"/>
    <w:rsid w:val="1B453F87"/>
    <w:rsid w:val="1B4A02FA"/>
    <w:rsid w:val="1B6D0A69"/>
    <w:rsid w:val="1B7D2468"/>
    <w:rsid w:val="1B886580"/>
    <w:rsid w:val="1BAB30F2"/>
    <w:rsid w:val="1BB64807"/>
    <w:rsid w:val="1BC45815"/>
    <w:rsid w:val="1BCA6B98"/>
    <w:rsid w:val="1BEC2FB3"/>
    <w:rsid w:val="1BEE345E"/>
    <w:rsid w:val="1BF209FD"/>
    <w:rsid w:val="1BF530EC"/>
    <w:rsid w:val="1C044843"/>
    <w:rsid w:val="1C165429"/>
    <w:rsid w:val="1C4C7B54"/>
    <w:rsid w:val="1C6D30D8"/>
    <w:rsid w:val="1C7911F1"/>
    <w:rsid w:val="1C7B60E4"/>
    <w:rsid w:val="1C8A6328"/>
    <w:rsid w:val="1C8D3DC1"/>
    <w:rsid w:val="1CCB47C0"/>
    <w:rsid w:val="1CE27F12"/>
    <w:rsid w:val="1CE65C54"/>
    <w:rsid w:val="1CF3330B"/>
    <w:rsid w:val="1D0C2883"/>
    <w:rsid w:val="1D3B1144"/>
    <w:rsid w:val="1D44297A"/>
    <w:rsid w:val="1D4E4561"/>
    <w:rsid w:val="1D703128"/>
    <w:rsid w:val="1D7C5FBA"/>
    <w:rsid w:val="1D81336E"/>
    <w:rsid w:val="1D835251"/>
    <w:rsid w:val="1D9F19C4"/>
    <w:rsid w:val="1DA575B0"/>
    <w:rsid w:val="1DAF24EA"/>
    <w:rsid w:val="1DB375C5"/>
    <w:rsid w:val="1DB46449"/>
    <w:rsid w:val="1DBC69B5"/>
    <w:rsid w:val="1DC332DD"/>
    <w:rsid w:val="1DD71A40"/>
    <w:rsid w:val="1DDB0E18"/>
    <w:rsid w:val="1DE80C95"/>
    <w:rsid w:val="1E061E25"/>
    <w:rsid w:val="1E226345"/>
    <w:rsid w:val="1E37428D"/>
    <w:rsid w:val="1E3A6C06"/>
    <w:rsid w:val="1E424E8A"/>
    <w:rsid w:val="1E736290"/>
    <w:rsid w:val="1E8C6387"/>
    <w:rsid w:val="1E9A6CF6"/>
    <w:rsid w:val="1EB06519"/>
    <w:rsid w:val="1EB458DE"/>
    <w:rsid w:val="1EC00497"/>
    <w:rsid w:val="1EDA5344"/>
    <w:rsid w:val="1EE53CE9"/>
    <w:rsid w:val="1EE613D0"/>
    <w:rsid w:val="1EF1268E"/>
    <w:rsid w:val="1EF21855"/>
    <w:rsid w:val="1EF501D6"/>
    <w:rsid w:val="1F1830CB"/>
    <w:rsid w:val="1F1D4CEA"/>
    <w:rsid w:val="1F3431EF"/>
    <w:rsid w:val="1F412ACD"/>
    <w:rsid w:val="1F896D6A"/>
    <w:rsid w:val="1FA51C58"/>
    <w:rsid w:val="1FA7649E"/>
    <w:rsid w:val="1FBE7B22"/>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42925"/>
    <w:rsid w:val="20E961FA"/>
    <w:rsid w:val="21025026"/>
    <w:rsid w:val="211A14D6"/>
    <w:rsid w:val="211F34E2"/>
    <w:rsid w:val="21564CC5"/>
    <w:rsid w:val="21725E20"/>
    <w:rsid w:val="217F21D3"/>
    <w:rsid w:val="21894835"/>
    <w:rsid w:val="219F6403"/>
    <w:rsid w:val="21A148C9"/>
    <w:rsid w:val="21A84B20"/>
    <w:rsid w:val="21D06ED2"/>
    <w:rsid w:val="21D547D9"/>
    <w:rsid w:val="21E36C06"/>
    <w:rsid w:val="21F841CB"/>
    <w:rsid w:val="2208041A"/>
    <w:rsid w:val="22094970"/>
    <w:rsid w:val="2224426F"/>
    <w:rsid w:val="224C10D0"/>
    <w:rsid w:val="225222AD"/>
    <w:rsid w:val="22541289"/>
    <w:rsid w:val="22560474"/>
    <w:rsid w:val="225C24EF"/>
    <w:rsid w:val="226433E0"/>
    <w:rsid w:val="22685BE4"/>
    <w:rsid w:val="22786DC6"/>
    <w:rsid w:val="22951269"/>
    <w:rsid w:val="22952C4B"/>
    <w:rsid w:val="229D5007"/>
    <w:rsid w:val="22A07A2E"/>
    <w:rsid w:val="22AE1FD7"/>
    <w:rsid w:val="22B00DA9"/>
    <w:rsid w:val="22B1460E"/>
    <w:rsid w:val="22F10EAE"/>
    <w:rsid w:val="230D3F37"/>
    <w:rsid w:val="231128EB"/>
    <w:rsid w:val="232B7E77"/>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825A9"/>
    <w:rsid w:val="24DB6D9D"/>
    <w:rsid w:val="24F904EE"/>
    <w:rsid w:val="25237319"/>
    <w:rsid w:val="25276E09"/>
    <w:rsid w:val="253311F6"/>
    <w:rsid w:val="253B3193"/>
    <w:rsid w:val="25552E9E"/>
    <w:rsid w:val="255866F6"/>
    <w:rsid w:val="256242E5"/>
    <w:rsid w:val="25654FC9"/>
    <w:rsid w:val="25851E17"/>
    <w:rsid w:val="2586379D"/>
    <w:rsid w:val="25DF1492"/>
    <w:rsid w:val="25EB1207"/>
    <w:rsid w:val="25F723E2"/>
    <w:rsid w:val="26377520"/>
    <w:rsid w:val="263C274B"/>
    <w:rsid w:val="264B7744"/>
    <w:rsid w:val="2651082C"/>
    <w:rsid w:val="267E7EE2"/>
    <w:rsid w:val="26A804CA"/>
    <w:rsid w:val="26C66AA9"/>
    <w:rsid w:val="26DD1E76"/>
    <w:rsid w:val="26F64CE5"/>
    <w:rsid w:val="26F87EF2"/>
    <w:rsid w:val="271703C5"/>
    <w:rsid w:val="27351CB2"/>
    <w:rsid w:val="27361586"/>
    <w:rsid w:val="277D1B2D"/>
    <w:rsid w:val="27835FFC"/>
    <w:rsid w:val="2794279E"/>
    <w:rsid w:val="279E7050"/>
    <w:rsid w:val="27A466B8"/>
    <w:rsid w:val="27AF6D80"/>
    <w:rsid w:val="27B0198F"/>
    <w:rsid w:val="27B92AB7"/>
    <w:rsid w:val="27D43FB1"/>
    <w:rsid w:val="27DE552A"/>
    <w:rsid w:val="27E022D4"/>
    <w:rsid w:val="27F84A8D"/>
    <w:rsid w:val="27FC3AE4"/>
    <w:rsid w:val="28065AFB"/>
    <w:rsid w:val="280C4E96"/>
    <w:rsid w:val="281B7D88"/>
    <w:rsid w:val="282E4FCE"/>
    <w:rsid w:val="28342B35"/>
    <w:rsid w:val="2834568E"/>
    <w:rsid w:val="283F0442"/>
    <w:rsid w:val="284E32AF"/>
    <w:rsid w:val="286D1F27"/>
    <w:rsid w:val="28924EE2"/>
    <w:rsid w:val="28975940"/>
    <w:rsid w:val="28A2738B"/>
    <w:rsid w:val="28A86838"/>
    <w:rsid w:val="28AD32F8"/>
    <w:rsid w:val="28C4031B"/>
    <w:rsid w:val="28CB6760"/>
    <w:rsid w:val="28DA7C9C"/>
    <w:rsid w:val="28EC71CA"/>
    <w:rsid w:val="290B259E"/>
    <w:rsid w:val="291D0C4F"/>
    <w:rsid w:val="2924258A"/>
    <w:rsid w:val="29274E04"/>
    <w:rsid w:val="293F46A3"/>
    <w:rsid w:val="294029BB"/>
    <w:rsid w:val="29683511"/>
    <w:rsid w:val="296D1EE4"/>
    <w:rsid w:val="29944EB8"/>
    <w:rsid w:val="299C4433"/>
    <w:rsid w:val="29DB4666"/>
    <w:rsid w:val="29E4351B"/>
    <w:rsid w:val="29E736D3"/>
    <w:rsid w:val="29EC0622"/>
    <w:rsid w:val="29FB1FE8"/>
    <w:rsid w:val="29FE68AE"/>
    <w:rsid w:val="2A031B89"/>
    <w:rsid w:val="2A070C32"/>
    <w:rsid w:val="2A0B0AA8"/>
    <w:rsid w:val="2A154E45"/>
    <w:rsid w:val="2A273408"/>
    <w:rsid w:val="2A32072A"/>
    <w:rsid w:val="2A3C5105"/>
    <w:rsid w:val="2A491993"/>
    <w:rsid w:val="2A567D20"/>
    <w:rsid w:val="2A6F4131"/>
    <w:rsid w:val="2A821832"/>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674404"/>
    <w:rsid w:val="2B6E1B3C"/>
    <w:rsid w:val="2B801021"/>
    <w:rsid w:val="2B8E7BE2"/>
    <w:rsid w:val="2B9C153F"/>
    <w:rsid w:val="2BA56CDA"/>
    <w:rsid w:val="2BB255CF"/>
    <w:rsid w:val="2BB54F43"/>
    <w:rsid w:val="2BBE3714"/>
    <w:rsid w:val="2BBF02A4"/>
    <w:rsid w:val="2BD24D2D"/>
    <w:rsid w:val="2BDE71AB"/>
    <w:rsid w:val="2BEE51CA"/>
    <w:rsid w:val="2BF8505C"/>
    <w:rsid w:val="2C3B319A"/>
    <w:rsid w:val="2C3C1A6A"/>
    <w:rsid w:val="2C540D91"/>
    <w:rsid w:val="2C6537E2"/>
    <w:rsid w:val="2C6C7279"/>
    <w:rsid w:val="2C8965FC"/>
    <w:rsid w:val="2C903C46"/>
    <w:rsid w:val="2CA14AE9"/>
    <w:rsid w:val="2CAB6572"/>
    <w:rsid w:val="2CAC2D20"/>
    <w:rsid w:val="2CBA67B5"/>
    <w:rsid w:val="2CC10625"/>
    <w:rsid w:val="2CC47634"/>
    <w:rsid w:val="2CD0422B"/>
    <w:rsid w:val="2CD326FB"/>
    <w:rsid w:val="2CD33D72"/>
    <w:rsid w:val="2CDD2170"/>
    <w:rsid w:val="2CEA7FC6"/>
    <w:rsid w:val="2CF220D0"/>
    <w:rsid w:val="2D032370"/>
    <w:rsid w:val="2D042751"/>
    <w:rsid w:val="2D056154"/>
    <w:rsid w:val="2D094BEA"/>
    <w:rsid w:val="2D2A52C6"/>
    <w:rsid w:val="2D4D7629"/>
    <w:rsid w:val="2D8F1DD6"/>
    <w:rsid w:val="2D915A33"/>
    <w:rsid w:val="2D954534"/>
    <w:rsid w:val="2D9800A5"/>
    <w:rsid w:val="2DC3712A"/>
    <w:rsid w:val="2DE171DF"/>
    <w:rsid w:val="2DEF1551"/>
    <w:rsid w:val="2E0200C9"/>
    <w:rsid w:val="2E3C6ABB"/>
    <w:rsid w:val="2E4345B4"/>
    <w:rsid w:val="2E5A3DAC"/>
    <w:rsid w:val="2E5D53FD"/>
    <w:rsid w:val="2E61599C"/>
    <w:rsid w:val="2E6332CF"/>
    <w:rsid w:val="2EA63495"/>
    <w:rsid w:val="2EBA0298"/>
    <w:rsid w:val="2EBF09B3"/>
    <w:rsid w:val="2ED22F7C"/>
    <w:rsid w:val="2ED73784"/>
    <w:rsid w:val="2EDF3673"/>
    <w:rsid w:val="2EE213C2"/>
    <w:rsid w:val="2EFC30B5"/>
    <w:rsid w:val="2F184966"/>
    <w:rsid w:val="2F486989"/>
    <w:rsid w:val="2F653004"/>
    <w:rsid w:val="2F684953"/>
    <w:rsid w:val="2F8135BA"/>
    <w:rsid w:val="2F8D622E"/>
    <w:rsid w:val="2F9037FD"/>
    <w:rsid w:val="2F917CA1"/>
    <w:rsid w:val="2F982E42"/>
    <w:rsid w:val="2FBB358E"/>
    <w:rsid w:val="2FCB7EDC"/>
    <w:rsid w:val="2FD656B4"/>
    <w:rsid w:val="2FD951A4"/>
    <w:rsid w:val="2FE60F0B"/>
    <w:rsid w:val="2FF150C3"/>
    <w:rsid w:val="2FFE3400"/>
    <w:rsid w:val="301B0290"/>
    <w:rsid w:val="303C4D07"/>
    <w:rsid w:val="30647164"/>
    <w:rsid w:val="306C3ED5"/>
    <w:rsid w:val="306C6C6A"/>
    <w:rsid w:val="306D3F93"/>
    <w:rsid w:val="30711C4D"/>
    <w:rsid w:val="308A649E"/>
    <w:rsid w:val="308E5A68"/>
    <w:rsid w:val="30A2226B"/>
    <w:rsid w:val="30BB2AFC"/>
    <w:rsid w:val="30C22649"/>
    <w:rsid w:val="30D90D23"/>
    <w:rsid w:val="30DC08E6"/>
    <w:rsid w:val="30E97669"/>
    <w:rsid w:val="311F65DE"/>
    <w:rsid w:val="312E022B"/>
    <w:rsid w:val="314221E6"/>
    <w:rsid w:val="314A45AB"/>
    <w:rsid w:val="314D7BF8"/>
    <w:rsid w:val="31534D0D"/>
    <w:rsid w:val="317118EE"/>
    <w:rsid w:val="318555E4"/>
    <w:rsid w:val="318A3760"/>
    <w:rsid w:val="31C84C92"/>
    <w:rsid w:val="31D163B5"/>
    <w:rsid w:val="31D976DD"/>
    <w:rsid w:val="31DE4220"/>
    <w:rsid w:val="31DE505D"/>
    <w:rsid w:val="31EA3699"/>
    <w:rsid w:val="3201528F"/>
    <w:rsid w:val="321B5F48"/>
    <w:rsid w:val="322F3FB8"/>
    <w:rsid w:val="32391589"/>
    <w:rsid w:val="324C06E6"/>
    <w:rsid w:val="324C4353"/>
    <w:rsid w:val="32537654"/>
    <w:rsid w:val="327775A4"/>
    <w:rsid w:val="32794A1C"/>
    <w:rsid w:val="327B7589"/>
    <w:rsid w:val="328B4E7C"/>
    <w:rsid w:val="32931F82"/>
    <w:rsid w:val="32B36180"/>
    <w:rsid w:val="32BB5035"/>
    <w:rsid w:val="32C43EEA"/>
    <w:rsid w:val="32CD6692"/>
    <w:rsid w:val="32D71710"/>
    <w:rsid w:val="32D94B0D"/>
    <w:rsid w:val="32E70612"/>
    <w:rsid w:val="32E91BA2"/>
    <w:rsid w:val="32ED5A24"/>
    <w:rsid w:val="32F966F8"/>
    <w:rsid w:val="33010C9A"/>
    <w:rsid w:val="33171483"/>
    <w:rsid w:val="332C4891"/>
    <w:rsid w:val="332E38A7"/>
    <w:rsid w:val="332F3D9F"/>
    <w:rsid w:val="33380434"/>
    <w:rsid w:val="334703EE"/>
    <w:rsid w:val="335E1849"/>
    <w:rsid w:val="335F4F26"/>
    <w:rsid w:val="33625BED"/>
    <w:rsid w:val="337F6063"/>
    <w:rsid w:val="3380392C"/>
    <w:rsid w:val="3381627F"/>
    <w:rsid w:val="33A37FA3"/>
    <w:rsid w:val="33B73A4E"/>
    <w:rsid w:val="33B946F2"/>
    <w:rsid w:val="33B95A18"/>
    <w:rsid w:val="33C148CD"/>
    <w:rsid w:val="33D4718D"/>
    <w:rsid w:val="33E54418"/>
    <w:rsid w:val="33F07509"/>
    <w:rsid w:val="33F627C9"/>
    <w:rsid w:val="341A5E10"/>
    <w:rsid w:val="34272982"/>
    <w:rsid w:val="342804A8"/>
    <w:rsid w:val="343C7EFD"/>
    <w:rsid w:val="34472085"/>
    <w:rsid w:val="34572B3B"/>
    <w:rsid w:val="3474193F"/>
    <w:rsid w:val="347A4AA6"/>
    <w:rsid w:val="349D2A27"/>
    <w:rsid w:val="34BA5036"/>
    <w:rsid w:val="34BC5AFA"/>
    <w:rsid w:val="34D337DA"/>
    <w:rsid w:val="34D6600F"/>
    <w:rsid w:val="34E007B1"/>
    <w:rsid w:val="34EE34A0"/>
    <w:rsid w:val="34FA7F15"/>
    <w:rsid w:val="34FB24F0"/>
    <w:rsid w:val="352930DB"/>
    <w:rsid w:val="353B59DD"/>
    <w:rsid w:val="35534E88"/>
    <w:rsid w:val="355A14CA"/>
    <w:rsid w:val="35633752"/>
    <w:rsid w:val="3569521C"/>
    <w:rsid w:val="35823489"/>
    <w:rsid w:val="35897E8C"/>
    <w:rsid w:val="358F2E58"/>
    <w:rsid w:val="35953A4C"/>
    <w:rsid w:val="35A66D4C"/>
    <w:rsid w:val="35B5404A"/>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3C4996"/>
    <w:rsid w:val="37461371"/>
    <w:rsid w:val="374A1E98"/>
    <w:rsid w:val="37533C0B"/>
    <w:rsid w:val="375F68D7"/>
    <w:rsid w:val="37794D4F"/>
    <w:rsid w:val="37A02925"/>
    <w:rsid w:val="37B3277F"/>
    <w:rsid w:val="37B34CA4"/>
    <w:rsid w:val="37BD7469"/>
    <w:rsid w:val="37D9327F"/>
    <w:rsid w:val="37E93A81"/>
    <w:rsid w:val="37F75EE1"/>
    <w:rsid w:val="37F9231C"/>
    <w:rsid w:val="38172D0E"/>
    <w:rsid w:val="38317A04"/>
    <w:rsid w:val="38430BE0"/>
    <w:rsid w:val="384B5B0E"/>
    <w:rsid w:val="38591578"/>
    <w:rsid w:val="385B0E4C"/>
    <w:rsid w:val="385C66C2"/>
    <w:rsid w:val="38645F08"/>
    <w:rsid w:val="38697E97"/>
    <w:rsid w:val="387168C2"/>
    <w:rsid w:val="3885236D"/>
    <w:rsid w:val="3888121E"/>
    <w:rsid w:val="389B1BDF"/>
    <w:rsid w:val="38A1659F"/>
    <w:rsid w:val="38AF2F46"/>
    <w:rsid w:val="38C95821"/>
    <w:rsid w:val="38F02478"/>
    <w:rsid w:val="390239BE"/>
    <w:rsid w:val="39180C1C"/>
    <w:rsid w:val="392A1B36"/>
    <w:rsid w:val="392A34F7"/>
    <w:rsid w:val="392A4E38"/>
    <w:rsid w:val="392E20B7"/>
    <w:rsid w:val="393A6E69"/>
    <w:rsid w:val="395A3A67"/>
    <w:rsid w:val="395D0BF4"/>
    <w:rsid w:val="39675500"/>
    <w:rsid w:val="396B1563"/>
    <w:rsid w:val="39754190"/>
    <w:rsid w:val="39BF57BB"/>
    <w:rsid w:val="39CD2DB0"/>
    <w:rsid w:val="39D92970"/>
    <w:rsid w:val="39FE7012"/>
    <w:rsid w:val="3A0D5454"/>
    <w:rsid w:val="3A1172F4"/>
    <w:rsid w:val="3A23599A"/>
    <w:rsid w:val="3A255086"/>
    <w:rsid w:val="3A2E4C8D"/>
    <w:rsid w:val="3A35147E"/>
    <w:rsid w:val="3A443B62"/>
    <w:rsid w:val="3A446EBF"/>
    <w:rsid w:val="3A4B4EF0"/>
    <w:rsid w:val="3A514258"/>
    <w:rsid w:val="3A6802CC"/>
    <w:rsid w:val="3A684F47"/>
    <w:rsid w:val="3A6A4A9F"/>
    <w:rsid w:val="3A7D77A0"/>
    <w:rsid w:val="3A810023"/>
    <w:rsid w:val="3A860F49"/>
    <w:rsid w:val="3AA1177A"/>
    <w:rsid w:val="3ABC194A"/>
    <w:rsid w:val="3AF37A62"/>
    <w:rsid w:val="3AF61300"/>
    <w:rsid w:val="3AF92B9E"/>
    <w:rsid w:val="3AFB6916"/>
    <w:rsid w:val="3AFD73E8"/>
    <w:rsid w:val="3B381919"/>
    <w:rsid w:val="3B615DAA"/>
    <w:rsid w:val="3B944458"/>
    <w:rsid w:val="3B954675"/>
    <w:rsid w:val="3B9823B7"/>
    <w:rsid w:val="3BAF7463"/>
    <w:rsid w:val="3BB271C7"/>
    <w:rsid w:val="3BB557AB"/>
    <w:rsid w:val="3BBF5B96"/>
    <w:rsid w:val="3BC744EA"/>
    <w:rsid w:val="3BD60968"/>
    <w:rsid w:val="3C4414D2"/>
    <w:rsid w:val="3C595B04"/>
    <w:rsid w:val="3C5C17D2"/>
    <w:rsid w:val="3C5F42F8"/>
    <w:rsid w:val="3C6C0F9B"/>
    <w:rsid w:val="3C7301F1"/>
    <w:rsid w:val="3C7356FA"/>
    <w:rsid w:val="3CA1704A"/>
    <w:rsid w:val="3CD4741F"/>
    <w:rsid w:val="3CFB3A43"/>
    <w:rsid w:val="3CFB661F"/>
    <w:rsid w:val="3D0B626C"/>
    <w:rsid w:val="3D0F4D1C"/>
    <w:rsid w:val="3D487A50"/>
    <w:rsid w:val="3D5139EC"/>
    <w:rsid w:val="3D7A6218"/>
    <w:rsid w:val="3D8552FA"/>
    <w:rsid w:val="3D8B21D4"/>
    <w:rsid w:val="3D8C367A"/>
    <w:rsid w:val="3DB039E8"/>
    <w:rsid w:val="3DC01751"/>
    <w:rsid w:val="3DCF2188"/>
    <w:rsid w:val="3DD1570D"/>
    <w:rsid w:val="3DDE7492"/>
    <w:rsid w:val="3DF2026B"/>
    <w:rsid w:val="3DF80EEB"/>
    <w:rsid w:val="3DFA1107"/>
    <w:rsid w:val="3DFF04CC"/>
    <w:rsid w:val="3E10092B"/>
    <w:rsid w:val="3E24689A"/>
    <w:rsid w:val="3E557A55"/>
    <w:rsid w:val="3E5D2794"/>
    <w:rsid w:val="3E8134BC"/>
    <w:rsid w:val="3E864749"/>
    <w:rsid w:val="3E8D1F7B"/>
    <w:rsid w:val="3E9073D3"/>
    <w:rsid w:val="3EAC582F"/>
    <w:rsid w:val="3EC80F65"/>
    <w:rsid w:val="3ED35D96"/>
    <w:rsid w:val="3EE0310F"/>
    <w:rsid w:val="3F21764F"/>
    <w:rsid w:val="3F270382"/>
    <w:rsid w:val="3F4D34B9"/>
    <w:rsid w:val="3F5C61BC"/>
    <w:rsid w:val="3F5E1222"/>
    <w:rsid w:val="3F821E5A"/>
    <w:rsid w:val="3F826617"/>
    <w:rsid w:val="3F882148"/>
    <w:rsid w:val="3FAD5B09"/>
    <w:rsid w:val="3FAF5707"/>
    <w:rsid w:val="3FD61700"/>
    <w:rsid w:val="3FD85683"/>
    <w:rsid w:val="3FFF6096"/>
    <w:rsid w:val="40044B90"/>
    <w:rsid w:val="40153FD6"/>
    <w:rsid w:val="402042D4"/>
    <w:rsid w:val="40273D0A"/>
    <w:rsid w:val="40310071"/>
    <w:rsid w:val="4045485F"/>
    <w:rsid w:val="40A01D3A"/>
    <w:rsid w:val="40C652D1"/>
    <w:rsid w:val="40C92CD2"/>
    <w:rsid w:val="40EE1315"/>
    <w:rsid w:val="410B7187"/>
    <w:rsid w:val="411249BA"/>
    <w:rsid w:val="414172BF"/>
    <w:rsid w:val="416A190F"/>
    <w:rsid w:val="416E7E42"/>
    <w:rsid w:val="418770B8"/>
    <w:rsid w:val="41B6712E"/>
    <w:rsid w:val="41B810BD"/>
    <w:rsid w:val="41BA6A45"/>
    <w:rsid w:val="41C85859"/>
    <w:rsid w:val="41CA339C"/>
    <w:rsid w:val="41D103D1"/>
    <w:rsid w:val="41D758D6"/>
    <w:rsid w:val="41DF2F7B"/>
    <w:rsid w:val="41F63994"/>
    <w:rsid w:val="42277327"/>
    <w:rsid w:val="422F448D"/>
    <w:rsid w:val="42312C1E"/>
    <w:rsid w:val="42366258"/>
    <w:rsid w:val="42404F2E"/>
    <w:rsid w:val="424514EC"/>
    <w:rsid w:val="424C228D"/>
    <w:rsid w:val="424E40FE"/>
    <w:rsid w:val="427E4A81"/>
    <w:rsid w:val="428C524B"/>
    <w:rsid w:val="42927D62"/>
    <w:rsid w:val="429B3874"/>
    <w:rsid w:val="429F5DD9"/>
    <w:rsid w:val="42AD499A"/>
    <w:rsid w:val="42B61086"/>
    <w:rsid w:val="42C26869"/>
    <w:rsid w:val="42DD6902"/>
    <w:rsid w:val="42ED02B3"/>
    <w:rsid w:val="42FE6FA4"/>
    <w:rsid w:val="43040332"/>
    <w:rsid w:val="430F518E"/>
    <w:rsid w:val="43152860"/>
    <w:rsid w:val="431762B8"/>
    <w:rsid w:val="431A4176"/>
    <w:rsid w:val="431B17D2"/>
    <w:rsid w:val="434A043B"/>
    <w:rsid w:val="43560B8E"/>
    <w:rsid w:val="43607C5E"/>
    <w:rsid w:val="43772A58"/>
    <w:rsid w:val="438761B4"/>
    <w:rsid w:val="4389474A"/>
    <w:rsid w:val="43923B90"/>
    <w:rsid w:val="43A4707C"/>
    <w:rsid w:val="43D67B4D"/>
    <w:rsid w:val="43DF0926"/>
    <w:rsid w:val="43F15324"/>
    <w:rsid w:val="440B706C"/>
    <w:rsid w:val="44110F59"/>
    <w:rsid w:val="441A605F"/>
    <w:rsid w:val="441D70DF"/>
    <w:rsid w:val="441E176A"/>
    <w:rsid w:val="44292D63"/>
    <w:rsid w:val="443B0E5E"/>
    <w:rsid w:val="4445330B"/>
    <w:rsid w:val="44484B78"/>
    <w:rsid w:val="445826E4"/>
    <w:rsid w:val="445C06B9"/>
    <w:rsid w:val="445F3A72"/>
    <w:rsid w:val="446077EA"/>
    <w:rsid w:val="446623B0"/>
    <w:rsid w:val="44665E49"/>
    <w:rsid w:val="446C618F"/>
    <w:rsid w:val="448F024A"/>
    <w:rsid w:val="44B26298"/>
    <w:rsid w:val="44BE2E8F"/>
    <w:rsid w:val="44C465C9"/>
    <w:rsid w:val="44C86593"/>
    <w:rsid w:val="44D02189"/>
    <w:rsid w:val="44D73F50"/>
    <w:rsid w:val="44FC1D24"/>
    <w:rsid w:val="44FE1514"/>
    <w:rsid w:val="451008C2"/>
    <w:rsid w:val="451277B0"/>
    <w:rsid w:val="45246F22"/>
    <w:rsid w:val="452470E5"/>
    <w:rsid w:val="45280308"/>
    <w:rsid w:val="453606C6"/>
    <w:rsid w:val="45435142"/>
    <w:rsid w:val="45464C32"/>
    <w:rsid w:val="45492AC0"/>
    <w:rsid w:val="45513D03"/>
    <w:rsid w:val="45675331"/>
    <w:rsid w:val="458021A9"/>
    <w:rsid w:val="45834749"/>
    <w:rsid w:val="458D7ACD"/>
    <w:rsid w:val="45AB63C3"/>
    <w:rsid w:val="45D73ADC"/>
    <w:rsid w:val="45D93CF8"/>
    <w:rsid w:val="45F20395"/>
    <w:rsid w:val="45FE72BB"/>
    <w:rsid w:val="45FE7CC8"/>
    <w:rsid w:val="46053A9B"/>
    <w:rsid w:val="46121C64"/>
    <w:rsid w:val="46162856"/>
    <w:rsid w:val="46226EB0"/>
    <w:rsid w:val="46366D1E"/>
    <w:rsid w:val="46522A74"/>
    <w:rsid w:val="4658671E"/>
    <w:rsid w:val="465C2A22"/>
    <w:rsid w:val="466E205D"/>
    <w:rsid w:val="467911B3"/>
    <w:rsid w:val="46812B8D"/>
    <w:rsid w:val="46832413"/>
    <w:rsid w:val="46885E2A"/>
    <w:rsid w:val="469F2601"/>
    <w:rsid w:val="46A82FBF"/>
    <w:rsid w:val="46AB40C3"/>
    <w:rsid w:val="46BA58D8"/>
    <w:rsid w:val="46C439A8"/>
    <w:rsid w:val="46CE7995"/>
    <w:rsid w:val="46D7323F"/>
    <w:rsid w:val="46E0501A"/>
    <w:rsid w:val="46F56910"/>
    <w:rsid w:val="46FC1214"/>
    <w:rsid w:val="47021DBA"/>
    <w:rsid w:val="470B38B4"/>
    <w:rsid w:val="471F2FD5"/>
    <w:rsid w:val="475D3DAD"/>
    <w:rsid w:val="479C5383"/>
    <w:rsid w:val="479F646B"/>
    <w:rsid w:val="47A56FB4"/>
    <w:rsid w:val="47AD7CF1"/>
    <w:rsid w:val="47B70069"/>
    <w:rsid w:val="47C73D3A"/>
    <w:rsid w:val="47D67F88"/>
    <w:rsid w:val="4803505C"/>
    <w:rsid w:val="480831B5"/>
    <w:rsid w:val="480D66CD"/>
    <w:rsid w:val="480F105A"/>
    <w:rsid w:val="48194880"/>
    <w:rsid w:val="481C1C7A"/>
    <w:rsid w:val="482849BA"/>
    <w:rsid w:val="483D056E"/>
    <w:rsid w:val="483F2BC9"/>
    <w:rsid w:val="485A1120"/>
    <w:rsid w:val="48A7549C"/>
    <w:rsid w:val="48B545A9"/>
    <w:rsid w:val="48BA15B1"/>
    <w:rsid w:val="48D273AC"/>
    <w:rsid w:val="48D76D49"/>
    <w:rsid w:val="48E97759"/>
    <w:rsid w:val="491F1E48"/>
    <w:rsid w:val="49337978"/>
    <w:rsid w:val="495D26EB"/>
    <w:rsid w:val="49600707"/>
    <w:rsid w:val="49656EDC"/>
    <w:rsid w:val="49793828"/>
    <w:rsid w:val="4987138C"/>
    <w:rsid w:val="49883A6B"/>
    <w:rsid w:val="49B91793"/>
    <w:rsid w:val="49C37596"/>
    <w:rsid w:val="49CF169A"/>
    <w:rsid w:val="49D348F2"/>
    <w:rsid w:val="49E204D8"/>
    <w:rsid w:val="49FA66B9"/>
    <w:rsid w:val="49FC0F67"/>
    <w:rsid w:val="4A0D3F70"/>
    <w:rsid w:val="4A103FF4"/>
    <w:rsid w:val="4A1277D9"/>
    <w:rsid w:val="4A5D0A54"/>
    <w:rsid w:val="4A666565"/>
    <w:rsid w:val="4A7B66E4"/>
    <w:rsid w:val="4A7D5113"/>
    <w:rsid w:val="4A7F4FCB"/>
    <w:rsid w:val="4A812A30"/>
    <w:rsid w:val="4A89523C"/>
    <w:rsid w:val="4AA2290B"/>
    <w:rsid w:val="4AB019AF"/>
    <w:rsid w:val="4AC54E91"/>
    <w:rsid w:val="4AD5154D"/>
    <w:rsid w:val="4AEA3364"/>
    <w:rsid w:val="4AF73617"/>
    <w:rsid w:val="4B101F6A"/>
    <w:rsid w:val="4B49722A"/>
    <w:rsid w:val="4B593BC4"/>
    <w:rsid w:val="4B6A463C"/>
    <w:rsid w:val="4B902FB1"/>
    <w:rsid w:val="4B9E0E3F"/>
    <w:rsid w:val="4BB63B5B"/>
    <w:rsid w:val="4BB9615E"/>
    <w:rsid w:val="4BCC283D"/>
    <w:rsid w:val="4BD35E6D"/>
    <w:rsid w:val="4BDC1E4C"/>
    <w:rsid w:val="4BE1231B"/>
    <w:rsid w:val="4BFF5353"/>
    <w:rsid w:val="4C1F6EFC"/>
    <w:rsid w:val="4C2F265F"/>
    <w:rsid w:val="4C5B5DF1"/>
    <w:rsid w:val="4C63431C"/>
    <w:rsid w:val="4C6D6DCE"/>
    <w:rsid w:val="4C752052"/>
    <w:rsid w:val="4C7D3694"/>
    <w:rsid w:val="4C9F27AB"/>
    <w:rsid w:val="4CB479E9"/>
    <w:rsid w:val="4CBD4A44"/>
    <w:rsid w:val="4CD40D75"/>
    <w:rsid w:val="4CDE3815"/>
    <w:rsid w:val="4D0D2958"/>
    <w:rsid w:val="4D145493"/>
    <w:rsid w:val="4D2D4855"/>
    <w:rsid w:val="4D393332"/>
    <w:rsid w:val="4D3B01A7"/>
    <w:rsid w:val="4D4746C5"/>
    <w:rsid w:val="4D4D1254"/>
    <w:rsid w:val="4D5538E1"/>
    <w:rsid w:val="4D5A74CD"/>
    <w:rsid w:val="4D6759FB"/>
    <w:rsid w:val="4D6E3517"/>
    <w:rsid w:val="4DB639B0"/>
    <w:rsid w:val="4DB7491F"/>
    <w:rsid w:val="4DE70682"/>
    <w:rsid w:val="4DF53699"/>
    <w:rsid w:val="4DFD50C1"/>
    <w:rsid w:val="4E2B70BB"/>
    <w:rsid w:val="4E4645AE"/>
    <w:rsid w:val="4E496865"/>
    <w:rsid w:val="4E58321E"/>
    <w:rsid w:val="4E6B2193"/>
    <w:rsid w:val="4E9B1B4B"/>
    <w:rsid w:val="4EB91CD7"/>
    <w:rsid w:val="4ED946C3"/>
    <w:rsid w:val="4EDE7C89"/>
    <w:rsid w:val="4EE72FE2"/>
    <w:rsid w:val="4EFF135C"/>
    <w:rsid w:val="4F0E00E7"/>
    <w:rsid w:val="4F22412F"/>
    <w:rsid w:val="4F285863"/>
    <w:rsid w:val="4F2A1121"/>
    <w:rsid w:val="4F2E6E63"/>
    <w:rsid w:val="4F506DD9"/>
    <w:rsid w:val="4F6264CF"/>
    <w:rsid w:val="4F6E6D3E"/>
    <w:rsid w:val="4F7F68E8"/>
    <w:rsid w:val="4F800657"/>
    <w:rsid w:val="4F864B42"/>
    <w:rsid w:val="4F926200"/>
    <w:rsid w:val="4F9A0295"/>
    <w:rsid w:val="4FA1745C"/>
    <w:rsid w:val="4FBA4253"/>
    <w:rsid w:val="4FC55461"/>
    <w:rsid w:val="4FCE7CFE"/>
    <w:rsid w:val="4FDC12AC"/>
    <w:rsid w:val="4FE20FB2"/>
    <w:rsid w:val="4FF9121F"/>
    <w:rsid w:val="501C4F0D"/>
    <w:rsid w:val="502B7CA9"/>
    <w:rsid w:val="5038679F"/>
    <w:rsid w:val="50463D38"/>
    <w:rsid w:val="5047222E"/>
    <w:rsid w:val="50670571"/>
    <w:rsid w:val="50B95E75"/>
    <w:rsid w:val="50C54952"/>
    <w:rsid w:val="50CA6916"/>
    <w:rsid w:val="50CD6207"/>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E1BC7"/>
    <w:rsid w:val="523F6E00"/>
    <w:rsid w:val="524B22B7"/>
    <w:rsid w:val="52692D61"/>
    <w:rsid w:val="527728CF"/>
    <w:rsid w:val="528172AA"/>
    <w:rsid w:val="52B8492E"/>
    <w:rsid w:val="52CD201A"/>
    <w:rsid w:val="52DB316A"/>
    <w:rsid w:val="52DF5523"/>
    <w:rsid w:val="530C01BA"/>
    <w:rsid w:val="530F02BC"/>
    <w:rsid w:val="53130849"/>
    <w:rsid w:val="53130F14"/>
    <w:rsid w:val="531C6A38"/>
    <w:rsid w:val="53295F3D"/>
    <w:rsid w:val="534972AB"/>
    <w:rsid w:val="5373169B"/>
    <w:rsid w:val="53747D16"/>
    <w:rsid w:val="5378497F"/>
    <w:rsid w:val="53C6061F"/>
    <w:rsid w:val="53E544DB"/>
    <w:rsid w:val="53F046E7"/>
    <w:rsid w:val="53F82EC8"/>
    <w:rsid w:val="540B1521"/>
    <w:rsid w:val="5415227F"/>
    <w:rsid w:val="542258CB"/>
    <w:rsid w:val="54273E81"/>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59425E"/>
    <w:rsid w:val="55663533"/>
    <w:rsid w:val="556F6CD4"/>
    <w:rsid w:val="558B0806"/>
    <w:rsid w:val="55944949"/>
    <w:rsid w:val="559C154A"/>
    <w:rsid w:val="55A21094"/>
    <w:rsid w:val="55B24181"/>
    <w:rsid w:val="55B96238"/>
    <w:rsid w:val="55DB63F8"/>
    <w:rsid w:val="560501F2"/>
    <w:rsid w:val="564447FE"/>
    <w:rsid w:val="56466840"/>
    <w:rsid w:val="565467A5"/>
    <w:rsid w:val="56644224"/>
    <w:rsid w:val="5666680E"/>
    <w:rsid w:val="5669634B"/>
    <w:rsid w:val="56735DD8"/>
    <w:rsid w:val="567A473C"/>
    <w:rsid w:val="5685797A"/>
    <w:rsid w:val="568C1A21"/>
    <w:rsid w:val="569F4D37"/>
    <w:rsid w:val="56A8574D"/>
    <w:rsid w:val="56AB2F3F"/>
    <w:rsid w:val="56C42FEC"/>
    <w:rsid w:val="56EA73AE"/>
    <w:rsid w:val="56F0657B"/>
    <w:rsid w:val="56F20621"/>
    <w:rsid w:val="56F20776"/>
    <w:rsid w:val="56F37AB8"/>
    <w:rsid w:val="56FC15F5"/>
    <w:rsid w:val="57122BC6"/>
    <w:rsid w:val="572D6623"/>
    <w:rsid w:val="57364C46"/>
    <w:rsid w:val="574F5BC8"/>
    <w:rsid w:val="575A47E7"/>
    <w:rsid w:val="575C02E5"/>
    <w:rsid w:val="576553EC"/>
    <w:rsid w:val="577473DD"/>
    <w:rsid w:val="57911484"/>
    <w:rsid w:val="57BE00CF"/>
    <w:rsid w:val="57C33EC0"/>
    <w:rsid w:val="57CF104F"/>
    <w:rsid w:val="57CF47C9"/>
    <w:rsid w:val="57D939CD"/>
    <w:rsid w:val="57FB5468"/>
    <w:rsid w:val="57FF0946"/>
    <w:rsid w:val="58075B26"/>
    <w:rsid w:val="580A355F"/>
    <w:rsid w:val="580E4D1D"/>
    <w:rsid w:val="58127ED2"/>
    <w:rsid w:val="58172F6B"/>
    <w:rsid w:val="58281E5B"/>
    <w:rsid w:val="582C247D"/>
    <w:rsid w:val="583D29A8"/>
    <w:rsid w:val="58406187"/>
    <w:rsid w:val="58537A63"/>
    <w:rsid w:val="58643CC2"/>
    <w:rsid w:val="588075E9"/>
    <w:rsid w:val="588C2AEC"/>
    <w:rsid w:val="58B058C7"/>
    <w:rsid w:val="58CA7BFC"/>
    <w:rsid w:val="58E83887"/>
    <w:rsid w:val="58F90DE0"/>
    <w:rsid w:val="59106321"/>
    <w:rsid w:val="59140C82"/>
    <w:rsid w:val="5919648E"/>
    <w:rsid w:val="59202A8D"/>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8156DE"/>
    <w:rsid w:val="5AC73CC7"/>
    <w:rsid w:val="5ADF3707"/>
    <w:rsid w:val="5AE3249E"/>
    <w:rsid w:val="5AE56545"/>
    <w:rsid w:val="5AE92129"/>
    <w:rsid w:val="5AF102AB"/>
    <w:rsid w:val="5B163201"/>
    <w:rsid w:val="5B1A473F"/>
    <w:rsid w:val="5B2E3D47"/>
    <w:rsid w:val="5B37709F"/>
    <w:rsid w:val="5B6149A2"/>
    <w:rsid w:val="5B636D7E"/>
    <w:rsid w:val="5B7A6DEA"/>
    <w:rsid w:val="5B7E6A7C"/>
    <w:rsid w:val="5BA20303"/>
    <w:rsid w:val="5BB26726"/>
    <w:rsid w:val="5BB926FC"/>
    <w:rsid w:val="5BF54320"/>
    <w:rsid w:val="5C1633F6"/>
    <w:rsid w:val="5C246971"/>
    <w:rsid w:val="5C4867F4"/>
    <w:rsid w:val="5C6737F1"/>
    <w:rsid w:val="5C9C18B0"/>
    <w:rsid w:val="5C9E7970"/>
    <w:rsid w:val="5CB36BF9"/>
    <w:rsid w:val="5CBD1826"/>
    <w:rsid w:val="5CC37F37"/>
    <w:rsid w:val="5CE60D7D"/>
    <w:rsid w:val="5CE943C9"/>
    <w:rsid w:val="5CF96FBB"/>
    <w:rsid w:val="5CFD1C22"/>
    <w:rsid w:val="5D044DFB"/>
    <w:rsid w:val="5D2A3C5C"/>
    <w:rsid w:val="5D2E4206"/>
    <w:rsid w:val="5D8B5480"/>
    <w:rsid w:val="5DA21809"/>
    <w:rsid w:val="5DAB5B22"/>
    <w:rsid w:val="5DD0374A"/>
    <w:rsid w:val="5DD064FA"/>
    <w:rsid w:val="5DDA30BD"/>
    <w:rsid w:val="5DDB19FD"/>
    <w:rsid w:val="5DE33611"/>
    <w:rsid w:val="5DEA03F9"/>
    <w:rsid w:val="5DEB5F1F"/>
    <w:rsid w:val="5DEB608F"/>
    <w:rsid w:val="5E211941"/>
    <w:rsid w:val="5E2719AF"/>
    <w:rsid w:val="5E2C7B5F"/>
    <w:rsid w:val="5E37388C"/>
    <w:rsid w:val="5E49652D"/>
    <w:rsid w:val="5E55621E"/>
    <w:rsid w:val="5E556A51"/>
    <w:rsid w:val="5E6C7060"/>
    <w:rsid w:val="5EA7453C"/>
    <w:rsid w:val="5EAE0F71"/>
    <w:rsid w:val="5EB23621"/>
    <w:rsid w:val="5ED27BE1"/>
    <w:rsid w:val="5ED35BB4"/>
    <w:rsid w:val="5ED75612"/>
    <w:rsid w:val="5EE25574"/>
    <w:rsid w:val="5F1F1B33"/>
    <w:rsid w:val="5F2136D8"/>
    <w:rsid w:val="5F2D0AE0"/>
    <w:rsid w:val="5F432EF8"/>
    <w:rsid w:val="5F47659C"/>
    <w:rsid w:val="5F526256"/>
    <w:rsid w:val="5F555D46"/>
    <w:rsid w:val="5F6C2B62"/>
    <w:rsid w:val="5F7E529D"/>
    <w:rsid w:val="5FB40CBE"/>
    <w:rsid w:val="5FC2239B"/>
    <w:rsid w:val="5FCA04E2"/>
    <w:rsid w:val="5FDF1F8A"/>
    <w:rsid w:val="5FE356A8"/>
    <w:rsid w:val="5FF40024"/>
    <w:rsid w:val="602676E1"/>
    <w:rsid w:val="602E4F74"/>
    <w:rsid w:val="603418A5"/>
    <w:rsid w:val="60366D51"/>
    <w:rsid w:val="604D4C6F"/>
    <w:rsid w:val="606807FF"/>
    <w:rsid w:val="60936B26"/>
    <w:rsid w:val="6098238E"/>
    <w:rsid w:val="60A457EB"/>
    <w:rsid w:val="60A74497"/>
    <w:rsid w:val="60B61030"/>
    <w:rsid w:val="60BE1C9B"/>
    <w:rsid w:val="60C356C4"/>
    <w:rsid w:val="60E92BEA"/>
    <w:rsid w:val="60FF41BB"/>
    <w:rsid w:val="61020C7F"/>
    <w:rsid w:val="612B3202"/>
    <w:rsid w:val="612C0D28"/>
    <w:rsid w:val="61406582"/>
    <w:rsid w:val="61543299"/>
    <w:rsid w:val="61592960"/>
    <w:rsid w:val="615A5A4D"/>
    <w:rsid w:val="61706E67"/>
    <w:rsid w:val="61AC41D6"/>
    <w:rsid w:val="61D70DF9"/>
    <w:rsid w:val="61D77A00"/>
    <w:rsid w:val="61EE148D"/>
    <w:rsid w:val="62061880"/>
    <w:rsid w:val="621B3277"/>
    <w:rsid w:val="6228211F"/>
    <w:rsid w:val="6229771A"/>
    <w:rsid w:val="622C555D"/>
    <w:rsid w:val="623B7475"/>
    <w:rsid w:val="626478C2"/>
    <w:rsid w:val="626529F4"/>
    <w:rsid w:val="626C4988"/>
    <w:rsid w:val="62854B94"/>
    <w:rsid w:val="62A47FD8"/>
    <w:rsid w:val="62CE501D"/>
    <w:rsid w:val="62E224E8"/>
    <w:rsid w:val="62FE497B"/>
    <w:rsid w:val="62FF03D9"/>
    <w:rsid w:val="62FF64C2"/>
    <w:rsid w:val="630E4B89"/>
    <w:rsid w:val="63165FDA"/>
    <w:rsid w:val="63352116"/>
    <w:rsid w:val="63377DE5"/>
    <w:rsid w:val="633C769A"/>
    <w:rsid w:val="63452A53"/>
    <w:rsid w:val="635B58F5"/>
    <w:rsid w:val="637531A0"/>
    <w:rsid w:val="63966FB4"/>
    <w:rsid w:val="63973036"/>
    <w:rsid w:val="639B6291"/>
    <w:rsid w:val="639C2D33"/>
    <w:rsid w:val="63A105E6"/>
    <w:rsid w:val="63AD6150"/>
    <w:rsid w:val="63C96D02"/>
    <w:rsid w:val="63D36046"/>
    <w:rsid w:val="63D6255C"/>
    <w:rsid w:val="63E61F5F"/>
    <w:rsid w:val="63F00811"/>
    <w:rsid w:val="63F657AA"/>
    <w:rsid w:val="64144421"/>
    <w:rsid w:val="643A7DF2"/>
    <w:rsid w:val="644D7933"/>
    <w:rsid w:val="645152C2"/>
    <w:rsid w:val="645E38EF"/>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E7B61"/>
    <w:rsid w:val="657753A5"/>
    <w:rsid w:val="657A5833"/>
    <w:rsid w:val="65812DF0"/>
    <w:rsid w:val="65842EE1"/>
    <w:rsid w:val="659B022A"/>
    <w:rsid w:val="65A767B0"/>
    <w:rsid w:val="65AE3104"/>
    <w:rsid w:val="65B838A4"/>
    <w:rsid w:val="65C94D98"/>
    <w:rsid w:val="6602534E"/>
    <w:rsid w:val="66065FEC"/>
    <w:rsid w:val="660A5F17"/>
    <w:rsid w:val="66332DC3"/>
    <w:rsid w:val="6639006E"/>
    <w:rsid w:val="663C7C5F"/>
    <w:rsid w:val="663F7785"/>
    <w:rsid w:val="664804B3"/>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0E33AA"/>
    <w:rsid w:val="6717038D"/>
    <w:rsid w:val="671706D3"/>
    <w:rsid w:val="672F48CC"/>
    <w:rsid w:val="6730396A"/>
    <w:rsid w:val="67346B89"/>
    <w:rsid w:val="6751773B"/>
    <w:rsid w:val="675B574E"/>
    <w:rsid w:val="67801EB9"/>
    <w:rsid w:val="67A71109"/>
    <w:rsid w:val="67C25F5F"/>
    <w:rsid w:val="67C76B2D"/>
    <w:rsid w:val="67CE0D8B"/>
    <w:rsid w:val="67E759A9"/>
    <w:rsid w:val="67EE2A60"/>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E4935"/>
    <w:rsid w:val="694D54E1"/>
    <w:rsid w:val="699944EC"/>
    <w:rsid w:val="69995724"/>
    <w:rsid w:val="69B47EE5"/>
    <w:rsid w:val="69C4686C"/>
    <w:rsid w:val="6A176F2F"/>
    <w:rsid w:val="6A23687A"/>
    <w:rsid w:val="6A240036"/>
    <w:rsid w:val="6A372756"/>
    <w:rsid w:val="6A3B19C7"/>
    <w:rsid w:val="6A4B5F33"/>
    <w:rsid w:val="6A577BBA"/>
    <w:rsid w:val="6A590439"/>
    <w:rsid w:val="6A597D4C"/>
    <w:rsid w:val="6A680FC7"/>
    <w:rsid w:val="6A880A74"/>
    <w:rsid w:val="6A942216"/>
    <w:rsid w:val="6A9B0075"/>
    <w:rsid w:val="6AC51D73"/>
    <w:rsid w:val="6AC82C33"/>
    <w:rsid w:val="6AD67F71"/>
    <w:rsid w:val="6AE213F9"/>
    <w:rsid w:val="6AE368FC"/>
    <w:rsid w:val="6AE769F5"/>
    <w:rsid w:val="6AE85CC0"/>
    <w:rsid w:val="6AF7771D"/>
    <w:rsid w:val="6B036F9E"/>
    <w:rsid w:val="6B311795"/>
    <w:rsid w:val="6B4D0219"/>
    <w:rsid w:val="6BA17867"/>
    <w:rsid w:val="6BA8544F"/>
    <w:rsid w:val="6BB141CE"/>
    <w:rsid w:val="6BBA58AE"/>
    <w:rsid w:val="6BBE4C73"/>
    <w:rsid w:val="6BD45513"/>
    <w:rsid w:val="6BEF0C80"/>
    <w:rsid w:val="6BF41DBA"/>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737889"/>
    <w:rsid w:val="6D787B59"/>
    <w:rsid w:val="6D7F4662"/>
    <w:rsid w:val="6D832E39"/>
    <w:rsid w:val="6D8A7542"/>
    <w:rsid w:val="6D916E4E"/>
    <w:rsid w:val="6DB3108B"/>
    <w:rsid w:val="6DBD5004"/>
    <w:rsid w:val="6DC63E68"/>
    <w:rsid w:val="6DCF4F15"/>
    <w:rsid w:val="6DD447A6"/>
    <w:rsid w:val="6DDE4DD4"/>
    <w:rsid w:val="6DEF4626"/>
    <w:rsid w:val="6E066FBB"/>
    <w:rsid w:val="6E1152C9"/>
    <w:rsid w:val="6E531FEA"/>
    <w:rsid w:val="6E5C6B75"/>
    <w:rsid w:val="6E6D037E"/>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C1556"/>
    <w:rsid w:val="705D5373"/>
    <w:rsid w:val="707D50FC"/>
    <w:rsid w:val="707E0FD5"/>
    <w:rsid w:val="70867402"/>
    <w:rsid w:val="70A95654"/>
    <w:rsid w:val="70C312D3"/>
    <w:rsid w:val="70D43718"/>
    <w:rsid w:val="70F73101"/>
    <w:rsid w:val="7116172E"/>
    <w:rsid w:val="71241D10"/>
    <w:rsid w:val="712437CA"/>
    <w:rsid w:val="712D0854"/>
    <w:rsid w:val="713B389B"/>
    <w:rsid w:val="7142463B"/>
    <w:rsid w:val="71910D2E"/>
    <w:rsid w:val="71950224"/>
    <w:rsid w:val="71AC2056"/>
    <w:rsid w:val="71C1345D"/>
    <w:rsid w:val="71C8684B"/>
    <w:rsid w:val="71CB2462"/>
    <w:rsid w:val="71D445CE"/>
    <w:rsid w:val="71DA38CD"/>
    <w:rsid w:val="71E25B41"/>
    <w:rsid w:val="71F650B9"/>
    <w:rsid w:val="71FB277D"/>
    <w:rsid w:val="720F6001"/>
    <w:rsid w:val="72473CB6"/>
    <w:rsid w:val="72686E3D"/>
    <w:rsid w:val="727A26CE"/>
    <w:rsid w:val="72983176"/>
    <w:rsid w:val="72AB51FE"/>
    <w:rsid w:val="72BE2D27"/>
    <w:rsid w:val="72D92A8F"/>
    <w:rsid w:val="72DA2EC0"/>
    <w:rsid w:val="72F739A7"/>
    <w:rsid w:val="73016068"/>
    <w:rsid w:val="731A4E85"/>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5B4F58"/>
    <w:rsid w:val="74672B20"/>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D05CCE"/>
    <w:rsid w:val="75D35377"/>
    <w:rsid w:val="75F45E61"/>
    <w:rsid w:val="75F93477"/>
    <w:rsid w:val="76063D02"/>
    <w:rsid w:val="7631116A"/>
    <w:rsid w:val="76312C11"/>
    <w:rsid w:val="76345B3A"/>
    <w:rsid w:val="764346F2"/>
    <w:rsid w:val="76454D95"/>
    <w:rsid w:val="767317AC"/>
    <w:rsid w:val="7686064F"/>
    <w:rsid w:val="769474D0"/>
    <w:rsid w:val="769E4F43"/>
    <w:rsid w:val="76B858B5"/>
    <w:rsid w:val="76BF021D"/>
    <w:rsid w:val="76DF0673"/>
    <w:rsid w:val="770E2F52"/>
    <w:rsid w:val="77161E07"/>
    <w:rsid w:val="77176354"/>
    <w:rsid w:val="773310E1"/>
    <w:rsid w:val="773D3F97"/>
    <w:rsid w:val="774910E8"/>
    <w:rsid w:val="774950AA"/>
    <w:rsid w:val="774A0F8C"/>
    <w:rsid w:val="774A385E"/>
    <w:rsid w:val="77951A25"/>
    <w:rsid w:val="77960CE5"/>
    <w:rsid w:val="779E1317"/>
    <w:rsid w:val="77CB650B"/>
    <w:rsid w:val="77CC2A1C"/>
    <w:rsid w:val="77CE4490"/>
    <w:rsid w:val="77E67A2B"/>
    <w:rsid w:val="78042DEB"/>
    <w:rsid w:val="78261305"/>
    <w:rsid w:val="784974F5"/>
    <w:rsid w:val="784B19A6"/>
    <w:rsid w:val="78540E39"/>
    <w:rsid w:val="785E1CB7"/>
    <w:rsid w:val="78681083"/>
    <w:rsid w:val="788B24B1"/>
    <w:rsid w:val="789079E5"/>
    <w:rsid w:val="7891016B"/>
    <w:rsid w:val="78A04C44"/>
    <w:rsid w:val="78C338C8"/>
    <w:rsid w:val="78E72828"/>
    <w:rsid w:val="78EA7B9F"/>
    <w:rsid w:val="79224F56"/>
    <w:rsid w:val="79336CA0"/>
    <w:rsid w:val="793A7966"/>
    <w:rsid w:val="793B1C09"/>
    <w:rsid w:val="7947274B"/>
    <w:rsid w:val="794B3FEA"/>
    <w:rsid w:val="79BA79F3"/>
    <w:rsid w:val="79BB215E"/>
    <w:rsid w:val="79D87646"/>
    <w:rsid w:val="79E82BC7"/>
    <w:rsid w:val="79EB6979"/>
    <w:rsid w:val="7A1067EC"/>
    <w:rsid w:val="7A192CE7"/>
    <w:rsid w:val="7A2E2EA3"/>
    <w:rsid w:val="7A3007C8"/>
    <w:rsid w:val="7A3231AD"/>
    <w:rsid w:val="7A3E28AA"/>
    <w:rsid w:val="7A4A77F3"/>
    <w:rsid w:val="7A5A72EE"/>
    <w:rsid w:val="7A844288"/>
    <w:rsid w:val="7AA82540"/>
    <w:rsid w:val="7AAC4F5C"/>
    <w:rsid w:val="7AB931D5"/>
    <w:rsid w:val="7ACB0D86"/>
    <w:rsid w:val="7ADC02AF"/>
    <w:rsid w:val="7AE56AF0"/>
    <w:rsid w:val="7B002DC3"/>
    <w:rsid w:val="7B080E99"/>
    <w:rsid w:val="7B0C23FF"/>
    <w:rsid w:val="7B110428"/>
    <w:rsid w:val="7B113011"/>
    <w:rsid w:val="7B205002"/>
    <w:rsid w:val="7B220D7A"/>
    <w:rsid w:val="7B2F5349"/>
    <w:rsid w:val="7B5666FB"/>
    <w:rsid w:val="7B5C232E"/>
    <w:rsid w:val="7B5E12BB"/>
    <w:rsid w:val="7B637C47"/>
    <w:rsid w:val="7BA43E85"/>
    <w:rsid w:val="7BBF4208"/>
    <w:rsid w:val="7BC0312E"/>
    <w:rsid w:val="7BC40083"/>
    <w:rsid w:val="7BC62E25"/>
    <w:rsid w:val="7BD02203"/>
    <w:rsid w:val="7BD22006"/>
    <w:rsid w:val="7BE349AD"/>
    <w:rsid w:val="7BFC0690"/>
    <w:rsid w:val="7BFE17E7"/>
    <w:rsid w:val="7C013085"/>
    <w:rsid w:val="7C0E2B1C"/>
    <w:rsid w:val="7C0E57A2"/>
    <w:rsid w:val="7C151079"/>
    <w:rsid w:val="7C2253BC"/>
    <w:rsid w:val="7C2E374F"/>
    <w:rsid w:val="7C4756C9"/>
    <w:rsid w:val="7C582C3F"/>
    <w:rsid w:val="7C593EE8"/>
    <w:rsid w:val="7C753C13"/>
    <w:rsid w:val="7C7A6994"/>
    <w:rsid w:val="7C831C64"/>
    <w:rsid w:val="7C855A65"/>
    <w:rsid w:val="7C896BD7"/>
    <w:rsid w:val="7C9932BE"/>
    <w:rsid w:val="7C9B286D"/>
    <w:rsid w:val="7C9B7FF0"/>
    <w:rsid w:val="7CB53251"/>
    <w:rsid w:val="7CB62D19"/>
    <w:rsid w:val="7CD93821"/>
    <w:rsid w:val="7CD95805"/>
    <w:rsid w:val="7D0F17D2"/>
    <w:rsid w:val="7D13314E"/>
    <w:rsid w:val="7D230DDA"/>
    <w:rsid w:val="7D365DD8"/>
    <w:rsid w:val="7D3A23FC"/>
    <w:rsid w:val="7D625FC7"/>
    <w:rsid w:val="7D650CA3"/>
    <w:rsid w:val="7D6A0419"/>
    <w:rsid w:val="7D6B7727"/>
    <w:rsid w:val="7D7A5D33"/>
    <w:rsid w:val="7D7B0C16"/>
    <w:rsid w:val="7DB12889"/>
    <w:rsid w:val="7DB52379"/>
    <w:rsid w:val="7DBC3708"/>
    <w:rsid w:val="7DD018F6"/>
    <w:rsid w:val="7DD4016C"/>
    <w:rsid w:val="7DEE5D3D"/>
    <w:rsid w:val="7DF804B8"/>
    <w:rsid w:val="7E167D92"/>
    <w:rsid w:val="7E1A50EB"/>
    <w:rsid w:val="7E1D2CB4"/>
    <w:rsid w:val="7E222BD7"/>
    <w:rsid w:val="7E24305B"/>
    <w:rsid w:val="7E290672"/>
    <w:rsid w:val="7E4266E2"/>
    <w:rsid w:val="7E4F632A"/>
    <w:rsid w:val="7E576F8D"/>
    <w:rsid w:val="7E6C2A49"/>
    <w:rsid w:val="7E6D4A02"/>
    <w:rsid w:val="7E722A66"/>
    <w:rsid w:val="7E794FBB"/>
    <w:rsid w:val="7E806AA4"/>
    <w:rsid w:val="7E8F4979"/>
    <w:rsid w:val="7E9C305C"/>
    <w:rsid w:val="7EA06B86"/>
    <w:rsid w:val="7EA26042"/>
    <w:rsid w:val="7EAF6879"/>
    <w:rsid w:val="7EB45D48"/>
    <w:rsid w:val="7EC17031"/>
    <w:rsid w:val="7ED95100"/>
    <w:rsid w:val="7EEA7E01"/>
    <w:rsid w:val="7F0417A2"/>
    <w:rsid w:val="7F360FA8"/>
    <w:rsid w:val="7F3D43D5"/>
    <w:rsid w:val="7F427C3D"/>
    <w:rsid w:val="7F517E80"/>
    <w:rsid w:val="7F7211CD"/>
    <w:rsid w:val="7F8B3961"/>
    <w:rsid w:val="7F8F3102"/>
    <w:rsid w:val="7F9C0E05"/>
    <w:rsid w:val="7F9F140C"/>
    <w:rsid w:val="7FA76140"/>
    <w:rsid w:val="7FC17096"/>
    <w:rsid w:val="7FE82E11"/>
    <w:rsid w:val="7FF9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6">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7">
    <w:name w:val="heading 4"/>
    <w:basedOn w:val="1"/>
    <w:next w:val="1"/>
    <w:link w:val="59"/>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8">
    <w:name w:val="heading 5"/>
    <w:basedOn w:val="1"/>
    <w:next w:val="1"/>
    <w:link w:val="60"/>
    <w:qFormat/>
    <w:uiPriority w:val="0"/>
    <w:pPr>
      <w:keepNext/>
      <w:keepLines/>
      <w:spacing w:before="280" w:after="290" w:line="376" w:lineRule="auto"/>
      <w:outlineLvl w:val="4"/>
    </w:pPr>
    <w:rPr>
      <w:b/>
      <w:bCs/>
      <w:sz w:val="28"/>
      <w:szCs w:val="28"/>
    </w:rPr>
  </w:style>
  <w:style w:type="paragraph" w:styleId="9">
    <w:name w:val="heading 6"/>
    <w:basedOn w:val="1"/>
    <w:next w:val="1"/>
    <w:link w:val="61"/>
    <w:qFormat/>
    <w:uiPriority w:val="0"/>
    <w:pPr>
      <w:keepNext/>
      <w:keepLines/>
      <w:spacing w:before="240" w:after="64" w:line="320" w:lineRule="auto"/>
      <w:outlineLvl w:val="5"/>
    </w:pPr>
    <w:rPr>
      <w:rFonts w:ascii="Cambria" w:hAnsi="Cambria"/>
      <w:b/>
      <w:bCs/>
      <w:sz w:val="24"/>
    </w:rPr>
  </w:style>
  <w:style w:type="paragraph" w:styleId="10">
    <w:name w:val="heading 7"/>
    <w:basedOn w:val="1"/>
    <w:next w:val="1"/>
    <w:link w:val="62"/>
    <w:autoRedefine/>
    <w:qFormat/>
    <w:uiPriority w:val="0"/>
    <w:pPr>
      <w:keepNext/>
      <w:keepLines/>
      <w:spacing w:before="240" w:after="64" w:line="320" w:lineRule="auto"/>
      <w:outlineLvl w:val="6"/>
    </w:pPr>
    <w:rPr>
      <w:b/>
      <w:bCs/>
      <w:sz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autoRedefine/>
    <w:semiHidden/>
    <w:qFormat/>
    <w:uiPriority w:val="0"/>
    <w:pPr>
      <w:spacing w:after="120"/>
    </w:pPr>
  </w:style>
  <w:style w:type="paragraph" w:styleId="11">
    <w:name w:val="toc 7"/>
    <w:basedOn w:val="1"/>
    <w:next w:val="1"/>
    <w:autoRedefine/>
    <w:qFormat/>
    <w:uiPriority w:val="39"/>
    <w:pPr>
      <w:ind w:left="1260"/>
      <w:jc w:val="left"/>
    </w:pPr>
    <w:rPr>
      <w:sz w:val="18"/>
      <w:szCs w:val="18"/>
    </w:rPr>
  </w:style>
  <w:style w:type="paragraph" w:styleId="12">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3">
    <w:name w:val="Normal Indent"/>
    <w:basedOn w:val="1"/>
    <w:autoRedefine/>
    <w:qFormat/>
    <w:uiPriority w:val="0"/>
    <w:pPr>
      <w:adjustRightInd w:val="0"/>
      <w:spacing w:line="360" w:lineRule="atLeast"/>
      <w:ind w:firstLine="482"/>
      <w:textAlignment w:val="baseline"/>
    </w:pPr>
    <w:rPr>
      <w:kern w:val="0"/>
      <w:sz w:val="24"/>
      <w:szCs w:val="20"/>
    </w:rPr>
  </w:style>
  <w:style w:type="paragraph" w:styleId="14">
    <w:name w:val="annotation text"/>
    <w:basedOn w:val="1"/>
    <w:link w:val="63"/>
    <w:autoRedefine/>
    <w:qFormat/>
    <w:uiPriority w:val="0"/>
    <w:pPr>
      <w:jc w:val="left"/>
    </w:pPr>
  </w:style>
  <w:style w:type="paragraph" w:styleId="15">
    <w:name w:val="Body Text Indent"/>
    <w:basedOn w:val="1"/>
    <w:next w:val="16"/>
    <w:link w:val="56"/>
    <w:autoRedefine/>
    <w:qFormat/>
    <w:uiPriority w:val="0"/>
    <w:pPr>
      <w:spacing w:after="120"/>
      <w:ind w:left="200" w:leftChars="200"/>
    </w:pPr>
  </w:style>
  <w:style w:type="paragraph" w:styleId="16">
    <w:name w:val="envelope return"/>
    <w:basedOn w:val="1"/>
    <w:next w:val="11"/>
    <w:autoRedefine/>
    <w:qFormat/>
    <w:uiPriority w:val="0"/>
    <w:pPr>
      <w:snapToGrid w:val="0"/>
    </w:pPr>
    <w:rPr>
      <w:rFonts w:ascii="Arial" w:hAnsi="Arial"/>
    </w:rPr>
  </w:style>
  <w:style w:type="paragraph" w:styleId="17">
    <w:name w:val="List 2"/>
    <w:basedOn w:val="1"/>
    <w:unhideWhenUsed/>
    <w:qFormat/>
    <w:uiPriority w:val="99"/>
    <w:pPr>
      <w:ind w:left="840" w:hanging="420"/>
    </w:pPr>
    <w:rPr>
      <w:sz w:val="24"/>
      <w:szCs w:val="20"/>
    </w:rPr>
  </w:style>
  <w:style w:type="paragraph" w:styleId="18">
    <w:name w:val="index 4"/>
    <w:basedOn w:val="1"/>
    <w:next w:val="1"/>
    <w:qFormat/>
    <w:uiPriority w:val="0"/>
    <w:pPr>
      <w:ind w:left="600" w:leftChars="600"/>
    </w:pPr>
  </w:style>
  <w:style w:type="paragraph" w:styleId="19">
    <w:name w:val="toc 3"/>
    <w:basedOn w:val="1"/>
    <w:next w:val="1"/>
    <w:autoRedefine/>
    <w:qFormat/>
    <w:uiPriority w:val="39"/>
    <w:pPr>
      <w:tabs>
        <w:tab w:val="right" w:leader="dot" w:pos="9288"/>
      </w:tabs>
      <w:ind w:left="400" w:leftChars="400"/>
    </w:pPr>
    <w:rPr>
      <w:rFonts w:ascii="宋体"/>
    </w:rPr>
  </w:style>
  <w:style w:type="paragraph" w:styleId="20">
    <w:name w:val="Plain Text"/>
    <w:basedOn w:val="1"/>
    <w:next w:val="1"/>
    <w:link w:val="64"/>
    <w:qFormat/>
    <w:uiPriority w:val="99"/>
    <w:rPr>
      <w:rFonts w:ascii="宋体"/>
      <w:color w:val="000000"/>
      <w:szCs w:val="20"/>
      <w:u w:color="000000"/>
    </w:rPr>
  </w:style>
  <w:style w:type="paragraph" w:styleId="21">
    <w:name w:val="Date"/>
    <w:basedOn w:val="1"/>
    <w:next w:val="1"/>
    <w:link w:val="65"/>
    <w:autoRedefine/>
    <w:qFormat/>
    <w:uiPriority w:val="0"/>
    <w:rPr>
      <w:rFonts w:ascii="Arial" w:hAnsi="Arial" w:eastAsia="仿宋_GB2312"/>
      <w:color w:val="000000"/>
      <w:sz w:val="32"/>
      <w:szCs w:val="20"/>
      <w:u w:color="000000"/>
    </w:rPr>
  </w:style>
  <w:style w:type="paragraph" w:styleId="22">
    <w:name w:val="Body Text Indent 2"/>
    <w:basedOn w:val="1"/>
    <w:link w:val="66"/>
    <w:autoRedefine/>
    <w:qFormat/>
    <w:uiPriority w:val="0"/>
    <w:pPr>
      <w:spacing w:after="120" w:line="480" w:lineRule="auto"/>
      <w:ind w:left="420" w:leftChars="200"/>
    </w:pPr>
  </w:style>
  <w:style w:type="paragraph" w:styleId="23">
    <w:name w:val="endnote text"/>
    <w:basedOn w:val="1"/>
    <w:autoRedefine/>
    <w:qFormat/>
    <w:uiPriority w:val="99"/>
    <w:pPr>
      <w:snapToGrid w:val="0"/>
    </w:pPr>
    <w:rPr>
      <w:rFonts w:ascii="仿宋" w:hAnsi="仿宋"/>
    </w:rPr>
  </w:style>
  <w:style w:type="paragraph" w:styleId="24">
    <w:name w:val="Balloon Text"/>
    <w:basedOn w:val="1"/>
    <w:link w:val="67"/>
    <w:autoRedefine/>
    <w:qFormat/>
    <w:uiPriority w:val="0"/>
    <w:rPr>
      <w:sz w:val="18"/>
      <w:szCs w:val="18"/>
    </w:rPr>
  </w:style>
  <w:style w:type="paragraph" w:styleId="25">
    <w:name w:val="footer"/>
    <w:basedOn w:val="1"/>
    <w:link w:val="68"/>
    <w:autoRedefine/>
    <w:qFormat/>
    <w:uiPriority w:val="0"/>
    <w:pPr>
      <w:tabs>
        <w:tab w:val="center" w:pos="4153"/>
        <w:tab w:val="right" w:pos="8306"/>
      </w:tabs>
      <w:snapToGrid w:val="0"/>
      <w:jc w:val="left"/>
    </w:pPr>
    <w:rPr>
      <w:sz w:val="18"/>
      <w:szCs w:val="18"/>
    </w:rPr>
  </w:style>
  <w:style w:type="paragraph" w:styleId="26">
    <w:name w:val="header"/>
    <w:basedOn w:val="1"/>
    <w:link w:val="69"/>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style>
  <w:style w:type="paragraph" w:styleId="28">
    <w:name w:val="Subtitle"/>
    <w:basedOn w:val="1"/>
    <w:next w:val="1"/>
    <w:autoRedefine/>
    <w:qFormat/>
    <w:uiPriority w:val="0"/>
    <w:pPr>
      <w:numPr>
        <w:ilvl w:val="0"/>
        <w:numId w:val="3"/>
      </w:numPr>
      <w:spacing w:line="360" w:lineRule="auto"/>
      <w:jc w:val="left"/>
      <w:outlineLvl w:val="1"/>
    </w:pPr>
    <w:rPr>
      <w:rFonts w:ascii="Calibri Light" w:hAnsi="Calibri Light"/>
      <w:bCs/>
      <w:kern w:val="28"/>
      <w:szCs w:val="32"/>
    </w:rPr>
  </w:style>
  <w:style w:type="paragraph" w:styleId="29">
    <w:name w:val="List"/>
    <w:basedOn w:val="1"/>
    <w:autoRedefine/>
    <w:qFormat/>
    <w:uiPriority w:val="0"/>
    <w:pPr>
      <w:ind w:left="420" w:hanging="420"/>
    </w:pPr>
    <w:rPr>
      <w:rFonts w:ascii="Arial" w:hAnsi="Arial" w:eastAsia="楷体_GB2312"/>
      <w:sz w:val="28"/>
    </w:rPr>
  </w:style>
  <w:style w:type="paragraph" w:styleId="30">
    <w:name w:val="toc 6"/>
    <w:basedOn w:val="1"/>
    <w:next w:val="1"/>
    <w:qFormat/>
    <w:uiPriority w:val="0"/>
    <w:pPr>
      <w:autoSpaceDE w:val="0"/>
      <w:autoSpaceDN w:val="0"/>
      <w:ind w:left="1700"/>
      <w:jc w:val="left"/>
      <w:textAlignment w:val="baseline"/>
    </w:pPr>
    <w:rPr>
      <w:kern w:val="0"/>
      <w:sz w:val="18"/>
      <w:szCs w:val="18"/>
    </w:rPr>
  </w:style>
  <w:style w:type="paragraph" w:styleId="31">
    <w:name w:val="toc 2"/>
    <w:basedOn w:val="1"/>
    <w:next w:val="1"/>
    <w:qFormat/>
    <w:uiPriority w:val="39"/>
    <w:pPr>
      <w:ind w:left="200" w:leftChars="200"/>
    </w:pPr>
  </w:style>
  <w:style w:type="paragraph" w:styleId="32">
    <w:name w:val="Normal (Web)"/>
    <w:basedOn w:val="1"/>
    <w:next w:val="1"/>
    <w:autoRedefine/>
    <w:qFormat/>
    <w:uiPriority w:val="0"/>
    <w:pPr>
      <w:widowControl/>
      <w:spacing w:before="100" w:beforeAutospacing="1" w:after="100" w:afterAutospacing="1"/>
      <w:jc w:val="left"/>
    </w:pPr>
    <w:rPr>
      <w:rFonts w:ascii="宋体" w:hAnsi="宋体" w:cs="宋体"/>
      <w:kern w:val="0"/>
      <w:sz w:val="24"/>
    </w:rPr>
  </w:style>
  <w:style w:type="paragraph" w:styleId="33">
    <w:name w:val="index 1"/>
    <w:basedOn w:val="1"/>
    <w:next w:val="1"/>
    <w:autoRedefine/>
    <w:qFormat/>
    <w:uiPriority w:val="0"/>
    <w:pPr>
      <w:jc w:val="center"/>
    </w:pPr>
    <w:rPr>
      <w:rFonts w:ascii="Arial" w:hAnsi="Arial" w:eastAsia="Arial" w:cs="Arial"/>
      <w:b/>
      <w:bCs/>
      <w:sz w:val="28"/>
    </w:rPr>
  </w:style>
  <w:style w:type="paragraph" w:styleId="34">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5">
    <w:name w:val="annotation subject"/>
    <w:basedOn w:val="14"/>
    <w:next w:val="14"/>
    <w:link w:val="70"/>
    <w:autoRedefine/>
    <w:qFormat/>
    <w:uiPriority w:val="0"/>
    <w:rPr>
      <w:b/>
      <w:bCs/>
    </w:rPr>
  </w:style>
  <w:style w:type="paragraph" w:styleId="36">
    <w:name w:val="Body Text First Indent 2"/>
    <w:basedOn w:val="15"/>
    <w:next w:val="2"/>
    <w:link w:val="57"/>
    <w:autoRedefine/>
    <w:qFormat/>
    <w:uiPriority w:val="0"/>
    <w:pPr>
      <w:ind w:left="420"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b/>
    </w:rPr>
  </w:style>
  <w:style w:type="character" w:styleId="41">
    <w:name w:val="page number"/>
    <w:autoRedefine/>
    <w:qFormat/>
    <w:uiPriority w:val="0"/>
  </w:style>
  <w:style w:type="character" w:styleId="42">
    <w:name w:val="FollowedHyperlink"/>
    <w:autoRedefine/>
    <w:qFormat/>
    <w:uiPriority w:val="0"/>
    <w:rPr>
      <w:color w:val="333333"/>
      <w:u w:val="none"/>
    </w:rPr>
  </w:style>
  <w:style w:type="character" w:styleId="43">
    <w:name w:val="Emphasis"/>
    <w:autoRedefine/>
    <w:qFormat/>
    <w:uiPriority w:val="20"/>
    <w:rPr>
      <w:i/>
      <w:iCs/>
    </w:rPr>
  </w:style>
  <w:style w:type="character" w:styleId="44">
    <w:name w:val="HTML Definition"/>
    <w:autoRedefine/>
    <w:qFormat/>
    <w:uiPriority w:val="0"/>
  </w:style>
  <w:style w:type="character" w:styleId="45">
    <w:name w:val="HTML Typewriter"/>
    <w:autoRedefine/>
    <w:qFormat/>
    <w:uiPriority w:val="0"/>
    <w:rPr>
      <w:rFonts w:ascii="monospace" w:hAnsi="monospace" w:eastAsia="monospace" w:cs="monospace"/>
      <w:sz w:val="20"/>
    </w:rPr>
  </w:style>
  <w:style w:type="character" w:styleId="46">
    <w:name w:val="HTML Acronym"/>
    <w:autoRedefine/>
    <w:qFormat/>
    <w:uiPriority w:val="0"/>
  </w:style>
  <w:style w:type="character" w:styleId="47">
    <w:name w:val="HTML Variable"/>
    <w:autoRedefine/>
    <w:qFormat/>
    <w:uiPriority w:val="0"/>
  </w:style>
  <w:style w:type="character" w:styleId="48">
    <w:name w:val="Hyperlink"/>
    <w:basedOn w:val="39"/>
    <w:autoRedefine/>
    <w:qFormat/>
    <w:uiPriority w:val="99"/>
    <w:rPr>
      <w:color w:val="333333"/>
      <w:u w:val="none"/>
    </w:rPr>
  </w:style>
  <w:style w:type="character" w:styleId="49">
    <w:name w:val="HTML Code"/>
    <w:autoRedefine/>
    <w:qFormat/>
    <w:uiPriority w:val="0"/>
    <w:rPr>
      <w:rFonts w:hint="default" w:ascii="monospace" w:hAnsi="monospace" w:eastAsia="monospace" w:cs="monospace"/>
      <w:sz w:val="20"/>
    </w:rPr>
  </w:style>
  <w:style w:type="character" w:styleId="50">
    <w:name w:val="annotation reference"/>
    <w:autoRedefine/>
    <w:qFormat/>
    <w:uiPriority w:val="0"/>
    <w:rPr>
      <w:sz w:val="21"/>
      <w:szCs w:val="21"/>
    </w:rPr>
  </w:style>
  <w:style w:type="character" w:styleId="51">
    <w:name w:val="HTML Cite"/>
    <w:autoRedefine/>
    <w:qFormat/>
    <w:uiPriority w:val="0"/>
  </w:style>
  <w:style w:type="character" w:styleId="52">
    <w:name w:val="HTML Keyboard"/>
    <w:qFormat/>
    <w:uiPriority w:val="0"/>
    <w:rPr>
      <w:rFonts w:hint="default" w:ascii="monospace" w:hAnsi="monospace" w:eastAsia="monospace" w:cs="monospace"/>
      <w:sz w:val="20"/>
    </w:rPr>
  </w:style>
  <w:style w:type="character" w:styleId="53">
    <w:name w:val="HTML Sample"/>
    <w:autoRedefine/>
    <w:qFormat/>
    <w:uiPriority w:val="0"/>
    <w:rPr>
      <w:rFonts w:hint="default" w:ascii="monospace" w:hAnsi="monospace" w:eastAsia="monospace" w:cs="monospace"/>
    </w:rPr>
  </w:style>
  <w:style w:type="paragraph" w:customStyle="1" w:styleId="54">
    <w:name w:val="l正文"/>
    <w:autoRedefine/>
    <w:qFormat/>
    <w:uiPriority w:val="0"/>
    <w:pPr>
      <w:widowControl w:val="0"/>
      <w:spacing w:line="300" w:lineRule="auto"/>
    </w:pPr>
    <w:rPr>
      <w:rFonts w:ascii="楷体_GB2312" w:hAnsi="Times" w:eastAsia="楷体_GB2312" w:cs="Times New Roman"/>
      <w:color w:val="FF0000"/>
      <w:kern w:val="2"/>
      <w:sz w:val="24"/>
      <w:szCs w:val="24"/>
      <w:lang w:val="en-US" w:eastAsia="zh-CN" w:bidi="ar-SA"/>
    </w:rPr>
  </w:style>
  <w:style w:type="paragraph" w:customStyle="1" w:styleId="55">
    <w:name w:val="正文文字 8"/>
    <w:basedOn w:val="1"/>
    <w:next w:val="1"/>
    <w:autoRedefine/>
    <w:qFormat/>
    <w:uiPriority w:val="0"/>
    <w:pPr>
      <w:ind w:left="240"/>
    </w:pPr>
    <w:rPr>
      <w:sz w:val="16"/>
    </w:rPr>
  </w:style>
  <w:style w:type="character" w:customStyle="1" w:styleId="56">
    <w:name w:val="正文文本缩进 字符"/>
    <w:link w:val="15"/>
    <w:autoRedefine/>
    <w:qFormat/>
    <w:uiPriority w:val="0"/>
    <w:rPr>
      <w:kern w:val="2"/>
      <w:sz w:val="21"/>
      <w:szCs w:val="24"/>
    </w:rPr>
  </w:style>
  <w:style w:type="character" w:customStyle="1" w:styleId="57">
    <w:name w:val="正文首行缩进 2 字符"/>
    <w:link w:val="36"/>
    <w:autoRedefine/>
    <w:qFormat/>
    <w:uiPriority w:val="0"/>
  </w:style>
  <w:style w:type="character" w:customStyle="1" w:styleId="58">
    <w:name w:val="标题 1 字符"/>
    <w:link w:val="4"/>
    <w:autoRedefine/>
    <w:qFormat/>
    <w:uiPriority w:val="0"/>
    <w:rPr>
      <w:b/>
      <w:bCs/>
      <w:kern w:val="44"/>
      <w:sz w:val="44"/>
      <w:szCs w:val="44"/>
    </w:rPr>
  </w:style>
  <w:style w:type="character" w:customStyle="1" w:styleId="59">
    <w:name w:val="标题 4 字符"/>
    <w:link w:val="7"/>
    <w:autoRedefine/>
    <w:qFormat/>
    <w:locked/>
    <w:uiPriority w:val="0"/>
    <w:rPr>
      <w:rFonts w:ascii="Arial" w:hAnsi="Arial" w:eastAsia="黑体"/>
      <w:b/>
      <w:bCs/>
      <w:color w:val="000000"/>
      <w:sz w:val="28"/>
      <w:szCs w:val="28"/>
      <w:u w:val="none" w:color="000000"/>
      <w:lang w:val="en-US" w:eastAsia="zh-CN" w:bidi="ar-SA"/>
    </w:rPr>
  </w:style>
  <w:style w:type="character" w:customStyle="1" w:styleId="60">
    <w:name w:val="标题 5 字符"/>
    <w:link w:val="8"/>
    <w:autoRedefine/>
    <w:semiHidden/>
    <w:qFormat/>
    <w:uiPriority w:val="0"/>
    <w:rPr>
      <w:b/>
      <w:bCs/>
      <w:kern w:val="2"/>
      <w:sz w:val="28"/>
      <w:szCs w:val="28"/>
    </w:rPr>
  </w:style>
  <w:style w:type="character" w:customStyle="1" w:styleId="61">
    <w:name w:val="标题 6 字符"/>
    <w:link w:val="9"/>
    <w:autoRedefine/>
    <w:semiHidden/>
    <w:qFormat/>
    <w:uiPriority w:val="0"/>
    <w:rPr>
      <w:rFonts w:ascii="Cambria" w:hAnsi="Cambria" w:eastAsia="宋体" w:cs="Times New Roman"/>
      <w:b/>
      <w:bCs/>
      <w:kern w:val="2"/>
      <w:sz w:val="24"/>
      <w:szCs w:val="24"/>
    </w:rPr>
  </w:style>
  <w:style w:type="character" w:customStyle="1" w:styleId="62">
    <w:name w:val="标题 7 字符"/>
    <w:link w:val="10"/>
    <w:autoRedefine/>
    <w:semiHidden/>
    <w:qFormat/>
    <w:uiPriority w:val="0"/>
    <w:rPr>
      <w:b/>
      <w:bCs/>
      <w:kern w:val="2"/>
      <w:sz w:val="24"/>
      <w:szCs w:val="24"/>
    </w:rPr>
  </w:style>
  <w:style w:type="character" w:customStyle="1" w:styleId="63">
    <w:name w:val="批注文字 字符"/>
    <w:link w:val="14"/>
    <w:autoRedefine/>
    <w:qFormat/>
    <w:uiPriority w:val="0"/>
    <w:rPr>
      <w:kern w:val="2"/>
      <w:sz w:val="21"/>
      <w:szCs w:val="24"/>
    </w:rPr>
  </w:style>
  <w:style w:type="character" w:customStyle="1" w:styleId="64">
    <w:name w:val="纯文本 字符"/>
    <w:link w:val="20"/>
    <w:autoRedefine/>
    <w:qFormat/>
    <w:uiPriority w:val="99"/>
    <w:rPr>
      <w:rFonts w:ascii="宋体" w:eastAsia="宋体"/>
      <w:color w:val="000000"/>
      <w:kern w:val="2"/>
      <w:sz w:val="21"/>
      <w:u w:val="none" w:color="000000"/>
      <w:lang w:val="en-US" w:eastAsia="zh-CN" w:bidi="ar-SA"/>
    </w:rPr>
  </w:style>
  <w:style w:type="character" w:customStyle="1" w:styleId="65">
    <w:name w:val="日期 字符"/>
    <w:link w:val="21"/>
    <w:autoRedefine/>
    <w:qFormat/>
    <w:uiPriority w:val="0"/>
    <w:rPr>
      <w:rFonts w:ascii="Arial" w:hAnsi="Arial" w:eastAsia="仿宋_GB2312"/>
      <w:color w:val="000000"/>
      <w:kern w:val="2"/>
      <w:sz w:val="32"/>
      <w:u w:val="none" w:color="000000"/>
    </w:rPr>
  </w:style>
  <w:style w:type="character" w:customStyle="1" w:styleId="66">
    <w:name w:val="正文文本缩进 2 字符"/>
    <w:link w:val="22"/>
    <w:autoRedefine/>
    <w:qFormat/>
    <w:uiPriority w:val="0"/>
    <w:rPr>
      <w:kern w:val="2"/>
      <w:sz w:val="21"/>
      <w:szCs w:val="24"/>
    </w:rPr>
  </w:style>
  <w:style w:type="character" w:customStyle="1" w:styleId="67">
    <w:name w:val="批注框文本 字符"/>
    <w:link w:val="24"/>
    <w:autoRedefine/>
    <w:qFormat/>
    <w:uiPriority w:val="0"/>
    <w:rPr>
      <w:kern w:val="2"/>
      <w:sz w:val="18"/>
      <w:szCs w:val="18"/>
    </w:rPr>
  </w:style>
  <w:style w:type="character" w:customStyle="1" w:styleId="68">
    <w:name w:val="页脚 字符"/>
    <w:link w:val="25"/>
    <w:autoRedefine/>
    <w:qFormat/>
    <w:locked/>
    <w:uiPriority w:val="0"/>
    <w:rPr>
      <w:kern w:val="2"/>
      <w:sz w:val="18"/>
      <w:szCs w:val="18"/>
    </w:rPr>
  </w:style>
  <w:style w:type="character" w:customStyle="1" w:styleId="69">
    <w:name w:val="页眉 字符"/>
    <w:link w:val="26"/>
    <w:autoRedefine/>
    <w:qFormat/>
    <w:locked/>
    <w:uiPriority w:val="0"/>
    <w:rPr>
      <w:kern w:val="2"/>
      <w:sz w:val="18"/>
      <w:szCs w:val="18"/>
    </w:rPr>
  </w:style>
  <w:style w:type="character" w:customStyle="1" w:styleId="70">
    <w:name w:val="批注主题 字符"/>
    <w:link w:val="35"/>
    <w:autoRedefine/>
    <w:qFormat/>
    <w:uiPriority w:val="0"/>
    <w:rPr>
      <w:b/>
      <w:bCs/>
      <w:kern w:val="2"/>
      <w:sz w:val="21"/>
      <w:szCs w:val="24"/>
    </w:rPr>
  </w:style>
  <w:style w:type="character" w:customStyle="1" w:styleId="71">
    <w:name w:val="font121"/>
    <w:autoRedefine/>
    <w:qFormat/>
    <w:uiPriority w:val="0"/>
    <w:rPr>
      <w:rFonts w:hint="eastAsia" w:ascii="宋体" w:hAnsi="宋体" w:eastAsia="宋体" w:cs="宋体"/>
      <w:color w:val="000000"/>
      <w:sz w:val="24"/>
      <w:szCs w:val="24"/>
      <w:u w:val="none"/>
    </w:rPr>
  </w:style>
  <w:style w:type="character" w:customStyle="1" w:styleId="72">
    <w:name w:val="font141"/>
    <w:qFormat/>
    <w:uiPriority w:val="0"/>
    <w:rPr>
      <w:rFonts w:ascii="Arial" w:hAnsi="Arial" w:cs="Arial"/>
      <w:color w:val="000000"/>
      <w:sz w:val="24"/>
      <w:szCs w:val="24"/>
      <w:u w:val="none"/>
    </w:rPr>
  </w:style>
  <w:style w:type="character" w:customStyle="1" w:styleId="73">
    <w:name w:val="_37aak"/>
    <w:autoRedefine/>
    <w:qFormat/>
    <w:uiPriority w:val="0"/>
  </w:style>
  <w:style w:type="character" w:customStyle="1" w:styleId="74">
    <w:name w:val="图表 Char"/>
    <w:link w:val="75"/>
    <w:autoRedefine/>
    <w:qFormat/>
    <w:uiPriority w:val="0"/>
    <w:rPr>
      <w:kern w:val="2"/>
      <w:sz w:val="21"/>
      <w:szCs w:val="21"/>
    </w:rPr>
  </w:style>
  <w:style w:type="paragraph" w:customStyle="1" w:styleId="75">
    <w:name w:val="图表"/>
    <w:basedOn w:val="1"/>
    <w:next w:val="1"/>
    <w:link w:val="74"/>
    <w:autoRedefine/>
    <w:qFormat/>
    <w:uiPriority w:val="0"/>
    <w:pPr>
      <w:jc w:val="center"/>
    </w:pPr>
    <w:rPr>
      <w:szCs w:val="21"/>
    </w:rPr>
  </w:style>
  <w:style w:type="character" w:customStyle="1" w:styleId="76">
    <w:name w:val="font01"/>
    <w:autoRedefine/>
    <w:qFormat/>
    <w:uiPriority w:val="0"/>
    <w:rPr>
      <w:rFonts w:hint="eastAsia" w:ascii="宋体" w:hAnsi="宋体" w:eastAsia="宋体" w:cs="宋体"/>
      <w:color w:val="000000"/>
      <w:sz w:val="22"/>
      <w:szCs w:val="22"/>
      <w:u w:val="none"/>
    </w:rPr>
  </w:style>
  <w:style w:type="character" w:customStyle="1" w:styleId="77">
    <w:name w:val="hover4"/>
    <w:autoRedefine/>
    <w:qFormat/>
    <w:uiPriority w:val="0"/>
    <w:rPr>
      <w:color w:val="2590EB"/>
      <w:shd w:val="clear" w:color="auto" w:fill="E9F4FD"/>
    </w:rPr>
  </w:style>
  <w:style w:type="character" w:customStyle="1" w:styleId="78">
    <w:name w:val="font101"/>
    <w:autoRedefine/>
    <w:qFormat/>
    <w:uiPriority w:val="0"/>
    <w:rPr>
      <w:rFonts w:hint="eastAsia" w:ascii="宋体" w:hAnsi="宋体" w:eastAsia="宋体" w:cs="宋体"/>
      <w:color w:val="000000"/>
      <w:sz w:val="18"/>
      <w:szCs w:val="18"/>
      <w:u w:val="none"/>
    </w:rPr>
  </w:style>
  <w:style w:type="character" w:customStyle="1" w:styleId="79">
    <w:name w:val="font161"/>
    <w:autoRedefine/>
    <w:qFormat/>
    <w:uiPriority w:val="0"/>
    <w:rPr>
      <w:rFonts w:hint="eastAsia" w:ascii="宋体" w:hAnsi="宋体" w:eastAsia="宋体" w:cs="宋体"/>
      <w:b/>
      <w:bCs/>
      <w:color w:val="333333"/>
      <w:sz w:val="27"/>
      <w:szCs w:val="27"/>
      <w:u w:val="none"/>
    </w:rPr>
  </w:style>
  <w:style w:type="character" w:customStyle="1" w:styleId="80">
    <w:name w:val="first-child"/>
    <w:autoRedefine/>
    <w:qFormat/>
    <w:uiPriority w:val="0"/>
  </w:style>
  <w:style w:type="character" w:customStyle="1" w:styleId="81">
    <w:name w:val="【正文】 Char"/>
    <w:link w:val="82"/>
    <w:autoRedefine/>
    <w:qFormat/>
    <w:uiPriority w:val="0"/>
    <w:rPr>
      <w:rFonts w:cs="DokChampa"/>
      <w:kern w:val="2"/>
      <w:sz w:val="24"/>
      <w:szCs w:val="22"/>
    </w:rPr>
  </w:style>
  <w:style w:type="paragraph" w:customStyle="1" w:styleId="82">
    <w:name w:val="【正文】"/>
    <w:basedOn w:val="1"/>
    <w:link w:val="81"/>
    <w:autoRedefine/>
    <w:qFormat/>
    <w:uiPriority w:val="0"/>
    <w:pPr>
      <w:spacing w:line="360" w:lineRule="auto"/>
      <w:ind w:firstLine="480" w:firstLineChars="200"/>
    </w:pPr>
    <w:rPr>
      <w:sz w:val="24"/>
      <w:szCs w:val="22"/>
    </w:rPr>
  </w:style>
  <w:style w:type="character" w:customStyle="1" w:styleId="83">
    <w:name w:val="font131"/>
    <w:autoRedefine/>
    <w:qFormat/>
    <w:uiPriority w:val="0"/>
    <w:rPr>
      <w:rFonts w:ascii="仿宋" w:hAnsi="仿宋" w:eastAsia="仿宋" w:cs="仿宋"/>
      <w:color w:val="000000"/>
      <w:sz w:val="24"/>
      <w:szCs w:val="24"/>
      <w:u w:val="none"/>
    </w:rPr>
  </w:style>
  <w:style w:type="character" w:customStyle="1" w:styleId="84">
    <w:name w:val="font181"/>
    <w:autoRedefine/>
    <w:qFormat/>
    <w:uiPriority w:val="0"/>
    <w:rPr>
      <w:rFonts w:hint="eastAsia" w:ascii="宋体" w:hAnsi="宋体" w:eastAsia="宋体" w:cs="宋体"/>
      <w:color w:val="1A66B3"/>
      <w:sz w:val="18"/>
      <w:szCs w:val="18"/>
      <w:u w:val="none"/>
    </w:rPr>
  </w:style>
  <w:style w:type="character" w:customStyle="1" w:styleId="85">
    <w:name w:val="hover3"/>
    <w:autoRedefine/>
    <w:qFormat/>
    <w:uiPriority w:val="0"/>
  </w:style>
  <w:style w:type="character" w:customStyle="1" w:styleId="86">
    <w:name w:val="font112"/>
    <w:autoRedefine/>
    <w:qFormat/>
    <w:uiPriority w:val="0"/>
    <w:rPr>
      <w:rFonts w:ascii="Verdana" w:hAnsi="Verdana" w:cs="Verdana"/>
      <w:color w:val="000000"/>
      <w:sz w:val="18"/>
      <w:szCs w:val="18"/>
      <w:u w:val="none"/>
    </w:rPr>
  </w:style>
  <w:style w:type="character" w:customStyle="1" w:styleId="87">
    <w:name w:val="font81"/>
    <w:autoRedefine/>
    <w:qFormat/>
    <w:uiPriority w:val="0"/>
    <w:rPr>
      <w:rFonts w:hint="default" w:ascii="Verdana" w:hAnsi="Verdana" w:cs="Verdana"/>
      <w:color w:val="000000"/>
      <w:sz w:val="18"/>
      <w:szCs w:val="18"/>
      <w:u w:val="none"/>
    </w:rPr>
  </w:style>
  <w:style w:type="character" w:customStyle="1" w:styleId="88">
    <w:name w:val="hover"/>
    <w:autoRedefine/>
    <w:qFormat/>
    <w:uiPriority w:val="0"/>
    <w:rPr>
      <w:color w:val="2590EB"/>
      <w:shd w:val="clear" w:color="auto" w:fill="E9F4FD"/>
    </w:rPr>
  </w:style>
  <w:style w:type="character" w:customStyle="1" w:styleId="89">
    <w:name w:val="font41"/>
    <w:autoRedefine/>
    <w:qFormat/>
    <w:uiPriority w:val="0"/>
    <w:rPr>
      <w:rFonts w:hint="eastAsia" w:ascii="宋体" w:hAnsi="宋体" w:eastAsia="宋体" w:cs="宋体"/>
      <w:color w:val="000000"/>
      <w:sz w:val="22"/>
      <w:szCs w:val="22"/>
      <w:u w:val="none"/>
    </w:rPr>
  </w:style>
  <w:style w:type="character" w:customStyle="1" w:styleId="90">
    <w:name w:val="hover2"/>
    <w:autoRedefine/>
    <w:qFormat/>
    <w:uiPriority w:val="0"/>
    <w:rPr>
      <w:color w:val="2590EB"/>
    </w:rPr>
  </w:style>
  <w:style w:type="character" w:customStyle="1" w:styleId="91">
    <w:name w:val="hover1"/>
    <w:autoRedefine/>
    <w:qFormat/>
    <w:uiPriority w:val="0"/>
    <w:rPr>
      <w:color w:val="2590EB"/>
    </w:rPr>
  </w:style>
  <w:style w:type="character" w:customStyle="1" w:styleId="92">
    <w:name w:val="first-child1"/>
    <w:autoRedefine/>
    <w:qFormat/>
    <w:uiPriority w:val="0"/>
  </w:style>
  <w:style w:type="character" w:customStyle="1" w:styleId="93">
    <w:name w:val="selected"/>
    <w:autoRedefine/>
    <w:qFormat/>
    <w:uiPriority w:val="0"/>
    <w:rPr>
      <w:shd w:val="clear" w:color="auto" w:fill="B00006"/>
    </w:rPr>
  </w:style>
  <w:style w:type="character" w:customStyle="1" w:styleId="94">
    <w:name w:val="gpa"/>
    <w:autoRedefine/>
    <w:qFormat/>
    <w:uiPriority w:val="0"/>
    <w:rPr>
      <w:rFonts w:ascii="Arial" w:hAnsi="Arial" w:cs="Arial"/>
      <w:sz w:val="15"/>
      <w:szCs w:val="15"/>
    </w:rPr>
  </w:style>
  <w:style w:type="character" w:customStyle="1" w:styleId="95">
    <w:name w:val="apple-converted-space"/>
    <w:autoRedefine/>
    <w:qFormat/>
    <w:uiPriority w:val="0"/>
  </w:style>
  <w:style w:type="character" w:customStyle="1" w:styleId="96">
    <w:name w:val="列出段落 Char"/>
    <w:link w:val="97"/>
    <w:autoRedefine/>
    <w:qFormat/>
    <w:locked/>
    <w:uiPriority w:val="0"/>
    <w:rPr>
      <w:rFonts w:ascii="Calibri" w:hAnsi="Calibri" w:eastAsia="宋体"/>
      <w:kern w:val="2"/>
      <w:sz w:val="21"/>
      <w:szCs w:val="22"/>
      <w:lang w:val="en-US" w:eastAsia="zh-CN" w:bidi="ar-SA"/>
    </w:rPr>
  </w:style>
  <w:style w:type="paragraph" w:customStyle="1" w:styleId="97">
    <w:name w:val="List Paragraph1"/>
    <w:basedOn w:val="1"/>
    <w:link w:val="96"/>
    <w:autoRedefine/>
    <w:qFormat/>
    <w:uiPriority w:val="0"/>
    <w:pPr>
      <w:spacing w:line="312" w:lineRule="auto"/>
      <w:ind w:firstLine="420" w:firstLineChars="200"/>
    </w:pPr>
    <w:rPr>
      <w:rFonts w:ascii="Calibri" w:hAnsi="Calibri"/>
      <w:szCs w:val="22"/>
    </w:rPr>
  </w:style>
  <w:style w:type="character" w:customStyle="1" w:styleId="98">
    <w:name w:val="displayarti"/>
    <w:autoRedefine/>
    <w:qFormat/>
    <w:uiPriority w:val="0"/>
    <w:rPr>
      <w:color w:val="FFFFFF"/>
      <w:shd w:val="clear" w:color="auto" w:fill="A00000"/>
    </w:rPr>
  </w:style>
  <w:style w:type="character" w:customStyle="1" w:styleId="99">
    <w:name w:val="正文首行缩进 2 Char1"/>
    <w:autoRedefine/>
    <w:qFormat/>
    <w:uiPriority w:val="0"/>
  </w:style>
  <w:style w:type="character" w:customStyle="1" w:styleId="100">
    <w:name w:val="layui-this"/>
    <w:autoRedefine/>
    <w:qFormat/>
    <w:uiPriority w:val="0"/>
    <w:rPr>
      <w:bdr w:val="single" w:color="EEEEEE" w:sz="6" w:space="0"/>
      <w:shd w:val="clear" w:color="auto" w:fill="FFFFFF"/>
    </w:rPr>
  </w:style>
  <w:style w:type="character" w:customStyle="1" w:styleId="101">
    <w:name w:val="font151"/>
    <w:autoRedefine/>
    <w:qFormat/>
    <w:uiPriority w:val="0"/>
    <w:rPr>
      <w:rFonts w:hint="default" w:ascii="Verdana" w:hAnsi="Verdana" w:cs="Verdana"/>
      <w:b/>
      <w:bCs/>
      <w:color w:val="333333"/>
      <w:sz w:val="27"/>
      <w:szCs w:val="27"/>
      <w:u w:val="none"/>
    </w:rPr>
  </w:style>
  <w:style w:type="character" w:customStyle="1" w:styleId="102">
    <w:name w:val="font171"/>
    <w:autoRedefine/>
    <w:qFormat/>
    <w:uiPriority w:val="0"/>
    <w:rPr>
      <w:rFonts w:hint="eastAsia" w:ascii="宋体" w:hAnsi="宋体" w:eastAsia="宋体" w:cs="宋体"/>
      <w:color w:val="646464"/>
      <w:sz w:val="18"/>
      <w:szCs w:val="18"/>
      <w:u w:val="none"/>
    </w:rPr>
  </w:style>
  <w:style w:type="character" w:customStyle="1" w:styleId="103">
    <w:name w:val="hover7"/>
    <w:autoRedefine/>
    <w:qFormat/>
    <w:uiPriority w:val="0"/>
    <w:rPr>
      <w:color w:val="315EFB"/>
    </w:rPr>
  </w:style>
  <w:style w:type="paragraph" w:customStyle="1" w:styleId="104">
    <w:name w:val="列表2"/>
    <w:basedOn w:val="1"/>
    <w:next w:val="1"/>
    <w:autoRedefine/>
    <w:qFormat/>
    <w:uiPriority w:val="0"/>
    <w:pPr>
      <w:numPr>
        <w:ilvl w:val="0"/>
        <w:numId w:val="5"/>
      </w:numPr>
      <w:spacing w:line="200" w:lineRule="atLeast"/>
    </w:pPr>
    <w:rPr>
      <w:rFonts w:eastAsia="仿宋"/>
      <w:sz w:val="28"/>
    </w:rPr>
  </w:style>
  <w:style w:type="paragraph" w:customStyle="1" w:styleId="105">
    <w:name w:val="text-tag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6">
    <w:name w:val="标题4"/>
    <w:basedOn w:val="1"/>
    <w:autoRedefine/>
    <w:qFormat/>
    <w:uiPriority w:val="0"/>
    <w:pPr>
      <w:numPr>
        <w:ilvl w:val="0"/>
        <w:numId w:val="6"/>
      </w:numPr>
      <w:spacing w:line="360" w:lineRule="auto"/>
      <w:ind w:left="720" w:leftChars="300"/>
      <w:jc w:val="left"/>
    </w:pPr>
    <w:rPr>
      <w:rFonts w:ascii="宋体" w:hAnsi="宋体"/>
      <w:sz w:val="18"/>
      <w:szCs w:val="18"/>
    </w:rPr>
  </w:style>
  <w:style w:type="paragraph" w:customStyle="1" w:styleId="107">
    <w:name w:val="Char"/>
    <w:basedOn w:val="1"/>
    <w:next w:val="1"/>
    <w:autoRedefine/>
    <w:qFormat/>
    <w:uiPriority w:val="0"/>
    <w:pPr>
      <w:widowControl/>
      <w:spacing w:line="360" w:lineRule="auto"/>
      <w:jc w:val="left"/>
    </w:pPr>
    <w:rPr>
      <w:kern w:val="0"/>
      <w:szCs w:val="20"/>
      <w:lang w:eastAsia="en-US"/>
    </w:rPr>
  </w:style>
  <w:style w:type="paragraph" w:customStyle="1" w:styleId="108">
    <w:name w:val="样式1"/>
    <w:basedOn w:val="1"/>
    <w:autoRedefine/>
    <w:qFormat/>
    <w:uiPriority w:val="0"/>
    <w:pPr>
      <w:spacing w:line="360" w:lineRule="auto"/>
      <w:jc w:val="center"/>
    </w:pPr>
    <w:rPr>
      <w:b/>
      <w:sz w:val="30"/>
      <w:szCs w:val="30"/>
    </w:rPr>
  </w:style>
  <w:style w:type="paragraph" w:customStyle="1" w:styleId="109">
    <w:name w:val="Char Char Char Char"/>
    <w:basedOn w:val="1"/>
    <w:autoRedefine/>
    <w:qFormat/>
    <w:uiPriority w:val="0"/>
    <w:rPr>
      <w:rFonts w:ascii="Tahoma" w:hAnsi="Tahoma"/>
      <w:sz w:val="24"/>
      <w:szCs w:val="20"/>
    </w:rPr>
  </w:style>
  <w:style w:type="paragraph" w:customStyle="1" w:styleId="110">
    <w:name w:val="_Style 4"/>
    <w:basedOn w:val="1"/>
    <w:autoRedefine/>
    <w:qFormat/>
    <w:uiPriority w:val="34"/>
    <w:pPr>
      <w:adjustRightInd w:val="0"/>
      <w:ind w:firstLine="420" w:firstLineChars="200"/>
      <w:jc w:val="left"/>
      <w:textAlignment w:val="baseline"/>
    </w:pPr>
    <w:rPr>
      <w:kern w:val="0"/>
      <w:szCs w:val="20"/>
    </w:rPr>
  </w:style>
  <w:style w:type="paragraph" w:customStyle="1" w:styleId="111">
    <w:name w:val="列出段落2"/>
    <w:basedOn w:val="1"/>
    <w:autoRedefine/>
    <w:qFormat/>
    <w:uiPriority w:val="0"/>
    <w:pPr>
      <w:ind w:firstLine="420" w:firstLineChars="200"/>
    </w:pPr>
    <w:rPr>
      <w:rFonts w:ascii="Calibri" w:hAnsi="Calibri"/>
      <w:szCs w:val="22"/>
    </w:rPr>
  </w:style>
  <w:style w:type="paragraph" w:customStyle="1" w:styleId="112">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13">
    <w:name w:val="xl25"/>
    <w:basedOn w:val="1"/>
    <w:autoRedefine/>
    <w:qFormat/>
    <w:uiPriority w:val="0"/>
    <w:pPr>
      <w:widowControl/>
      <w:spacing w:before="100" w:beforeAutospacing="1" w:after="100" w:afterAutospacing="1"/>
      <w:jc w:val="right"/>
    </w:pPr>
    <w:rPr>
      <w:rFonts w:ascii="Arial Unicode MS" w:hAnsi="Arial Unicode MS" w:cs="Arial Unicode MS"/>
      <w:color w:val="000000"/>
      <w:kern w:val="0"/>
      <w:sz w:val="18"/>
      <w:szCs w:val="18"/>
    </w:rPr>
  </w:style>
  <w:style w:type="paragraph" w:customStyle="1" w:styleId="114">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5">
    <w:name w:val="Table Paragraph"/>
    <w:basedOn w:val="1"/>
    <w:autoRedefine/>
    <w:qFormat/>
    <w:uiPriority w:val="1"/>
    <w:rPr>
      <w:rFonts w:ascii="宋体" w:hAnsi="宋体" w:cs="宋体"/>
      <w:lang w:val="zh-CN" w:bidi="zh-CN"/>
    </w:rPr>
  </w:style>
  <w:style w:type="paragraph" w:customStyle="1" w:styleId="116">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7">
    <w:name w:val="列出段落1"/>
    <w:basedOn w:val="1"/>
    <w:autoRedefine/>
    <w:qFormat/>
    <w:uiPriority w:val="34"/>
    <w:pPr>
      <w:ind w:firstLine="420" w:firstLineChars="200"/>
    </w:pPr>
  </w:style>
  <w:style w:type="paragraph" w:customStyle="1" w:styleId="118">
    <w:name w:val="Char Char Char Char Char Char Char1 Char"/>
    <w:basedOn w:val="1"/>
    <w:autoRedefine/>
    <w:qFormat/>
    <w:uiPriority w:val="0"/>
    <w:rPr>
      <w:rFonts w:ascii="Tahoma" w:hAnsi="Tahoma"/>
      <w:sz w:val="24"/>
      <w:szCs w:val="20"/>
    </w:rPr>
  </w:style>
  <w:style w:type="paragraph" w:styleId="119">
    <w:name w:val="List Paragraph"/>
    <w:basedOn w:val="1"/>
    <w:autoRedefine/>
    <w:qFormat/>
    <w:uiPriority w:val="0"/>
    <w:pPr>
      <w:spacing w:line="360" w:lineRule="auto"/>
      <w:ind w:firstLine="420" w:firstLineChars="200"/>
    </w:pPr>
    <w:rPr>
      <w:rFonts w:ascii="宋体" w:hAnsi="宋体" w:cs="宋体"/>
      <w:sz w:val="24"/>
    </w:rPr>
  </w:style>
  <w:style w:type="paragraph" w:customStyle="1" w:styleId="120">
    <w:name w:val="List Paragraph2"/>
    <w:basedOn w:val="1"/>
    <w:autoRedefine/>
    <w:qFormat/>
    <w:uiPriority w:val="0"/>
    <w:pPr>
      <w:spacing w:line="360" w:lineRule="auto"/>
      <w:ind w:firstLine="420"/>
    </w:pPr>
    <w:rPr>
      <w:color w:val="000000"/>
      <w:sz w:val="24"/>
      <w:szCs w:val="21"/>
    </w:rPr>
  </w:style>
  <w:style w:type="paragraph" w:customStyle="1" w:styleId="121">
    <w:name w:val="（无样式）"/>
    <w:basedOn w:val="1"/>
    <w:autoRedefine/>
    <w:qFormat/>
    <w:uiPriority w:val="0"/>
    <w:pPr>
      <w:widowControl/>
      <w:numPr>
        <w:ilvl w:val="0"/>
        <w:numId w:val="7"/>
      </w:numPr>
      <w:spacing w:line="360" w:lineRule="auto"/>
      <w:ind w:firstLine="0"/>
    </w:pPr>
    <w:rPr>
      <w:sz w:val="24"/>
      <w:szCs w:val="20"/>
    </w:rPr>
  </w:style>
  <w:style w:type="paragraph" w:customStyle="1" w:styleId="122">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3">
    <w:name w:val="标题3-副本"/>
    <w:basedOn w:val="28"/>
    <w:autoRedefine/>
    <w:qFormat/>
    <w:uiPriority w:val="0"/>
    <w:pPr>
      <w:numPr>
        <w:ilvl w:val="0"/>
        <w:numId w:val="0"/>
      </w:numPr>
      <w:ind w:left="840"/>
    </w:pPr>
  </w:style>
  <w:style w:type="paragraph" w:customStyle="1" w:styleId="124">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125">
    <w:name w:val="_Style 2"/>
    <w:basedOn w:val="1"/>
    <w:autoRedefine/>
    <w:qFormat/>
    <w:uiPriority w:val="0"/>
  </w:style>
  <w:style w:type="paragraph" w:customStyle="1" w:styleId="126">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8">
    <w:name w:val="Char1"/>
    <w:basedOn w:val="1"/>
    <w:autoRedefine/>
    <w:qFormat/>
    <w:uiPriority w:val="0"/>
  </w:style>
  <w:style w:type="table" w:customStyle="1" w:styleId="129">
    <w:name w:val="Table Normal"/>
    <w:autoRedefine/>
    <w:unhideWhenUsed/>
    <w:qFormat/>
    <w:uiPriority w:val="0"/>
    <w:tblPr>
      <w:tblCellMar>
        <w:top w:w="0" w:type="dxa"/>
        <w:left w:w="0" w:type="dxa"/>
        <w:bottom w:w="0" w:type="dxa"/>
        <w:right w:w="0" w:type="dxa"/>
      </w:tblCellMar>
    </w:tblPr>
  </w:style>
  <w:style w:type="paragraph" w:customStyle="1" w:styleId="130">
    <w:name w:val="_Style 117"/>
    <w:basedOn w:val="1"/>
    <w:next w:val="1"/>
    <w:autoRedefine/>
    <w:qFormat/>
    <w:uiPriority w:val="0"/>
    <w:pPr>
      <w:pBdr>
        <w:bottom w:val="single" w:color="auto" w:sz="6" w:space="1"/>
      </w:pBdr>
      <w:jc w:val="center"/>
    </w:pPr>
    <w:rPr>
      <w:rFonts w:ascii="Arial"/>
      <w:vanish/>
      <w:sz w:val="16"/>
    </w:rPr>
  </w:style>
  <w:style w:type="paragraph" w:customStyle="1" w:styleId="131">
    <w:name w:val="_Style 118"/>
    <w:basedOn w:val="1"/>
    <w:next w:val="1"/>
    <w:autoRedefine/>
    <w:qFormat/>
    <w:uiPriority w:val="0"/>
    <w:pPr>
      <w:pBdr>
        <w:top w:val="single" w:color="auto" w:sz="6" w:space="1"/>
      </w:pBdr>
      <w:jc w:val="center"/>
    </w:pPr>
    <w:rPr>
      <w:rFonts w:ascii="Arial"/>
      <w:vanish/>
      <w:sz w:val="16"/>
    </w:rPr>
  </w:style>
  <w:style w:type="character" w:customStyle="1" w:styleId="132">
    <w:name w:val="num"/>
    <w:basedOn w:val="39"/>
    <w:autoRedefine/>
    <w:qFormat/>
    <w:uiPriority w:val="0"/>
    <w:rPr>
      <w:b/>
      <w:bCs/>
      <w:color w:val="FF7800"/>
    </w:rPr>
  </w:style>
  <w:style w:type="character" w:customStyle="1" w:styleId="133">
    <w:name w:val="a-desc"/>
    <w:basedOn w:val="39"/>
    <w:autoRedefine/>
    <w:qFormat/>
    <w:uiPriority w:val="0"/>
    <w:rPr>
      <w:color w:val="315EFB"/>
    </w:rPr>
  </w:style>
  <w:style w:type="character" w:customStyle="1" w:styleId="134">
    <w:name w:val="bg"/>
    <w:basedOn w:val="39"/>
    <w:autoRedefine/>
    <w:qFormat/>
    <w:uiPriority w:val="0"/>
    <w:rPr>
      <w:shd w:val="clear" w:color="auto" w:fill="000000"/>
    </w:rPr>
  </w:style>
  <w:style w:type="character" w:customStyle="1" w:styleId="135">
    <w:name w:val="bg1"/>
    <w:basedOn w:val="39"/>
    <w:qFormat/>
    <w:uiPriority w:val="0"/>
    <w:rPr>
      <w:shd w:val="clear" w:color="auto" w:fill="000000"/>
    </w:rPr>
  </w:style>
  <w:style w:type="character" w:customStyle="1" w:styleId="136">
    <w:name w:val="bg2"/>
    <w:basedOn w:val="39"/>
    <w:qFormat/>
    <w:uiPriority w:val="0"/>
    <w:rPr>
      <w:shd w:val="clear" w:color="auto" w:fill="000000"/>
    </w:rPr>
  </w:style>
  <w:style w:type="character" w:customStyle="1" w:styleId="137">
    <w:name w:val="iknow-qb-ad-sou-icon"/>
    <w:basedOn w:val="39"/>
    <w:autoRedefine/>
    <w:qFormat/>
    <w:uiPriority w:val="0"/>
  </w:style>
  <w:style w:type="character" w:customStyle="1" w:styleId="138">
    <w:name w:val="del-btn"/>
    <w:basedOn w:val="39"/>
    <w:autoRedefine/>
    <w:qFormat/>
    <w:uiPriority w:val="0"/>
  </w:style>
  <w:style w:type="character" w:customStyle="1" w:styleId="139">
    <w:name w:val="del-btn1"/>
    <w:basedOn w:val="39"/>
    <w:qFormat/>
    <w:uiPriority w:val="0"/>
  </w:style>
  <w:style w:type="character" w:customStyle="1" w:styleId="140">
    <w:name w:val="del-btn2"/>
    <w:basedOn w:val="39"/>
    <w:qFormat/>
    <w:uiPriority w:val="0"/>
  </w:style>
  <w:style w:type="character" w:customStyle="1" w:styleId="141">
    <w:name w:val="answer-title"/>
    <w:basedOn w:val="39"/>
    <w:qFormat/>
    <w:uiPriority w:val="0"/>
  </w:style>
  <w:style w:type="character" w:customStyle="1" w:styleId="142">
    <w:name w:val="new-icon2"/>
    <w:basedOn w:val="39"/>
    <w:qFormat/>
    <w:uiPriority w:val="0"/>
  </w:style>
  <w:style w:type="character" w:customStyle="1" w:styleId="143">
    <w:name w:val="new-icon3"/>
    <w:basedOn w:val="39"/>
    <w:qFormat/>
    <w:uiPriority w:val="0"/>
  </w:style>
  <w:style w:type="character" w:customStyle="1" w:styleId="144">
    <w:name w:val="green"/>
    <w:basedOn w:val="39"/>
    <w:qFormat/>
    <w:uiPriority w:val="0"/>
    <w:rPr>
      <w:color w:val="3B6FFF"/>
    </w:rPr>
  </w:style>
  <w:style w:type="character" w:customStyle="1" w:styleId="145">
    <w:name w:val="green1"/>
    <w:basedOn w:val="39"/>
    <w:autoRedefine/>
    <w:qFormat/>
    <w:uiPriority w:val="0"/>
    <w:rPr>
      <w:color w:val="3B6FFF"/>
    </w:rPr>
  </w:style>
  <w:style w:type="character" w:customStyle="1" w:styleId="146">
    <w:name w:val="green2"/>
    <w:basedOn w:val="39"/>
    <w:qFormat/>
    <w:uiPriority w:val="0"/>
    <w:rPr>
      <w:color w:val="4DC86F"/>
    </w:rPr>
  </w:style>
  <w:style w:type="character" w:customStyle="1" w:styleId="147">
    <w:name w:val="green3"/>
    <w:basedOn w:val="39"/>
    <w:qFormat/>
    <w:uiPriority w:val="0"/>
    <w:rPr>
      <w:color w:val="4DC86F"/>
    </w:rPr>
  </w:style>
  <w:style w:type="character" w:customStyle="1" w:styleId="148">
    <w:name w:val="answer-title2"/>
    <w:basedOn w:val="39"/>
    <w:qFormat/>
    <w:uiPriority w:val="0"/>
  </w:style>
  <w:style w:type="character" w:customStyle="1" w:styleId="149">
    <w:name w:val="new-icon"/>
    <w:basedOn w:val="39"/>
    <w:qFormat/>
    <w:uiPriority w:val="0"/>
  </w:style>
  <w:style w:type="character" w:customStyle="1" w:styleId="150">
    <w:name w:val="new-icon1"/>
    <w:basedOn w:val="39"/>
    <w:qFormat/>
    <w:uiPriority w:val="0"/>
  </w:style>
  <w:style w:type="paragraph" w:customStyle="1" w:styleId="151">
    <w:name w:val="正文不加"/>
    <w:basedOn w:val="1"/>
    <w:qFormat/>
    <w:uiPriority w:val="0"/>
    <w:pPr>
      <w:snapToGrid w:val="0"/>
      <w:spacing w:line="360" w:lineRule="auto"/>
      <w:ind w:firstLine="200" w:firstLineChars="200"/>
    </w:pPr>
    <w:rPr>
      <w:rFonts w:ascii="宋体"/>
      <w:color w:val="000000"/>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22272</Words>
  <Characters>23408</Characters>
  <Lines>276</Lines>
  <Paragraphs>77</Paragraphs>
  <TotalTime>2</TotalTime>
  <ScaleCrop>false</ScaleCrop>
  <LinksUpToDate>false</LinksUpToDate>
  <CharactersWithSpaces>23940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2025-11-27T08:15:00Z</dcterms:created>
  <dc:creator>pzf</dc:creator>
  <cp:lastModifiedBy>傻傻一辈子</cp:lastModifiedBy>
  <cp:lastPrinted>2025-11-27T00:22:00Z</cp:lastPrinted>
  <dcterms:modified xsi:type="dcterms:W3CDTF">2026-01-16T09:47:42Z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BF72DC57C09A40BBA05C9F5394B4F131_13</vt:lpwstr>
  </property>
  <property fmtid="{D5CDD505-2E9C-101B-9397-08002B2CF9AE}" pid="4" name="KSOTemplateDocerSaveRecord">
    <vt:lpwstr>eyJoZGlkIjoiMTljMDcwYWJmYjExZWQzNTVmZDAzZTYwM2JlMzJmZDYiLCJ1c2VySWQiOiIzODU2Mzk2OTQifQ==</vt:lpwstr>
  </property>
</Properties>
</file>