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00A5D">
      <w:pPr>
        <w:pStyle w:val="11"/>
        <w:jc w:val="both"/>
        <w:rPr>
          <w:rFonts w:hint="eastAsia" w:ascii="宋体" w:hAnsi="宋体" w:eastAsia="宋体" w:cs="宋体"/>
          <w:b/>
          <w:bCs/>
          <w:color w:val="auto"/>
          <w:sz w:val="44"/>
          <w:szCs w:val="44"/>
          <w:highlight w:val="none"/>
          <w:lang w:val="en-US" w:eastAsia="zh-CN"/>
        </w:rPr>
      </w:pPr>
    </w:p>
    <w:p w14:paraId="7D7CF71B">
      <w:pPr>
        <w:keepNext w:val="0"/>
        <w:keepLines w:val="0"/>
        <w:pageBreakBefore w:val="0"/>
        <w:widowControl w:val="0"/>
        <w:kinsoku/>
        <w:wordWrap/>
        <w:overflowPunct/>
        <w:topLinePunct w:val="0"/>
        <w:autoSpaceDE/>
        <w:autoSpaceDN/>
        <w:bidi w:val="0"/>
        <w:adjustRightInd/>
        <w:snapToGrid/>
        <w:spacing w:line="840" w:lineRule="exact"/>
        <w:jc w:val="center"/>
        <w:textAlignment w:val="auto"/>
        <w:rPr>
          <w:rFonts w:ascii="宋体" w:hAnsi="宋体" w:eastAsia="宋体" w:cs="宋体"/>
          <w:color w:val="auto"/>
          <w:sz w:val="32"/>
          <w:szCs w:val="32"/>
          <w:highlight w:val="none"/>
        </w:rPr>
      </w:pPr>
      <w:r>
        <w:rPr>
          <w:rFonts w:hint="eastAsia" w:ascii="宋体" w:hAnsi="宋体" w:eastAsia="宋体" w:cs="宋体"/>
          <w:b/>
          <w:bCs/>
          <w:color w:val="auto"/>
          <w:sz w:val="44"/>
          <w:szCs w:val="44"/>
          <w:highlight w:val="none"/>
          <w:lang w:val="en-US" w:eastAsia="zh-CN"/>
        </w:rPr>
        <w:t>中新苏滁高新区（未来产业园）智能制造工业坊基坑监测服务项目</w:t>
      </w:r>
    </w:p>
    <w:p w14:paraId="5BD874FC">
      <w:pPr>
        <w:jc w:val="center"/>
        <w:rPr>
          <w:rFonts w:hint="eastAsia" w:ascii="宋体" w:hAnsi="宋体" w:eastAsia="宋体" w:cs="宋体"/>
          <w:color w:val="auto"/>
          <w:sz w:val="28"/>
          <w:szCs w:val="28"/>
          <w:highlight w:val="none"/>
          <w:lang w:val="en-US" w:eastAsia="zh-CN"/>
        </w:rPr>
      </w:pPr>
    </w:p>
    <w:p w14:paraId="107CCDAC">
      <w:pPr>
        <w:jc w:val="center"/>
        <w:rPr>
          <w:rFonts w:hint="eastAsia" w:ascii="宋体" w:hAnsi="宋体" w:eastAsia="宋体" w:cs="宋体"/>
          <w:b/>
          <w:bCs/>
          <w:color w:val="auto"/>
          <w:sz w:val="72"/>
          <w:szCs w:val="72"/>
          <w:highlight w:val="none"/>
        </w:rPr>
      </w:pPr>
      <w:r>
        <w:rPr>
          <w:rFonts w:hint="eastAsia" w:ascii="宋体" w:hAnsi="宋体" w:eastAsia="宋体" w:cs="宋体"/>
          <w:color w:val="auto"/>
          <w:sz w:val="28"/>
          <w:szCs w:val="28"/>
          <w:highlight w:val="none"/>
          <w:lang w:val="en-US" w:eastAsia="zh-CN"/>
        </w:rPr>
        <w:t>项目编号：HXJY1110001063859001</w:t>
      </w:r>
    </w:p>
    <w:p w14:paraId="07E62C0D">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招</w:t>
      </w:r>
    </w:p>
    <w:p w14:paraId="0EDE0673">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标</w:t>
      </w:r>
    </w:p>
    <w:p w14:paraId="6DA091A6">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文</w:t>
      </w:r>
    </w:p>
    <w:p w14:paraId="36F12D20">
      <w:pPr>
        <w:spacing w:line="1400" w:lineRule="exact"/>
        <w:jc w:val="center"/>
        <w:rPr>
          <w:rFonts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件</w:t>
      </w:r>
    </w:p>
    <w:p w14:paraId="247C111F">
      <w:pPr>
        <w:jc w:val="center"/>
        <w:rPr>
          <w:rFonts w:ascii="宋体" w:hAnsi="宋体" w:eastAsia="宋体" w:cs="宋体"/>
          <w:color w:val="auto"/>
          <w:sz w:val="32"/>
          <w:szCs w:val="32"/>
          <w:highlight w:val="none"/>
        </w:rPr>
      </w:pPr>
    </w:p>
    <w:p w14:paraId="55CD5E9F">
      <w:pPr>
        <w:rPr>
          <w:rFonts w:ascii="宋体" w:hAnsi="宋体" w:eastAsia="宋体" w:cs="宋体"/>
          <w:color w:val="auto"/>
          <w:sz w:val="32"/>
          <w:szCs w:val="32"/>
          <w:highlight w:val="none"/>
        </w:rPr>
      </w:pPr>
    </w:p>
    <w:p w14:paraId="19048B7E">
      <w:pPr>
        <w:keepNext w:val="0"/>
        <w:keepLines w:val="0"/>
        <w:pageBreakBefore w:val="0"/>
        <w:widowControl w:val="0"/>
        <w:kinsoku/>
        <w:wordWrap/>
        <w:overflowPunct/>
        <w:topLinePunct w:val="0"/>
        <w:autoSpaceDE/>
        <w:autoSpaceDN/>
        <w:bidi w:val="0"/>
        <w:adjustRightInd/>
        <w:snapToGrid/>
        <w:spacing w:line="900" w:lineRule="exact"/>
        <w:ind w:firstLine="643" w:firstLineChars="200"/>
        <w:textAlignment w:val="auto"/>
        <w:rPr>
          <w:rFonts w:ascii="宋体" w:hAnsi="宋体" w:eastAsia="宋体" w:cs="宋体"/>
          <w:b/>
          <w:bCs/>
          <w:color w:val="auto"/>
          <w:sz w:val="32"/>
          <w:szCs w:val="32"/>
          <w:highlight w:val="none"/>
          <w:u w:val="single"/>
        </w:rPr>
      </w:pPr>
      <w:r>
        <w:rPr>
          <w:rFonts w:hint="eastAsia" w:ascii="宋体" w:hAnsi="宋体" w:eastAsia="宋体" w:cs="宋体"/>
          <w:b/>
          <w:bCs/>
          <w:color w:val="auto"/>
          <w:sz w:val="32"/>
          <w:szCs w:val="32"/>
          <w:highlight w:val="none"/>
          <w:lang w:val="en-US" w:eastAsia="zh-CN"/>
        </w:rPr>
        <w:t>招标</w:t>
      </w:r>
      <w:r>
        <w:rPr>
          <w:rFonts w:hint="eastAsia" w:ascii="宋体" w:hAnsi="宋体" w:eastAsia="宋体" w:cs="宋体"/>
          <w:b/>
          <w:bCs/>
          <w:color w:val="auto"/>
          <w:sz w:val="32"/>
          <w:szCs w:val="32"/>
          <w:highlight w:val="none"/>
        </w:rPr>
        <w:t>单位：</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cs="宋体"/>
          <w:b/>
          <w:color w:val="auto"/>
          <w:sz w:val="30"/>
          <w:szCs w:val="30"/>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滁州苏滁产城开发有限公司  </w:t>
      </w:r>
      <w:r>
        <w:rPr>
          <w:rFonts w:hint="eastAsia" w:ascii="宋体" w:hAnsi="宋体" w:eastAsia="宋体" w:cs="宋体"/>
          <w:b/>
          <w:bCs/>
          <w:color w:val="auto"/>
          <w:sz w:val="32"/>
          <w:szCs w:val="32"/>
          <w:highlight w:val="none"/>
          <w:u w:val="single"/>
        </w:rPr>
        <w:t>（盖单位章）</w:t>
      </w:r>
    </w:p>
    <w:p w14:paraId="01E57B7B">
      <w:pPr>
        <w:keepNext w:val="0"/>
        <w:keepLines w:val="0"/>
        <w:pageBreakBefore w:val="0"/>
        <w:widowControl w:val="0"/>
        <w:kinsoku/>
        <w:wordWrap/>
        <w:overflowPunct/>
        <w:topLinePunct w:val="0"/>
        <w:autoSpaceDE/>
        <w:autoSpaceDN/>
        <w:bidi w:val="0"/>
        <w:adjustRightInd/>
        <w:snapToGrid/>
        <w:spacing w:line="900" w:lineRule="exact"/>
        <w:ind w:firstLine="563" w:firstLineChars="200"/>
        <w:textAlignment w:val="auto"/>
        <w:rPr>
          <w:rFonts w:ascii="宋体" w:hAnsi="宋体" w:eastAsia="宋体" w:cs="宋体"/>
          <w:b/>
          <w:bCs/>
          <w:color w:val="auto"/>
          <w:spacing w:val="-20"/>
          <w:sz w:val="32"/>
          <w:szCs w:val="32"/>
          <w:highlight w:val="none"/>
          <w:u w:val="thick"/>
        </w:rPr>
      </w:pPr>
      <w:r>
        <w:rPr>
          <w:rFonts w:hint="eastAsia" w:ascii="宋体" w:hAnsi="宋体" w:eastAsia="宋体" w:cs="宋体"/>
          <w:b/>
          <w:bCs/>
          <w:color w:val="auto"/>
          <w:spacing w:val="-20"/>
          <w:sz w:val="32"/>
          <w:szCs w:val="32"/>
          <w:highlight w:val="none"/>
        </w:rPr>
        <w:t>招标代理机构</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u w:val="single"/>
          <w:lang w:val="en-US" w:eastAsia="zh-CN"/>
        </w:rPr>
        <w:t>滁州市城投工程咨询管理有限公司</w:t>
      </w:r>
      <w:r>
        <w:rPr>
          <w:rFonts w:hint="eastAsia" w:ascii="宋体" w:hAnsi="宋体" w:eastAsia="宋体" w:cs="宋体"/>
          <w:b/>
          <w:bCs/>
          <w:color w:val="auto"/>
          <w:sz w:val="32"/>
          <w:szCs w:val="32"/>
          <w:highlight w:val="none"/>
          <w:u w:val="single"/>
        </w:rPr>
        <w:t>（盖单位章）</w:t>
      </w:r>
    </w:p>
    <w:p w14:paraId="121777A2">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u w:val="single"/>
        </w:rPr>
        <w:t xml:space="preserve">  20</w:t>
      </w:r>
      <w:r>
        <w:rPr>
          <w:rFonts w:hint="eastAsia" w:ascii="宋体" w:hAnsi="宋体" w:eastAsia="宋体" w:cs="宋体"/>
          <w:b/>
          <w:color w:val="auto"/>
          <w:sz w:val="32"/>
          <w:szCs w:val="32"/>
          <w:highlight w:val="none"/>
          <w:u w:val="single"/>
          <w:lang w:val="en-US" w:eastAsia="zh-CN"/>
        </w:rPr>
        <w:t>26</w:t>
      </w:r>
      <w:r>
        <w:rPr>
          <w:rFonts w:hint="eastAsia" w:ascii="宋体" w:hAnsi="宋体" w:eastAsia="宋体" w:cs="宋体"/>
          <w:b/>
          <w:color w:val="auto"/>
          <w:sz w:val="32"/>
          <w:szCs w:val="32"/>
          <w:highlight w:val="none"/>
        </w:rPr>
        <w:t>年</w:t>
      </w:r>
      <w:r>
        <w:rPr>
          <w:rFonts w:hint="eastAsia" w:ascii="宋体" w:hAnsi="宋体" w:eastAsia="宋体" w:cs="宋体"/>
          <w:b/>
          <w:color w:val="auto"/>
          <w:sz w:val="32"/>
          <w:szCs w:val="32"/>
          <w:highlight w:val="none"/>
          <w:u w:val="single"/>
          <w:lang w:val="en-US" w:eastAsia="zh-CN"/>
        </w:rPr>
        <w:t xml:space="preserve"> 9</w:t>
      </w:r>
      <w:r>
        <w:rPr>
          <w:rFonts w:hint="eastAsia" w:ascii="宋体" w:hAnsi="宋体" w:eastAsia="宋体" w:cs="宋体"/>
          <w:b/>
          <w:color w:val="auto"/>
          <w:sz w:val="32"/>
          <w:szCs w:val="32"/>
          <w:highlight w:val="none"/>
        </w:rPr>
        <w:t>月</w:t>
      </w:r>
    </w:p>
    <w:p w14:paraId="49B6D0E2">
      <w:pPr>
        <w:rPr>
          <w:rFonts w:hint="eastAsia" w:ascii="宋体" w:hAnsi="宋体" w:eastAsia="宋体" w:cs="宋体"/>
          <w:b/>
          <w:color w:val="auto"/>
          <w:spacing w:val="20"/>
          <w:sz w:val="32"/>
          <w:szCs w:val="32"/>
          <w:highlight w:val="none"/>
          <w:lang w:val="en-US" w:eastAsia="zh-CN"/>
        </w:rPr>
      </w:pPr>
      <w:r>
        <w:rPr>
          <w:rFonts w:hint="eastAsia" w:ascii="宋体" w:hAnsi="宋体" w:eastAsia="宋体" w:cs="宋体"/>
          <w:b/>
          <w:color w:val="auto"/>
          <w:spacing w:val="20"/>
          <w:sz w:val="32"/>
          <w:szCs w:val="32"/>
          <w:highlight w:val="none"/>
          <w:lang w:val="en-US" w:eastAsia="zh-CN"/>
        </w:rPr>
        <w:br w:type="page"/>
      </w: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p>
    <w:p w14:paraId="4B3482C0">
      <w:pPr>
        <w:pStyle w:val="19"/>
        <w:tabs>
          <w:tab w:val="right" w:leader="dot" w:pos="9072"/>
        </w:tabs>
        <w:spacing w:line="700" w:lineRule="exact"/>
        <w:rPr>
          <w:rFonts w:ascii="宋体" w:cs="宋体"/>
          <w:color w:val="auto"/>
          <w:sz w:val="24"/>
          <w:szCs w:val="24"/>
          <w:highlight w:val="none"/>
        </w:rPr>
      </w:pPr>
      <w:r>
        <w:rPr>
          <w:rFonts w:hint="eastAsia" w:ascii="宋体" w:hAnsi="宋体" w:cs="宋体"/>
          <w:color w:val="auto"/>
          <w:sz w:val="24"/>
          <w:szCs w:val="24"/>
          <w:highlight w:val="none"/>
        </w:rPr>
        <w:t>第一章</w:t>
      </w:r>
      <w:r>
        <w:rPr>
          <w:rFonts w:hint="eastAsia" w:ascii="宋体" w:hAnsi="宋体" w:cs="宋体"/>
          <w:color w:val="auto"/>
          <w:sz w:val="24"/>
          <w:szCs w:val="24"/>
          <w:highlight w:val="none"/>
          <w:lang w:val="en-US" w:eastAsia="zh-CN"/>
        </w:rPr>
        <w:t xml:space="preserve">  </w:t>
      </w: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fldChar w:fldCharType="end"/>
      </w:r>
    </w:p>
    <w:p w14:paraId="3B0B25BB">
      <w:pPr>
        <w:pStyle w:val="19"/>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4B10B56E">
      <w:pPr>
        <w:pStyle w:val="1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08E579FC">
      <w:pPr>
        <w:pStyle w:val="1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5</w:t>
      </w:r>
    </w:p>
    <w:p w14:paraId="3370256B">
      <w:pPr>
        <w:pStyle w:val="19"/>
        <w:tabs>
          <w:tab w:val="right" w:leader="dot" w:pos="9072"/>
        </w:tabs>
        <w:spacing w:line="700" w:lineRule="exact"/>
        <w:rPr>
          <w:rFonts w:hint="eastAsia"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合同条款</w:t>
      </w:r>
      <w:r>
        <w:rPr>
          <w:rFonts w:ascii="宋体" w:cs="宋体"/>
          <w:color w:val="auto"/>
          <w:sz w:val="24"/>
          <w:szCs w:val="24"/>
          <w:highlight w:val="none"/>
        </w:rPr>
        <w:tab/>
      </w:r>
      <w:r>
        <w:rPr>
          <w:rFonts w:hint="eastAsia" w:ascii="宋体" w:cs="宋体"/>
          <w:color w:val="auto"/>
          <w:sz w:val="24"/>
          <w:szCs w:val="24"/>
          <w:highlight w:val="none"/>
          <w:lang w:val="en-US" w:eastAsia="zh-CN"/>
        </w:rPr>
        <w:t>26</w:t>
      </w:r>
    </w:p>
    <w:p w14:paraId="06F9A577">
      <w:pPr>
        <w:pStyle w:val="1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25201C5">
      <w:pPr>
        <w:adjustRightInd w:val="0"/>
        <w:snapToGrid w:val="0"/>
        <w:spacing w:before="156" w:beforeLines="50" w:after="156" w:afterLines="50" w:line="460" w:lineRule="exact"/>
        <w:ind w:left="0" w:leftChars="0" w:right="0" w:rightChars="0" w:firstLine="0" w:firstLineChars="0"/>
        <w:jc w:val="center"/>
        <w:rPr>
          <w:rFonts w:hint="eastAsia" w:ascii="宋体" w:hAnsi="宋体" w:eastAsia="宋体" w:cs="宋体"/>
          <w:b/>
          <w:color w:val="auto"/>
          <w:spacing w:val="20"/>
          <w:sz w:val="32"/>
          <w:szCs w:val="32"/>
          <w:highlight w:val="none"/>
          <w:lang w:val="en-US" w:eastAsia="zh-CN"/>
        </w:rPr>
        <w:sectPr>
          <w:pgSz w:w="11906" w:h="16838"/>
          <w:pgMar w:top="1417" w:right="1247" w:bottom="1417" w:left="1247" w:header="851" w:footer="992" w:gutter="0"/>
          <w:cols w:space="0" w:num="1"/>
          <w:rtlGutter w:val="0"/>
          <w:docGrid w:type="lines" w:linePitch="312" w:charSpace="0"/>
        </w:sectPr>
      </w:pPr>
      <w:r>
        <w:rPr>
          <w:rFonts w:hAnsi="宋体" w:cs="宋体"/>
          <w:b/>
          <w:bCs/>
          <w:caps/>
          <w:color w:val="auto"/>
          <w:sz w:val="24"/>
          <w:szCs w:val="24"/>
          <w:highlight w:val="none"/>
        </w:rPr>
        <w:fldChar w:fldCharType="end"/>
      </w:r>
    </w:p>
    <w:p w14:paraId="0F882B21">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default" w:ascii="宋体" w:eastAsia="宋体"/>
          <w:b/>
          <w:color w:val="auto"/>
          <w:sz w:val="32"/>
          <w:szCs w:val="32"/>
          <w:highlight w:val="none"/>
          <w:lang w:val="en-US" w:eastAsia="zh-CN"/>
        </w:rPr>
      </w:pPr>
      <w:r>
        <w:rPr>
          <w:rFonts w:hint="eastAsia" w:ascii="宋体" w:hAnsi="宋体" w:eastAsia="宋体" w:cs="宋体"/>
          <w:b/>
          <w:bCs/>
          <w:color w:val="auto"/>
          <w:kern w:val="2"/>
          <w:sz w:val="32"/>
          <w:szCs w:val="32"/>
          <w:highlight w:val="none"/>
          <w:lang w:val="en-US" w:eastAsia="zh-CN" w:bidi="ar-SA"/>
        </w:rPr>
        <w:t>第一章招标公告</w:t>
      </w:r>
    </w:p>
    <w:p w14:paraId="0F4F11D1">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72456A6A">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中新苏滁高新区（未来产业园）智能制造工业坊基坑监测服务项目</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的潜在投标人应在</w:t>
      </w:r>
      <w:r>
        <w:rPr>
          <w:rFonts w:hint="eastAsia" w:ascii="仿宋" w:hAnsi="仿宋" w:eastAsia="仿宋" w:cs="仿宋"/>
          <w:color w:val="auto"/>
          <w:sz w:val="28"/>
          <w:szCs w:val="28"/>
          <w:highlight w:val="none"/>
          <w:u w:val="single"/>
          <w:lang w:val="en-US" w:eastAsia="zh-CN"/>
        </w:rPr>
        <w:t>中新苏滁高新技术产业开发区（https://scp.chuzhou.gov.cn/index.html）、滁州市城投工程咨询管理有限公司网站（https://www.czctgczx.com/）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30</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595EE7AA">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5C4968EF">
      <w:pPr>
        <w:ind w:right="-313" w:rightChars="-149"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中新苏滁高新区（未来产业园）智能制造工业坊基坑监测服务项目</w:t>
      </w:r>
    </w:p>
    <w:p w14:paraId="6584659E">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20000.00元</w:t>
      </w:r>
    </w:p>
    <w:p w14:paraId="7A9ABCB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20000.00元</w:t>
      </w:r>
    </w:p>
    <w:p w14:paraId="7B5F725F">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采购需求：中新苏滁高新区（未来产业园）智能制造工业坊基坑监测</w:t>
      </w:r>
      <w:r>
        <w:rPr>
          <w:rFonts w:hint="eastAsia" w:ascii="仿宋" w:hAnsi="仿宋" w:eastAsia="仿宋" w:cs="仿宋"/>
          <w:color w:val="auto"/>
          <w:sz w:val="28"/>
          <w:szCs w:val="28"/>
          <w:highlight w:val="none"/>
          <w:shd w:val="clear" w:color="auto" w:fill="auto"/>
          <w:lang w:val="en-US" w:eastAsia="zh-CN"/>
        </w:rPr>
        <w:t>服务，具体详见招标文件第四章</w:t>
      </w:r>
    </w:p>
    <w:p w14:paraId="71903D99">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合同履行期限：从基坑开挖至基坑回填结束，并出具正式检测报告</w:t>
      </w:r>
    </w:p>
    <w:p w14:paraId="3BC4CA86">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p>
    <w:p w14:paraId="2E2CF513">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0" w:name="_Toc28359080"/>
      <w:bookmarkStart w:id="1" w:name="_Toc35393622"/>
      <w:bookmarkStart w:id="2" w:name="_Toc28359003"/>
      <w:bookmarkStart w:id="3" w:name="_Toc35393791"/>
      <w:r>
        <w:rPr>
          <w:rFonts w:hint="eastAsia" w:ascii="黑体" w:hAnsi="黑体" w:eastAsia="黑体" w:cs="黑体"/>
          <w:color w:val="auto"/>
          <w:sz w:val="28"/>
          <w:szCs w:val="28"/>
          <w:highlight w:val="none"/>
        </w:rPr>
        <w:t>二、申请人的资格要求</w:t>
      </w:r>
      <w:bookmarkEnd w:id="0"/>
      <w:bookmarkEnd w:id="1"/>
      <w:bookmarkEnd w:id="2"/>
      <w:bookmarkEnd w:id="3"/>
    </w:p>
    <w:p w14:paraId="0D6E48A1">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bookmarkStart w:id="4" w:name="_Toc35393792"/>
      <w:bookmarkStart w:id="5" w:name="_Toc35393623"/>
      <w:bookmarkStart w:id="6" w:name="_Toc28359004"/>
      <w:bookmarkStart w:id="7" w:name="_Toc28359081"/>
      <w:r>
        <w:rPr>
          <w:rFonts w:hint="eastAsia" w:ascii="仿宋" w:hAnsi="仿宋" w:eastAsia="仿宋"/>
          <w:color w:val="auto"/>
          <w:sz w:val="28"/>
          <w:szCs w:val="28"/>
          <w:highlight w:val="none"/>
          <w:lang w:val="en-US" w:eastAsia="zh-CN"/>
        </w:rPr>
        <w:t>1.企业要求：具有独立承担民事责任能力且符合下列条件之一：</w:t>
      </w:r>
    </w:p>
    <w:p w14:paraId="7365B6DB">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①具有工程勘察综合资质；</w:t>
      </w:r>
    </w:p>
    <w:p w14:paraId="3F2C514A">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②具有工程勘察专业类（岩土工程、工程测量）乙级及以上资质；</w:t>
      </w:r>
    </w:p>
    <w:p w14:paraId="678BA25D">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③同时具有工程勘察专业类（岩土工程物探测试检测监测）乙级及以上资质和工程勘察专业类（工程测量）乙级及以上资质</w:t>
      </w:r>
    </w:p>
    <w:p w14:paraId="52362C4D">
      <w:pPr>
        <w:keepNext w:val="0"/>
        <w:keepLines w:val="0"/>
        <w:pageBreakBefore w:val="0"/>
        <w:widowControl w:val="0"/>
        <w:kinsoku/>
        <w:wordWrap/>
        <w:overflowPunct/>
        <w:topLinePunct w:val="0"/>
        <w:autoSpaceDE/>
        <w:autoSpaceDN/>
        <w:bidi w:val="0"/>
        <w:adjustRightInd/>
        <w:snapToGrid/>
        <w:ind w:right="0" w:rightChars="0" w:firstLine="562" w:firstLineChars="200"/>
        <w:textAlignment w:val="auto"/>
        <w:rPr>
          <w:rFonts w:hint="default" w:ascii="仿宋" w:hAnsi="仿宋" w:eastAsia="仿宋"/>
          <w:b/>
          <w:bCs/>
          <w:color w:val="auto"/>
          <w:sz w:val="28"/>
          <w:szCs w:val="28"/>
          <w:highlight w:val="none"/>
          <w:lang w:val="en-US" w:eastAsia="zh-CN"/>
        </w:rPr>
      </w:pPr>
      <w:r>
        <w:rPr>
          <w:rFonts w:hint="eastAsia" w:ascii="仿宋" w:hAnsi="仿宋" w:eastAsia="仿宋"/>
          <w:b/>
          <w:bCs/>
          <w:color w:val="auto"/>
          <w:sz w:val="28"/>
          <w:szCs w:val="28"/>
          <w:highlight w:val="none"/>
          <w:lang w:val="en-US" w:eastAsia="zh-CN"/>
        </w:rPr>
        <w:t>注：本项目资格要求中的工程勘察专业类（工程测量）乙级及以上资质与行业主管部门颁发的乙级及以上测绘资质证书（专业包含工程测量）等同。</w:t>
      </w:r>
    </w:p>
    <w:p w14:paraId="75A799BC">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2.项目负责人要求：须具有岩土工程或工程测量相关专业中级（或以上）职称。</w:t>
      </w:r>
    </w:p>
    <w:p w14:paraId="324ABF88">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3.投标人存在以下情形之一的，不得被确定为中标人：</w:t>
      </w:r>
    </w:p>
    <w:p w14:paraId="22DFECDB">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bookmarkStart w:id="8" w:name="OLE_LINK132"/>
      <w:bookmarkStart w:id="9" w:name="OLE_LINK138"/>
      <w:bookmarkStart w:id="10" w:name="OLE_LINK131"/>
      <w:bookmarkStart w:id="11" w:name="OLE_LINK135"/>
      <w:r>
        <w:rPr>
          <w:rFonts w:hint="eastAsia" w:ascii="仿宋" w:hAnsi="仿宋" w:eastAsia="仿宋"/>
          <w:color w:val="auto"/>
          <w:sz w:val="28"/>
          <w:szCs w:val="28"/>
          <w:highlight w:val="none"/>
          <w:lang w:val="en-US" w:eastAsia="zh-CN"/>
        </w:rPr>
        <w:t>①被列入“信用中国”网站（www.creditchina.gov.cn）“失信被执行人”的；</w:t>
      </w:r>
    </w:p>
    <w:p w14:paraId="3D41450B">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②被列入“信用中国”网站（www.creditchina.gov.cn）“重大税收违法失信主体”的；</w:t>
      </w:r>
    </w:p>
    <w:p w14:paraId="6C766D9C">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③被列入“信用中国”网站（www.creditchina.gov.cn）“拖欠农民工工资失信联合惩戒对象名单”的；</w:t>
      </w:r>
    </w:p>
    <w:p w14:paraId="428AB82C">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④被列入“信用中国”网站（www.creditchina.gov.cn） “安全生产严重失信主体名单”的；</w:t>
      </w:r>
    </w:p>
    <w:p w14:paraId="366054D8">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⑤</w:t>
      </w:r>
      <w:bookmarkStart w:id="12" w:name="OLE_LINK113"/>
      <w:bookmarkStart w:id="13" w:name="OLE_LINK114"/>
      <w:r>
        <w:rPr>
          <w:rFonts w:hint="eastAsia" w:ascii="仿宋" w:hAnsi="仿宋" w:eastAsia="仿宋"/>
          <w:color w:val="auto"/>
          <w:sz w:val="28"/>
          <w:szCs w:val="28"/>
          <w:highlight w:val="none"/>
          <w:lang w:val="en-US" w:eastAsia="zh-CN"/>
        </w:rPr>
        <w:t>被列入国家企业信用信息公示系统网站（</w:t>
      </w:r>
      <w:r>
        <w:rPr>
          <w:rFonts w:hint="eastAsia" w:ascii="仿宋" w:hAnsi="仿宋" w:eastAsia="仿宋"/>
          <w:color w:val="auto"/>
          <w:sz w:val="28"/>
          <w:szCs w:val="28"/>
          <w:highlight w:val="none"/>
          <w:lang w:val="en-US" w:eastAsia="zh-CN"/>
        </w:rPr>
        <w:fldChar w:fldCharType="begin"/>
      </w:r>
      <w:r>
        <w:rPr>
          <w:rFonts w:hint="eastAsia" w:ascii="仿宋" w:hAnsi="仿宋" w:eastAsia="仿宋"/>
          <w:color w:val="auto"/>
          <w:sz w:val="28"/>
          <w:szCs w:val="28"/>
          <w:highlight w:val="none"/>
          <w:lang w:val="en-US" w:eastAsia="zh-CN"/>
        </w:rPr>
        <w:instrText xml:space="preserve"> HYPERLINK "http://www.gsxt.gov.cn）查询" </w:instrText>
      </w:r>
      <w:r>
        <w:rPr>
          <w:rFonts w:hint="eastAsia" w:ascii="仿宋" w:hAnsi="仿宋" w:eastAsia="仿宋"/>
          <w:color w:val="auto"/>
          <w:sz w:val="28"/>
          <w:szCs w:val="28"/>
          <w:highlight w:val="none"/>
          <w:lang w:val="en-US" w:eastAsia="zh-CN"/>
        </w:rPr>
        <w:fldChar w:fldCharType="separate"/>
      </w:r>
      <w:r>
        <w:rPr>
          <w:rFonts w:hint="eastAsia" w:ascii="仿宋" w:hAnsi="仿宋" w:eastAsia="仿宋"/>
          <w:color w:val="auto"/>
          <w:sz w:val="28"/>
          <w:szCs w:val="28"/>
          <w:highlight w:val="none"/>
          <w:lang w:val="en-US" w:eastAsia="zh-CN"/>
        </w:rPr>
        <w:t>www.gsxt.gov.cn）</w:t>
      </w:r>
      <w:r>
        <w:rPr>
          <w:rFonts w:hint="eastAsia" w:ascii="仿宋" w:hAnsi="仿宋" w:eastAsia="仿宋"/>
          <w:color w:val="auto"/>
          <w:sz w:val="28"/>
          <w:szCs w:val="28"/>
          <w:highlight w:val="none"/>
          <w:lang w:val="en-US" w:eastAsia="zh-CN"/>
        </w:rPr>
        <w:fldChar w:fldCharType="end"/>
      </w:r>
      <w:r>
        <w:rPr>
          <w:rFonts w:hint="eastAsia" w:ascii="仿宋" w:hAnsi="仿宋" w:eastAsia="仿宋"/>
          <w:color w:val="auto"/>
          <w:sz w:val="28"/>
          <w:szCs w:val="28"/>
          <w:highlight w:val="none"/>
          <w:lang w:val="en-US" w:eastAsia="zh-CN"/>
        </w:rPr>
        <w:t>“严重违法失信名单”的</w:t>
      </w:r>
      <w:bookmarkEnd w:id="12"/>
      <w:bookmarkEnd w:id="13"/>
      <w:r>
        <w:rPr>
          <w:rFonts w:hint="eastAsia" w:ascii="仿宋" w:hAnsi="仿宋" w:eastAsia="仿宋"/>
          <w:color w:val="auto"/>
          <w:sz w:val="28"/>
          <w:szCs w:val="28"/>
          <w:highlight w:val="none"/>
          <w:lang w:val="en-US" w:eastAsia="zh-CN"/>
        </w:rPr>
        <w:t>。</w:t>
      </w:r>
    </w:p>
    <w:bookmarkEnd w:id="8"/>
    <w:bookmarkEnd w:id="9"/>
    <w:bookmarkEnd w:id="10"/>
    <w:bookmarkEnd w:id="11"/>
    <w:p w14:paraId="63E9E8DF">
      <w:pPr>
        <w:keepNext w:val="0"/>
        <w:keepLines w:val="0"/>
        <w:pageBreakBefore w:val="0"/>
        <w:widowControl w:val="0"/>
        <w:kinsoku/>
        <w:wordWrap/>
        <w:overflowPunct/>
        <w:topLinePunct w:val="0"/>
        <w:autoSpaceDE/>
        <w:autoSpaceDN/>
        <w:bidi w:val="0"/>
        <w:adjustRightInd/>
        <w:snapToGrid/>
        <w:ind w:right="0" w:righ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4.投标人所属分公司、办事处等分支机构存在第3条信誉要求①-⑤项情形之一的， 接受其被确定为中标人。</w:t>
      </w:r>
    </w:p>
    <w:p w14:paraId="1A58BE01">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4"/>
      <w:bookmarkEnd w:id="5"/>
      <w:bookmarkEnd w:id="6"/>
      <w:bookmarkEnd w:id="7"/>
    </w:p>
    <w:p w14:paraId="38B5F5FB">
      <w:pPr>
        <w:ind w:firstLine="540"/>
        <w:rPr>
          <w:rFonts w:hint="eastAsia" w:ascii="仿宋" w:hAnsi="仿宋" w:eastAsia="仿宋" w:cs="宋体"/>
          <w:iCs/>
          <w:color w:val="auto"/>
          <w:sz w:val="28"/>
          <w:szCs w:val="28"/>
          <w:highlight w:val="none"/>
          <w:lang w:eastAsia="zh-CN"/>
        </w:rPr>
      </w:pPr>
      <w:r>
        <w:rPr>
          <w:rFonts w:hint="eastAsia" w:ascii="仿宋" w:hAnsi="仿宋" w:eastAsia="仿宋" w:cs="宋体"/>
          <w:color w:val="auto"/>
          <w:sz w:val="28"/>
          <w:szCs w:val="28"/>
          <w:highlight w:val="none"/>
        </w:rPr>
        <w:t>时间：</w:t>
      </w:r>
      <w:r>
        <w:rPr>
          <w:rFonts w:ascii="仿宋" w:hAnsi="仿宋" w:eastAsia="仿宋" w:cs="宋体"/>
          <w:color w:val="auto"/>
          <w:sz w:val="28"/>
          <w:szCs w:val="28"/>
          <w:highlight w:val="none"/>
          <w:u w:val="single"/>
        </w:rPr>
        <w:t xml:space="preserve"> </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9</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21</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至</w:t>
      </w:r>
      <w:r>
        <w:rPr>
          <w:rFonts w:hint="eastAsia" w:ascii="仿宋" w:hAnsi="仿宋" w:eastAsia="仿宋" w:cs="宋体"/>
          <w:color w:val="auto"/>
          <w:sz w:val="28"/>
          <w:szCs w:val="28"/>
          <w:highlight w:val="none"/>
          <w:u w:val="single"/>
        </w:rPr>
        <w:t xml:space="preserve"> 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9</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30</w:t>
      </w:r>
      <w:r>
        <w:rPr>
          <w:rFonts w:hint="eastAsia" w:ascii="仿宋" w:hAnsi="仿宋" w:eastAsia="仿宋" w:cs="宋体"/>
          <w:color w:val="auto"/>
          <w:sz w:val="28"/>
          <w:szCs w:val="28"/>
          <w:highlight w:val="none"/>
          <w:u w:val="single"/>
        </w:rPr>
        <w:t>日</w:t>
      </w:r>
    </w:p>
    <w:p w14:paraId="5D38E8FA">
      <w:pPr>
        <w:keepNext w:val="0"/>
        <w:keepLines w:val="0"/>
        <w:pageBreakBefore w:val="0"/>
        <w:widowControl w:val="0"/>
        <w:kinsoku/>
        <w:wordWrap/>
        <w:overflowPunct/>
        <w:topLinePunct w:val="0"/>
        <w:autoSpaceDE/>
        <w:autoSpaceDN/>
        <w:bidi w:val="0"/>
        <w:adjustRightInd/>
        <w:snapToGrid/>
        <w:ind w:firstLine="539"/>
        <w:jc w:val="left"/>
        <w:textAlignment w:val="auto"/>
        <w:rPr>
          <w:rFonts w:hint="default" w:ascii="仿宋" w:hAnsi="仿宋" w:eastAsia="仿宋" w:cs="宋体"/>
          <w:color w:val="auto"/>
          <w:sz w:val="28"/>
          <w:szCs w:val="28"/>
          <w:highlight w:val="none"/>
          <w:u w:val="none"/>
          <w:lang w:val="en-US"/>
        </w:rPr>
      </w:pPr>
      <w:bookmarkStart w:id="14" w:name="_Toc28359082"/>
      <w:bookmarkStart w:id="15" w:name="_Toc28359005"/>
      <w:bookmarkStart w:id="16" w:name="_Toc35393624"/>
      <w:bookmarkStart w:id="17" w:name="_Toc35393793"/>
      <w:r>
        <w:rPr>
          <w:rFonts w:hint="eastAsia" w:ascii="仿宋" w:hAnsi="仿宋" w:eastAsia="仿宋" w:cs="宋体"/>
          <w:color w:val="auto"/>
          <w:sz w:val="28"/>
          <w:szCs w:val="28"/>
          <w:highlight w:val="none"/>
        </w:rPr>
        <w:t>地点：</w:t>
      </w:r>
      <w:r>
        <w:rPr>
          <w:rFonts w:hint="eastAsia" w:ascii="仿宋" w:hAnsi="仿宋" w:eastAsia="仿宋" w:cs="宋体"/>
          <w:color w:val="auto"/>
          <w:sz w:val="28"/>
          <w:szCs w:val="28"/>
          <w:highlight w:val="none"/>
          <w:u w:val="none"/>
          <w:lang w:val="en-US" w:eastAsia="zh-CN"/>
        </w:rPr>
        <w:t>中新苏滁高新技术产业开发区（https://scp.chuzhou.gov.cn/index.html）、滁州市城投工程咨询管理有限公司网站（https://www.czctgczx.com/）</w:t>
      </w:r>
    </w:p>
    <w:p w14:paraId="479FE4AE">
      <w:pPr>
        <w:keepNext w:val="0"/>
        <w:keepLines w:val="0"/>
        <w:pageBreakBefore w:val="0"/>
        <w:widowControl w:val="0"/>
        <w:kinsoku/>
        <w:wordWrap/>
        <w:overflowPunct/>
        <w:topLinePunct w:val="0"/>
        <w:autoSpaceDE/>
        <w:autoSpaceDN/>
        <w:bidi w:val="0"/>
        <w:adjustRightInd/>
        <w:snapToGrid/>
        <w:ind w:firstLine="539"/>
        <w:jc w:val="left"/>
        <w:textAlignment w:val="auto"/>
        <w:rPr>
          <w:rFonts w:hint="eastAsia" w:ascii="仿宋" w:hAnsi="仿宋" w:eastAsia="仿宋" w:cs="宋体"/>
          <w:color w:val="auto"/>
          <w:sz w:val="28"/>
          <w:szCs w:val="28"/>
          <w:highlight w:val="none"/>
          <w:u w:val="single"/>
          <w:lang w:eastAsia="zh-CN"/>
        </w:rPr>
      </w:pPr>
      <w:r>
        <w:rPr>
          <w:rFonts w:hint="eastAsia" w:ascii="仿宋" w:hAnsi="仿宋" w:eastAsia="仿宋" w:cs="宋体"/>
          <w:color w:val="auto"/>
          <w:sz w:val="28"/>
          <w:szCs w:val="28"/>
          <w:highlight w:val="none"/>
        </w:rPr>
        <w:t>方式：网上下载</w:t>
      </w:r>
    </w:p>
    <w:p w14:paraId="7045C97B">
      <w:pPr>
        <w:keepNext w:val="0"/>
        <w:keepLines w:val="0"/>
        <w:pageBreakBefore w:val="0"/>
        <w:widowControl w:val="0"/>
        <w:kinsoku/>
        <w:overflowPunct/>
        <w:autoSpaceDE/>
        <w:autoSpaceDN/>
        <w:bidi w:val="0"/>
        <w:adjustRightInd/>
        <w:snapToGrid/>
        <w:spacing w:line="5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1A1D6EC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四、提交投标文件</w:t>
      </w:r>
      <w:bookmarkEnd w:id="14"/>
      <w:bookmarkEnd w:id="15"/>
      <w:r>
        <w:rPr>
          <w:rFonts w:hint="eastAsia" w:ascii="黑体" w:hAnsi="黑体" w:eastAsia="黑体" w:cs="黑体"/>
          <w:color w:val="auto"/>
          <w:sz w:val="28"/>
          <w:szCs w:val="28"/>
          <w:highlight w:val="none"/>
        </w:rPr>
        <w:t>截止时间、开标时间和地点</w:t>
      </w:r>
      <w:bookmarkEnd w:id="16"/>
      <w:bookmarkEnd w:id="17"/>
    </w:p>
    <w:p w14:paraId="28270077">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bCs/>
          <w:color w:val="auto"/>
          <w:sz w:val="28"/>
          <w:szCs w:val="28"/>
          <w:highlight w:val="none"/>
          <w:u w:val="none"/>
        </w:rPr>
        <w:t>202</w:t>
      </w:r>
      <w:r>
        <w:rPr>
          <w:rFonts w:hint="eastAsia" w:ascii="仿宋" w:hAnsi="仿宋" w:eastAsia="仿宋"/>
          <w:bCs/>
          <w:color w:val="auto"/>
          <w:sz w:val="28"/>
          <w:szCs w:val="28"/>
          <w:highlight w:val="none"/>
          <w:u w:val="none"/>
          <w:lang w:val="en-US" w:eastAsia="zh-CN"/>
        </w:rPr>
        <w:t>6</w:t>
      </w:r>
      <w:r>
        <w:rPr>
          <w:rFonts w:hint="eastAsia" w:ascii="仿宋" w:hAnsi="仿宋" w:eastAsia="仿宋"/>
          <w:bCs/>
          <w:color w:val="auto"/>
          <w:sz w:val="28"/>
          <w:szCs w:val="28"/>
          <w:highlight w:val="none"/>
          <w:u w:val="none"/>
        </w:rPr>
        <w:t>年</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月</w:t>
      </w:r>
      <w:r>
        <w:rPr>
          <w:rFonts w:hint="eastAsia" w:ascii="仿宋" w:hAnsi="仿宋" w:eastAsia="仿宋"/>
          <w:bCs/>
          <w:color w:val="auto"/>
          <w:sz w:val="28"/>
          <w:szCs w:val="28"/>
          <w:highlight w:val="none"/>
          <w:u w:val="none"/>
          <w:lang w:val="en-US" w:eastAsia="zh-CN"/>
        </w:rPr>
        <w:t>30</w:t>
      </w:r>
      <w:r>
        <w:rPr>
          <w:rFonts w:hint="eastAsia" w:ascii="仿宋" w:hAnsi="仿宋" w:eastAsia="仿宋"/>
          <w:bCs/>
          <w:color w:val="auto"/>
          <w:sz w:val="28"/>
          <w:szCs w:val="28"/>
          <w:highlight w:val="none"/>
          <w:u w:val="none"/>
        </w:rPr>
        <w:t>日</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1D05D871">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44750454">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7418DF68">
      <w:pPr>
        <w:pStyle w:val="64"/>
        <w:rPr>
          <w:color w:val="auto"/>
          <w:highlight w:val="none"/>
        </w:rPr>
      </w:pPr>
      <w:bookmarkStart w:id="18" w:name="_Toc35393626"/>
      <w:bookmarkStart w:id="19" w:name="_Toc35393795"/>
      <w:r>
        <w:rPr>
          <w:color w:val="auto"/>
          <w:highlight w:val="none"/>
        </w:rPr>
        <w:t>窗体顶端</w:t>
      </w:r>
    </w:p>
    <w:p w14:paraId="4429B05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95F0570">
      <w:pPr>
        <w:pStyle w:val="65"/>
        <w:rPr>
          <w:color w:val="auto"/>
          <w:highlight w:val="none"/>
        </w:rPr>
      </w:pPr>
      <w:r>
        <w:rPr>
          <w:color w:val="auto"/>
          <w:highlight w:val="none"/>
        </w:rPr>
        <w:t>窗体底端</w:t>
      </w:r>
    </w:p>
    <w:bookmarkEnd w:id="18"/>
    <w:bookmarkEnd w:id="19"/>
    <w:p w14:paraId="2CC4B02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01CCE56B">
      <w:pPr>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Times New Roman"/>
          <w:color w:val="auto"/>
          <w:sz w:val="28"/>
          <w:szCs w:val="28"/>
          <w:highlight w:val="none"/>
        </w:rPr>
      </w:pPr>
      <w:r>
        <w:rPr>
          <w:rFonts w:hint="eastAsia" w:ascii="黑体" w:hAnsi="黑体" w:eastAsia="黑体" w:cs="黑体"/>
          <w:color w:val="auto"/>
          <w:sz w:val="28"/>
          <w:szCs w:val="28"/>
          <w:highlight w:val="none"/>
          <w:lang w:val="en-US" w:eastAsia="zh-CN"/>
        </w:rPr>
        <w:t xml:space="preserve">   </w:t>
      </w:r>
      <w:r>
        <w:rPr>
          <w:rFonts w:hint="eastAsia" w:ascii="仿宋" w:hAnsi="仿宋" w:eastAsia="仿宋" w:cs="Times New Roman"/>
          <w:color w:val="auto"/>
          <w:sz w:val="28"/>
          <w:szCs w:val="28"/>
          <w:highlight w:val="none"/>
          <w:lang w:val="en-US" w:eastAsia="zh-CN"/>
        </w:rPr>
        <w:t>1.投标人从滁州市城投工程咨询管理有限公司（https://www.czctgczx.com/）下载。投标人自行承担因未按要求获取招标文件导致无法上传电子投标文件的风险。</w:t>
      </w:r>
    </w:p>
    <w:p w14:paraId="2D09852F">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2C03FC26">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2）投标人登录新点电子交易平台【滁州专区】获取询价文件及其它资料（含澄清和补充说明等）。如在招标文件获取过程中遇到系统问题，请拨打技术支持服务热线0512-58151515（工作日）5或者网站首页在线客服。</w:t>
      </w:r>
    </w:p>
    <w:p w14:paraId="4B619FEE">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2.招标文件及相关资料售价：人民币0元/套。</w:t>
      </w:r>
    </w:p>
    <w:p w14:paraId="3CCE39B7">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2D069E1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4.本项目采用不见面开标，投标人登录滁州市城投工程咨询管理有限公司不见面开标系统参与网上开标（网址：http://js.etrading.cn/EpointBidOpening/bidopeninghallaction/hall/login）。</w:t>
      </w:r>
    </w:p>
    <w:p w14:paraId="3DCEE880">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投标人应在投标截止时间之前，登录新点电子交易平台【滁州专区】上传投标文件</w:t>
      </w:r>
    </w:p>
    <w:p w14:paraId="515EDEFE">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5.本项目仅接受加密电子投标文件投标人在投标截止时间前通过新点电子交易平台后在【滁州专区】</w:t>
      </w:r>
    </w:p>
    <w:p w14:paraId="602D7B64">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(https://www.etrading.cn/BREpointSSO/login/oauth2login?regioncode=DQ_ChuZhou)交易系统递交电子投标文件。</w:t>
      </w:r>
    </w:p>
    <w:p w14:paraId="3A79164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434569DA">
      <w:pPr>
        <w:pStyle w:val="7"/>
        <w:pageBreakBefore w:val="0"/>
        <w:widowControl w:val="0"/>
        <w:numPr>
          <w:ilvl w:val="0"/>
          <w:numId w:val="0"/>
        </w:numPr>
        <w:kinsoku/>
        <w:wordWrap/>
        <w:overflowPunct/>
        <w:topLinePunct w:val="0"/>
        <w:autoSpaceDE/>
        <w:autoSpaceDN/>
        <w:bidi w:val="0"/>
        <w:adjustRightInd/>
        <w:snapToGrid/>
        <w:spacing w:before="0" w:after="0" w:line="240" w:lineRule="auto"/>
        <w:ind w:left="-199" w:leftChars="-95" w:firstLine="560" w:firstLineChars="2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　1.招标人信息</w:t>
      </w:r>
    </w:p>
    <w:p w14:paraId="4D5067C1">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名    称：滁州苏滁产城开发有限公司</w:t>
      </w:r>
    </w:p>
    <w:p w14:paraId="7E2D92CF">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地    址：滁州市徽州南路1999号苏滁商务中心8楼</w:t>
      </w:r>
    </w:p>
    <w:p w14:paraId="14E42651">
      <w:pPr>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default"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联系方式：0550-3026900</w:t>
      </w:r>
    </w:p>
    <w:p w14:paraId="04048C27">
      <w:pPr>
        <w:pStyle w:val="7"/>
        <w:pageBreakBefore w:val="0"/>
        <w:widowControl w:val="0"/>
        <w:numPr>
          <w:ilvl w:val="0"/>
          <w:numId w:val="0"/>
        </w:numPr>
        <w:kinsoku/>
        <w:wordWrap/>
        <w:overflowPunct/>
        <w:topLinePunct w:val="0"/>
        <w:autoSpaceDE/>
        <w:autoSpaceDN/>
        <w:bidi w:val="0"/>
        <w:adjustRightInd/>
        <w:snapToGrid/>
        <w:spacing w:before="0" w:after="0"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2.代理机构信息</w:t>
      </w:r>
    </w:p>
    <w:p w14:paraId="26A6B1DA">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名    称：滁州市城投工程咨询管理有限公司</w:t>
      </w:r>
    </w:p>
    <w:p w14:paraId="7FAA96F0">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地　　址：滁州市龙蟠大道109号房产大厦6楼</w:t>
      </w:r>
    </w:p>
    <w:p w14:paraId="4E95D77D">
      <w:pPr>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联系方式：0550-3519590、18005501210</w:t>
      </w:r>
    </w:p>
    <w:p w14:paraId="1FC1649B">
      <w:pPr>
        <w:pStyle w:val="7"/>
        <w:pageBreakBefore w:val="0"/>
        <w:widowControl w:val="0"/>
        <w:numPr>
          <w:ilvl w:val="0"/>
          <w:numId w:val="0"/>
        </w:numPr>
        <w:kinsoku/>
        <w:wordWrap/>
        <w:overflowPunct/>
        <w:topLinePunct w:val="0"/>
        <w:autoSpaceDE/>
        <w:autoSpaceDN/>
        <w:bidi w:val="0"/>
        <w:adjustRightInd/>
        <w:snapToGrid/>
        <w:spacing w:before="0" w:after="0"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3.项目联系方式</w:t>
      </w:r>
    </w:p>
    <w:p w14:paraId="2E672996">
      <w:pPr>
        <w:pStyle w:val="14"/>
        <w:pageBreakBefore w:val="0"/>
        <w:widowControl w:val="0"/>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项目联系人：李工、杨韦</w:t>
      </w:r>
    </w:p>
    <w:p w14:paraId="1599FE0B">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Times New Roman"/>
          <w:b w:val="0"/>
          <w:bCs w:val="0"/>
          <w:color w:val="auto"/>
          <w:kern w:val="2"/>
          <w:sz w:val="28"/>
          <w:szCs w:val="28"/>
          <w:highlight w:val="none"/>
          <w:lang w:val="en-US" w:eastAsia="zh-CN" w:bidi="ar-SA"/>
        </w:rPr>
      </w:pPr>
      <w:r>
        <w:rPr>
          <w:rFonts w:hint="eastAsia" w:ascii="仿宋" w:hAnsi="仿宋" w:eastAsia="仿宋" w:cs="Times New Roman"/>
          <w:b w:val="0"/>
          <w:bCs w:val="0"/>
          <w:color w:val="auto"/>
          <w:kern w:val="2"/>
          <w:sz w:val="28"/>
          <w:szCs w:val="28"/>
          <w:highlight w:val="none"/>
          <w:lang w:val="en-US" w:eastAsia="zh-CN" w:bidi="ar-SA"/>
        </w:rPr>
        <w:t>电　　 话：0550-3026900、0550-3519590</w:t>
      </w:r>
    </w:p>
    <w:p w14:paraId="0E14CF63">
      <w:pPr>
        <w:rPr>
          <w:color w:val="auto"/>
          <w:highlight w:val="none"/>
        </w:rPr>
      </w:pPr>
      <w:r>
        <w:rPr>
          <w:color w:val="auto"/>
          <w:highlight w:val="none"/>
        </w:rPr>
        <w:br w:type="page"/>
      </w:r>
    </w:p>
    <w:p w14:paraId="4CAF701A">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bookmarkStart w:id="20" w:name="_Toc25340"/>
      <w:r>
        <w:rPr>
          <w:rFonts w:hint="eastAsia" w:ascii="宋体" w:hAnsi="宋体" w:eastAsia="宋体" w:cs="宋体"/>
          <w:b/>
          <w:bCs/>
          <w:color w:val="auto"/>
          <w:kern w:val="2"/>
          <w:sz w:val="32"/>
          <w:szCs w:val="32"/>
          <w:highlight w:val="none"/>
          <w:lang w:val="en-US" w:eastAsia="zh-CN" w:bidi="ar-SA"/>
        </w:rPr>
        <w:t>第二章投标须知</w:t>
      </w:r>
      <w:bookmarkEnd w:id="20"/>
    </w:p>
    <w:p w14:paraId="039CDAF8">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投标须知前附表</w:t>
      </w:r>
    </w:p>
    <w:tbl>
      <w:tblPr>
        <w:tblStyle w:val="21"/>
        <w:tblW w:w="9987" w:type="dxa"/>
        <w:jc w:val="center"/>
        <w:tblLayout w:type="fixed"/>
        <w:tblCellMar>
          <w:top w:w="0" w:type="dxa"/>
          <w:left w:w="0" w:type="dxa"/>
          <w:bottom w:w="0" w:type="dxa"/>
          <w:right w:w="0" w:type="dxa"/>
        </w:tblCellMar>
      </w:tblPr>
      <w:tblGrid>
        <w:gridCol w:w="831"/>
        <w:gridCol w:w="1881"/>
        <w:gridCol w:w="7275"/>
      </w:tblGrid>
      <w:tr w14:paraId="6742FC8C">
        <w:tblPrEx>
          <w:tblCellMar>
            <w:top w:w="0" w:type="dxa"/>
            <w:left w:w="0" w:type="dxa"/>
            <w:bottom w:w="0" w:type="dxa"/>
            <w:right w:w="0" w:type="dxa"/>
          </w:tblCellMar>
        </w:tblPrEx>
        <w:trPr>
          <w:trHeight w:val="580"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7B07C89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编号</w:t>
            </w:r>
          </w:p>
        </w:tc>
        <w:tc>
          <w:tcPr>
            <w:tcW w:w="1881" w:type="dxa"/>
            <w:tcBorders>
              <w:top w:val="single" w:color="auto" w:sz="8" w:space="0"/>
              <w:left w:val="single" w:color="auto" w:sz="4" w:space="0"/>
              <w:bottom w:val="single" w:color="auto" w:sz="8" w:space="0"/>
              <w:right w:val="single" w:color="auto" w:sz="4" w:space="0"/>
            </w:tcBorders>
            <w:vAlign w:val="center"/>
          </w:tcPr>
          <w:p w14:paraId="0A75FA0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内容</w:t>
            </w:r>
          </w:p>
        </w:tc>
        <w:tc>
          <w:tcPr>
            <w:tcW w:w="7275" w:type="dxa"/>
            <w:tcBorders>
              <w:top w:val="single" w:color="auto" w:sz="8" w:space="0"/>
              <w:left w:val="single" w:color="auto" w:sz="4" w:space="0"/>
              <w:bottom w:val="single" w:color="auto" w:sz="8" w:space="0"/>
              <w:right w:val="single" w:color="auto" w:sz="8" w:space="0"/>
            </w:tcBorders>
            <w:vAlign w:val="center"/>
          </w:tcPr>
          <w:p w14:paraId="105B31DB">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说明与要求</w:t>
            </w:r>
          </w:p>
        </w:tc>
      </w:tr>
      <w:tr w14:paraId="2738A5CC">
        <w:tblPrEx>
          <w:tblCellMar>
            <w:top w:w="0" w:type="dxa"/>
            <w:left w:w="0" w:type="dxa"/>
            <w:bottom w:w="0" w:type="dxa"/>
            <w:right w:w="0" w:type="dxa"/>
          </w:tblCellMar>
        </w:tblPrEx>
        <w:trPr>
          <w:trHeight w:val="90"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50D4A4E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881" w:type="dxa"/>
            <w:tcBorders>
              <w:top w:val="single" w:color="auto" w:sz="8" w:space="0"/>
              <w:left w:val="single" w:color="auto" w:sz="4" w:space="0"/>
              <w:bottom w:val="single" w:color="auto" w:sz="8" w:space="0"/>
              <w:right w:val="single" w:color="auto" w:sz="4" w:space="0"/>
            </w:tcBorders>
            <w:vAlign w:val="center"/>
          </w:tcPr>
          <w:p w14:paraId="3BCFBD7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p>
        </w:tc>
        <w:tc>
          <w:tcPr>
            <w:tcW w:w="7275" w:type="dxa"/>
            <w:tcBorders>
              <w:top w:val="single" w:color="auto" w:sz="8" w:space="0"/>
              <w:left w:val="single" w:color="auto" w:sz="4" w:space="0"/>
              <w:bottom w:val="single" w:color="auto" w:sz="8" w:space="0"/>
              <w:right w:val="single" w:color="auto" w:sz="8" w:space="0"/>
            </w:tcBorders>
            <w:vAlign w:val="center"/>
          </w:tcPr>
          <w:p w14:paraId="4030C585">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lang w:val="en-US" w:eastAsia="zh-CN"/>
              </w:rPr>
              <w:t>见招标公告</w:t>
            </w:r>
          </w:p>
        </w:tc>
      </w:tr>
      <w:tr w14:paraId="6B7F61D0">
        <w:tblPrEx>
          <w:tblCellMar>
            <w:top w:w="0" w:type="dxa"/>
            <w:left w:w="0" w:type="dxa"/>
            <w:bottom w:w="0" w:type="dxa"/>
            <w:right w:w="0" w:type="dxa"/>
          </w:tblCellMar>
        </w:tblPrEx>
        <w:trPr>
          <w:trHeight w:val="570"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34C2129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881" w:type="dxa"/>
            <w:tcBorders>
              <w:top w:val="single" w:color="auto" w:sz="8" w:space="0"/>
              <w:left w:val="single" w:color="auto" w:sz="4" w:space="0"/>
              <w:bottom w:val="single" w:color="auto" w:sz="8" w:space="0"/>
              <w:right w:val="single" w:color="auto" w:sz="4" w:space="0"/>
            </w:tcBorders>
            <w:vAlign w:val="center"/>
          </w:tcPr>
          <w:p w14:paraId="1A28250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275" w:type="dxa"/>
            <w:tcBorders>
              <w:top w:val="single" w:color="auto" w:sz="8" w:space="0"/>
              <w:left w:val="single" w:color="auto" w:sz="4" w:space="0"/>
              <w:bottom w:val="single" w:color="auto" w:sz="8" w:space="0"/>
              <w:right w:val="single" w:color="auto" w:sz="8" w:space="0"/>
            </w:tcBorders>
            <w:vAlign w:val="center"/>
          </w:tcPr>
          <w:p w14:paraId="07107E89">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详见招标文件第四章</w:t>
            </w:r>
          </w:p>
        </w:tc>
      </w:tr>
      <w:tr w14:paraId="72C77F30">
        <w:tblPrEx>
          <w:tblCellMar>
            <w:top w:w="0" w:type="dxa"/>
            <w:left w:w="0" w:type="dxa"/>
            <w:bottom w:w="0" w:type="dxa"/>
            <w:right w:w="0" w:type="dxa"/>
          </w:tblCellMar>
        </w:tblPrEx>
        <w:trPr>
          <w:trHeight w:val="535"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1EE586AB">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881" w:type="dxa"/>
            <w:tcBorders>
              <w:top w:val="single" w:color="auto" w:sz="8" w:space="0"/>
              <w:left w:val="single" w:color="auto" w:sz="4" w:space="0"/>
              <w:bottom w:val="single" w:color="auto" w:sz="8" w:space="0"/>
              <w:right w:val="single" w:color="auto" w:sz="4" w:space="0"/>
            </w:tcBorders>
            <w:vAlign w:val="center"/>
          </w:tcPr>
          <w:p w14:paraId="5DAF111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服务期限</w:t>
            </w:r>
          </w:p>
        </w:tc>
        <w:tc>
          <w:tcPr>
            <w:tcW w:w="7275" w:type="dxa"/>
            <w:tcBorders>
              <w:top w:val="single" w:color="auto" w:sz="8" w:space="0"/>
              <w:left w:val="single" w:color="auto" w:sz="4" w:space="0"/>
              <w:bottom w:val="single" w:color="auto" w:sz="8" w:space="0"/>
              <w:right w:val="single" w:color="auto" w:sz="8" w:space="0"/>
            </w:tcBorders>
            <w:vAlign w:val="center"/>
          </w:tcPr>
          <w:p w14:paraId="2FDA79B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从基坑开挖至基坑回填结束，并出具正式检测报告</w:t>
            </w:r>
          </w:p>
        </w:tc>
      </w:tr>
      <w:tr w14:paraId="636F10D8">
        <w:tblPrEx>
          <w:tblCellMar>
            <w:top w:w="0" w:type="dxa"/>
            <w:left w:w="0" w:type="dxa"/>
            <w:bottom w:w="0" w:type="dxa"/>
            <w:right w:w="0" w:type="dxa"/>
          </w:tblCellMar>
        </w:tblPrEx>
        <w:trPr>
          <w:trHeight w:val="425"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E0C1EA8">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881" w:type="dxa"/>
            <w:tcBorders>
              <w:top w:val="single" w:color="auto" w:sz="8" w:space="0"/>
              <w:left w:val="single" w:color="auto" w:sz="4" w:space="0"/>
              <w:bottom w:val="single" w:color="auto" w:sz="8" w:space="0"/>
              <w:right w:val="single" w:color="auto" w:sz="4" w:space="0"/>
            </w:tcBorders>
            <w:vAlign w:val="center"/>
          </w:tcPr>
          <w:p w14:paraId="2D1685A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质量标准</w:t>
            </w:r>
          </w:p>
        </w:tc>
        <w:tc>
          <w:tcPr>
            <w:tcW w:w="7275" w:type="dxa"/>
            <w:tcBorders>
              <w:top w:val="single" w:color="auto" w:sz="8" w:space="0"/>
              <w:left w:val="single" w:color="auto" w:sz="4" w:space="0"/>
              <w:bottom w:val="single" w:color="auto" w:sz="8" w:space="0"/>
              <w:right w:val="single" w:color="auto" w:sz="8" w:space="0"/>
            </w:tcBorders>
            <w:vAlign w:val="top"/>
          </w:tcPr>
          <w:p w14:paraId="407E65C4">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1.检测质量须满足国家和行业有关检测规范的要求，如违反国家和行业有关检测规范的要求，所造成的一切损失和责任由检测单位承担。</w:t>
            </w:r>
          </w:p>
          <w:p w14:paraId="754FA068">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2.若因监测失误引发灾害的经济责任和法律责任由监测单位承担。</w:t>
            </w:r>
          </w:p>
        </w:tc>
      </w:tr>
      <w:tr w14:paraId="4F3B082F">
        <w:tblPrEx>
          <w:tblCellMar>
            <w:top w:w="0" w:type="dxa"/>
            <w:left w:w="0" w:type="dxa"/>
            <w:bottom w:w="0" w:type="dxa"/>
            <w:right w:w="0" w:type="dxa"/>
          </w:tblCellMar>
        </w:tblPrEx>
        <w:trPr>
          <w:trHeight w:val="72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AD9B75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881" w:type="dxa"/>
            <w:tcBorders>
              <w:top w:val="single" w:color="auto" w:sz="8" w:space="0"/>
              <w:left w:val="single" w:color="auto" w:sz="4" w:space="0"/>
              <w:bottom w:val="single" w:color="auto" w:sz="8" w:space="0"/>
              <w:right w:val="single" w:color="auto" w:sz="4" w:space="0"/>
            </w:tcBorders>
            <w:vAlign w:val="center"/>
          </w:tcPr>
          <w:p w14:paraId="310319C2">
            <w:pPr>
              <w:keepNext w:val="0"/>
              <w:keepLines w:val="0"/>
              <w:pageBreakBefore w:val="0"/>
              <w:numPr>
                <w:ilvl w:val="0"/>
                <w:numId w:val="0"/>
              </w:numPr>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投标人资质要求</w:t>
            </w:r>
          </w:p>
        </w:tc>
        <w:tc>
          <w:tcPr>
            <w:tcW w:w="7275" w:type="dxa"/>
            <w:tcBorders>
              <w:top w:val="single" w:color="auto" w:sz="8" w:space="0"/>
              <w:left w:val="single" w:color="auto" w:sz="4" w:space="0"/>
              <w:bottom w:val="single" w:color="auto" w:sz="8" w:space="0"/>
              <w:right w:val="single" w:color="auto" w:sz="8" w:space="0"/>
            </w:tcBorders>
            <w:vAlign w:val="center"/>
          </w:tcPr>
          <w:p w14:paraId="319D18A5">
            <w:pPr>
              <w:pStyle w:val="2"/>
              <w:keepNext w:val="0"/>
              <w:keepLines w:val="0"/>
              <w:pageBreakBefore w:val="0"/>
              <w:kinsoku/>
              <w:wordWrap/>
              <w:overflowPunct/>
              <w:autoSpaceDE/>
              <w:autoSpaceDN/>
              <w:bidi w:val="0"/>
              <w:spacing w:after="0" w:line="52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见招标公告</w:t>
            </w:r>
          </w:p>
        </w:tc>
      </w:tr>
      <w:tr w14:paraId="1327C97C">
        <w:tblPrEx>
          <w:tblCellMar>
            <w:top w:w="0" w:type="dxa"/>
            <w:left w:w="0" w:type="dxa"/>
            <w:bottom w:w="0" w:type="dxa"/>
            <w:right w:w="0" w:type="dxa"/>
          </w:tblCellMar>
        </w:tblPrEx>
        <w:trPr>
          <w:trHeight w:val="656"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DE2678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881" w:type="dxa"/>
            <w:tcBorders>
              <w:top w:val="single" w:color="auto" w:sz="8" w:space="0"/>
              <w:left w:val="single" w:color="auto" w:sz="4" w:space="0"/>
              <w:bottom w:val="single" w:color="auto" w:sz="8" w:space="0"/>
              <w:right w:val="single" w:color="auto" w:sz="4" w:space="0"/>
            </w:tcBorders>
            <w:vAlign w:val="center"/>
          </w:tcPr>
          <w:p w14:paraId="7D2E3ACC">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勘查现场</w:t>
            </w:r>
          </w:p>
        </w:tc>
        <w:tc>
          <w:tcPr>
            <w:tcW w:w="7275" w:type="dxa"/>
            <w:tcBorders>
              <w:top w:val="single" w:color="auto" w:sz="8" w:space="0"/>
              <w:left w:val="single" w:color="auto" w:sz="4" w:space="0"/>
              <w:bottom w:val="single" w:color="auto" w:sz="8" w:space="0"/>
              <w:right w:val="single" w:color="auto" w:sz="8" w:space="0"/>
            </w:tcBorders>
            <w:vAlign w:val="center"/>
          </w:tcPr>
          <w:p w14:paraId="598D0BBD">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不再集中召开</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投标人自行组织勘察现场。</w:t>
            </w:r>
          </w:p>
        </w:tc>
      </w:tr>
      <w:tr w14:paraId="77D6F486">
        <w:tblPrEx>
          <w:tblCellMar>
            <w:top w:w="0" w:type="dxa"/>
            <w:left w:w="0" w:type="dxa"/>
            <w:bottom w:w="0" w:type="dxa"/>
            <w:right w:w="0" w:type="dxa"/>
          </w:tblCellMar>
        </w:tblPrEx>
        <w:trPr>
          <w:trHeight w:val="656"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26107C5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7</w:t>
            </w:r>
          </w:p>
        </w:tc>
        <w:tc>
          <w:tcPr>
            <w:tcW w:w="1881" w:type="dxa"/>
            <w:tcBorders>
              <w:top w:val="single" w:color="auto" w:sz="8" w:space="0"/>
              <w:left w:val="single" w:color="auto" w:sz="4" w:space="0"/>
              <w:bottom w:val="single" w:color="auto" w:sz="8" w:space="0"/>
              <w:right w:val="single" w:color="auto" w:sz="4" w:space="0"/>
            </w:tcBorders>
            <w:vAlign w:val="center"/>
          </w:tcPr>
          <w:p w14:paraId="10EA23A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质疑与答疑</w:t>
            </w:r>
          </w:p>
        </w:tc>
        <w:tc>
          <w:tcPr>
            <w:tcW w:w="7275" w:type="dxa"/>
            <w:tcBorders>
              <w:top w:val="single" w:color="auto" w:sz="8" w:space="0"/>
              <w:left w:val="single" w:color="auto" w:sz="4" w:space="0"/>
              <w:bottom w:val="single" w:color="auto" w:sz="8" w:space="0"/>
              <w:right w:val="single" w:color="auto" w:sz="8" w:space="0"/>
            </w:tcBorders>
            <w:vAlign w:val="center"/>
          </w:tcPr>
          <w:p w14:paraId="4C4D65A1">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文件有质疑，可以</w:t>
            </w:r>
            <w:r>
              <w:rPr>
                <w:rFonts w:hint="eastAsia" w:ascii="宋体" w:hAnsi="宋体" w:eastAsia="宋体" w:cs="宋体"/>
                <w:b w:val="0"/>
                <w:bCs w:val="0"/>
                <w:color w:val="auto"/>
                <w:sz w:val="21"/>
                <w:szCs w:val="21"/>
                <w:highlight w:val="none"/>
              </w:rPr>
              <w:t>于</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日17时前</w:t>
            </w:r>
            <w:r>
              <w:rPr>
                <w:rFonts w:hint="eastAsia" w:ascii="宋体" w:hAnsi="宋体" w:eastAsia="宋体" w:cs="宋体"/>
                <w:color w:val="auto"/>
                <w:sz w:val="21"/>
                <w:szCs w:val="21"/>
                <w:highlight w:val="none"/>
                <w:lang w:val="en-US" w:eastAsia="zh-CN"/>
              </w:rPr>
              <w:t>通过登录新点电子交易平台【滁州专区】线上提出异议</w:t>
            </w:r>
          </w:p>
          <w:p w14:paraId="789859A6">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24</w:t>
            </w:r>
            <w:r>
              <w:rPr>
                <w:rFonts w:hint="eastAsia" w:ascii="宋体" w:hAnsi="宋体" w:eastAsia="宋体" w:cs="宋体"/>
                <w:b/>
                <w:bCs/>
                <w:color w:val="auto"/>
                <w:sz w:val="21"/>
                <w:szCs w:val="21"/>
                <w:highlight w:val="none"/>
                <w:lang w:val="en-US" w:eastAsia="zh-CN"/>
              </w:rPr>
              <w:t>日17时前</w:t>
            </w:r>
            <w:r>
              <w:rPr>
                <w:rFonts w:hint="eastAsia" w:ascii="宋体" w:hAnsi="宋体" w:eastAsia="宋体" w:cs="宋体"/>
                <w:color w:val="auto"/>
                <w:sz w:val="21"/>
                <w:szCs w:val="21"/>
                <w:highlight w:val="none"/>
              </w:rPr>
              <w:t>以澄清公告形式在中新苏滁高新技术产业开发区（https://scp.chuzhou.gov.cn/index.html）、滁州市城投工程咨询管理有限公司网站（https://www.czctgczx.com/）予以公告。</w:t>
            </w:r>
          </w:p>
        </w:tc>
      </w:tr>
      <w:tr w14:paraId="1A6F4220">
        <w:tblPrEx>
          <w:tblCellMar>
            <w:top w:w="0" w:type="dxa"/>
            <w:left w:w="0" w:type="dxa"/>
            <w:bottom w:w="0" w:type="dxa"/>
            <w:right w:w="0" w:type="dxa"/>
          </w:tblCellMar>
        </w:tblPrEx>
        <w:trPr>
          <w:trHeight w:val="435"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2A71792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8</w:t>
            </w:r>
          </w:p>
        </w:tc>
        <w:tc>
          <w:tcPr>
            <w:tcW w:w="1881" w:type="dxa"/>
            <w:tcBorders>
              <w:top w:val="single" w:color="auto" w:sz="8" w:space="0"/>
              <w:left w:val="single" w:color="auto" w:sz="4" w:space="0"/>
              <w:bottom w:val="single" w:color="auto" w:sz="8" w:space="0"/>
              <w:right w:val="single" w:color="auto" w:sz="4" w:space="0"/>
            </w:tcBorders>
            <w:vAlign w:val="center"/>
          </w:tcPr>
          <w:p w14:paraId="16C0C732">
            <w:pPr>
              <w:pStyle w:val="15"/>
              <w:keepNext w:val="0"/>
              <w:keepLines w:val="0"/>
              <w:pageBreakBefore w:val="0"/>
              <w:kinsoku/>
              <w:wordWrap/>
              <w:overflowPunct/>
              <w:topLinePunct w:val="0"/>
              <w:autoSpaceDE/>
              <w:autoSpaceDN/>
              <w:bidi w:val="0"/>
              <w:adjustRightInd/>
              <w:snapToGrid/>
              <w:spacing w:line="520" w:lineRule="exact"/>
              <w:ind w:left="6503" w:leftChars="104" w:hanging="6285" w:hangingChars="2993"/>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投标文件份数</w:t>
            </w:r>
          </w:p>
        </w:tc>
        <w:tc>
          <w:tcPr>
            <w:tcW w:w="7275" w:type="dxa"/>
            <w:tcBorders>
              <w:top w:val="single" w:color="auto" w:sz="8" w:space="0"/>
              <w:left w:val="single" w:color="auto" w:sz="4" w:space="0"/>
              <w:bottom w:val="single" w:color="auto" w:sz="8" w:space="0"/>
              <w:right w:val="single" w:color="auto" w:sz="8" w:space="0"/>
            </w:tcBorders>
            <w:vAlign w:val="center"/>
          </w:tcPr>
          <w:p w14:paraId="2758992D">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加密电子</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文件应在</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截止时间前通过</w:t>
            </w:r>
            <w:r>
              <w:rPr>
                <w:rFonts w:hint="eastAsia" w:ascii="宋体" w:hAnsi="宋体" w:eastAsia="宋体" w:cs="宋体"/>
                <w:b/>
                <w:bCs/>
                <w:color w:val="auto"/>
                <w:sz w:val="21"/>
                <w:szCs w:val="21"/>
                <w:highlight w:val="none"/>
                <w:lang w:val="en-US" w:eastAsia="zh-CN"/>
              </w:rPr>
              <w:t>登录新点电子交易平台【滁州专区】上传投标文件</w:t>
            </w:r>
            <w:r>
              <w:rPr>
                <w:rFonts w:hint="eastAsia" w:ascii="宋体" w:hAnsi="宋体" w:eastAsia="宋体" w:cs="宋体"/>
                <w:b/>
                <w:bCs/>
                <w:color w:val="auto"/>
                <w:sz w:val="21"/>
                <w:szCs w:val="21"/>
                <w:highlight w:val="none"/>
              </w:rPr>
              <w:t>。</w:t>
            </w:r>
          </w:p>
          <w:p w14:paraId="39503417">
            <w:pPr>
              <w:pStyle w:val="15"/>
              <w:keepNext w:val="0"/>
              <w:keepLines w:val="0"/>
              <w:pageBreakBefore w:val="0"/>
              <w:kinsoku/>
              <w:wordWrap/>
              <w:overflowPunct/>
              <w:topLinePunct w:val="0"/>
              <w:autoSpaceDE/>
              <w:autoSpaceDN/>
              <w:bidi w:val="0"/>
              <w:adjustRightInd/>
              <w:snapToGrid/>
              <w:spacing w:line="520" w:lineRule="exact"/>
              <w:ind w:left="0" w:leftChars="0" w:firstLine="0" w:firstLineChars="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投标人中标</w:t>
            </w:r>
            <w:r>
              <w:rPr>
                <w:rFonts w:hint="eastAsia" w:ascii="宋体" w:hAnsi="宋体" w:eastAsia="宋体" w:cs="宋体"/>
                <w:b/>
                <w:bCs/>
                <w:color w:val="auto"/>
                <w:sz w:val="21"/>
                <w:szCs w:val="21"/>
                <w:highlight w:val="none"/>
              </w:rPr>
              <w:t>后须递交与网上电子</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文件完全一致的纸质版</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文件，并按要求加盖单位</w:t>
            </w:r>
            <w:r>
              <w:rPr>
                <w:rFonts w:hint="eastAsia" w:ascii="宋体" w:hAnsi="宋体" w:eastAsia="宋体" w:cs="宋体"/>
                <w:b/>
                <w:bCs/>
                <w:color w:val="auto"/>
                <w:sz w:val="21"/>
                <w:szCs w:val="21"/>
                <w:highlight w:val="none"/>
                <w:lang w:val="en-US" w:eastAsia="zh-CN"/>
              </w:rPr>
              <w:t>公</w:t>
            </w:r>
            <w:r>
              <w:rPr>
                <w:rFonts w:hint="eastAsia" w:ascii="宋体" w:hAnsi="宋体" w:eastAsia="宋体" w:cs="宋体"/>
                <w:b/>
                <w:bCs/>
                <w:color w:val="auto"/>
                <w:sz w:val="21"/>
                <w:szCs w:val="21"/>
                <w:highlight w:val="none"/>
              </w:rPr>
              <w:t xml:space="preserve">章；份数：正本 </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xml:space="preserve"> 份，副本</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份；</w:t>
            </w:r>
            <w:r>
              <w:rPr>
                <w:rFonts w:hint="eastAsia" w:ascii="宋体" w:hAnsi="宋体" w:eastAsia="宋体" w:cs="宋体"/>
                <w:b/>
                <w:bCs/>
                <w:color w:val="auto"/>
                <w:sz w:val="21"/>
                <w:szCs w:val="21"/>
                <w:highlight w:val="none"/>
                <w:lang w:val="en-US" w:eastAsia="zh-CN"/>
              </w:rPr>
              <w:t>中标人领</w:t>
            </w:r>
            <w:r>
              <w:rPr>
                <w:rFonts w:hint="eastAsia" w:ascii="宋体" w:hAnsi="宋体" w:eastAsia="宋体" w:cs="宋体"/>
                <w:b/>
                <w:bCs/>
                <w:color w:val="auto"/>
                <w:sz w:val="21"/>
                <w:szCs w:val="21"/>
                <w:highlight w:val="none"/>
              </w:rPr>
              <w:t>取</w:t>
            </w:r>
            <w:r>
              <w:rPr>
                <w:rFonts w:hint="eastAsia" w:ascii="宋体" w:hAnsi="宋体" w:eastAsia="宋体" w:cs="宋体"/>
                <w:b/>
                <w:bCs/>
                <w:color w:val="auto"/>
                <w:sz w:val="21"/>
                <w:szCs w:val="21"/>
                <w:highlight w:val="none"/>
                <w:lang w:val="en-US" w:eastAsia="zh-CN"/>
              </w:rPr>
              <w:t>中标</w:t>
            </w:r>
            <w:r>
              <w:rPr>
                <w:rFonts w:hint="eastAsia" w:ascii="宋体" w:hAnsi="宋体" w:eastAsia="宋体" w:cs="宋体"/>
                <w:b/>
                <w:bCs/>
                <w:color w:val="auto"/>
                <w:sz w:val="21"/>
                <w:szCs w:val="21"/>
                <w:highlight w:val="none"/>
              </w:rPr>
              <w:t>通知书时，一并递交给代理机构）。</w:t>
            </w:r>
          </w:p>
        </w:tc>
      </w:tr>
      <w:tr w14:paraId="7CD48083">
        <w:tblPrEx>
          <w:tblCellMar>
            <w:top w:w="0" w:type="dxa"/>
            <w:left w:w="0" w:type="dxa"/>
            <w:bottom w:w="0" w:type="dxa"/>
            <w:right w:w="0" w:type="dxa"/>
          </w:tblCellMar>
        </w:tblPrEx>
        <w:trPr>
          <w:trHeight w:val="662"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D0DB56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9</w:t>
            </w:r>
          </w:p>
        </w:tc>
        <w:tc>
          <w:tcPr>
            <w:tcW w:w="1881" w:type="dxa"/>
            <w:tcBorders>
              <w:top w:val="single" w:color="auto" w:sz="8" w:space="0"/>
              <w:left w:val="single" w:color="auto" w:sz="4" w:space="0"/>
              <w:bottom w:val="single" w:color="auto" w:sz="8" w:space="0"/>
              <w:right w:val="single" w:color="auto" w:sz="4" w:space="0"/>
            </w:tcBorders>
            <w:vAlign w:val="center"/>
          </w:tcPr>
          <w:p w14:paraId="3DC452B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投标保证金</w:t>
            </w:r>
          </w:p>
        </w:tc>
        <w:tc>
          <w:tcPr>
            <w:tcW w:w="7275" w:type="dxa"/>
            <w:tcBorders>
              <w:top w:val="single" w:color="auto" w:sz="8" w:space="0"/>
              <w:left w:val="single" w:color="auto" w:sz="4" w:space="0"/>
              <w:bottom w:val="single" w:color="auto" w:sz="8" w:space="0"/>
              <w:right w:val="single" w:color="auto" w:sz="8" w:space="0"/>
            </w:tcBorders>
            <w:vAlign w:val="center"/>
          </w:tcPr>
          <w:p w14:paraId="550BF174">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lang w:val="en-US" w:eastAsia="zh-CN"/>
              </w:rPr>
              <w:t>本项目无投标保证金</w:t>
            </w:r>
          </w:p>
        </w:tc>
      </w:tr>
      <w:tr w14:paraId="64A792F5">
        <w:tblPrEx>
          <w:tblCellMar>
            <w:top w:w="0" w:type="dxa"/>
            <w:left w:w="0" w:type="dxa"/>
            <w:bottom w:w="0" w:type="dxa"/>
            <w:right w:w="0" w:type="dxa"/>
          </w:tblCellMar>
        </w:tblPrEx>
        <w:trPr>
          <w:trHeight w:val="637" w:hRule="atLeast"/>
          <w:jc w:val="center"/>
        </w:trPr>
        <w:tc>
          <w:tcPr>
            <w:tcW w:w="831" w:type="dxa"/>
            <w:tcBorders>
              <w:top w:val="single" w:color="auto" w:sz="8" w:space="0"/>
              <w:left w:val="single" w:color="auto" w:sz="8" w:space="0"/>
              <w:bottom w:val="single" w:color="auto" w:sz="8" w:space="0"/>
              <w:right w:val="single" w:color="auto" w:sz="8" w:space="0"/>
            </w:tcBorders>
            <w:shd w:val="clear" w:color="auto" w:fill="auto"/>
            <w:vAlign w:val="center"/>
          </w:tcPr>
          <w:p w14:paraId="47E47A11">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10</w:t>
            </w:r>
          </w:p>
        </w:tc>
        <w:tc>
          <w:tcPr>
            <w:tcW w:w="1881" w:type="dxa"/>
            <w:tcBorders>
              <w:top w:val="single" w:color="auto" w:sz="8" w:space="0"/>
              <w:left w:val="single" w:color="auto" w:sz="4" w:space="0"/>
              <w:bottom w:val="single" w:color="auto" w:sz="8" w:space="0"/>
              <w:right w:val="single" w:color="auto" w:sz="4" w:space="0"/>
            </w:tcBorders>
            <w:shd w:val="clear" w:color="auto" w:fill="auto"/>
            <w:vAlign w:val="center"/>
          </w:tcPr>
          <w:p w14:paraId="0058762A">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最高限价</w:t>
            </w:r>
          </w:p>
        </w:tc>
        <w:tc>
          <w:tcPr>
            <w:tcW w:w="7275" w:type="dxa"/>
            <w:tcBorders>
              <w:top w:val="single" w:color="auto" w:sz="8" w:space="0"/>
              <w:left w:val="single" w:color="auto" w:sz="4" w:space="0"/>
              <w:bottom w:val="single" w:color="auto" w:sz="8" w:space="0"/>
              <w:right w:val="single" w:color="auto" w:sz="8" w:space="0"/>
            </w:tcBorders>
            <w:shd w:val="clear" w:color="auto" w:fill="auto"/>
            <w:vAlign w:val="center"/>
          </w:tcPr>
          <w:p w14:paraId="29D4EEA7">
            <w:pPr>
              <w:pStyle w:val="2"/>
              <w:keepNext w:val="0"/>
              <w:keepLines w:val="0"/>
              <w:pageBreakBefore w:val="0"/>
              <w:kinsoku/>
              <w:wordWrap/>
              <w:overflowPunct/>
              <w:autoSpaceDE/>
              <w:autoSpaceDN/>
              <w:bidi w:val="0"/>
              <w:spacing w:after="0" w:line="520" w:lineRule="exact"/>
              <w:ind w:left="0" w:leftChars="0" w:firstLine="0" w:firstLineChars="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本项目最高限价为</w:t>
            </w:r>
            <w:r>
              <w:rPr>
                <w:rFonts w:hint="eastAsia" w:hAnsi="宋体" w:eastAsia="宋体" w:cs="宋体"/>
                <w:b/>
                <w:bCs/>
                <w:color w:val="auto"/>
                <w:sz w:val="21"/>
                <w:szCs w:val="21"/>
                <w:highlight w:val="none"/>
                <w:lang w:val="en-US" w:eastAsia="zh-CN"/>
              </w:rPr>
              <w:t>贰万元整</w:t>
            </w:r>
            <w:r>
              <w:rPr>
                <w:rFonts w:hint="eastAsia" w:ascii="宋体" w:hAnsi="宋体" w:eastAsia="宋体" w:cs="宋体"/>
                <w:b/>
                <w:bCs/>
                <w:color w:val="auto"/>
                <w:sz w:val="21"/>
                <w:szCs w:val="21"/>
                <w:highlight w:val="none"/>
                <w:lang w:val="en-US" w:eastAsia="zh-CN"/>
              </w:rPr>
              <w:t>（</w:t>
            </w:r>
            <w:r>
              <w:rPr>
                <w:rFonts w:hint="eastAsia" w:hAnsi="宋体" w:eastAsia="宋体" w:cs="宋体"/>
                <w:b/>
                <w:bCs/>
                <w:color w:val="auto"/>
                <w:sz w:val="21"/>
                <w:szCs w:val="21"/>
                <w:highlight w:val="none"/>
                <w:lang w:val="en-US" w:eastAsia="zh-CN"/>
              </w:rPr>
              <w:t>20000.00</w:t>
            </w:r>
            <w:r>
              <w:rPr>
                <w:rFonts w:hint="eastAsia" w:ascii="宋体" w:hAnsi="宋体" w:eastAsia="宋体" w:cs="宋体"/>
                <w:b/>
                <w:bCs/>
                <w:color w:val="auto"/>
                <w:sz w:val="21"/>
                <w:szCs w:val="21"/>
                <w:highlight w:val="none"/>
                <w:lang w:val="en-US" w:eastAsia="zh-CN"/>
              </w:rPr>
              <w:t>元），高于最高投标限价的按无效标处理。</w:t>
            </w:r>
          </w:p>
        </w:tc>
      </w:tr>
      <w:tr w14:paraId="7246DDE6">
        <w:tblPrEx>
          <w:tblCellMar>
            <w:top w:w="0" w:type="dxa"/>
            <w:left w:w="0" w:type="dxa"/>
            <w:bottom w:w="0" w:type="dxa"/>
            <w:right w:w="0" w:type="dxa"/>
          </w:tblCellMar>
        </w:tblPrEx>
        <w:trPr>
          <w:trHeight w:val="61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4A0C6B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881" w:type="dxa"/>
            <w:tcBorders>
              <w:top w:val="single" w:color="auto" w:sz="8" w:space="0"/>
              <w:left w:val="single" w:color="auto" w:sz="4" w:space="0"/>
              <w:bottom w:val="single" w:color="auto" w:sz="8" w:space="0"/>
              <w:right w:val="single" w:color="auto" w:sz="4" w:space="0"/>
            </w:tcBorders>
            <w:shd w:val="clear" w:color="auto" w:fill="auto"/>
            <w:vAlign w:val="center"/>
          </w:tcPr>
          <w:p w14:paraId="3253F87D">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投标有效期</w:t>
            </w:r>
          </w:p>
        </w:tc>
        <w:tc>
          <w:tcPr>
            <w:tcW w:w="7275" w:type="dxa"/>
            <w:tcBorders>
              <w:top w:val="single" w:color="auto" w:sz="8" w:space="0"/>
              <w:left w:val="single" w:color="auto" w:sz="4" w:space="0"/>
              <w:bottom w:val="single" w:color="auto" w:sz="8" w:space="0"/>
              <w:right w:val="single" w:color="auto" w:sz="8" w:space="0"/>
            </w:tcBorders>
            <w:shd w:val="clear" w:color="auto" w:fill="auto"/>
            <w:vAlign w:val="center"/>
          </w:tcPr>
          <w:p w14:paraId="265EA630">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1DF888CB">
        <w:tblPrEx>
          <w:tblCellMar>
            <w:top w:w="0" w:type="dxa"/>
            <w:left w:w="0" w:type="dxa"/>
            <w:bottom w:w="0" w:type="dxa"/>
            <w:right w:w="0" w:type="dxa"/>
          </w:tblCellMar>
        </w:tblPrEx>
        <w:trPr>
          <w:trHeight w:val="559"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EE18CE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w:t>
            </w:r>
          </w:p>
        </w:tc>
        <w:tc>
          <w:tcPr>
            <w:tcW w:w="1881" w:type="dxa"/>
            <w:tcBorders>
              <w:top w:val="single" w:color="auto" w:sz="8" w:space="0"/>
              <w:left w:val="single" w:color="auto" w:sz="4" w:space="0"/>
              <w:bottom w:val="single" w:color="auto" w:sz="8" w:space="0"/>
              <w:right w:val="single" w:color="auto" w:sz="4" w:space="0"/>
            </w:tcBorders>
            <w:vAlign w:val="center"/>
          </w:tcPr>
          <w:p w14:paraId="7A2D5162">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开标时间</w:t>
            </w:r>
          </w:p>
        </w:tc>
        <w:tc>
          <w:tcPr>
            <w:tcW w:w="7275" w:type="dxa"/>
            <w:tcBorders>
              <w:top w:val="single" w:color="auto" w:sz="8" w:space="0"/>
              <w:left w:val="single" w:color="auto" w:sz="4" w:space="0"/>
              <w:bottom w:val="single" w:color="auto" w:sz="8" w:space="0"/>
              <w:right w:val="single" w:color="auto" w:sz="8" w:space="0"/>
            </w:tcBorders>
            <w:vAlign w:val="center"/>
          </w:tcPr>
          <w:p w14:paraId="1FB017A2">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lang w:val="en-US" w:eastAsia="zh-CN"/>
              </w:rPr>
              <w:t>开标时间：</w:t>
            </w:r>
            <w:r>
              <w:rPr>
                <w:rFonts w:hint="eastAsia" w:ascii="宋体" w:hAnsi="宋体" w:eastAsia="宋体" w:cs="宋体"/>
                <w:b/>
                <w:bCs/>
                <w:color w:val="auto"/>
                <w:sz w:val="21"/>
                <w:szCs w:val="21"/>
                <w:highlight w:val="none"/>
                <w:u w:val="none"/>
              </w:rPr>
              <w:t>202</w:t>
            </w:r>
            <w:r>
              <w:rPr>
                <w:rFonts w:hint="eastAsia" w:ascii="宋体" w:hAnsi="宋体" w:eastAsia="宋体" w:cs="宋体"/>
                <w:b/>
                <w:bCs/>
                <w:color w:val="auto"/>
                <w:sz w:val="21"/>
                <w:szCs w:val="21"/>
                <w:highlight w:val="none"/>
                <w:u w:val="none"/>
                <w:lang w:val="en-US" w:eastAsia="zh-CN"/>
              </w:rPr>
              <w:t>6</w:t>
            </w:r>
            <w:r>
              <w:rPr>
                <w:rFonts w:hint="eastAsia" w:ascii="宋体" w:hAnsi="宋体" w:eastAsia="宋体" w:cs="宋体"/>
                <w:b/>
                <w:bCs/>
                <w:color w:val="auto"/>
                <w:sz w:val="21"/>
                <w:szCs w:val="21"/>
                <w:highlight w:val="none"/>
                <w:u w:val="none"/>
              </w:rPr>
              <w:t>年</w:t>
            </w:r>
            <w:r>
              <w:rPr>
                <w:rFonts w:hint="eastAsia" w:ascii="宋体" w:hAnsi="宋体" w:eastAsia="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30</w:t>
            </w:r>
            <w:r>
              <w:rPr>
                <w:rFonts w:hint="eastAsia" w:ascii="宋体" w:hAnsi="宋体" w:eastAsia="宋体" w:cs="宋体"/>
                <w:b/>
                <w:bCs/>
                <w:color w:val="auto"/>
                <w:sz w:val="21"/>
                <w:szCs w:val="21"/>
                <w:highlight w:val="none"/>
                <w:u w:val="none"/>
              </w:rPr>
              <w:t>日</w:t>
            </w:r>
            <w:r>
              <w:rPr>
                <w:rFonts w:hint="eastAsia" w:ascii="宋体" w:hAnsi="宋体" w:eastAsia="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时</w:t>
            </w:r>
            <w:r>
              <w:rPr>
                <w:rFonts w:hint="eastAsia" w:ascii="宋体" w:hAnsi="宋体" w:eastAsia="宋体" w:cs="宋体"/>
                <w:b/>
                <w:bCs/>
                <w:color w:val="auto"/>
                <w:sz w:val="21"/>
                <w:szCs w:val="21"/>
                <w:highlight w:val="none"/>
                <w:u w:val="none"/>
                <w:lang w:val="en-US" w:eastAsia="zh-CN"/>
              </w:rPr>
              <w:t>00</w:t>
            </w:r>
            <w:r>
              <w:rPr>
                <w:rFonts w:hint="eastAsia" w:ascii="宋体" w:hAnsi="宋体" w:eastAsia="宋体" w:cs="宋体"/>
                <w:b/>
                <w:bCs/>
                <w:color w:val="auto"/>
                <w:sz w:val="21"/>
                <w:szCs w:val="21"/>
                <w:highlight w:val="none"/>
                <w:u w:val="none"/>
              </w:rPr>
              <w:t>分</w:t>
            </w:r>
          </w:p>
          <w:p w14:paraId="5CF7210A">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解密时间：</w:t>
            </w:r>
            <w:r>
              <w:rPr>
                <w:rFonts w:hint="eastAsia" w:ascii="宋体" w:hAnsi="宋体" w:eastAsia="宋体" w:cs="宋体"/>
                <w:color w:val="auto"/>
                <w:sz w:val="21"/>
                <w:szCs w:val="21"/>
                <w:highlight w:val="none"/>
              </w:rPr>
              <w:t>解密程序开始后</w:t>
            </w:r>
            <w:r>
              <w:rPr>
                <w:rFonts w:hint="eastAsia" w:ascii="宋体" w:hAnsi="宋体" w:eastAsia="宋体" w:cs="宋体"/>
                <w:color w:val="auto"/>
                <w:sz w:val="21"/>
                <w:szCs w:val="21"/>
                <w:highlight w:val="none"/>
                <w:u w:val="none"/>
                <w:lang w:val="en-US" w:eastAsia="zh-CN"/>
              </w:rPr>
              <w:t>30</w:t>
            </w:r>
            <w:r>
              <w:rPr>
                <w:rFonts w:hint="eastAsia" w:ascii="宋体" w:hAnsi="宋体" w:eastAsia="宋体" w:cs="宋体"/>
                <w:color w:val="auto"/>
                <w:sz w:val="21"/>
                <w:szCs w:val="21"/>
                <w:highlight w:val="none"/>
              </w:rPr>
              <w:t>分钟内</w:t>
            </w:r>
            <w:r>
              <w:rPr>
                <w:rFonts w:hint="eastAsia" w:ascii="宋体" w:hAnsi="宋体" w:eastAsia="宋体" w:cs="宋体"/>
                <w:bCs/>
                <w:snapToGrid w:val="0"/>
                <w:color w:val="auto"/>
                <w:kern w:val="0"/>
                <w:sz w:val="21"/>
                <w:szCs w:val="21"/>
                <w:highlight w:val="none"/>
              </w:rPr>
              <w:t>，</w:t>
            </w:r>
            <w:r>
              <w:rPr>
                <w:rFonts w:hint="eastAsia" w:ascii="宋体" w:hAnsi="宋体" w:eastAsia="宋体" w:cs="宋体"/>
                <w:b/>
                <w:bCs/>
                <w:color w:val="auto"/>
                <w:sz w:val="21"/>
                <w:szCs w:val="21"/>
                <w:highlight w:val="none"/>
              </w:rPr>
              <w:t>解密时间为</w:t>
            </w:r>
            <w:r>
              <w:rPr>
                <w:rFonts w:hint="eastAsia" w:ascii="宋体" w:hAnsi="宋体" w:eastAsia="宋体"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u w:val="single"/>
                <w:lang w:val="en-US" w:eastAsia="zh-CN"/>
              </w:rPr>
              <w:t>30</w:t>
            </w:r>
            <w:r>
              <w:rPr>
                <w:rFonts w:hint="eastAsia" w:ascii="宋体" w:hAnsi="宋体" w:eastAsia="宋体" w:cs="宋体"/>
                <w:b/>
                <w:bCs/>
                <w:color w:val="auto"/>
                <w:sz w:val="21"/>
                <w:szCs w:val="21"/>
                <w:highlight w:val="none"/>
              </w:rPr>
              <w:t>日</w:t>
            </w:r>
            <w:r>
              <w:rPr>
                <w:rFonts w:hint="eastAsia" w:ascii="宋体" w:hAnsi="宋体" w:eastAsia="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u w:val="single"/>
                <w:lang w:val="en-US" w:eastAsia="zh-CN"/>
              </w:rPr>
              <w:t>00</w:t>
            </w:r>
            <w:r>
              <w:rPr>
                <w:rFonts w:hint="eastAsia" w:ascii="宋体" w:hAnsi="宋体" w:eastAsia="宋体" w:cs="宋体"/>
                <w:b/>
                <w:bCs/>
                <w:color w:val="auto"/>
                <w:sz w:val="21"/>
                <w:szCs w:val="21"/>
                <w:highlight w:val="none"/>
              </w:rPr>
              <w:t>分至</w:t>
            </w:r>
            <w:r>
              <w:rPr>
                <w:rFonts w:hint="eastAsia" w:ascii="宋体" w:hAnsi="宋体" w:eastAsia="宋体" w:cs="宋体"/>
                <w:b/>
                <w:bCs/>
                <w:color w:val="auto"/>
                <w:sz w:val="21"/>
                <w:szCs w:val="21"/>
                <w:highlight w:val="none"/>
                <w:u w:val="single"/>
                <w:lang w:val="en-US" w:eastAsia="zh-CN"/>
              </w:rPr>
              <w:t>2026</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u w:val="single"/>
                <w:lang w:val="en-US" w:eastAsia="zh-CN"/>
              </w:rPr>
              <w:t>30</w:t>
            </w:r>
            <w:r>
              <w:rPr>
                <w:rFonts w:hint="eastAsia" w:ascii="宋体" w:hAnsi="宋体" w:eastAsia="宋体" w:cs="宋体"/>
                <w:b/>
                <w:bCs/>
                <w:color w:val="auto"/>
                <w:sz w:val="21"/>
                <w:szCs w:val="21"/>
                <w:highlight w:val="none"/>
              </w:rPr>
              <w:t>日</w:t>
            </w:r>
            <w:r>
              <w:rPr>
                <w:rFonts w:hint="eastAsia" w:ascii="宋体" w:hAnsi="宋体" w:eastAsia="宋体" w:cs="宋体"/>
                <w:b/>
                <w:bCs/>
                <w:color w:val="auto"/>
                <w:sz w:val="21"/>
                <w:szCs w:val="21"/>
                <w:highlight w:val="none"/>
                <w:u w:val="singl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u w:val="single"/>
                <w:lang w:val="en-US" w:eastAsia="zh-CN"/>
              </w:rPr>
              <w:t>30</w:t>
            </w:r>
            <w:r>
              <w:rPr>
                <w:rFonts w:hint="eastAsia" w:ascii="宋体" w:hAnsi="宋体" w:eastAsia="宋体" w:cs="宋体"/>
                <w:b/>
                <w:bCs/>
                <w:color w:val="auto"/>
                <w:sz w:val="21"/>
                <w:szCs w:val="21"/>
                <w:highlight w:val="none"/>
              </w:rPr>
              <w:t>分</w:t>
            </w:r>
            <w:r>
              <w:rPr>
                <w:rFonts w:hint="eastAsia" w:ascii="宋体" w:hAnsi="宋体" w:eastAsia="宋体" w:cs="宋体"/>
                <w:bCs/>
                <w:snapToGrid w:val="0"/>
                <w:color w:val="auto"/>
                <w:kern w:val="0"/>
                <w:sz w:val="21"/>
                <w:szCs w:val="21"/>
                <w:highlight w:val="none"/>
              </w:rPr>
              <w:t>（以电子交易系统解密倒计时为准）</w:t>
            </w:r>
          </w:p>
        </w:tc>
      </w:tr>
      <w:tr w14:paraId="22AC8A55">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C518AAA">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w:t>
            </w:r>
          </w:p>
        </w:tc>
        <w:tc>
          <w:tcPr>
            <w:tcW w:w="1881" w:type="dxa"/>
            <w:tcBorders>
              <w:top w:val="single" w:color="auto" w:sz="8" w:space="0"/>
              <w:left w:val="single" w:color="auto" w:sz="4" w:space="0"/>
              <w:bottom w:val="single" w:color="auto" w:sz="8" w:space="0"/>
              <w:right w:val="single" w:color="auto" w:sz="4" w:space="0"/>
            </w:tcBorders>
            <w:vAlign w:val="center"/>
          </w:tcPr>
          <w:p w14:paraId="1E2A3C6B">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投标文件提交截止时间及地点</w:t>
            </w:r>
          </w:p>
        </w:tc>
        <w:tc>
          <w:tcPr>
            <w:tcW w:w="7275" w:type="dxa"/>
            <w:tcBorders>
              <w:top w:val="single" w:color="auto" w:sz="8" w:space="0"/>
              <w:left w:val="single" w:color="auto" w:sz="4" w:space="0"/>
              <w:bottom w:val="single" w:color="auto" w:sz="8" w:space="0"/>
              <w:right w:val="single" w:color="auto" w:sz="8" w:space="0"/>
            </w:tcBorders>
            <w:vAlign w:val="center"/>
          </w:tcPr>
          <w:p w14:paraId="133AD02D">
            <w:pPr>
              <w:keepNext w:val="0"/>
              <w:keepLines w:val="0"/>
              <w:pageBreakBefore w:val="0"/>
              <w:widowControl/>
              <w:kinsoku/>
              <w:wordWrap/>
              <w:overflowPunct/>
              <w:topLinePunct w:val="0"/>
              <w:autoSpaceDE/>
              <w:autoSpaceDN/>
              <w:bidi w:val="0"/>
              <w:adjustRightIn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时间：</w:t>
            </w:r>
            <w:r>
              <w:rPr>
                <w:rFonts w:hint="eastAsia" w:ascii="宋体" w:hAnsi="宋体" w:eastAsia="宋体" w:cs="宋体"/>
                <w:b/>
                <w:bCs/>
                <w:color w:val="auto"/>
                <w:sz w:val="21"/>
                <w:szCs w:val="21"/>
                <w:highlight w:val="none"/>
                <w:u w:val="none"/>
              </w:rPr>
              <w:t>202</w:t>
            </w:r>
            <w:r>
              <w:rPr>
                <w:rFonts w:hint="eastAsia" w:ascii="宋体" w:hAnsi="宋体" w:eastAsia="宋体" w:cs="宋体"/>
                <w:b/>
                <w:bCs/>
                <w:color w:val="auto"/>
                <w:sz w:val="21"/>
                <w:szCs w:val="21"/>
                <w:highlight w:val="none"/>
                <w:u w:val="none"/>
                <w:lang w:val="en-US" w:eastAsia="zh-CN"/>
              </w:rPr>
              <w:t>6</w:t>
            </w:r>
            <w:r>
              <w:rPr>
                <w:rFonts w:hint="eastAsia" w:ascii="宋体" w:hAnsi="宋体" w:eastAsia="宋体" w:cs="宋体"/>
                <w:b/>
                <w:bCs/>
                <w:color w:val="auto"/>
                <w:sz w:val="21"/>
                <w:szCs w:val="21"/>
                <w:highlight w:val="none"/>
                <w:u w:val="none"/>
              </w:rPr>
              <w:t>年</w:t>
            </w:r>
            <w:r>
              <w:rPr>
                <w:rFonts w:hint="eastAsia" w:ascii="宋体" w:hAnsi="宋体" w:eastAsia="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30</w:t>
            </w:r>
            <w:r>
              <w:rPr>
                <w:rFonts w:hint="eastAsia" w:ascii="宋体" w:hAnsi="宋体" w:eastAsia="宋体" w:cs="宋体"/>
                <w:b/>
                <w:bCs/>
                <w:color w:val="auto"/>
                <w:sz w:val="21"/>
                <w:szCs w:val="21"/>
                <w:highlight w:val="none"/>
                <w:u w:val="none"/>
              </w:rPr>
              <w:t>日</w:t>
            </w:r>
            <w:r>
              <w:rPr>
                <w:rFonts w:hint="eastAsia" w:ascii="宋体" w:hAnsi="宋体" w:eastAsia="宋体" w:cs="宋体"/>
                <w:b/>
                <w:bCs/>
                <w:color w:val="auto"/>
                <w:sz w:val="21"/>
                <w:szCs w:val="21"/>
                <w:highlight w:val="none"/>
                <w:u w:val="none"/>
                <w:lang w:val="en-US" w:eastAsia="zh-CN"/>
              </w:rPr>
              <w:t>9</w:t>
            </w:r>
            <w:r>
              <w:rPr>
                <w:rFonts w:hint="eastAsia" w:ascii="宋体" w:hAnsi="宋体" w:eastAsia="宋体" w:cs="宋体"/>
                <w:b/>
                <w:bCs/>
                <w:color w:val="auto"/>
                <w:sz w:val="21"/>
                <w:szCs w:val="21"/>
                <w:highlight w:val="none"/>
                <w:u w:val="none"/>
              </w:rPr>
              <w:t>时</w:t>
            </w:r>
            <w:r>
              <w:rPr>
                <w:rFonts w:hint="eastAsia" w:ascii="宋体" w:hAnsi="宋体" w:eastAsia="宋体" w:cs="宋体"/>
                <w:b/>
                <w:bCs/>
                <w:color w:val="auto"/>
                <w:sz w:val="21"/>
                <w:szCs w:val="21"/>
                <w:highlight w:val="none"/>
                <w:u w:val="none"/>
                <w:lang w:val="en-US" w:eastAsia="zh-CN"/>
              </w:rPr>
              <w:t>00</w:t>
            </w:r>
            <w:r>
              <w:rPr>
                <w:rFonts w:hint="eastAsia" w:ascii="宋体" w:hAnsi="宋体" w:eastAsia="宋体" w:cs="宋体"/>
                <w:b/>
                <w:bCs/>
                <w:color w:val="auto"/>
                <w:sz w:val="21"/>
                <w:szCs w:val="21"/>
                <w:highlight w:val="none"/>
                <w:u w:val="none"/>
              </w:rPr>
              <w:t>分</w:t>
            </w:r>
          </w:p>
          <w:p w14:paraId="11617161">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地点：</w:t>
            </w:r>
            <w:r>
              <w:rPr>
                <w:rFonts w:hint="eastAsia" w:ascii="宋体" w:hAnsi="宋体" w:eastAsia="宋体" w:cs="宋体"/>
                <w:color w:val="auto"/>
                <w:kern w:val="0"/>
                <w:sz w:val="21"/>
                <w:szCs w:val="21"/>
                <w:highlight w:val="none"/>
                <w:lang w:val="en-US" w:eastAsia="zh-CN"/>
              </w:rPr>
              <w:t>本项目仅接受加密电子投标文件，投标人在投标截止时间前通过新点电子交易平台后在【滁州专区】（https://www.etrading.cn/BREpointSSO/login/oauth2login?regioncode=DQ_ChuZhou）交易系统递交电子投标文件。</w:t>
            </w:r>
          </w:p>
        </w:tc>
      </w:tr>
      <w:tr w14:paraId="49AB4189">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BFF2FCD">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w:t>
            </w:r>
          </w:p>
        </w:tc>
        <w:tc>
          <w:tcPr>
            <w:tcW w:w="1881" w:type="dxa"/>
            <w:tcBorders>
              <w:top w:val="single" w:color="auto" w:sz="8" w:space="0"/>
              <w:left w:val="single" w:color="auto" w:sz="4" w:space="0"/>
              <w:bottom w:val="single" w:color="auto" w:sz="8" w:space="0"/>
              <w:right w:val="single" w:color="auto" w:sz="4" w:space="0"/>
            </w:tcBorders>
            <w:vAlign w:val="center"/>
          </w:tcPr>
          <w:p w14:paraId="72607938">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是否退还</w:t>
            </w:r>
            <w:r>
              <w:rPr>
                <w:rFonts w:hint="eastAsia" w:ascii="宋体" w:hAnsi="宋体" w:eastAsia="宋体" w:cs="宋体"/>
                <w:bCs/>
                <w:color w:val="auto"/>
                <w:sz w:val="21"/>
                <w:szCs w:val="21"/>
                <w:highlight w:val="none"/>
                <w:lang w:val="en-US" w:eastAsia="zh-CN"/>
              </w:rPr>
              <w:t>投标文件</w:t>
            </w:r>
          </w:p>
        </w:tc>
        <w:tc>
          <w:tcPr>
            <w:tcW w:w="7275" w:type="dxa"/>
            <w:tcBorders>
              <w:top w:val="single" w:color="auto" w:sz="8" w:space="0"/>
              <w:left w:val="single" w:color="auto" w:sz="4" w:space="0"/>
              <w:bottom w:val="single" w:color="auto" w:sz="8" w:space="0"/>
              <w:right w:val="single" w:color="auto" w:sz="8" w:space="0"/>
            </w:tcBorders>
            <w:vAlign w:val="center"/>
          </w:tcPr>
          <w:p w14:paraId="6882F73B">
            <w:pPr>
              <w:pStyle w:val="12"/>
              <w:keepNext w:val="0"/>
              <w:keepLines w:val="0"/>
              <w:pageBreakBefore w:val="0"/>
              <w:kinsoku/>
              <w:wordWrap/>
              <w:overflowPunct/>
              <w:topLine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否</w:t>
            </w:r>
          </w:p>
        </w:tc>
      </w:tr>
      <w:tr w14:paraId="0D44FCE2">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0201AA15">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w:t>
            </w:r>
          </w:p>
        </w:tc>
        <w:tc>
          <w:tcPr>
            <w:tcW w:w="1881" w:type="dxa"/>
            <w:tcBorders>
              <w:top w:val="single" w:color="auto" w:sz="8" w:space="0"/>
              <w:left w:val="single" w:color="auto" w:sz="4" w:space="0"/>
              <w:bottom w:val="single" w:color="auto" w:sz="8" w:space="0"/>
              <w:right w:val="single" w:color="auto" w:sz="4" w:space="0"/>
            </w:tcBorders>
            <w:shd w:val="clear" w:color="auto" w:fill="auto"/>
            <w:vAlign w:val="center"/>
          </w:tcPr>
          <w:p w14:paraId="3E0FAA16">
            <w:pPr>
              <w:keepNext w:val="0"/>
              <w:keepLines w:val="0"/>
              <w:pageBreakBefore w:val="0"/>
              <w:kinsoku/>
              <w:wordWrap/>
              <w:overflowPunct/>
              <w:topLinePunct w:val="0"/>
              <w:autoSpaceDE/>
              <w:autoSpaceDN/>
              <w:bidi w:val="0"/>
              <w:adjustRightInd/>
              <w:spacing w:line="5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开标程序</w:t>
            </w:r>
          </w:p>
        </w:tc>
        <w:tc>
          <w:tcPr>
            <w:tcW w:w="7275" w:type="dxa"/>
            <w:tcBorders>
              <w:top w:val="single" w:color="auto" w:sz="8" w:space="0"/>
              <w:left w:val="single" w:color="auto" w:sz="4" w:space="0"/>
              <w:bottom w:val="single" w:color="auto" w:sz="8" w:space="0"/>
              <w:right w:val="single" w:color="auto" w:sz="8" w:space="0"/>
            </w:tcBorders>
            <w:shd w:val="clear" w:color="auto" w:fill="auto"/>
            <w:vAlign w:val="center"/>
          </w:tcPr>
          <w:p w14:paraId="655498FA">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再进行评审。</w:t>
            </w:r>
          </w:p>
        </w:tc>
      </w:tr>
      <w:tr w14:paraId="05319246">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17479927">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w:t>
            </w:r>
          </w:p>
        </w:tc>
        <w:tc>
          <w:tcPr>
            <w:tcW w:w="1881" w:type="dxa"/>
            <w:tcBorders>
              <w:top w:val="single" w:color="auto" w:sz="8" w:space="0"/>
              <w:left w:val="single" w:color="auto" w:sz="4" w:space="0"/>
              <w:bottom w:val="single" w:color="auto" w:sz="8" w:space="0"/>
              <w:right w:val="single" w:color="auto" w:sz="4" w:space="0"/>
            </w:tcBorders>
            <w:vAlign w:val="center"/>
          </w:tcPr>
          <w:p w14:paraId="1D0CC42A">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评标委员会的组建</w:t>
            </w:r>
          </w:p>
        </w:tc>
        <w:tc>
          <w:tcPr>
            <w:tcW w:w="7275" w:type="dxa"/>
            <w:tcBorders>
              <w:top w:val="single" w:color="auto" w:sz="8" w:space="0"/>
              <w:left w:val="single" w:color="auto" w:sz="4" w:space="0"/>
              <w:bottom w:val="single" w:color="auto" w:sz="8" w:space="0"/>
              <w:right w:val="single" w:color="auto" w:sz="8" w:space="0"/>
            </w:tcBorders>
            <w:vAlign w:val="center"/>
          </w:tcPr>
          <w:p w14:paraId="53C1C48C">
            <w:pPr>
              <w:pStyle w:val="14"/>
              <w:keepNext w:val="0"/>
              <w:keepLines w:val="0"/>
              <w:pageBreakBefore w:val="0"/>
              <w:kinsoku/>
              <w:wordWrap/>
              <w:overflowPunct/>
              <w:topLinePunct w:val="0"/>
              <w:autoSpaceDE/>
              <w:autoSpaceDN/>
              <w:bidi w:val="0"/>
              <w:adjustRightInd/>
              <w:spacing w:line="5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人，其中招标人代表</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人，评标专家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68975185">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评标专家确定方式：评标专家由招标人在评标活动开始前24小时内，通过抽取终端从专家库中随机抽取。</w:t>
            </w:r>
          </w:p>
        </w:tc>
      </w:tr>
      <w:tr w14:paraId="6E9C6D4C">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0D2B4113">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c>
          <w:tcPr>
            <w:tcW w:w="1881" w:type="dxa"/>
            <w:tcBorders>
              <w:top w:val="single" w:color="auto" w:sz="8" w:space="0"/>
              <w:left w:val="single" w:color="auto" w:sz="4" w:space="0"/>
              <w:bottom w:val="single" w:color="auto" w:sz="8" w:space="0"/>
              <w:right w:val="single" w:color="auto" w:sz="4" w:space="0"/>
            </w:tcBorders>
            <w:vAlign w:val="center"/>
          </w:tcPr>
          <w:p w14:paraId="7DE89038">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275" w:type="dxa"/>
            <w:tcBorders>
              <w:top w:val="single" w:color="auto" w:sz="8" w:space="0"/>
              <w:left w:val="single" w:color="auto" w:sz="4" w:space="0"/>
              <w:bottom w:val="single" w:color="auto" w:sz="8" w:space="0"/>
              <w:right w:val="single" w:color="auto" w:sz="8" w:space="0"/>
            </w:tcBorders>
            <w:vAlign w:val="center"/>
          </w:tcPr>
          <w:p w14:paraId="27788F93">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名，并标明排序。</w:t>
            </w:r>
          </w:p>
        </w:tc>
      </w:tr>
      <w:tr w14:paraId="63FFD8E3">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694955C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18</w:t>
            </w:r>
          </w:p>
        </w:tc>
        <w:tc>
          <w:tcPr>
            <w:tcW w:w="1881" w:type="dxa"/>
            <w:tcBorders>
              <w:top w:val="single" w:color="auto" w:sz="8" w:space="0"/>
              <w:left w:val="single" w:color="auto" w:sz="4" w:space="0"/>
              <w:bottom w:val="single" w:color="auto" w:sz="8" w:space="0"/>
              <w:right w:val="single" w:color="auto" w:sz="4" w:space="0"/>
            </w:tcBorders>
            <w:vAlign w:val="center"/>
          </w:tcPr>
          <w:p w14:paraId="3F070DB9">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中标候选人公示媒介</w:t>
            </w:r>
          </w:p>
        </w:tc>
        <w:tc>
          <w:tcPr>
            <w:tcW w:w="7275" w:type="dxa"/>
            <w:tcBorders>
              <w:top w:val="single" w:color="auto" w:sz="8" w:space="0"/>
              <w:left w:val="single" w:color="auto" w:sz="4" w:space="0"/>
              <w:bottom w:val="single" w:color="auto" w:sz="8" w:space="0"/>
              <w:right w:val="single" w:color="auto" w:sz="8" w:space="0"/>
            </w:tcBorders>
            <w:vAlign w:val="center"/>
          </w:tcPr>
          <w:p w14:paraId="54B03474">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中新苏滁高新技术产业开发区（https://scp.chuzhou.gov.cn/index.html）、滁州市城投工程咨询管理有限公司网站（https://www.czctgczx.com/）</w:t>
            </w:r>
          </w:p>
        </w:tc>
      </w:tr>
      <w:tr w14:paraId="03896BD0">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519BE318">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19</w:t>
            </w:r>
          </w:p>
        </w:tc>
        <w:tc>
          <w:tcPr>
            <w:tcW w:w="1881" w:type="dxa"/>
            <w:tcBorders>
              <w:top w:val="single" w:color="auto" w:sz="8" w:space="0"/>
              <w:left w:val="single" w:color="auto" w:sz="4" w:space="0"/>
              <w:bottom w:val="single" w:color="auto" w:sz="8" w:space="0"/>
              <w:right w:val="single" w:color="auto" w:sz="4" w:space="0"/>
            </w:tcBorders>
            <w:vAlign w:val="center"/>
          </w:tcPr>
          <w:p w14:paraId="4351D9F9">
            <w:pPr>
              <w:keepNext w:val="0"/>
              <w:keepLines w:val="0"/>
              <w:pageBreakBefore w:val="0"/>
              <w:kinsoku/>
              <w:wordWrap/>
              <w:overflowPunct/>
              <w:autoSpaceDE/>
              <w:autoSpaceDN/>
              <w:bidi w:val="0"/>
              <w:adjustRightInd w:val="0"/>
              <w:snapToGrid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中标通知书发出形式</w:t>
            </w:r>
          </w:p>
        </w:tc>
        <w:tc>
          <w:tcPr>
            <w:tcW w:w="7275" w:type="dxa"/>
            <w:tcBorders>
              <w:top w:val="single" w:color="auto" w:sz="8" w:space="0"/>
              <w:left w:val="single" w:color="auto" w:sz="4" w:space="0"/>
              <w:bottom w:val="single" w:color="auto" w:sz="8" w:space="0"/>
              <w:right w:val="single" w:color="auto" w:sz="8" w:space="0"/>
            </w:tcBorders>
            <w:vAlign w:val="center"/>
          </w:tcPr>
          <w:p w14:paraId="66381F0D">
            <w:pPr>
              <w:keepNext w:val="0"/>
              <w:keepLines w:val="0"/>
              <w:pageBreakBefore w:val="0"/>
              <w:widowControl/>
              <w:kinsoku/>
              <w:wordWrap/>
              <w:overflowPunct/>
              <w:autoSpaceDE/>
              <w:autoSpaceDN/>
              <w:bidi w:val="0"/>
              <w:adjustRightInd w:val="0"/>
              <w:snapToGrid w:val="0"/>
              <w:spacing w:line="520" w:lineRule="exact"/>
              <w:textAlignment w:val="auto"/>
              <w:rPr>
                <w:rFonts w:hint="eastAsia" w:ascii="宋体" w:hAnsi="宋体" w:eastAsia="宋体" w:cs="宋体"/>
                <w:color w:val="auto"/>
                <w:kern w:val="0"/>
                <w:sz w:val="21"/>
                <w:szCs w:val="21"/>
                <w:highlight w:val="none"/>
                <w:lang w:val="en-US"/>
              </w:rPr>
            </w:pPr>
            <w:r>
              <w:rPr>
                <w:rFonts w:hint="eastAsia" w:ascii="宋体" w:hAnsi="宋体" w:eastAsia="宋体" w:cs="宋体"/>
                <w:color w:val="auto"/>
                <w:sz w:val="21"/>
                <w:szCs w:val="21"/>
                <w:highlight w:val="none"/>
                <w:lang w:val="en-US" w:eastAsia="zh-CN"/>
              </w:rPr>
              <w:t>纸质形式</w:t>
            </w:r>
          </w:p>
        </w:tc>
      </w:tr>
      <w:tr w14:paraId="4C8BDDC0">
        <w:tblPrEx>
          <w:tblCellMar>
            <w:top w:w="0" w:type="dxa"/>
            <w:left w:w="0" w:type="dxa"/>
            <w:bottom w:w="0" w:type="dxa"/>
            <w:right w:w="0" w:type="dxa"/>
          </w:tblCellMar>
        </w:tblPrEx>
        <w:trPr>
          <w:trHeight w:val="513"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7ED2CC3C">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w:t>
            </w:r>
          </w:p>
        </w:tc>
        <w:tc>
          <w:tcPr>
            <w:tcW w:w="1881" w:type="dxa"/>
            <w:tcBorders>
              <w:top w:val="single" w:color="auto" w:sz="8" w:space="0"/>
              <w:left w:val="single" w:color="auto" w:sz="4" w:space="0"/>
              <w:bottom w:val="single" w:color="auto" w:sz="8" w:space="0"/>
              <w:right w:val="single" w:color="auto" w:sz="4" w:space="0"/>
            </w:tcBorders>
            <w:vAlign w:val="center"/>
          </w:tcPr>
          <w:p w14:paraId="01B86132">
            <w:pPr>
              <w:keepNext w:val="0"/>
              <w:keepLines w:val="0"/>
              <w:pageBreakBefore w:val="0"/>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履约担保</w:t>
            </w:r>
          </w:p>
        </w:tc>
        <w:tc>
          <w:tcPr>
            <w:tcW w:w="7275" w:type="dxa"/>
            <w:tcBorders>
              <w:top w:val="single" w:color="auto" w:sz="8" w:space="0"/>
              <w:left w:val="single" w:color="auto" w:sz="4" w:space="0"/>
              <w:bottom w:val="single" w:color="auto" w:sz="8" w:space="0"/>
              <w:right w:val="single" w:color="auto" w:sz="8" w:space="0"/>
            </w:tcBorders>
            <w:vAlign w:val="center"/>
          </w:tcPr>
          <w:p w14:paraId="5990ED2B">
            <w:pPr>
              <w:keepNext w:val="0"/>
              <w:keepLines w:val="0"/>
              <w:pageBreakBefore w:val="0"/>
              <w:kinsoku/>
              <w:wordWrap/>
              <w:overflowPunct/>
              <w:autoSpaceDE/>
              <w:autoSpaceDN/>
              <w:bidi w:val="0"/>
              <w:spacing w:line="5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70D24E35">
        <w:tblPrEx>
          <w:tblCellMar>
            <w:top w:w="0" w:type="dxa"/>
            <w:left w:w="0" w:type="dxa"/>
            <w:bottom w:w="0" w:type="dxa"/>
            <w:right w:w="0" w:type="dxa"/>
          </w:tblCellMar>
        </w:tblPrEx>
        <w:trPr>
          <w:trHeight w:val="38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4109AB12">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21</w:t>
            </w:r>
          </w:p>
        </w:tc>
        <w:tc>
          <w:tcPr>
            <w:tcW w:w="1881" w:type="dxa"/>
            <w:tcBorders>
              <w:top w:val="single" w:color="auto" w:sz="8" w:space="0"/>
              <w:left w:val="single" w:color="auto" w:sz="4" w:space="0"/>
              <w:bottom w:val="single" w:color="auto" w:sz="8" w:space="0"/>
              <w:right w:val="single" w:color="auto" w:sz="4" w:space="0"/>
            </w:tcBorders>
            <w:vAlign w:val="center"/>
          </w:tcPr>
          <w:p w14:paraId="507B5A7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招标代理费</w:t>
            </w:r>
          </w:p>
        </w:tc>
        <w:tc>
          <w:tcPr>
            <w:tcW w:w="7275" w:type="dxa"/>
            <w:tcBorders>
              <w:top w:val="single" w:color="auto" w:sz="8" w:space="0"/>
              <w:left w:val="single" w:color="auto" w:sz="4" w:space="0"/>
              <w:bottom w:val="single" w:color="auto" w:sz="8" w:space="0"/>
              <w:right w:val="single" w:color="auto" w:sz="8" w:space="0"/>
            </w:tcBorders>
            <w:vAlign w:val="center"/>
          </w:tcPr>
          <w:p w14:paraId="6C66FEB2">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代理服务具体金额：</w:t>
            </w:r>
            <w:r>
              <w:rPr>
                <w:rFonts w:hint="eastAsia" w:ascii="宋体" w:hAnsi="宋体" w:eastAsia="宋体" w:cs="宋体"/>
                <w:color w:val="auto"/>
                <w:kern w:val="0"/>
                <w:sz w:val="21"/>
                <w:szCs w:val="21"/>
                <w:highlight w:val="none"/>
                <w:lang w:val="en-US" w:eastAsia="zh-CN"/>
              </w:rPr>
              <w:t>1000</w:t>
            </w:r>
            <w:r>
              <w:rPr>
                <w:rFonts w:hint="eastAsia" w:ascii="宋体" w:hAnsi="宋体" w:eastAsia="宋体" w:cs="宋体"/>
                <w:color w:val="auto"/>
                <w:kern w:val="0"/>
                <w:sz w:val="21"/>
                <w:szCs w:val="21"/>
                <w:highlight w:val="none"/>
              </w:rPr>
              <w:t>元，专家评审费按实计算。</w:t>
            </w:r>
          </w:p>
          <w:p w14:paraId="6CB6DCCD">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代理服务费及专家费支付主体：中标单位在领取中标通知书前</w:t>
            </w:r>
            <w:r>
              <w:rPr>
                <w:rFonts w:hint="eastAsia" w:ascii="宋体" w:hAnsi="宋体" w:eastAsia="宋体" w:cs="宋体"/>
                <w:color w:val="auto"/>
                <w:kern w:val="0"/>
                <w:sz w:val="21"/>
                <w:szCs w:val="21"/>
                <w:highlight w:val="none"/>
                <w:lang w:eastAsia="zh-CN"/>
              </w:rPr>
              <w:t>一次性支付</w:t>
            </w:r>
            <w:r>
              <w:rPr>
                <w:rFonts w:hint="eastAsia" w:ascii="宋体" w:hAnsi="宋体" w:eastAsia="宋体" w:cs="宋体"/>
                <w:color w:val="auto"/>
                <w:kern w:val="0"/>
                <w:sz w:val="21"/>
                <w:szCs w:val="21"/>
                <w:highlight w:val="none"/>
              </w:rPr>
              <w:t>代理公司</w:t>
            </w:r>
            <w:r>
              <w:rPr>
                <w:rFonts w:hint="eastAsia" w:ascii="宋体" w:hAnsi="宋体" w:eastAsia="宋体" w:cs="宋体"/>
                <w:color w:val="auto"/>
                <w:kern w:val="0"/>
                <w:sz w:val="21"/>
                <w:szCs w:val="21"/>
                <w:highlight w:val="none"/>
                <w:lang w:eastAsia="zh-CN"/>
              </w:rPr>
              <w:t>，包</w:t>
            </w:r>
            <w:r>
              <w:rPr>
                <w:rFonts w:hint="eastAsia" w:ascii="宋体" w:hAnsi="宋体" w:eastAsia="宋体" w:cs="宋体"/>
                <w:color w:val="auto"/>
                <w:kern w:val="0"/>
                <w:sz w:val="21"/>
                <w:szCs w:val="21"/>
                <w:highlight w:val="none"/>
              </w:rPr>
              <w:t>含在投标报价让利中。</w:t>
            </w:r>
          </w:p>
        </w:tc>
      </w:tr>
      <w:tr w14:paraId="6A6024A0">
        <w:tblPrEx>
          <w:tblCellMar>
            <w:top w:w="0" w:type="dxa"/>
            <w:left w:w="0" w:type="dxa"/>
            <w:bottom w:w="0" w:type="dxa"/>
            <w:right w:w="0" w:type="dxa"/>
          </w:tblCellMar>
        </w:tblPrEx>
        <w:trPr>
          <w:trHeight w:val="38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2FC24E9E">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22</w:t>
            </w:r>
          </w:p>
        </w:tc>
        <w:tc>
          <w:tcPr>
            <w:tcW w:w="1881" w:type="dxa"/>
            <w:tcBorders>
              <w:top w:val="single" w:color="auto" w:sz="8" w:space="0"/>
              <w:left w:val="single" w:color="auto" w:sz="4" w:space="0"/>
              <w:bottom w:val="single" w:color="auto" w:sz="8" w:space="0"/>
              <w:right w:val="single" w:color="auto" w:sz="4" w:space="0"/>
            </w:tcBorders>
            <w:vAlign w:val="center"/>
          </w:tcPr>
          <w:p w14:paraId="136F510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解释权</w:t>
            </w:r>
          </w:p>
        </w:tc>
        <w:tc>
          <w:tcPr>
            <w:tcW w:w="7275" w:type="dxa"/>
            <w:tcBorders>
              <w:top w:val="single" w:color="auto" w:sz="8" w:space="0"/>
              <w:left w:val="single" w:color="auto" w:sz="4" w:space="0"/>
              <w:bottom w:val="single" w:color="auto" w:sz="8" w:space="0"/>
              <w:right w:val="single" w:color="auto" w:sz="8" w:space="0"/>
            </w:tcBorders>
            <w:vAlign w:val="center"/>
          </w:tcPr>
          <w:p w14:paraId="13EA2CD7">
            <w:pPr>
              <w:pStyle w:val="67"/>
              <w:keepNext w:val="0"/>
              <w:keepLines w:val="0"/>
              <w:pageBreakBefore w:val="0"/>
              <w:kinsoku/>
              <w:wordWrap/>
              <w:overflowPunct/>
              <w:autoSpaceDE/>
              <w:autoSpaceDN/>
              <w:bidi w:val="0"/>
              <w:adjustRightInd w:val="0"/>
              <w:snapToGrid w:val="0"/>
              <w:spacing w:line="52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67"/>
              <w:keepNext w:val="0"/>
              <w:keepLines w:val="0"/>
              <w:pageBreakBefore w:val="0"/>
              <w:kinsoku/>
              <w:wordWrap/>
              <w:overflowPunct/>
              <w:autoSpaceDE/>
              <w:autoSpaceDN/>
              <w:bidi w:val="0"/>
              <w:adjustRightInd w:val="0"/>
              <w:snapToGrid w:val="0"/>
              <w:spacing w:line="52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67"/>
              <w:keepNext w:val="0"/>
              <w:keepLines w:val="0"/>
              <w:pageBreakBefore w:val="0"/>
              <w:tabs>
                <w:tab w:val="left" w:pos="351"/>
              </w:tabs>
              <w:kinsoku/>
              <w:wordWrap/>
              <w:overflowPunct/>
              <w:autoSpaceDE/>
              <w:autoSpaceDN/>
              <w:bidi w:val="0"/>
              <w:adjustRightInd w:val="0"/>
              <w:snapToGrid w:val="0"/>
              <w:spacing w:line="52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1C8C24AC">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kern w:val="2"/>
                <w:sz w:val="21"/>
                <w:szCs w:val="21"/>
                <w:highlight w:val="none"/>
                <w:lang w:val="en-US" w:eastAsia="zh-CN" w:bidi="ar-SA"/>
              </w:rPr>
              <w:t>4.按本款前述规定仍不能形成结论的，由招标人委托的招标代理机构负责解释。</w:t>
            </w:r>
          </w:p>
        </w:tc>
      </w:tr>
      <w:tr w14:paraId="7D7EFDB3">
        <w:tblPrEx>
          <w:tblCellMar>
            <w:top w:w="0" w:type="dxa"/>
            <w:left w:w="0" w:type="dxa"/>
            <w:bottom w:w="0" w:type="dxa"/>
            <w:right w:w="0" w:type="dxa"/>
          </w:tblCellMar>
        </w:tblPrEx>
        <w:trPr>
          <w:trHeight w:val="381" w:hRule="atLeast"/>
          <w:jc w:val="center"/>
        </w:trPr>
        <w:tc>
          <w:tcPr>
            <w:tcW w:w="831" w:type="dxa"/>
            <w:tcBorders>
              <w:top w:val="single" w:color="auto" w:sz="8" w:space="0"/>
              <w:left w:val="single" w:color="auto" w:sz="8" w:space="0"/>
              <w:bottom w:val="single" w:color="auto" w:sz="8" w:space="0"/>
              <w:right w:val="single" w:color="auto" w:sz="8" w:space="0"/>
            </w:tcBorders>
            <w:vAlign w:val="center"/>
          </w:tcPr>
          <w:p w14:paraId="5E620667">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w:t>
            </w:r>
            <w:bookmarkStart w:id="73" w:name="_GoBack"/>
            <w:bookmarkEnd w:id="73"/>
          </w:p>
        </w:tc>
        <w:tc>
          <w:tcPr>
            <w:tcW w:w="1881" w:type="dxa"/>
            <w:tcBorders>
              <w:top w:val="single" w:color="auto" w:sz="8" w:space="0"/>
              <w:left w:val="single" w:color="auto" w:sz="4" w:space="0"/>
              <w:bottom w:val="single" w:color="auto" w:sz="8" w:space="0"/>
              <w:right w:val="single" w:color="auto" w:sz="4" w:space="0"/>
            </w:tcBorders>
            <w:vAlign w:val="center"/>
          </w:tcPr>
          <w:p w14:paraId="091CC24F">
            <w:pPr>
              <w:keepNext w:val="0"/>
              <w:keepLines w:val="0"/>
              <w:pageBreakBefore w:val="0"/>
              <w:shd w:val="clear" w:color="auto" w:fill="auto"/>
              <w:kinsoku/>
              <w:wordWrap/>
              <w:overflowPunct/>
              <w:autoSpaceDE/>
              <w:autoSpaceDN/>
              <w:bidi w:val="0"/>
              <w:spacing w:line="5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7275" w:type="dxa"/>
            <w:tcBorders>
              <w:top w:val="single" w:color="auto" w:sz="8" w:space="0"/>
              <w:left w:val="single" w:color="auto" w:sz="4" w:space="0"/>
              <w:bottom w:val="single" w:color="auto" w:sz="8" w:space="0"/>
              <w:right w:val="single" w:color="auto" w:sz="8" w:space="0"/>
            </w:tcBorders>
            <w:vAlign w:val="top"/>
          </w:tcPr>
          <w:p w14:paraId="618F201E">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主管部门如有其他备案（登记）要求的，如外省检测机构入皖备案，中标人须在中标后15日内按照规定进行备案（登记），如无法进行备案登记或不能按招标人要求期限备案登记而影响施工进度的，招标人有权给予按违约或取消中标资格等处理，并根据中标候选人排序依次选择中标人或重新招标。</w:t>
            </w:r>
          </w:p>
          <w:p w14:paraId="3C77A827">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2.中标单位在承担本项目的检测工作前，如安徽省和滁州市建设行政主管部门有相关规定须获得各项批准等手续的，中标人需无条件办理，且相关费用由中标人自理，中标后投标报价不再调整。</w:t>
            </w:r>
          </w:p>
          <w:p w14:paraId="29B81E66">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3.合同履约过程中如遇中标人自身能力无法完成的项目，经招标人事先书面同意，可委托具有相应资质和能力的单位承担，但中标人须对总成果负责，费用含在投标报价中，招标人不再另行支付其他任何费用。</w:t>
            </w:r>
          </w:p>
        </w:tc>
      </w:tr>
    </w:tbl>
    <w:p w14:paraId="200EDB0B">
      <w:pPr>
        <w:spacing w:line="420" w:lineRule="exact"/>
        <w:rPr>
          <w:rFonts w:ascii="仿宋" w:hAnsi="仿宋" w:eastAsia="仿宋" w:cs="仿宋"/>
          <w:color w:val="auto"/>
          <w:sz w:val="32"/>
          <w:szCs w:val="32"/>
          <w:highlight w:val="none"/>
        </w:rPr>
      </w:pPr>
    </w:p>
    <w:p w14:paraId="256F21DD">
      <w:pPr>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A1E10B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1" w:name="_Toc515"/>
      <w:r>
        <w:rPr>
          <w:rFonts w:hint="eastAsia" w:ascii="宋体" w:hAnsi="宋体" w:eastAsia="宋体" w:cs="宋体"/>
          <w:b/>
          <w:bCs/>
          <w:color w:val="auto"/>
          <w:sz w:val="30"/>
          <w:szCs w:val="30"/>
          <w:highlight w:val="none"/>
        </w:rPr>
        <w:t>一、总  则</w:t>
      </w:r>
      <w:bookmarkEnd w:id="21"/>
    </w:p>
    <w:p w14:paraId="40C19BA9">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1.工程概况</w:t>
      </w:r>
    </w:p>
    <w:p w14:paraId="54D66AD3">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1.1本次招标工程名称：</w:t>
      </w:r>
      <w:r>
        <w:rPr>
          <w:rFonts w:hint="eastAsia" w:ascii="宋体" w:hAnsi="宋体" w:eastAsia="宋体" w:cs="宋体"/>
          <w:color w:val="auto"/>
          <w:sz w:val="21"/>
          <w:szCs w:val="21"/>
          <w:highlight w:val="none"/>
          <w:u w:val="none"/>
          <w:lang w:val="en-US" w:eastAsia="zh-CN"/>
        </w:rPr>
        <w:t>中新苏滁高新区（未来产业园）智能制造工业坊基坑监测服务项目</w:t>
      </w:r>
    </w:p>
    <w:p w14:paraId="2D6F0A3B">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工程地址：</w:t>
      </w:r>
      <w:r>
        <w:rPr>
          <w:rFonts w:hint="eastAsia" w:ascii="宋体" w:hAnsi="宋体" w:eastAsia="宋体" w:cs="宋体"/>
          <w:color w:val="auto"/>
          <w:kern w:val="0"/>
          <w:sz w:val="21"/>
          <w:szCs w:val="21"/>
          <w:highlight w:val="none"/>
          <w:lang w:val="en-US" w:eastAsia="zh-CN"/>
        </w:rPr>
        <w:t>安徽省滁州市东至白塔街，南至滁中路，西至滁州大道，北至滨河南路</w:t>
      </w:r>
      <w:r>
        <w:rPr>
          <w:rFonts w:hint="eastAsia" w:ascii="宋体" w:hAnsi="宋体" w:eastAsia="宋体" w:cs="宋体"/>
          <w:color w:val="auto"/>
          <w:sz w:val="21"/>
          <w:szCs w:val="21"/>
          <w:highlight w:val="none"/>
          <w:u w:val="none"/>
          <w:lang w:val="en-US" w:eastAsia="zh-CN"/>
        </w:rPr>
        <w:t xml:space="preserve"> </w:t>
      </w:r>
    </w:p>
    <w:p w14:paraId="074D2573">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 xml:space="preserve">建设单位：滁州苏滁产城开发有限公司  </w:t>
      </w:r>
    </w:p>
    <w:p w14:paraId="3EC3E43C">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1.2本工程建设规模：</w:t>
      </w:r>
      <w:r>
        <w:rPr>
          <w:rFonts w:hint="eastAsia" w:ascii="宋体" w:hAnsi="宋体" w:eastAsia="宋体" w:cs="宋体"/>
          <w:color w:val="auto"/>
          <w:sz w:val="21"/>
          <w:szCs w:val="21"/>
          <w:highlight w:val="none"/>
          <w:u w:val="none"/>
          <w:lang w:val="en-US" w:eastAsia="zh-CN"/>
        </w:rPr>
        <w:t>见投标须知前附表</w:t>
      </w:r>
    </w:p>
    <w:p w14:paraId="50EB95ED">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招标范围</w:t>
      </w:r>
    </w:p>
    <w:p w14:paraId="3C2DD4B8">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u w:val="none"/>
          <w:lang w:val="en-US" w:eastAsia="zh-CN"/>
        </w:rPr>
        <w:t>2.1</w:t>
      </w:r>
      <w:r>
        <w:rPr>
          <w:rFonts w:hint="eastAsia" w:ascii="宋体" w:hAnsi="宋体" w:eastAsia="宋体" w:cs="宋体"/>
          <w:color w:val="auto"/>
          <w:kern w:val="0"/>
          <w:sz w:val="21"/>
          <w:szCs w:val="21"/>
          <w:highlight w:val="none"/>
          <w:lang w:val="en-US" w:eastAsia="zh-CN"/>
        </w:rPr>
        <w:t>详见第四章采购需求。</w:t>
      </w:r>
    </w:p>
    <w:p w14:paraId="12152144">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3.承包方式</w:t>
      </w:r>
    </w:p>
    <w:p w14:paraId="447724A0">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3.1承包方式：</w:t>
      </w:r>
      <w:r>
        <w:rPr>
          <w:rFonts w:hint="eastAsia" w:ascii="宋体" w:hAnsi="宋体" w:eastAsia="宋体" w:cs="宋体"/>
          <w:color w:val="auto"/>
          <w:sz w:val="21"/>
          <w:szCs w:val="21"/>
          <w:highlight w:val="none"/>
          <w:u w:val="none"/>
          <w:lang w:val="en-US" w:eastAsia="zh-CN"/>
        </w:rPr>
        <w:t>本次招标的</w:t>
      </w:r>
      <w:r>
        <w:rPr>
          <w:rFonts w:hint="eastAsia" w:ascii="宋体" w:hAnsi="宋体" w:eastAsia="宋体" w:cs="宋体"/>
          <w:color w:val="auto"/>
          <w:sz w:val="21"/>
          <w:szCs w:val="21"/>
          <w:highlight w:val="none"/>
          <w:u w:val="none"/>
        </w:rPr>
        <w:t>全部服务</w:t>
      </w:r>
      <w:r>
        <w:rPr>
          <w:rFonts w:hint="eastAsia" w:ascii="宋体" w:hAnsi="宋体" w:eastAsia="宋体" w:cs="宋体"/>
          <w:color w:val="auto"/>
          <w:sz w:val="21"/>
          <w:szCs w:val="21"/>
          <w:highlight w:val="none"/>
          <w:u w:val="none"/>
          <w:lang w:val="en-US" w:eastAsia="zh-CN"/>
        </w:rPr>
        <w:t>内容</w:t>
      </w:r>
      <w:r>
        <w:rPr>
          <w:rFonts w:hint="eastAsia" w:ascii="宋体" w:hAnsi="宋体" w:eastAsia="宋体" w:cs="宋体"/>
          <w:color w:val="auto"/>
          <w:sz w:val="21"/>
          <w:szCs w:val="21"/>
          <w:highlight w:val="none"/>
          <w:u w:val="none"/>
        </w:rPr>
        <w:t>。</w:t>
      </w:r>
    </w:p>
    <w:p w14:paraId="16DB8788">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val="en-US" w:eastAsia="zh-CN"/>
        </w:rPr>
        <w:t>服务期限</w:t>
      </w:r>
    </w:p>
    <w:p w14:paraId="49DD3BD4">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4.1从基坑开挖至基坑回填结束，并出具正式检测报告。</w:t>
      </w:r>
    </w:p>
    <w:p w14:paraId="0225AFFF">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5.质量要求</w:t>
      </w:r>
    </w:p>
    <w:p w14:paraId="6EFD0915">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5.1检测质量须满足国家和行业有关检测规范的要求，如违反国家和行业有关检测规范的要求，所造成的一切损失和责任由检测单位承担。</w:t>
      </w:r>
    </w:p>
    <w:p w14:paraId="64986985">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5.2若因监测失误引发灾害的经济责任和法律责任由监测单位承担。</w:t>
      </w:r>
    </w:p>
    <w:p w14:paraId="3A1AC69C">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6.投标人资质等级要求</w:t>
      </w:r>
    </w:p>
    <w:p w14:paraId="03B062E4">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详见投标须知前附表。</w:t>
      </w:r>
    </w:p>
    <w:p w14:paraId="2DCA3CA1">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7.资金来源</w:t>
      </w:r>
    </w:p>
    <w:p w14:paraId="0EDE19C8">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7.1资金来源：</w:t>
      </w:r>
      <w:r>
        <w:rPr>
          <w:rFonts w:hint="eastAsia" w:ascii="宋体" w:hAnsi="宋体" w:eastAsia="宋体" w:cs="宋体"/>
          <w:color w:val="auto"/>
          <w:sz w:val="21"/>
          <w:szCs w:val="21"/>
          <w:highlight w:val="none"/>
          <w:u w:val="single"/>
        </w:rPr>
        <w:t>自筹资金</w:t>
      </w:r>
      <w:r>
        <w:rPr>
          <w:rFonts w:hint="eastAsia" w:ascii="宋体" w:hAnsi="宋体" w:eastAsia="宋体" w:cs="宋体"/>
          <w:color w:val="auto"/>
          <w:sz w:val="21"/>
          <w:szCs w:val="21"/>
          <w:highlight w:val="none"/>
        </w:rPr>
        <w:t>；资金已落实。</w:t>
      </w:r>
    </w:p>
    <w:p w14:paraId="0BA36258">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8.标段划分</w:t>
      </w:r>
    </w:p>
    <w:p w14:paraId="0179827C">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8.1该工程划分：</w:t>
      </w:r>
      <w:r>
        <w:rPr>
          <w:rFonts w:hint="eastAsia" w:ascii="宋体" w:hAnsi="宋体" w:eastAsia="宋体" w:cs="宋体"/>
          <w:color w:val="auto"/>
          <w:sz w:val="21"/>
          <w:szCs w:val="21"/>
          <w:highlight w:val="none"/>
          <w:u w:val="single"/>
        </w:rPr>
        <w:t>一</w:t>
      </w:r>
      <w:r>
        <w:rPr>
          <w:rFonts w:hint="eastAsia" w:ascii="宋体" w:hAnsi="宋体" w:eastAsia="宋体" w:cs="宋体"/>
          <w:color w:val="auto"/>
          <w:sz w:val="21"/>
          <w:szCs w:val="21"/>
          <w:highlight w:val="none"/>
        </w:rPr>
        <w:t xml:space="preserve">个标段  </w:t>
      </w:r>
    </w:p>
    <w:p w14:paraId="1FA7EF0C">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9.招标方式</w:t>
      </w:r>
    </w:p>
    <w:p w14:paraId="50AC84A1">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9.1本工程招标方式：</w:t>
      </w:r>
      <w:r>
        <w:rPr>
          <w:rFonts w:hint="eastAsia" w:ascii="宋体" w:hAnsi="宋体" w:eastAsia="宋体" w:cs="宋体"/>
          <w:color w:val="auto"/>
          <w:sz w:val="21"/>
          <w:szCs w:val="21"/>
          <w:highlight w:val="none"/>
          <w:u w:val="single"/>
          <w:lang w:val="en-US" w:eastAsia="zh-CN"/>
        </w:rPr>
        <w:t>公开招标</w:t>
      </w:r>
      <w:r>
        <w:rPr>
          <w:rFonts w:hint="eastAsia" w:ascii="宋体" w:hAnsi="宋体" w:eastAsia="宋体" w:cs="宋体"/>
          <w:color w:val="auto"/>
          <w:sz w:val="21"/>
          <w:szCs w:val="21"/>
          <w:highlight w:val="none"/>
        </w:rPr>
        <w:t>。</w:t>
      </w:r>
    </w:p>
    <w:p w14:paraId="231C7398">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10.计价方式</w:t>
      </w:r>
    </w:p>
    <w:p w14:paraId="2EB87E5D">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10.1本工程合同计价方式：</w:t>
      </w:r>
      <w:r>
        <w:rPr>
          <w:rFonts w:hint="eastAsia" w:ascii="宋体" w:hAnsi="宋体" w:eastAsia="宋体" w:cs="宋体"/>
          <w:color w:val="auto"/>
          <w:sz w:val="21"/>
          <w:szCs w:val="21"/>
          <w:highlight w:val="none"/>
          <w:u w:val="single"/>
          <w:lang w:val="en-US" w:eastAsia="zh-CN"/>
        </w:rPr>
        <w:t>总价合同</w:t>
      </w:r>
      <w:r>
        <w:rPr>
          <w:rFonts w:hint="eastAsia" w:ascii="宋体" w:hAnsi="宋体" w:eastAsia="宋体" w:cs="宋体"/>
          <w:color w:val="auto"/>
          <w:sz w:val="21"/>
          <w:szCs w:val="21"/>
          <w:highlight w:val="none"/>
        </w:rPr>
        <w:t>。</w:t>
      </w:r>
    </w:p>
    <w:p w14:paraId="5F9D4EF9">
      <w:pPr>
        <w:keepNext w:val="0"/>
        <w:keepLines w:val="0"/>
        <w:pageBreakBefore w:val="0"/>
        <w:widowControl w:val="0"/>
        <w:kinsoku/>
        <w:wordWrap/>
        <w:overflowPunct/>
        <w:topLinePunct w:val="0"/>
        <w:autoSpaceDE/>
        <w:autoSpaceDN/>
        <w:bidi w:val="0"/>
        <w:adjustRightInd/>
        <w:snapToGrid/>
        <w:spacing w:line="520" w:lineRule="exact"/>
        <w:ind w:right="0" w:rightChars="0"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11.评标办法</w:t>
      </w:r>
    </w:p>
    <w:p w14:paraId="12098E46">
      <w:pPr>
        <w:keepNext w:val="0"/>
        <w:keepLines w:val="0"/>
        <w:pageBreakBefore w:val="0"/>
        <w:widowControl w:val="0"/>
        <w:kinsoku/>
        <w:wordWrap/>
        <w:overflowPunct/>
        <w:topLinePunct w:val="0"/>
        <w:autoSpaceDE/>
        <w:autoSpaceDN/>
        <w:bidi w:val="0"/>
        <w:adjustRightInd/>
        <w:snapToGrid/>
        <w:spacing w:line="520" w:lineRule="exact"/>
        <w:ind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11.1本工程评标办法：</w:t>
      </w:r>
      <w:r>
        <w:rPr>
          <w:rFonts w:hint="eastAsia" w:ascii="宋体" w:hAnsi="宋体" w:eastAsia="宋体" w:cs="宋体"/>
          <w:color w:val="auto"/>
          <w:sz w:val="21"/>
          <w:szCs w:val="21"/>
          <w:highlight w:val="none"/>
          <w:u w:val="single"/>
          <w:lang w:val="en-US" w:eastAsia="zh-CN"/>
        </w:rPr>
        <w:t>综合评分法</w:t>
      </w:r>
      <w:r>
        <w:rPr>
          <w:rFonts w:hint="eastAsia" w:ascii="宋体" w:hAnsi="宋体" w:eastAsia="宋体" w:cs="宋体"/>
          <w:color w:val="auto"/>
          <w:sz w:val="21"/>
          <w:szCs w:val="21"/>
          <w:highlight w:val="none"/>
        </w:rPr>
        <w:t>。</w:t>
      </w:r>
    </w:p>
    <w:p w14:paraId="746720C3">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2" w:name="_Toc29988"/>
      <w:r>
        <w:rPr>
          <w:rFonts w:hint="eastAsia" w:ascii="宋体" w:hAnsi="宋体" w:eastAsia="宋体" w:cs="宋体"/>
          <w:b/>
          <w:bCs/>
          <w:color w:val="auto"/>
          <w:sz w:val="30"/>
          <w:szCs w:val="30"/>
          <w:highlight w:val="none"/>
        </w:rPr>
        <w:t>二、招标文件</w:t>
      </w:r>
      <w:bookmarkEnd w:id="22"/>
    </w:p>
    <w:p w14:paraId="37714F4C">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 招标文件的编制依据</w:t>
      </w:r>
    </w:p>
    <w:p w14:paraId="29DE76C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12.1根据相关法律法规和规章及部、省、市级规范性文件的规定，编制本招标文件。</w:t>
      </w:r>
    </w:p>
    <w:p w14:paraId="709762F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13.招标文件的组成</w:t>
      </w:r>
    </w:p>
    <w:p w14:paraId="1BEED89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招标文件包括内容：</w:t>
      </w:r>
    </w:p>
    <w:p w14:paraId="7ED1899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第一章  </w:t>
      </w:r>
      <w:r>
        <w:rPr>
          <w:rFonts w:hint="eastAsia" w:ascii="宋体" w:hAnsi="宋体" w:eastAsia="宋体" w:cs="宋体"/>
          <w:color w:val="auto"/>
          <w:sz w:val="21"/>
          <w:szCs w:val="21"/>
          <w:highlight w:val="none"/>
          <w:lang w:val="en-US" w:eastAsia="zh-CN"/>
        </w:rPr>
        <w:t>招标公告</w:t>
      </w:r>
    </w:p>
    <w:p w14:paraId="33D120E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  投标须知</w:t>
      </w:r>
    </w:p>
    <w:p w14:paraId="2BF3254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第三章  评标办法</w:t>
      </w:r>
    </w:p>
    <w:p w14:paraId="153082E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 xml:space="preserve">章  </w:t>
      </w:r>
      <w:r>
        <w:rPr>
          <w:rFonts w:hint="eastAsia" w:ascii="宋体" w:hAnsi="宋体" w:eastAsia="宋体" w:cs="宋体"/>
          <w:color w:val="auto"/>
          <w:sz w:val="21"/>
          <w:szCs w:val="21"/>
          <w:highlight w:val="none"/>
          <w:lang w:val="en-US" w:eastAsia="zh-CN"/>
        </w:rPr>
        <w:t>采购需求</w:t>
      </w:r>
    </w:p>
    <w:p w14:paraId="4C336A8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第五章  合同条款</w:t>
      </w:r>
    </w:p>
    <w:p w14:paraId="1149017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章  投标文件格式</w:t>
      </w:r>
    </w:p>
    <w:p w14:paraId="4453370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13.2除13.1内容外，招标答疑亦为招标文件的组成部分，对招标人和投标人起约束作用。</w:t>
      </w:r>
    </w:p>
    <w:p w14:paraId="5FCE699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13.3</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应仔细阅读和检查招标文件的全部内容。如发现缺页或附件不全，应及时向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提出，以便补齐。如有疑问，</w:t>
      </w:r>
      <w:r>
        <w:rPr>
          <w:rFonts w:hint="eastAsia" w:ascii="宋体" w:hAnsi="宋体" w:eastAsia="宋体" w:cs="宋体"/>
          <w:color w:val="auto"/>
          <w:sz w:val="21"/>
          <w:szCs w:val="21"/>
          <w:highlight w:val="none"/>
          <w:lang w:val="en-US" w:eastAsia="zh-CN"/>
        </w:rPr>
        <w:t>通过登录新点电子交易平台【滁州专区】线上提出</w:t>
      </w:r>
      <w:r>
        <w:rPr>
          <w:rFonts w:hint="eastAsia" w:ascii="宋体" w:hAnsi="宋体" w:eastAsia="宋体" w:cs="宋体"/>
          <w:color w:val="auto"/>
          <w:sz w:val="21"/>
          <w:szCs w:val="21"/>
          <w:highlight w:val="none"/>
        </w:rPr>
        <w:t>，要</w:t>
      </w:r>
      <w:r>
        <w:rPr>
          <w:rFonts w:hint="eastAsia" w:ascii="宋体" w:hAnsi="宋体" w:eastAsia="宋体" w:cs="宋体"/>
          <w:color w:val="auto"/>
          <w:sz w:val="21"/>
          <w:szCs w:val="21"/>
          <w:highlight w:val="none"/>
          <w:lang w:eastAsia="zh-CN"/>
        </w:rPr>
        <w:t>求招标人对招标文件予以澄清。</w:t>
      </w:r>
    </w:p>
    <w:p w14:paraId="161C97D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13.4</w:t>
      </w:r>
      <w:r>
        <w:rPr>
          <w:rFonts w:hint="eastAsia" w:ascii="宋体" w:hAnsi="宋体" w:eastAsia="宋体" w:cs="宋体"/>
          <w:b w:val="0"/>
          <w:bCs w:val="0"/>
          <w:color w:val="auto"/>
          <w:sz w:val="21"/>
          <w:szCs w:val="21"/>
          <w:highlight w:val="none"/>
        </w:rPr>
        <w:t>招标</w:t>
      </w:r>
      <w:r>
        <w:rPr>
          <w:rFonts w:hint="eastAsia" w:ascii="宋体" w:hAnsi="宋体" w:eastAsia="宋体" w:cs="宋体"/>
          <w:color w:val="auto"/>
          <w:sz w:val="21"/>
          <w:szCs w:val="21"/>
          <w:highlight w:val="none"/>
        </w:rPr>
        <w:t>文件的澄清将在中新苏滁高新技术产业开发区（https://scp.chuzhou.gov.cn/index.html）、滁州市城投工程咨询管理有限公司网站（https://www.czctgczx.com/）予以发布，但不指明澄清问题的来源。如果澄清内容影响投标文件编制的，将相应延长投标截止时间。</w:t>
      </w:r>
    </w:p>
    <w:p w14:paraId="03C41698">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14.招标文件的澄清、修改、补充、解释</w:t>
      </w:r>
    </w:p>
    <w:p w14:paraId="70BD83F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发出后，</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在规定的投标截止时间前可对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进行必要的修改和补充，并以澄清公告形式在</w:t>
      </w:r>
      <w:r>
        <w:rPr>
          <w:rFonts w:hint="eastAsia" w:ascii="宋体" w:hAnsi="宋体" w:eastAsia="宋体" w:cs="宋体"/>
          <w:color w:val="auto"/>
          <w:sz w:val="21"/>
          <w:szCs w:val="21"/>
          <w:highlight w:val="none"/>
          <w:lang w:val="en-US" w:eastAsia="zh-CN"/>
        </w:rPr>
        <w:t>中新苏滁高新技术产业开发区（https://scp.chuzhou.gov.cn/index.html）、滁州市城投工程咨询管理有限公司网站（https://www.czctgczx.com/）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请各位</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注意查看有关澄清内容，如不及时查看造成后果由</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自负。</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的修改、补充等内容作为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的组成部分，具有约束作用。</w:t>
      </w:r>
    </w:p>
    <w:p w14:paraId="15D1464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15.踏勘现场及投标预备会</w:t>
      </w:r>
    </w:p>
    <w:p w14:paraId="7AF5D2B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15.1踏勘现场</w:t>
      </w:r>
    </w:p>
    <w:p w14:paraId="461916D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15.1.1</w:t>
      </w:r>
      <w:r>
        <w:rPr>
          <w:rFonts w:hint="eastAsia" w:ascii="宋体" w:hAnsi="宋体" w:eastAsia="宋体" w:cs="宋体"/>
          <w:color w:val="auto"/>
          <w:kern w:val="0"/>
          <w:sz w:val="21"/>
          <w:szCs w:val="21"/>
          <w:highlight w:val="none"/>
        </w:rPr>
        <w:t>不再集中召开招标答疑会；投标人自行组织勘察现场。</w:t>
      </w:r>
    </w:p>
    <w:p w14:paraId="1FEA34B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15.2投标预备会</w:t>
      </w:r>
    </w:p>
    <w:p w14:paraId="6EEED26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15.2.1</w:t>
      </w:r>
      <w:r>
        <w:rPr>
          <w:rFonts w:hint="eastAsia" w:ascii="宋体" w:hAnsi="宋体" w:eastAsia="宋体" w:cs="宋体"/>
          <w:color w:val="auto"/>
          <w:sz w:val="21"/>
          <w:szCs w:val="21"/>
          <w:highlight w:val="none"/>
          <w:lang w:val="en-US" w:eastAsia="zh-CN"/>
        </w:rPr>
        <w:t>不组织投标预备会。</w:t>
      </w:r>
    </w:p>
    <w:p w14:paraId="6CDEA62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16.招标文件的发出</w:t>
      </w:r>
    </w:p>
    <w:p w14:paraId="107DEE4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16.1招标文件、招标文件的澄清、修改、补充及招标答疑等均应报招标人备案后，方可发出。</w:t>
      </w:r>
    </w:p>
    <w:p w14:paraId="5CA33E16">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17.</w:t>
      </w:r>
      <w:r>
        <w:rPr>
          <w:rFonts w:hint="eastAsia" w:ascii="宋体" w:hAnsi="宋体" w:eastAsia="宋体" w:cs="宋体"/>
          <w:b/>
          <w:bCs/>
          <w:color w:val="auto"/>
          <w:sz w:val="21"/>
          <w:szCs w:val="21"/>
          <w:highlight w:val="none"/>
          <w:lang w:val="en-US" w:eastAsia="zh-CN"/>
        </w:rPr>
        <w:t>最高限价</w:t>
      </w:r>
    </w:p>
    <w:p w14:paraId="5A825D2A">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rPr>
          <w:rFonts w:hint="eastAsia" w:ascii="宋体" w:hAnsi="宋体" w:eastAsia="宋体" w:cs="宋体"/>
          <w:b/>
          <w:bCs/>
          <w:color w:val="auto"/>
          <w:sz w:val="21"/>
          <w:szCs w:val="21"/>
          <w:highlight w:val="none"/>
          <w:lang w:val="en-US" w:eastAsia="zh-CN"/>
        </w:rPr>
      </w:pPr>
      <w:bookmarkStart w:id="23" w:name="_Toc24852"/>
      <w:r>
        <w:rPr>
          <w:rFonts w:hint="eastAsia" w:ascii="宋体" w:hAnsi="宋体" w:eastAsia="宋体" w:cs="宋体"/>
          <w:b/>
          <w:bCs/>
          <w:color w:val="auto"/>
          <w:sz w:val="21"/>
          <w:szCs w:val="21"/>
          <w:highlight w:val="none"/>
          <w:lang w:val="en-US" w:eastAsia="zh-CN"/>
        </w:rPr>
        <w:t>17.1</w:t>
      </w:r>
      <w:r>
        <w:rPr>
          <w:rFonts w:hint="eastAsia" w:ascii="宋体" w:hAnsi="宋体" w:eastAsia="宋体" w:cs="宋体"/>
          <w:b/>
          <w:bCs/>
          <w:color w:val="auto"/>
          <w:highlight w:val="none"/>
          <w:lang w:val="en-US" w:eastAsia="zh-CN"/>
        </w:rPr>
        <w:t>本项目最高限价为贰万元整（20000.00元），高于最高投标限价的按无效标处理。</w:t>
      </w:r>
    </w:p>
    <w:p w14:paraId="1B74F36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三、投标文件的编制</w:t>
      </w:r>
      <w:bookmarkEnd w:id="23"/>
    </w:p>
    <w:p w14:paraId="11D7F055">
      <w:pPr>
        <w:pStyle w:val="7"/>
        <w:keepNext/>
        <w:keepLines/>
        <w:pageBreakBefore w:val="0"/>
        <w:widowControl w:val="0"/>
        <w:kinsoku/>
        <w:wordWrap/>
        <w:overflowPunct/>
        <w:topLinePunct w:val="0"/>
        <w:autoSpaceDE/>
        <w:autoSpaceDN/>
        <w:bidi w:val="0"/>
        <w:adjustRightInd/>
        <w:snapToGrid/>
        <w:spacing w:before="0" w:after="0" w:line="520" w:lineRule="exact"/>
        <w:ind w:firstLine="422"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 投标文件的组成</w:t>
      </w:r>
    </w:p>
    <w:p w14:paraId="46815182">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18.1详见第六章投标文件格式</w:t>
      </w:r>
    </w:p>
    <w:p w14:paraId="08D8DA6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18.2投标文件的编制</w:t>
      </w:r>
    </w:p>
    <w:p w14:paraId="328CB334">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应按第六章“投标文件格式”进行编写，如有必要，可以增加附页，作为投标文件的组成部分。其中，投标函在满足招标文件实质性要求的基础上，可以提出比招标文件要求更有利于招标人的承诺。</w:t>
      </w:r>
    </w:p>
    <w:p w14:paraId="3151410A">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（2）本次投标不需要提供纸质投标文件，投标人应按照电子招标投标的要求，在投标人的电子系统中制作、签章、上传加密的电子投标文件。</w:t>
      </w:r>
    </w:p>
    <w:p w14:paraId="19596C07">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（3）投标文件应当对招标文件有关服务期、投标有效期、质量要求、技术标准和要求、招标范围等实质性内容作出响应。</w:t>
      </w:r>
    </w:p>
    <w:p w14:paraId="446B0610">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（4）投标人须知前附表规定接受联合体投标的，资格审查资料应包括联合体各方相关情况。</w:t>
      </w:r>
    </w:p>
    <w:p w14:paraId="75B643BB">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（5）招标人有权核查投标人在投标文件中提供的资料，若发现投标人以他人名义投标或者以其他方式弄虚作假骗取中标的，中标无效；如果签订合同后发现中标人提供了虚假材料，招标人有权解除合同。</w:t>
      </w:r>
    </w:p>
    <w:p w14:paraId="2B9816F3">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（6）投标文件的制作应满足以下规定：</w:t>
      </w:r>
    </w:p>
    <w:p w14:paraId="23C48DDE">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a.投标文件由投标人使用电子交易系统提供的“投标文件制作软件”制作生成。“投标文件制作软件”可以通过电子交易系统下载。</w:t>
      </w:r>
    </w:p>
    <w:p w14:paraId="3D9B96A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b.招标文件中“签章”是指签字或盖章。在第六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04A490A0">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c.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0EA5A10D">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（7）因投标人自身原因而导致投标文件无法导入电子交易系统电子开标、评标系统，该投标视为无效投标，投标人自行承担由此导致的全部责任。</w:t>
      </w:r>
    </w:p>
    <w:p w14:paraId="6233FBAD">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（8）投标人中标后须递交与网上电子投标文件完全一致的纸质版投标文件，在领取中标通知书时，一并递交给招标代理机构。</w:t>
      </w:r>
    </w:p>
    <w:p w14:paraId="6E6B0B9A">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rPr>
        <w:t>投标报价</w:t>
      </w:r>
    </w:p>
    <w:p w14:paraId="13AE8873">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.1投标报价的价格是完成项目全部内容（包括后期的相关服务）交付验收的价格，若合同履行期间工作内容发生调整的，中标人须无条件响应招标人要求，且其投标</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不作任何调整。投标</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包括但不限于：完成本次招标全部内容所需发生的方案完善、建网费、基准点测设费、高程联测费、设备费及设备进出场费、材料费及材料设备保管费、现场焊接费、安装费、埋设费、技术工作费、人工费、检测费、辅材费、措施费、运输费、管理费、利润、风险费用、招标代理费、计算处理及报告编写费、专家论证费、咨询费、培训费、验收、后期服务及国家对中标单位征收的各种税费等所有一切费用，中标后投标总价不予调整。</w:t>
      </w:r>
    </w:p>
    <w:p w14:paraId="38F0694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.2投标报价</w:t>
      </w:r>
      <w:r>
        <w:rPr>
          <w:rFonts w:hint="eastAsia" w:ascii="宋体" w:hAnsi="宋体" w:eastAsia="宋体" w:cs="宋体"/>
          <w:color w:val="auto"/>
          <w:sz w:val="21"/>
          <w:szCs w:val="21"/>
          <w:highlight w:val="none"/>
          <w:lang w:val="en-US" w:eastAsia="zh-CN"/>
        </w:rPr>
        <w:t>高于最高限价的</w:t>
      </w:r>
      <w:r>
        <w:rPr>
          <w:rFonts w:hint="eastAsia" w:ascii="宋体" w:hAnsi="宋体" w:eastAsia="宋体" w:cs="宋体"/>
          <w:color w:val="auto"/>
          <w:sz w:val="21"/>
          <w:szCs w:val="21"/>
          <w:highlight w:val="none"/>
        </w:rPr>
        <w:t>，其投标文件按无效标处理。</w:t>
      </w:r>
    </w:p>
    <w:p w14:paraId="55280B73">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.投标有效期</w:t>
      </w:r>
    </w:p>
    <w:p w14:paraId="2B566C93">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.1投标有效期为</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日历天（从投标截止之日算起）。在此期限内，凡符合本招标文件要求的投标文件均保持有效。</w:t>
      </w:r>
    </w:p>
    <w:p w14:paraId="309170AD">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.2在特殊情况下，招标人在原定投标有效期内，可以根据需要以书面形式向投标人提出延长投标有效期的要求，对此要求投标人须以书面形式予以答复。投标人可以拒绝招标人这种要求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同意延长投标有效期的投标人既不能要求也不允许修改其投标文件，但需要相应的延长投标担保的有效期。</w:t>
      </w:r>
    </w:p>
    <w:p w14:paraId="3AF0B6DA">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.投标保证金</w:t>
      </w:r>
    </w:p>
    <w:p w14:paraId="7A67868C">
      <w:pPr>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本项目无投标保证金。</w:t>
      </w:r>
    </w:p>
    <w:p w14:paraId="56A43C93">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4" w:name="_Toc27519"/>
      <w:r>
        <w:rPr>
          <w:rFonts w:hint="eastAsia" w:ascii="宋体" w:hAnsi="宋体" w:eastAsia="宋体" w:cs="宋体"/>
          <w:b/>
          <w:bCs/>
          <w:color w:val="auto"/>
          <w:sz w:val="30"/>
          <w:szCs w:val="30"/>
          <w:highlight w:val="none"/>
        </w:rPr>
        <w:t>四、</w:t>
      </w:r>
      <w:bookmarkEnd w:id="24"/>
      <w:r>
        <w:rPr>
          <w:rFonts w:hint="eastAsia" w:ascii="宋体" w:hAnsi="宋体" w:eastAsia="宋体" w:cs="宋体"/>
          <w:b/>
          <w:bCs/>
          <w:color w:val="auto"/>
          <w:sz w:val="30"/>
          <w:szCs w:val="30"/>
          <w:highlight w:val="none"/>
        </w:rPr>
        <w:t>投标文件的递交</w:t>
      </w:r>
    </w:p>
    <w:p w14:paraId="032F97B9">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.投标文件的份数和签署</w:t>
      </w:r>
    </w:p>
    <w:p w14:paraId="47F6FCD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1加密电子投标文件应在投标截止时间前通过登录新点电子交易平台【滁州专区】上传投标文件。</w:t>
      </w:r>
    </w:p>
    <w:p w14:paraId="5FD9B5D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pacing w:val="-4"/>
          <w:sz w:val="21"/>
          <w:szCs w:val="21"/>
          <w:highlight w:val="none"/>
        </w:rPr>
      </w:pPr>
      <w:r>
        <w:rPr>
          <w:rFonts w:hint="eastAsia" w:ascii="宋体" w:hAnsi="宋体" w:eastAsia="宋体" w:cs="宋体"/>
          <w:b w:val="0"/>
          <w:bCs w:val="0"/>
          <w:color w:val="auto"/>
          <w:sz w:val="21"/>
          <w:szCs w:val="21"/>
          <w:highlight w:val="none"/>
          <w:lang w:val="en-US" w:eastAsia="zh-CN"/>
        </w:rPr>
        <w:t>（投标人中标后须递交与网上电子投标文件完全一致的纸质版投标文件，并按要求加盖单位公章；份数：正本1份，副本1份；中标人领取中标通知书时，一并递交给代理机构）。</w:t>
      </w:r>
    </w:p>
    <w:p w14:paraId="473FDF9E">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rPr>
        <w:t>文件的提交</w:t>
      </w:r>
    </w:p>
    <w:p w14:paraId="1EA2278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.1投标人应当在第一章“招标公告”规定的投标截止时间前，将加密投标文件上传至电子交易系统。</w:t>
      </w:r>
    </w:p>
    <w:p w14:paraId="319A6CE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23.2</w:t>
      </w:r>
      <w:r>
        <w:rPr>
          <w:rFonts w:hint="eastAsia" w:ascii="宋体" w:hAnsi="宋体" w:eastAsia="宋体" w:cs="宋体"/>
          <w:b w:val="0"/>
          <w:bCs w:val="0"/>
          <w:color w:val="auto"/>
          <w:sz w:val="21"/>
          <w:szCs w:val="21"/>
          <w:highlight w:val="none"/>
        </w:rPr>
        <w:t>除投标人须知前附表另有规定外，投标人所递交的投标文件不予退还。</w:t>
      </w:r>
    </w:p>
    <w:p w14:paraId="5697ABD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23.3</w:t>
      </w:r>
      <w:r>
        <w:rPr>
          <w:rFonts w:hint="eastAsia" w:ascii="宋体" w:hAnsi="宋体" w:eastAsia="宋体" w:cs="宋体"/>
          <w:b w:val="0"/>
          <w:bCs w:val="0"/>
          <w:color w:val="auto"/>
          <w:sz w:val="21"/>
          <w:szCs w:val="21"/>
          <w:highlight w:val="none"/>
        </w:rPr>
        <w:t>投标人应当在投标截止时间前完成投标文件的网上递交，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0786161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bookmarkStart w:id="25" w:name="_Toc18173"/>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.投标文件的补充、修改与撤回</w:t>
      </w:r>
    </w:p>
    <w:p w14:paraId="539F679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.1投标人在提交投标文件以后，在规定的投标截止时间之前，可以书面形式补充、修改或撤回已提交的投标文件，并以书面形式通知招标人。补充、修改的内容为投标文件的组成部分。</w:t>
      </w:r>
    </w:p>
    <w:p w14:paraId="331C816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.2投标人对投标文件的补充、修改，应按本须知第</w:t>
      </w:r>
      <w:r>
        <w:rPr>
          <w:rFonts w:hint="eastAsia" w:ascii="宋体" w:hAnsi="宋体" w:eastAsia="宋体" w:cs="宋体"/>
          <w:color w:val="auto"/>
          <w:sz w:val="21"/>
          <w:szCs w:val="21"/>
          <w:highlight w:val="none"/>
          <w:lang w:val="en-US" w:eastAsia="zh-CN"/>
        </w:rPr>
        <w:t>23.3条</w:t>
      </w:r>
      <w:r>
        <w:rPr>
          <w:rFonts w:hint="eastAsia" w:ascii="宋体" w:hAnsi="宋体" w:eastAsia="宋体" w:cs="宋体"/>
          <w:color w:val="auto"/>
          <w:sz w:val="21"/>
          <w:szCs w:val="21"/>
          <w:highlight w:val="none"/>
        </w:rPr>
        <w:t>规定。</w:t>
      </w:r>
    </w:p>
    <w:p w14:paraId="0901D74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.3在投标截止时间之后，投标人不得补充、修改投标文件。</w:t>
      </w:r>
    </w:p>
    <w:p w14:paraId="74A8D23A">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五、开标、评标和定标</w:t>
      </w:r>
      <w:bookmarkEnd w:id="25"/>
    </w:p>
    <w:p w14:paraId="56E3D432">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bookmarkStart w:id="26" w:name="_Toc21491"/>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.开标</w:t>
      </w:r>
    </w:p>
    <w:p w14:paraId="6EED411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.1开标的时间和地点</w:t>
      </w:r>
    </w:p>
    <w:p w14:paraId="56E8F43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招标人在第一章“招标公告”规定的投标截止时间前（开标时间）和地点通过电子交易系统公开开标。</w:t>
      </w:r>
    </w:p>
    <w:p w14:paraId="3036A2A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开标程序</w:t>
      </w:r>
    </w:p>
    <w:p w14:paraId="280C899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主持人按下列程序进行开标：</w:t>
      </w:r>
    </w:p>
    <w:p w14:paraId="372DAFC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（1）公布在投标截止时间前通过电子交易系统完成投标文件递交的投标人名称；</w:t>
      </w:r>
    </w:p>
    <w:p w14:paraId="6DFF6A4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（2）投标人在投标截止时间后在投标人须知前附表规定的解密时间内完成投标文件的解密工作；</w:t>
      </w:r>
    </w:p>
    <w:p w14:paraId="08B058C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（3）招标人或招标代理机构完成解密工作，导入并读取所有成功解密的投标文件；</w:t>
      </w:r>
    </w:p>
    <w:p w14:paraId="13CEBEBF">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（4）按投标人须知前附表规定公布投标人名称、标段名称、投标报价、工期及其他内容；</w:t>
      </w:r>
    </w:p>
    <w:p w14:paraId="1DEF1466">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（5）开标结束。</w:t>
      </w:r>
    </w:p>
    <w:p w14:paraId="3CF180D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开标异议</w:t>
      </w:r>
    </w:p>
    <w:p w14:paraId="3B51978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投标人对开标有异议的，应当在开标过程中提出，招标人在开标过程中作出答复，并制作记录。异议与答复应通过电子交易系统进行。</w:t>
      </w:r>
    </w:p>
    <w:p w14:paraId="3A72668D">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评标委员会</w:t>
      </w:r>
    </w:p>
    <w:p w14:paraId="72582DBF">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.1评标由</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依法组建的评标委员会负责。评标委员会由</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或其委托的招标代理机构熟悉相关业务的代表，以及有关技术、经济等方面的专家组成。评标委员会成员人数以及技术、经济等方面专家的确定方式见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须知前附表。</w:t>
      </w:r>
    </w:p>
    <w:p w14:paraId="72334D38">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.2 评标委员会成员有下列情形之一的，应当回避：</w:t>
      </w:r>
    </w:p>
    <w:p w14:paraId="0EDD968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（1）项目主管部门或行政监督管理部门，项目属地的公共资源交易综合管理部门、交易中心的工作人员； </w:t>
      </w:r>
    </w:p>
    <w:p w14:paraId="21F7F6C2">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（2）与竞争主体主要负责人或者授权参与交易的代理人有近亲属关系的人员； </w:t>
      </w:r>
    </w:p>
    <w:p w14:paraId="23E6C674">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（3）竞争主体的工作人员或者退休人员； </w:t>
      </w:r>
    </w:p>
    <w:p w14:paraId="7CDE3A1C">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（4）竞争主体的上级主管、控股或者被控股单位等相关利害关系的人员，或任职单位与竞争主体单位为同一法定代表人的； </w:t>
      </w:r>
    </w:p>
    <w:p w14:paraId="3F76BC28">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（5）存在其他法定回避情形的。</w:t>
      </w:r>
    </w:p>
    <w:p w14:paraId="4A440051">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项目实施主体及其子公司、下属单位、上级主管部门或者控股公司的工作人员或者退休人员不得以专家身份参与本单位或者代理项目的评标评审。 </w:t>
      </w:r>
    </w:p>
    <w:p w14:paraId="4A01BC59">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评标委员会或评审机构成员有前两款规定情形的，应当主动提出回避；已经进入的应当更换，被更换的成员评标评审意见无效。</w:t>
      </w:r>
    </w:p>
    <w:p w14:paraId="6ABA5FC3">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 xml:space="preserve">.3评标过程中，评标委员会成员有回避事由、擅离职守或因健康等原因不能继续评标的， </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有权更换。被更换的评标委员会成员作出的评审结论无效，由更换后的评标委员会成员重新进行评审。</w:t>
      </w:r>
    </w:p>
    <w:p w14:paraId="00E02041">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27</w:t>
      </w:r>
      <w:r>
        <w:rPr>
          <w:rFonts w:hint="eastAsia" w:ascii="宋体" w:hAnsi="宋体" w:eastAsia="宋体" w:cs="宋体"/>
          <w:b/>
          <w:bCs/>
          <w:color w:val="auto"/>
          <w:sz w:val="21"/>
          <w:szCs w:val="21"/>
          <w:highlight w:val="none"/>
        </w:rPr>
        <w:t>.评标</w:t>
      </w:r>
    </w:p>
    <w:p w14:paraId="70BEEED7">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.1评标委员会按照第三章“评标办法”规定的方法、评审因素、标准和程序对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进行评审。第三章“评标办法”没有规定的方法、评审因素和标准，不作为评标依据。</w:t>
      </w:r>
    </w:p>
    <w:p w14:paraId="26922152">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.2评标完成后，评标委员会应向</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提交书面评标报告和中标候选人名单。评标委员会推荐中标候选人的人数见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须知前附表。</w:t>
      </w:r>
    </w:p>
    <w:p w14:paraId="260E0B5A">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.3评标原则：遵循公平、公正、科学和择优的原则。</w:t>
      </w:r>
    </w:p>
    <w:p w14:paraId="3865BCA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的澄清</w:t>
      </w:r>
    </w:p>
    <w:p w14:paraId="2BE859A2">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.4.1在评标过程中，评标委员会认为需要，可要求</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中的有关问题进行澄清或提供补充说明及有关资料，</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应做出书面答复。</w:t>
      </w:r>
    </w:p>
    <w:p w14:paraId="1AFB7AB9">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.4.2书面答复须经</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法定代表人或其委托代理人签字或盖章，签字或盖章的书面答复将被视为</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的组成部分。</w:t>
      </w:r>
    </w:p>
    <w:p w14:paraId="49E336EA">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.5报价合理性的判断</w:t>
      </w:r>
    </w:p>
    <w:p w14:paraId="7A2C5D0C">
      <w:pPr>
        <w:keepNext w:val="0"/>
        <w:keepLines w:val="0"/>
        <w:pageBreakBefore w:val="0"/>
        <w:widowControl w:val="0"/>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评标委员会认为</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的报价明显低于其他通过符合性审查</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的报价，有可能影响产品质量或者不能诚信履约的，应当要求其在评标现场合理的时间内提供书面说明，必要时提交相关证明材料；</w:t>
      </w:r>
      <w:r>
        <w:rPr>
          <w:rFonts w:hint="eastAsia" w:ascii="宋体" w:hAnsi="宋体" w:eastAsia="宋体" w:cs="宋体"/>
          <w:b w:val="0"/>
          <w:bCs w:val="0"/>
          <w:color w:val="auto"/>
          <w:sz w:val="21"/>
          <w:szCs w:val="21"/>
          <w:highlight w:val="none"/>
          <w:lang w:eastAsia="zh-CN"/>
        </w:rPr>
        <w:t>投标人</w:t>
      </w:r>
      <w:r>
        <w:rPr>
          <w:rFonts w:hint="eastAsia" w:ascii="宋体" w:hAnsi="宋体" w:eastAsia="宋体" w:cs="宋体"/>
          <w:b w:val="0"/>
          <w:bCs w:val="0"/>
          <w:color w:val="auto"/>
          <w:sz w:val="21"/>
          <w:szCs w:val="21"/>
          <w:highlight w:val="none"/>
        </w:rPr>
        <w:t>不能证明其报价合理性的，评标委员会应当将其作为无效投标处理。</w:t>
      </w:r>
    </w:p>
    <w:p w14:paraId="38CAE898">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.6评审意见分歧的处理办法</w:t>
      </w:r>
    </w:p>
    <w:p w14:paraId="737D7BB3">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（1）评标委员会应当对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提供的报告、证明材料及详细说明认真研究。对存在意见分歧的，可采用投票方式表决决定（按多数评委意见为准）；</w:t>
      </w:r>
    </w:p>
    <w:p w14:paraId="761DA60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.7评标报告的签署</w:t>
      </w:r>
    </w:p>
    <w:p w14:paraId="29ADB630">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.7.1评标委员会应当编制书面评标报告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所有成员应签字确认。对评标结论持有异议的评标委员会成员可以书面方式阐述其不同意见和理由。评标委员会成员拒绝在评标报告上签字且不陈述其不同意见和理由的，视为同意评标结论。</w:t>
      </w:r>
    </w:p>
    <w:p w14:paraId="385207F7">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.8评标过程的保密</w:t>
      </w:r>
    </w:p>
    <w:p w14:paraId="4067CB7B">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评标委员会成员和与评标活动有关的工作人员不得透露对</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的评审和比较、中标人的推荐情况以及与评标有关的其他情况。</w:t>
      </w:r>
    </w:p>
    <w:p w14:paraId="42677946">
      <w:pPr>
        <w:keepNext w:val="0"/>
        <w:keepLines w:val="0"/>
        <w:pageBreakBefore w:val="0"/>
        <w:widowControl w:val="0"/>
        <w:tabs>
          <w:tab w:val="left" w:pos="720"/>
        </w:tabs>
        <w:kinsoku/>
        <w:wordWrap/>
        <w:overflowPunct/>
        <w:topLinePunct w:val="0"/>
        <w:autoSpaceDE/>
        <w:autoSpaceDN/>
        <w:bidi w:val="0"/>
        <w:spacing w:line="52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.9评标结果公告</w:t>
      </w:r>
    </w:p>
    <w:p w14:paraId="2FF9952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应将中标人的情况在中新苏滁高新技术产业开发区（https://scp.chuzhou.gov.cn/index.html）、滁州市城投工程咨询管理有限公司网站（https://www.czctgczx.com/）予以公告，公告期为3日。</w:t>
      </w:r>
      <w:r>
        <w:rPr>
          <w:rFonts w:hint="eastAsia" w:ascii="宋体" w:hAnsi="宋体" w:eastAsia="宋体" w:cs="宋体"/>
          <w:b/>
          <w:bCs/>
          <w:color w:val="auto"/>
          <w:sz w:val="21"/>
          <w:szCs w:val="21"/>
          <w:highlight w:val="none"/>
        </w:rPr>
        <w:t xml:space="preserve">  </w:t>
      </w:r>
    </w:p>
    <w:p w14:paraId="5E533DB3">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.定标</w:t>
      </w:r>
    </w:p>
    <w:p w14:paraId="56DDC8F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outlineLvl w:val="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.1招标人</w:t>
      </w:r>
      <w:r>
        <w:rPr>
          <w:rFonts w:hint="eastAsia" w:ascii="宋体" w:hAnsi="宋体" w:eastAsia="宋体" w:cs="宋体"/>
          <w:color w:val="auto"/>
          <w:sz w:val="21"/>
          <w:szCs w:val="21"/>
          <w:highlight w:val="none"/>
          <w:lang w:val="en-US" w:eastAsia="zh-CN"/>
        </w:rPr>
        <w:t>确定第一中标候选人为本项目中标人</w:t>
      </w:r>
      <w:r>
        <w:rPr>
          <w:rFonts w:hint="eastAsia" w:ascii="宋体" w:hAnsi="宋体" w:eastAsia="宋体" w:cs="宋体"/>
          <w:color w:val="auto"/>
          <w:sz w:val="21"/>
          <w:szCs w:val="21"/>
          <w:highlight w:val="none"/>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0953F54">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29.开评标异常情况处理</w:t>
      </w:r>
    </w:p>
    <w:p w14:paraId="0348926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29.1废标（重新招标）</w:t>
      </w:r>
    </w:p>
    <w:p w14:paraId="45A4E481">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有下列情形之一的，招标人将废标（重新招标）：</w:t>
      </w:r>
    </w:p>
    <w:p w14:paraId="2B4A84D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 出现影响采购公正的违法、违规行为的；</w:t>
      </w:r>
    </w:p>
    <w:p w14:paraId="5E083CCE">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（2）投标人的报价均脱离实际且无充分证据的；</w:t>
      </w:r>
    </w:p>
    <w:p w14:paraId="3C00AD82">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（3）因重大变故，采购任务取消的。</w:t>
      </w:r>
    </w:p>
    <w:p w14:paraId="7438AA4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29.2变更采购方式</w:t>
      </w:r>
    </w:p>
    <w:p w14:paraId="6A11AE9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按照相关规定执行。</w:t>
      </w:r>
    </w:p>
    <w:p w14:paraId="6E20233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六、合同的授予</w:t>
      </w:r>
      <w:bookmarkEnd w:id="26"/>
    </w:p>
    <w:p w14:paraId="70C8022D">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.合同授予标准</w:t>
      </w:r>
    </w:p>
    <w:p w14:paraId="5577BFF9">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.1本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的合同授予按本须知第</w:t>
      </w:r>
      <w:r>
        <w:rPr>
          <w:rFonts w:hint="eastAsia" w:ascii="宋体" w:hAnsi="宋体" w:eastAsia="宋体" w:cs="宋体"/>
          <w:color w:val="auto"/>
          <w:sz w:val="21"/>
          <w:szCs w:val="21"/>
          <w:highlight w:val="none"/>
          <w:lang w:val="en-US" w:eastAsia="zh-CN"/>
        </w:rPr>
        <w:t>28</w:t>
      </w:r>
      <w:r>
        <w:rPr>
          <w:rFonts w:hint="eastAsia" w:ascii="宋体" w:hAnsi="宋体" w:eastAsia="宋体" w:cs="宋体"/>
          <w:color w:val="auto"/>
          <w:sz w:val="21"/>
          <w:szCs w:val="21"/>
          <w:highlight w:val="none"/>
        </w:rPr>
        <w:t>条规定所确定的中标人。</w:t>
      </w:r>
    </w:p>
    <w:p w14:paraId="1A58F8BC">
      <w:pPr>
        <w:keepNext w:val="0"/>
        <w:keepLines w:val="0"/>
        <w:pageBreakBefore w:val="0"/>
        <w:widowControl w:val="0"/>
        <w:kinsoku/>
        <w:wordWrap/>
        <w:overflowPunct/>
        <w:topLinePunct w:val="0"/>
        <w:autoSpaceDE/>
        <w:autoSpaceDN/>
        <w:bidi w:val="0"/>
        <w:adjustRightInd/>
        <w:snapToGrid/>
        <w:spacing w:line="520" w:lineRule="exact"/>
        <w:ind w:firstLine="422" w:firstLineChars="200"/>
        <w:jc w:val="left"/>
        <w:textAlignment w:val="auto"/>
        <w:outlineLvl w:val="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合同协议书的签订</w:t>
      </w:r>
    </w:p>
    <w:p w14:paraId="19FE8CF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31.1中标通知书发放后30日内，按照招标文件和中标人的投标文件订立书面合同。招标人和中标人不得再行订立背离合同实质性内容的其他协议。</w:t>
      </w:r>
    </w:p>
    <w:p w14:paraId="2799782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31.2招标人如不按本投标须知第31.1条的规定与中标人订立合同，或者招标人、中标人订立背离合同实质性内容的协议，招标人应当按给投标人造成的损失予以赔偿，同时依法承担相应法律责任。</w:t>
      </w:r>
    </w:p>
    <w:p w14:paraId="1363568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31.3中标人如不按本投标须知第31.1条的规定与招标人订立合同，则招标人将取消其中标资格，给招标人造成的损失予以赔偿，同时依法承担相应法律责任。</w:t>
      </w:r>
    </w:p>
    <w:p w14:paraId="31113C77">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31.4中标人应当按照合同约定履行义务，完成中标项目的实施，不得将中标项目转让（转包）给他人。</w:t>
      </w:r>
    </w:p>
    <w:p w14:paraId="38E9C6F9">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7" w:name="_Toc449028874"/>
      <w:r>
        <w:rPr>
          <w:rFonts w:hint="eastAsia" w:ascii="宋体" w:hAnsi="宋体" w:eastAsia="宋体" w:cs="宋体"/>
          <w:b/>
          <w:bCs/>
          <w:color w:val="auto"/>
          <w:sz w:val="30"/>
          <w:szCs w:val="30"/>
          <w:highlight w:val="none"/>
        </w:rPr>
        <w:t>（七）纪律和监督</w:t>
      </w:r>
      <w:bookmarkEnd w:id="27"/>
    </w:p>
    <w:p w14:paraId="26553498">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eastAsia="zh-CN"/>
        </w:rPr>
        <w:t>招标人</w:t>
      </w:r>
      <w:r>
        <w:rPr>
          <w:rFonts w:hint="eastAsia" w:ascii="宋体" w:hAnsi="宋体" w:eastAsia="宋体" w:cs="宋体"/>
          <w:b/>
          <w:color w:val="auto"/>
          <w:sz w:val="21"/>
          <w:szCs w:val="21"/>
          <w:highlight w:val="none"/>
        </w:rPr>
        <w:t xml:space="preserve">的纪律要求 </w:t>
      </w:r>
    </w:p>
    <w:p w14:paraId="05EEEA0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2</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招标人不得泄露</w:t>
      </w:r>
      <w:r>
        <w:rPr>
          <w:rFonts w:hint="eastAsia" w:ascii="宋体" w:hAnsi="宋体" w:eastAsia="宋体" w:cs="宋体"/>
          <w:color w:val="auto"/>
          <w:kern w:val="10"/>
          <w:sz w:val="21"/>
          <w:szCs w:val="21"/>
          <w:highlight w:val="none"/>
        </w:rPr>
        <w:t>招标投标活动中应当保密的情况和资料，不得与</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 xml:space="preserve">串通损害国家利益，社会公共利益或者他人合法权益。 </w:t>
      </w:r>
    </w:p>
    <w:p w14:paraId="7B232892">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 对</w:t>
      </w:r>
      <w:r>
        <w:rPr>
          <w:rFonts w:hint="eastAsia" w:ascii="宋体" w:hAnsi="宋体" w:eastAsia="宋体" w:cs="宋体"/>
          <w:b/>
          <w:color w:val="auto"/>
          <w:sz w:val="21"/>
          <w:szCs w:val="21"/>
          <w:highlight w:val="none"/>
          <w:lang w:eastAsia="zh-CN"/>
        </w:rPr>
        <w:t>投标人</w:t>
      </w:r>
      <w:r>
        <w:rPr>
          <w:rFonts w:hint="eastAsia" w:ascii="宋体" w:hAnsi="宋体" w:eastAsia="宋体" w:cs="宋体"/>
          <w:b/>
          <w:color w:val="auto"/>
          <w:sz w:val="21"/>
          <w:szCs w:val="21"/>
          <w:highlight w:val="none"/>
        </w:rPr>
        <w:t xml:space="preserve">的纪律要求 </w:t>
      </w:r>
    </w:p>
    <w:p w14:paraId="3090510F">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3</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不得相互串通投标或者与</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串通投标，不得向</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或者评标委员会成员行贿谋取中标，不得以他人名义投标或者以其他方式弄虚作假骗取中标；</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不得以任何方式干扰、影响评标工作。</w:t>
      </w:r>
    </w:p>
    <w:p w14:paraId="46E99431">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 xml:space="preserve">.对评标委员会成员的纪律要求 </w:t>
      </w:r>
    </w:p>
    <w:p w14:paraId="65471E57">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.1评标委员会成员不得收受他人的财物或者其他好处，不得向他人</w:t>
      </w:r>
      <w:r>
        <w:rPr>
          <w:rFonts w:hint="eastAsia" w:ascii="宋体" w:hAnsi="宋体" w:eastAsia="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的评审和比较、中标候选人的推荐情况以及评标有关的其他情况。</w:t>
      </w:r>
    </w:p>
    <w:p w14:paraId="3EE85A00">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4</w:t>
      </w:r>
      <w:r>
        <w:rPr>
          <w:rFonts w:hint="eastAsia" w:ascii="宋体" w:hAnsi="宋体" w:eastAsia="宋体" w:cs="宋体"/>
          <w:color w:val="auto"/>
          <w:kern w:val="10"/>
          <w:sz w:val="21"/>
          <w:szCs w:val="21"/>
          <w:highlight w:val="none"/>
        </w:rPr>
        <w:t xml:space="preserve">.2在评标活动中，评标委员会成员不得擅离职守，影响评标程序正常进行，不得使用第三章“评标办法”没有规定的评审因素和标准进行评标。 </w:t>
      </w:r>
    </w:p>
    <w:p w14:paraId="684E0BD7">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 xml:space="preserve">.对与评标活动有关的工作人员的纪律要求 </w:t>
      </w:r>
    </w:p>
    <w:p w14:paraId="31F13EA7">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3</w:t>
      </w:r>
      <w:r>
        <w:rPr>
          <w:rFonts w:hint="eastAsia" w:ascii="宋体" w:hAnsi="宋体" w:eastAsia="宋体" w:cs="宋体"/>
          <w:color w:val="auto"/>
          <w:kern w:val="10"/>
          <w:sz w:val="21"/>
          <w:szCs w:val="21"/>
          <w:highlight w:val="none"/>
          <w:lang w:val="en-US" w:eastAsia="zh-CN"/>
        </w:rPr>
        <w:t>5</w:t>
      </w:r>
      <w:r>
        <w:rPr>
          <w:rFonts w:hint="eastAsia" w:ascii="宋体" w:hAnsi="宋体" w:eastAsia="宋体" w:cs="宋体"/>
          <w:color w:val="auto"/>
          <w:kern w:val="10"/>
          <w:sz w:val="21"/>
          <w:szCs w:val="21"/>
          <w:highlight w:val="none"/>
        </w:rPr>
        <w:t>.1与评标活动有关的工作人员不得收受他人的财物或者其他好处，不得向他人</w:t>
      </w:r>
      <w:r>
        <w:rPr>
          <w:rFonts w:hint="eastAsia" w:ascii="宋体" w:hAnsi="宋体" w:eastAsia="宋体" w:cs="宋体"/>
          <w:color w:val="auto"/>
          <w:kern w:val="10"/>
          <w:sz w:val="21"/>
          <w:szCs w:val="21"/>
          <w:highlight w:val="none"/>
          <w:lang w:eastAsia="zh-CN"/>
        </w:rPr>
        <w:t>透露</w:t>
      </w:r>
      <w:r>
        <w:rPr>
          <w:rFonts w:hint="eastAsia" w:ascii="宋体" w:hAnsi="宋体" w:eastAsia="宋体" w:cs="宋体"/>
          <w:color w:val="auto"/>
          <w:kern w:val="10"/>
          <w:sz w:val="21"/>
          <w:szCs w:val="21"/>
          <w:highlight w:val="none"/>
        </w:rPr>
        <w:t>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的评审和比较、中标候选人的推荐情况以及评标有关的其他情况。在评标活动中，与评标活动有关的工作人员不得擅离职守，影响评标程序正常进行。</w:t>
      </w:r>
    </w:p>
    <w:p w14:paraId="35A25735">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8" w:name="_Toc449028875"/>
      <w:r>
        <w:rPr>
          <w:rFonts w:hint="eastAsia" w:ascii="宋体" w:hAnsi="宋体" w:eastAsia="宋体" w:cs="宋体"/>
          <w:b/>
          <w:bCs/>
          <w:color w:val="auto"/>
          <w:sz w:val="30"/>
          <w:szCs w:val="30"/>
          <w:highlight w:val="none"/>
        </w:rPr>
        <w:t>（八）质疑与投诉</w:t>
      </w:r>
      <w:bookmarkEnd w:id="28"/>
    </w:p>
    <w:p w14:paraId="77D3D939">
      <w:pPr>
        <w:keepNext w:val="0"/>
        <w:keepLines w:val="0"/>
        <w:pageBreakBefore w:val="0"/>
        <w:widowControl w:val="0"/>
        <w:kinsoku/>
        <w:wordWrap/>
        <w:overflowPunct/>
        <w:topLinePunct w:val="0"/>
        <w:autoSpaceDE/>
        <w:autoSpaceDN/>
        <w:bidi w:val="0"/>
        <w:spacing w:line="52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36</w:t>
      </w:r>
      <w:r>
        <w:rPr>
          <w:rFonts w:hint="eastAsia" w:ascii="宋体" w:hAnsi="宋体" w:eastAsia="宋体" w:cs="宋体"/>
          <w:b/>
          <w:color w:val="auto"/>
          <w:sz w:val="21"/>
          <w:szCs w:val="21"/>
          <w:highlight w:val="none"/>
        </w:rPr>
        <w:t>.投诉</w:t>
      </w:r>
    </w:p>
    <w:p w14:paraId="7B2D3B5F">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lang w:val="en-US" w:eastAsia="zh-CN"/>
        </w:rPr>
        <w:t>36</w:t>
      </w:r>
      <w:r>
        <w:rPr>
          <w:rFonts w:hint="eastAsia" w:ascii="宋体" w:hAnsi="宋体" w:eastAsia="宋体" w:cs="宋体"/>
          <w:color w:val="auto"/>
          <w:kern w:val="10"/>
          <w:sz w:val="21"/>
          <w:szCs w:val="21"/>
          <w:highlight w:val="none"/>
        </w:rPr>
        <w:t>.1</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或者其他利害关系人认为招标投标活动违反</w:t>
      </w:r>
      <w:r>
        <w:rPr>
          <w:rFonts w:hint="eastAsia" w:ascii="宋体" w:hAnsi="宋体" w:eastAsia="宋体" w:cs="宋体"/>
          <w:color w:val="auto"/>
          <w:kern w:val="10"/>
          <w:sz w:val="21"/>
          <w:szCs w:val="21"/>
          <w:highlight w:val="none"/>
          <w:lang w:eastAsia="zh-CN"/>
        </w:rPr>
        <w:t>法律法规</w:t>
      </w:r>
      <w:r>
        <w:rPr>
          <w:rFonts w:hint="eastAsia" w:ascii="宋体" w:hAnsi="宋体" w:eastAsia="宋体" w:cs="宋体"/>
          <w:color w:val="auto"/>
          <w:kern w:val="10"/>
          <w:sz w:val="21"/>
          <w:szCs w:val="21"/>
          <w:highlight w:val="none"/>
        </w:rPr>
        <w:t>和规章规定的，有权向相关行政监督部门投诉。投诉应当有明确的请求和必要的证明材料。</w:t>
      </w:r>
    </w:p>
    <w:p w14:paraId="433CA35D">
      <w:pPr>
        <w:keepNext w:val="0"/>
        <w:keepLines w:val="0"/>
        <w:pageBreakBefore w:val="0"/>
        <w:widowControl w:val="0"/>
        <w:kinsoku/>
        <w:wordWrap/>
        <w:overflowPunct/>
        <w:topLinePunct w:val="0"/>
        <w:autoSpaceDE/>
        <w:autoSpaceDN/>
        <w:bidi w:val="0"/>
        <w:adjustRightInd w:val="0"/>
        <w:snapToGrid w:val="0"/>
        <w:spacing w:line="520" w:lineRule="exact"/>
        <w:ind w:firstLine="420" w:firstLineChars="200"/>
        <w:textAlignment w:val="auto"/>
        <w:rPr>
          <w:rFonts w:hint="eastAsia" w:ascii="黑体" w:eastAsia="黑体"/>
          <w:color w:val="auto"/>
          <w:sz w:val="30"/>
          <w:szCs w:val="30"/>
          <w:highlight w:val="none"/>
        </w:rPr>
      </w:pPr>
      <w:r>
        <w:rPr>
          <w:rFonts w:hint="eastAsia" w:ascii="宋体" w:hAnsi="宋体" w:eastAsia="宋体" w:cs="宋体"/>
          <w:color w:val="auto"/>
          <w:kern w:val="10"/>
          <w:sz w:val="21"/>
          <w:szCs w:val="21"/>
          <w:highlight w:val="none"/>
          <w:lang w:val="en-US" w:eastAsia="zh-CN"/>
        </w:rPr>
        <w:t>36</w:t>
      </w:r>
      <w:r>
        <w:rPr>
          <w:rFonts w:hint="eastAsia" w:ascii="宋体" w:hAnsi="宋体" w:eastAsia="宋体" w:cs="宋体"/>
          <w:color w:val="auto"/>
          <w:kern w:val="10"/>
          <w:sz w:val="21"/>
          <w:szCs w:val="21"/>
          <w:highlight w:val="none"/>
        </w:rPr>
        <w:t>.2</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和其他利害关系人对</w:t>
      </w:r>
      <w:r>
        <w:rPr>
          <w:rFonts w:hint="eastAsia" w:ascii="宋体" w:hAnsi="宋体" w:eastAsia="宋体" w:cs="宋体"/>
          <w:color w:val="auto"/>
          <w:kern w:val="10"/>
          <w:sz w:val="21"/>
          <w:szCs w:val="21"/>
          <w:highlight w:val="none"/>
          <w:lang w:eastAsia="zh-CN"/>
        </w:rPr>
        <w:t>招标文件</w:t>
      </w:r>
      <w:r>
        <w:rPr>
          <w:rFonts w:hint="eastAsia" w:ascii="宋体" w:hAnsi="宋体" w:eastAsia="宋体" w:cs="宋体"/>
          <w:color w:val="auto"/>
          <w:kern w:val="10"/>
          <w:sz w:val="21"/>
          <w:szCs w:val="21"/>
          <w:highlight w:val="none"/>
        </w:rPr>
        <w:t>、开标和评标结果事项投诉的，应当按照</w:t>
      </w:r>
      <w:r>
        <w:rPr>
          <w:rFonts w:hint="eastAsia" w:ascii="宋体" w:hAnsi="宋体" w:eastAsia="宋体" w:cs="宋体"/>
          <w:color w:val="auto"/>
          <w:kern w:val="10"/>
          <w:sz w:val="21"/>
          <w:szCs w:val="21"/>
          <w:highlight w:val="none"/>
          <w:lang w:eastAsia="zh-CN"/>
        </w:rPr>
        <w:t>投标人</w:t>
      </w:r>
      <w:r>
        <w:rPr>
          <w:rFonts w:hint="eastAsia" w:ascii="宋体" w:hAnsi="宋体" w:eastAsia="宋体" w:cs="宋体"/>
          <w:color w:val="auto"/>
          <w:kern w:val="10"/>
          <w:sz w:val="21"/>
          <w:szCs w:val="21"/>
          <w:highlight w:val="none"/>
        </w:rPr>
        <w:t>须知的规定先向</w:t>
      </w:r>
      <w:r>
        <w:rPr>
          <w:rFonts w:hint="eastAsia" w:ascii="宋体" w:hAnsi="宋体" w:eastAsia="宋体" w:cs="宋体"/>
          <w:color w:val="auto"/>
          <w:kern w:val="10"/>
          <w:sz w:val="21"/>
          <w:szCs w:val="21"/>
          <w:highlight w:val="none"/>
          <w:lang w:eastAsia="zh-CN"/>
        </w:rPr>
        <w:t>招标人</w:t>
      </w:r>
      <w:r>
        <w:rPr>
          <w:rFonts w:hint="eastAsia" w:ascii="宋体" w:hAnsi="宋体" w:eastAsia="宋体" w:cs="宋体"/>
          <w:color w:val="auto"/>
          <w:kern w:val="10"/>
          <w:sz w:val="21"/>
          <w:szCs w:val="21"/>
          <w:highlight w:val="none"/>
        </w:rPr>
        <w:t>提出异议。异议答复期间不计算在规定的期限内。</w:t>
      </w:r>
    </w:p>
    <w:p w14:paraId="5368DD7A">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b/>
          <w:color w:val="auto"/>
          <w:sz w:val="32"/>
          <w:szCs w:val="32"/>
          <w:highlight w:val="none"/>
        </w:rPr>
      </w:pPr>
      <w:r>
        <w:rPr>
          <w:color w:val="auto"/>
          <w:highlight w:val="none"/>
        </w:rPr>
        <w:br w:type="page"/>
      </w:r>
      <w:r>
        <w:rPr>
          <w:rFonts w:hint="eastAsia" w:ascii="宋体" w:hAnsi="宋体" w:eastAsia="宋体" w:cs="宋体"/>
          <w:b/>
          <w:bCs/>
          <w:color w:val="auto"/>
          <w:kern w:val="2"/>
          <w:sz w:val="32"/>
          <w:szCs w:val="32"/>
          <w:highlight w:val="none"/>
          <w:lang w:val="en-US" w:eastAsia="zh-CN" w:bidi="ar-SA"/>
        </w:rPr>
        <w:t>第三章 评标办法</w:t>
      </w:r>
    </w:p>
    <w:p w14:paraId="77B9157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29" w:name="_Toc449028877"/>
      <w:bookmarkStart w:id="30" w:name="_Toc58430317"/>
      <w:bookmarkStart w:id="31" w:name="_Toc362983801"/>
      <w:bookmarkStart w:id="32" w:name="_Toc267320058"/>
      <w:r>
        <w:rPr>
          <w:rFonts w:hint="eastAsia" w:ascii="宋体" w:hAnsi="宋体" w:eastAsia="宋体" w:cs="宋体"/>
          <w:b/>
          <w:bCs/>
          <w:color w:val="auto"/>
          <w:sz w:val="30"/>
          <w:szCs w:val="30"/>
          <w:highlight w:val="none"/>
        </w:rPr>
        <w:t>一、总则</w:t>
      </w:r>
      <w:bookmarkEnd w:id="29"/>
      <w:bookmarkEnd w:id="30"/>
      <w:bookmarkEnd w:id="31"/>
    </w:p>
    <w:p w14:paraId="4DA06D06">
      <w:pPr>
        <w:keepNext w:val="0"/>
        <w:keepLines w:val="0"/>
        <w:pageBreakBefore w:val="0"/>
        <w:widowControl w:val="0"/>
        <w:kinsoku/>
        <w:wordWrap/>
        <w:overflowPunct/>
        <w:topLinePunct w:val="0"/>
        <w:autoSpaceDE/>
        <w:autoSpaceDN/>
        <w:bidi w:val="0"/>
        <w:adjustRightInd/>
        <w:snapToGrid/>
        <w:spacing w:line="500" w:lineRule="exact"/>
        <w:ind w:firstLine="316" w:firstLineChars="150"/>
        <w:jc w:val="left"/>
        <w:textAlignment w:val="auto"/>
        <w:rPr>
          <w:rFonts w:hint="eastAsia" w:ascii="宋体"/>
          <w:b/>
          <w:color w:val="auto"/>
          <w:szCs w:val="21"/>
          <w:highlight w:val="none"/>
        </w:rPr>
      </w:pPr>
      <w:bookmarkStart w:id="33" w:name="_Toc362983802"/>
      <w:bookmarkStart w:id="34" w:name="_Toc58430318"/>
      <w:bookmarkStart w:id="35" w:name="_Toc449028878"/>
      <w:r>
        <w:rPr>
          <w:rFonts w:hint="eastAsia" w:ascii="宋体"/>
          <w:b/>
          <w:color w:val="auto"/>
          <w:szCs w:val="21"/>
          <w:highlight w:val="none"/>
        </w:rPr>
        <w:t xml:space="preserve"> 1. 本次评标采用综合评分法</w:t>
      </w:r>
    </w:p>
    <w:p w14:paraId="5DD2B3C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color w:val="auto"/>
          <w:szCs w:val="21"/>
          <w:highlight w:val="none"/>
        </w:rPr>
      </w:pPr>
      <w:r>
        <w:rPr>
          <w:rFonts w:hint="eastAsia" w:ascii="宋体"/>
          <w:color w:val="auto"/>
          <w:szCs w:val="21"/>
          <w:highlight w:val="none"/>
        </w:rPr>
        <w:t>1.1综合评分法是指投标文件满足招标文件全部实质性要求且按照评审因素的量化指标评审总得分从高到低的供应商为中标候选人的评标方法。</w:t>
      </w:r>
    </w:p>
    <w:p w14:paraId="0594B1C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1.2综合评分法一般适用于较为复杂、评价指标难以量化且价格为非主要因素的非标准定制商品和非通用服务项目的项目评审。</w:t>
      </w:r>
    </w:p>
    <w:p w14:paraId="7C53964E">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left"/>
        <w:textAlignment w:val="auto"/>
        <w:rPr>
          <w:rFonts w:hint="eastAsia" w:ascii="宋体"/>
          <w:b/>
          <w:color w:val="auto"/>
          <w:szCs w:val="21"/>
          <w:highlight w:val="none"/>
        </w:rPr>
      </w:pPr>
      <w:r>
        <w:rPr>
          <w:rFonts w:hint="eastAsia" w:ascii="宋体"/>
          <w:b/>
          <w:color w:val="auto"/>
          <w:szCs w:val="21"/>
          <w:highlight w:val="none"/>
          <w:lang w:eastAsia="zh-CN"/>
        </w:rPr>
        <w:t>2.</w:t>
      </w:r>
      <w:r>
        <w:rPr>
          <w:rFonts w:hint="eastAsia" w:ascii="宋体"/>
          <w:b/>
          <w:color w:val="auto"/>
          <w:szCs w:val="21"/>
          <w:highlight w:val="none"/>
        </w:rPr>
        <w:t>评标程序</w:t>
      </w:r>
    </w:p>
    <w:p w14:paraId="26AB7B8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2.1投标文件的初审</w:t>
      </w:r>
    </w:p>
    <w:p w14:paraId="0CD1CC5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2.2投标文件的澄清</w:t>
      </w:r>
    </w:p>
    <w:p w14:paraId="5665DDD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2.2.1在评标过程中，评标委员会认为需要，可要求投标人对投标文件中的有关问题进行澄清或提供补充说明及有关资料，投标人应做出书面答复。书面答复中不得变更价格、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w:t>
      </w:r>
      <w:r>
        <w:rPr>
          <w:rFonts w:hint="eastAsia" w:ascii="宋体"/>
          <w:color w:val="auto"/>
          <w:szCs w:val="21"/>
          <w:highlight w:val="none"/>
          <w:lang w:eastAsia="zh-CN"/>
        </w:rPr>
        <w:t>其他</w:t>
      </w:r>
      <w:r>
        <w:rPr>
          <w:rFonts w:hint="eastAsia" w:ascii="宋体"/>
          <w:color w:val="auto"/>
          <w:szCs w:val="21"/>
          <w:highlight w:val="none"/>
        </w:rPr>
        <w:t>实质性内容修正的函件和增加的任何优惠条件，一律不得作为评标、定标的依据。</w:t>
      </w:r>
    </w:p>
    <w:p w14:paraId="266809A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2.3比较与评价</w:t>
      </w:r>
    </w:p>
    <w:p w14:paraId="5BD7217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2.4推荐中标候选人名单</w:t>
      </w:r>
    </w:p>
    <w:p w14:paraId="110BD1D5">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二、投标文件初审</w:t>
      </w:r>
      <w:bookmarkEnd w:id="33"/>
      <w:bookmarkEnd w:id="34"/>
      <w:bookmarkEnd w:id="35"/>
    </w:p>
    <w:p w14:paraId="51BB9995">
      <w:pPr>
        <w:keepNext w:val="0"/>
        <w:keepLines w:val="0"/>
        <w:pageBreakBefore w:val="0"/>
        <w:widowControl w:val="0"/>
        <w:kinsoku/>
        <w:wordWrap/>
        <w:overflowPunct/>
        <w:topLinePunct w:val="0"/>
        <w:autoSpaceDE/>
        <w:autoSpaceDN/>
        <w:bidi w:val="0"/>
        <w:adjustRightInd/>
        <w:snapToGrid/>
        <w:spacing w:line="500" w:lineRule="exact"/>
        <w:ind w:firstLine="310" w:firstLineChars="147"/>
        <w:textAlignment w:val="auto"/>
        <w:rPr>
          <w:rFonts w:hint="eastAsia" w:ascii="宋体" w:hAnsi="宋体" w:cs="宋体"/>
          <w:b/>
          <w:color w:val="auto"/>
          <w:szCs w:val="21"/>
          <w:highlight w:val="none"/>
        </w:rPr>
      </w:pPr>
      <w:r>
        <w:rPr>
          <w:rFonts w:hint="eastAsia" w:ascii="宋体" w:hAnsi="宋体" w:cs="宋体"/>
          <w:b/>
          <w:color w:val="auto"/>
          <w:szCs w:val="21"/>
          <w:highlight w:val="none"/>
        </w:rPr>
        <w:t>3.资格性审查</w:t>
      </w:r>
      <w:r>
        <w:rPr>
          <w:rFonts w:hint="eastAsia" w:ascii="宋体" w:hAnsi="宋体" w:cs="宋体"/>
          <w:b/>
          <w:color w:val="auto"/>
          <w:szCs w:val="21"/>
          <w:highlight w:val="none"/>
          <w:lang w:eastAsia="zh-CN"/>
        </w:rPr>
        <w:t>：</w:t>
      </w:r>
    </w:p>
    <w:p w14:paraId="6A45A2E7">
      <w:pPr>
        <w:keepNext w:val="0"/>
        <w:keepLines w:val="0"/>
        <w:pageBreakBefore w:val="0"/>
        <w:widowControl w:val="0"/>
        <w:kinsoku/>
        <w:wordWrap/>
        <w:overflowPunct/>
        <w:topLinePunct w:val="0"/>
        <w:autoSpaceDE/>
        <w:autoSpaceDN/>
        <w:bidi w:val="0"/>
        <w:adjustRightInd/>
        <w:snapToGrid/>
        <w:spacing w:line="500" w:lineRule="exact"/>
        <w:ind w:firstLine="308" w:firstLineChars="147"/>
        <w:textAlignment w:val="auto"/>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21"/>
        <w:tblW w:w="9854"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5699"/>
        <w:gridCol w:w="2085"/>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7065" w:type="dxa"/>
            <w:gridSpan w:val="2"/>
            <w:noWrap w:val="0"/>
            <w:vAlign w:val="center"/>
          </w:tcPr>
          <w:p w14:paraId="317DFDD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2085" w:type="dxa"/>
            <w:noWrap w:val="0"/>
            <w:vAlign w:val="center"/>
          </w:tcPr>
          <w:p w14:paraId="12EF048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5699" w:type="dxa"/>
            <w:noWrap w:val="0"/>
            <w:vAlign w:val="center"/>
          </w:tcPr>
          <w:p w14:paraId="308A1E87">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2085" w:type="dxa"/>
            <w:noWrap w:val="0"/>
            <w:vAlign w:val="center"/>
          </w:tcPr>
          <w:p w14:paraId="4B0BE00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16220CB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366" w:type="dxa"/>
            <w:vMerge w:val="restart"/>
            <w:noWrap w:val="0"/>
            <w:vAlign w:val="center"/>
          </w:tcPr>
          <w:p w14:paraId="4C5588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5699" w:type="dxa"/>
            <w:noWrap w:val="0"/>
            <w:vAlign w:val="center"/>
          </w:tcPr>
          <w:p w14:paraId="0F7F305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cs="宋体"/>
                <w:color w:val="auto"/>
                <w:szCs w:val="21"/>
                <w:highlight w:val="none"/>
                <w:lang w:val="en-US"/>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企业资质证书</w:t>
            </w:r>
          </w:p>
        </w:tc>
        <w:tc>
          <w:tcPr>
            <w:tcW w:w="2085" w:type="dxa"/>
            <w:noWrap w:val="0"/>
            <w:vAlign w:val="center"/>
          </w:tcPr>
          <w:p w14:paraId="70F38C35">
            <w:pPr>
              <w:keepNext w:val="0"/>
              <w:keepLines w:val="0"/>
              <w:pageBreakBefore w:val="0"/>
              <w:widowControl w:val="0"/>
              <w:tabs>
                <w:tab w:val="left" w:pos="1890"/>
              </w:tabs>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有效的营业执照</w:t>
            </w:r>
            <w:r>
              <w:rPr>
                <w:rFonts w:hint="eastAsia" w:ascii="宋体" w:hAnsi="宋体" w:cs="宋体"/>
                <w:color w:val="auto"/>
                <w:szCs w:val="21"/>
                <w:highlight w:val="none"/>
                <w:lang w:val="en-US" w:eastAsia="zh-CN"/>
              </w:rPr>
              <w:t>及企业资质证书</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525A07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366" w:type="dxa"/>
            <w:vMerge w:val="continue"/>
            <w:noWrap w:val="0"/>
            <w:vAlign w:val="center"/>
          </w:tcPr>
          <w:p w14:paraId="788A23E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5699" w:type="dxa"/>
            <w:noWrap w:val="0"/>
            <w:vAlign w:val="center"/>
          </w:tcPr>
          <w:p w14:paraId="6006696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）诚信投标承诺书</w:t>
            </w:r>
          </w:p>
        </w:tc>
        <w:tc>
          <w:tcPr>
            <w:tcW w:w="2085" w:type="dxa"/>
            <w:noWrap w:val="0"/>
            <w:vAlign w:val="center"/>
          </w:tcPr>
          <w:p w14:paraId="6212B80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格式见附件</w:t>
            </w:r>
          </w:p>
          <w:p w14:paraId="3EDC332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检验</w:t>
            </w:r>
            <w:r>
              <w:rPr>
                <w:rFonts w:hint="eastAsia" w:ascii="宋体" w:hAnsi="宋体" w:eastAsia="宋体" w:cs="宋体"/>
                <w:color w:val="auto"/>
                <w:szCs w:val="21"/>
                <w:highlight w:val="none"/>
                <w:lang w:val="en-US" w:eastAsia="zh-CN"/>
              </w:rPr>
              <w:t>投标文件</w:t>
            </w:r>
          </w:p>
        </w:tc>
      </w:tr>
      <w:tr w14:paraId="37D4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31E851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366" w:type="dxa"/>
            <w:vMerge w:val="continue"/>
            <w:noWrap w:val="0"/>
            <w:vAlign w:val="center"/>
          </w:tcPr>
          <w:p w14:paraId="15EF95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5699" w:type="dxa"/>
            <w:noWrap w:val="0"/>
            <w:vAlign w:val="center"/>
          </w:tcPr>
          <w:p w14:paraId="0D2626B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4）拟派项目负责人有效身份证和职称证书</w:t>
            </w:r>
          </w:p>
        </w:tc>
        <w:tc>
          <w:tcPr>
            <w:tcW w:w="2085" w:type="dxa"/>
            <w:noWrap w:val="0"/>
            <w:vAlign w:val="center"/>
          </w:tcPr>
          <w:p w14:paraId="609D103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提供有效的身份证及</w:t>
            </w:r>
            <w:r>
              <w:rPr>
                <w:rFonts w:hint="eastAsia" w:ascii="宋体" w:hAnsi="宋体" w:cs="宋体"/>
                <w:color w:val="auto"/>
                <w:szCs w:val="21"/>
                <w:highlight w:val="none"/>
                <w:lang w:val="en-US" w:eastAsia="zh-CN"/>
              </w:rPr>
              <w:t>证书</w:t>
            </w:r>
          </w:p>
        </w:tc>
      </w:tr>
      <w:tr w14:paraId="3BDB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3DC61C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p>
        </w:tc>
        <w:tc>
          <w:tcPr>
            <w:tcW w:w="1366" w:type="dxa"/>
            <w:vMerge w:val="continue"/>
            <w:noWrap w:val="0"/>
            <w:vAlign w:val="center"/>
          </w:tcPr>
          <w:p w14:paraId="5860AC1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5699" w:type="dxa"/>
            <w:noWrap w:val="0"/>
            <w:vAlign w:val="top"/>
          </w:tcPr>
          <w:p w14:paraId="79311B5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5）拟任项目负责人须持有社保部门出具的本单位为其缴纳的2026年4月至2026年8月范围内任意连续三个月的养老保险证明。</w:t>
            </w:r>
          </w:p>
          <w:p w14:paraId="5AC3A2F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注：1、投标人是事业单位的，暂未缴纳养老保险的，须由其主管部门出具证明。</w:t>
            </w:r>
          </w:p>
        </w:tc>
        <w:tc>
          <w:tcPr>
            <w:tcW w:w="2085" w:type="dxa"/>
            <w:noWrap w:val="0"/>
            <w:vAlign w:val="center"/>
          </w:tcPr>
          <w:p w14:paraId="4E13C2F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提供养老保险证明材料</w:t>
            </w:r>
          </w:p>
        </w:tc>
      </w:tr>
    </w:tbl>
    <w:p w14:paraId="4BC832D8">
      <w:pPr>
        <w:keepNext w:val="0"/>
        <w:keepLines w:val="0"/>
        <w:pageBreakBefore w:val="0"/>
        <w:widowControl w:val="0"/>
        <w:kinsoku/>
        <w:wordWrap/>
        <w:overflowPunct/>
        <w:topLinePunct w:val="0"/>
        <w:autoSpaceDE/>
        <w:autoSpaceDN/>
        <w:bidi w:val="0"/>
        <w:adjustRightInd/>
        <w:snapToGrid/>
        <w:spacing w:line="500" w:lineRule="exact"/>
        <w:ind w:firstLine="508" w:firstLineChars="241"/>
        <w:textAlignment w:val="auto"/>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keepNext w:val="0"/>
        <w:keepLines w:val="0"/>
        <w:pageBreakBefore w:val="0"/>
        <w:widowControl w:val="0"/>
        <w:kinsoku/>
        <w:wordWrap/>
        <w:overflowPunct/>
        <w:topLinePunct w:val="0"/>
        <w:autoSpaceDE/>
        <w:autoSpaceDN/>
        <w:bidi w:val="0"/>
        <w:adjustRightInd/>
        <w:snapToGrid/>
        <w:spacing w:line="500" w:lineRule="exact"/>
        <w:ind w:firstLine="310" w:firstLineChars="147"/>
        <w:textAlignment w:val="auto"/>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keepNext w:val="0"/>
        <w:keepLines w:val="0"/>
        <w:pageBreakBefore w:val="0"/>
        <w:widowControl w:val="0"/>
        <w:kinsoku/>
        <w:wordWrap/>
        <w:overflowPunct/>
        <w:topLinePunct w:val="0"/>
        <w:autoSpaceDE/>
        <w:autoSpaceDN/>
        <w:bidi w:val="0"/>
        <w:adjustRightInd/>
        <w:snapToGrid/>
        <w:spacing w:line="500" w:lineRule="exact"/>
        <w:ind w:firstLine="315" w:firstLineChars="150"/>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1评审细则</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14A5088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099908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06E85D3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26DCF9F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5F18136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4F2754B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（4）</w:t>
            </w:r>
            <w:r>
              <w:rPr>
                <w:rFonts w:hint="eastAsia" w:ascii="宋体" w:hAnsi="宋体" w:cs="宋体"/>
                <w:color w:val="auto"/>
                <w:szCs w:val="21"/>
                <w:highlight w:val="none"/>
              </w:rPr>
              <w:t xml:space="preserve"> 投标文件的有效期</w:t>
            </w:r>
          </w:p>
        </w:tc>
        <w:tc>
          <w:tcPr>
            <w:tcW w:w="4173" w:type="dxa"/>
            <w:noWrap w:val="0"/>
            <w:vAlign w:val="center"/>
          </w:tcPr>
          <w:p w14:paraId="3AEEF67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满足招标文件要求</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6A942C3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6F3AA6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1204" w:type="dxa"/>
            <w:vMerge w:val="continue"/>
            <w:noWrap w:val="0"/>
            <w:vAlign w:val="center"/>
          </w:tcPr>
          <w:p w14:paraId="6258B2F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rPr>
            </w:pPr>
          </w:p>
        </w:tc>
        <w:tc>
          <w:tcPr>
            <w:tcW w:w="2931" w:type="dxa"/>
            <w:noWrap w:val="0"/>
            <w:vAlign w:val="center"/>
          </w:tcPr>
          <w:p w14:paraId="5998BA8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w:t>
            </w:r>
            <w:r>
              <w:rPr>
                <w:rFonts w:hint="eastAsia" w:ascii="宋体" w:hAnsi="宋体" w:cs="宋体"/>
                <w:color w:val="auto"/>
                <w:szCs w:val="21"/>
                <w:highlight w:val="none"/>
                <w:lang w:val="en-US" w:eastAsia="zh-CN"/>
              </w:rPr>
              <w:t>服务期</w:t>
            </w:r>
            <w:r>
              <w:rPr>
                <w:rFonts w:hint="eastAsia" w:ascii="宋体" w:hAnsi="宋体" w:cs="宋体"/>
                <w:color w:val="auto"/>
                <w:szCs w:val="21"/>
                <w:highlight w:val="none"/>
                <w:lang w:val="zh-CN"/>
              </w:rPr>
              <w:t>、技术</w:t>
            </w:r>
            <w:r>
              <w:rPr>
                <w:rFonts w:hint="eastAsia" w:ascii="宋体" w:hAnsi="宋体" w:cs="宋体"/>
                <w:color w:val="auto"/>
                <w:szCs w:val="21"/>
                <w:highlight w:val="none"/>
                <w:lang w:val="en-US" w:eastAsia="zh-CN"/>
              </w:rPr>
              <w:t>要求</w:t>
            </w:r>
            <w:r>
              <w:rPr>
                <w:rFonts w:hint="eastAsia" w:ascii="宋体" w:hAnsi="宋体" w:cs="宋体"/>
                <w:color w:val="auto"/>
                <w:szCs w:val="21"/>
                <w:highlight w:val="none"/>
                <w:lang w:val="zh-CN"/>
              </w:rPr>
              <w:t>等）</w:t>
            </w:r>
          </w:p>
        </w:tc>
        <w:tc>
          <w:tcPr>
            <w:tcW w:w="4173" w:type="dxa"/>
            <w:noWrap w:val="0"/>
            <w:vAlign w:val="center"/>
          </w:tcPr>
          <w:p w14:paraId="3D5CC60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keepNext w:val="0"/>
        <w:keepLines w:val="0"/>
        <w:pageBreakBefore w:val="0"/>
        <w:widowControl w:val="0"/>
        <w:kinsoku/>
        <w:wordWrap/>
        <w:overflowPunct/>
        <w:topLinePunct w:val="0"/>
        <w:autoSpaceDE/>
        <w:autoSpaceDN/>
        <w:bidi w:val="0"/>
        <w:adjustRightInd/>
        <w:snapToGrid/>
        <w:spacing w:line="500" w:lineRule="exact"/>
        <w:ind w:firstLine="506" w:firstLineChars="241"/>
        <w:textAlignment w:val="auto"/>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keepNext w:val="0"/>
        <w:keepLines w:val="0"/>
        <w:pageBreakBefore w:val="0"/>
        <w:widowControl w:val="0"/>
        <w:kinsoku/>
        <w:wordWrap/>
        <w:overflowPunct/>
        <w:topLinePunct w:val="0"/>
        <w:autoSpaceDE/>
        <w:autoSpaceDN/>
        <w:bidi w:val="0"/>
        <w:adjustRightInd/>
        <w:snapToGrid/>
        <w:spacing w:line="500" w:lineRule="exact"/>
        <w:ind w:firstLine="506" w:firstLineChars="241"/>
        <w:textAlignment w:val="auto"/>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keepNext w:val="0"/>
        <w:keepLines w:val="0"/>
        <w:pageBreakBefore w:val="0"/>
        <w:widowControl w:val="0"/>
        <w:kinsoku/>
        <w:wordWrap/>
        <w:overflowPunct/>
        <w:topLinePunct w:val="0"/>
        <w:autoSpaceDE/>
        <w:autoSpaceDN/>
        <w:bidi w:val="0"/>
        <w:adjustRightInd/>
        <w:snapToGrid/>
        <w:spacing w:line="500" w:lineRule="exact"/>
        <w:ind w:firstLine="506" w:firstLineChars="241"/>
        <w:textAlignment w:val="auto"/>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bookmarkStart w:id="36" w:name="_Toc449028879"/>
      <w:bookmarkStart w:id="37" w:name="_Toc58430319"/>
      <w:bookmarkStart w:id="38" w:name="_Toc362983803"/>
      <w:r>
        <w:rPr>
          <w:rFonts w:hint="eastAsia" w:ascii="宋体" w:hAnsi="宋体" w:eastAsia="宋体" w:cs="宋体"/>
          <w:b/>
          <w:bCs/>
          <w:color w:val="auto"/>
          <w:sz w:val="30"/>
          <w:szCs w:val="30"/>
          <w:highlight w:val="none"/>
        </w:rPr>
        <w:t>三、投标文件的澄清和补正</w:t>
      </w:r>
      <w:bookmarkEnd w:id="36"/>
      <w:bookmarkEnd w:id="37"/>
      <w:bookmarkEnd w:id="38"/>
    </w:p>
    <w:p w14:paraId="3228516B">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5.3评委会修正错误的原则：</w:t>
      </w:r>
    </w:p>
    <w:p w14:paraId="4125A76F">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keepNext w:val="0"/>
        <w:keepLines w:val="0"/>
        <w:pageBreakBefore w:val="0"/>
        <w:widowControl w:val="0"/>
        <w:kinsoku/>
        <w:wordWrap/>
        <w:overflowPunct/>
        <w:topLinePunct w:val="0"/>
        <w:autoSpaceDE/>
        <w:autoSpaceDN/>
        <w:bidi w:val="0"/>
        <w:adjustRightInd/>
        <w:snapToGrid/>
        <w:spacing w:line="500" w:lineRule="exact"/>
        <w:ind w:firstLine="525" w:firstLineChars="250"/>
        <w:textAlignment w:val="auto"/>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keepNext w:val="0"/>
        <w:keepLines w:val="0"/>
        <w:pageBreakBefore w:val="0"/>
        <w:widowControl w:val="0"/>
        <w:kinsoku/>
        <w:wordWrap/>
        <w:overflowPunct/>
        <w:topLinePunct w:val="0"/>
        <w:autoSpaceDE/>
        <w:autoSpaceDN/>
        <w:bidi w:val="0"/>
        <w:adjustRightInd/>
        <w:snapToGrid/>
        <w:spacing w:line="500" w:lineRule="exact"/>
        <w:ind w:firstLine="403" w:firstLineChars="192"/>
        <w:jc w:val="left"/>
        <w:textAlignment w:val="auto"/>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39" w:name="_Toc58430320"/>
      <w:bookmarkStart w:id="40" w:name="_Toc449028880"/>
    </w:p>
    <w:p w14:paraId="4E078817">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四、比较与评价</w:t>
      </w:r>
      <w:bookmarkEnd w:id="39"/>
      <w:bookmarkEnd w:id="40"/>
    </w:p>
    <w:p w14:paraId="117055AF">
      <w:pPr>
        <w:keepNext w:val="0"/>
        <w:keepLines w:val="0"/>
        <w:pageBreakBefore w:val="0"/>
        <w:kinsoku/>
        <w:wordWrap/>
        <w:overflowPunct/>
        <w:topLinePunct w:val="0"/>
        <w:autoSpaceDE/>
        <w:autoSpaceDN/>
        <w:bidi w:val="0"/>
        <w:spacing w:line="500" w:lineRule="exact"/>
        <w:ind w:right="36" w:rightChars="17" w:firstLine="417" w:firstLineChars="198"/>
        <w:jc w:val="left"/>
        <w:textAlignment w:val="auto"/>
        <w:rPr>
          <w:rFonts w:ascii="宋体" w:hAnsi="宋体" w:cs="宋体"/>
          <w:b/>
          <w:color w:val="auto"/>
          <w:szCs w:val="21"/>
          <w:highlight w:val="none"/>
        </w:rPr>
      </w:pPr>
      <w:r>
        <w:rPr>
          <w:rFonts w:hint="eastAsia" w:ascii="宋体" w:hAnsi="宋体" w:eastAsia="宋体" w:cs="宋体"/>
          <w:b/>
          <w:color w:val="auto"/>
          <w:sz w:val="21"/>
          <w:szCs w:val="21"/>
          <w:highlight w:val="none"/>
        </w:rPr>
        <w:t xml:space="preserve"> </w:t>
      </w:r>
      <w:bookmarkStart w:id="41" w:name="_Toc362983805"/>
      <w:bookmarkStart w:id="42" w:name="_Toc449028881"/>
      <w:r>
        <w:rPr>
          <w:rFonts w:hint="eastAsia" w:ascii="宋体" w:hAnsi="宋体" w:cs="宋体"/>
          <w:b/>
          <w:color w:val="auto"/>
          <w:szCs w:val="21"/>
          <w:highlight w:val="none"/>
        </w:rPr>
        <w:t>6.详细评审即按招标文件中规定的评标方法和标准，评标委员会将对通过初审的投标文件，进行综合比较与评价。</w:t>
      </w:r>
    </w:p>
    <w:tbl>
      <w:tblPr>
        <w:tblStyle w:val="21"/>
        <w:tblW w:w="9887" w:type="dxa"/>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78"/>
        <w:gridCol w:w="840"/>
        <w:gridCol w:w="7217"/>
      </w:tblGrid>
      <w:tr w14:paraId="11A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2984BB7B">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bookmarkStart w:id="43" w:name="_Toc58430321"/>
            <w:r>
              <w:rPr>
                <w:rFonts w:hint="eastAsia" w:ascii="宋体" w:hAnsi="宋体" w:eastAsia="宋体" w:cs="宋体"/>
                <w:b/>
                <w:bCs/>
                <w:color w:val="auto"/>
                <w:sz w:val="21"/>
                <w:szCs w:val="21"/>
                <w:highlight w:val="none"/>
              </w:rPr>
              <w:t>序号</w:t>
            </w:r>
          </w:p>
        </w:tc>
        <w:tc>
          <w:tcPr>
            <w:tcW w:w="1078" w:type="dxa"/>
            <w:shd w:val="clear" w:color="auto" w:fill="auto"/>
            <w:noWrap/>
            <w:vAlign w:val="center"/>
          </w:tcPr>
          <w:p w14:paraId="6D65D728">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评分因素</w:t>
            </w:r>
          </w:p>
        </w:tc>
        <w:tc>
          <w:tcPr>
            <w:tcW w:w="840" w:type="dxa"/>
            <w:shd w:val="clear" w:color="auto" w:fill="auto"/>
            <w:noWrap/>
            <w:vAlign w:val="center"/>
          </w:tcPr>
          <w:p w14:paraId="70D6E3F2">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分值</w:t>
            </w:r>
          </w:p>
        </w:tc>
        <w:tc>
          <w:tcPr>
            <w:tcW w:w="7217" w:type="dxa"/>
            <w:shd w:val="clear" w:color="auto" w:fill="auto"/>
            <w:noWrap/>
            <w:vAlign w:val="center"/>
          </w:tcPr>
          <w:p w14:paraId="08548695">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评审细则</w:t>
            </w:r>
          </w:p>
        </w:tc>
      </w:tr>
      <w:tr w14:paraId="2D34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2" w:type="dxa"/>
            <w:shd w:val="clear" w:color="auto" w:fill="auto"/>
            <w:noWrap/>
            <w:vAlign w:val="center"/>
          </w:tcPr>
          <w:p w14:paraId="4A06C773">
            <w:pPr>
              <w:keepNext w:val="0"/>
              <w:keepLines w:val="0"/>
              <w:pageBreakBefore w:val="0"/>
              <w:kinsoku/>
              <w:wordWrap/>
              <w:overflowPunct/>
              <w:topLinePunct w:val="0"/>
              <w:autoSpaceDE/>
              <w:autoSpaceDN/>
              <w:bidi w:val="0"/>
              <w:adjustRightInd/>
              <w:spacing w:line="5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078" w:type="dxa"/>
            <w:shd w:val="clear" w:color="auto" w:fill="auto"/>
            <w:noWrap/>
            <w:vAlign w:val="center"/>
          </w:tcPr>
          <w:p w14:paraId="37BB57DD">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企业</w:t>
            </w:r>
            <w:r>
              <w:rPr>
                <w:rFonts w:hint="eastAsia" w:ascii="宋体" w:hAnsi="宋体" w:eastAsia="宋体" w:cs="宋体"/>
                <w:b w:val="0"/>
                <w:bCs w:val="0"/>
                <w:color w:val="auto"/>
                <w:sz w:val="21"/>
                <w:szCs w:val="21"/>
                <w:highlight w:val="none"/>
                <w:lang w:val="zh-CN"/>
              </w:rPr>
              <w:t>业绩</w:t>
            </w:r>
          </w:p>
        </w:tc>
        <w:tc>
          <w:tcPr>
            <w:tcW w:w="840" w:type="dxa"/>
            <w:shd w:val="clear" w:color="auto" w:fill="auto"/>
            <w:noWrap/>
            <w:vAlign w:val="center"/>
          </w:tcPr>
          <w:p w14:paraId="5497C07C">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10分</w:t>
            </w:r>
          </w:p>
        </w:tc>
        <w:tc>
          <w:tcPr>
            <w:tcW w:w="7217" w:type="dxa"/>
            <w:shd w:val="clear" w:color="auto" w:fill="auto"/>
            <w:noWrap/>
            <w:vAlign w:val="center"/>
          </w:tcPr>
          <w:p w14:paraId="4FF3E4B2">
            <w:pPr>
              <w:pStyle w:val="66"/>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500" w:lineRule="exact"/>
              <w:jc w:val="left"/>
              <w:textAlignment w:val="auto"/>
              <w:rPr>
                <w:rFonts w:hint="eastAsia" w:ascii="宋体" w:hAnsi="宋体" w:cs="Times New Roman"/>
                <w:b w:val="0"/>
                <w:bCs w:val="0"/>
                <w:color w:val="auto"/>
                <w:kern w:val="2"/>
                <w:sz w:val="21"/>
                <w:szCs w:val="21"/>
                <w:highlight w:val="none"/>
                <w:u w:val="none"/>
                <w:lang w:val="en-US" w:eastAsia="zh-CN"/>
              </w:rPr>
            </w:pPr>
            <w:r>
              <w:rPr>
                <w:rFonts w:hint="eastAsia" w:ascii="宋体" w:hAnsi="宋体" w:cs="Times New Roman"/>
                <w:b w:val="0"/>
                <w:bCs w:val="0"/>
                <w:color w:val="auto"/>
                <w:kern w:val="2"/>
                <w:sz w:val="21"/>
                <w:szCs w:val="21"/>
                <w:highlight w:val="none"/>
                <w:u w:val="none"/>
                <w:lang w:val="en-US" w:eastAsia="zh-CN"/>
              </w:rPr>
              <w:t>自2023年1月1日至投标截止日（以合同签订时间为准），投标人具有基坑监测服务业绩，每提供一个得5分，满分10分。</w:t>
            </w:r>
          </w:p>
          <w:p w14:paraId="30D52D68">
            <w:pPr>
              <w:pStyle w:val="66"/>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500" w:lineRule="exact"/>
              <w:jc w:val="left"/>
              <w:textAlignment w:val="auto"/>
              <w:rPr>
                <w:rFonts w:hint="default" w:ascii="宋体" w:hAnsi="宋体" w:eastAsia="宋体" w:cs="Times New Roman"/>
                <w:color w:val="auto"/>
                <w:kern w:val="2"/>
                <w:sz w:val="21"/>
                <w:szCs w:val="21"/>
                <w:highlight w:val="none"/>
                <w:u w:val="none"/>
                <w:lang w:val="en-US" w:eastAsia="zh-CN"/>
              </w:rPr>
            </w:pPr>
            <w:r>
              <w:rPr>
                <w:rFonts w:hint="eastAsia" w:ascii="宋体" w:hAnsi="宋体" w:eastAsia="宋体" w:cs="宋体"/>
                <w:b/>
                <w:bCs/>
                <w:color w:val="auto"/>
                <w:sz w:val="21"/>
                <w:szCs w:val="21"/>
                <w:highlight w:val="none"/>
                <w:lang w:val="en-US" w:eastAsia="zh-CN"/>
              </w:rPr>
              <w:t>【须同时提供下列材料原扫描件：①合同</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②监测报告（提供关键页即可）；</w:t>
            </w:r>
            <w:r>
              <w:rPr>
                <w:rFonts w:hint="eastAsia" w:ascii="宋体" w:hAnsi="宋体" w:cs="宋体"/>
                <w:b/>
                <w:bCs/>
                <w:color w:val="auto"/>
                <w:sz w:val="21"/>
                <w:szCs w:val="21"/>
                <w:highlight w:val="none"/>
                <w:lang w:val="en-US" w:eastAsia="zh-CN"/>
              </w:rPr>
              <w:t>两</w:t>
            </w:r>
            <w:r>
              <w:rPr>
                <w:rFonts w:hint="eastAsia" w:ascii="宋体" w:hAnsi="宋体" w:eastAsia="宋体" w:cs="宋体"/>
                <w:b/>
                <w:bCs/>
                <w:color w:val="auto"/>
                <w:sz w:val="21"/>
                <w:szCs w:val="21"/>
                <w:highlight w:val="none"/>
                <w:lang w:val="en-US" w:eastAsia="zh-CN"/>
              </w:rPr>
              <w:t>项材料缺一不可，如上述</w:t>
            </w:r>
            <w:r>
              <w:rPr>
                <w:rFonts w:hint="eastAsia" w:ascii="宋体" w:hAnsi="宋体" w:cs="宋体"/>
                <w:b/>
                <w:bCs/>
                <w:color w:val="auto"/>
                <w:sz w:val="21"/>
                <w:szCs w:val="21"/>
                <w:highlight w:val="none"/>
                <w:lang w:val="en-US" w:eastAsia="zh-CN"/>
              </w:rPr>
              <w:t>两</w:t>
            </w:r>
            <w:r>
              <w:rPr>
                <w:rFonts w:hint="eastAsia" w:ascii="宋体" w:hAnsi="宋体" w:eastAsia="宋体" w:cs="宋体"/>
                <w:b/>
                <w:bCs/>
                <w:color w:val="auto"/>
                <w:sz w:val="21"/>
                <w:szCs w:val="21"/>
                <w:highlight w:val="none"/>
                <w:lang w:val="en-US" w:eastAsia="zh-CN"/>
              </w:rPr>
              <w:t>项不能够充分有效证明该业绩的项目类型等评审因素的，则须提供建设单位出具的加盖建设单位公章的证明材料】</w:t>
            </w:r>
          </w:p>
        </w:tc>
      </w:tr>
      <w:tr w14:paraId="3F33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52" w:type="dxa"/>
            <w:shd w:val="clear" w:color="auto" w:fill="auto"/>
            <w:noWrap/>
            <w:vAlign w:val="center"/>
          </w:tcPr>
          <w:p w14:paraId="3DDE33A7">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p>
        </w:tc>
        <w:tc>
          <w:tcPr>
            <w:tcW w:w="1078" w:type="dxa"/>
            <w:shd w:val="clear" w:color="auto" w:fill="auto"/>
            <w:noWrap/>
            <w:vAlign w:val="center"/>
          </w:tcPr>
          <w:p w14:paraId="71981CC3">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报价</w:t>
            </w:r>
          </w:p>
        </w:tc>
        <w:tc>
          <w:tcPr>
            <w:tcW w:w="840" w:type="dxa"/>
            <w:shd w:val="clear" w:color="auto" w:fill="auto"/>
            <w:noWrap/>
            <w:vAlign w:val="center"/>
          </w:tcPr>
          <w:p w14:paraId="1628F88E">
            <w:pPr>
              <w:keepNext w:val="0"/>
              <w:keepLines w:val="0"/>
              <w:pageBreakBefore w:val="0"/>
              <w:kinsoku/>
              <w:wordWrap/>
              <w:overflowPunct/>
              <w:topLinePunct w:val="0"/>
              <w:autoSpaceDE/>
              <w:autoSpaceDN/>
              <w:bidi w:val="0"/>
              <w:adjustRightInd/>
              <w:spacing w:line="500" w:lineRule="exact"/>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90分</w:t>
            </w:r>
          </w:p>
        </w:tc>
        <w:tc>
          <w:tcPr>
            <w:tcW w:w="7217" w:type="dxa"/>
            <w:shd w:val="clear" w:color="auto" w:fill="auto"/>
            <w:noWrap/>
            <w:vAlign w:val="center"/>
          </w:tcPr>
          <w:p w14:paraId="564B630B">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商务标评分按下列步骤计算：</w:t>
            </w:r>
          </w:p>
          <w:p w14:paraId="0ED533D8">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第一步：计算评标基准价F值。</w:t>
            </w:r>
          </w:p>
          <w:p w14:paraId="1A4914B5">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①</w:t>
            </w:r>
            <w:r>
              <w:rPr>
                <w:rFonts w:hint="eastAsia" w:ascii="宋体" w:hAnsi="宋体" w:cs="宋体"/>
                <w:color w:val="auto"/>
                <w:sz w:val="21"/>
                <w:szCs w:val="21"/>
                <w:highlight w:val="none"/>
                <w:lang w:val="en-US" w:eastAsia="zh-CN"/>
              </w:rPr>
              <w:t>F值为计算范围内有效投标人报价的算术平均值。</w:t>
            </w:r>
          </w:p>
          <w:p w14:paraId="7C72F95D">
            <w:pPr>
              <w:keepNext w:val="0"/>
              <w:keepLines w:val="0"/>
              <w:pageBreakBefore w:val="0"/>
              <w:kinsoku/>
              <w:wordWrap/>
              <w:overflowPunct/>
              <w:topLinePunct w:val="0"/>
              <w:autoSpaceDE/>
              <w:autoSpaceDN/>
              <w:bidi w:val="0"/>
              <w:spacing w:line="520" w:lineRule="exact"/>
              <w:textAlignment w:val="auto"/>
              <w:rPr>
                <w:rFonts w:hint="eastAsia"/>
                <w:color w:val="auto"/>
                <w:highlight w:val="none"/>
                <w:lang w:val="en-US" w:eastAsia="zh-CN"/>
              </w:rPr>
            </w:pP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值的计算方法：计算范围内有效投标人等于或超过5家时，</w:t>
            </w: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值为通过符合性审查的M个投标人投标报价中去除</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M*20%）个最高价和</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M*20%）个最低价后的算术平均值（如去高去低存在报价相同的，仅去除规定数量的投标报价），若（M*20%）为非整数，则直接取整。如M为7，则扣除1个最高价和1个最低价。如M为9，则扣除1个最高价和1个最低价。如果计算范围内有效投标人少于5家时，则计算评标价平均值时不去掉最高值和最低值，评标价平均值即为</w:t>
            </w: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 xml:space="preserve">值。 </w:t>
            </w:r>
          </w:p>
          <w:p w14:paraId="669AF516">
            <w:pPr>
              <w:keepNext w:val="0"/>
              <w:keepLines w:val="0"/>
              <w:pageBreakBefore w:val="0"/>
              <w:kinsoku/>
              <w:wordWrap/>
              <w:overflowPunct/>
              <w:topLinePunct w:val="0"/>
              <w:autoSpaceDE/>
              <w:autoSpaceDN/>
              <w:bidi w:val="0"/>
              <w:spacing w:line="5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步：计算报价偏差率。</w:t>
            </w:r>
          </w:p>
          <w:p w14:paraId="3B2C4994">
            <w:pPr>
              <w:keepNext w:val="0"/>
              <w:keepLines w:val="0"/>
              <w:pageBreakBefore w:val="0"/>
              <w:kinsoku/>
              <w:wordWrap/>
              <w:overflowPunct/>
              <w:topLinePunct w:val="0"/>
              <w:autoSpaceDE/>
              <w:autoSpaceDN/>
              <w:bidi w:val="0"/>
              <w:spacing w:line="5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①偏差率=|（投标报价-评标基准价）/评标基准价|×100%</w:t>
            </w:r>
          </w:p>
          <w:p w14:paraId="584F15F8">
            <w:pPr>
              <w:keepNext w:val="0"/>
              <w:keepLines w:val="0"/>
              <w:pageBreakBefore w:val="0"/>
              <w:kinsoku/>
              <w:wordWrap/>
              <w:overflowPunct/>
              <w:topLinePunct w:val="0"/>
              <w:autoSpaceDE/>
              <w:autoSpaceDN/>
              <w:bidi w:val="0"/>
              <w:spacing w:line="5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步：计算报价得分</w:t>
            </w:r>
          </w:p>
          <w:p w14:paraId="05C6F096">
            <w:pPr>
              <w:keepNext w:val="0"/>
              <w:keepLines w:val="0"/>
              <w:pageBreakBefore w:val="0"/>
              <w:kinsoku/>
              <w:wordWrap/>
              <w:overflowPunct/>
              <w:topLinePunct w:val="0"/>
              <w:autoSpaceDE/>
              <w:autoSpaceDN/>
              <w:bidi w:val="0"/>
              <w:spacing w:line="500" w:lineRule="exact"/>
              <w:textAlignment w:val="auto"/>
              <w:rPr>
                <w:rFonts w:ascii="宋体" w:hAnsi="宋体" w:cs="宋体"/>
                <w:color w:val="auto"/>
                <w:sz w:val="21"/>
                <w:szCs w:val="21"/>
                <w:highlight w:val="none"/>
              </w:rPr>
            </w:pPr>
            <w:r>
              <w:rPr>
                <w:rFonts w:hint="eastAsia" w:ascii="宋体" w:hAnsi="宋体" w:cs="宋体"/>
                <w:color w:val="auto"/>
                <w:sz w:val="21"/>
                <w:szCs w:val="21"/>
                <w:highlight w:val="none"/>
              </w:rPr>
              <w:t>①投标报价等于评标基准价的得满分。</w:t>
            </w:r>
          </w:p>
          <w:p w14:paraId="095A04CB">
            <w:pPr>
              <w:keepNext w:val="0"/>
              <w:keepLines w:val="0"/>
              <w:pageBreakBefore w:val="0"/>
              <w:kinsoku/>
              <w:wordWrap/>
              <w:overflowPunct/>
              <w:topLinePunct w:val="0"/>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②投标报价高于评标基准价的，投标报价得分=报价满分值-偏差率×</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w:t>
            </w:r>
          </w:p>
          <w:p w14:paraId="5EABE125">
            <w:pPr>
              <w:keepNext w:val="0"/>
              <w:keepLines w:val="0"/>
              <w:pageBreakBefore w:val="0"/>
              <w:kinsoku/>
              <w:wordWrap/>
              <w:overflowPunct/>
              <w:topLinePunct w:val="0"/>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③投标报价低于评标基准价的，投标报价得分=报价满分值-偏差率×</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0.5</w:t>
            </w:r>
          </w:p>
          <w:p w14:paraId="2CB41156">
            <w:pPr>
              <w:keepNext w:val="0"/>
              <w:keepLines w:val="0"/>
              <w:pageBreakBefore w:val="0"/>
              <w:kinsoku/>
              <w:wordWrap/>
              <w:overflowPunct/>
              <w:topLinePunct w:val="0"/>
              <w:autoSpaceDE/>
              <w:autoSpaceDN/>
              <w:bidi w:val="0"/>
              <w:adjustRightInd/>
              <w:spacing w:line="50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color w:val="auto"/>
                <w:sz w:val="21"/>
                <w:szCs w:val="21"/>
                <w:highlight w:val="none"/>
              </w:rPr>
              <w:t>注：计算过程中，评标基准价F值、偏差率、报价得分均保留两位小数，小数点后第三位四舍五入。</w:t>
            </w:r>
          </w:p>
        </w:tc>
      </w:tr>
    </w:tbl>
    <w:p w14:paraId="3800892F">
      <w:pPr>
        <w:keepNext w:val="0"/>
        <w:keepLines w:val="0"/>
        <w:pageBreakBefore w:val="0"/>
        <w:widowControl w:val="0"/>
        <w:kinsoku/>
        <w:wordWrap/>
        <w:overflowPunct/>
        <w:topLinePunct w:val="0"/>
        <w:autoSpaceDE/>
        <w:autoSpaceDN/>
        <w:bidi w:val="0"/>
        <w:adjustRightInd/>
        <w:snapToGrid/>
        <w:spacing w:before="95" w:beforeLines="30" w:after="95" w:afterLines="30" w:line="520" w:lineRule="exact"/>
        <w:jc w:val="center"/>
        <w:textAlignment w:val="auto"/>
        <w:outlineLvl w:val="1"/>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五、推荐中标候选人</w:t>
      </w:r>
      <w:bookmarkEnd w:id="41"/>
      <w:bookmarkEnd w:id="42"/>
      <w:bookmarkEnd w:id="43"/>
    </w:p>
    <w:bookmarkEnd w:id="32"/>
    <w:p w14:paraId="52C6FAEB">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7.评标委员会按得分之和从高到低按顺序，推荐3名中标候选人。 </w:t>
      </w:r>
    </w:p>
    <w:p w14:paraId="43A0F922">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7.1总得分相同的，按报价由低到高顺序排列。总得分且报价相同的并列，由</w:t>
      </w:r>
      <w:r>
        <w:rPr>
          <w:rFonts w:hint="eastAsia" w:ascii="宋体" w:hAnsi="宋体" w:cs="宋体"/>
          <w:color w:val="auto"/>
          <w:szCs w:val="21"/>
          <w:highlight w:val="none"/>
          <w:lang w:val="en-US" w:eastAsia="zh-CN"/>
        </w:rPr>
        <w:t>招标人</w:t>
      </w:r>
      <w:r>
        <w:rPr>
          <w:rFonts w:hint="eastAsia" w:ascii="宋体" w:hAnsi="宋体" w:cs="宋体"/>
          <w:color w:val="auto"/>
          <w:kern w:val="0"/>
          <w:sz w:val="21"/>
          <w:szCs w:val="21"/>
          <w:highlight w:val="none"/>
          <w:lang w:val="en-US" w:eastAsia="zh-CN" w:bidi="ar-SA"/>
        </w:rPr>
        <w:t>或评标委员会主任</w:t>
      </w:r>
      <w:r>
        <w:rPr>
          <w:rFonts w:hint="eastAsia" w:ascii="宋体" w:hAnsi="宋体" w:cs="宋体"/>
          <w:color w:val="auto"/>
          <w:szCs w:val="21"/>
          <w:highlight w:val="none"/>
        </w:rPr>
        <w:t>现场采取随机摇号的方式确定中标候选人。</w:t>
      </w:r>
    </w:p>
    <w:p w14:paraId="0DC95E8C">
      <w:pPr>
        <w:keepNext w:val="0"/>
        <w:keepLines w:val="0"/>
        <w:pageBreakBefore w:val="0"/>
        <w:kinsoku/>
        <w:wordWrap/>
        <w:overflowPunct/>
        <w:topLinePunct w:val="0"/>
        <w:autoSpaceDE/>
        <w:autoSpaceDN/>
        <w:bidi w:val="0"/>
        <w:snapToGrid w:val="0"/>
        <w:spacing w:line="52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7.2招标人确定第一中标候选人为本项目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2237244F">
      <w:pPr>
        <w:keepNext w:val="0"/>
        <w:keepLines w:val="0"/>
        <w:pageBreakBefore w:val="0"/>
        <w:widowControl w:val="0"/>
        <w:kinsoku/>
        <w:wordWrap/>
        <w:overflowPunct/>
        <w:topLinePunct w:val="0"/>
        <w:autoSpaceDE/>
        <w:autoSpaceDN/>
        <w:bidi w:val="0"/>
        <w:adjustRightInd/>
        <w:snapToGrid w:val="0"/>
        <w:spacing w:line="50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根据评标委员会评审初步结论，项目单位（代理机构）对预中标候选人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6DFDF3F9">
      <w:pPr>
        <w:keepNext w:val="0"/>
        <w:keepLines w:val="0"/>
        <w:pageBreakBefore w:val="0"/>
        <w:widowControl w:val="0"/>
        <w:kinsoku/>
        <w:wordWrap/>
        <w:overflowPunct/>
        <w:topLinePunct w:val="0"/>
        <w:autoSpaceDE/>
        <w:autoSpaceDN/>
        <w:bidi w:val="0"/>
        <w:adjustRightInd/>
        <w:snapToGrid w:val="0"/>
        <w:spacing w:line="500" w:lineRule="exact"/>
        <w:ind w:left="0" w:leftChars="0"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44" w:name="_Hlk61815781"/>
      <w:r>
        <w:rPr>
          <w:rFonts w:hint="eastAsia" w:ascii="宋体" w:hAnsi="宋体" w:cs="宋体"/>
          <w:b/>
          <w:color w:val="auto"/>
          <w:szCs w:val="21"/>
          <w:highlight w:val="none"/>
        </w:rPr>
        <w:t>无效投标条款</w:t>
      </w:r>
    </w:p>
    <w:bookmarkEnd w:id="44"/>
    <w:p w14:paraId="0BAB27FE">
      <w:pPr>
        <w:keepNext w:val="0"/>
        <w:keepLines w:val="0"/>
        <w:pageBreakBefore w:val="0"/>
        <w:kinsoku/>
        <w:wordWrap/>
        <w:overflowPunct/>
        <w:topLinePunct w:val="0"/>
        <w:autoSpaceDE/>
        <w:autoSpaceDN/>
        <w:bidi w:val="0"/>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其投标文件拒收</w:t>
      </w:r>
      <w:r>
        <w:rPr>
          <w:rFonts w:hint="eastAsia" w:ascii="宋体" w:hAnsi="宋体" w:cs="宋体"/>
          <w:color w:val="auto"/>
          <w:szCs w:val="21"/>
          <w:highlight w:val="none"/>
          <w:lang w:eastAsia="zh-CN"/>
        </w:rPr>
        <w:t>：</w:t>
      </w:r>
    </w:p>
    <w:p w14:paraId="655033CD">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 xml:space="preserve"> 未在开标截止时间前通过网上招标投标系统递交有效电子投标文件的，开标系统不予接收，投标将被拒绝</w:t>
      </w:r>
      <w:r>
        <w:rPr>
          <w:rFonts w:hint="eastAsia" w:ascii="宋体" w:hAnsi="宋体" w:cs="宋体"/>
          <w:color w:val="auto"/>
          <w:szCs w:val="21"/>
          <w:highlight w:val="none"/>
          <w:lang w:eastAsia="zh-CN"/>
        </w:rPr>
        <w:t>。</w:t>
      </w:r>
    </w:p>
    <w:p w14:paraId="1B302EC7">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投标企业接到远程解密指令后，须在规定时间内解密。因投标人自身原因导致投标文件在规定时间内未能解密、解密失败或解密超时，投标文件无效；解密时间：从本项目网上招投标系统解密倒计时开始，至完成投标文件解密时间，不得超过</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分钟，否则投标文件将被拒绝。</w:t>
      </w:r>
    </w:p>
    <w:p w14:paraId="2453625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8.2</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资格审查后其投标作无效投标处理：</w:t>
      </w:r>
    </w:p>
    <w:p w14:paraId="1D91AF56">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（1）投标人</w:t>
      </w:r>
      <w:r>
        <w:rPr>
          <w:rFonts w:hint="eastAsia" w:ascii="宋体" w:hAnsi="宋体" w:cs="宋体"/>
          <w:color w:val="auto"/>
          <w:szCs w:val="21"/>
          <w:highlight w:val="none"/>
        </w:rPr>
        <w:t>为本项目提供招标代理服务的；</w:t>
      </w:r>
    </w:p>
    <w:p w14:paraId="08467CF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（2）投标人</w:t>
      </w:r>
      <w:r>
        <w:rPr>
          <w:rFonts w:hint="eastAsia" w:ascii="宋体" w:hAnsi="宋体" w:cs="宋体"/>
          <w:color w:val="auto"/>
          <w:szCs w:val="21"/>
          <w:highlight w:val="none"/>
        </w:rPr>
        <w:t>与在本项目代理机构存在相互任职或工作的；</w:t>
      </w:r>
    </w:p>
    <w:p w14:paraId="6EB96CB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 xml:space="preserve"> 评标专家无法查看并检验</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中相关资料的；</w:t>
      </w:r>
    </w:p>
    <w:p w14:paraId="189DF9CB">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被暂停营业的；</w:t>
      </w:r>
    </w:p>
    <w:p w14:paraId="55D011AC">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被暂停或取消投标资格的；</w:t>
      </w:r>
    </w:p>
    <w:p w14:paraId="768FF61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（6）投标人</w:t>
      </w:r>
      <w:r>
        <w:rPr>
          <w:rFonts w:hint="eastAsia" w:ascii="宋体" w:hAnsi="宋体" w:cs="宋体"/>
          <w:color w:val="auto"/>
          <w:szCs w:val="21"/>
          <w:highlight w:val="none"/>
        </w:rPr>
        <w:t>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1A8F0C5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（7）投标人</w:t>
      </w:r>
      <w:r>
        <w:rPr>
          <w:rFonts w:hint="eastAsia" w:ascii="宋体" w:hAnsi="宋体" w:cs="宋体"/>
          <w:color w:val="auto"/>
          <w:szCs w:val="21"/>
          <w:highlight w:val="none"/>
        </w:rPr>
        <w:t>基本资格条件和特定资格条件中有一项及以上不符合要求的；</w:t>
      </w:r>
    </w:p>
    <w:p w14:paraId="24069BC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（8）其他情形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45E527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50856FB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8.3 </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符合性审查后其投标按无效投标处理：</w:t>
      </w:r>
    </w:p>
    <w:p w14:paraId="049A30C3">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签字、盖章不全，经评标委员会一致认定对开评标内容有实质性影响的；</w:t>
      </w:r>
    </w:p>
    <w:p w14:paraId="53D3D90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color w:val="auto"/>
          <w:szCs w:val="21"/>
          <w:highlight w:val="none"/>
        </w:rPr>
      </w:pPr>
      <w:r>
        <w:rPr>
          <w:rFonts w:hint="eastAsia" w:ascii="宋体" w:hAnsi="宋体" w:cs="宋体"/>
          <w:color w:val="auto"/>
          <w:szCs w:val="21"/>
          <w:highlight w:val="none"/>
          <w:lang w:eastAsia="zh-CN"/>
        </w:rPr>
        <w:t>（2）</w:t>
      </w:r>
      <w:r>
        <w:rPr>
          <w:rFonts w:hint="eastAsia" w:ascii="宋体"/>
          <w:color w:val="auto"/>
          <w:szCs w:val="21"/>
          <w:highlight w:val="none"/>
        </w:rPr>
        <w:t>未按规定的格式填写导致实质性内容不全以及实质上不响应，或者关键字迹模糊、无法辨认；</w:t>
      </w:r>
    </w:p>
    <w:p w14:paraId="52200C7D">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同一</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提交两个以上不同的</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或者投标报价，但</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规定提交备选方案的除外；</w:t>
      </w:r>
    </w:p>
    <w:p w14:paraId="0BBD4EB6">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没有对</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的实质性要求和条件作出响应</w:t>
      </w:r>
      <w:r>
        <w:rPr>
          <w:rFonts w:hint="eastAsia" w:ascii="宋体" w:hAnsi="宋体" w:cs="宋体"/>
          <w:color w:val="auto"/>
          <w:szCs w:val="21"/>
          <w:highlight w:val="none"/>
          <w:lang w:eastAsia="zh-CN"/>
        </w:rPr>
        <w:t>；</w:t>
      </w:r>
    </w:p>
    <w:p w14:paraId="789D207F">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投标报价超出规定的投标限价或公布的采购预算的；</w:t>
      </w:r>
    </w:p>
    <w:p w14:paraId="3A3AF7C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w:t>
      </w:r>
      <w:r>
        <w:rPr>
          <w:rFonts w:hint="eastAsia" w:ascii="宋体" w:hAnsi="宋体" w:cs="宋体"/>
          <w:color w:val="auto"/>
          <w:szCs w:val="21"/>
          <w:highlight w:val="none"/>
        </w:rPr>
        <w:t>不按评标委员会要求澄清、说明或补正的，或者评标委员会根据</w:t>
      </w:r>
      <w:r>
        <w:rPr>
          <w:rFonts w:hint="eastAsia" w:ascii="宋体" w:hAnsi="宋体" w:cs="宋体"/>
          <w:color w:val="auto"/>
          <w:szCs w:val="21"/>
          <w:highlight w:val="none"/>
          <w:lang w:eastAsia="zh-CN"/>
        </w:rPr>
        <w:t>招标文件</w:t>
      </w:r>
      <w:r>
        <w:rPr>
          <w:rFonts w:hint="eastAsia" w:ascii="宋体" w:hAnsi="宋体" w:cs="宋体"/>
          <w:color w:val="auto"/>
          <w:szCs w:val="21"/>
          <w:highlight w:val="none"/>
        </w:rPr>
        <w:t>的规定对</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的计算错误进行修正后，</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不接受修正的投标报价的。</w:t>
      </w:r>
    </w:p>
    <w:p w14:paraId="2EE8AAE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（7）其他情形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7FA82881">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（8）</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01441677">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（9）招标文件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13919599">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8.4 </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详细评审后其投标按无效投标处理：</w:t>
      </w:r>
    </w:p>
    <w:p w14:paraId="543ED6A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投标产品不符合必须强制执行的国家标准的；</w:t>
      </w:r>
    </w:p>
    <w:p w14:paraId="54CB7D72">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（2）投标人</w:t>
      </w:r>
      <w:r>
        <w:rPr>
          <w:rFonts w:hint="eastAsia" w:ascii="宋体" w:hAnsi="宋体" w:cs="宋体"/>
          <w:color w:val="auto"/>
          <w:szCs w:val="21"/>
          <w:highlight w:val="none"/>
        </w:rPr>
        <w:t>有串通投标、弄虚作假、行贿等违法行为；</w:t>
      </w:r>
    </w:p>
    <w:p w14:paraId="67AD2738">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eastAsia="zh-CN"/>
        </w:rPr>
        <w:t>文件</w:t>
      </w:r>
      <w:r>
        <w:rPr>
          <w:rFonts w:hint="eastAsia" w:ascii="宋体" w:hAnsi="宋体" w:cs="宋体"/>
          <w:color w:val="auto"/>
          <w:szCs w:val="21"/>
          <w:highlight w:val="none"/>
        </w:rPr>
        <w:t>含有违反国家</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7B7FD85A">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报价明显低于其他</w:t>
      </w:r>
      <w:r>
        <w:rPr>
          <w:rFonts w:hint="eastAsia" w:ascii="宋体" w:hAnsi="宋体" w:cs="宋体"/>
          <w:color w:val="auto"/>
          <w:szCs w:val="21"/>
          <w:highlight w:val="none"/>
          <w:lang w:eastAsia="zh-CN"/>
        </w:rPr>
        <w:t>投标人</w:t>
      </w:r>
      <w:r>
        <w:rPr>
          <w:rFonts w:hint="eastAsia" w:ascii="宋体" w:hAnsi="宋体" w:cs="宋体"/>
          <w:color w:val="auto"/>
          <w:szCs w:val="21"/>
          <w:highlight w:val="none"/>
        </w:rPr>
        <w:t>，且不能证明报价合理性的投标无效；</w:t>
      </w:r>
    </w:p>
    <w:p w14:paraId="40D5C190">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拒不确认评标委员会评审修正的投标无效；</w:t>
      </w:r>
    </w:p>
    <w:p w14:paraId="48AC5EB5">
      <w:pPr>
        <w:keepNext w:val="0"/>
        <w:keepLines w:val="0"/>
        <w:pageBreakBefore w:val="0"/>
        <w:widowControl w:val="0"/>
        <w:kinsoku/>
        <w:wordWrap/>
        <w:overflowPunct/>
        <w:topLinePunct w:val="0"/>
        <w:autoSpaceDE/>
        <w:autoSpaceDN/>
        <w:bidi w:val="0"/>
        <w:adjustRightInd/>
        <w:snapToGrid w:val="0"/>
        <w:spacing w:line="520" w:lineRule="exact"/>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（6）其他情形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51EE36E">
      <w:pPr>
        <w:keepNext w:val="0"/>
        <w:keepLines w:val="0"/>
        <w:pageBreakBefore w:val="0"/>
        <w:kinsoku/>
        <w:wordWrap/>
        <w:overflowPunct/>
        <w:topLinePunct w:val="0"/>
        <w:autoSpaceDE/>
        <w:autoSpaceDN/>
        <w:bidi w:val="0"/>
        <w:snapToGrid w:val="0"/>
        <w:spacing w:line="520" w:lineRule="exact"/>
        <w:ind w:left="0" w:leftChars="0" w:firstLine="420" w:firstLineChars="200"/>
        <w:jc w:val="both"/>
        <w:textAlignment w:val="auto"/>
        <w:rPr>
          <w:rFonts w:hint="eastAsia" w:ascii="仿宋" w:hAnsi="仿宋" w:eastAsia="宋体" w:cs="仿宋"/>
          <w:b/>
          <w:bCs/>
          <w:i w:val="0"/>
          <w:iCs w:val="0"/>
          <w:color w:val="auto"/>
          <w:kern w:val="0"/>
          <w:sz w:val="22"/>
          <w:szCs w:val="22"/>
          <w:highlight w:val="none"/>
          <w:u w:val="none"/>
          <w:lang w:val="en-US" w:eastAsia="zh-CN" w:bidi="ar"/>
        </w:rPr>
        <w:sectPr>
          <w:footerReference r:id="rId3" w:type="default"/>
          <w:pgSz w:w="11906" w:h="16838"/>
          <w:pgMar w:top="1417" w:right="1247" w:bottom="1417" w:left="1247" w:header="851" w:footer="992" w:gutter="0"/>
          <w:pgNumType w:fmt="numberInDash" w:start="1"/>
          <w:cols w:space="720" w:num="1"/>
          <w:rtlGutter w:val="0"/>
          <w:docGrid w:type="lines" w:linePitch="312" w:charSpace="0"/>
        </w:sectPr>
      </w:pPr>
      <w:r>
        <w:rPr>
          <w:rFonts w:hint="eastAsia" w:ascii="宋体" w:hAnsi="宋体" w:cs="宋体"/>
          <w:color w:val="auto"/>
          <w:szCs w:val="21"/>
          <w:highlight w:val="none"/>
          <w:lang w:eastAsia="zh-CN"/>
        </w:rPr>
        <w:t>（7）招标文件</w:t>
      </w:r>
      <w:r>
        <w:rPr>
          <w:rFonts w:hint="eastAsia" w:ascii="宋体" w:hAnsi="宋体" w:cs="宋体"/>
          <w:color w:val="auto"/>
          <w:szCs w:val="21"/>
          <w:highlight w:val="none"/>
        </w:rPr>
        <w:t>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r>
        <w:rPr>
          <w:rFonts w:hint="eastAsia" w:ascii="宋体" w:hAnsi="宋体" w:cs="宋体"/>
          <w:color w:val="auto"/>
          <w:szCs w:val="21"/>
          <w:highlight w:val="none"/>
          <w:lang w:eastAsia="zh-CN"/>
        </w:rPr>
        <w:t>。</w:t>
      </w:r>
    </w:p>
    <w:p w14:paraId="11E9CBDE">
      <w:pPr>
        <w:rPr>
          <w:color w:val="auto"/>
          <w:highlight w:val="none"/>
        </w:rPr>
      </w:pPr>
    </w:p>
    <w:p w14:paraId="49BB0102">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第四章 采购需求</w:t>
      </w:r>
    </w:p>
    <w:p w14:paraId="7C551865">
      <w:pPr>
        <w:keepNext/>
        <w:keepLines/>
        <w:pageBreakBefore w:val="0"/>
        <w:widowControl w:val="0"/>
        <w:numPr>
          <w:ilvl w:val="0"/>
          <w:numId w:val="2"/>
        </w:numPr>
        <w:kinsoku/>
        <w:wordWrap/>
        <w:overflowPunct/>
        <w:topLinePunct w:val="0"/>
        <w:autoSpaceDE/>
        <w:autoSpaceDN/>
        <w:bidi w:val="0"/>
        <w:adjustRightInd w:val="0"/>
        <w:snapToGrid w:val="0"/>
        <w:spacing w:before="156" w:beforeLines="50" w:after="156" w:afterLines="50" w:line="500" w:lineRule="exact"/>
        <w:jc w:val="both"/>
        <w:textAlignment w:val="auto"/>
        <w:outlineLvl w:val="1"/>
        <w:rPr>
          <w:rFonts w:hint="eastAsia" w:ascii="宋体" w:hAnsi="宋体" w:eastAsia="宋体" w:cs="Times New Roman"/>
          <w:b/>
          <w:bCs/>
          <w:color w:val="auto"/>
          <w:szCs w:val="21"/>
          <w:highlight w:val="none"/>
          <w:u w:color="000000"/>
          <w:lang w:val="en-US" w:eastAsia="zh-CN"/>
        </w:rPr>
      </w:pPr>
      <w:r>
        <w:rPr>
          <w:rFonts w:hint="eastAsia" w:ascii="宋体" w:hAnsi="宋体" w:eastAsia="宋体" w:cs="Times New Roman"/>
          <w:b/>
          <w:bCs/>
          <w:color w:val="auto"/>
          <w:szCs w:val="21"/>
          <w:highlight w:val="none"/>
          <w:u w:color="000000"/>
          <w:lang w:val="en-US" w:eastAsia="zh-CN"/>
        </w:rPr>
        <w:t>项目概况</w:t>
      </w:r>
    </w:p>
    <w:p w14:paraId="3DB2B914">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default"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中新苏滁高新区（未来产业园）智能制造工业坊项目位于安徽省滁州市东至白塔街，南至滁中路，西至滁州大道，北至滨河南路。主要建设内容包括1#-12#厂房，均为三层，钢筋混凝土框架结构，建筑面积合计为95142.98m2；13#辅助用房，两层，钢筋混凝土框架结构，建筑面积为2980.56m2；14#-27#厂房，均为两层，钢筋混凝土框架结构，建筑面积合计为83330.76m2；28#综合楼，地下一层，地上八层，钢筋混凝土框架结构，建筑面积为34011.39m2；29#-31#厂房，均为一层，钢筋混凝土框架结构，建筑面积合计为34094.67m2；32#门卫，一层，钢筋混凝土框架结构，建筑面积为101.21m2，及室外附属工程。</w:t>
      </w:r>
    </w:p>
    <w:p w14:paraId="320CE880">
      <w:pPr>
        <w:keepNext/>
        <w:keepLines/>
        <w:pageBreakBefore w:val="0"/>
        <w:widowControl w:val="0"/>
        <w:kinsoku/>
        <w:wordWrap/>
        <w:overflowPunct/>
        <w:topLinePunct w:val="0"/>
        <w:autoSpaceDE/>
        <w:autoSpaceDN/>
        <w:bidi w:val="0"/>
        <w:adjustRightInd w:val="0"/>
        <w:snapToGrid w:val="0"/>
        <w:spacing w:before="156" w:beforeLines="50" w:after="156" w:afterLines="50" w:line="500" w:lineRule="exact"/>
        <w:jc w:val="both"/>
        <w:textAlignment w:val="auto"/>
        <w:outlineLvl w:val="1"/>
        <w:rPr>
          <w:rFonts w:hint="eastAsia" w:ascii="宋体" w:hAnsi="宋体" w:eastAsia="宋体" w:cs="Times New Roman"/>
          <w:b/>
          <w:bCs/>
          <w:color w:val="auto"/>
          <w:szCs w:val="21"/>
          <w:highlight w:val="none"/>
          <w:u w:color="000000"/>
          <w:lang w:eastAsia="zh-CN"/>
        </w:rPr>
      </w:pPr>
      <w:bookmarkStart w:id="45" w:name="_Toc350506046"/>
      <w:bookmarkStart w:id="46" w:name="_Toc11687021"/>
      <w:bookmarkStart w:id="47" w:name="_Toc468884887"/>
      <w:r>
        <w:rPr>
          <w:rFonts w:hint="eastAsia" w:ascii="宋体" w:hAnsi="宋体" w:eastAsia="宋体" w:cs="Times New Roman"/>
          <w:b/>
          <w:bCs/>
          <w:color w:val="auto"/>
          <w:szCs w:val="21"/>
          <w:highlight w:val="none"/>
          <w:u w:color="000000"/>
        </w:rPr>
        <w:t xml:space="preserve">二 </w:t>
      </w:r>
      <w:bookmarkEnd w:id="45"/>
      <w:bookmarkEnd w:id="46"/>
      <w:bookmarkEnd w:id="47"/>
      <w:r>
        <w:rPr>
          <w:rFonts w:hint="eastAsia" w:ascii="宋体" w:hAnsi="宋体" w:eastAsia="宋体" w:cs="Times New Roman"/>
          <w:b/>
          <w:bCs/>
          <w:color w:val="auto"/>
          <w:szCs w:val="21"/>
          <w:highlight w:val="none"/>
          <w:u w:color="000000"/>
          <w:lang w:eastAsia="zh-CN"/>
        </w:rPr>
        <w:t>、监测内容</w:t>
      </w:r>
    </w:p>
    <w:tbl>
      <w:tblPr>
        <w:tblStyle w:val="22"/>
        <w:tblW w:w="7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4207"/>
        <w:gridCol w:w="2349"/>
      </w:tblGrid>
      <w:tr w14:paraId="0AFF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8" w:type="dxa"/>
            <w:vAlign w:val="center"/>
          </w:tcPr>
          <w:p w14:paraId="2B4559A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序号</w:t>
            </w:r>
          </w:p>
        </w:tc>
        <w:tc>
          <w:tcPr>
            <w:tcW w:w="4207" w:type="dxa"/>
            <w:vAlign w:val="center"/>
          </w:tcPr>
          <w:p w14:paraId="3ED623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监测内容</w:t>
            </w:r>
          </w:p>
        </w:tc>
        <w:tc>
          <w:tcPr>
            <w:tcW w:w="2349" w:type="dxa"/>
            <w:vAlign w:val="center"/>
          </w:tcPr>
          <w:p w14:paraId="1014DF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备注</w:t>
            </w:r>
          </w:p>
        </w:tc>
      </w:tr>
      <w:tr w14:paraId="4437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8" w:type="dxa"/>
            <w:vAlign w:val="center"/>
          </w:tcPr>
          <w:p w14:paraId="4BA832A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4207" w:type="dxa"/>
            <w:vAlign w:val="center"/>
          </w:tcPr>
          <w:p w14:paraId="77FC20A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支护结构水平、垂直位移监测点</w:t>
            </w:r>
          </w:p>
        </w:tc>
        <w:tc>
          <w:tcPr>
            <w:tcW w:w="2349" w:type="dxa"/>
            <w:vMerge w:val="restart"/>
            <w:vAlign w:val="center"/>
          </w:tcPr>
          <w:p w14:paraId="615866E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具体要求详见图纸设计要求并符合相关检测规范要求</w:t>
            </w:r>
          </w:p>
        </w:tc>
      </w:tr>
      <w:tr w14:paraId="7DEB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8" w:type="dxa"/>
            <w:vAlign w:val="center"/>
          </w:tcPr>
          <w:p w14:paraId="3914A5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4207" w:type="dxa"/>
            <w:vAlign w:val="center"/>
          </w:tcPr>
          <w:p w14:paraId="1CBD073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支护结构水平位移</w:t>
            </w:r>
          </w:p>
        </w:tc>
        <w:tc>
          <w:tcPr>
            <w:tcW w:w="2349" w:type="dxa"/>
            <w:vMerge w:val="continue"/>
            <w:vAlign w:val="center"/>
          </w:tcPr>
          <w:p w14:paraId="206574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vertAlign w:val="baseline"/>
                <w:lang w:val="en-US" w:eastAsia="zh-CN"/>
              </w:rPr>
            </w:pPr>
          </w:p>
        </w:tc>
      </w:tr>
      <w:tr w14:paraId="77E9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8" w:type="dxa"/>
            <w:vAlign w:val="center"/>
          </w:tcPr>
          <w:p w14:paraId="510E0A1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4207" w:type="dxa"/>
            <w:vAlign w:val="center"/>
          </w:tcPr>
          <w:p w14:paraId="4438479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支护结构竖向位移</w:t>
            </w:r>
          </w:p>
        </w:tc>
        <w:tc>
          <w:tcPr>
            <w:tcW w:w="2349" w:type="dxa"/>
            <w:vMerge w:val="continue"/>
            <w:vAlign w:val="center"/>
          </w:tcPr>
          <w:p w14:paraId="38593A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vertAlign w:val="baseline"/>
                <w:lang w:val="en-US" w:eastAsia="zh-CN"/>
              </w:rPr>
            </w:pPr>
          </w:p>
        </w:tc>
      </w:tr>
    </w:tbl>
    <w:p w14:paraId="3D9C19DE">
      <w:pPr>
        <w:keepNext/>
        <w:keepLines/>
        <w:pageBreakBefore w:val="0"/>
        <w:widowControl w:val="0"/>
        <w:kinsoku/>
        <w:wordWrap/>
        <w:overflowPunct/>
        <w:topLinePunct w:val="0"/>
        <w:autoSpaceDE/>
        <w:autoSpaceDN/>
        <w:bidi w:val="0"/>
        <w:adjustRightInd w:val="0"/>
        <w:snapToGrid w:val="0"/>
        <w:spacing w:before="156" w:beforeLines="50" w:after="156" w:afterLines="50" w:line="360" w:lineRule="auto"/>
        <w:jc w:val="both"/>
        <w:textAlignment w:val="auto"/>
        <w:outlineLvl w:val="1"/>
        <w:rPr>
          <w:rFonts w:hint="eastAsia" w:ascii="宋体" w:hAnsi="宋体" w:eastAsia="宋体" w:cs="Times New Roman"/>
          <w:b/>
          <w:bCs/>
          <w:color w:val="auto"/>
          <w:szCs w:val="21"/>
          <w:highlight w:val="none"/>
          <w:u w:color="000000"/>
          <w:lang w:eastAsia="zh-CN"/>
        </w:rPr>
      </w:pPr>
      <w:r>
        <w:rPr>
          <w:rFonts w:hint="eastAsia" w:ascii="宋体" w:hAnsi="宋体" w:eastAsia="宋体" w:cs="Times New Roman"/>
          <w:b/>
          <w:bCs/>
          <w:color w:val="auto"/>
          <w:szCs w:val="21"/>
          <w:highlight w:val="none"/>
          <w:u w:color="000000"/>
          <w:lang w:val="en-US" w:eastAsia="zh-CN"/>
        </w:rPr>
        <w:t>三、成果要求</w:t>
      </w:r>
    </w:p>
    <w:p w14:paraId="0432B460">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1.监测相关要求</w:t>
      </w:r>
    </w:p>
    <w:p w14:paraId="3D9B3903">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（1）监测在开始之前，应依据施工图纸和相关规范，编制监测方案报监理单位审批。批准后作为监测工作的指导性文件。</w:t>
      </w:r>
    </w:p>
    <w:p w14:paraId="0EC6732F">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（2）即时监测成果应书面报至监理和建设单位处，并对监测数据进行分析，分析结论一并报送。</w:t>
      </w:r>
    </w:p>
    <w:p w14:paraId="57CFC5E6">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（3）沉降或位移不稳定时须按照规范要求加密监测次数。</w:t>
      </w:r>
    </w:p>
    <w:p w14:paraId="015AB197">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pPr>
      <w:r>
        <w:rPr>
          <w:rFonts w:hint="eastAsia" w:ascii="宋体" w:hAnsi="宋体" w:eastAsia="宋体" w:cs="Times New Roman"/>
          <w:color w:val="auto"/>
          <w:szCs w:val="21"/>
          <w:highlight w:val="none"/>
          <w:u w:color="000000"/>
          <w:lang w:val="en-US" w:eastAsia="zh-CN"/>
        </w:rPr>
        <w:t>2.成果要求：正式成果报告6份（以满足建设单位实际使用需求为准）。</w:t>
      </w:r>
    </w:p>
    <w:p w14:paraId="483F362B">
      <w:pPr>
        <w:keepNext w:val="0"/>
        <w:keepLines w:val="0"/>
        <w:pageBreakBefore w:val="0"/>
        <w:widowControl w:val="0"/>
        <w:kinsoku/>
        <w:wordWrap/>
        <w:overflowPunct/>
        <w:topLinePunct w:val="0"/>
        <w:autoSpaceDE/>
        <w:autoSpaceDN/>
        <w:bidi w:val="0"/>
        <w:adjustRightInd w:val="0"/>
        <w:snapToGrid w:val="0"/>
        <w:spacing w:line="500" w:lineRule="exact"/>
        <w:ind w:firstLine="371" w:firstLineChars="177"/>
        <w:jc w:val="left"/>
        <w:textAlignment w:val="auto"/>
        <w:rPr>
          <w:rFonts w:hint="eastAsia" w:ascii="宋体" w:hAnsi="宋体" w:eastAsia="宋体" w:cs="Times New Roman"/>
          <w:color w:val="auto"/>
          <w:szCs w:val="21"/>
          <w:highlight w:val="none"/>
          <w:u w:color="000000"/>
          <w:lang w:val="en-US" w:eastAsia="zh-CN"/>
        </w:rPr>
        <w:sectPr>
          <w:footerReference r:id="rId4" w:type="default"/>
          <w:pgSz w:w="11906" w:h="16838"/>
          <w:pgMar w:top="1417" w:right="1247" w:bottom="1417" w:left="1247" w:header="851" w:footer="992" w:gutter="0"/>
          <w:pgNumType w:fmt="numberInDash"/>
          <w:cols w:space="0" w:num="1"/>
          <w:rtlGutter w:val="0"/>
          <w:docGrid w:type="lines" w:linePitch="312" w:charSpace="0"/>
        </w:sectPr>
      </w:pPr>
      <w:r>
        <w:rPr>
          <w:rFonts w:hint="eastAsia" w:ascii="宋体" w:hAnsi="宋体" w:eastAsia="宋体" w:cs="Times New Roman"/>
          <w:color w:val="auto"/>
          <w:szCs w:val="21"/>
          <w:highlight w:val="none"/>
          <w:u w:color="000000"/>
          <w:lang w:val="en-US" w:eastAsia="zh-CN"/>
        </w:rPr>
        <w:t>3.时间要求：根据施工进度及时出具监测报告。</w:t>
      </w:r>
    </w:p>
    <w:p w14:paraId="7E4A47B2">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default" w:ascii="宋体" w:hAnsi="宋体" w:eastAsia="宋体" w:cs="宋体"/>
          <w:b/>
          <w:bCs/>
          <w:color w:val="auto"/>
          <w:kern w:val="2"/>
          <w:sz w:val="32"/>
          <w:szCs w:val="32"/>
          <w:highlight w:val="none"/>
          <w:lang w:val="en-US" w:eastAsia="zh-CN" w:bidi="ar-SA"/>
        </w:rPr>
      </w:pPr>
      <w:bookmarkStart w:id="48" w:name="_Toc408300962"/>
      <w:bookmarkStart w:id="49" w:name="_Toc256145682"/>
      <w:bookmarkStart w:id="50" w:name="_Toc254678742"/>
      <w:bookmarkStart w:id="51" w:name="_Toc467697581"/>
      <w:bookmarkStart w:id="52" w:name="_Toc260213912"/>
      <w:bookmarkStart w:id="53" w:name="_Toc175977239"/>
      <w:bookmarkStart w:id="54" w:name="_Toc484173786"/>
      <w:r>
        <w:rPr>
          <w:rFonts w:hint="eastAsia" w:ascii="宋体" w:hAnsi="宋体" w:eastAsia="宋体" w:cs="宋体"/>
          <w:b/>
          <w:bCs/>
          <w:color w:val="auto"/>
          <w:kern w:val="2"/>
          <w:sz w:val="32"/>
          <w:szCs w:val="32"/>
          <w:highlight w:val="none"/>
          <w:lang w:val="en-US" w:eastAsia="zh-CN" w:bidi="ar-SA"/>
        </w:rPr>
        <w:t>第五章  合同条款（参考）</w:t>
      </w:r>
    </w:p>
    <w:bookmarkEnd w:id="48"/>
    <w:bookmarkEnd w:id="49"/>
    <w:bookmarkEnd w:id="50"/>
    <w:bookmarkEnd w:id="51"/>
    <w:bookmarkEnd w:id="52"/>
    <w:bookmarkEnd w:id="53"/>
    <w:bookmarkEnd w:id="54"/>
    <w:p w14:paraId="16020526">
      <w:pPr>
        <w:spacing w:after="240"/>
        <w:jc w:val="both"/>
        <w:rPr>
          <w:rFonts w:hint="eastAsia" w:ascii="宋体" w:hAnsi="宋体" w:cs="宋体"/>
          <w:b/>
          <w:bCs/>
          <w:color w:val="auto"/>
          <w:sz w:val="48"/>
          <w:szCs w:val="48"/>
          <w:highlight w:val="none"/>
          <w:u w:val="single" w:color="000000"/>
        </w:rPr>
      </w:pPr>
      <w:bookmarkStart w:id="55" w:name="_Toc484173788"/>
    </w:p>
    <w:p w14:paraId="1287E50C">
      <w:pPr>
        <w:spacing w:after="240"/>
        <w:jc w:val="center"/>
        <w:rPr>
          <w:rFonts w:hint="eastAsia" w:ascii="宋体" w:hAnsi="宋体" w:cs="宋体"/>
          <w:b/>
          <w:bCs/>
          <w:color w:val="auto"/>
          <w:sz w:val="48"/>
          <w:szCs w:val="48"/>
          <w:highlight w:val="none"/>
          <w:u w:val="single" w:color="000000"/>
        </w:rPr>
      </w:pPr>
    </w:p>
    <w:p w14:paraId="661A3AEE">
      <w:pPr>
        <w:spacing w:after="240"/>
        <w:jc w:val="center"/>
        <w:rPr>
          <w:rFonts w:ascii="宋体" w:hAnsi="宋体" w:cs="宋体"/>
          <w:b/>
          <w:bCs/>
          <w:color w:val="auto"/>
          <w:sz w:val="48"/>
          <w:szCs w:val="48"/>
          <w:highlight w:val="none"/>
          <w:u w:color="000000"/>
        </w:rPr>
      </w:pPr>
      <w:r>
        <w:rPr>
          <w:rFonts w:hint="eastAsia" w:ascii="宋体" w:hAnsi="宋体" w:cs="宋体"/>
          <w:b/>
          <w:bCs/>
          <w:color w:val="auto"/>
          <w:sz w:val="48"/>
          <w:szCs w:val="48"/>
          <w:highlight w:val="none"/>
          <w:u w:val="single" w:color="000000"/>
        </w:rPr>
        <w:t xml:space="preserve">        </w:t>
      </w:r>
      <w:r>
        <w:rPr>
          <w:rFonts w:hint="eastAsia" w:ascii="宋体" w:hAnsi="宋体" w:cs="宋体"/>
          <w:b/>
          <w:bCs/>
          <w:color w:val="auto"/>
          <w:sz w:val="48"/>
          <w:szCs w:val="48"/>
          <w:highlight w:val="none"/>
          <w:u w:color="000000"/>
        </w:rPr>
        <w:t>服务合同</w:t>
      </w:r>
    </w:p>
    <w:p w14:paraId="7A5E0853">
      <w:pPr>
        <w:spacing w:before="624" w:beforeLines="200" w:after="240" w:line="480" w:lineRule="auto"/>
        <w:jc w:val="center"/>
        <w:rPr>
          <w:rFonts w:ascii="宋体" w:hAnsi="宋体" w:cs="宋体"/>
          <w:b/>
          <w:bCs/>
          <w:color w:val="auto"/>
          <w:sz w:val="32"/>
          <w:szCs w:val="32"/>
          <w:highlight w:val="none"/>
          <w:u w:color="000000"/>
        </w:rPr>
      </w:pPr>
      <w:r>
        <w:rPr>
          <w:rFonts w:hint="eastAsia" w:ascii="宋体" w:hAnsi="宋体" w:cs="宋体"/>
          <w:b/>
          <w:bCs/>
          <w:color w:val="auto"/>
          <w:sz w:val="32"/>
          <w:szCs w:val="32"/>
          <w:highlight w:val="none"/>
          <w:u w:color="000000"/>
        </w:rPr>
        <w:t>合同编号：</w:t>
      </w:r>
    </w:p>
    <w:p w14:paraId="565477E2">
      <w:pPr>
        <w:tabs>
          <w:tab w:val="left" w:pos="6720"/>
        </w:tabs>
        <w:rPr>
          <w:rFonts w:ascii="宋体" w:hAnsi="宋体" w:cs="宋体"/>
          <w:color w:val="auto"/>
          <w:sz w:val="30"/>
          <w:highlight w:val="none"/>
          <w:u w:color="000000"/>
        </w:rPr>
      </w:pPr>
    </w:p>
    <w:p w14:paraId="6FD820ED">
      <w:pPr>
        <w:rPr>
          <w:rFonts w:ascii="宋体" w:hAnsi="宋体" w:cs="宋体"/>
          <w:color w:val="auto"/>
          <w:sz w:val="30"/>
          <w:highlight w:val="none"/>
          <w:u w:color="000000"/>
        </w:rPr>
      </w:pPr>
    </w:p>
    <w:p w14:paraId="55373708">
      <w:pPr>
        <w:rPr>
          <w:rFonts w:ascii="宋体" w:hAnsi="宋体" w:cs="宋体"/>
          <w:color w:val="auto"/>
          <w:sz w:val="30"/>
          <w:highlight w:val="none"/>
          <w:u w:color="000000"/>
        </w:rPr>
      </w:pPr>
    </w:p>
    <w:p w14:paraId="5BC725FC">
      <w:pPr>
        <w:rPr>
          <w:rFonts w:ascii="宋体" w:hAnsi="宋体" w:cs="宋体"/>
          <w:color w:val="auto"/>
          <w:sz w:val="30"/>
          <w:highlight w:val="none"/>
          <w:u w:color="000000"/>
        </w:rPr>
      </w:pPr>
    </w:p>
    <w:p w14:paraId="08DE35A7">
      <w:pPr>
        <w:pStyle w:val="2"/>
        <w:rPr>
          <w:rFonts w:ascii="宋体" w:hAnsi="宋体" w:cs="宋体"/>
          <w:color w:val="auto"/>
          <w:sz w:val="30"/>
          <w:highlight w:val="none"/>
          <w:u w:color="000000"/>
        </w:rPr>
      </w:pPr>
    </w:p>
    <w:p w14:paraId="3C96290C">
      <w:pPr>
        <w:rPr>
          <w:rFonts w:ascii="宋体" w:hAnsi="宋体" w:cs="宋体"/>
          <w:color w:val="auto"/>
          <w:sz w:val="30"/>
          <w:highlight w:val="none"/>
          <w:u w:color="000000"/>
        </w:rPr>
      </w:pPr>
    </w:p>
    <w:p w14:paraId="7E422E87">
      <w:pPr>
        <w:pStyle w:val="2"/>
        <w:rPr>
          <w:color w:val="auto"/>
          <w:highlight w:val="none"/>
        </w:rPr>
      </w:pPr>
    </w:p>
    <w:p w14:paraId="04E915E6">
      <w:pPr>
        <w:rPr>
          <w:rFonts w:ascii="宋体" w:hAnsi="宋体" w:cs="宋体"/>
          <w:color w:val="auto"/>
          <w:sz w:val="30"/>
          <w:highlight w:val="none"/>
          <w:u w:color="000000"/>
        </w:rPr>
      </w:pPr>
    </w:p>
    <w:p w14:paraId="7CA8B5FF">
      <w:pPr>
        <w:spacing w:line="360" w:lineRule="auto"/>
        <w:rPr>
          <w:rFonts w:ascii="宋体" w:hAnsi="宋体" w:cs="宋体"/>
          <w:b/>
          <w:color w:val="auto"/>
          <w:sz w:val="32"/>
          <w:highlight w:val="none"/>
          <w:u w:color="000000"/>
        </w:rPr>
      </w:pPr>
    </w:p>
    <w:p w14:paraId="3D050A82">
      <w:pPr>
        <w:spacing w:line="360" w:lineRule="auto"/>
        <w:ind w:firstLine="1600" w:firstLineChars="498"/>
        <w:rPr>
          <w:rFonts w:ascii="宋体" w:hAnsi="宋体" w:cs="宋体"/>
          <w:b/>
          <w:color w:val="auto"/>
          <w:sz w:val="32"/>
          <w:highlight w:val="none"/>
          <w:u w:val="single" w:color="000000"/>
        </w:rPr>
      </w:pPr>
      <w:r>
        <w:rPr>
          <w:rFonts w:hint="eastAsia" w:ascii="宋体" w:hAnsi="宋体" w:cs="宋体"/>
          <w:b/>
          <w:color w:val="auto"/>
          <w:sz w:val="32"/>
          <w:highlight w:val="none"/>
          <w:u w:color="000000"/>
        </w:rPr>
        <w:t>委 托 人：</w:t>
      </w:r>
      <w:r>
        <w:rPr>
          <w:rFonts w:hint="eastAsia" w:ascii="宋体" w:hAnsi="宋体" w:cs="宋体"/>
          <w:b/>
          <w:color w:val="auto"/>
          <w:sz w:val="32"/>
          <w:highlight w:val="none"/>
          <w:u w:val="single" w:color="000000"/>
        </w:rPr>
        <w:t xml:space="preserve">                         </w:t>
      </w:r>
      <w:r>
        <w:rPr>
          <w:rFonts w:hint="eastAsia" w:ascii="宋体" w:hAnsi="宋体" w:cs="宋体"/>
          <w:b/>
          <w:color w:val="auto"/>
          <w:sz w:val="32"/>
          <w:highlight w:val="none"/>
          <w:u w:color="000000"/>
        </w:rPr>
        <w:t xml:space="preserve"> </w:t>
      </w:r>
    </w:p>
    <w:p w14:paraId="6BE31042">
      <w:pPr>
        <w:spacing w:line="360" w:lineRule="auto"/>
        <w:ind w:firstLine="1600" w:firstLineChars="498"/>
        <w:rPr>
          <w:rFonts w:ascii="宋体" w:hAnsi="宋体" w:cs="宋体"/>
          <w:b/>
          <w:color w:val="auto"/>
          <w:sz w:val="32"/>
          <w:highlight w:val="none"/>
          <w:u w:val="single" w:color="000000"/>
        </w:rPr>
      </w:pPr>
      <w:r>
        <w:rPr>
          <w:rFonts w:hint="eastAsia" w:ascii="宋体" w:hAnsi="宋体" w:cs="宋体"/>
          <w:b/>
          <w:color w:val="auto"/>
          <w:sz w:val="32"/>
          <w:highlight w:val="none"/>
          <w:u w:color="000000"/>
        </w:rPr>
        <w:t>受 托 人：</w:t>
      </w:r>
      <w:r>
        <w:rPr>
          <w:rFonts w:hint="eastAsia" w:ascii="宋体" w:hAnsi="宋体" w:cs="宋体"/>
          <w:b/>
          <w:color w:val="auto"/>
          <w:sz w:val="32"/>
          <w:highlight w:val="none"/>
          <w:u w:val="single" w:color="000000"/>
        </w:rPr>
        <w:t xml:space="preserve">                         </w:t>
      </w:r>
      <w:r>
        <w:rPr>
          <w:rFonts w:hint="eastAsia" w:ascii="宋体" w:hAnsi="宋体" w:cs="宋体"/>
          <w:b/>
          <w:color w:val="auto"/>
          <w:sz w:val="32"/>
          <w:highlight w:val="none"/>
          <w:u w:color="000000"/>
        </w:rPr>
        <w:t xml:space="preserve"> </w:t>
      </w:r>
    </w:p>
    <w:p w14:paraId="2B600DFC">
      <w:pPr>
        <w:spacing w:line="360" w:lineRule="auto"/>
        <w:ind w:firstLine="315" w:firstLineChars="98"/>
        <w:rPr>
          <w:rFonts w:ascii="宋体" w:hAnsi="宋体" w:cs="宋体"/>
          <w:b/>
          <w:color w:val="auto"/>
          <w:sz w:val="32"/>
          <w:highlight w:val="none"/>
          <w:u w:color="000000"/>
        </w:rPr>
      </w:pPr>
    </w:p>
    <w:p w14:paraId="277B8CF0">
      <w:pPr>
        <w:rPr>
          <w:rFonts w:ascii="宋体" w:hAnsi="宋体" w:cs="宋体"/>
          <w:b/>
          <w:color w:val="auto"/>
          <w:sz w:val="24"/>
          <w:highlight w:val="none"/>
          <w:u w:color="000000"/>
        </w:rPr>
      </w:pPr>
    </w:p>
    <w:p w14:paraId="3925F785">
      <w:pPr>
        <w:spacing w:line="360" w:lineRule="auto"/>
        <w:ind w:left="-105" w:leftChars="-50" w:firstLine="3162" w:firstLineChars="1125"/>
        <w:rPr>
          <w:rFonts w:ascii="宋体" w:hAnsi="宋体" w:cs="宋体"/>
          <w:b/>
          <w:color w:val="auto"/>
          <w:sz w:val="28"/>
          <w:szCs w:val="28"/>
          <w:highlight w:val="none"/>
          <w:u w:color="000000"/>
        </w:rPr>
      </w:pPr>
      <w:r>
        <w:rPr>
          <w:rFonts w:hint="eastAsia" w:ascii="宋体" w:hAnsi="宋体" w:cs="宋体"/>
          <w:b/>
          <w:color w:val="auto"/>
          <w:sz w:val="28"/>
          <w:szCs w:val="28"/>
          <w:highlight w:val="none"/>
          <w:u w:color="000000"/>
        </w:rPr>
        <w:t xml:space="preserve">签订日期：   年   月 </w:t>
      </w:r>
    </w:p>
    <w:p w14:paraId="0F0FECE5">
      <w:pPr>
        <w:autoSpaceDE w:val="0"/>
        <w:autoSpaceDN w:val="0"/>
        <w:adjustRightInd w:val="0"/>
        <w:spacing w:line="360" w:lineRule="auto"/>
        <w:jc w:val="both"/>
        <w:outlineLvl w:val="1"/>
        <w:rPr>
          <w:rFonts w:ascii="宋体" w:hAnsi="宋体" w:eastAsia="宋体" w:cs="XBSJ-PK7482000003a-Identity-H"/>
          <w:b/>
          <w:color w:val="auto"/>
          <w:kern w:val="0"/>
          <w:szCs w:val="21"/>
          <w:highlight w:val="none"/>
          <w:u w:color="000000"/>
        </w:rPr>
      </w:pPr>
      <w:r>
        <w:rPr>
          <w:rFonts w:hint="eastAsia" w:ascii="宋体" w:hAnsi="宋体" w:cs="宋体"/>
          <w:b/>
          <w:bCs/>
          <w:color w:val="auto"/>
          <w:sz w:val="28"/>
          <w:highlight w:val="none"/>
          <w:u w:color="000000"/>
        </w:rPr>
        <w:br w:type="page"/>
      </w:r>
    </w:p>
    <w:p w14:paraId="7F247649">
      <w:pPr>
        <w:keepNext w:val="0"/>
        <w:keepLines w:val="0"/>
        <w:pageBreakBefore w:val="0"/>
        <w:widowControl w:val="0"/>
        <w:kinsoku/>
        <w:wordWrap/>
        <w:overflowPunct/>
        <w:topLinePunct w:val="0"/>
        <w:autoSpaceDE w:val="0"/>
        <w:autoSpaceDN w:val="0"/>
        <w:bidi w:val="0"/>
        <w:adjustRightInd w:val="0"/>
        <w:snapToGrid/>
        <w:spacing w:before="181" w:beforeLines="50" w:after="181" w:afterLines="50" w:line="520" w:lineRule="exact"/>
        <w:jc w:val="center"/>
        <w:textAlignment w:val="auto"/>
        <w:outlineLvl w:val="1"/>
        <w:rPr>
          <w:rFonts w:ascii="宋体" w:hAnsi="宋体" w:eastAsia="宋体" w:cs="XBSJ-PK7482000003a-Identity-H"/>
          <w:b/>
          <w:color w:val="auto"/>
          <w:kern w:val="0"/>
          <w:sz w:val="28"/>
          <w:szCs w:val="28"/>
          <w:highlight w:val="none"/>
          <w:u w:color="000000"/>
        </w:rPr>
      </w:pPr>
      <w:r>
        <w:rPr>
          <w:rFonts w:hint="eastAsia" w:ascii="宋体" w:hAnsi="宋体" w:eastAsia="宋体" w:cs="XBSJ-PK7482000003a-Identity-H"/>
          <w:b/>
          <w:color w:val="auto"/>
          <w:kern w:val="0"/>
          <w:sz w:val="28"/>
          <w:szCs w:val="28"/>
          <w:highlight w:val="none"/>
          <w:u w:color="000000"/>
        </w:rPr>
        <w:t>合同协议书</w:t>
      </w:r>
    </w:p>
    <w:p w14:paraId="5178F0CA">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rPr>
        <w:t>发包人：</w:t>
      </w:r>
      <w:r>
        <w:rPr>
          <w:rFonts w:hint="eastAsia" w:ascii="宋体" w:hAnsi="宋体" w:eastAsia="宋体" w:cs="宋体"/>
          <w:color w:val="auto"/>
          <w:spacing w:val="0"/>
          <w:w w:val="100"/>
          <w:position w:val="0"/>
          <w:sz w:val="21"/>
          <w:szCs w:val="21"/>
          <w:highlight w:val="none"/>
          <w:u w:val="single"/>
          <w:lang w:val="en-US" w:eastAsia="zh-CN"/>
        </w:rPr>
        <w:t xml:space="preserve">                                  </w:t>
      </w:r>
    </w:p>
    <w:p w14:paraId="5DE75ACD">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rPr>
        <w:t>承包人：</w:t>
      </w:r>
      <w:r>
        <w:rPr>
          <w:rFonts w:hint="eastAsia" w:ascii="宋体" w:hAnsi="宋体" w:eastAsia="宋体" w:cs="宋体"/>
          <w:color w:val="auto"/>
          <w:spacing w:val="0"/>
          <w:w w:val="100"/>
          <w:position w:val="0"/>
          <w:sz w:val="21"/>
          <w:szCs w:val="21"/>
          <w:highlight w:val="none"/>
          <w:u w:val="single"/>
          <w:lang w:val="en-US" w:eastAsia="zh-CN"/>
        </w:rPr>
        <w:t xml:space="preserve">                                  </w:t>
      </w:r>
    </w:p>
    <w:p w14:paraId="5C161E50">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rPr>
        <w:t>发包人委托承包人承担</w:t>
      </w:r>
      <w:r>
        <w:rPr>
          <w:rFonts w:hint="eastAsia"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rPr>
        <w:t>任务</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根据《中华人民共和国</w:t>
      </w:r>
      <w:r>
        <w:rPr>
          <w:rFonts w:hint="eastAsia" w:ascii="宋体" w:hAnsi="宋体" w:eastAsia="宋体" w:cs="宋体"/>
          <w:color w:val="auto"/>
          <w:spacing w:val="0"/>
          <w:w w:val="100"/>
          <w:position w:val="0"/>
          <w:sz w:val="21"/>
          <w:szCs w:val="21"/>
          <w:highlight w:val="none"/>
          <w:lang w:val="en-US" w:eastAsia="zh-CN"/>
        </w:rPr>
        <w:t>民法典</w:t>
      </w:r>
      <w:r>
        <w:rPr>
          <w:rFonts w:hint="eastAsia" w:ascii="宋体" w:hAnsi="宋体" w:eastAsia="宋体" w:cs="宋体"/>
          <w:color w:val="auto"/>
          <w:spacing w:val="0"/>
          <w:w w:val="100"/>
          <w:position w:val="0"/>
          <w:sz w:val="21"/>
          <w:szCs w:val="21"/>
          <w:highlight w:val="none"/>
        </w:rPr>
        <w:t>》及国家有关法规，经发包人、承包人协商一致签订本合同</w:t>
      </w:r>
      <w:r>
        <w:rPr>
          <w:rFonts w:hint="eastAsia" w:ascii="宋体" w:hAnsi="宋体" w:eastAsia="宋体" w:cs="宋体"/>
          <w:color w:val="auto"/>
          <w:spacing w:val="0"/>
          <w:w w:val="100"/>
          <w:position w:val="0"/>
          <w:sz w:val="21"/>
          <w:szCs w:val="21"/>
          <w:highlight w:val="none"/>
          <w:lang w:eastAsia="zh-CN"/>
        </w:rPr>
        <w:t>。</w:t>
      </w:r>
    </w:p>
    <w:p w14:paraId="54ACB07D">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第一条工程概况</w:t>
      </w:r>
    </w:p>
    <w:p w14:paraId="144FD286">
      <w:pPr>
        <w:pStyle w:val="68"/>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500" w:lineRule="exact"/>
        <w:ind w:right="0"/>
        <w:jc w:val="left"/>
        <w:textAlignment w:val="auto"/>
        <w:rPr>
          <w:rFonts w:hint="eastAsia" w:cs="宋体"/>
          <w:color w:val="auto"/>
          <w:spacing w:val="0"/>
          <w:w w:val="100"/>
          <w:position w:val="0"/>
          <w:sz w:val="21"/>
          <w:szCs w:val="21"/>
          <w:highlight w:val="none"/>
          <w:u w:val="single"/>
          <w:lang w:val="en-US" w:eastAsia="zh-CN"/>
        </w:rPr>
      </w:pPr>
      <w:r>
        <w:rPr>
          <w:rFonts w:hint="eastAsia" w:ascii="宋体" w:hAnsi="宋体" w:eastAsia="宋体" w:cs="宋体"/>
          <w:color w:val="auto"/>
          <w:spacing w:val="0"/>
          <w:w w:val="100"/>
          <w:position w:val="0"/>
          <w:sz w:val="21"/>
          <w:szCs w:val="21"/>
          <w:highlight w:val="none"/>
        </w:rPr>
        <w:t>1工程名称：</w:t>
      </w:r>
      <w:r>
        <w:rPr>
          <w:rFonts w:hint="eastAsia" w:cs="宋体"/>
          <w:color w:val="auto"/>
          <w:spacing w:val="0"/>
          <w:w w:val="100"/>
          <w:position w:val="0"/>
          <w:sz w:val="21"/>
          <w:szCs w:val="21"/>
          <w:highlight w:val="none"/>
          <w:u w:val="single"/>
          <w:lang w:val="en-US" w:eastAsia="zh-CN"/>
        </w:rPr>
        <w:t xml:space="preserve">                         </w:t>
      </w:r>
    </w:p>
    <w:p w14:paraId="19B540B7">
      <w:pPr>
        <w:pStyle w:val="68"/>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500" w:lineRule="exact"/>
        <w:ind w:right="0"/>
        <w:jc w:val="lef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pacing w:val="0"/>
          <w:w w:val="100"/>
          <w:position w:val="0"/>
          <w:sz w:val="21"/>
          <w:szCs w:val="21"/>
          <w:highlight w:val="none"/>
          <w:lang w:val="en-US" w:eastAsia="en-US" w:bidi="en-US"/>
        </w:rPr>
        <w:t xml:space="preserve">1. </w:t>
      </w:r>
      <w:r>
        <w:rPr>
          <w:rFonts w:hint="eastAsia" w:ascii="宋体" w:hAnsi="宋体" w:eastAsia="宋体" w:cs="宋体"/>
          <w:color w:val="auto"/>
          <w:spacing w:val="0"/>
          <w:w w:val="100"/>
          <w:position w:val="0"/>
          <w:sz w:val="21"/>
          <w:szCs w:val="21"/>
          <w:highlight w:val="none"/>
        </w:rPr>
        <w:t>2工程地点：</w:t>
      </w:r>
      <w:r>
        <w:rPr>
          <w:rFonts w:hint="eastAsia" w:cs="宋体"/>
          <w:color w:val="auto"/>
          <w:spacing w:val="0"/>
          <w:w w:val="100"/>
          <w:position w:val="0"/>
          <w:sz w:val="21"/>
          <w:szCs w:val="21"/>
          <w:highlight w:val="none"/>
          <w:u w:val="single"/>
          <w:lang w:val="en-US" w:eastAsia="zh-CN"/>
        </w:rPr>
        <w:t xml:space="preserve">                     </w:t>
      </w:r>
    </w:p>
    <w:p w14:paraId="51317471">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en-US" w:bidi="en-US"/>
        </w:rPr>
        <w:t xml:space="preserve">1. </w:t>
      </w:r>
      <w:r>
        <w:rPr>
          <w:rFonts w:hint="eastAsia" w:ascii="宋体" w:hAnsi="宋体" w:eastAsia="宋体" w:cs="宋体"/>
          <w:color w:val="auto"/>
          <w:spacing w:val="0"/>
          <w:w w:val="100"/>
          <w:position w:val="0"/>
          <w:sz w:val="21"/>
          <w:szCs w:val="21"/>
          <w:highlight w:val="none"/>
        </w:rPr>
        <w:t>3基坑监测服务周期：</w:t>
      </w:r>
      <w:r>
        <w:rPr>
          <w:rFonts w:hint="eastAsia" w:ascii="宋体" w:hAnsi="宋体" w:eastAsia="宋体" w:cs="宋体"/>
          <w:color w:val="auto"/>
          <w:spacing w:val="0"/>
          <w:w w:val="100"/>
          <w:position w:val="0"/>
          <w:sz w:val="21"/>
          <w:szCs w:val="21"/>
          <w:highlight w:val="none"/>
          <w:lang w:val="en-US" w:eastAsia="zh-CN"/>
        </w:rPr>
        <w:t xml:space="preserve"> </w:t>
      </w:r>
      <w:r>
        <w:rPr>
          <w:rFonts w:hint="eastAsia" w:ascii="宋体" w:hAnsi="宋体" w:eastAsia="宋体" w:cs="宋体"/>
          <w:color w:val="auto"/>
          <w:spacing w:val="0"/>
          <w:w w:val="100"/>
          <w:position w:val="0"/>
          <w:sz w:val="21"/>
          <w:szCs w:val="21"/>
          <w:highlight w:val="none"/>
          <w:u w:val="single"/>
          <w:lang w:val="en-US" w:eastAsia="zh-CN"/>
        </w:rPr>
        <w:t>从基坑开挖至基坑回填结束，并出具正式检测报告</w:t>
      </w:r>
    </w:p>
    <w:p w14:paraId="212F873F">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color w:val="auto"/>
          <w:spacing w:val="0"/>
          <w:w w:val="100"/>
          <w:position w:val="0"/>
          <w:sz w:val="21"/>
          <w:szCs w:val="21"/>
          <w:highlight w:val="none"/>
          <w:u w:val="single"/>
          <w:lang w:val="en-US" w:eastAsia="zh-CN"/>
        </w:rPr>
      </w:pPr>
      <w:r>
        <w:rPr>
          <w:rFonts w:hint="eastAsia" w:ascii="宋体" w:hAnsi="宋体" w:eastAsia="宋体" w:cs="宋体"/>
          <w:color w:val="auto"/>
          <w:spacing w:val="0"/>
          <w:w w:val="100"/>
          <w:position w:val="0"/>
          <w:sz w:val="21"/>
          <w:szCs w:val="21"/>
          <w:highlight w:val="none"/>
          <w:lang w:val="en-US" w:eastAsia="en-US" w:bidi="en-US"/>
        </w:rPr>
        <w:t xml:space="preserve">1. </w:t>
      </w:r>
      <w:r>
        <w:rPr>
          <w:rFonts w:hint="eastAsia" w:ascii="宋体" w:hAnsi="宋体" w:eastAsia="宋体" w:cs="宋体"/>
          <w:color w:val="auto"/>
          <w:spacing w:val="0"/>
          <w:w w:val="100"/>
          <w:position w:val="0"/>
          <w:sz w:val="21"/>
          <w:szCs w:val="21"/>
          <w:highlight w:val="none"/>
        </w:rPr>
        <w:t>4基坑监测项目负责人</w:t>
      </w:r>
      <w:r>
        <w:rPr>
          <w:rFonts w:hint="eastAsia" w:ascii="宋体" w:hAnsi="宋体" w:eastAsia="宋体" w:cs="宋体"/>
          <w:color w:val="auto"/>
          <w:spacing w:val="0"/>
          <w:w w:val="100"/>
          <w:position w:val="0"/>
          <w:sz w:val="21"/>
          <w:szCs w:val="21"/>
          <w:highlight w:val="none"/>
          <w:u w:val="none"/>
        </w:rPr>
        <w:t>：</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lang w:eastAsia="zh-CN"/>
        </w:rPr>
        <w:t>；</w:t>
      </w:r>
      <w:r>
        <w:rPr>
          <w:rFonts w:hint="eastAsia" w:cs="宋体"/>
          <w:color w:val="auto"/>
          <w:spacing w:val="0"/>
          <w:w w:val="100"/>
          <w:position w:val="0"/>
          <w:sz w:val="21"/>
          <w:szCs w:val="21"/>
          <w:highlight w:val="none"/>
          <w:u w:val="single"/>
          <w:lang w:val="en-US" w:eastAsia="zh-CN"/>
        </w:rPr>
        <w:t>联系方式</w:t>
      </w:r>
      <w:r>
        <w:rPr>
          <w:rFonts w:hint="eastAsia" w:ascii="宋体" w:hAnsi="宋体" w:eastAsia="宋体" w:cs="宋体"/>
          <w:color w:val="auto"/>
          <w:spacing w:val="0"/>
          <w:w w:val="100"/>
          <w:position w:val="0"/>
          <w:sz w:val="21"/>
          <w:szCs w:val="21"/>
          <w:highlight w:val="none"/>
          <w:u w:val="single"/>
        </w:rPr>
        <w:t>：</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lang w:val="en-US" w:eastAsia="zh-CN"/>
        </w:rPr>
        <w:t xml:space="preserve">        </w:t>
      </w:r>
    </w:p>
    <w:p w14:paraId="12B1BB15">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en-US" w:bidi="en-US"/>
        </w:rPr>
        <w:t xml:space="preserve">1. </w:t>
      </w:r>
      <w:r>
        <w:rPr>
          <w:rFonts w:hint="eastAsia" w:ascii="宋体" w:hAnsi="宋体" w:eastAsia="宋体" w:cs="宋体"/>
          <w:color w:val="auto"/>
          <w:spacing w:val="0"/>
          <w:w w:val="100"/>
          <w:position w:val="0"/>
          <w:sz w:val="21"/>
          <w:szCs w:val="21"/>
          <w:highlight w:val="none"/>
        </w:rPr>
        <w:t>5工程规模、特征：</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lang w:val="en-US" w:eastAsia="zh-CN"/>
        </w:rPr>
        <w:t xml:space="preserve">      </w:t>
      </w:r>
    </w:p>
    <w:p w14:paraId="6C718CC5">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en-US" w:bidi="en-US"/>
        </w:rPr>
        <w:t xml:space="preserve">1. </w:t>
      </w:r>
      <w:r>
        <w:rPr>
          <w:rFonts w:hint="eastAsia" w:ascii="宋体" w:hAnsi="宋体" w:eastAsia="宋体" w:cs="宋体"/>
          <w:color w:val="auto"/>
          <w:spacing w:val="0"/>
          <w:w w:val="100"/>
          <w:position w:val="0"/>
          <w:sz w:val="21"/>
          <w:szCs w:val="21"/>
          <w:highlight w:val="none"/>
        </w:rPr>
        <w:t>6监测工程任务（内容）与技术要求：</w:t>
      </w:r>
      <w:r>
        <w:rPr>
          <w:rFonts w:hint="eastAsia" w:ascii="宋体" w:hAnsi="宋体" w:eastAsia="宋体" w:cs="宋体"/>
          <w:color w:val="auto"/>
          <w:spacing w:val="0"/>
          <w:w w:val="100"/>
          <w:position w:val="0"/>
          <w:sz w:val="21"/>
          <w:szCs w:val="21"/>
          <w:highlight w:val="none"/>
          <w:u w:val="single"/>
        </w:rPr>
        <w:t>根据地质资料和周边环境进行基坑开挖施工过程中的监测工作</w:t>
      </w:r>
      <w:r>
        <w:rPr>
          <w:rFonts w:hint="eastAsia" w:ascii="宋体" w:hAnsi="宋体" w:eastAsia="宋体" w:cs="宋体"/>
          <w:color w:val="auto"/>
          <w:spacing w:val="0"/>
          <w:w w:val="100"/>
          <w:position w:val="0"/>
          <w:sz w:val="21"/>
          <w:szCs w:val="21"/>
          <w:highlight w:val="none"/>
          <w:u w:val="single"/>
          <w:lang w:eastAsia="zh-CN"/>
        </w:rPr>
        <w:t>。</w:t>
      </w:r>
    </w:p>
    <w:p w14:paraId="199C5B5E">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en-US" w:bidi="en-US"/>
        </w:rPr>
        <w:t xml:space="preserve">1. </w:t>
      </w:r>
      <w:r>
        <w:rPr>
          <w:rFonts w:hint="eastAsia" w:ascii="宋体" w:hAnsi="宋体" w:eastAsia="宋体" w:cs="宋体"/>
          <w:color w:val="auto"/>
          <w:spacing w:val="0"/>
          <w:w w:val="100"/>
          <w:position w:val="0"/>
          <w:sz w:val="21"/>
          <w:szCs w:val="21"/>
          <w:highlight w:val="none"/>
        </w:rPr>
        <w:t>7基坑监测主要内容及监测工程工作量：</w:t>
      </w:r>
    </w:p>
    <w:p w14:paraId="0D30085B">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基坑监测主要内容包含但不限于：监测基准网</w:t>
      </w:r>
      <w:r>
        <w:rPr>
          <w:rFonts w:hint="eastAsia"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eastAsia="zh-CN"/>
        </w:rPr>
        <w:t>支护结构水平、垂直位移监测点，支护结构水平位移，支护结构竖向位移</w:t>
      </w:r>
      <w:r>
        <w:rPr>
          <w:rFonts w:hint="eastAsia" w:ascii="宋体" w:hAnsi="宋体" w:eastAsia="宋体" w:cs="宋体"/>
          <w:color w:val="auto"/>
          <w:spacing w:val="0"/>
          <w:w w:val="100"/>
          <w:position w:val="0"/>
          <w:sz w:val="21"/>
          <w:szCs w:val="21"/>
          <w:highlight w:val="none"/>
          <w:lang w:val="en-US" w:eastAsia="zh-CN"/>
        </w:rPr>
        <w:t>等</w:t>
      </w:r>
      <w:r>
        <w:rPr>
          <w:rFonts w:hint="eastAsia" w:ascii="宋体" w:hAnsi="宋体" w:eastAsia="宋体" w:cs="宋体"/>
          <w:color w:val="auto"/>
          <w:spacing w:val="0"/>
          <w:w w:val="100"/>
          <w:position w:val="0"/>
          <w:sz w:val="21"/>
          <w:szCs w:val="21"/>
          <w:highlight w:val="none"/>
        </w:rPr>
        <w:t>。</w:t>
      </w:r>
    </w:p>
    <w:p w14:paraId="3CA269BF">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监测工程工作量包含但不限于：以业主提供的图纸为基准并结合现场情况，包含专家论证通过的方案增加部分工作内容。</w:t>
      </w:r>
    </w:p>
    <w:p w14:paraId="0892B529">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第二条发包人向承包人提供的有关资料文件</w:t>
      </w:r>
    </w:p>
    <w:tbl>
      <w:tblPr>
        <w:tblStyle w:val="21"/>
        <w:tblW w:w="0" w:type="auto"/>
        <w:jc w:val="center"/>
        <w:tblLayout w:type="fixed"/>
        <w:tblCellMar>
          <w:top w:w="0" w:type="dxa"/>
          <w:left w:w="10" w:type="dxa"/>
          <w:bottom w:w="0" w:type="dxa"/>
          <w:right w:w="10" w:type="dxa"/>
        </w:tblCellMar>
      </w:tblPr>
      <w:tblGrid>
        <w:gridCol w:w="1005"/>
        <w:gridCol w:w="2577"/>
        <w:gridCol w:w="1305"/>
        <w:gridCol w:w="1885"/>
        <w:gridCol w:w="2225"/>
      </w:tblGrid>
      <w:tr w14:paraId="35FA26FA">
        <w:tblPrEx>
          <w:tblCellMar>
            <w:top w:w="0" w:type="dxa"/>
            <w:left w:w="10" w:type="dxa"/>
            <w:bottom w:w="0" w:type="dxa"/>
            <w:right w:w="10" w:type="dxa"/>
          </w:tblCellMar>
        </w:tblPrEx>
        <w:trPr>
          <w:trHeight w:val="562" w:hRule="exact"/>
          <w:jc w:val="center"/>
        </w:trPr>
        <w:tc>
          <w:tcPr>
            <w:tcW w:w="1005" w:type="dxa"/>
            <w:tcBorders>
              <w:top w:val="single" w:color="auto" w:sz="4" w:space="0"/>
              <w:left w:val="single" w:color="auto" w:sz="4" w:space="0"/>
            </w:tcBorders>
            <w:shd w:val="clear" w:color="auto" w:fill="FFFFFF"/>
            <w:vAlign w:val="center"/>
          </w:tcPr>
          <w:p w14:paraId="51049A54">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序号</w:t>
            </w:r>
          </w:p>
        </w:tc>
        <w:tc>
          <w:tcPr>
            <w:tcW w:w="2577" w:type="dxa"/>
            <w:tcBorders>
              <w:top w:val="single" w:color="auto" w:sz="4" w:space="0"/>
              <w:left w:val="single" w:color="auto" w:sz="4" w:space="0"/>
            </w:tcBorders>
            <w:shd w:val="clear" w:color="auto" w:fill="FFFFFF"/>
            <w:vAlign w:val="center"/>
          </w:tcPr>
          <w:p w14:paraId="4D4F0EB0">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资料文件名称</w:t>
            </w:r>
          </w:p>
        </w:tc>
        <w:tc>
          <w:tcPr>
            <w:tcW w:w="1305" w:type="dxa"/>
            <w:tcBorders>
              <w:top w:val="single" w:color="auto" w:sz="4" w:space="0"/>
              <w:left w:val="single" w:color="auto" w:sz="4" w:space="0"/>
            </w:tcBorders>
            <w:shd w:val="clear" w:color="auto" w:fill="FFFFFF"/>
            <w:vAlign w:val="center"/>
          </w:tcPr>
          <w:p w14:paraId="43068033">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份数</w:t>
            </w:r>
          </w:p>
        </w:tc>
        <w:tc>
          <w:tcPr>
            <w:tcW w:w="1885" w:type="dxa"/>
            <w:tcBorders>
              <w:top w:val="single" w:color="auto" w:sz="4" w:space="0"/>
              <w:left w:val="single" w:color="auto" w:sz="4" w:space="0"/>
            </w:tcBorders>
            <w:shd w:val="clear" w:color="auto" w:fill="FFFFFF"/>
            <w:vAlign w:val="center"/>
          </w:tcPr>
          <w:p w14:paraId="0F75BD36">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内容要求</w:t>
            </w:r>
          </w:p>
        </w:tc>
        <w:tc>
          <w:tcPr>
            <w:tcW w:w="2225" w:type="dxa"/>
            <w:tcBorders>
              <w:top w:val="single" w:color="auto" w:sz="4" w:space="0"/>
              <w:left w:val="single" w:color="auto" w:sz="4" w:space="0"/>
              <w:right w:val="single" w:color="auto" w:sz="4" w:space="0"/>
            </w:tcBorders>
            <w:shd w:val="clear" w:color="auto" w:fill="FFFFFF"/>
            <w:vAlign w:val="center"/>
          </w:tcPr>
          <w:p w14:paraId="05D2375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交付时间</w:t>
            </w:r>
          </w:p>
        </w:tc>
      </w:tr>
      <w:tr w14:paraId="182B1182">
        <w:tblPrEx>
          <w:tblCellMar>
            <w:top w:w="0" w:type="dxa"/>
            <w:left w:w="10" w:type="dxa"/>
            <w:bottom w:w="0" w:type="dxa"/>
            <w:right w:w="10" w:type="dxa"/>
          </w:tblCellMar>
        </w:tblPrEx>
        <w:trPr>
          <w:trHeight w:val="403" w:hRule="exact"/>
          <w:jc w:val="center"/>
        </w:trPr>
        <w:tc>
          <w:tcPr>
            <w:tcW w:w="1005" w:type="dxa"/>
            <w:tcBorders>
              <w:top w:val="single" w:color="auto" w:sz="4" w:space="0"/>
              <w:left w:val="single" w:color="auto" w:sz="4" w:space="0"/>
            </w:tcBorders>
            <w:shd w:val="clear" w:color="auto" w:fill="FFFFFF"/>
            <w:vAlign w:val="center"/>
          </w:tcPr>
          <w:p w14:paraId="5F2677FC">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1</w:t>
            </w:r>
          </w:p>
        </w:tc>
        <w:tc>
          <w:tcPr>
            <w:tcW w:w="2577" w:type="dxa"/>
            <w:tcBorders>
              <w:top w:val="single" w:color="auto" w:sz="4" w:space="0"/>
              <w:left w:val="single" w:color="auto" w:sz="4" w:space="0"/>
            </w:tcBorders>
            <w:shd w:val="clear" w:color="auto" w:fill="FFFFFF"/>
            <w:vAlign w:val="center"/>
          </w:tcPr>
          <w:p w14:paraId="6F84104B">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c>
          <w:tcPr>
            <w:tcW w:w="1305" w:type="dxa"/>
            <w:tcBorders>
              <w:top w:val="single" w:color="auto" w:sz="4" w:space="0"/>
              <w:left w:val="single" w:color="auto" w:sz="4" w:space="0"/>
            </w:tcBorders>
            <w:shd w:val="clear" w:color="auto" w:fill="FFFFFF"/>
            <w:vAlign w:val="center"/>
          </w:tcPr>
          <w:p w14:paraId="4CDF6A20">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c>
          <w:tcPr>
            <w:tcW w:w="1885" w:type="dxa"/>
            <w:tcBorders>
              <w:top w:val="single" w:color="auto" w:sz="4" w:space="0"/>
              <w:left w:val="single" w:color="auto" w:sz="4" w:space="0"/>
            </w:tcBorders>
            <w:shd w:val="clear" w:color="auto" w:fill="FFFFFF"/>
            <w:vAlign w:val="center"/>
          </w:tcPr>
          <w:p w14:paraId="0A96FC7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c>
          <w:tcPr>
            <w:tcW w:w="2225" w:type="dxa"/>
            <w:tcBorders>
              <w:top w:val="single" w:color="auto" w:sz="4" w:space="0"/>
              <w:left w:val="single" w:color="auto" w:sz="4" w:space="0"/>
              <w:right w:val="single" w:color="auto" w:sz="4" w:space="0"/>
            </w:tcBorders>
            <w:shd w:val="clear" w:color="auto" w:fill="FFFFFF"/>
            <w:vAlign w:val="center"/>
          </w:tcPr>
          <w:p w14:paraId="5D036E9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r>
      <w:tr w14:paraId="603FA409">
        <w:tblPrEx>
          <w:tblCellMar>
            <w:top w:w="0" w:type="dxa"/>
            <w:left w:w="10" w:type="dxa"/>
            <w:bottom w:w="0" w:type="dxa"/>
            <w:right w:w="10" w:type="dxa"/>
          </w:tblCellMar>
        </w:tblPrEx>
        <w:trPr>
          <w:trHeight w:val="462" w:hRule="exact"/>
          <w:jc w:val="center"/>
        </w:trPr>
        <w:tc>
          <w:tcPr>
            <w:tcW w:w="1005" w:type="dxa"/>
            <w:tcBorders>
              <w:top w:val="single" w:color="auto" w:sz="4" w:space="0"/>
              <w:left w:val="single" w:color="auto" w:sz="4" w:space="0"/>
              <w:bottom w:val="single" w:color="auto" w:sz="4" w:space="0"/>
            </w:tcBorders>
            <w:shd w:val="clear" w:color="auto" w:fill="FFFFFF"/>
            <w:vAlign w:val="center"/>
          </w:tcPr>
          <w:p w14:paraId="344A4152">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2</w:t>
            </w:r>
          </w:p>
        </w:tc>
        <w:tc>
          <w:tcPr>
            <w:tcW w:w="2577" w:type="dxa"/>
            <w:tcBorders>
              <w:top w:val="single" w:color="auto" w:sz="4" w:space="0"/>
              <w:left w:val="single" w:color="auto" w:sz="4" w:space="0"/>
              <w:bottom w:val="single" w:color="auto" w:sz="4" w:space="0"/>
            </w:tcBorders>
            <w:shd w:val="clear" w:color="auto" w:fill="FFFFFF"/>
            <w:vAlign w:val="center"/>
          </w:tcPr>
          <w:p w14:paraId="6F1D7CAC">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c>
          <w:tcPr>
            <w:tcW w:w="1305" w:type="dxa"/>
            <w:tcBorders>
              <w:top w:val="single" w:color="auto" w:sz="4" w:space="0"/>
              <w:left w:val="single" w:color="auto" w:sz="4" w:space="0"/>
              <w:bottom w:val="single" w:color="auto" w:sz="4" w:space="0"/>
            </w:tcBorders>
            <w:shd w:val="clear" w:color="auto" w:fill="FFFFFF"/>
            <w:vAlign w:val="center"/>
          </w:tcPr>
          <w:p w14:paraId="5E008478">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c>
          <w:tcPr>
            <w:tcW w:w="1885" w:type="dxa"/>
            <w:tcBorders>
              <w:top w:val="single" w:color="auto" w:sz="4" w:space="0"/>
              <w:left w:val="single" w:color="auto" w:sz="4" w:space="0"/>
              <w:bottom w:val="single" w:color="auto" w:sz="4" w:space="0"/>
            </w:tcBorders>
            <w:shd w:val="clear" w:color="auto" w:fill="FFFFFF"/>
            <w:vAlign w:val="center"/>
          </w:tcPr>
          <w:p w14:paraId="79A1A78A">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c>
          <w:tcPr>
            <w:tcW w:w="2225" w:type="dxa"/>
            <w:tcBorders>
              <w:top w:val="single" w:color="auto" w:sz="4" w:space="0"/>
              <w:left w:val="single" w:color="auto" w:sz="4" w:space="0"/>
              <w:bottom w:val="single" w:color="auto" w:sz="4" w:space="0"/>
              <w:right w:val="single" w:color="auto" w:sz="4" w:space="0"/>
            </w:tcBorders>
            <w:shd w:val="clear" w:color="auto" w:fill="FFFFFF"/>
            <w:vAlign w:val="center"/>
          </w:tcPr>
          <w:p w14:paraId="39C752D6">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p>
        </w:tc>
      </w:tr>
    </w:tbl>
    <w:p w14:paraId="7B26E56E">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第三条承包人应向发包人交付的报告、成果、文件</w:t>
      </w:r>
    </w:p>
    <w:tbl>
      <w:tblPr>
        <w:tblStyle w:val="21"/>
        <w:tblW w:w="0" w:type="auto"/>
        <w:jc w:val="center"/>
        <w:tblLayout w:type="fixed"/>
        <w:tblCellMar>
          <w:top w:w="0" w:type="dxa"/>
          <w:left w:w="10" w:type="dxa"/>
          <w:bottom w:w="0" w:type="dxa"/>
          <w:right w:w="10" w:type="dxa"/>
        </w:tblCellMar>
      </w:tblPr>
      <w:tblGrid>
        <w:gridCol w:w="994"/>
        <w:gridCol w:w="2550"/>
        <w:gridCol w:w="1058"/>
        <w:gridCol w:w="1822"/>
        <w:gridCol w:w="2534"/>
      </w:tblGrid>
      <w:tr w14:paraId="36C43C06">
        <w:tblPrEx>
          <w:tblCellMar>
            <w:top w:w="0" w:type="dxa"/>
            <w:left w:w="10" w:type="dxa"/>
            <w:bottom w:w="0" w:type="dxa"/>
            <w:right w:w="10" w:type="dxa"/>
          </w:tblCellMar>
        </w:tblPrEx>
        <w:trPr>
          <w:trHeight w:val="540" w:hRule="exact"/>
          <w:jc w:val="center"/>
        </w:trPr>
        <w:tc>
          <w:tcPr>
            <w:tcW w:w="994" w:type="dxa"/>
            <w:tcBorders>
              <w:top w:val="single" w:color="auto" w:sz="4" w:space="0"/>
              <w:left w:val="single" w:color="auto" w:sz="4" w:space="0"/>
            </w:tcBorders>
            <w:shd w:val="clear" w:color="auto" w:fill="FFFFFF"/>
            <w:vAlign w:val="bottom"/>
          </w:tcPr>
          <w:p w14:paraId="3D02BD86">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序号</w:t>
            </w:r>
          </w:p>
        </w:tc>
        <w:tc>
          <w:tcPr>
            <w:tcW w:w="2550" w:type="dxa"/>
            <w:tcBorders>
              <w:top w:val="single" w:color="auto" w:sz="4" w:space="0"/>
              <w:left w:val="single" w:color="auto" w:sz="4" w:space="0"/>
            </w:tcBorders>
            <w:shd w:val="clear" w:color="auto" w:fill="FFFFFF"/>
            <w:vAlign w:val="bottom"/>
          </w:tcPr>
          <w:p w14:paraId="6C644F4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资料文件名称</w:t>
            </w:r>
          </w:p>
        </w:tc>
        <w:tc>
          <w:tcPr>
            <w:tcW w:w="1058" w:type="dxa"/>
            <w:tcBorders>
              <w:top w:val="single" w:color="auto" w:sz="4" w:space="0"/>
              <w:left w:val="single" w:color="auto" w:sz="4" w:space="0"/>
            </w:tcBorders>
            <w:shd w:val="clear" w:color="auto" w:fill="FFFFFF"/>
            <w:vAlign w:val="bottom"/>
          </w:tcPr>
          <w:p w14:paraId="1CDFEEEA">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份数</w:t>
            </w:r>
          </w:p>
        </w:tc>
        <w:tc>
          <w:tcPr>
            <w:tcW w:w="1822" w:type="dxa"/>
            <w:tcBorders>
              <w:top w:val="single" w:color="auto" w:sz="4" w:space="0"/>
              <w:left w:val="single" w:color="auto" w:sz="4" w:space="0"/>
            </w:tcBorders>
            <w:shd w:val="clear" w:color="auto" w:fill="FFFFFF"/>
            <w:vAlign w:val="bottom"/>
          </w:tcPr>
          <w:p w14:paraId="2CCE1BEA">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内容要求</w:t>
            </w:r>
          </w:p>
        </w:tc>
        <w:tc>
          <w:tcPr>
            <w:tcW w:w="2534" w:type="dxa"/>
            <w:tcBorders>
              <w:top w:val="single" w:color="auto" w:sz="4" w:space="0"/>
              <w:left w:val="single" w:color="auto" w:sz="4" w:space="0"/>
              <w:right w:val="single" w:color="auto" w:sz="4" w:space="0"/>
            </w:tcBorders>
            <w:shd w:val="clear" w:color="auto" w:fill="FFFFFF"/>
            <w:vAlign w:val="bottom"/>
          </w:tcPr>
          <w:p w14:paraId="4E725266">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交付时间</w:t>
            </w:r>
          </w:p>
        </w:tc>
      </w:tr>
      <w:tr w14:paraId="0636C5C1">
        <w:tblPrEx>
          <w:tblCellMar>
            <w:top w:w="0" w:type="dxa"/>
            <w:left w:w="10" w:type="dxa"/>
            <w:bottom w:w="0" w:type="dxa"/>
            <w:right w:w="10" w:type="dxa"/>
          </w:tblCellMar>
        </w:tblPrEx>
        <w:trPr>
          <w:trHeight w:val="614" w:hRule="exact"/>
          <w:jc w:val="center"/>
        </w:trPr>
        <w:tc>
          <w:tcPr>
            <w:tcW w:w="994" w:type="dxa"/>
            <w:tcBorders>
              <w:top w:val="single" w:color="auto" w:sz="4" w:space="0"/>
              <w:left w:val="single" w:color="auto" w:sz="4" w:space="0"/>
            </w:tcBorders>
            <w:shd w:val="clear" w:color="auto" w:fill="FFFFFF"/>
            <w:vAlign w:val="center"/>
          </w:tcPr>
          <w:p w14:paraId="15DA786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1</w:t>
            </w:r>
          </w:p>
        </w:tc>
        <w:tc>
          <w:tcPr>
            <w:tcW w:w="2550" w:type="dxa"/>
            <w:tcBorders>
              <w:top w:val="single" w:color="auto" w:sz="4" w:space="0"/>
              <w:left w:val="single" w:color="auto" w:sz="4" w:space="0"/>
            </w:tcBorders>
            <w:shd w:val="clear" w:color="auto" w:fill="FFFFFF"/>
            <w:vAlign w:val="center"/>
          </w:tcPr>
          <w:p w14:paraId="04C31084">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基坑监测方案</w:t>
            </w:r>
          </w:p>
        </w:tc>
        <w:tc>
          <w:tcPr>
            <w:tcW w:w="1058" w:type="dxa"/>
            <w:vMerge w:val="restart"/>
            <w:tcBorders>
              <w:top w:val="single" w:color="auto" w:sz="4" w:space="0"/>
              <w:left w:val="single" w:color="auto" w:sz="4" w:space="0"/>
            </w:tcBorders>
            <w:shd w:val="clear" w:color="auto" w:fill="FFFFFF"/>
            <w:vAlign w:val="center"/>
          </w:tcPr>
          <w:p w14:paraId="2BA20487">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具体份数满足招标人需求</w:t>
            </w:r>
          </w:p>
        </w:tc>
        <w:tc>
          <w:tcPr>
            <w:tcW w:w="1822" w:type="dxa"/>
            <w:tcBorders>
              <w:top w:val="single" w:color="auto" w:sz="4" w:space="0"/>
              <w:left w:val="single" w:color="auto" w:sz="4" w:space="0"/>
            </w:tcBorders>
            <w:shd w:val="clear" w:color="auto" w:fill="FFFFFF"/>
            <w:vAlign w:val="center"/>
          </w:tcPr>
          <w:p w14:paraId="066BCEB8">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符合规范</w:t>
            </w:r>
          </w:p>
        </w:tc>
        <w:tc>
          <w:tcPr>
            <w:tcW w:w="2534" w:type="dxa"/>
            <w:tcBorders>
              <w:top w:val="single" w:color="auto" w:sz="4" w:space="0"/>
              <w:left w:val="single" w:color="auto" w:sz="4" w:space="0"/>
              <w:right w:val="single" w:color="auto" w:sz="4" w:space="0"/>
            </w:tcBorders>
            <w:shd w:val="clear" w:color="auto" w:fill="FFFFFF"/>
            <w:vAlign w:val="center"/>
          </w:tcPr>
          <w:p w14:paraId="681BAD69">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签订合同后3日内</w:t>
            </w:r>
          </w:p>
        </w:tc>
      </w:tr>
      <w:tr w14:paraId="18061B2B">
        <w:tblPrEx>
          <w:tblCellMar>
            <w:top w:w="0" w:type="dxa"/>
            <w:left w:w="10" w:type="dxa"/>
            <w:bottom w:w="0" w:type="dxa"/>
            <w:right w:w="10" w:type="dxa"/>
          </w:tblCellMar>
        </w:tblPrEx>
        <w:trPr>
          <w:trHeight w:val="495" w:hRule="exact"/>
          <w:jc w:val="center"/>
        </w:trPr>
        <w:tc>
          <w:tcPr>
            <w:tcW w:w="994" w:type="dxa"/>
            <w:tcBorders>
              <w:top w:val="single" w:color="auto" w:sz="4" w:space="0"/>
              <w:left w:val="single" w:color="auto" w:sz="4" w:space="0"/>
            </w:tcBorders>
            <w:shd w:val="clear" w:color="auto" w:fill="FFFFFF"/>
            <w:vAlign w:val="bottom"/>
          </w:tcPr>
          <w:p w14:paraId="0FCBEEC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2</w:t>
            </w:r>
          </w:p>
        </w:tc>
        <w:tc>
          <w:tcPr>
            <w:tcW w:w="2550" w:type="dxa"/>
            <w:tcBorders>
              <w:top w:val="single" w:color="auto" w:sz="4" w:space="0"/>
              <w:left w:val="single" w:color="auto" w:sz="4" w:space="0"/>
            </w:tcBorders>
            <w:shd w:val="clear" w:color="auto" w:fill="FFFFFF"/>
            <w:vAlign w:val="bottom"/>
          </w:tcPr>
          <w:p w14:paraId="412EF228">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日报表</w:t>
            </w:r>
          </w:p>
        </w:tc>
        <w:tc>
          <w:tcPr>
            <w:tcW w:w="1058" w:type="dxa"/>
            <w:vMerge w:val="continue"/>
            <w:tcBorders>
              <w:left w:val="single" w:color="auto" w:sz="4" w:space="0"/>
            </w:tcBorders>
            <w:shd w:val="clear" w:color="auto" w:fill="FFFFFF"/>
            <w:vAlign w:val="bottom"/>
          </w:tcPr>
          <w:p w14:paraId="607659F0">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p>
        </w:tc>
        <w:tc>
          <w:tcPr>
            <w:tcW w:w="1822" w:type="dxa"/>
            <w:tcBorders>
              <w:top w:val="single" w:color="auto" w:sz="4" w:space="0"/>
              <w:left w:val="single" w:color="auto" w:sz="4" w:space="0"/>
            </w:tcBorders>
            <w:shd w:val="clear" w:color="auto" w:fill="FFFFFF"/>
            <w:vAlign w:val="bottom"/>
          </w:tcPr>
          <w:p w14:paraId="1510230D">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符合规范</w:t>
            </w:r>
          </w:p>
        </w:tc>
        <w:tc>
          <w:tcPr>
            <w:tcW w:w="2534" w:type="dxa"/>
            <w:tcBorders>
              <w:top w:val="single" w:color="auto" w:sz="4" w:space="0"/>
              <w:left w:val="single" w:color="auto" w:sz="4" w:space="0"/>
              <w:right w:val="single" w:color="auto" w:sz="4" w:space="0"/>
            </w:tcBorders>
            <w:shd w:val="clear" w:color="auto" w:fill="FFFFFF"/>
            <w:vAlign w:val="bottom"/>
          </w:tcPr>
          <w:p w14:paraId="225FEB03">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基坑施工过程中监测次日</w:t>
            </w:r>
          </w:p>
        </w:tc>
      </w:tr>
      <w:tr w14:paraId="7F28DE5D">
        <w:tblPrEx>
          <w:tblCellMar>
            <w:top w:w="0" w:type="dxa"/>
            <w:left w:w="10" w:type="dxa"/>
            <w:bottom w:w="0" w:type="dxa"/>
            <w:right w:w="10" w:type="dxa"/>
          </w:tblCellMar>
        </w:tblPrEx>
        <w:trPr>
          <w:trHeight w:val="522" w:hRule="exact"/>
          <w:jc w:val="center"/>
        </w:trPr>
        <w:tc>
          <w:tcPr>
            <w:tcW w:w="994" w:type="dxa"/>
            <w:tcBorders>
              <w:top w:val="single" w:color="auto" w:sz="4" w:space="0"/>
              <w:left w:val="single" w:color="auto" w:sz="4" w:space="0"/>
              <w:bottom w:val="single" w:color="auto" w:sz="4" w:space="0"/>
            </w:tcBorders>
            <w:shd w:val="clear" w:color="auto" w:fill="FFFFFF"/>
            <w:vAlign w:val="center"/>
          </w:tcPr>
          <w:p w14:paraId="0478905E">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leftChars="0" w:righ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3</w:t>
            </w:r>
          </w:p>
        </w:tc>
        <w:tc>
          <w:tcPr>
            <w:tcW w:w="2550" w:type="dxa"/>
            <w:tcBorders>
              <w:top w:val="single" w:color="auto" w:sz="4" w:space="0"/>
              <w:left w:val="single" w:color="auto" w:sz="4" w:space="0"/>
              <w:bottom w:val="single" w:color="auto" w:sz="4" w:space="0"/>
            </w:tcBorders>
            <w:shd w:val="clear" w:color="auto" w:fill="FFFFFF"/>
            <w:vAlign w:val="center"/>
          </w:tcPr>
          <w:p w14:paraId="79FF544A">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基坑监测综合报告</w:t>
            </w:r>
          </w:p>
        </w:tc>
        <w:tc>
          <w:tcPr>
            <w:tcW w:w="1058" w:type="dxa"/>
            <w:vMerge w:val="continue"/>
            <w:tcBorders>
              <w:left w:val="single" w:color="auto" w:sz="4" w:space="0"/>
              <w:bottom w:val="single" w:color="auto" w:sz="4" w:space="0"/>
            </w:tcBorders>
            <w:shd w:val="clear" w:color="auto" w:fill="FFFFFF"/>
            <w:vAlign w:val="center"/>
          </w:tcPr>
          <w:p w14:paraId="63E27A9B">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p>
        </w:tc>
        <w:tc>
          <w:tcPr>
            <w:tcW w:w="1822" w:type="dxa"/>
            <w:tcBorders>
              <w:top w:val="single" w:color="auto" w:sz="4" w:space="0"/>
              <w:left w:val="single" w:color="auto" w:sz="4" w:space="0"/>
              <w:bottom w:val="single" w:color="auto" w:sz="4" w:space="0"/>
            </w:tcBorders>
            <w:shd w:val="clear" w:color="auto" w:fill="FFFFFF"/>
            <w:vAlign w:val="center"/>
          </w:tcPr>
          <w:p w14:paraId="0CE13B95">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符合规范</w:t>
            </w:r>
          </w:p>
        </w:tc>
        <w:tc>
          <w:tcPr>
            <w:tcW w:w="2534" w:type="dxa"/>
            <w:tcBorders>
              <w:top w:val="single" w:color="auto" w:sz="4" w:space="0"/>
              <w:left w:val="single" w:color="auto" w:sz="4" w:space="0"/>
              <w:bottom w:val="single" w:color="auto" w:sz="4" w:space="0"/>
              <w:right w:val="single" w:color="auto" w:sz="4" w:space="0"/>
            </w:tcBorders>
            <w:shd w:val="clear" w:color="auto" w:fill="FFFFFF"/>
            <w:vAlign w:val="center"/>
          </w:tcPr>
          <w:p w14:paraId="26E95E9E">
            <w:pPr>
              <w:pStyle w:val="69"/>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监测回填结束后7日内</w:t>
            </w:r>
          </w:p>
        </w:tc>
      </w:tr>
    </w:tbl>
    <w:p w14:paraId="4AEF06F3">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第四条工期</w:t>
      </w:r>
    </w:p>
    <w:p w14:paraId="336D2F4E">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监测工期</w:t>
      </w:r>
      <w:r>
        <w:rPr>
          <w:rFonts w:hint="eastAsia" w:ascii="宋体" w:hAnsi="宋体" w:eastAsia="宋体" w:cs="宋体"/>
          <w:b/>
          <w:bCs/>
          <w:color w:val="auto"/>
          <w:spacing w:val="0"/>
          <w:w w:val="100"/>
          <w:position w:val="0"/>
          <w:sz w:val="21"/>
          <w:szCs w:val="21"/>
          <w:highlight w:val="none"/>
          <w:u w:val="single"/>
          <w:lang w:val="en-US" w:eastAsia="zh-CN"/>
        </w:rPr>
        <w:t xml:space="preserve"> 从基坑开挖至基坑回填结束，并出具正式检测报告 </w:t>
      </w:r>
      <w:r>
        <w:rPr>
          <w:rFonts w:hint="eastAsia" w:ascii="宋体" w:hAnsi="宋体" w:eastAsia="宋体" w:cs="宋体"/>
          <w:color w:val="auto"/>
          <w:spacing w:val="0"/>
          <w:w w:val="100"/>
          <w:position w:val="0"/>
          <w:sz w:val="21"/>
          <w:szCs w:val="21"/>
          <w:highlight w:val="none"/>
        </w:rPr>
        <w:t>（具体开始时间以</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通知为准）。由于发包人或承包人的原因，未能按期开工、完工或交付成果资料时，按本合同第八条规定执行。</w:t>
      </w:r>
    </w:p>
    <w:p w14:paraId="40408A3D">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第五条收费标准及支付方式</w:t>
      </w:r>
    </w:p>
    <w:p w14:paraId="658FEF3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5.1</w:t>
      </w:r>
      <w:r>
        <w:rPr>
          <w:rFonts w:hint="eastAsia" w:ascii="宋体" w:hAnsi="宋体" w:eastAsia="宋体" w:cs="宋体"/>
          <w:color w:val="auto"/>
          <w:spacing w:val="0"/>
          <w:w w:val="100"/>
          <w:position w:val="0"/>
          <w:sz w:val="21"/>
          <w:szCs w:val="21"/>
          <w:highlight w:val="none"/>
          <w:lang w:val="en-US" w:eastAsia="zh-CN"/>
        </w:rPr>
        <w:t>本项目采用固定总价合同，</w:t>
      </w:r>
      <w:r>
        <w:rPr>
          <w:rFonts w:hint="eastAsia" w:ascii="宋体" w:hAnsi="宋体" w:eastAsia="宋体" w:cs="宋体"/>
          <w:color w:val="auto"/>
          <w:spacing w:val="0"/>
          <w:w w:val="100"/>
          <w:position w:val="0"/>
          <w:sz w:val="21"/>
          <w:szCs w:val="21"/>
          <w:highlight w:val="none"/>
        </w:rPr>
        <w:t>无论实际监测项目、监测次数、监测点数增减</w:t>
      </w:r>
      <w:r>
        <w:rPr>
          <w:rFonts w:hint="eastAsia" w:ascii="宋体" w:hAnsi="宋体" w:eastAsia="宋体" w:cs="宋体"/>
          <w:color w:val="auto"/>
          <w:spacing w:val="0"/>
          <w:w w:val="100"/>
          <w:position w:val="0"/>
          <w:sz w:val="21"/>
          <w:szCs w:val="21"/>
          <w:highlight w:val="none"/>
          <w:lang w:eastAsia="zh-CN"/>
        </w:rPr>
        <w:t>，以及</w:t>
      </w:r>
      <w:r>
        <w:rPr>
          <w:rFonts w:hint="eastAsia" w:ascii="宋体" w:hAnsi="宋体" w:eastAsia="宋体" w:cs="宋体"/>
          <w:color w:val="auto"/>
          <w:spacing w:val="0"/>
          <w:w w:val="100"/>
          <w:position w:val="0"/>
          <w:sz w:val="21"/>
          <w:szCs w:val="21"/>
          <w:highlight w:val="none"/>
        </w:rPr>
        <w:t>设计变更等任何因素，合同总价均不予调整</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合同价包括但不限于：完成本次招标全部内容所需发生的方案完善、建网费、基准点测设费、高程联测费、设备费及设备进出场费、材料费及材料设备保管费、现场焊接费、安装费、埋设费、技术工作费、人工费、检测费、辅材费、措施费、运输费、管理费、利润、风险费用、招标代理费、计算处理及报告编写费、专家论证费、咨询费、培训费、验收、后期服务及国家对中标单位征收的各种税费等所有一切费用</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合同价不予调整</w:t>
      </w:r>
      <w:r>
        <w:rPr>
          <w:rFonts w:hint="eastAsia" w:ascii="宋体" w:hAnsi="宋体" w:eastAsia="宋体" w:cs="宋体"/>
          <w:color w:val="auto"/>
          <w:kern w:val="0"/>
          <w:sz w:val="21"/>
          <w:szCs w:val="21"/>
          <w:highlight w:val="none"/>
        </w:rPr>
        <w:t>。</w:t>
      </w:r>
    </w:p>
    <w:p w14:paraId="591AFD1A">
      <w:pPr>
        <w:pageBreakBefore w:val="0"/>
        <w:kinsoku/>
        <w:wordWrap/>
        <w:overflowPunct/>
        <w:topLinePunct w:val="0"/>
        <w:autoSpaceDE/>
        <w:autoSpaceDN/>
        <w:bidi w:val="0"/>
        <w:adjustRightInd/>
        <w:spacing w:line="520" w:lineRule="exact"/>
        <w:ind w:firstLine="420" w:firstLineChars="200"/>
        <w:jc w:val="left"/>
        <w:textAlignment w:val="auto"/>
        <w:rPr>
          <w:rFonts w:hint="eastAsia" w:ascii="宋体" w:hAnsi="宋体" w:eastAsia="宋体" w:cs="宋体"/>
          <w:color w:val="auto"/>
          <w:spacing w:val="0"/>
          <w:w w:val="100"/>
          <w:position w:val="0"/>
          <w:sz w:val="21"/>
          <w:szCs w:val="21"/>
          <w:highlight w:val="none"/>
          <w:u w:val="single"/>
          <w:lang w:eastAsia="zh-CN"/>
        </w:rPr>
      </w:pPr>
      <w:r>
        <w:rPr>
          <w:rFonts w:hint="eastAsia" w:ascii="宋体" w:hAnsi="宋体" w:eastAsia="宋体" w:cs="宋体"/>
          <w:color w:val="auto"/>
          <w:spacing w:val="0"/>
          <w:w w:val="100"/>
          <w:position w:val="0"/>
          <w:sz w:val="21"/>
          <w:szCs w:val="21"/>
          <w:highlight w:val="none"/>
          <w:lang w:val="en-US" w:eastAsia="zh-CN" w:bidi="en-US"/>
        </w:rPr>
        <w:t>5.2</w:t>
      </w:r>
      <w:r>
        <w:rPr>
          <w:rFonts w:hint="eastAsia" w:ascii="宋体" w:hAnsi="宋体" w:eastAsia="宋体" w:cs="宋体"/>
          <w:color w:val="auto"/>
          <w:spacing w:val="0"/>
          <w:w w:val="100"/>
          <w:position w:val="0"/>
          <w:sz w:val="21"/>
          <w:szCs w:val="21"/>
          <w:highlight w:val="none"/>
          <w:lang w:val="en-US" w:eastAsia="zh-CN"/>
        </w:rPr>
        <w:t>本项目合同价为</w:t>
      </w:r>
      <w:r>
        <w:rPr>
          <w:rFonts w:hint="eastAsia" w:ascii="宋体" w:hAnsi="宋体" w:eastAsia="宋体" w:cs="宋体"/>
          <w:color w:val="auto"/>
          <w:spacing w:val="0"/>
          <w:w w:val="100"/>
          <w:position w:val="0"/>
          <w:sz w:val="21"/>
          <w:szCs w:val="21"/>
          <w:highlight w:val="none"/>
          <w:u w:val="single"/>
          <w:lang w:val="en-US" w:eastAsia="zh-CN"/>
        </w:rPr>
        <w:t xml:space="preserve">（大写）            （小写）         </w:t>
      </w:r>
      <w:r>
        <w:rPr>
          <w:rFonts w:hint="eastAsia" w:ascii="宋体" w:hAnsi="宋体" w:eastAsia="宋体" w:cs="宋体"/>
          <w:color w:val="auto"/>
          <w:spacing w:val="0"/>
          <w:w w:val="100"/>
          <w:position w:val="0"/>
          <w:sz w:val="21"/>
          <w:szCs w:val="21"/>
          <w:highlight w:val="none"/>
          <w:u w:val="single"/>
        </w:rPr>
        <w:t>元</w:t>
      </w:r>
      <w:r>
        <w:rPr>
          <w:rFonts w:hint="eastAsia" w:ascii="宋体" w:hAnsi="宋体" w:eastAsia="宋体" w:cs="宋体"/>
          <w:color w:val="auto"/>
          <w:spacing w:val="0"/>
          <w:w w:val="100"/>
          <w:position w:val="0"/>
          <w:sz w:val="21"/>
          <w:szCs w:val="21"/>
          <w:highlight w:val="none"/>
          <w:u w:val="single"/>
          <w:lang w:eastAsia="zh-CN"/>
        </w:rPr>
        <w:t>。</w:t>
      </w:r>
    </w:p>
    <w:p w14:paraId="49A27B8C">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注：本项目采用固定总价合同，招标人提供的清单量仅供参考，中标人请严格按图纸和国家相关规范等标准进行检测，合同期内，不论点数是否发生变化，总价均不予调整。</w:t>
      </w:r>
    </w:p>
    <w:p w14:paraId="686928E9">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5.3</w:t>
      </w:r>
      <w:r>
        <w:rPr>
          <w:rFonts w:hint="eastAsia" w:ascii="宋体" w:hAnsi="宋体" w:eastAsia="宋体" w:cs="宋体"/>
          <w:color w:val="auto"/>
          <w:spacing w:val="0"/>
          <w:w w:val="100"/>
          <w:position w:val="0"/>
          <w:sz w:val="21"/>
          <w:szCs w:val="21"/>
          <w:highlight w:val="none"/>
          <w:lang w:val="en-US" w:eastAsia="zh-CN"/>
        </w:rPr>
        <w:t>本项目付款方式： 土方开挖至垫层浇筑付至合同价款的50%，完成全部基坑变形观测内容并提交经建设单位确认的正式检测报告及整套资料后一次性付清余款。</w:t>
      </w:r>
    </w:p>
    <w:p w14:paraId="2145EA73">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 xml:space="preserve"> 第六条承包人应执行规范</w:t>
      </w:r>
    </w:p>
    <w:p w14:paraId="29F624E1">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640"/>
        <w:jc w:val="left"/>
        <w:textAlignment w:val="auto"/>
        <w:rPr>
          <w:rFonts w:hint="eastAsia" w:ascii="宋体" w:hAnsi="宋体" w:eastAsia="宋体" w:cs="宋体"/>
          <w:color w:val="auto"/>
          <w:spacing w:val="0"/>
          <w:w w:val="100"/>
          <w:position w:val="0"/>
          <w:sz w:val="21"/>
          <w:szCs w:val="21"/>
          <w:highlight w:val="none"/>
          <w:lang w:val="en-US" w:eastAsia="en-US" w:bidi="en-US"/>
        </w:rPr>
      </w:pPr>
      <w:r>
        <w:rPr>
          <w:rFonts w:hint="eastAsia" w:ascii="宋体" w:hAnsi="宋体" w:eastAsia="宋体" w:cs="宋体"/>
          <w:color w:val="auto"/>
          <w:spacing w:val="0"/>
          <w:w w:val="100"/>
          <w:position w:val="0"/>
          <w:sz w:val="21"/>
          <w:szCs w:val="21"/>
          <w:highlight w:val="none"/>
        </w:rPr>
        <w:t>《建筑变形测量规范》JGJ 8</w:t>
      </w:r>
    </w:p>
    <w:p w14:paraId="4D9A1A3D">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64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《城市测量规范》CJJ/T 8</w:t>
      </w:r>
    </w:p>
    <w:p w14:paraId="2A59EE5E">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64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《工程测量标准》GB 50026</w:t>
      </w:r>
    </w:p>
    <w:p w14:paraId="336C3F97">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640"/>
        <w:jc w:val="left"/>
        <w:textAlignment w:val="auto"/>
        <w:rPr>
          <w:rFonts w:hint="default" w:ascii="宋体" w:hAnsi="宋体" w:eastAsia="宋体" w:cs="宋体"/>
          <w:color w:val="auto"/>
          <w:spacing w:val="0"/>
          <w:w w:val="100"/>
          <w:position w:val="0"/>
          <w:sz w:val="21"/>
          <w:szCs w:val="21"/>
          <w:highlight w:val="none"/>
          <w:lang w:val="en-US" w:eastAsia="zh-CN" w:bidi="en-US"/>
        </w:rPr>
      </w:pPr>
      <w:r>
        <w:rPr>
          <w:rFonts w:hint="eastAsia" w:ascii="宋体" w:hAnsi="宋体" w:eastAsia="宋体" w:cs="宋体"/>
          <w:color w:val="auto"/>
          <w:spacing w:val="0"/>
          <w:w w:val="100"/>
          <w:position w:val="0"/>
          <w:sz w:val="21"/>
          <w:szCs w:val="21"/>
          <w:highlight w:val="none"/>
        </w:rPr>
        <w:t>《建筑基坑工程监测技术规范》</w:t>
      </w:r>
      <w:r>
        <w:rPr>
          <w:rFonts w:hint="eastAsia" w:ascii="宋体" w:hAnsi="宋体" w:eastAsia="宋体" w:cs="宋体"/>
          <w:color w:val="auto"/>
          <w:spacing w:val="0"/>
          <w:w w:val="100"/>
          <w:position w:val="0"/>
          <w:sz w:val="21"/>
          <w:szCs w:val="21"/>
          <w:highlight w:val="none"/>
          <w:lang w:val="en-US" w:eastAsia="en-US" w:bidi="en-US"/>
        </w:rPr>
        <w:t>GB50497</w:t>
      </w:r>
    </w:p>
    <w:p w14:paraId="75559B3C">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640"/>
        <w:jc w:val="left"/>
        <w:textAlignment w:val="auto"/>
        <w:rPr>
          <w:rFonts w:hint="default" w:ascii="宋体" w:hAnsi="宋体" w:eastAsia="宋体" w:cs="宋体"/>
          <w:b/>
          <w:bCs/>
          <w:color w:val="auto"/>
          <w:spacing w:val="0"/>
          <w:w w:val="100"/>
          <w:position w:val="0"/>
          <w:sz w:val="21"/>
          <w:szCs w:val="21"/>
          <w:highlight w:val="none"/>
          <w:lang w:val="en-US" w:eastAsia="zh-CN" w:bidi="en-US"/>
        </w:rPr>
      </w:pPr>
      <w:r>
        <w:rPr>
          <w:rFonts w:hint="eastAsia" w:cs="宋体"/>
          <w:b/>
          <w:bCs/>
          <w:color w:val="auto"/>
          <w:spacing w:val="0"/>
          <w:w w:val="100"/>
          <w:position w:val="0"/>
          <w:sz w:val="21"/>
          <w:szCs w:val="21"/>
          <w:highlight w:val="none"/>
          <w:lang w:val="en-US" w:eastAsia="zh-CN" w:bidi="en-US"/>
        </w:rPr>
        <w:t>注：按最新标准执行。</w:t>
      </w:r>
    </w:p>
    <w:p w14:paraId="45843E4F">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第七条发包人、承包人责任</w:t>
      </w:r>
    </w:p>
    <w:p w14:paraId="44DD2D92">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en-US" w:bidi="en-US"/>
        </w:rPr>
        <w:t>7</w:t>
      </w:r>
      <w:r>
        <w:rPr>
          <w:rFonts w:hint="eastAsia" w:cs="宋体"/>
          <w:color w:val="auto"/>
          <w:spacing w:val="0"/>
          <w:w w:val="100"/>
          <w:position w:val="0"/>
          <w:sz w:val="21"/>
          <w:szCs w:val="21"/>
          <w:highlight w:val="none"/>
          <w:lang w:val="en-US" w:eastAsia="zh-CN" w:bidi="en-US"/>
        </w:rPr>
        <w:t>.</w:t>
      </w:r>
      <w:r>
        <w:rPr>
          <w:rFonts w:hint="eastAsia" w:ascii="宋体" w:hAnsi="宋体" w:eastAsia="宋体" w:cs="宋体"/>
          <w:color w:val="auto"/>
          <w:spacing w:val="0"/>
          <w:w w:val="100"/>
          <w:position w:val="0"/>
          <w:sz w:val="21"/>
          <w:szCs w:val="21"/>
          <w:highlight w:val="none"/>
        </w:rPr>
        <w:t>1发包人责任</w:t>
      </w:r>
    </w:p>
    <w:p w14:paraId="77220171">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en-US" w:bidi="en-US"/>
        </w:rPr>
        <w:t>7</w:t>
      </w:r>
      <w:r>
        <w:rPr>
          <w:rFonts w:hint="eastAsia" w:cs="宋体"/>
          <w:color w:val="auto"/>
          <w:spacing w:val="0"/>
          <w:w w:val="100"/>
          <w:position w:val="0"/>
          <w:sz w:val="21"/>
          <w:szCs w:val="21"/>
          <w:highlight w:val="none"/>
          <w:lang w:val="en-US" w:eastAsia="zh-CN" w:bidi="en-US"/>
        </w:rPr>
        <w:t>.</w:t>
      </w:r>
      <w:r>
        <w:rPr>
          <w:rFonts w:hint="eastAsia" w:ascii="宋体" w:hAnsi="宋体" w:eastAsia="宋体" w:cs="宋体"/>
          <w:color w:val="auto"/>
          <w:spacing w:val="0"/>
          <w:w w:val="100"/>
          <w:position w:val="0"/>
          <w:sz w:val="21"/>
          <w:szCs w:val="21"/>
          <w:highlight w:val="none"/>
          <w:lang w:val="en-US" w:eastAsia="en-US" w:bidi="en-US"/>
        </w:rPr>
        <w:t>1</w:t>
      </w:r>
      <w:r>
        <w:rPr>
          <w:rFonts w:hint="eastAsia" w:cs="宋体"/>
          <w:color w:val="auto"/>
          <w:spacing w:val="0"/>
          <w:w w:val="100"/>
          <w:position w:val="0"/>
          <w:sz w:val="21"/>
          <w:szCs w:val="21"/>
          <w:highlight w:val="none"/>
          <w:lang w:val="en-US" w:eastAsia="zh-CN" w:bidi="en-US"/>
        </w:rPr>
        <w:t>.</w:t>
      </w:r>
      <w:r>
        <w:rPr>
          <w:rFonts w:hint="eastAsia" w:ascii="宋体" w:hAnsi="宋体" w:eastAsia="宋体" w:cs="宋体"/>
          <w:color w:val="auto"/>
          <w:spacing w:val="0"/>
          <w:w w:val="100"/>
          <w:position w:val="0"/>
          <w:sz w:val="21"/>
          <w:szCs w:val="21"/>
          <w:highlight w:val="none"/>
        </w:rPr>
        <w:t>1发包人按本合同第二条规定的内容，在规定的时间内向承包人提供资料文件</w:t>
      </w:r>
      <w:r>
        <w:rPr>
          <w:rFonts w:hint="eastAsia"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并对其完整性、正确性及时限性负责；</w:t>
      </w:r>
    </w:p>
    <w:p w14:paraId="7D53410A">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zh-CN"/>
        </w:rPr>
        <w:t>7.1.2</w:t>
      </w:r>
      <w:r>
        <w:rPr>
          <w:rFonts w:hint="eastAsia" w:ascii="宋体" w:hAnsi="宋体" w:eastAsia="宋体" w:cs="宋体"/>
          <w:color w:val="auto"/>
          <w:spacing w:val="0"/>
          <w:w w:val="100"/>
          <w:position w:val="0"/>
          <w:sz w:val="21"/>
          <w:szCs w:val="21"/>
          <w:highlight w:val="none"/>
        </w:rPr>
        <w:t>发包人要求承包人在合同规定时间内提前交付报告、成果、文件</w:t>
      </w:r>
      <w:r>
        <w:rPr>
          <w:rFonts w:hint="eastAsia" w:ascii="宋体" w:hAnsi="宋体" w:eastAsia="宋体" w:cs="宋体"/>
          <w:color w:val="auto"/>
          <w:spacing w:val="0"/>
          <w:w w:val="100"/>
          <w:position w:val="0"/>
          <w:sz w:val="21"/>
          <w:szCs w:val="21"/>
          <w:highlight w:val="none"/>
          <w:lang w:eastAsia="zh-CN"/>
        </w:rPr>
        <w:t>；</w:t>
      </w:r>
    </w:p>
    <w:p w14:paraId="2BD26B46">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zh-CN"/>
        </w:rPr>
        <w:t>7.1.3</w:t>
      </w:r>
      <w:r>
        <w:rPr>
          <w:rFonts w:hint="eastAsia" w:ascii="宋体" w:hAnsi="宋体" w:eastAsia="宋体" w:cs="宋体"/>
          <w:color w:val="auto"/>
          <w:spacing w:val="0"/>
          <w:w w:val="100"/>
          <w:position w:val="0"/>
          <w:sz w:val="21"/>
          <w:szCs w:val="21"/>
          <w:highlight w:val="none"/>
        </w:rPr>
        <w:t>以书面形式向承包人提供水准点和坐标控制点</w:t>
      </w:r>
      <w:r>
        <w:rPr>
          <w:rFonts w:hint="eastAsia" w:ascii="宋体" w:hAnsi="宋体" w:eastAsia="宋体" w:cs="宋体"/>
          <w:color w:val="auto"/>
          <w:spacing w:val="0"/>
          <w:w w:val="100"/>
          <w:position w:val="0"/>
          <w:sz w:val="21"/>
          <w:szCs w:val="21"/>
          <w:highlight w:val="none"/>
          <w:lang w:eastAsia="zh-CN"/>
        </w:rPr>
        <w:t>；</w:t>
      </w:r>
    </w:p>
    <w:p w14:paraId="3581FF3A">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zh-CN"/>
        </w:rPr>
        <w:t>7.1.4</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协助</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做好施工现场</w:t>
      </w:r>
      <w:r>
        <w:rPr>
          <w:rFonts w:hint="eastAsia" w:cs="宋体"/>
          <w:color w:val="auto"/>
          <w:spacing w:val="0"/>
          <w:w w:val="100"/>
          <w:position w:val="0"/>
          <w:sz w:val="21"/>
          <w:szCs w:val="21"/>
          <w:highlight w:val="none"/>
          <w:lang w:val="en-US" w:eastAsia="zh-CN"/>
        </w:rPr>
        <w:t>基坑监测</w:t>
      </w:r>
      <w:r>
        <w:rPr>
          <w:rFonts w:hint="eastAsia" w:ascii="宋体" w:hAnsi="宋体" w:eastAsia="宋体" w:cs="宋体"/>
          <w:color w:val="auto"/>
          <w:spacing w:val="0"/>
          <w:w w:val="100"/>
          <w:position w:val="0"/>
          <w:sz w:val="21"/>
          <w:szCs w:val="21"/>
          <w:highlight w:val="none"/>
        </w:rPr>
        <w:t>与施工单位之间的协调和配合事宜</w:t>
      </w:r>
      <w:r>
        <w:rPr>
          <w:rFonts w:hint="eastAsia" w:ascii="宋体" w:hAnsi="宋体" w:eastAsia="宋体" w:cs="宋体"/>
          <w:color w:val="auto"/>
          <w:spacing w:val="0"/>
          <w:w w:val="100"/>
          <w:position w:val="0"/>
          <w:sz w:val="21"/>
          <w:szCs w:val="21"/>
          <w:highlight w:val="none"/>
          <w:lang w:eastAsia="zh-CN"/>
        </w:rPr>
        <w:t>；</w:t>
      </w:r>
    </w:p>
    <w:p w14:paraId="0C86D8E4">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zh-CN"/>
        </w:rPr>
        <w:t>7.1.5</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按照约定支付价款</w:t>
      </w:r>
      <w:r>
        <w:rPr>
          <w:rFonts w:hint="eastAsia" w:ascii="宋体" w:hAnsi="宋体" w:eastAsia="宋体" w:cs="宋体"/>
          <w:color w:val="auto"/>
          <w:spacing w:val="0"/>
          <w:w w:val="100"/>
          <w:position w:val="0"/>
          <w:sz w:val="21"/>
          <w:szCs w:val="21"/>
          <w:highlight w:val="none"/>
          <w:lang w:eastAsia="zh-CN"/>
        </w:rPr>
        <w:t>；</w:t>
      </w:r>
    </w:p>
    <w:p w14:paraId="41D78168">
      <w:pPr>
        <w:pStyle w:val="70"/>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7.1.6</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有权监督检查</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的监测工作，提出意见或建议，并复印和掌握</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的任何时点或时段的监测数据、监测记录。</w:t>
      </w:r>
    </w:p>
    <w:p w14:paraId="194D97F5">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7.2</w:t>
      </w:r>
      <w:r>
        <w:rPr>
          <w:rFonts w:hint="eastAsia" w:ascii="宋体" w:hAnsi="宋体" w:eastAsia="宋体" w:cs="宋体"/>
          <w:color w:val="auto"/>
          <w:spacing w:val="0"/>
          <w:w w:val="100"/>
          <w:position w:val="0"/>
          <w:sz w:val="21"/>
          <w:szCs w:val="21"/>
          <w:highlight w:val="none"/>
        </w:rPr>
        <w:t>承包人责任</w:t>
      </w:r>
    </w:p>
    <w:p w14:paraId="3F0272C1">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7.2.1</w:t>
      </w:r>
      <w:r>
        <w:rPr>
          <w:rFonts w:hint="eastAsia" w:ascii="宋体" w:hAnsi="宋体" w:eastAsia="宋体" w:cs="宋体"/>
          <w:color w:val="auto"/>
          <w:spacing w:val="0"/>
          <w:w w:val="100"/>
          <w:position w:val="0"/>
          <w:sz w:val="21"/>
          <w:szCs w:val="21"/>
          <w:highlight w:val="none"/>
        </w:rPr>
        <w:t>承包人按本合同第三条规定的内容、时间、数量向发包人交付报告、成果、 文件，并对其质量负责。</w:t>
      </w:r>
    </w:p>
    <w:p w14:paraId="4532467E">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7.2.2</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自行提供完成监测工作所需的机械、设备、仪器。并对该等机械、设备、 仪器的管理和维护承担责任。</w:t>
      </w:r>
    </w:p>
    <w:p w14:paraId="7D9EA8C3">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7.2.3</w:t>
      </w:r>
      <w:r>
        <w:rPr>
          <w:rFonts w:hint="eastAsia" w:ascii="宋体" w:hAnsi="宋体" w:eastAsia="宋体" w:cs="宋体"/>
          <w:color w:val="auto"/>
          <w:spacing w:val="0"/>
          <w:w w:val="100"/>
          <w:position w:val="0"/>
          <w:sz w:val="21"/>
          <w:szCs w:val="21"/>
          <w:highlight w:val="none"/>
        </w:rPr>
        <w:t>承包人不得向第三人扩散、转让第二条中发包人提供的技术资料、文件。发生上述情况，承包人应负法律责任，发包人有权索赔。</w:t>
      </w:r>
    </w:p>
    <w:p w14:paraId="2ACAA524">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7.2.4</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向</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提供的资料文件中明确记载或推定由</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承担的</w:t>
      </w:r>
      <w:r>
        <w:rPr>
          <w:rFonts w:hint="eastAsia" w:ascii="宋体" w:hAnsi="宋体" w:eastAsia="宋体" w:cs="宋体"/>
          <w:color w:val="auto"/>
          <w:spacing w:val="0"/>
          <w:w w:val="100"/>
          <w:position w:val="0"/>
          <w:sz w:val="21"/>
          <w:szCs w:val="21"/>
          <w:highlight w:val="none"/>
          <w:lang w:val="zh-CN" w:eastAsia="zh-CN" w:bidi="zh-CN"/>
        </w:rPr>
        <w:t>工作，</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须全部完成。根据基坑监测行为国家和行业规范要求监测人完成的工作</w:t>
      </w:r>
      <w:r>
        <w:rPr>
          <w:rFonts w:hint="eastAsia" w:ascii="宋体" w:hAnsi="宋体" w:eastAsia="宋体" w:cs="宋体"/>
          <w:color w:val="auto"/>
          <w:spacing w:val="0"/>
          <w:w w:val="100"/>
          <w:position w:val="0"/>
          <w:sz w:val="21"/>
          <w:szCs w:val="21"/>
          <w:highlight w:val="none"/>
          <w:lang w:val="en-US" w:eastAsia="zh-CN"/>
        </w:rPr>
        <w:t>和</w:t>
      </w:r>
      <w:r>
        <w:rPr>
          <w:rFonts w:hint="eastAsia" w:cs="宋体"/>
          <w:color w:val="auto"/>
          <w:spacing w:val="0"/>
          <w:w w:val="100"/>
          <w:position w:val="0"/>
          <w:sz w:val="21"/>
          <w:szCs w:val="21"/>
          <w:highlight w:val="none"/>
          <w:lang w:val="en-US" w:eastAsia="zh-CN"/>
        </w:rPr>
        <w:t>任务</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须全部完成。</w:t>
      </w:r>
    </w:p>
    <w:p w14:paraId="6A18D3C2">
      <w:pPr>
        <w:pStyle w:val="68"/>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line="500" w:lineRule="exact"/>
        <w:ind w:left="480" w:leftChars="0" w:right="0" w:rightChars="0"/>
        <w:jc w:val="left"/>
        <w:textAlignment w:val="auto"/>
        <w:rPr>
          <w:rFonts w:hint="eastAsia" w:ascii="宋体" w:hAnsi="宋体" w:eastAsia="宋体" w:cs="宋体"/>
          <w:color w:val="auto"/>
          <w:sz w:val="21"/>
          <w:szCs w:val="21"/>
          <w:highlight w:val="none"/>
        </w:rPr>
      </w:pPr>
      <w:bookmarkStart w:id="56" w:name="bookmark9"/>
      <w:bookmarkEnd w:id="56"/>
      <w:r>
        <w:rPr>
          <w:rFonts w:hint="eastAsia" w:ascii="宋体" w:hAnsi="宋体" w:eastAsia="宋体" w:cs="宋体"/>
          <w:color w:val="auto"/>
          <w:spacing w:val="0"/>
          <w:w w:val="100"/>
          <w:position w:val="0"/>
          <w:sz w:val="21"/>
          <w:szCs w:val="21"/>
          <w:highlight w:val="none"/>
          <w:lang w:val="en-US" w:eastAsia="zh-CN"/>
        </w:rPr>
        <w:t>7.2.5</w:t>
      </w:r>
      <w:r>
        <w:rPr>
          <w:rFonts w:hint="eastAsia" w:ascii="宋体" w:hAnsi="宋体" w:eastAsia="宋体" w:cs="宋体"/>
          <w:color w:val="auto"/>
          <w:spacing w:val="0"/>
          <w:w w:val="100"/>
          <w:position w:val="0"/>
          <w:sz w:val="21"/>
          <w:szCs w:val="21"/>
          <w:highlight w:val="none"/>
        </w:rPr>
        <w:t>根据监测对象的变化情况，补充增加合规有效的措施和方法，进行监测。</w:t>
      </w:r>
    </w:p>
    <w:p w14:paraId="778AC2F5">
      <w:pPr>
        <w:pStyle w:val="68"/>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line="500" w:lineRule="exact"/>
        <w:ind w:left="480" w:leftChars="0" w:right="0" w:rightChars="0"/>
        <w:jc w:val="left"/>
        <w:textAlignment w:val="auto"/>
        <w:rPr>
          <w:rFonts w:hint="eastAsia" w:ascii="宋体" w:hAnsi="宋体" w:eastAsia="宋体" w:cs="宋体"/>
          <w:color w:val="auto"/>
          <w:sz w:val="21"/>
          <w:szCs w:val="21"/>
          <w:highlight w:val="none"/>
        </w:rPr>
      </w:pPr>
      <w:bookmarkStart w:id="57" w:name="bookmark10"/>
      <w:bookmarkEnd w:id="57"/>
      <w:r>
        <w:rPr>
          <w:rFonts w:hint="eastAsia" w:ascii="宋体" w:hAnsi="宋体" w:eastAsia="宋体" w:cs="宋体"/>
          <w:color w:val="auto"/>
          <w:spacing w:val="0"/>
          <w:w w:val="100"/>
          <w:position w:val="0"/>
          <w:sz w:val="21"/>
          <w:szCs w:val="21"/>
          <w:highlight w:val="none"/>
          <w:lang w:val="en-US" w:eastAsia="zh-CN"/>
        </w:rPr>
        <w:t>7.2.6</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服从</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现场管理，遵守现场管理规定、制度、安全防范措施、警示</w:t>
      </w:r>
      <w:r>
        <w:rPr>
          <w:rFonts w:hint="eastAsia" w:ascii="宋体" w:hAnsi="宋体" w:eastAsia="宋体" w:cs="宋体"/>
          <w:color w:val="auto"/>
          <w:spacing w:val="0"/>
          <w:w w:val="100"/>
          <w:position w:val="0"/>
          <w:sz w:val="21"/>
          <w:szCs w:val="21"/>
          <w:highlight w:val="none"/>
          <w:lang w:val="en-US" w:eastAsia="zh-CN"/>
        </w:rPr>
        <w:t>标志</w:t>
      </w:r>
      <w:r>
        <w:rPr>
          <w:rFonts w:hint="eastAsia" w:cs="宋体"/>
          <w:color w:val="auto"/>
          <w:spacing w:val="0"/>
          <w:w w:val="100"/>
          <w:position w:val="0"/>
          <w:sz w:val="21"/>
          <w:szCs w:val="21"/>
          <w:highlight w:val="none"/>
          <w:lang w:val="en-US" w:eastAsia="zh-CN"/>
        </w:rPr>
        <w:t>等</w:t>
      </w:r>
      <w:r>
        <w:rPr>
          <w:rFonts w:hint="eastAsia" w:ascii="宋体" w:hAnsi="宋体" w:eastAsia="宋体" w:cs="宋体"/>
          <w:color w:val="auto"/>
          <w:spacing w:val="0"/>
          <w:w w:val="100"/>
          <w:position w:val="0"/>
          <w:sz w:val="21"/>
          <w:szCs w:val="21"/>
          <w:highlight w:val="none"/>
          <w:lang w:val="en-US" w:eastAsia="zh-CN"/>
        </w:rPr>
        <w:t>。</w:t>
      </w:r>
    </w:p>
    <w:p w14:paraId="3127C2B0">
      <w:pPr>
        <w:pStyle w:val="68"/>
        <w:keepNext w:val="0"/>
        <w:keepLines w:val="0"/>
        <w:pageBreakBefore w:val="0"/>
        <w:widowControl w:val="0"/>
        <w:numPr>
          <w:ilvl w:val="0"/>
          <w:numId w:val="0"/>
        </w:numPr>
        <w:shd w:val="clear" w:color="auto" w:fill="auto"/>
        <w:tabs>
          <w:tab w:val="left" w:pos="826"/>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58" w:name="bookmark11"/>
      <w:bookmarkEnd w:id="58"/>
      <w:r>
        <w:rPr>
          <w:rFonts w:hint="eastAsia" w:ascii="宋体" w:hAnsi="宋体" w:eastAsia="宋体" w:cs="宋体"/>
          <w:color w:val="auto"/>
          <w:spacing w:val="0"/>
          <w:w w:val="100"/>
          <w:position w:val="0"/>
          <w:sz w:val="21"/>
          <w:szCs w:val="21"/>
          <w:highlight w:val="none"/>
          <w:lang w:val="en-US" w:eastAsia="zh-CN"/>
        </w:rPr>
        <w:t>7.2.7</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应将监测工作内容和完成情况及时汇报</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，保证其完成的工作成果真实、准确、完整，在有效性、规范性、全面性、科学性等方面不存在缺陷。</w:t>
      </w:r>
    </w:p>
    <w:p w14:paraId="3A5950CA">
      <w:pPr>
        <w:pStyle w:val="68"/>
        <w:keepNext w:val="0"/>
        <w:keepLines w:val="0"/>
        <w:pageBreakBefore w:val="0"/>
        <w:widowControl w:val="0"/>
        <w:numPr>
          <w:ilvl w:val="0"/>
          <w:numId w:val="0"/>
        </w:numPr>
        <w:shd w:val="clear" w:color="auto" w:fill="auto"/>
        <w:tabs>
          <w:tab w:val="left" w:pos="805"/>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59" w:name="bookmark12"/>
      <w:bookmarkEnd w:id="59"/>
      <w:r>
        <w:rPr>
          <w:rFonts w:hint="eastAsia" w:ascii="宋体" w:hAnsi="宋体" w:eastAsia="宋体" w:cs="宋体"/>
          <w:color w:val="auto"/>
          <w:spacing w:val="0"/>
          <w:w w:val="100"/>
          <w:position w:val="0"/>
          <w:sz w:val="21"/>
          <w:szCs w:val="21"/>
          <w:highlight w:val="none"/>
          <w:lang w:val="en-US" w:eastAsia="zh-CN"/>
        </w:rPr>
        <w:t>7.2.8</w:t>
      </w:r>
      <w:r>
        <w:rPr>
          <w:rFonts w:hint="eastAsia" w:ascii="宋体" w:hAnsi="宋体" w:eastAsia="宋体" w:cs="宋体"/>
          <w:color w:val="auto"/>
          <w:spacing w:val="0"/>
          <w:w w:val="100"/>
          <w:position w:val="0"/>
          <w:sz w:val="21"/>
          <w:szCs w:val="21"/>
          <w:highlight w:val="none"/>
        </w:rPr>
        <w:t>第三方向</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索赔的，</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有义务按照</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的要求和安排给予</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出庭佐证、出具相应的证明文件、指派证人出庭，以有利于司法、行政机关查明案件事实。</w:t>
      </w:r>
    </w:p>
    <w:p w14:paraId="7335CA5A">
      <w:pPr>
        <w:pStyle w:val="68"/>
        <w:keepNext w:val="0"/>
        <w:keepLines w:val="0"/>
        <w:pageBreakBefore w:val="0"/>
        <w:widowControl w:val="0"/>
        <w:numPr>
          <w:ilvl w:val="0"/>
          <w:numId w:val="0"/>
        </w:numPr>
        <w:shd w:val="clear" w:color="auto" w:fill="auto"/>
        <w:tabs>
          <w:tab w:val="left" w:pos="848"/>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60" w:name="bookmark13"/>
      <w:bookmarkEnd w:id="60"/>
      <w:r>
        <w:rPr>
          <w:rFonts w:hint="eastAsia" w:ascii="宋体" w:hAnsi="宋体" w:eastAsia="宋体" w:cs="宋体"/>
          <w:color w:val="auto"/>
          <w:spacing w:val="0"/>
          <w:w w:val="100"/>
          <w:position w:val="0"/>
          <w:sz w:val="21"/>
          <w:szCs w:val="21"/>
          <w:highlight w:val="none"/>
          <w:lang w:val="en-US" w:eastAsia="zh-CN"/>
        </w:rPr>
        <w:t>7.2.9</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提交监测方案并经</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认可后实施，且监测方案视为合同的组成部分，</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须认真履行和执行，因</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擅自变更监测方案发生的费用和由此导致</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损失，由</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承担。</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不得因</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对监测方案的认可，提</w:t>
      </w:r>
      <w:r>
        <w:rPr>
          <w:rFonts w:hint="eastAsia" w:cs="宋体"/>
          <w:color w:val="auto"/>
          <w:spacing w:val="0"/>
          <w:w w:val="100"/>
          <w:position w:val="0"/>
          <w:sz w:val="21"/>
          <w:szCs w:val="21"/>
          <w:highlight w:val="none"/>
          <w:lang w:eastAsia="zh-CN"/>
        </w:rPr>
        <w:t>出</w:t>
      </w:r>
      <w:r>
        <w:rPr>
          <w:rFonts w:hint="eastAsia" w:ascii="宋体" w:hAnsi="宋体" w:eastAsia="宋体" w:cs="宋体"/>
          <w:color w:val="auto"/>
          <w:spacing w:val="0"/>
          <w:w w:val="100"/>
          <w:position w:val="0"/>
          <w:sz w:val="21"/>
          <w:szCs w:val="21"/>
          <w:highlight w:val="none"/>
        </w:rPr>
        <w:t>加重</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负担或减少</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责任的主张。</w:t>
      </w:r>
    </w:p>
    <w:p w14:paraId="0E4D8E37">
      <w:pPr>
        <w:pStyle w:val="68"/>
        <w:keepNext w:val="0"/>
        <w:keepLines w:val="0"/>
        <w:pageBreakBefore w:val="0"/>
        <w:widowControl w:val="0"/>
        <w:numPr>
          <w:ilvl w:val="0"/>
          <w:numId w:val="0"/>
        </w:numPr>
        <w:shd w:val="clear" w:color="auto" w:fill="auto"/>
        <w:tabs>
          <w:tab w:val="left" w:pos="798"/>
        </w:tabs>
        <w:kinsoku/>
        <w:wordWrap/>
        <w:overflowPunct/>
        <w:topLinePunct w:val="0"/>
        <w:autoSpaceDE/>
        <w:autoSpaceDN/>
        <w:bidi w:val="0"/>
        <w:adjustRightInd/>
        <w:snapToGrid/>
        <w:spacing w:line="500" w:lineRule="exact"/>
        <w:ind w:right="0" w:rightChars="0" w:firstLine="210" w:firstLineChars="100"/>
        <w:jc w:val="left"/>
        <w:textAlignment w:val="auto"/>
        <w:rPr>
          <w:rFonts w:hint="eastAsia" w:ascii="宋体" w:hAnsi="宋体" w:eastAsia="宋体" w:cs="宋体"/>
          <w:color w:val="auto"/>
          <w:sz w:val="21"/>
          <w:szCs w:val="21"/>
          <w:highlight w:val="none"/>
        </w:rPr>
      </w:pPr>
      <w:bookmarkStart w:id="61" w:name="bookmark14"/>
      <w:bookmarkEnd w:id="61"/>
      <w:r>
        <w:rPr>
          <w:rFonts w:hint="eastAsia" w:ascii="宋体" w:hAnsi="宋体" w:eastAsia="宋体" w:cs="宋体"/>
          <w:color w:val="auto"/>
          <w:spacing w:val="0"/>
          <w:w w:val="100"/>
          <w:position w:val="0"/>
          <w:sz w:val="21"/>
          <w:szCs w:val="21"/>
          <w:highlight w:val="none"/>
          <w:lang w:val="en-US" w:eastAsia="zh-CN"/>
        </w:rPr>
        <w:t>7.2.10</w:t>
      </w:r>
      <w:r>
        <w:rPr>
          <w:rFonts w:hint="eastAsia" w:ascii="宋体" w:hAnsi="宋体" w:eastAsia="宋体" w:cs="宋体"/>
          <w:color w:val="auto"/>
          <w:spacing w:val="0"/>
          <w:w w:val="100"/>
          <w:position w:val="0"/>
          <w:sz w:val="21"/>
          <w:szCs w:val="21"/>
          <w:highlight w:val="none"/>
        </w:rPr>
        <w:t>变形观测严格按照中华人民共和国行业标准《建筑变形测量规范》</w:t>
      </w:r>
      <w:r>
        <w:rPr>
          <w:rFonts w:hint="eastAsia" w:ascii="宋体" w:hAnsi="宋体" w:eastAsia="宋体" w:cs="宋体"/>
          <w:color w:val="auto"/>
          <w:spacing w:val="0"/>
          <w:w w:val="100"/>
          <w:position w:val="0"/>
          <w:sz w:val="21"/>
          <w:szCs w:val="21"/>
          <w:highlight w:val="none"/>
          <w:lang w:val="en-US" w:eastAsia="en-US" w:bidi="en-US"/>
        </w:rPr>
        <w:t>JGJ8</w:t>
      </w:r>
      <w:r>
        <w:rPr>
          <w:rFonts w:hint="eastAsia" w:ascii="宋体" w:hAnsi="宋体" w:eastAsia="宋体" w:cs="宋体"/>
          <w:color w:val="auto"/>
          <w:spacing w:val="0"/>
          <w:w w:val="100"/>
          <w:position w:val="0"/>
          <w:sz w:val="21"/>
          <w:szCs w:val="21"/>
          <w:highlight w:val="none"/>
        </w:rPr>
        <w:t>和《建筑基坑工程监测技术规范》</w:t>
      </w:r>
      <w:r>
        <w:rPr>
          <w:rFonts w:hint="eastAsia" w:ascii="宋体" w:hAnsi="宋体" w:eastAsia="宋体" w:cs="宋体"/>
          <w:color w:val="auto"/>
          <w:spacing w:val="0"/>
          <w:w w:val="100"/>
          <w:position w:val="0"/>
          <w:sz w:val="21"/>
          <w:szCs w:val="21"/>
          <w:highlight w:val="none"/>
          <w:lang w:val="en-US" w:eastAsia="en-US" w:bidi="en-US"/>
        </w:rPr>
        <w:t>GB50497</w:t>
      </w:r>
      <w:r>
        <w:rPr>
          <w:rFonts w:hint="eastAsia" w:ascii="宋体" w:hAnsi="宋体" w:eastAsia="宋体" w:cs="宋体"/>
          <w:color w:val="auto"/>
          <w:spacing w:val="0"/>
          <w:w w:val="100"/>
          <w:position w:val="0"/>
          <w:sz w:val="21"/>
          <w:szCs w:val="21"/>
          <w:highlight w:val="none"/>
        </w:rPr>
        <w:t>及其他国家规范的有关规定进行作业</w:t>
      </w:r>
      <w:r>
        <w:rPr>
          <w:rFonts w:hint="eastAsia" w:ascii="宋体" w:hAnsi="宋体" w:eastAsia="宋体" w:cs="宋体"/>
          <w:color w:val="auto"/>
          <w:spacing w:val="0"/>
          <w:w w:val="100"/>
          <w:position w:val="0"/>
          <w:sz w:val="21"/>
          <w:szCs w:val="21"/>
          <w:highlight w:val="none"/>
          <w:lang w:eastAsia="zh-CN"/>
        </w:rPr>
        <w:t>。</w:t>
      </w:r>
    </w:p>
    <w:p w14:paraId="4C3BBCCA">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36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7.2.11</w:t>
      </w:r>
      <w:r>
        <w:rPr>
          <w:rFonts w:hint="eastAsia" w:ascii="宋体" w:hAnsi="宋体" w:eastAsia="宋体" w:cs="宋体"/>
          <w:color w:val="auto"/>
          <w:spacing w:val="0"/>
          <w:w w:val="100"/>
          <w:position w:val="0"/>
          <w:sz w:val="21"/>
          <w:szCs w:val="21"/>
          <w:highlight w:val="none"/>
        </w:rPr>
        <w:t>变形观测点的制作。</w:t>
      </w:r>
    </w:p>
    <w:p w14:paraId="43D7289C">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36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7.2.12</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须亲自完成本合同约定的义务。</w:t>
      </w:r>
    </w:p>
    <w:p w14:paraId="379CBB01">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第八条违约责任</w:t>
      </w:r>
    </w:p>
    <w:p w14:paraId="286E8A33">
      <w:pPr>
        <w:pStyle w:val="68"/>
        <w:keepNext w:val="0"/>
        <w:keepLines w:val="0"/>
        <w:pageBreakBefore w:val="0"/>
        <w:widowControl w:val="0"/>
        <w:numPr>
          <w:ilvl w:val="0"/>
          <w:numId w:val="0"/>
        </w:numPr>
        <w:shd w:val="clear" w:color="auto" w:fill="auto"/>
        <w:tabs>
          <w:tab w:val="left" w:pos="841"/>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62" w:name="bookmark15"/>
      <w:bookmarkEnd w:id="62"/>
      <w:r>
        <w:rPr>
          <w:rFonts w:hint="eastAsia" w:ascii="宋体" w:hAnsi="宋体" w:eastAsia="宋体" w:cs="宋体"/>
          <w:color w:val="auto"/>
          <w:spacing w:val="0"/>
          <w:w w:val="100"/>
          <w:position w:val="0"/>
          <w:sz w:val="21"/>
          <w:szCs w:val="21"/>
          <w:highlight w:val="none"/>
          <w:lang w:val="en-US" w:eastAsia="zh-CN"/>
        </w:rPr>
        <w:t>8.1</w:t>
      </w:r>
      <w:r>
        <w:rPr>
          <w:rFonts w:hint="eastAsia" w:ascii="宋体" w:hAnsi="宋体" w:eastAsia="宋体" w:cs="宋体"/>
          <w:color w:val="auto"/>
          <w:spacing w:val="0"/>
          <w:w w:val="100"/>
          <w:position w:val="0"/>
          <w:sz w:val="21"/>
          <w:szCs w:val="21"/>
          <w:highlight w:val="none"/>
        </w:rPr>
        <w:t>在合同履行期间，发包人要求终止或解除合同，承包人未开始工作的，不退还发包人已付的定金；已进行工作的，按实际</w:t>
      </w:r>
      <w:r>
        <w:rPr>
          <w:rFonts w:hint="eastAsia" w:cs="宋体"/>
          <w:color w:val="auto"/>
          <w:spacing w:val="0"/>
          <w:w w:val="100"/>
          <w:position w:val="0"/>
          <w:sz w:val="21"/>
          <w:szCs w:val="21"/>
          <w:highlight w:val="none"/>
          <w:lang w:eastAsia="zh-CN"/>
        </w:rPr>
        <w:t>已</w:t>
      </w:r>
      <w:r>
        <w:rPr>
          <w:rFonts w:hint="eastAsia" w:ascii="宋体" w:hAnsi="宋体" w:eastAsia="宋体" w:cs="宋体"/>
          <w:color w:val="auto"/>
          <w:spacing w:val="0"/>
          <w:w w:val="100"/>
          <w:position w:val="0"/>
          <w:sz w:val="21"/>
          <w:szCs w:val="21"/>
          <w:highlight w:val="none"/>
        </w:rPr>
        <w:t>完工作量结算，双方结算价确认完成后一个月内一次性付清。</w:t>
      </w:r>
    </w:p>
    <w:p w14:paraId="15B06EA6">
      <w:pPr>
        <w:pStyle w:val="68"/>
        <w:keepNext w:val="0"/>
        <w:keepLines w:val="0"/>
        <w:pageBreakBefore w:val="0"/>
        <w:widowControl w:val="0"/>
        <w:numPr>
          <w:ilvl w:val="0"/>
          <w:numId w:val="0"/>
        </w:numPr>
        <w:shd w:val="clear" w:color="auto" w:fill="auto"/>
        <w:tabs>
          <w:tab w:val="left" w:pos="848"/>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lang w:val="en-US" w:eastAsia="zh-CN"/>
        </w:rPr>
      </w:pPr>
      <w:bookmarkStart w:id="63" w:name="bookmark16"/>
      <w:bookmarkEnd w:id="63"/>
      <w:bookmarkStart w:id="64" w:name="bookmark17"/>
      <w:bookmarkEnd w:id="64"/>
      <w:r>
        <w:rPr>
          <w:rFonts w:hint="eastAsia" w:ascii="宋体" w:hAnsi="宋体" w:eastAsia="宋体" w:cs="宋体"/>
          <w:color w:val="auto"/>
          <w:spacing w:val="0"/>
          <w:w w:val="100"/>
          <w:position w:val="0"/>
          <w:sz w:val="21"/>
          <w:szCs w:val="21"/>
          <w:highlight w:val="none"/>
          <w:lang w:val="en-US" w:eastAsia="zh-CN"/>
        </w:rPr>
        <w:t>8.2</w:t>
      </w:r>
      <w:r>
        <w:rPr>
          <w:rFonts w:hint="eastAsia" w:ascii="宋体" w:hAnsi="宋体" w:eastAsia="宋体" w:cs="宋体"/>
          <w:color w:val="auto"/>
          <w:spacing w:val="0"/>
          <w:w w:val="100"/>
          <w:position w:val="0"/>
          <w:sz w:val="21"/>
          <w:szCs w:val="21"/>
          <w:highlight w:val="none"/>
        </w:rPr>
        <w:t>由于</w:t>
      </w:r>
      <w:r>
        <w:rPr>
          <w:rFonts w:hint="eastAsia" w:ascii="宋体" w:hAnsi="宋体" w:eastAsia="宋体" w:cs="宋体"/>
          <w:color w:val="auto"/>
          <w:spacing w:val="0"/>
          <w:w w:val="100"/>
          <w:position w:val="0"/>
          <w:sz w:val="21"/>
          <w:szCs w:val="21"/>
          <w:highlight w:val="none"/>
          <w:lang w:val="en-US" w:eastAsia="zh-CN"/>
        </w:rPr>
        <w:t>承包人</w:t>
      </w:r>
      <w:r>
        <w:rPr>
          <w:rFonts w:hint="eastAsia" w:ascii="宋体" w:hAnsi="宋体" w:eastAsia="宋体" w:cs="宋体"/>
          <w:color w:val="auto"/>
          <w:spacing w:val="0"/>
          <w:w w:val="100"/>
          <w:position w:val="0"/>
          <w:sz w:val="21"/>
          <w:szCs w:val="21"/>
          <w:highlight w:val="none"/>
        </w:rPr>
        <w:t>原因延误工期或未按规定时间交付报告、成果、文件，每延误一天</w:t>
      </w:r>
      <w:r>
        <w:rPr>
          <w:rFonts w:hint="eastAsia" w:ascii="宋体" w:hAnsi="宋体" w:eastAsia="宋体" w:cs="宋体"/>
          <w:color w:val="auto"/>
          <w:spacing w:val="0"/>
          <w:w w:val="100"/>
          <w:position w:val="0"/>
          <w:sz w:val="21"/>
          <w:szCs w:val="21"/>
          <w:highlight w:val="none"/>
          <w:lang w:val="en-US" w:eastAsia="zh-CN"/>
        </w:rPr>
        <w:t>处以500元/天违约金。</w:t>
      </w:r>
    </w:p>
    <w:p w14:paraId="6669C2E6">
      <w:pPr>
        <w:pStyle w:val="68"/>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65" w:name="bookmark18"/>
      <w:bookmarkEnd w:id="65"/>
      <w:r>
        <w:rPr>
          <w:rFonts w:hint="eastAsia" w:ascii="宋体" w:hAnsi="宋体" w:eastAsia="宋体" w:cs="宋体"/>
          <w:color w:val="auto"/>
          <w:spacing w:val="0"/>
          <w:w w:val="100"/>
          <w:position w:val="0"/>
          <w:sz w:val="21"/>
          <w:szCs w:val="21"/>
          <w:highlight w:val="none"/>
          <w:lang w:val="en-US" w:eastAsia="zh-CN"/>
        </w:rPr>
        <w:t>8.3</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未按照约定及监测方案要求的时间频率、密度进行监测的视为</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未完成监测工作，或者有其他视为</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未完成监测工作情形的，</w:t>
      </w:r>
      <w:r>
        <w:rPr>
          <w:rFonts w:hint="eastAsia" w:ascii="宋体" w:hAnsi="宋体" w:eastAsia="宋体" w:cs="宋体"/>
          <w:color w:val="auto"/>
          <w:spacing w:val="0"/>
          <w:w w:val="100"/>
          <w:position w:val="0"/>
          <w:sz w:val="21"/>
          <w:szCs w:val="21"/>
          <w:highlight w:val="none"/>
          <w:lang w:val="en-US" w:eastAsia="zh-CN"/>
        </w:rPr>
        <w:t>将处以</w:t>
      </w:r>
      <w:r>
        <w:rPr>
          <w:rFonts w:hint="eastAsia" w:cs="宋体"/>
          <w:color w:val="auto"/>
          <w:spacing w:val="0"/>
          <w:w w:val="100"/>
          <w:position w:val="0"/>
          <w:sz w:val="21"/>
          <w:szCs w:val="21"/>
          <w:highlight w:val="none"/>
          <w:lang w:val="en-US" w:eastAsia="zh-CN"/>
        </w:rPr>
        <w:t>1000</w:t>
      </w:r>
      <w:r>
        <w:rPr>
          <w:rFonts w:hint="eastAsia" w:ascii="宋体" w:hAnsi="宋体" w:eastAsia="宋体" w:cs="宋体"/>
          <w:color w:val="auto"/>
          <w:spacing w:val="0"/>
          <w:w w:val="100"/>
          <w:position w:val="0"/>
          <w:sz w:val="21"/>
          <w:szCs w:val="21"/>
          <w:highlight w:val="none"/>
          <w:lang w:val="en-US" w:eastAsia="zh-CN"/>
        </w:rPr>
        <w:t>元违约金，同时</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有权拒绝支付报酬。</w:t>
      </w:r>
    </w:p>
    <w:p w14:paraId="0930A77A">
      <w:pPr>
        <w:pStyle w:val="68"/>
        <w:keepNext w:val="0"/>
        <w:keepLines w:val="0"/>
        <w:pageBreakBefore w:val="0"/>
        <w:widowControl w:val="0"/>
        <w:numPr>
          <w:ilvl w:val="0"/>
          <w:numId w:val="0"/>
        </w:numPr>
        <w:shd w:val="clear" w:color="auto" w:fill="auto"/>
        <w:tabs>
          <w:tab w:val="left" w:pos="798"/>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66" w:name="bookmark19"/>
      <w:bookmarkEnd w:id="66"/>
      <w:r>
        <w:rPr>
          <w:rFonts w:hint="eastAsia" w:ascii="宋体" w:hAnsi="宋体" w:eastAsia="宋体" w:cs="宋体"/>
          <w:color w:val="auto"/>
          <w:spacing w:val="0"/>
          <w:w w:val="100"/>
          <w:position w:val="0"/>
          <w:sz w:val="21"/>
          <w:szCs w:val="21"/>
          <w:highlight w:val="none"/>
          <w:lang w:val="en-US" w:eastAsia="zh-CN"/>
        </w:rPr>
        <w:t>8.4</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有提供虚假材料等行为的，</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有权</w:t>
      </w:r>
      <w:r>
        <w:rPr>
          <w:rFonts w:hint="eastAsia" w:ascii="宋体" w:hAnsi="宋体" w:eastAsia="宋体" w:cs="宋体"/>
          <w:color w:val="auto"/>
          <w:spacing w:val="0"/>
          <w:w w:val="100"/>
          <w:position w:val="0"/>
          <w:sz w:val="21"/>
          <w:szCs w:val="21"/>
          <w:highlight w:val="none"/>
          <w:lang w:val="en-US" w:eastAsia="zh-CN"/>
        </w:rPr>
        <w:t>单方</w:t>
      </w:r>
      <w:r>
        <w:rPr>
          <w:rFonts w:hint="eastAsia" w:ascii="宋体" w:hAnsi="宋体" w:eastAsia="宋体" w:cs="宋体"/>
          <w:color w:val="auto"/>
          <w:spacing w:val="0"/>
          <w:w w:val="100"/>
          <w:position w:val="0"/>
          <w:sz w:val="21"/>
          <w:szCs w:val="21"/>
          <w:highlight w:val="none"/>
        </w:rPr>
        <w:t>解除合同</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并处以</w:t>
      </w:r>
      <w:r>
        <w:rPr>
          <w:rFonts w:hint="eastAsia" w:cs="宋体"/>
          <w:color w:val="auto"/>
          <w:spacing w:val="0"/>
          <w:w w:val="100"/>
          <w:position w:val="0"/>
          <w:sz w:val="21"/>
          <w:szCs w:val="21"/>
          <w:highlight w:val="none"/>
          <w:lang w:val="en-US" w:eastAsia="zh-CN"/>
        </w:rPr>
        <w:t>5000</w:t>
      </w:r>
      <w:r>
        <w:rPr>
          <w:rFonts w:hint="eastAsia" w:ascii="宋体" w:hAnsi="宋体" w:eastAsia="宋体" w:cs="宋体"/>
          <w:color w:val="auto"/>
          <w:spacing w:val="0"/>
          <w:w w:val="100"/>
          <w:position w:val="0"/>
          <w:sz w:val="21"/>
          <w:szCs w:val="21"/>
          <w:highlight w:val="none"/>
          <w:lang w:val="en-US" w:eastAsia="zh-CN"/>
        </w:rPr>
        <w:t>元违约金，同时发包人有权</w:t>
      </w:r>
      <w:r>
        <w:rPr>
          <w:rFonts w:hint="eastAsia" w:ascii="宋体" w:hAnsi="宋体" w:eastAsia="宋体" w:cs="宋体"/>
          <w:color w:val="auto"/>
          <w:spacing w:val="0"/>
          <w:w w:val="100"/>
          <w:position w:val="0"/>
          <w:sz w:val="21"/>
          <w:szCs w:val="21"/>
          <w:highlight w:val="none"/>
        </w:rPr>
        <w:t>拒付</w:t>
      </w:r>
      <w:r>
        <w:rPr>
          <w:rFonts w:hint="eastAsia" w:ascii="宋体" w:hAnsi="宋体" w:eastAsia="宋体" w:cs="宋体"/>
          <w:color w:val="auto"/>
          <w:spacing w:val="0"/>
          <w:w w:val="100"/>
          <w:position w:val="0"/>
          <w:sz w:val="21"/>
          <w:szCs w:val="21"/>
          <w:highlight w:val="none"/>
          <w:lang w:val="en-US" w:eastAsia="zh-CN"/>
        </w:rPr>
        <w:t>合同价款</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违约造成</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损失的，</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须承担赔偿责任。</w:t>
      </w:r>
    </w:p>
    <w:p w14:paraId="65286341">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leftChars="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8.5</w:t>
      </w:r>
      <w:r>
        <w:rPr>
          <w:rFonts w:hint="eastAsia" w:ascii="宋体" w:hAnsi="宋体" w:eastAsia="宋体" w:cs="宋体"/>
          <w:color w:val="auto"/>
          <w:spacing w:val="0"/>
          <w:w w:val="100"/>
          <w:position w:val="0"/>
          <w:sz w:val="21"/>
          <w:szCs w:val="21"/>
          <w:highlight w:val="none"/>
        </w:rPr>
        <w:t>交付的报告、成果、文件达不到合同约定条件的部分，</w:t>
      </w:r>
      <w:r>
        <w:rPr>
          <w:rFonts w:hint="eastAsia" w:ascii="宋体" w:hAnsi="宋体" w:eastAsia="宋体" w:cs="宋体"/>
          <w:color w:val="auto"/>
          <w:spacing w:val="0"/>
          <w:w w:val="100"/>
          <w:position w:val="0"/>
          <w:sz w:val="21"/>
          <w:szCs w:val="21"/>
          <w:highlight w:val="none"/>
          <w:lang w:val="en-US" w:eastAsia="zh-CN"/>
        </w:rPr>
        <w:t>发包人</w:t>
      </w:r>
      <w:r>
        <w:rPr>
          <w:rFonts w:hint="eastAsia" w:ascii="宋体" w:hAnsi="宋体" w:eastAsia="宋体" w:cs="宋体"/>
          <w:color w:val="auto"/>
          <w:spacing w:val="0"/>
          <w:w w:val="100"/>
          <w:position w:val="0"/>
          <w:sz w:val="21"/>
          <w:szCs w:val="21"/>
          <w:highlight w:val="none"/>
        </w:rPr>
        <w:t>可要求</w:t>
      </w:r>
      <w:r>
        <w:rPr>
          <w:rFonts w:hint="eastAsia" w:ascii="宋体" w:hAnsi="宋体" w:eastAsia="宋体" w:cs="宋体"/>
          <w:color w:val="auto"/>
          <w:spacing w:val="0"/>
          <w:w w:val="100"/>
          <w:position w:val="0"/>
          <w:sz w:val="21"/>
          <w:szCs w:val="21"/>
          <w:highlight w:val="none"/>
          <w:lang w:val="en-US" w:eastAsia="zh-CN"/>
        </w:rPr>
        <w:t>承包人</w:t>
      </w:r>
      <w:r>
        <w:rPr>
          <w:rFonts w:hint="eastAsia" w:ascii="宋体" w:hAnsi="宋体" w:eastAsia="宋体" w:cs="宋体"/>
          <w:color w:val="auto"/>
          <w:spacing w:val="0"/>
          <w:w w:val="100"/>
          <w:position w:val="0"/>
          <w:sz w:val="21"/>
          <w:szCs w:val="21"/>
          <w:highlight w:val="none"/>
        </w:rPr>
        <w:t>返工，</w:t>
      </w:r>
      <w:r>
        <w:rPr>
          <w:rFonts w:hint="eastAsia" w:ascii="宋体" w:hAnsi="宋体" w:eastAsia="宋体" w:cs="宋体"/>
          <w:color w:val="auto"/>
          <w:spacing w:val="0"/>
          <w:w w:val="100"/>
          <w:position w:val="0"/>
          <w:sz w:val="21"/>
          <w:szCs w:val="21"/>
          <w:highlight w:val="none"/>
          <w:lang w:val="en-US" w:eastAsia="zh-CN"/>
        </w:rPr>
        <w:t>承包人</w:t>
      </w:r>
      <w:r>
        <w:rPr>
          <w:rFonts w:hint="eastAsia" w:ascii="宋体" w:hAnsi="宋体" w:eastAsia="宋体" w:cs="宋体"/>
          <w:color w:val="auto"/>
          <w:spacing w:val="0"/>
          <w:w w:val="100"/>
          <w:position w:val="0"/>
          <w:sz w:val="21"/>
          <w:szCs w:val="21"/>
          <w:highlight w:val="none"/>
        </w:rPr>
        <w:t>按发包人要求的时间返工，直到</w:t>
      </w:r>
      <w:r>
        <w:rPr>
          <w:rFonts w:hint="eastAsia" w:cs="宋体"/>
          <w:color w:val="auto"/>
          <w:spacing w:val="0"/>
          <w:w w:val="100"/>
          <w:position w:val="0"/>
          <w:sz w:val="21"/>
          <w:szCs w:val="21"/>
          <w:highlight w:val="none"/>
          <w:lang w:eastAsia="zh-CN"/>
        </w:rPr>
        <w:t>符合</w:t>
      </w:r>
      <w:r>
        <w:rPr>
          <w:rFonts w:hint="eastAsia" w:ascii="宋体" w:hAnsi="宋体" w:eastAsia="宋体" w:cs="宋体"/>
          <w:color w:val="auto"/>
          <w:spacing w:val="0"/>
          <w:w w:val="100"/>
          <w:position w:val="0"/>
          <w:sz w:val="21"/>
          <w:szCs w:val="21"/>
          <w:highlight w:val="none"/>
        </w:rPr>
        <w:t>约定条件，因承包人原因达不到约定条件，由承包人承担返工费，返工后仍不能达到约定条件，承包人承担违约责任，并根据因此造成的损失程度向发包人支付赔偿金。</w:t>
      </w:r>
    </w:p>
    <w:p w14:paraId="65868D93">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第九条材料设备供应</w:t>
      </w:r>
    </w:p>
    <w:p w14:paraId="1ABD6E32">
      <w:pPr>
        <w:pStyle w:val="68"/>
        <w:keepNext w:val="0"/>
        <w:keepLines w:val="0"/>
        <w:pageBreakBefore w:val="0"/>
        <w:widowControl w:val="0"/>
        <w:numPr>
          <w:ilvl w:val="0"/>
          <w:numId w:val="0"/>
        </w:numPr>
        <w:shd w:val="clear" w:color="auto" w:fill="auto"/>
        <w:tabs>
          <w:tab w:val="left" w:pos="910"/>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lang w:eastAsia="zh-CN"/>
        </w:rPr>
      </w:pPr>
      <w:bookmarkStart w:id="67" w:name="bookmark20"/>
      <w:bookmarkEnd w:id="67"/>
      <w:r>
        <w:rPr>
          <w:rFonts w:hint="eastAsia" w:ascii="宋体" w:hAnsi="宋体" w:eastAsia="宋体" w:cs="宋体"/>
          <w:color w:val="auto"/>
          <w:spacing w:val="0"/>
          <w:w w:val="100"/>
          <w:position w:val="0"/>
          <w:sz w:val="21"/>
          <w:szCs w:val="21"/>
          <w:highlight w:val="none"/>
          <w:lang w:val="en-US" w:eastAsia="zh-CN"/>
        </w:rPr>
        <w:t>9.1</w:t>
      </w:r>
      <w:r>
        <w:rPr>
          <w:rFonts w:hint="eastAsia" w:ascii="宋体" w:hAnsi="宋体" w:eastAsia="宋体" w:cs="宋体"/>
          <w:color w:val="auto"/>
          <w:spacing w:val="0"/>
          <w:w w:val="100"/>
          <w:position w:val="0"/>
          <w:sz w:val="21"/>
          <w:szCs w:val="21"/>
          <w:highlight w:val="none"/>
        </w:rPr>
        <w:t>承包人应负</w:t>
      </w:r>
      <w:r>
        <w:rPr>
          <w:rFonts w:hint="eastAsia" w:cs="宋体"/>
          <w:color w:val="auto"/>
          <w:spacing w:val="0"/>
          <w:w w:val="100"/>
          <w:position w:val="0"/>
          <w:sz w:val="21"/>
          <w:szCs w:val="21"/>
          <w:highlight w:val="none"/>
          <w:lang w:eastAsia="zh-CN"/>
        </w:rPr>
        <w:t>责对</w:t>
      </w:r>
      <w:r>
        <w:rPr>
          <w:rFonts w:hint="eastAsia" w:ascii="宋体" w:hAnsi="宋体" w:eastAsia="宋体" w:cs="宋体"/>
          <w:color w:val="auto"/>
          <w:spacing w:val="0"/>
          <w:w w:val="100"/>
          <w:position w:val="0"/>
          <w:sz w:val="21"/>
          <w:szCs w:val="21"/>
          <w:highlight w:val="none"/>
        </w:rPr>
        <w:t>供应的材料设备负责，提供产品合格证明，并经发包人代表验收认可，如与设计和规范要求不符的产品，应重新采购符合要求的产品，并经发包人代表重新验收认定，</w:t>
      </w:r>
      <w:r>
        <w:rPr>
          <w:rFonts w:hint="eastAsia" w:ascii="宋体" w:hAnsi="宋体" w:eastAsia="宋体" w:cs="宋体"/>
          <w:color w:val="auto"/>
          <w:spacing w:val="0"/>
          <w:w w:val="100"/>
          <w:position w:val="0"/>
          <w:sz w:val="21"/>
          <w:szCs w:val="21"/>
          <w:highlight w:val="none"/>
          <w:lang w:val="en-US" w:eastAsia="zh-CN"/>
        </w:rPr>
        <w:t>并</w:t>
      </w:r>
      <w:r>
        <w:rPr>
          <w:rFonts w:hint="eastAsia" w:ascii="宋体" w:hAnsi="宋体" w:eastAsia="宋体" w:cs="宋体"/>
          <w:color w:val="auto"/>
          <w:spacing w:val="0"/>
          <w:w w:val="100"/>
          <w:position w:val="0"/>
          <w:sz w:val="21"/>
          <w:szCs w:val="21"/>
          <w:highlight w:val="none"/>
        </w:rPr>
        <w:t>承担发生的费用。</w:t>
      </w:r>
      <w:r>
        <w:rPr>
          <w:rFonts w:hint="eastAsia" w:ascii="宋体" w:hAnsi="宋体" w:eastAsia="宋体" w:cs="宋体"/>
          <w:color w:val="auto"/>
          <w:spacing w:val="0"/>
          <w:w w:val="100"/>
          <w:position w:val="0"/>
          <w:sz w:val="21"/>
          <w:szCs w:val="21"/>
          <w:highlight w:val="none"/>
          <w:lang w:val="en-US" w:eastAsia="zh-CN"/>
        </w:rPr>
        <w:t>因承包人原因</w:t>
      </w:r>
      <w:r>
        <w:rPr>
          <w:rFonts w:hint="eastAsia" w:ascii="宋体" w:hAnsi="宋体" w:eastAsia="宋体" w:cs="宋体"/>
          <w:color w:val="auto"/>
          <w:spacing w:val="0"/>
          <w:w w:val="100"/>
          <w:position w:val="0"/>
          <w:sz w:val="21"/>
          <w:szCs w:val="21"/>
          <w:highlight w:val="none"/>
        </w:rPr>
        <w:t>若造成停、窝工的，责任自负</w:t>
      </w:r>
      <w:r>
        <w:rPr>
          <w:rFonts w:hint="eastAsia" w:ascii="宋体" w:hAnsi="宋体" w:eastAsia="宋体" w:cs="宋体"/>
          <w:color w:val="auto"/>
          <w:spacing w:val="0"/>
          <w:w w:val="100"/>
          <w:position w:val="0"/>
          <w:sz w:val="21"/>
          <w:szCs w:val="21"/>
          <w:highlight w:val="none"/>
          <w:lang w:eastAsia="zh-CN"/>
        </w:rPr>
        <w:t>。</w:t>
      </w:r>
    </w:p>
    <w:p w14:paraId="6E53C573">
      <w:pPr>
        <w:pStyle w:val="68"/>
        <w:keepNext w:val="0"/>
        <w:keepLines w:val="0"/>
        <w:pageBreakBefore w:val="0"/>
        <w:widowControl w:val="0"/>
        <w:numPr>
          <w:ilvl w:val="0"/>
          <w:numId w:val="0"/>
        </w:numPr>
        <w:shd w:val="clear" w:color="auto" w:fill="auto"/>
        <w:tabs>
          <w:tab w:val="left" w:pos="910"/>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68" w:name="bookmark21"/>
      <w:bookmarkEnd w:id="68"/>
      <w:r>
        <w:rPr>
          <w:rFonts w:hint="eastAsia" w:ascii="宋体" w:hAnsi="宋体" w:eastAsia="宋体" w:cs="宋体"/>
          <w:color w:val="auto"/>
          <w:spacing w:val="0"/>
          <w:w w:val="100"/>
          <w:position w:val="0"/>
          <w:sz w:val="21"/>
          <w:szCs w:val="21"/>
          <w:highlight w:val="none"/>
          <w:lang w:val="en-US" w:eastAsia="zh-CN"/>
        </w:rPr>
        <w:t>9.2</w:t>
      </w:r>
      <w:r>
        <w:rPr>
          <w:rFonts w:hint="eastAsia" w:ascii="宋体" w:hAnsi="宋体" w:eastAsia="宋体" w:cs="宋体"/>
          <w:color w:val="auto"/>
          <w:spacing w:val="0"/>
          <w:w w:val="100"/>
          <w:position w:val="0"/>
          <w:sz w:val="21"/>
          <w:szCs w:val="21"/>
          <w:highlight w:val="none"/>
        </w:rPr>
        <w:t>承包人需使用代用材料时，须经发包人代表批准方可使用，增减的费用由发包 人、承包人商定。</w:t>
      </w:r>
    </w:p>
    <w:p w14:paraId="7D52FF90">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第十条报告、成果、文件检查验收</w:t>
      </w:r>
    </w:p>
    <w:p w14:paraId="6EA0D43D">
      <w:pPr>
        <w:pStyle w:val="68"/>
        <w:keepNext w:val="0"/>
        <w:keepLines w:val="0"/>
        <w:pageBreakBefore w:val="0"/>
        <w:widowControl w:val="0"/>
        <w:numPr>
          <w:ilvl w:val="0"/>
          <w:numId w:val="0"/>
        </w:numPr>
        <w:shd w:val="clear" w:color="auto" w:fill="auto"/>
        <w:tabs>
          <w:tab w:val="left" w:pos="941"/>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69" w:name="bookmark22"/>
      <w:bookmarkEnd w:id="69"/>
      <w:r>
        <w:rPr>
          <w:rFonts w:hint="eastAsia" w:ascii="宋体" w:hAnsi="宋体" w:eastAsia="宋体" w:cs="宋体"/>
          <w:color w:val="auto"/>
          <w:spacing w:val="0"/>
          <w:w w:val="100"/>
          <w:position w:val="0"/>
          <w:sz w:val="21"/>
          <w:szCs w:val="21"/>
          <w:highlight w:val="none"/>
          <w:lang w:val="en-US" w:eastAsia="zh-CN"/>
        </w:rPr>
        <w:t>10.1</w:t>
      </w:r>
      <w:r>
        <w:rPr>
          <w:rFonts w:hint="eastAsia" w:ascii="宋体" w:hAnsi="宋体" w:eastAsia="宋体" w:cs="宋体"/>
          <w:color w:val="auto"/>
          <w:spacing w:val="0"/>
          <w:w w:val="100"/>
          <w:position w:val="0"/>
          <w:sz w:val="21"/>
          <w:szCs w:val="21"/>
          <w:highlight w:val="none"/>
        </w:rPr>
        <w:t>由发包人负责组织对承包人交付的报告、成果、文件进行检查验收。</w:t>
      </w:r>
    </w:p>
    <w:p w14:paraId="49B637CC">
      <w:pPr>
        <w:pStyle w:val="68"/>
        <w:keepNext w:val="0"/>
        <w:keepLines w:val="0"/>
        <w:pageBreakBefore w:val="0"/>
        <w:widowControl w:val="0"/>
        <w:numPr>
          <w:ilvl w:val="0"/>
          <w:numId w:val="0"/>
        </w:numPr>
        <w:shd w:val="clear" w:color="auto" w:fill="auto"/>
        <w:tabs>
          <w:tab w:val="left" w:pos="965"/>
        </w:tabs>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z w:val="21"/>
          <w:szCs w:val="21"/>
          <w:highlight w:val="none"/>
        </w:rPr>
      </w:pPr>
      <w:bookmarkStart w:id="70" w:name="bookmark23"/>
      <w:bookmarkEnd w:id="70"/>
      <w:r>
        <w:rPr>
          <w:rFonts w:hint="eastAsia" w:ascii="宋体" w:hAnsi="宋体" w:eastAsia="宋体" w:cs="宋体"/>
          <w:color w:val="auto"/>
          <w:spacing w:val="0"/>
          <w:w w:val="100"/>
          <w:position w:val="0"/>
          <w:sz w:val="21"/>
          <w:szCs w:val="21"/>
          <w:highlight w:val="none"/>
          <w:lang w:val="en-US" w:eastAsia="zh-CN"/>
        </w:rPr>
        <w:t>10.2</w:t>
      </w:r>
      <w:r>
        <w:rPr>
          <w:rFonts w:hint="eastAsia" w:ascii="宋体" w:hAnsi="宋体" w:eastAsia="宋体" w:cs="宋体"/>
          <w:color w:val="auto"/>
          <w:spacing w:val="0"/>
          <w:w w:val="100"/>
          <w:position w:val="0"/>
          <w:sz w:val="21"/>
          <w:szCs w:val="21"/>
          <w:highlight w:val="none"/>
        </w:rPr>
        <w:t>发包人收到承包人交付的报告、成果、文件后此天内检查验收完毕，并</w:t>
      </w:r>
      <w:r>
        <w:rPr>
          <w:rFonts w:hint="eastAsia" w:cs="宋体"/>
          <w:color w:val="auto"/>
          <w:spacing w:val="0"/>
          <w:w w:val="100"/>
          <w:position w:val="0"/>
          <w:sz w:val="21"/>
          <w:szCs w:val="21"/>
          <w:highlight w:val="none"/>
          <w:lang w:eastAsia="zh-CN"/>
        </w:rPr>
        <w:t>出</w:t>
      </w:r>
      <w:r>
        <w:rPr>
          <w:rFonts w:hint="eastAsia" w:ascii="宋体" w:hAnsi="宋体" w:eastAsia="宋体" w:cs="宋体"/>
          <w:color w:val="auto"/>
          <w:spacing w:val="0"/>
          <w:w w:val="100"/>
          <w:position w:val="0"/>
          <w:sz w:val="21"/>
          <w:szCs w:val="21"/>
          <w:highlight w:val="none"/>
        </w:rPr>
        <w:t>具检查验收证明，以示承包人</w:t>
      </w:r>
      <w:r>
        <w:rPr>
          <w:rFonts w:hint="eastAsia" w:cs="宋体"/>
          <w:color w:val="auto"/>
          <w:spacing w:val="0"/>
          <w:w w:val="100"/>
          <w:position w:val="0"/>
          <w:sz w:val="21"/>
          <w:szCs w:val="21"/>
          <w:highlight w:val="none"/>
          <w:lang w:eastAsia="zh-CN"/>
        </w:rPr>
        <w:t>已</w:t>
      </w:r>
      <w:r>
        <w:rPr>
          <w:rFonts w:hint="eastAsia" w:ascii="宋体" w:hAnsi="宋体" w:eastAsia="宋体" w:cs="宋体"/>
          <w:color w:val="auto"/>
          <w:spacing w:val="0"/>
          <w:w w:val="100"/>
          <w:position w:val="0"/>
          <w:sz w:val="21"/>
          <w:szCs w:val="21"/>
          <w:highlight w:val="none"/>
        </w:rPr>
        <w:t>完成任务。</w:t>
      </w:r>
    </w:p>
    <w:p w14:paraId="371E47F2">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10.3</w:t>
      </w:r>
      <w:r>
        <w:rPr>
          <w:rFonts w:hint="eastAsia" w:ascii="宋体" w:hAnsi="宋体" w:eastAsia="宋体" w:cs="宋体"/>
          <w:color w:val="auto"/>
          <w:spacing w:val="0"/>
          <w:w w:val="100"/>
          <w:position w:val="0"/>
          <w:sz w:val="21"/>
          <w:szCs w:val="21"/>
          <w:highlight w:val="none"/>
        </w:rPr>
        <w:t>工程完</w:t>
      </w:r>
      <w:r>
        <w:rPr>
          <w:rFonts w:hint="eastAsia" w:cs="宋体"/>
          <w:color w:val="auto"/>
          <w:spacing w:val="0"/>
          <w:w w:val="100"/>
          <w:position w:val="0"/>
          <w:sz w:val="21"/>
          <w:szCs w:val="21"/>
          <w:highlight w:val="none"/>
          <w:lang w:eastAsia="zh-CN"/>
        </w:rPr>
        <w:t>工后</w:t>
      </w:r>
      <w:r>
        <w:rPr>
          <w:rFonts w:hint="eastAsia" w:ascii="宋体" w:hAnsi="宋体" w:eastAsia="宋体" w:cs="宋体"/>
          <w:color w:val="auto"/>
          <w:spacing w:val="0"/>
          <w:w w:val="100"/>
          <w:position w:val="0"/>
          <w:sz w:val="21"/>
          <w:szCs w:val="21"/>
          <w:highlight w:val="none"/>
        </w:rPr>
        <w:t>，承包人向发包人提交</w:t>
      </w:r>
      <w:r>
        <w:rPr>
          <w:rFonts w:hint="eastAsia" w:ascii="宋体" w:hAnsi="宋体" w:eastAsia="宋体" w:cs="宋体"/>
          <w:color w:val="auto"/>
          <w:spacing w:val="0"/>
          <w:w w:val="100"/>
          <w:position w:val="0"/>
          <w:sz w:val="21"/>
          <w:szCs w:val="21"/>
          <w:highlight w:val="none"/>
          <w:lang w:val="en-US" w:eastAsia="zh-CN"/>
        </w:rPr>
        <w:t>相关成果文件</w:t>
      </w:r>
      <w:r>
        <w:rPr>
          <w:rFonts w:hint="eastAsia" w:ascii="宋体" w:hAnsi="宋体" w:eastAsia="宋体" w:cs="宋体"/>
          <w:color w:val="auto"/>
          <w:spacing w:val="0"/>
          <w:w w:val="100"/>
          <w:position w:val="0"/>
          <w:sz w:val="21"/>
          <w:szCs w:val="21"/>
          <w:highlight w:val="none"/>
        </w:rPr>
        <w:t>，发包人应在</w:t>
      </w:r>
      <w:r>
        <w:rPr>
          <w:rFonts w:hint="eastAsia" w:ascii="宋体" w:hAnsi="宋体" w:eastAsia="宋体" w:cs="宋体"/>
          <w:color w:val="auto"/>
          <w:spacing w:val="0"/>
          <w:w w:val="100"/>
          <w:position w:val="0"/>
          <w:sz w:val="21"/>
          <w:szCs w:val="21"/>
          <w:highlight w:val="none"/>
          <w:lang w:val="en-US" w:eastAsia="zh-CN"/>
        </w:rPr>
        <w:t>规定时间</w:t>
      </w:r>
      <w:r>
        <w:rPr>
          <w:rFonts w:hint="eastAsia" w:ascii="宋体" w:hAnsi="宋体" w:eastAsia="宋体" w:cs="宋体"/>
          <w:color w:val="auto"/>
          <w:spacing w:val="0"/>
          <w:w w:val="100"/>
          <w:position w:val="0"/>
          <w:sz w:val="21"/>
          <w:szCs w:val="21"/>
          <w:highlight w:val="none"/>
        </w:rPr>
        <w:t>内组织验收，如有不符合规定要求及存在质量问题，承包人应采取有效补救措施。</w:t>
      </w:r>
    </w:p>
    <w:p w14:paraId="7306E2A0">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w:t>
      </w:r>
      <w:r>
        <w:rPr>
          <w:rFonts w:hint="eastAsia" w:ascii="宋体" w:hAnsi="宋体" w:eastAsia="宋体" w:cs="宋体"/>
          <w:b/>
          <w:bCs/>
          <w:color w:val="auto"/>
          <w:spacing w:val="0"/>
          <w:w w:val="100"/>
          <w:position w:val="0"/>
          <w:sz w:val="21"/>
          <w:szCs w:val="21"/>
          <w:highlight w:val="none"/>
          <w:lang w:val="en-US" w:eastAsia="zh-CN"/>
        </w:rPr>
        <w:t>十一</w:t>
      </w:r>
      <w:r>
        <w:rPr>
          <w:rFonts w:hint="eastAsia" w:ascii="宋体" w:hAnsi="宋体" w:eastAsia="宋体" w:cs="宋体"/>
          <w:b/>
          <w:bCs/>
          <w:color w:val="auto"/>
          <w:spacing w:val="0"/>
          <w:w w:val="100"/>
          <w:position w:val="0"/>
          <w:sz w:val="21"/>
          <w:szCs w:val="21"/>
          <w:highlight w:val="none"/>
        </w:rPr>
        <w:t>本合同未尽事宜，经发包人与承包人协商一致，签订补充协议，补充协议 与本合同具有同等效力。</w:t>
      </w:r>
    </w:p>
    <w:p w14:paraId="03A4AB03">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第十二条其他约定事项</w:t>
      </w:r>
    </w:p>
    <w:p w14:paraId="09EA5FB0">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en-US" w:bidi="en-US"/>
        </w:rPr>
        <w:t xml:space="preserve">12. </w:t>
      </w:r>
      <w:r>
        <w:rPr>
          <w:rFonts w:hint="eastAsia" w:ascii="宋体" w:hAnsi="宋体" w:eastAsia="宋体" w:cs="宋体"/>
          <w:color w:val="auto"/>
          <w:spacing w:val="0"/>
          <w:w w:val="100"/>
          <w:position w:val="0"/>
          <w:sz w:val="21"/>
          <w:szCs w:val="21"/>
          <w:highlight w:val="none"/>
          <w:lang w:val="zh-CN" w:eastAsia="zh-CN" w:bidi="zh-CN"/>
        </w:rPr>
        <w:t>1</w:t>
      </w:r>
      <w:r>
        <w:rPr>
          <w:rFonts w:hint="eastAsia" w:ascii="宋体" w:hAnsi="宋体" w:eastAsia="宋体" w:cs="宋体"/>
          <w:color w:val="auto"/>
          <w:spacing w:val="0"/>
          <w:w w:val="100"/>
          <w:position w:val="0"/>
          <w:sz w:val="21"/>
          <w:szCs w:val="21"/>
          <w:highlight w:val="none"/>
          <w:lang w:eastAsia="zh-CN"/>
        </w:rPr>
        <w:t>承包人</w:t>
      </w:r>
      <w:r>
        <w:rPr>
          <w:rFonts w:hint="eastAsia" w:ascii="宋体" w:hAnsi="宋体" w:eastAsia="宋体" w:cs="宋体"/>
          <w:color w:val="auto"/>
          <w:spacing w:val="0"/>
          <w:w w:val="100"/>
          <w:position w:val="0"/>
          <w:sz w:val="21"/>
          <w:szCs w:val="21"/>
          <w:highlight w:val="none"/>
        </w:rPr>
        <w:t>擅自与施工方或第三方私自协调处理监测工作，不得损害</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的利益，更不得</w:t>
      </w:r>
      <w:r>
        <w:rPr>
          <w:rFonts w:hint="eastAsia" w:cs="宋体"/>
          <w:color w:val="auto"/>
          <w:spacing w:val="0"/>
          <w:w w:val="100"/>
          <w:position w:val="0"/>
          <w:sz w:val="21"/>
          <w:szCs w:val="21"/>
          <w:highlight w:val="none"/>
          <w:lang w:eastAsia="zh-CN"/>
        </w:rPr>
        <w:t>以此</w:t>
      </w:r>
      <w:r>
        <w:rPr>
          <w:rFonts w:hint="eastAsia" w:ascii="宋体" w:hAnsi="宋体" w:eastAsia="宋体" w:cs="宋体"/>
          <w:color w:val="auto"/>
          <w:spacing w:val="0"/>
          <w:w w:val="100"/>
          <w:position w:val="0"/>
          <w:sz w:val="21"/>
          <w:szCs w:val="21"/>
          <w:highlight w:val="none"/>
        </w:rPr>
        <w:t>作为将来对</w:t>
      </w:r>
      <w:r>
        <w:rPr>
          <w:rFonts w:hint="eastAsia" w:ascii="宋体" w:hAnsi="宋体" w:eastAsia="宋体" w:cs="宋体"/>
          <w:color w:val="auto"/>
          <w:spacing w:val="0"/>
          <w:w w:val="100"/>
          <w:position w:val="0"/>
          <w:sz w:val="21"/>
          <w:szCs w:val="21"/>
          <w:highlight w:val="none"/>
          <w:lang w:eastAsia="zh-CN"/>
        </w:rPr>
        <w:t>发包人</w:t>
      </w:r>
      <w:r>
        <w:rPr>
          <w:rFonts w:hint="eastAsia" w:ascii="宋体" w:hAnsi="宋体" w:eastAsia="宋体" w:cs="宋体"/>
          <w:color w:val="auto"/>
          <w:spacing w:val="0"/>
          <w:w w:val="100"/>
          <w:position w:val="0"/>
          <w:sz w:val="21"/>
          <w:szCs w:val="21"/>
          <w:highlight w:val="none"/>
        </w:rPr>
        <w:t>不利的证明材料</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如存在上述行为，将处以</w:t>
      </w:r>
      <w:r>
        <w:rPr>
          <w:rFonts w:hint="eastAsia" w:cs="宋体"/>
          <w:color w:val="auto"/>
          <w:spacing w:val="0"/>
          <w:w w:val="100"/>
          <w:position w:val="0"/>
          <w:sz w:val="21"/>
          <w:szCs w:val="21"/>
          <w:highlight w:val="none"/>
          <w:lang w:val="en-US" w:eastAsia="zh-CN"/>
        </w:rPr>
        <w:t>5000</w:t>
      </w:r>
      <w:r>
        <w:rPr>
          <w:rFonts w:hint="eastAsia" w:ascii="宋体" w:hAnsi="宋体" w:eastAsia="宋体" w:cs="宋体"/>
          <w:color w:val="auto"/>
          <w:spacing w:val="0"/>
          <w:w w:val="100"/>
          <w:position w:val="0"/>
          <w:sz w:val="21"/>
          <w:szCs w:val="21"/>
          <w:highlight w:val="none"/>
          <w:lang w:val="en-US" w:eastAsia="zh-CN"/>
        </w:rPr>
        <w:t>元违约金。</w:t>
      </w:r>
    </w:p>
    <w:p w14:paraId="58A95A2E">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bidi="en-US"/>
        </w:rPr>
        <w:t>12.2</w:t>
      </w:r>
      <w:r>
        <w:rPr>
          <w:rFonts w:hint="eastAsia" w:ascii="宋体" w:hAnsi="宋体" w:eastAsia="宋体" w:cs="宋体"/>
          <w:color w:val="auto"/>
          <w:spacing w:val="0"/>
          <w:w w:val="100"/>
          <w:position w:val="0"/>
          <w:sz w:val="21"/>
          <w:szCs w:val="21"/>
          <w:highlight w:val="none"/>
        </w:rPr>
        <w:t>监测数据分析和评估是</w:t>
      </w:r>
      <w:r>
        <w:rPr>
          <w:rFonts w:hint="eastAsia" w:ascii="宋体" w:hAnsi="宋体" w:eastAsia="宋体" w:cs="宋体"/>
          <w:color w:val="auto"/>
          <w:spacing w:val="0"/>
          <w:w w:val="100"/>
          <w:position w:val="0"/>
          <w:sz w:val="21"/>
          <w:szCs w:val="21"/>
          <w:highlight w:val="none"/>
          <w:lang w:val="en-US" w:eastAsia="zh-CN"/>
        </w:rPr>
        <w:t>承包人</w:t>
      </w:r>
      <w:r>
        <w:rPr>
          <w:rFonts w:hint="eastAsia" w:ascii="宋体" w:hAnsi="宋体" w:eastAsia="宋体" w:cs="宋体"/>
          <w:color w:val="auto"/>
          <w:spacing w:val="0"/>
          <w:w w:val="100"/>
          <w:position w:val="0"/>
          <w:sz w:val="21"/>
          <w:szCs w:val="21"/>
          <w:highlight w:val="none"/>
        </w:rPr>
        <w:t>的重要工作，并向</w:t>
      </w:r>
      <w:r>
        <w:rPr>
          <w:rFonts w:hint="eastAsia" w:ascii="宋体" w:hAnsi="宋体" w:eastAsia="宋体" w:cs="宋体"/>
          <w:color w:val="auto"/>
          <w:spacing w:val="0"/>
          <w:w w:val="100"/>
          <w:position w:val="0"/>
          <w:sz w:val="21"/>
          <w:szCs w:val="21"/>
          <w:highlight w:val="none"/>
          <w:lang w:val="en-US" w:eastAsia="zh-CN"/>
        </w:rPr>
        <w:t>发包人</w:t>
      </w:r>
      <w:r>
        <w:rPr>
          <w:rFonts w:hint="eastAsia" w:ascii="宋体" w:hAnsi="宋体" w:eastAsia="宋体" w:cs="宋体"/>
          <w:color w:val="auto"/>
          <w:spacing w:val="0"/>
          <w:w w:val="100"/>
          <w:position w:val="0"/>
          <w:sz w:val="21"/>
          <w:szCs w:val="21"/>
          <w:highlight w:val="none"/>
        </w:rPr>
        <w:t>报告是</w:t>
      </w:r>
      <w:r>
        <w:rPr>
          <w:rFonts w:hint="eastAsia" w:ascii="宋体" w:hAnsi="宋体" w:eastAsia="宋体" w:cs="宋体"/>
          <w:color w:val="auto"/>
          <w:spacing w:val="0"/>
          <w:w w:val="100"/>
          <w:position w:val="0"/>
          <w:sz w:val="21"/>
          <w:szCs w:val="21"/>
          <w:highlight w:val="none"/>
          <w:lang w:val="en-US" w:eastAsia="zh-CN"/>
        </w:rPr>
        <w:t>承包人</w:t>
      </w:r>
      <w:r>
        <w:rPr>
          <w:rFonts w:hint="eastAsia" w:ascii="宋体" w:hAnsi="宋体" w:eastAsia="宋体" w:cs="宋体"/>
          <w:color w:val="auto"/>
          <w:spacing w:val="0"/>
          <w:w w:val="100"/>
          <w:position w:val="0"/>
          <w:sz w:val="21"/>
          <w:szCs w:val="21"/>
          <w:highlight w:val="none"/>
        </w:rPr>
        <w:t>完成监测工作的重要组成部分，未提供监测数据分析和评估的视为</w:t>
      </w:r>
      <w:r>
        <w:rPr>
          <w:rFonts w:hint="eastAsia" w:ascii="宋体" w:hAnsi="宋体" w:eastAsia="宋体" w:cs="宋体"/>
          <w:color w:val="auto"/>
          <w:spacing w:val="0"/>
          <w:w w:val="100"/>
          <w:position w:val="0"/>
          <w:sz w:val="21"/>
          <w:szCs w:val="21"/>
          <w:highlight w:val="none"/>
          <w:lang w:val="en-US" w:eastAsia="zh-CN"/>
        </w:rPr>
        <w:t>承包人</w:t>
      </w:r>
      <w:r>
        <w:rPr>
          <w:rFonts w:hint="eastAsia" w:ascii="宋体" w:hAnsi="宋体" w:eastAsia="宋体" w:cs="宋体"/>
          <w:color w:val="auto"/>
          <w:spacing w:val="0"/>
          <w:w w:val="100"/>
          <w:position w:val="0"/>
          <w:sz w:val="21"/>
          <w:szCs w:val="21"/>
          <w:highlight w:val="none"/>
        </w:rPr>
        <w:t>未完成监测工作。</w:t>
      </w:r>
    </w:p>
    <w:p w14:paraId="27E987F7">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12.3 本项目所有违约金均以银行转账形式或直接从进度款中扣除形式缴纳至招标人处，否则当期不予请款。</w:t>
      </w:r>
    </w:p>
    <w:p w14:paraId="5F1688E7">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第十三条争议解决办法</w:t>
      </w:r>
    </w:p>
    <w:p w14:paraId="309C6B25">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rPr>
        <w:t>本合同在履行过程中发生的争议，由双方当事人协商解决，协商不成的</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依</w:t>
      </w:r>
      <w:r>
        <w:rPr>
          <w:rFonts w:hint="eastAsia" w:ascii="宋体" w:hAnsi="宋体" w:eastAsia="宋体" w:cs="宋体"/>
          <w:color w:val="auto"/>
          <w:spacing w:val="0"/>
          <w:w w:val="100"/>
          <w:position w:val="0"/>
          <w:sz w:val="21"/>
          <w:szCs w:val="21"/>
          <w:highlight w:val="none"/>
          <w:u w:val="single"/>
        </w:rPr>
        <w:t>法向项目所在地人民法院起诉</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rPr>
        <w:t>解决</w:t>
      </w:r>
      <w:r>
        <w:rPr>
          <w:rFonts w:hint="eastAsia" w:ascii="宋体" w:hAnsi="宋体" w:eastAsia="宋体" w:cs="宋体"/>
          <w:color w:val="auto"/>
          <w:spacing w:val="0"/>
          <w:w w:val="100"/>
          <w:position w:val="0"/>
          <w:sz w:val="21"/>
          <w:szCs w:val="21"/>
          <w:highlight w:val="none"/>
          <w:lang w:eastAsia="zh-CN"/>
        </w:rPr>
        <w:t>。</w:t>
      </w:r>
    </w:p>
    <w:p w14:paraId="5D4D623B">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42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第十四条合同生效与终止</w:t>
      </w:r>
    </w:p>
    <w:p w14:paraId="248ED8A0">
      <w:pPr>
        <w:pStyle w:val="68"/>
        <w:keepNext w:val="0"/>
        <w:keepLines w:val="0"/>
        <w:pageBreakBefore w:val="0"/>
        <w:widowControl w:val="0"/>
        <w:shd w:val="clear" w:color="auto" w:fill="auto"/>
        <w:kinsoku/>
        <w:wordWrap/>
        <w:overflowPunct/>
        <w:topLinePunct w:val="0"/>
        <w:autoSpaceDE/>
        <w:autoSpaceDN/>
        <w:bidi w:val="0"/>
        <w:adjustRightInd/>
        <w:snapToGrid/>
        <w:spacing w:line="500" w:lineRule="exact"/>
        <w:ind w:left="0" w:right="0" w:firstLine="5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rPr>
        <w:t>本合同自发包人、承包人签字盖章后生效</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 xml:space="preserve"> 本合同一式  份，发包人</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lang w:val="en-US" w:eastAsia="zh-CN"/>
        </w:rPr>
        <w:t>份，承包人</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lang w:val="en-US" w:eastAsia="zh-CN"/>
        </w:rPr>
        <w:t>份。</w:t>
      </w:r>
    </w:p>
    <w:p w14:paraId="2C9A3AA4">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lang w:val="en-US" w:eastAsia="zh-CN"/>
        </w:rPr>
      </w:pPr>
    </w:p>
    <w:p w14:paraId="739C4696">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lang w:val="en-US" w:eastAsia="zh-CN"/>
        </w:rPr>
      </w:pPr>
    </w:p>
    <w:p w14:paraId="4B3D9444">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lang w:val="en-US" w:eastAsia="zh-CN"/>
        </w:rPr>
      </w:pPr>
    </w:p>
    <w:p w14:paraId="6AFA457F">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lang w:val="en-US" w:eastAsia="zh-CN"/>
        </w:rPr>
        <w:t>发包人</w:t>
      </w:r>
      <w:r>
        <w:rPr>
          <w:rFonts w:hint="eastAsia" w:ascii="宋体" w:hAnsi="宋体" w:eastAsia="宋体" w:cs="宋体"/>
          <w:color w:val="auto"/>
          <w:kern w:val="0"/>
          <w:sz w:val="21"/>
          <w:szCs w:val="21"/>
          <w:highlight w:val="none"/>
          <w:u w:val="none" w:color="000000"/>
        </w:rPr>
        <w:t xml:space="preserve">：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 xml:space="preserve">  </w:t>
      </w:r>
      <w:r>
        <w:rPr>
          <w:rFonts w:hint="eastAsia" w:ascii="宋体" w:hAnsi="宋体" w:eastAsia="宋体" w:cs="宋体"/>
          <w:color w:val="auto"/>
          <w:kern w:val="0"/>
          <w:sz w:val="21"/>
          <w:szCs w:val="21"/>
          <w:highlight w:val="none"/>
          <w:u w:val="none" w:color="000000"/>
          <w:lang w:val="en-US" w:eastAsia="zh-CN"/>
        </w:rPr>
        <w:t xml:space="preserve">  承包人</w:t>
      </w:r>
      <w:r>
        <w:rPr>
          <w:rFonts w:hint="eastAsia" w:ascii="宋体" w:hAnsi="宋体" w:eastAsia="宋体" w:cs="宋体"/>
          <w:color w:val="auto"/>
          <w:kern w:val="0"/>
          <w:sz w:val="21"/>
          <w:szCs w:val="21"/>
          <w:highlight w:val="none"/>
          <w:u w:val="none" w:color="000000"/>
        </w:rPr>
        <w:t>：</w:t>
      </w:r>
    </w:p>
    <w:p w14:paraId="08FB703E">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 xml:space="preserve">名  称：（盖章）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 xml:space="preserve"> 名  称：（盖章）</w:t>
      </w:r>
    </w:p>
    <w:p w14:paraId="3CE5448B">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 xml:space="preserve">法定代表人（或委托代理人）：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法定代表人（或委托代理人）：</w:t>
      </w:r>
    </w:p>
    <w:p w14:paraId="01A0D1B5">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1050" w:firstLineChars="5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（签字</w:t>
      </w:r>
      <w:r>
        <w:rPr>
          <w:rFonts w:hint="eastAsia" w:ascii="宋体" w:hAnsi="宋体" w:eastAsia="宋体" w:cs="宋体"/>
          <w:color w:val="auto"/>
          <w:kern w:val="0"/>
          <w:sz w:val="21"/>
          <w:szCs w:val="21"/>
          <w:highlight w:val="none"/>
          <w:u w:val="none" w:color="000000"/>
          <w:lang w:val="en-US" w:eastAsia="zh-CN"/>
        </w:rPr>
        <w:t>或签章</w:t>
      </w:r>
      <w:r>
        <w:rPr>
          <w:rFonts w:hint="eastAsia" w:ascii="宋体" w:hAnsi="宋体" w:eastAsia="宋体" w:cs="宋体"/>
          <w:color w:val="auto"/>
          <w:kern w:val="0"/>
          <w:sz w:val="21"/>
          <w:szCs w:val="21"/>
          <w:highlight w:val="none"/>
          <w:u w:val="none" w:color="000000"/>
        </w:rPr>
        <w:t xml:space="preserve">）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（签字</w:t>
      </w:r>
      <w:r>
        <w:rPr>
          <w:rFonts w:hint="eastAsia" w:ascii="宋体" w:hAnsi="宋体" w:eastAsia="宋体" w:cs="宋体"/>
          <w:color w:val="auto"/>
          <w:kern w:val="0"/>
          <w:sz w:val="21"/>
          <w:szCs w:val="21"/>
          <w:highlight w:val="none"/>
          <w:u w:val="none" w:color="000000"/>
          <w:lang w:val="en-US" w:eastAsia="zh-CN"/>
        </w:rPr>
        <w:t>或签章</w:t>
      </w:r>
      <w:r>
        <w:rPr>
          <w:rFonts w:hint="eastAsia" w:ascii="宋体" w:hAnsi="宋体" w:eastAsia="宋体" w:cs="宋体"/>
          <w:color w:val="auto"/>
          <w:kern w:val="0"/>
          <w:sz w:val="21"/>
          <w:szCs w:val="21"/>
          <w:highlight w:val="none"/>
          <w:u w:val="none" w:color="000000"/>
        </w:rPr>
        <w:t>）</w:t>
      </w:r>
    </w:p>
    <w:p w14:paraId="3F9DC8D0">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 xml:space="preserve">地    址：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地    址：</w:t>
      </w:r>
    </w:p>
    <w:p w14:paraId="1C4DC0F0">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 xml:space="preserve">邮政编码：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邮政编码：</w:t>
      </w:r>
    </w:p>
    <w:p w14:paraId="0504C2D4">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 xml:space="preserve">电    话：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 xml:space="preserve">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电    话：</w:t>
      </w:r>
    </w:p>
    <w:p w14:paraId="368291B5">
      <w:pPr>
        <w:pStyle w:val="3"/>
        <w:keepNext w:val="0"/>
        <w:keepLines w:val="0"/>
        <w:pageBreakBefore w:val="0"/>
        <w:widowControl w:val="0"/>
        <w:kinsoku/>
        <w:wordWrap/>
        <w:overflowPunct/>
        <w:topLinePunct w:val="0"/>
        <w:autoSpaceDE/>
        <w:autoSpaceDN/>
        <w:bidi w:val="0"/>
        <w:adjustRightInd/>
        <w:snapToGrid/>
        <w:spacing w:after="0" w:line="500" w:lineRule="exact"/>
        <w:ind w:left="0" w:leftChars="0" w:right="-216" w:rightChars="-103" w:firstLine="840" w:firstLineChars="400"/>
        <w:textAlignment w:val="auto"/>
        <w:rPr>
          <w:rFonts w:hint="eastAsia" w:ascii="宋体" w:hAnsi="宋体" w:eastAsia="宋体" w:cs="宋体"/>
          <w:color w:val="auto"/>
          <w:kern w:val="0"/>
          <w:sz w:val="21"/>
          <w:szCs w:val="21"/>
          <w:highlight w:val="none"/>
          <w:u w:val="none" w:color="000000"/>
        </w:rPr>
      </w:pPr>
      <w:r>
        <w:rPr>
          <w:rFonts w:hint="eastAsia" w:ascii="宋体" w:hAnsi="宋体" w:eastAsia="宋体" w:cs="宋体"/>
          <w:color w:val="auto"/>
          <w:kern w:val="0"/>
          <w:sz w:val="21"/>
          <w:szCs w:val="21"/>
          <w:highlight w:val="none"/>
          <w:u w:val="none" w:color="000000"/>
        </w:rPr>
        <w:t xml:space="preserve">开户银行：                        </w:t>
      </w:r>
      <w:r>
        <w:rPr>
          <w:rFonts w:hint="eastAsia" w:ascii="宋体" w:hAnsi="宋体" w:eastAsia="宋体" w:cs="宋体"/>
          <w:color w:val="auto"/>
          <w:kern w:val="0"/>
          <w:sz w:val="21"/>
          <w:szCs w:val="21"/>
          <w:highlight w:val="none"/>
          <w:u w:val="none" w:color="000000"/>
          <w:lang w:val="en-US" w:eastAsia="zh-CN"/>
        </w:rPr>
        <w:t xml:space="preserve">        </w:t>
      </w:r>
      <w:r>
        <w:rPr>
          <w:rFonts w:hint="eastAsia" w:ascii="宋体" w:hAnsi="宋体" w:eastAsia="宋体" w:cs="宋体"/>
          <w:color w:val="auto"/>
          <w:kern w:val="0"/>
          <w:sz w:val="21"/>
          <w:szCs w:val="21"/>
          <w:highlight w:val="none"/>
          <w:u w:val="none" w:color="000000"/>
        </w:rPr>
        <w:t>开户银行：</w:t>
      </w:r>
    </w:p>
    <w:p w14:paraId="42D26822">
      <w:pPr>
        <w:keepNext w:val="0"/>
        <w:keepLines w:val="0"/>
        <w:pageBreakBefore w:val="0"/>
        <w:widowControl w:val="0"/>
        <w:kinsoku/>
        <w:wordWrap/>
        <w:overflowPunct/>
        <w:topLinePunct w:val="0"/>
        <w:autoSpaceDE/>
        <w:autoSpaceDN/>
        <w:bidi w:val="0"/>
        <w:adjustRightInd/>
        <w:snapToGrid/>
        <w:spacing w:line="500" w:lineRule="exact"/>
        <w:ind w:firstLine="840" w:firstLineChars="4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none" w:color="000000"/>
          <w:lang w:eastAsia="zh-CN"/>
        </w:rPr>
        <w:t>账</w:t>
      </w:r>
      <w:r>
        <w:rPr>
          <w:rFonts w:hint="eastAsia" w:ascii="宋体" w:hAnsi="宋体" w:eastAsia="宋体" w:cs="宋体"/>
          <w:color w:val="auto"/>
          <w:kern w:val="0"/>
          <w:sz w:val="21"/>
          <w:szCs w:val="21"/>
          <w:highlight w:val="none"/>
          <w:u w:val="none" w:color="000000"/>
        </w:rPr>
        <w:t xml:space="preserve">    号：                        </w:t>
      </w:r>
      <w:r>
        <w:rPr>
          <w:rFonts w:hint="eastAsia" w:ascii="宋体" w:hAnsi="宋体" w:eastAsia="宋体" w:cs="宋体"/>
          <w:color w:val="auto"/>
          <w:kern w:val="0"/>
          <w:sz w:val="21"/>
          <w:szCs w:val="21"/>
          <w:highlight w:val="none"/>
          <w:u w:val="none" w:color="000000"/>
          <w:lang w:val="en-US" w:eastAsia="zh-CN"/>
        </w:rPr>
        <w:t xml:space="preserve">        账    号：</w:t>
      </w:r>
    </w:p>
    <w:p w14:paraId="7BB2969A">
      <w:pPr>
        <w:pStyle w:val="2"/>
        <w:rPr>
          <w:color w:val="auto"/>
          <w:highlight w:val="none"/>
        </w:rPr>
      </w:pPr>
    </w:p>
    <w:p w14:paraId="25440442">
      <w:pPr>
        <w:keepNext w:val="0"/>
        <w:keepLines w:val="0"/>
        <w:pageBreakBefore w:val="0"/>
        <w:widowControl w:val="0"/>
        <w:kinsoku/>
        <w:wordWrap/>
        <w:overflowPunct/>
        <w:topLinePunct w:val="0"/>
        <w:autoSpaceDE/>
        <w:autoSpaceDN/>
        <w:bidi w:val="0"/>
        <w:adjustRightInd/>
        <w:spacing w:line="700" w:lineRule="exact"/>
        <w:ind w:firstLine="560" w:firstLineChars="200"/>
        <w:textAlignment w:val="auto"/>
        <w:rPr>
          <w:rFonts w:hint="eastAsia" w:ascii="黑体" w:hAnsi="黑体" w:eastAsia="黑体" w:cs="黑体"/>
          <w:b w:val="0"/>
          <w:bCs/>
          <w:color w:val="auto"/>
          <w:spacing w:val="-20"/>
          <w:kern w:val="2"/>
          <w:sz w:val="32"/>
          <w:szCs w:val="32"/>
          <w:highlight w:val="none"/>
          <w:lang w:val="en-US" w:eastAsia="zh-CN" w:bidi="ar"/>
        </w:rPr>
      </w:pPr>
    </w:p>
    <w:bookmarkEnd w:id="55"/>
    <w:p w14:paraId="7FD3A4EF">
      <w:pPr>
        <w:pageBreakBefore w:val="0"/>
        <w:widowControl/>
        <w:kinsoku/>
        <w:wordWrap/>
        <w:overflowPunct/>
        <w:topLinePunct w:val="0"/>
        <w:autoSpaceDE/>
        <w:autoSpaceDN/>
        <w:bidi w:val="0"/>
        <w:adjustRightInd/>
        <w:spacing w:line="520" w:lineRule="exact"/>
        <w:jc w:val="left"/>
        <w:textAlignment w:val="auto"/>
        <w:rPr>
          <w:rFonts w:ascii="宋体" w:hAnsi="宋体" w:eastAsia="宋体" w:cs="宋体"/>
          <w:color w:val="auto"/>
          <w:kern w:val="0"/>
          <w:szCs w:val="21"/>
          <w:highlight w:val="none"/>
        </w:rPr>
      </w:pPr>
    </w:p>
    <w:p w14:paraId="5CCA1C5A">
      <w:pPr>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lang w:val="en-US" w:eastAsia="zh-CN"/>
        </w:rPr>
        <w:br w:type="page"/>
      </w:r>
    </w:p>
    <w:p w14:paraId="3A93980D">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第六章 投标文件格式</w:t>
      </w:r>
    </w:p>
    <w:p w14:paraId="74EA399F">
      <w:pPr>
        <w:jc w:val="center"/>
        <w:rPr>
          <w:rFonts w:hint="eastAsia" w:ascii="宋体" w:hAnsi="宋体" w:cs="宋体"/>
          <w:color w:val="auto"/>
          <w:sz w:val="20"/>
          <w:highlight w:val="none"/>
        </w:rPr>
      </w:pPr>
    </w:p>
    <w:p w14:paraId="43E5989B">
      <w:pPr>
        <w:jc w:val="center"/>
        <w:rPr>
          <w:rFonts w:hint="eastAsia" w:ascii="宋体" w:hAnsi="宋体" w:cs="宋体"/>
          <w:color w:val="auto"/>
          <w:sz w:val="20"/>
          <w:highlight w:val="none"/>
        </w:rPr>
      </w:pPr>
    </w:p>
    <w:p w14:paraId="2A3FAACD">
      <w:pPr>
        <w:jc w:val="center"/>
        <w:rPr>
          <w:rFonts w:hint="eastAsia" w:ascii="宋体" w:hAnsi="宋体" w:cs="宋体"/>
          <w:color w:val="auto"/>
          <w:sz w:val="32"/>
          <w:szCs w:val="32"/>
          <w:highlight w:val="none"/>
          <w:u w:val="single"/>
        </w:rPr>
      </w:pPr>
    </w:p>
    <w:p w14:paraId="6077112B">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项目名称</w:t>
      </w:r>
    </w:p>
    <w:p w14:paraId="05E427CC">
      <w:pPr>
        <w:rPr>
          <w:rFonts w:hint="eastAsia" w:ascii="宋体" w:hAnsi="宋体" w:cs="宋体"/>
          <w:color w:val="auto"/>
          <w:sz w:val="28"/>
          <w:szCs w:val="28"/>
          <w:highlight w:val="none"/>
        </w:rPr>
      </w:pPr>
    </w:p>
    <w:p w14:paraId="3D7DED2A">
      <w:pPr>
        <w:rPr>
          <w:rFonts w:hint="eastAsia" w:ascii="宋体" w:hAnsi="宋体" w:cs="宋体"/>
          <w:color w:val="auto"/>
          <w:sz w:val="28"/>
          <w:szCs w:val="28"/>
          <w:highlight w:val="none"/>
        </w:rPr>
      </w:pPr>
    </w:p>
    <w:p w14:paraId="00223ECE">
      <w:pPr>
        <w:rPr>
          <w:rFonts w:hint="eastAsia" w:ascii="宋体" w:hAnsi="宋体" w:cs="宋体"/>
          <w:color w:val="auto"/>
          <w:sz w:val="28"/>
          <w:szCs w:val="28"/>
          <w:highlight w:val="none"/>
        </w:rPr>
      </w:pPr>
    </w:p>
    <w:p w14:paraId="22D52DE0">
      <w:pPr>
        <w:rPr>
          <w:rFonts w:hint="eastAsia" w:ascii="宋体" w:hAnsi="宋体" w:cs="宋体"/>
          <w:color w:val="auto"/>
          <w:sz w:val="28"/>
          <w:szCs w:val="28"/>
          <w:highlight w:val="none"/>
        </w:rPr>
      </w:pPr>
    </w:p>
    <w:p w14:paraId="5E52A626">
      <w:pPr>
        <w:rPr>
          <w:rFonts w:hint="eastAsia" w:ascii="宋体" w:hAnsi="宋体" w:cs="宋体"/>
          <w:color w:val="auto"/>
          <w:sz w:val="28"/>
          <w:szCs w:val="28"/>
          <w:highlight w:val="none"/>
        </w:rPr>
      </w:pPr>
    </w:p>
    <w:p w14:paraId="1ED9DBF2">
      <w:pPr>
        <w:rPr>
          <w:rFonts w:hint="eastAsia" w:ascii="宋体" w:hAnsi="宋体" w:cs="宋体"/>
          <w:color w:val="auto"/>
          <w:sz w:val="28"/>
          <w:szCs w:val="28"/>
          <w:highlight w:val="none"/>
        </w:rPr>
      </w:pPr>
    </w:p>
    <w:p w14:paraId="6C92A8B9">
      <w:pPr>
        <w:rPr>
          <w:rFonts w:hint="eastAsia" w:ascii="宋体" w:hAnsi="宋体" w:cs="宋体"/>
          <w:color w:val="auto"/>
          <w:sz w:val="28"/>
          <w:szCs w:val="28"/>
          <w:highlight w:val="none"/>
        </w:rPr>
      </w:pPr>
    </w:p>
    <w:p w14:paraId="302148E3">
      <w:pPr>
        <w:rPr>
          <w:rFonts w:hint="eastAsia" w:ascii="宋体" w:hAnsi="宋体" w:cs="宋体"/>
          <w:color w:val="auto"/>
          <w:sz w:val="28"/>
          <w:szCs w:val="28"/>
          <w:highlight w:val="none"/>
        </w:rPr>
      </w:pPr>
    </w:p>
    <w:p w14:paraId="349652C9">
      <w:pPr>
        <w:pStyle w:val="2"/>
        <w:rPr>
          <w:rFonts w:hint="eastAsia"/>
          <w:color w:val="auto"/>
          <w:highlight w:val="none"/>
        </w:rPr>
      </w:pPr>
    </w:p>
    <w:p w14:paraId="766A23A3">
      <w:pPr>
        <w:rPr>
          <w:rFonts w:hint="eastAsia" w:ascii="宋体" w:hAnsi="宋体" w:cs="宋体"/>
          <w:color w:val="auto"/>
          <w:sz w:val="28"/>
          <w:szCs w:val="28"/>
          <w:highlight w:val="none"/>
        </w:rPr>
      </w:pPr>
    </w:p>
    <w:p w14:paraId="71789342">
      <w:pPr>
        <w:rPr>
          <w:rFonts w:hint="eastAsia" w:ascii="宋体" w:hAnsi="宋体" w:cs="宋体"/>
          <w:color w:val="auto"/>
          <w:sz w:val="28"/>
          <w:szCs w:val="28"/>
          <w:highlight w:val="none"/>
        </w:rPr>
      </w:pPr>
    </w:p>
    <w:p w14:paraId="62E97A07">
      <w:pPr>
        <w:rPr>
          <w:rFonts w:hint="eastAsia" w:ascii="宋体" w:hAnsi="宋体" w:cs="宋体"/>
          <w:color w:val="auto"/>
          <w:sz w:val="28"/>
          <w:szCs w:val="28"/>
          <w:highlight w:val="none"/>
        </w:rPr>
      </w:pPr>
    </w:p>
    <w:p w14:paraId="5F1C3CE6">
      <w:pPr>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rPr>
        <w:t>投标人：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（盖单位章）</w:t>
      </w:r>
    </w:p>
    <w:p w14:paraId="04767578">
      <w:pPr>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法定代表人或其委托代理人：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（签字或盖章）</w:t>
      </w:r>
    </w:p>
    <w:p w14:paraId="230E0C06">
      <w:pPr>
        <w:jc w:val="center"/>
        <w:rPr>
          <w:rFonts w:hint="eastAsia" w:ascii="宋体" w:hAnsi="宋体" w:cs="宋体"/>
          <w:color w:val="auto"/>
          <w:sz w:val="28"/>
          <w:szCs w:val="28"/>
          <w:highlight w:val="none"/>
        </w:rPr>
      </w:pP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p>
    <w:p w14:paraId="1FCCDA65">
      <w:pPr>
        <w:widowControl/>
        <w:spacing w:line="440" w:lineRule="exact"/>
        <w:rPr>
          <w:rFonts w:hint="eastAsia" w:ascii="宋体" w:hAnsi="宋体" w:eastAsia="宋体" w:cs="宋体"/>
          <w:color w:val="auto"/>
          <w:kern w:val="0"/>
          <w:szCs w:val="21"/>
          <w:highlight w:val="none"/>
        </w:rPr>
      </w:pPr>
    </w:p>
    <w:p w14:paraId="166A2441">
      <w:pPr>
        <w:widowControl/>
        <w:spacing w:line="440" w:lineRule="exact"/>
        <w:rPr>
          <w:rFonts w:hint="eastAsia" w:ascii="宋体" w:hAnsi="宋体" w:eastAsia="宋体" w:cs="宋体"/>
          <w:color w:val="auto"/>
          <w:kern w:val="0"/>
          <w:szCs w:val="21"/>
          <w:highlight w:val="none"/>
        </w:rPr>
      </w:pPr>
    </w:p>
    <w:p w14:paraId="69005EB2">
      <w:pPr>
        <w:widowControl/>
        <w:spacing w:line="440" w:lineRule="exact"/>
        <w:rPr>
          <w:rFonts w:hint="eastAsia" w:ascii="宋体" w:hAnsi="宋体" w:eastAsia="宋体" w:cs="宋体"/>
          <w:color w:val="auto"/>
          <w:kern w:val="0"/>
          <w:szCs w:val="21"/>
          <w:highlight w:val="none"/>
        </w:rPr>
      </w:pPr>
    </w:p>
    <w:p w14:paraId="280849B0">
      <w:pPr>
        <w:rPr>
          <w:rFonts w:hint="eastAsia" w:ascii="宋体" w:hAnsi="宋体" w:eastAsia="宋体" w:cs="宋体"/>
          <w:color w:val="auto"/>
          <w:kern w:val="0"/>
          <w:sz w:val="44"/>
          <w:szCs w:val="44"/>
          <w:highlight w:val="none"/>
          <w:lang w:val="en-US" w:eastAsia="zh-CN"/>
        </w:rPr>
      </w:pPr>
      <w:r>
        <w:rPr>
          <w:rFonts w:hint="eastAsia" w:ascii="宋体" w:hAnsi="宋体" w:eastAsia="宋体" w:cs="宋体"/>
          <w:color w:val="auto"/>
          <w:kern w:val="0"/>
          <w:sz w:val="44"/>
          <w:szCs w:val="44"/>
          <w:highlight w:val="none"/>
          <w:lang w:val="en-US" w:eastAsia="zh-CN"/>
        </w:rPr>
        <w:br w:type="page"/>
      </w:r>
    </w:p>
    <w:p w14:paraId="6A7A2C81">
      <w:pPr>
        <w:jc w:val="center"/>
        <w:rPr>
          <w:rFonts w:hint="eastAsia" w:ascii="Times New Roman" w:hAnsi="Times New Roman" w:eastAsia="宋体" w:cs="Times New Roman"/>
          <w:b/>
          <w:color w:val="auto"/>
          <w:sz w:val="36"/>
          <w:szCs w:val="36"/>
          <w:highlight w:val="none"/>
          <w:lang w:val="en-US" w:eastAsia="zh-CN"/>
        </w:rPr>
      </w:pPr>
    </w:p>
    <w:p w14:paraId="12BE891A">
      <w:pPr>
        <w:jc w:val="center"/>
        <w:rPr>
          <w:rFonts w:hint="eastAsia" w:ascii="Times New Roman" w:hAnsi="Times New Roman" w:eastAsia="宋体" w:cs="Times New Roman"/>
          <w:b/>
          <w:color w:val="auto"/>
          <w:sz w:val="36"/>
          <w:szCs w:val="36"/>
          <w:highlight w:val="none"/>
          <w:lang w:val="en-US" w:eastAsia="zh-CN"/>
        </w:rPr>
      </w:pPr>
      <w:r>
        <w:rPr>
          <w:rFonts w:hint="eastAsia" w:ascii="Times New Roman" w:hAnsi="Times New Roman" w:eastAsia="宋体" w:cs="Times New Roman"/>
          <w:b/>
          <w:color w:val="auto"/>
          <w:sz w:val="36"/>
          <w:szCs w:val="36"/>
          <w:highlight w:val="none"/>
          <w:lang w:val="en-US" w:eastAsia="zh-CN"/>
        </w:rPr>
        <w:t>目 录</w:t>
      </w:r>
    </w:p>
    <w:p w14:paraId="1EC3F530">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1.投标人的法定代表人身份证明及其有效身份证或授权委托书及其有效身份证（格式见附件）；</w:t>
      </w:r>
    </w:p>
    <w:p w14:paraId="3590E1E4">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2.企业营业执照；</w:t>
      </w:r>
    </w:p>
    <w:p w14:paraId="30F4EEB0">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3.企业资质证书；</w:t>
      </w:r>
    </w:p>
    <w:p w14:paraId="2716D39B">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4.项目负责人有效身份证及职称证书；</w:t>
      </w:r>
    </w:p>
    <w:p w14:paraId="23B61F58">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5.项目负责人养老保险证明；</w:t>
      </w:r>
    </w:p>
    <w:p w14:paraId="71F0824F">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6.诚信投标承诺书（格式见附件）；</w:t>
      </w:r>
    </w:p>
    <w:p w14:paraId="693E067B">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7.服务承诺书（格式详见附件）；</w:t>
      </w:r>
    </w:p>
    <w:p w14:paraId="5B35B16D">
      <w:pPr>
        <w:spacing w:line="500" w:lineRule="exact"/>
        <w:ind w:firstLine="420" w:firstLineChars="200"/>
        <w:jc w:val="left"/>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8.开标一览表（格式见附件）；</w:t>
      </w:r>
    </w:p>
    <w:p w14:paraId="6339B5DB">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9.投标报价函（格式见附件）；</w:t>
      </w:r>
    </w:p>
    <w:p w14:paraId="1673A214">
      <w:pPr>
        <w:spacing w:line="500" w:lineRule="exact"/>
        <w:ind w:firstLine="420" w:firstLineChars="200"/>
        <w:jc w:val="left"/>
        <w:rPr>
          <w:rFonts w:hint="eastAsia" w:ascii="Times New Roman" w:hAnsi="宋体" w:eastAsia="宋体" w:cs="Times New Roman"/>
          <w:color w:val="auto"/>
          <w:szCs w:val="21"/>
          <w:highlight w:val="none"/>
          <w:lang w:val="en-US" w:eastAsia="zh-CN"/>
        </w:rPr>
      </w:pPr>
      <w:r>
        <w:rPr>
          <w:rFonts w:hint="eastAsia" w:ascii="Times New Roman" w:hAnsi="宋体" w:eastAsia="宋体" w:cs="Times New Roman"/>
          <w:color w:val="auto"/>
          <w:szCs w:val="21"/>
          <w:highlight w:val="none"/>
          <w:lang w:val="en-US" w:eastAsia="zh-CN"/>
        </w:rPr>
        <w:t>10.评分及投标人认为需要提交的其他相关材料。</w:t>
      </w:r>
    </w:p>
    <w:p w14:paraId="3A871FBE">
      <w:pPr>
        <w:spacing w:line="500" w:lineRule="exact"/>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lang w:val="en-US" w:eastAsia="zh-CN"/>
        </w:rPr>
        <w:br w:type="page"/>
      </w:r>
    </w:p>
    <w:p w14:paraId="1F702468">
      <w:pPr>
        <w:spacing w:line="400" w:lineRule="exact"/>
        <w:ind w:firstLine="562" w:firstLineChars="200"/>
        <w:rPr>
          <w:rFonts w:hint="eastAsia" w:ascii="宋体" w:hAnsi="宋体" w:cs="宋体"/>
          <w:b/>
          <w:color w:val="auto"/>
          <w:sz w:val="28"/>
          <w:szCs w:val="28"/>
          <w:highlight w:val="none"/>
        </w:rPr>
      </w:pPr>
      <w:r>
        <w:rPr>
          <w:rFonts w:hint="eastAsia" w:ascii="宋体" w:hAnsi="宋体" w:cs="宋体"/>
          <w:b/>
          <w:color w:val="auto"/>
          <w:sz w:val="28"/>
          <w:szCs w:val="28"/>
          <w:highlight w:val="none"/>
        </w:rPr>
        <w:t>附件1</w:t>
      </w:r>
    </w:p>
    <w:p w14:paraId="2C2FAE2B">
      <w:pPr>
        <w:spacing w:line="360" w:lineRule="auto"/>
        <w:ind w:left="72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法定代表人身份证明或授权委托书</w:t>
      </w:r>
    </w:p>
    <w:p w14:paraId="21AD2AE2">
      <w:pPr>
        <w:pStyle w:val="59"/>
        <w:spacing w:before="312" w:beforeLines="100" w:after="312" w:afterLines="100" w:line="480" w:lineRule="exact"/>
        <w:ind w:firstLine="157" w:firstLineChars="75"/>
        <w:rPr>
          <w:rFonts w:hint="eastAsia" w:ascii="宋体" w:hAnsi="宋体" w:cs="宋体"/>
          <w:b/>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cs="宋体"/>
          <w:color w:val="auto"/>
          <w:sz w:val="21"/>
          <w:szCs w:val="21"/>
          <w:highlight w:val="none"/>
        </w:rPr>
        <w:t>法定代表人身份证明</w:t>
      </w:r>
    </w:p>
    <w:p w14:paraId="347E61A4">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2E9479">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单位性质：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32B8279">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85A44FE">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A8128E6">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7595E00">
      <w:pPr>
        <w:spacing w:line="480" w:lineRule="exact"/>
        <w:ind w:firstLine="345" w:firstLineChars="50"/>
        <w:rPr>
          <w:rFonts w:hint="eastAsia" w:ascii="宋体" w:hAnsi="宋体" w:cs="宋体"/>
          <w:color w:val="auto"/>
          <w:szCs w:val="21"/>
          <w:highlight w:val="none"/>
        </w:rPr>
      </w:pPr>
      <w:r>
        <w:rPr>
          <w:rFonts w:hint="eastAsia" w:ascii="宋体" w:hAnsi="宋体" w:cs="宋体"/>
          <w:color w:val="auto"/>
          <w:spacing w:val="240"/>
          <w:szCs w:val="21"/>
          <w:highlight w:val="none"/>
        </w:rPr>
        <w:t>姓</w:t>
      </w:r>
      <w:r>
        <w:rPr>
          <w:rFonts w:hint="eastAsia" w:ascii="宋体" w:hAnsi="宋体" w:cs="宋体"/>
          <w:color w:val="auto"/>
          <w:szCs w:val="21"/>
          <w:highlight w:val="none"/>
        </w:rPr>
        <w:t>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3EBA774D">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w:t>
      </w:r>
    </w:p>
    <w:p w14:paraId="5B46BEA0">
      <w:pPr>
        <w:spacing w:line="48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39E57879">
      <w:pPr>
        <w:spacing w:line="360" w:lineRule="auto"/>
        <w:ind w:firstLine="3045" w:firstLineChars="14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408DBB3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538F78E6">
      <w:pPr>
        <w:spacing w:before="312" w:beforeLines="100" w:after="312" w:afterLines="100" w:line="480" w:lineRule="exact"/>
        <w:ind w:firstLine="3255" w:firstLineChars="1550"/>
        <w:rPr>
          <w:rFonts w:hint="eastAsia" w:ascii="宋体" w:hAnsi="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cs="宋体"/>
          <w:color w:val="auto"/>
          <w:szCs w:val="21"/>
          <w:highlight w:val="none"/>
        </w:rPr>
        <w:t>授权委托书</w:t>
      </w:r>
    </w:p>
    <w:p w14:paraId="21DCA36C">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本人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（姓名）为我方代理人。代理人根据授权，以我方名义签署、澄清、说明、补正、递交、撤回、修改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项目名称）</w:t>
      </w:r>
      <w:r>
        <w:rPr>
          <w:rFonts w:hint="eastAsia" w:ascii="宋体" w:hAnsi="宋体" w:cs="宋体"/>
          <w:color w:val="auto"/>
          <w:szCs w:val="21"/>
          <w:highlight w:val="none"/>
          <w:lang w:val="en-US" w:eastAsia="zh-CN"/>
        </w:rPr>
        <w:t>投标文件</w:t>
      </w:r>
      <w:r>
        <w:rPr>
          <w:rFonts w:hint="eastAsia" w:ascii="宋体" w:hAnsi="宋体" w:cs="宋体"/>
          <w:color w:val="auto"/>
          <w:szCs w:val="21"/>
          <w:highlight w:val="none"/>
        </w:rPr>
        <w:t>，全权处理与该项目投标、评审答疑、签订合同以及与合同执行有关的一切事务，其法律后果由我方承担。</w:t>
      </w:r>
    </w:p>
    <w:p w14:paraId="31EA1124">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0600FBF">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代理人无转委托权。</w:t>
      </w:r>
    </w:p>
    <w:p w14:paraId="348A12D2">
      <w:pPr>
        <w:spacing w:line="48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附：</w:t>
      </w:r>
      <w:r>
        <w:rPr>
          <w:rFonts w:hint="eastAsia" w:ascii="宋体" w:hAnsi="宋体" w:cs="宋体"/>
          <w:color w:val="auto"/>
          <w:szCs w:val="21"/>
          <w:highlight w:val="none"/>
          <w:lang w:val="en-US" w:eastAsia="zh-CN"/>
        </w:rPr>
        <w:t>法定代表人和授权委托人有效身份证</w:t>
      </w:r>
    </w:p>
    <w:p w14:paraId="2B06420A">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3A019D9">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投标人（盖单位章）：</w:t>
      </w:r>
    </w:p>
    <w:p w14:paraId="191A5024">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法定代表人（身份证号码）：               （签字或盖章）</w:t>
      </w:r>
    </w:p>
    <w:p w14:paraId="36376626">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委托代理人（身份证号码）：               （签字或盖章）</w:t>
      </w:r>
    </w:p>
    <w:p w14:paraId="31AA39B8">
      <w:pPr>
        <w:spacing w:line="480" w:lineRule="exact"/>
        <w:ind w:firstLine="2467" w:firstLineChars="1175"/>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年    月    日</w:t>
      </w:r>
    </w:p>
    <w:p w14:paraId="0244A6BC">
      <w:pPr>
        <w:pStyle w:val="2"/>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cs="宋体"/>
          <w:color w:val="auto"/>
          <w:highlight w:val="none"/>
        </w:rPr>
      </w:pPr>
      <w:r>
        <w:rPr>
          <w:rFonts w:hint="eastAsia" w:ascii="宋体" w:hAnsi="宋体" w:eastAsia="宋体" w:cs="宋体"/>
          <w:b/>
          <w:bCs/>
          <w:color w:val="auto"/>
          <w:kern w:val="0"/>
          <w:sz w:val="24"/>
          <w:highlight w:val="none"/>
        </w:rPr>
        <w:br w:type="page"/>
      </w:r>
      <w:r>
        <w:rPr>
          <w:rFonts w:hint="eastAsia" w:ascii="宋体" w:hAnsi="宋体" w:cs="宋体"/>
          <w:b/>
          <w:color w:val="auto"/>
          <w:sz w:val="28"/>
          <w:szCs w:val="28"/>
          <w:highlight w:val="none"/>
        </w:rPr>
        <w:t>附件2</w:t>
      </w:r>
    </w:p>
    <w:p w14:paraId="004483A6">
      <w:pPr>
        <w:pStyle w:val="8"/>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highlight w:val="none"/>
        </w:rPr>
      </w:pPr>
      <w:bookmarkStart w:id="71" w:name="_Toc63063542"/>
      <w:bookmarkStart w:id="72" w:name="_Toc26746"/>
      <w:r>
        <w:rPr>
          <w:rFonts w:hint="eastAsia" w:ascii="宋体" w:hAnsi="宋体" w:cs="宋体"/>
          <w:color w:val="auto"/>
          <w:highlight w:val="none"/>
        </w:rPr>
        <w:t>诚信投标承诺书</w:t>
      </w:r>
      <w:bookmarkEnd w:id="71"/>
      <w:r>
        <w:rPr>
          <w:rFonts w:hint="eastAsia" w:ascii="宋体" w:hAnsi="宋体" w:cs="宋体"/>
          <w:color w:val="auto"/>
          <w:highlight w:val="none"/>
        </w:rPr>
        <w:t> </w:t>
      </w:r>
      <w:bookmarkEnd w:id="72"/>
    </w:p>
    <w:p w14:paraId="65C910E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本人以企业法定代表人的身份郑重承诺：</w:t>
      </w:r>
    </w:p>
    <w:p w14:paraId="51742AA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一、将遵循公开、公正和诚实信用的原则自愿参加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w:t>
      </w:r>
    </w:p>
    <w:p w14:paraId="5DC1FEC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二、所提供的一切材料都是真实、有效、合法的；</w:t>
      </w:r>
    </w:p>
    <w:p w14:paraId="6D6D1A3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三、不出借、转让资质证书，不让他人挂靠投标，不以他人名义投标或者以其他方式弄虚作假，骗取中标；</w:t>
      </w:r>
    </w:p>
    <w:p w14:paraId="6CBF95A3">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四、不与其他投标人相互串通投标报价，不排挤其他投标人的公平竞争、损害招标人的合法权益；</w:t>
      </w:r>
    </w:p>
    <w:p w14:paraId="548B4D1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五、不与招标人、招标代理机构或其他投标人串通投标，损害国家利益、社会公共利益或者他人的合法权益；</w:t>
      </w:r>
    </w:p>
    <w:p w14:paraId="0ADB0F5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六、</w:t>
      </w:r>
      <w:r>
        <w:rPr>
          <w:rFonts w:hint="eastAsia" w:ascii="宋体" w:hAnsi="宋体"/>
          <w:color w:val="auto"/>
          <w:szCs w:val="21"/>
          <w:highlight w:val="none"/>
          <w:u w:val="none"/>
          <w:lang w:eastAsia="zh-CN"/>
        </w:rPr>
        <w:t>我公司</w:t>
      </w:r>
      <w:r>
        <w:rPr>
          <w:rFonts w:hint="eastAsia" w:ascii="宋体" w:hAnsi="宋体"/>
          <w:color w:val="auto"/>
          <w:szCs w:val="21"/>
          <w:highlight w:val="none"/>
        </w:rPr>
        <w:t>没有下列情形：①被列入“信用中国”网站“失信被执行人”的</w:t>
      </w:r>
      <w:r>
        <w:rPr>
          <w:rFonts w:hint="eastAsia" w:ascii="宋体" w:hAnsi="宋体"/>
          <w:color w:val="auto"/>
          <w:szCs w:val="21"/>
          <w:highlight w:val="none"/>
          <w:lang w:eastAsia="zh-CN"/>
        </w:rPr>
        <w:t>；</w:t>
      </w:r>
      <w:r>
        <w:rPr>
          <w:rFonts w:hint="eastAsia" w:ascii="宋体" w:hAnsi="宋体"/>
          <w:color w:val="auto"/>
          <w:szCs w:val="21"/>
          <w:highlight w:val="none"/>
        </w:rPr>
        <w:t>②被列入“信用中国”网站“重大税收违法失信主体”的；③被列入“信用中国”网站“拖欠农民工工资失信联合惩戒对象名单”的；④被列入“信用中国”网站“</w:t>
      </w:r>
      <w:r>
        <w:rPr>
          <w:rFonts w:hint="eastAsia" w:ascii="Times New Roman" w:hAnsi="Times New Roman"/>
          <w:smallCaps w:val="0"/>
          <w:color w:val="auto"/>
          <w:highlight w:val="none"/>
          <w:lang w:eastAsia="zh-CN"/>
        </w:rPr>
        <w:t>安全生产严重失信主体名单</w:t>
      </w:r>
      <w:r>
        <w:rPr>
          <w:rFonts w:hint="eastAsia" w:ascii="宋体" w:hAnsi="宋体"/>
          <w:color w:val="auto"/>
          <w:szCs w:val="21"/>
          <w:highlight w:val="none"/>
        </w:rPr>
        <w:t>”的；⑤被列入国家企业信用信息公示系统网站“严重违法失信名单”的</w:t>
      </w:r>
      <w:r>
        <w:rPr>
          <w:rFonts w:hint="eastAsia" w:ascii="宋体" w:hAnsi="宋体"/>
          <w:color w:val="auto"/>
          <w:szCs w:val="21"/>
          <w:highlight w:val="none"/>
          <w:lang w:eastAsia="zh-CN"/>
        </w:rPr>
        <w:t>；</w:t>
      </w:r>
    </w:p>
    <w:p w14:paraId="0052658C">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七、严格遵守开标现场纪律，服从监管人员管理；</w:t>
      </w:r>
    </w:p>
    <w:p w14:paraId="54118DA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八、保证企业及所属相关人员在本次投标中无行贿等犯罪行为；</w:t>
      </w:r>
    </w:p>
    <w:p w14:paraId="7EC14D2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九、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EAB5D0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以上内容我已仔细阅读，本公司若有违反承诺内容的行为，自愿依法接受取消投标资格、记入信用档案、取消中标资格等有关处理，愿意承担法律责任，给招标人造成损失的，依法承担赔偿责任。</w:t>
      </w:r>
    </w:p>
    <w:p w14:paraId="0B5B6B1B">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p>
    <w:p w14:paraId="317A43BE">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开户银行：                   基本账户：</w:t>
      </w:r>
    </w:p>
    <w:p w14:paraId="53DE2A2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投标人（盖章）：             法定代表人（签字或盖章）：</w:t>
      </w:r>
    </w:p>
    <w:p w14:paraId="1F9BC07B">
      <w:pPr>
        <w:keepNext w:val="0"/>
        <w:keepLines w:val="0"/>
        <w:pageBreakBefore w:val="0"/>
        <w:widowControl w:val="0"/>
        <w:kinsoku/>
        <w:wordWrap/>
        <w:overflowPunct/>
        <w:topLinePunct w:val="0"/>
        <w:autoSpaceDE/>
        <w:autoSpaceDN/>
        <w:bidi w:val="0"/>
        <w:adjustRightInd/>
        <w:snapToGrid/>
        <w:spacing w:line="460" w:lineRule="exact"/>
        <w:ind w:firstLine="3360" w:firstLineChars="16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月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815D151">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132FC953">
      <w:pPr>
        <w:spacing w:line="360" w:lineRule="auto"/>
        <w:jc w:val="both"/>
        <w:rPr>
          <w:rFonts w:hint="eastAsia" w:eastAsiaTheme="minorEastAsia"/>
          <w:b/>
          <w:color w:val="auto"/>
          <w:sz w:val="28"/>
          <w:szCs w:val="28"/>
          <w:highlight w:val="none"/>
          <w:lang w:val="en-US" w:eastAsia="zh-CN"/>
        </w:rPr>
      </w:pPr>
      <w:r>
        <w:rPr>
          <w:rFonts w:hint="eastAsia" w:ascii="宋体" w:hAnsi="宋体" w:cs="宋体"/>
          <w:b/>
          <w:color w:val="auto"/>
          <w:sz w:val="28"/>
          <w:szCs w:val="28"/>
          <w:highlight w:val="none"/>
        </w:rPr>
        <w:t>附件</w:t>
      </w:r>
      <w:r>
        <w:rPr>
          <w:rFonts w:hint="eastAsia" w:ascii="宋体" w:hAnsi="宋体" w:cs="宋体"/>
          <w:b/>
          <w:color w:val="auto"/>
          <w:sz w:val="28"/>
          <w:szCs w:val="28"/>
          <w:highlight w:val="none"/>
          <w:lang w:val="en-US" w:eastAsia="zh-CN"/>
        </w:rPr>
        <w:t>3</w:t>
      </w:r>
    </w:p>
    <w:p w14:paraId="59CF517B">
      <w:pPr>
        <w:spacing w:line="360" w:lineRule="auto"/>
        <w:jc w:val="center"/>
        <w:rPr>
          <w:rFonts w:ascii="宋体"/>
          <w:b/>
          <w:color w:val="auto"/>
          <w:sz w:val="24"/>
          <w:highlight w:val="none"/>
        </w:rPr>
      </w:pPr>
      <w:r>
        <w:rPr>
          <w:rFonts w:hint="eastAsia"/>
          <w:b/>
          <w:color w:val="auto"/>
          <w:sz w:val="28"/>
          <w:szCs w:val="28"/>
          <w:highlight w:val="none"/>
        </w:rPr>
        <w:t>服务承诺书</w:t>
      </w:r>
    </w:p>
    <w:p w14:paraId="20A6BABD">
      <w:pPr>
        <w:shd w:val="clear" w:color="auto" w:fill="auto"/>
        <w:ind w:firstLine="480" w:firstLineChars="200"/>
        <w:rPr>
          <w:rFonts w:hint="eastAsia" w:ascii="宋体"/>
          <w:color w:val="auto"/>
          <w:sz w:val="24"/>
          <w:highlight w:val="none"/>
        </w:rPr>
      </w:pPr>
    </w:p>
    <w:p w14:paraId="3FA2CC37">
      <w:pPr>
        <w:shd w:val="clear" w:color="auto" w:fill="auto"/>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（招标人）</w:t>
      </w:r>
      <w:r>
        <w:rPr>
          <w:rFonts w:hint="eastAsia" w:ascii="宋体"/>
          <w:color w:val="auto"/>
          <w:sz w:val="24"/>
          <w:highlight w:val="none"/>
        </w:rPr>
        <w:t>：</w:t>
      </w:r>
    </w:p>
    <w:p w14:paraId="15785964">
      <w:pPr>
        <w:shd w:val="clear" w:color="auto" w:fill="auto"/>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（投标人名称）对本招标文件中的所有要求完全响应。若有幸中标将严格按照以上承诺进行服务。</w:t>
      </w:r>
    </w:p>
    <w:p w14:paraId="6B7A5B40">
      <w:pPr>
        <w:shd w:val="clear" w:color="auto" w:fill="auto"/>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64FC823E">
      <w:pPr>
        <w:shd w:val="clear" w:color="auto" w:fill="auto"/>
        <w:spacing w:line="600" w:lineRule="exact"/>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6A0802F6">
      <w:pPr>
        <w:shd w:val="clear" w:color="auto" w:fill="auto"/>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u w:val="single"/>
          <w:lang w:eastAsia="zh-CN"/>
        </w:rPr>
        <w:t>（</w:t>
      </w:r>
      <w:r>
        <w:rPr>
          <w:rFonts w:hint="eastAsia" w:ascii="宋体" w:hAnsi="宋体"/>
          <w:color w:val="auto"/>
          <w:sz w:val="24"/>
          <w:szCs w:val="21"/>
          <w:highlight w:val="none"/>
        </w:rPr>
        <w:t>签章</w:t>
      </w:r>
      <w:r>
        <w:rPr>
          <w:rFonts w:hint="eastAsia" w:ascii="宋体" w:hAnsi="宋体"/>
          <w:color w:val="auto"/>
          <w:sz w:val="24"/>
          <w:szCs w:val="21"/>
          <w:highlight w:val="none"/>
          <w:lang w:eastAsia="zh-CN"/>
        </w:rPr>
        <w:t>）</w:t>
      </w:r>
    </w:p>
    <w:p w14:paraId="241D7E7F">
      <w:pPr>
        <w:shd w:val="clear" w:color="auto" w:fill="auto"/>
        <w:spacing w:line="480" w:lineRule="auto"/>
        <w:jc w:val="right"/>
        <w:rPr>
          <w:rFonts w:hint="eastAsia" w:ascii="宋体" w:hAnsi="宋体"/>
          <w:color w:val="auto"/>
          <w:sz w:val="24"/>
          <w:szCs w:val="21"/>
          <w:highlight w:val="none"/>
          <w:u w:val="singl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p>
    <w:p w14:paraId="205AA4B0">
      <w:pPr>
        <w:rPr>
          <w:rFonts w:hint="eastAsia" w:ascii="宋体" w:hAnsi="宋体"/>
          <w:color w:val="auto"/>
          <w:sz w:val="24"/>
          <w:szCs w:val="21"/>
          <w:highlight w:val="none"/>
          <w:u w:val="single"/>
        </w:rPr>
      </w:pPr>
      <w:r>
        <w:rPr>
          <w:rFonts w:hint="eastAsia" w:ascii="宋体" w:hAnsi="宋体"/>
          <w:color w:val="auto"/>
          <w:sz w:val="24"/>
          <w:szCs w:val="21"/>
          <w:highlight w:val="none"/>
          <w:u w:val="single"/>
        </w:rPr>
        <w:br w:type="page"/>
      </w:r>
    </w:p>
    <w:p w14:paraId="3078D0F0">
      <w:pPr>
        <w:rPr>
          <w:rFonts w:hint="default" w:ascii="宋体" w:hAnsi="宋体" w:eastAsia="宋体" w:cs="宋体"/>
          <w:b/>
          <w:bCs/>
          <w:color w:val="auto"/>
          <w:kern w:val="2"/>
          <w:sz w:val="32"/>
          <w:szCs w:val="32"/>
          <w:highlight w:val="none"/>
          <w:lang w:val="en-US" w:eastAsia="zh-CN" w:bidi="ar-SA"/>
        </w:rPr>
      </w:pPr>
      <w:r>
        <w:rPr>
          <w:rFonts w:hint="eastAsia" w:ascii="宋体" w:hAnsi="宋体" w:cs="宋体"/>
          <w:b/>
          <w:color w:val="auto"/>
          <w:sz w:val="28"/>
          <w:szCs w:val="28"/>
          <w:highlight w:val="none"/>
        </w:rPr>
        <w:t>附件</w:t>
      </w:r>
      <w:r>
        <w:rPr>
          <w:rFonts w:hint="eastAsia" w:ascii="宋体" w:hAnsi="宋体" w:cs="宋体"/>
          <w:b/>
          <w:color w:val="auto"/>
          <w:sz w:val="28"/>
          <w:szCs w:val="28"/>
          <w:highlight w:val="none"/>
          <w:lang w:val="en-US" w:eastAsia="zh-CN"/>
        </w:rPr>
        <w:t>4</w:t>
      </w:r>
    </w:p>
    <w:p w14:paraId="10197C38">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0870403D">
      <w:pPr>
        <w:spacing w:line="360" w:lineRule="exact"/>
        <w:ind w:firstLine="354" w:firstLineChars="147"/>
        <w:rPr>
          <w:rFonts w:hint="eastAsia" w:ascii="宋体"/>
          <w:b/>
          <w:color w:val="auto"/>
          <w:sz w:val="24"/>
          <w:highlight w:val="none"/>
        </w:rPr>
      </w:pPr>
    </w:p>
    <w:p w14:paraId="1208517F">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9F12BE1">
      <w:pPr>
        <w:snapToGrid w:val="0"/>
        <w:spacing w:line="460" w:lineRule="exact"/>
        <w:ind w:left="2940" w:leftChars="1400" w:firstLine="720" w:firstLineChars="300"/>
        <w:rPr>
          <w:rFonts w:hint="eastAsia" w:ascii="宋体"/>
          <w:color w:val="auto"/>
          <w:sz w:val="24"/>
          <w:highlight w:val="none"/>
        </w:rPr>
      </w:pP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4404A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6FFF4C7B">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37A83495">
            <w:pPr>
              <w:spacing w:line="360" w:lineRule="auto"/>
              <w:jc w:val="left"/>
              <w:rPr>
                <w:rFonts w:hint="eastAsia"/>
                <w:color w:val="auto"/>
                <w:sz w:val="24"/>
                <w:highlight w:val="none"/>
              </w:rPr>
            </w:pPr>
            <w:r>
              <w:rPr>
                <w:rFonts w:hint="eastAsia"/>
                <w:color w:val="auto"/>
                <w:sz w:val="24"/>
                <w:highlight w:val="none"/>
              </w:rPr>
              <w:t xml:space="preserve">         </w:t>
            </w:r>
          </w:p>
        </w:tc>
      </w:tr>
      <w:tr w14:paraId="17D55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71070668">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3845560D">
            <w:pPr>
              <w:rPr>
                <w:rFonts w:hint="eastAsia" w:ascii="宋体"/>
                <w:color w:val="auto"/>
                <w:sz w:val="24"/>
                <w:highlight w:val="none"/>
              </w:rPr>
            </w:pPr>
          </w:p>
        </w:tc>
      </w:tr>
      <w:tr w14:paraId="541DA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3EEE56DD">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37F07D5A">
            <w:pPr>
              <w:pStyle w:val="15"/>
              <w:spacing w:line="460" w:lineRule="exact"/>
              <w:ind w:left="86" w:leftChars="41"/>
              <w:rPr>
                <w:rFonts w:hint="eastAsia" w:ascii="宋体" w:eastAsia="宋体"/>
                <w:color w:val="auto"/>
                <w:sz w:val="24"/>
                <w:szCs w:val="24"/>
                <w:highlight w:val="none"/>
              </w:rPr>
            </w:pPr>
          </w:p>
        </w:tc>
      </w:tr>
      <w:tr w14:paraId="5239E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1DC26B0F">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CFA899F">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rPr>
            </w:pPr>
            <w:r>
              <w:rPr>
                <w:rFonts w:hint="eastAsia" w:ascii="宋体"/>
                <w:color w:val="auto"/>
                <w:sz w:val="24"/>
                <w:highlight w:val="none"/>
              </w:rPr>
              <w:t>投标报价 （大写）：</w:t>
            </w:r>
            <w:r>
              <w:rPr>
                <w:rFonts w:hint="eastAsia" w:ascii="宋体"/>
                <w:color w:val="auto"/>
                <w:sz w:val="24"/>
                <w:highlight w:val="none"/>
                <w:u w:val="single"/>
              </w:rPr>
              <w:t xml:space="preserve">                   </w:t>
            </w:r>
            <w:r>
              <w:rPr>
                <w:rFonts w:hint="eastAsia" w:ascii="宋体"/>
                <w:color w:val="auto"/>
                <w:sz w:val="24"/>
                <w:highlight w:val="none"/>
              </w:rPr>
              <w:t>；</w:t>
            </w:r>
          </w:p>
          <w:p w14:paraId="3D0C2DB1">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rPr>
            </w:pPr>
            <w:r>
              <w:rPr>
                <w:rFonts w:hint="eastAsia" w:ascii="宋体"/>
                <w:color w:val="auto"/>
                <w:sz w:val="24"/>
                <w:highlight w:val="none"/>
                <w:lang w:eastAsia="zh-CN"/>
              </w:rPr>
              <w:t>（</w:t>
            </w:r>
            <w:r>
              <w:rPr>
                <w:rFonts w:hint="eastAsia" w:ascii="宋体"/>
                <w:color w:val="auto"/>
                <w:sz w:val="24"/>
                <w:highlight w:val="none"/>
              </w:rPr>
              <w:t>小写</w:t>
            </w:r>
            <w:r>
              <w:rPr>
                <w:rFonts w:hint="eastAsia" w:ascii="宋体"/>
                <w:color w:val="auto"/>
                <w:sz w:val="24"/>
                <w:highlight w:val="none"/>
                <w:lang w:eastAsia="zh-CN"/>
              </w:rPr>
              <w:t>）</w:t>
            </w: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w:t>
            </w:r>
          </w:p>
          <w:p w14:paraId="1F0D0799">
            <w:pPr>
              <w:keepNext w:val="0"/>
              <w:keepLines w:val="0"/>
              <w:pageBreakBefore w:val="0"/>
              <w:widowControl w:val="0"/>
              <w:kinsoku/>
              <w:wordWrap/>
              <w:overflowPunct/>
              <w:topLinePunct w:val="0"/>
              <w:autoSpaceDE/>
              <w:autoSpaceDN/>
              <w:bidi w:val="0"/>
              <w:adjustRightInd/>
              <w:snapToGrid/>
              <w:spacing w:line="900" w:lineRule="exact"/>
              <w:textAlignment w:val="auto"/>
              <w:rPr>
                <w:rFonts w:hint="default"/>
                <w:color w:val="auto"/>
                <w:sz w:val="24"/>
                <w:highlight w:val="none"/>
                <w:lang w:val="en-US"/>
              </w:rPr>
            </w:pPr>
            <w:r>
              <w:rPr>
                <w:rFonts w:hint="eastAsia" w:ascii="宋体"/>
                <w:color w:val="auto"/>
                <w:sz w:val="24"/>
                <w:highlight w:val="none"/>
                <w:lang w:val="en-US" w:eastAsia="zh-CN"/>
              </w:rPr>
              <w:t>服务期</w:t>
            </w:r>
            <w:r>
              <w:rPr>
                <w:rFonts w:hint="eastAsia" w:ascii="宋体"/>
                <w:color w:val="auto"/>
                <w:sz w:val="24"/>
                <w:highlight w:val="none"/>
              </w:rPr>
              <w:t>：</w:t>
            </w:r>
            <w:r>
              <w:rPr>
                <w:rFonts w:hint="eastAsia" w:ascii="宋体" w:hAnsi="宋体" w:cs="宋体"/>
                <w:color w:val="auto"/>
                <w:sz w:val="22"/>
                <w:szCs w:val="22"/>
                <w:highlight w:val="none"/>
                <w:lang w:val="en-US" w:eastAsia="zh-CN"/>
              </w:rPr>
              <w:t>响应招标文件要求。</w:t>
            </w:r>
          </w:p>
        </w:tc>
      </w:tr>
    </w:tbl>
    <w:p w14:paraId="6CDE8AE6">
      <w:pPr>
        <w:snapToGrid w:val="0"/>
        <w:spacing w:line="460" w:lineRule="exact"/>
        <w:ind w:left="2940" w:leftChars="1400" w:firstLine="723" w:firstLineChars="300"/>
        <w:rPr>
          <w:rFonts w:hint="eastAsia" w:ascii="宋体"/>
          <w:b/>
          <w:color w:val="auto"/>
          <w:sz w:val="24"/>
          <w:highlight w:val="none"/>
        </w:rPr>
      </w:pPr>
    </w:p>
    <w:p w14:paraId="37E88748">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59B6C7D4">
      <w:pPr>
        <w:snapToGrid w:val="0"/>
        <w:spacing w:before="312" w:beforeLines="100" w:after="312" w:afterLines="100" w:line="360" w:lineRule="auto"/>
        <w:jc w:val="center"/>
        <w:rPr>
          <w:rFonts w:cs="Arial"/>
          <w:b/>
          <w:bCs/>
          <w:color w:val="auto"/>
          <w:sz w:val="30"/>
          <w:szCs w:val="30"/>
          <w:highlight w:val="none"/>
        </w:rPr>
        <w:sectPr>
          <w:pgSz w:w="11906" w:h="16838"/>
          <w:pgMar w:top="1417" w:right="1247" w:bottom="1417" w:left="1247" w:header="851" w:footer="992" w:gutter="0"/>
          <w:pgNumType w:fmt="numberInDash"/>
          <w:cols w:space="0" w:num="1"/>
          <w:rtlGutter w:val="0"/>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r>
        <w:rPr>
          <w:rFonts w:hint="eastAsia" w:ascii="宋体"/>
          <w:color w:val="auto"/>
          <w:sz w:val="24"/>
          <w:highlight w:val="none"/>
        </w:rPr>
        <w:t>日</w:t>
      </w:r>
    </w:p>
    <w:p w14:paraId="076F62BC">
      <w:pPr>
        <w:rPr>
          <w:rFonts w:hint="default" w:ascii="宋体" w:hAnsi="宋体" w:eastAsia="宋体" w:cs="宋体"/>
          <w:b/>
          <w:bCs/>
          <w:color w:val="auto"/>
          <w:kern w:val="2"/>
          <w:sz w:val="32"/>
          <w:szCs w:val="32"/>
          <w:highlight w:val="none"/>
          <w:lang w:val="en-US" w:eastAsia="zh-CN" w:bidi="ar-SA"/>
        </w:rPr>
      </w:pPr>
      <w:r>
        <w:rPr>
          <w:rFonts w:hint="eastAsia" w:ascii="宋体" w:hAnsi="宋体" w:cs="宋体"/>
          <w:b/>
          <w:color w:val="auto"/>
          <w:sz w:val="28"/>
          <w:szCs w:val="28"/>
          <w:highlight w:val="none"/>
        </w:rPr>
        <w:t>附件</w:t>
      </w:r>
      <w:r>
        <w:rPr>
          <w:rFonts w:hint="eastAsia" w:ascii="宋体" w:hAnsi="宋体" w:cs="宋体"/>
          <w:b/>
          <w:color w:val="auto"/>
          <w:sz w:val="28"/>
          <w:szCs w:val="28"/>
          <w:highlight w:val="none"/>
          <w:lang w:val="en-US" w:eastAsia="zh-CN"/>
        </w:rPr>
        <w:t>5</w:t>
      </w:r>
    </w:p>
    <w:p w14:paraId="05BC4DC2">
      <w:pPr>
        <w:keepNext w:val="0"/>
        <w:keepLines w:val="0"/>
        <w:pageBreakBefore w:val="0"/>
        <w:widowControl w:val="0"/>
        <w:kinsoku/>
        <w:wordWrap/>
        <w:overflowPunct/>
        <w:topLinePunct w:val="0"/>
        <w:autoSpaceDE/>
        <w:autoSpaceDN/>
        <w:bidi w:val="0"/>
        <w:adjustRightInd/>
        <w:snapToGrid/>
        <w:spacing w:before="95" w:beforeLines="30" w:after="95" w:afterLines="30" w:line="5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投标报价函</w:t>
      </w:r>
    </w:p>
    <w:p w14:paraId="3770F825">
      <w:pPr>
        <w:spacing w:line="600" w:lineRule="exact"/>
        <w:jc w:val="left"/>
        <w:rPr>
          <w:rFonts w:ascii="宋体" w:hAnsi="宋体" w:eastAsia="宋体" w:cs="宋体"/>
          <w:b/>
          <w:color w:val="auto"/>
          <w:szCs w:val="21"/>
          <w:highlight w:val="none"/>
        </w:rPr>
      </w:pPr>
      <w:r>
        <w:rPr>
          <w:rFonts w:hint="eastAsia" w:ascii="宋体" w:hAnsi="宋体" w:eastAsia="宋体" w:cs="宋体"/>
          <w:b/>
          <w:color w:val="auto"/>
          <w:szCs w:val="21"/>
          <w:highlight w:val="none"/>
        </w:rPr>
        <w:t>致</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u w:val="single"/>
        </w:rPr>
        <w:t xml:space="preserve">         （招标人）      </w:t>
      </w:r>
      <w:r>
        <w:rPr>
          <w:rFonts w:hint="eastAsia" w:ascii="宋体" w:hAnsi="宋体" w:eastAsia="宋体" w:cs="宋体"/>
          <w:b/>
          <w:color w:val="auto"/>
          <w:szCs w:val="21"/>
          <w:highlight w:val="none"/>
        </w:rPr>
        <w:t>：</w:t>
      </w:r>
    </w:p>
    <w:p w14:paraId="707DB49F">
      <w:pPr>
        <w:spacing w:line="60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根据你方招标项目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项目招标文件，遵照《中华人民共和国招标投标法》等有关规定，经踏勘项目现场和研究上述招标文件的投标须知、合同条件、技术规范和其他有关文件后，我方愿以</w:t>
      </w:r>
      <w:r>
        <w:rPr>
          <w:rFonts w:hint="eastAsia" w:ascii="宋体" w:hAnsi="宋体" w:eastAsia="宋体" w:cs="宋体"/>
          <w:color w:val="auto"/>
          <w:szCs w:val="21"/>
          <w:highlight w:val="none"/>
          <w:u w:val="single"/>
        </w:rPr>
        <w:t xml:space="preserve"> （大写）                     （小写）            元</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投标总报价</w:t>
      </w:r>
      <w:r>
        <w:rPr>
          <w:rFonts w:hint="eastAsia" w:ascii="宋体" w:hAnsi="宋体" w:eastAsia="宋体" w:cs="宋体"/>
          <w:color w:val="auto"/>
          <w:szCs w:val="21"/>
          <w:highlight w:val="none"/>
        </w:rPr>
        <w:t>完成本合同的服务，并承诺按相关规定完成招标文件规定该项目的全部工作。</w:t>
      </w:r>
    </w:p>
    <w:p w14:paraId="7E506E6C">
      <w:pPr>
        <w:spacing w:line="600" w:lineRule="exact"/>
        <w:ind w:firstLine="412" w:firstLineChars="200"/>
        <w:jc w:val="left"/>
        <w:rPr>
          <w:rFonts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eastAsia="zh-CN"/>
        </w:rPr>
        <w:t>2.</w:t>
      </w:r>
      <w:r>
        <w:rPr>
          <w:rFonts w:hint="eastAsia" w:ascii="宋体" w:hAnsi="宋体" w:eastAsia="宋体" w:cs="宋体"/>
          <w:color w:val="auto"/>
          <w:spacing w:val="-2"/>
          <w:szCs w:val="21"/>
          <w:highlight w:val="none"/>
        </w:rPr>
        <w:t>我方已详细审核全部招标文件及有关附件，承诺招标文件及有关附件中所有条款。</w:t>
      </w:r>
    </w:p>
    <w:p w14:paraId="4302E6C7">
      <w:pPr>
        <w:spacing w:line="600" w:lineRule="exact"/>
        <w:ind w:firstLine="412" w:firstLineChars="200"/>
        <w:jc w:val="left"/>
        <w:rPr>
          <w:rFonts w:ascii="宋体" w:hAnsi="宋体" w:eastAsia="宋体" w:cs="宋体"/>
          <w:color w:val="auto"/>
          <w:szCs w:val="21"/>
          <w:highlight w:val="none"/>
        </w:rPr>
      </w:pPr>
      <w:r>
        <w:rPr>
          <w:rFonts w:hint="eastAsia" w:ascii="宋体" w:hAnsi="宋体" w:eastAsia="宋体" w:cs="宋体"/>
          <w:color w:val="auto"/>
          <w:spacing w:val="-2"/>
          <w:szCs w:val="21"/>
          <w:highlight w:val="none"/>
          <w:lang w:eastAsia="zh-CN"/>
        </w:rPr>
        <w:t>3.</w:t>
      </w:r>
      <w:r>
        <w:rPr>
          <w:rFonts w:hint="eastAsia" w:ascii="宋体" w:hAnsi="宋体" w:eastAsia="宋体" w:cs="宋体"/>
          <w:color w:val="auto"/>
          <w:spacing w:val="-2"/>
          <w:szCs w:val="21"/>
          <w:highlight w:val="none"/>
        </w:rPr>
        <w:t>一旦我方中标，我方将派出</w:t>
      </w:r>
      <w:r>
        <w:rPr>
          <w:rFonts w:hint="eastAsia" w:ascii="宋体" w:hAnsi="宋体" w:eastAsia="宋体" w:cs="宋体"/>
          <w:color w:val="auto"/>
          <w:spacing w:val="-2"/>
          <w:szCs w:val="21"/>
          <w:highlight w:val="none"/>
          <w:u w:val="single"/>
        </w:rPr>
        <w:t xml:space="preserve">           </w:t>
      </w:r>
      <w:r>
        <w:rPr>
          <w:rFonts w:hint="eastAsia" w:ascii="宋体" w:hAnsi="宋体" w:eastAsia="宋体" w:cs="宋体"/>
          <w:color w:val="auto"/>
          <w:spacing w:val="-2"/>
          <w:szCs w:val="21"/>
          <w:highlight w:val="none"/>
        </w:rPr>
        <w:t>为本项目负责人，保证按照项目单位要求开始本项目的所有工作，并在规定时间内完成本合同的工作内容，并符合国家及行业现行相关标准和规范。</w:t>
      </w:r>
    </w:p>
    <w:p w14:paraId="4A0A99D8">
      <w:pPr>
        <w:spacing w:line="600" w:lineRule="exact"/>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我方愿意提供贵单位可能另外要求的、与投标有关的文件资料，并保证我方已提供和将要提供的文件是真实的、准确的。</w:t>
      </w:r>
    </w:p>
    <w:p w14:paraId="60C5069D">
      <w:pPr>
        <w:spacing w:line="60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5.投标人提供如下通讯地址：</w:t>
      </w:r>
      <w:r>
        <w:rPr>
          <w:rFonts w:hint="eastAsia" w:ascii="宋体" w:hAnsi="宋体" w:eastAsia="宋体" w:cs="宋体"/>
          <w:color w:val="auto"/>
          <w:szCs w:val="21"/>
          <w:highlight w:val="none"/>
          <w:u w:val="single"/>
          <w:lang w:val="en-US" w:eastAsia="zh-CN"/>
        </w:rPr>
        <w:t xml:space="preserve">电子邮箱                       </w:t>
      </w:r>
      <w:r>
        <w:rPr>
          <w:rFonts w:hint="eastAsia" w:ascii="宋体" w:hAnsi="宋体" w:eastAsia="宋体" w:cs="宋体"/>
          <w:color w:val="auto"/>
          <w:szCs w:val="21"/>
          <w:highlight w:val="none"/>
          <w:lang w:val="en-US" w:eastAsia="zh-CN"/>
        </w:rPr>
        <w:t>，投标人确认本项目相关法律文书均通过投标人提供的以上地址送达，相关文书只要发送至以上电子邮箱（地址）即视为送达，投标人愿意承担一切法律后果。</w:t>
      </w:r>
    </w:p>
    <w:p w14:paraId="3C9C949A">
      <w:pPr>
        <w:spacing w:after="120" w:line="360" w:lineRule="auto"/>
        <w:ind w:left="420" w:leftChars="200" w:firstLine="420" w:firstLineChars="200"/>
        <w:rPr>
          <w:rFonts w:ascii="宋体" w:hAnsi="Times New Roman" w:eastAsia="宋体" w:cs="Times New Roman"/>
          <w:color w:val="auto"/>
          <w:szCs w:val="20"/>
          <w:highlight w:val="none"/>
        </w:rPr>
      </w:pPr>
    </w:p>
    <w:p w14:paraId="44841CB4">
      <w:pPr>
        <w:spacing w:line="600" w:lineRule="exact"/>
        <w:ind w:firstLine="3240" w:firstLineChars="1537"/>
        <w:jc w:val="left"/>
        <w:rPr>
          <w:rFonts w:ascii="宋体" w:hAnsi="宋体" w:eastAsia="宋体" w:cs="宋体"/>
          <w:b/>
          <w:color w:val="auto"/>
          <w:szCs w:val="21"/>
          <w:highlight w:val="none"/>
        </w:rPr>
      </w:pPr>
    </w:p>
    <w:p w14:paraId="33D8F03D">
      <w:pPr>
        <w:spacing w:line="600" w:lineRule="exact"/>
        <w:ind w:firstLine="2293" w:firstLineChars="1092"/>
        <w:jc w:val="left"/>
        <w:rPr>
          <w:rFonts w:ascii="宋体" w:hAnsi="宋体" w:eastAsia="宋体" w:cs="宋体"/>
          <w:color w:val="auto"/>
          <w:szCs w:val="21"/>
          <w:highlight w:val="none"/>
        </w:rPr>
      </w:pPr>
      <w:r>
        <w:rPr>
          <w:rFonts w:hint="eastAsia" w:ascii="宋体" w:hAnsi="宋体" w:eastAsia="宋体" w:cs="宋体"/>
          <w:color w:val="auto"/>
          <w:szCs w:val="21"/>
          <w:highlight w:val="none"/>
        </w:rPr>
        <w:t>单位名称：</w:t>
      </w:r>
      <w:r>
        <w:rPr>
          <w:rFonts w:hint="eastAsia" w:ascii="宋体" w:hAnsi="宋体" w:eastAsia="宋体" w:cs="宋体"/>
          <w:color w:val="auto"/>
          <w:szCs w:val="21"/>
          <w:highlight w:val="none"/>
          <w:u w:val="single"/>
        </w:rPr>
        <w:t xml:space="preserve">                  （公    章）   </w:t>
      </w:r>
    </w:p>
    <w:p w14:paraId="6FE40895">
      <w:pPr>
        <w:spacing w:line="600" w:lineRule="exact"/>
        <w:ind w:firstLine="2293" w:firstLineChars="1092"/>
        <w:jc w:val="left"/>
        <w:rPr>
          <w:rFonts w:ascii="宋体" w:hAnsi="宋体" w:eastAsia="宋体" w:cs="宋体"/>
          <w:color w:val="auto"/>
          <w:szCs w:val="21"/>
          <w:highlight w:val="none"/>
          <w:u w:val="single"/>
        </w:rPr>
      </w:pPr>
      <w:r>
        <w:rPr>
          <w:rFonts w:hint="eastAsia" w:ascii="宋体" w:hAnsi="宋体" w:eastAsia="宋体" w:cs="宋体"/>
          <w:bCs/>
          <w:color w:val="auto"/>
          <w:szCs w:val="21"/>
          <w:highlight w:val="none"/>
        </w:rPr>
        <w:t>法定代表人或其委托代理人签名</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6E423368">
      <w:pPr>
        <w:spacing w:line="60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日    期：</w:t>
      </w:r>
      <w:r>
        <w:rPr>
          <w:rFonts w:hint="eastAsia" w:ascii="宋体" w:hAnsi="宋体" w:eastAsia="宋体" w:cs="宋体"/>
          <w:color w:val="auto"/>
          <w:szCs w:val="21"/>
          <w:highlight w:val="none"/>
          <w:u w:val="single"/>
        </w:rPr>
        <w:t xml:space="preserve">                                 </w:t>
      </w:r>
    </w:p>
    <w:p w14:paraId="5C830A01">
      <w:pPr>
        <w:spacing w:line="600" w:lineRule="exact"/>
        <w:ind w:firstLine="2310" w:firstLineChars="1100"/>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通讯地址：</w:t>
      </w:r>
      <w:r>
        <w:rPr>
          <w:rFonts w:hint="eastAsia" w:ascii="宋体" w:hAnsi="宋体" w:eastAsia="宋体" w:cs="宋体"/>
          <w:color w:val="auto"/>
          <w:szCs w:val="21"/>
          <w:highlight w:val="none"/>
          <w:u w:val="single"/>
        </w:rPr>
        <w:t xml:space="preserve">                                 </w:t>
      </w:r>
    </w:p>
    <w:p w14:paraId="4360B3B6">
      <w:pPr>
        <w:spacing w:line="600" w:lineRule="exact"/>
        <w:ind w:firstLine="2310" w:firstLineChars="1100"/>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   话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38478E2A">
      <w:pP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br w:type="page"/>
      </w:r>
    </w:p>
    <w:p w14:paraId="2D431D37">
      <w:pPr>
        <w:keepNext w:val="0"/>
        <w:keepLines w:val="0"/>
        <w:pageBreakBefore w:val="0"/>
        <w:widowControl w:val="0"/>
        <w:kinsoku/>
        <w:wordWrap/>
        <w:overflowPunct/>
        <w:topLinePunct w:val="0"/>
        <w:autoSpaceDE/>
        <w:autoSpaceDN/>
        <w:bidi w:val="0"/>
        <w:adjustRightInd w:val="0"/>
        <w:snapToGrid w:val="0"/>
        <w:spacing w:before="156" w:beforeLines="50" w:after="156" w:afterLines="50" w:line="520" w:lineRule="exact"/>
        <w:ind w:left="0" w:leftChars="0" w:right="0" w:rightChars="0" w:firstLine="0" w:firstLineChars="0"/>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招标单位、招标代理机构对本招标文件的确认</w:t>
      </w:r>
    </w:p>
    <w:tbl>
      <w:tblPr>
        <w:tblStyle w:val="21"/>
        <w:tblW w:w="94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6"/>
      </w:tblGrid>
      <w:tr w14:paraId="0364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1" w:hRule="atLeast"/>
        </w:trPr>
        <w:tc>
          <w:tcPr>
            <w:tcW w:w="9456" w:type="dxa"/>
          </w:tcPr>
          <w:p w14:paraId="711E8CFA">
            <w:pPr>
              <w:spacing w:line="320" w:lineRule="atLeast"/>
              <w:ind w:firstLine="560" w:firstLineChars="200"/>
              <w:rPr>
                <w:rFonts w:hint="eastAsia" w:ascii="宋体" w:hAnsi="宋体" w:eastAsia="宋体" w:cs="宋体"/>
                <w:color w:val="auto"/>
                <w:sz w:val="28"/>
                <w:szCs w:val="28"/>
                <w:highlight w:val="none"/>
              </w:rPr>
            </w:pPr>
          </w:p>
          <w:p w14:paraId="5D0AC9C9">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我单位对</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eastAsia="zh-CN"/>
              </w:rPr>
              <w:t>中新苏滁高新区（未来产业园）智能制造工业坊基坑监测服务项目</w:t>
            </w:r>
            <w:r>
              <w:rPr>
                <w:rFonts w:hint="eastAsia" w:ascii="宋体" w:hAnsi="宋体" w:eastAsia="宋体" w:cs="宋体"/>
                <w:color w:val="auto"/>
                <w:sz w:val="28"/>
                <w:szCs w:val="28"/>
                <w:highlight w:val="none"/>
              </w:rPr>
              <w:t>的招标文件进行确认。</w:t>
            </w:r>
          </w:p>
          <w:p w14:paraId="7D9CD28B">
            <w:pPr>
              <w:spacing w:line="320" w:lineRule="atLeast"/>
              <w:ind w:firstLine="560" w:firstLineChars="200"/>
              <w:rPr>
                <w:rFonts w:hint="eastAsia" w:ascii="宋体" w:hAnsi="宋体" w:eastAsia="宋体" w:cs="宋体"/>
                <w:color w:val="auto"/>
                <w:sz w:val="28"/>
                <w:szCs w:val="28"/>
                <w:highlight w:val="none"/>
              </w:rPr>
            </w:pPr>
          </w:p>
          <w:p w14:paraId="628002D2">
            <w:pPr>
              <w:spacing w:line="320" w:lineRule="atLeast"/>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招标人：</w:t>
            </w:r>
            <w:r>
              <w:rPr>
                <w:rFonts w:hint="eastAsia" w:ascii="宋体" w:hAnsi="宋体" w:cs="宋体"/>
                <w:color w:val="auto"/>
                <w:sz w:val="28"/>
                <w:szCs w:val="28"/>
                <w:highlight w:val="none"/>
                <w:lang w:eastAsia="zh-CN"/>
              </w:rPr>
              <w:t xml:space="preserve">滁州苏滁产城开发有限公司 </w:t>
            </w:r>
            <w:r>
              <w:rPr>
                <w:rFonts w:hint="eastAsia" w:ascii="宋体" w:hAnsi="宋体" w:eastAsia="宋体" w:cs="宋体"/>
                <w:color w:val="auto"/>
                <w:sz w:val="28"/>
                <w:szCs w:val="28"/>
                <w:highlight w:val="none"/>
                <w:lang w:eastAsia="zh-CN"/>
              </w:rPr>
              <w:t xml:space="preserve"> </w:t>
            </w:r>
          </w:p>
          <w:p w14:paraId="625B03CC">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val="en-US" w:eastAsia="zh-CN"/>
              </w:rPr>
              <w:t>李工</w:t>
            </w:r>
          </w:p>
          <w:p w14:paraId="4E196258">
            <w:pPr>
              <w:spacing w:line="320" w:lineRule="atLeast"/>
              <w:ind w:firstLine="560" w:firstLineChars="200"/>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cs="宋体"/>
                <w:color w:val="auto"/>
                <w:sz w:val="28"/>
                <w:szCs w:val="28"/>
                <w:highlight w:val="none"/>
                <w:lang w:val="en-US" w:eastAsia="zh-CN"/>
              </w:rPr>
              <w:t>0550-3026900</w:t>
            </w:r>
          </w:p>
          <w:p w14:paraId="59B173D3">
            <w:pPr>
              <w:pStyle w:val="2"/>
              <w:rPr>
                <w:rFonts w:hint="eastAsia"/>
                <w:color w:val="auto"/>
                <w:highlight w:val="none"/>
              </w:rPr>
            </w:pPr>
          </w:p>
          <w:p w14:paraId="37F995C3">
            <w:pPr>
              <w:spacing w:line="500" w:lineRule="exact"/>
              <w:ind w:firstLine="281" w:firstLineChars="100"/>
              <w:rPr>
                <w:rFonts w:hint="eastAsia" w:ascii="宋体" w:hAnsi="宋体" w:eastAsia="宋体" w:cs="宋体"/>
                <w:b/>
                <w:bCs/>
                <w:color w:val="auto"/>
                <w:sz w:val="28"/>
                <w:szCs w:val="28"/>
                <w:highlight w:val="none"/>
              </w:rPr>
            </w:pPr>
          </w:p>
          <w:p w14:paraId="4D893EA2">
            <w:pPr>
              <w:spacing w:line="5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（单位盖章）</w:t>
            </w:r>
          </w:p>
          <w:p w14:paraId="60FF219D">
            <w:pPr>
              <w:ind w:firstLine="5320" w:firstLineChars="19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9</w:t>
            </w:r>
            <w:r>
              <w:rPr>
                <w:rFonts w:hint="eastAsia" w:ascii="宋体" w:hAnsi="宋体" w:eastAsia="宋体" w:cs="宋体"/>
                <w:color w:val="auto"/>
                <w:sz w:val="28"/>
                <w:szCs w:val="28"/>
                <w:highlight w:val="none"/>
              </w:rPr>
              <w:t>月</w:t>
            </w:r>
          </w:p>
        </w:tc>
      </w:tr>
      <w:tr w14:paraId="79DB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1" w:hRule="atLeast"/>
        </w:trPr>
        <w:tc>
          <w:tcPr>
            <w:tcW w:w="9456" w:type="dxa"/>
          </w:tcPr>
          <w:p w14:paraId="58E5FAAB">
            <w:pPr>
              <w:spacing w:line="320" w:lineRule="atLeast"/>
              <w:ind w:firstLine="560" w:firstLineChars="200"/>
              <w:rPr>
                <w:rFonts w:hint="eastAsia" w:ascii="宋体" w:hAnsi="宋体" w:eastAsia="宋体" w:cs="宋体"/>
                <w:color w:val="auto"/>
                <w:sz w:val="28"/>
                <w:szCs w:val="28"/>
                <w:highlight w:val="none"/>
              </w:rPr>
            </w:pPr>
          </w:p>
          <w:p w14:paraId="466E8E43">
            <w:pPr>
              <w:spacing w:line="320" w:lineRule="atLeas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招标代理机构：滁州市城投工程咨询管理有限公司</w:t>
            </w:r>
          </w:p>
          <w:p w14:paraId="747EACC0">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杨韦</w:t>
            </w:r>
          </w:p>
          <w:p w14:paraId="487BCAFB">
            <w:pPr>
              <w:spacing w:line="320" w:lineRule="atLeas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 0550-35195</w:t>
            </w:r>
            <w:r>
              <w:rPr>
                <w:rFonts w:hint="eastAsia" w:ascii="宋体" w:hAnsi="宋体" w:eastAsia="宋体" w:cs="宋体"/>
                <w:color w:val="auto"/>
                <w:sz w:val="28"/>
                <w:szCs w:val="28"/>
                <w:highlight w:val="none"/>
                <w:lang w:val="en-US" w:eastAsia="zh-CN"/>
              </w:rPr>
              <w:t xml:space="preserve">90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18005501210</w:t>
            </w:r>
          </w:p>
          <w:p w14:paraId="6104785F">
            <w:pPr>
              <w:rPr>
                <w:rFonts w:hint="eastAsia" w:ascii="宋体" w:hAnsi="宋体" w:eastAsia="宋体" w:cs="宋体"/>
                <w:color w:val="auto"/>
                <w:sz w:val="28"/>
                <w:szCs w:val="28"/>
                <w:highlight w:val="none"/>
              </w:rPr>
            </w:pPr>
          </w:p>
          <w:p w14:paraId="32F86CDC">
            <w:pPr>
              <w:ind w:firstLine="5040" w:firstLineChars="18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（单位盖章）</w:t>
            </w:r>
          </w:p>
          <w:p w14:paraId="0F84C0B7">
            <w:pPr>
              <w:ind w:firstLine="4900" w:firstLineChars="17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eastAsia="zh-CN"/>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rPr>
              <w:t>月</w:t>
            </w:r>
          </w:p>
        </w:tc>
      </w:tr>
    </w:tbl>
    <w:p w14:paraId="1BA9582E">
      <w:pPr>
        <w:pStyle w:val="2"/>
        <w:ind w:left="0" w:leftChars="0" w:firstLine="0" w:firstLineChars="0"/>
        <w:rPr>
          <w:rFonts w:hAnsi="宋体" w:eastAsia="宋体" w:cs="宋体"/>
          <w:b/>
          <w:bCs/>
          <w:color w:val="auto"/>
          <w:kern w:val="0"/>
          <w:sz w:val="24"/>
          <w:szCs w:val="24"/>
          <w:highlight w:val="none"/>
        </w:rPr>
      </w:pPr>
    </w:p>
    <w:sectPr>
      <w:headerReference r:id="rId5" w:type="default"/>
      <w:footerReference r:id="rId6" w:type="default"/>
      <w:pgSz w:w="11906" w:h="16838"/>
      <w:pgMar w:top="1417" w:right="1247" w:bottom="1417" w:left="124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auto"/>
    <w:pitch w:val="default"/>
    <w:sig w:usb0="00000283" w:usb1="288F0000" w:usb2="0000000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XBSJ-PK7482000003a-Identity-H">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17"/>
      <w:tabs>
        <w:tab w:val="clear" w:pos="4153"/>
        <w:tab w:val="clear" w:pos="8306"/>
      </w:tabs>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7991C">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27991C">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95C93">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8F65F">
                          <w:pPr>
                            <w:pStyle w:val="17"/>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38F65F">
                    <w:pPr>
                      <w:pStyle w:val="17"/>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88651">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17F1B">
                          <w:pPr>
                            <w:pStyle w:val="1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6817F1B">
                    <w:pPr>
                      <w:pStyle w:val="1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500CE">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2090C"/>
    <w:multiLevelType w:val="singleLevel"/>
    <w:tmpl w:val="D532090C"/>
    <w:lvl w:ilvl="0" w:tentative="0">
      <w:start w:val="1"/>
      <w:numFmt w:val="chineseCounting"/>
      <w:suff w:val="space"/>
      <w:lvlText w:val="%1、"/>
      <w:lvlJc w:val="left"/>
      <w:rPr>
        <w:rFonts w:hint="eastAsia"/>
      </w:rPr>
    </w:lvl>
  </w:abstractNum>
  <w:abstractNum w:abstractNumId="1">
    <w:nsid w:val="2323379E"/>
    <w:multiLevelType w:val="multilevel"/>
    <w:tmpl w:val="2323379E"/>
    <w:lvl w:ilvl="0" w:tentative="0">
      <w:start w:val="1"/>
      <w:numFmt w:val="chineseCountingThousand"/>
      <w:pStyle w:val="5"/>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05D09F4"/>
    <w:multiLevelType w:val="singleLevel"/>
    <w:tmpl w:val="405D09F4"/>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NzRhMjY1M2E0ZjRkZjRiOTdjY2RiOGY4M2I4OGEifQ=="/>
  </w:docVars>
  <w:rsids>
    <w:rsidRoot w:val="05D70085"/>
    <w:rsid w:val="00001690"/>
    <w:rsid w:val="000352D6"/>
    <w:rsid w:val="0007367A"/>
    <w:rsid w:val="00084386"/>
    <w:rsid w:val="000F4C71"/>
    <w:rsid w:val="001D7421"/>
    <w:rsid w:val="001E7A66"/>
    <w:rsid w:val="00205023"/>
    <w:rsid w:val="002A45CF"/>
    <w:rsid w:val="002C216C"/>
    <w:rsid w:val="003A5CA3"/>
    <w:rsid w:val="003B0345"/>
    <w:rsid w:val="003B2683"/>
    <w:rsid w:val="00492B09"/>
    <w:rsid w:val="004A7DEE"/>
    <w:rsid w:val="004C344F"/>
    <w:rsid w:val="005507EF"/>
    <w:rsid w:val="00556528"/>
    <w:rsid w:val="005A4989"/>
    <w:rsid w:val="005B0486"/>
    <w:rsid w:val="0067794E"/>
    <w:rsid w:val="006856D9"/>
    <w:rsid w:val="007002F1"/>
    <w:rsid w:val="007C1ED7"/>
    <w:rsid w:val="007E115D"/>
    <w:rsid w:val="00872EA2"/>
    <w:rsid w:val="008905A2"/>
    <w:rsid w:val="00897B7D"/>
    <w:rsid w:val="008B7A4F"/>
    <w:rsid w:val="008E1A57"/>
    <w:rsid w:val="00910B16"/>
    <w:rsid w:val="00940444"/>
    <w:rsid w:val="00977B22"/>
    <w:rsid w:val="009A0143"/>
    <w:rsid w:val="009A3767"/>
    <w:rsid w:val="00A72F87"/>
    <w:rsid w:val="00AD4C57"/>
    <w:rsid w:val="00B2558C"/>
    <w:rsid w:val="00BD5D9D"/>
    <w:rsid w:val="00C25787"/>
    <w:rsid w:val="00C6698F"/>
    <w:rsid w:val="00C7698C"/>
    <w:rsid w:val="00CE4982"/>
    <w:rsid w:val="00D114E5"/>
    <w:rsid w:val="00D837DC"/>
    <w:rsid w:val="00DA3FD0"/>
    <w:rsid w:val="00DC141F"/>
    <w:rsid w:val="00DD5BEA"/>
    <w:rsid w:val="00DD7712"/>
    <w:rsid w:val="00E30ED9"/>
    <w:rsid w:val="00E338E4"/>
    <w:rsid w:val="00E82CDA"/>
    <w:rsid w:val="0100193D"/>
    <w:rsid w:val="015F61C6"/>
    <w:rsid w:val="016E0AFA"/>
    <w:rsid w:val="019C0EC3"/>
    <w:rsid w:val="025E0FA7"/>
    <w:rsid w:val="028265A2"/>
    <w:rsid w:val="02C57B73"/>
    <w:rsid w:val="02DB5B1F"/>
    <w:rsid w:val="031B2C7F"/>
    <w:rsid w:val="032A1A54"/>
    <w:rsid w:val="03502F34"/>
    <w:rsid w:val="045316CE"/>
    <w:rsid w:val="047364BC"/>
    <w:rsid w:val="048346F8"/>
    <w:rsid w:val="04AA5B07"/>
    <w:rsid w:val="04D72BD5"/>
    <w:rsid w:val="04DC01EC"/>
    <w:rsid w:val="04F512AE"/>
    <w:rsid w:val="053C1395"/>
    <w:rsid w:val="056F0A41"/>
    <w:rsid w:val="0575419C"/>
    <w:rsid w:val="057E74F5"/>
    <w:rsid w:val="05D70085"/>
    <w:rsid w:val="05D84E57"/>
    <w:rsid w:val="05DE1D42"/>
    <w:rsid w:val="063C2B11"/>
    <w:rsid w:val="0645325A"/>
    <w:rsid w:val="0645749A"/>
    <w:rsid w:val="06481220"/>
    <w:rsid w:val="068154EF"/>
    <w:rsid w:val="06DC5C03"/>
    <w:rsid w:val="07397B77"/>
    <w:rsid w:val="07520C39"/>
    <w:rsid w:val="07D11B30"/>
    <w:rsid w:val="08023212"/>
    <w:rsid w:val="089B57D6"/>
    <w:rsid w:val="094D16B8"/>
    <w:rsid w:val="09C702DD"/>
    <w:rsid w:val="0A0B41EF"/>
    <w:rsid w:val="0A9B1C76"/>
    <w:rsid w:val="0B0E5BE8"/>
    <w:rsid w:val="0B736949"/>
    <w:rsid w:val="0C152235"/>
    <w:rsid w:val="0C8D307F"/>
    <w:rsid w:val="0CF307C8"/>
    <w:rsid w:val="0D2725DF"/>
    <w:rsid w:val="0D802EDC"/>
    <w:rsid w:val="0D805885"/>
    <w:rsid w:val="0D841E36"/>
    <w:rsid w:val="0DA46170"/>
    <w:rsid w:val="0E163A71"/>
    <w:rsid w:val="0E336630"/>
    <w:rsid w:val="0E632B4B"/>
    <w:rsid w:val="0EC1042B"/>
    <w:rsid w:val="0EEE295E"/>
    <w:rsid w:val="0F2C6214"/>
    <w:rsid w:val="0F4374DE"/>
    <w:rsid w:val="0F5F2040"/>
    <w:rsid w:val="0FEF171B"/>
    <w:rsid w:val="100701C9"/>
    <w:rsid w:val="101E3DAE"/>
    <w:rsid w:val="102C2057"/>
    <w:rsid w:val="103B4960"/>
    <w:rsid w:val="10790FE5"/>
    <w:rsid w:val="10817DB1"/>
    <w:rsid w:val="10F62635"/>
    <w:rsid w:val="110C3C07"/>
    <w:rsid w:val="113849FC"/>
    <w:rsid w:val="11432348"/>
    <w:rsid w:val="117C74B0"/>
    <w:rsid w:val="11AB275B"/>
    <w:rsid w:val="11DB45DA"/>
    <w:rsid w:val="11E56BE8"/>
    <w:rsid w:val="11EA479A"/>
    <w:rsid w:val="1232557E"/>
    <w:rsid w:val="1253301E"/>
    <w:rsid w:val="12BE1F05"/>
    <w:rsid w:val="12C034C3"/>
    <w:rsid w:val="13505B2D"/>
    <w:rsid w:val="13BF049D"/>
    <w:rsid w:val="13C133CE"/>
    <w:rsid w:val="144162BD"/>
    <w:rsid w:val="146C2106"/>
    <w:rsid w:val="14A4387B"/>
    <w:rsid w:val="1636266F"/>
    <w:rsid w:val="16D927DD"/>
    <w:rsid w:val="17152764"/>
    <w:rsid w:val="17326F19"/>
    <w:rsid w:val="175E27F1"/>
    <w:rsid w:val="17842223"/>
    <w:rsid w:val="17BA0386"/>
    <w:rsid w:val="18090EA0"/>
    <w:rsid w:val="182727EA"/>
    <w:rsid w:val="183A21B0"/>
    <w:rsid w:val="185760AF"/>
    <w:rsid w:val="18B16BDD"/>
    <w:rsid w:val="19C159C6"/>
    <w:rsid w:val="19D874DF"/>
    <w:rsid w:val="19DC233E"/>
    <w:rsid w:val="19F249B0"/>
    <w:rsid w:val="1AAF75C9"/>
    <w:rsid w:val="1AFB1879"/>
    <w:rsid w:val="1AFE5452"/>
    <w:rsid w:val="1B041EDD"/>
    <w:rsid w:val="1B4D19EC"/>
    <w:rsid w:val="1B7B582B"/>
    <w:rsid w:val="1B9F1994"/>
    <w:rsid w:val="1BA535D6"/>
    <w:rsid w:val="1BB11EE9"/>
    <w:rsid w:val="1C95441B"/>
    <w:rsid w:val="1CF7381D"/>
    <w:rsid w:val="1CF87735"/>
    <w:rsid w:val="1D242768"/>
    <w:rsid w:val="1DE20009"/>
    <w:rsid w:val="1E311151"/>
    <w:rsid w:val="1E3B5B2B"/>
    <w:rsid w:val="1E7E7ACB"/>
    <w:rsid w:val="1E8E61CA"/>
    <w:rsid w:val="1F354C71"/>
    <w:rsid w:val="1FAD4807"/>
    <w:rsid w:val="2002301C"/>
    <w:rsid w:val="204C2B32"/>
    <w:rsid w:val="20A774A8"/>
    <w:rsid w:val="20A84697"/>
    <w:rsid w:val="20AF5A3B"/>
    <w:rsid w:val="218540C4"/>
    <w:rsid w:val="21D66561"/>
    <w:rsid w:val="22061E3C"/>
    <w:rsid w:val="22360EE2"/>
    <w:rsid w:val="22456F79"/>
    <w:rsid w:val="228C7317"/>
    <w:rsid w:val="22925F36"/>
    <w:rsid w:val="22993768"/>
    <w:rsid w:val="22D87DED"/>
    <w:rsid w:val="233368A6"/>
    <w:rsid w:val="237F13E0"/>
    <w:rsid w:val="23A979DB"/>
    <w:rsid w:val="23E54F52"/>
    <w:rsid w:val="24C53081"/>
    <w:rsid w:val="25426A38"/>
    <w:rsid w:val="256F64F3"/>
    <w:rsid w:val="25781198"/>
    <w:rsid w:val="25C503AA"/>
    <w:rsid w:val="261B502F"/>
    <w:rsid w:val="2625704B"/>
    <w:rsid w:val="267E607D"/>
    <w:rsid w:val="26804A23"/>
    <w:rsid w:val="269A360B"/>
    <w:rsid w:val="26A360DC"/>
    <w:rsid w:val="26ED3D39"/>
    <w:rsid w:val="272950BB"/>
    <w:rsid w:val="274A6DDF"/>
    <w:rsid w:val="2769195B"/>
    <w:rsid w:val="27A27D09"/>
    <w:rsid w:val="27DA52F5"/>
    <w:rsid w:val="2812778F"/>
    <w:rsid w:val="28434C7C"/>
    <w:rsid w:val="2876032E"/>
    <w:rsid w:val="289447B6"/>
    <w:rsid w:val="28E83D60"/>
    <w:rsid w:val="28F74D45"/>
    <w:rsid w:val="292924C4"/>
    <w:rsid w:val="295227ED"/>
    <w:rsid w:val="299527C5"/>
    <w:rsid w:val="29AA0009"/>
    <w:rsid w:val="29C845C8"/>
    <w:rsid w:val="29E3753A"/>
    <w:rsid w:val="29F04977"/>
    <w:rsid w:val="29F8027A"/>
    <w:rsid w:val="2B214E94"/>
    <w:rsid w:val="2B4A3852"/>
    <w:rsid w:val="2B9845BD"/>
    <w:rsid w:val="2B9C1363"/>
    <w:rsid w:val="2C0910A6"/>
    <w:rsid w:val="2C3B037D"/>
    <w:rsid w:val="2CA3146B"/>
    <w:rsid w:val="2CAF5755"/>
    <w:rsid w:val="2CCE2BA8"/>
    <w:rsid w:val="2CED54DC"/>
    <w:rsid w:val="2D022BCC"/>
    <w:rsid w:val="2D0910AB"/>
    <w:rsid w:val="2D210CCE"/>
    <w:rsid w:val="2D393FEA"/>
    <w:rsid w:val="2D650970"/>
    <w:rsid w:val="2D6C78EA"/>
    <w:rsid w:val="2D730DF5"/>
    <w:rsid w:val="2D7D26AA"/>
    <w:rsid w:val="2D827EA2"/>
    <w:rsid w:val="2DDB69E3"/>
    <w:rsid w:val="2E1D33D3"/>
    <w:rsid w:val="2E2A1718"/>
    <w:rsid w:val="2E61140F"/>
    <w:rsid w:val="2EA4208C"/>
    <w:rsid w:val="2F120B2A"/>
    <w:rsid w:val="2F605354"/>
    <w:rsid w:val="2FA62F00"/>
    <w:rsid w:val="2FCF036E"/>
    <w:rsid w:val="2FFA3A98"/>
    <w:rsid w:val="3024214B"/>
    <w:rsid w:val="30670A02"/>
    <w:rsid w:val="306807DE"/>
    <w:rsid w:val="32384404"/>
    <w:rsid w:val="32454D73"/>
    <w:rsid w:val="32794A1C"/>
    <w:rsid w:val="32CB171C"/>
    <w:rsid w:val="330330A1"/>
    <w:rsid w:val="3306131A"/>
    <w:rsid w:val="33277341"/>
    <w:rsid w:val="33690120"/>
    <w:rsid w:val="338D21C4"/>
    <w:rsid w:val="33DF0FE9"/>
    <w:rsid w:val="33F56325"/>
    <w:rsid w:val="348D398A"/>
    <w:rsid w:val="34A92B45"/>
    <w:rsid w:val="34B166F0"/>
    <w:rsid w:val="34FF4677"/>
    <w:rsid w:val="352219CC"/>
    <w:rsid w:val="35B1254D"/>
    <w:rsid w:val="36081A3F"/>
    <w:rsid w:val="36CB62E7"/>
    <w:rsid w:val="36D860FD"/>
    <w:rsid w:val="36E96615"/>
    <w:rsid w:val="373D3072"/>
    <w:rsid w:val="37691503"/>
    <w:rsid w:val="37E03806"/>
    <w:rsid w:val="37F610DB"/>
    <w:rsid w:val="38154F1C"/>
    <w:rsid w:val="381551E7"/>
    <w:rsid w:val="382C5212"/>
    <w:rsid w:val="383D61FA"/>
    <w:rsid w:val="389A7287"/>
    <w:rsid w:val="38E250CA"/>
    <w:rsid w:val="3942185D"/>
    <w:rsid w:val="39544B06"/>
    <w:rsid w:val="397C3770"/>
    <w:rsid w:val="39890240"/>
    <w:rsid w:val="39983D71"/>
    <w:rsid w:val="39C35D81"/>
    <w:rsid w:val="39E50927"/>
    <w:rsid w:val="39F8687F"/>
    <w:rsid w:val="3A1A0893"/>
    <w:rsid w:val="3A255BB6"/>
    <w:rsid w:val="3A462778"/>
    <w:rsid w:val="3AC151B3"/>
    <w:rsid w:val="3B5C4742"/>
    <w:rsid w:val="3B764FFF"/>
    <w:rsid w:val="3BFE66BE"/>
    <w:rsid w:val="3C054B85"/>
    <w:rsid w:val="3C15648E"/>
    <w:rsid w:val="3C937182"/>
    <w:rsid w:val="3D4E7149"/>
    <w:rsid w:val="3D5D5666"/>
    <w:rsid w:val="3D6469F5"/>
    <w:rsid w:val="3DF37D79"/>
    <w:rsid w:val="3E104487"/>
    <w:rsid w:val="3E162139"/>
    <w:rsid w:val="3E7647B6"/>
    <w:rsid w:val="3E7C38CA"/>
    <w:rsid w:val="3E832B74"/>
    <w:rsid w:val="3E90381A"/>
    <w:rsid w:val="3F4B7C76"/>
    <w:rsid w:val="3FA51D09"/>
    <w:rsid w:val="40BF3F42"/>
    <w:rsid w:val="40CD48B1"/>
    <w:rsid w:val="414403FF"/>
    <w:rsid w:val="415C1487"/>
    <w:rsid w:val="41C9151C"/>
    <w:rsid w:val="41FD5955"/>
    <w:rsid w:val="420A2FE2"/>
    <w:rsid w:val="422B7AE1"/>
    <w:rsid w:val="423D15C3"/>
    <w:rsid w:val="428D254A"/>
    <w:rsid w:val="43170066"/>
    <w:rsid w:val="433A74C8"/>
    <w:rsid w:val="43E25091"/>
    <w:rsid w:val="4487121B"/>
    <w:rsid w:val="44B00A06"/>
    <w:rsid w:val="44C67F95"/>
    <w:rsid w:val="45883564"/>
    <w:rsid w:val="4651388E"/>
    <w:rsid w:val="46515D0A"/>
    <w:rsid w:val="46EF37F8"/>
    <w:rsid w:val="46FA66EA"/>
    <w:rsid w:val="470C1FF4"/>
    <w:rsid w:val="471901E3"/>
    <w:rsid w:val="477B5067"/>
    <w:rsid w:val="478013B8"/>
    <w:rsid w:val="479003E6"/>
    <w:rsid w:val="47BA5463"/>
    <w:rsid w:val="47DE3B6F"/>
    <w:rsid w:val="47FD3CCE"/>
    <w:rsid w:val="4849595A"/>
    <w:rsid w:val="48711FC6"/>
    <w:rsid w:val="48974BAE"/>
    <w:rsid w:val="489C243E"/>
    <w:rsid w:val="48C93BB0"/>
    <w:rsid w:val="48CD7E5A"/>
    <w:rsid w:val="48D83046"/>
    <w:rsid w:val="4901159C"/>
    <w:rsid w:val="49466874"/>
    <w:rsid w:val="49677BF1"/>
    <w:rsid w:val="4A874585"/>
    <w:rsid w:val="4AC26B09"/>
    <w:rsid w:val="4ADB1640"/>
    <w:rsid w:val="4AE20990"/>
    <w:rsid w:val="4B685902"/>
    <w:rsid w:val="4B6F5649"/>
    <w:rsid w:val="4BD648A6"/>
    <w:rsid w:val="4BEE7BAE"/>
    <w:rsid w:val="4C02731C"/>
    <w:rsid w:val="4CE53EDF"/>
    <w:rsid w:val="4D514CBB"/>
    <w:rsid w:val="4DC30408"/>
    <w:rsid w:val="4DD112B8"/>
    <w:rsid w:val="4E323C03"/>
    <w:rsid w:val="4E375767"/>
    <w:rsid w:val="4E5C7274"/>
    <w:rsid w:val="4E6E7EE2"/>
    <w:rsid w:val="4E8F13F8"/>
    <w:rsid w:val="4F363F69"/>
    <w:rsid w:val="4F3D0E54"/>
    <w:rsid w:val="4F814F33"/>
    <w:rsid w:val="4FC60E49"/>
    <w:rsid w:val="4FD6626F"/>
    <w:rsid w:val="4FED4628"/>
    <w:rsid w:val="50286A00"/>
    <w:rsid w:val="50B73988"/>
    <w:rsid w:val="50D70E34"/>
    <w:rsid w:val="50FD6220"/>
    <w:rsid w:val="510C6D30"/>
    <w:rsid w:val="51426BF5"/>
    <w:rsid w:val="5164091A"/>
    <w:rsid w:val="51B02A23"/>
    <w:rsid w:val="523C1897"/>
    <w:rsid w:val="52503567"/>
    <w:rsid w:val="5263442B"/>
    <w:rsid w:val="52F618B4"/>
    <w:rsid w:val="52FE0BBF"/>
    <w:rsid w:val="53065A01"/>
    <w:rsid w:val="5318335A"/>
    <w:rsid w:val="532C6129"/>
    <w:rsid w:val="53540300"/>
    <w:rsid w:val="535E75EB"/>
    <w:rsid w:val="53A02657"/>
    <w:rsid w:val="53AC0356"/>
    <w:rsid w:val="54493EBC"/>
    <w:rsid w:val="54774023"/>
    <w:rsid w:val="54AF6350"/>
    <w:rsid w:val="55917EF2"/>
    <w:rsid w:val="559B2D78"/>
    <w:rsid w:val="55E97640"/>
    <w:rsid w:val="55F36710"/>
    <w:rsid w:val="566D64C3"/>
    <w:rsid w:val="569F23F4"/>
    <w:rsid w:val="571116DF"/>
    <w:rsid w:val="572221E7"/>
    <w:rsid w:val="57353635"/>
    <w:rsid w:val="577A6103"/>
    <w:rsid w:val="577B5BF9"/>
    <w:rsid w:val="579637F7"/>
    <w:rsid w:val="57AE2006"/>
    <w:rsid w:val="58DB5C99"/>
    <w:rsid w:val="594F5990"/>
    <w:rsid w:val="59632BAC"/>
    <w:rsid w:val="59800E8A"/>
    <w:rsid w:val="5A184CD9"/>
    <w:rsid w:val="5B24111A"/>
    <w:rsid w:val="5B282E29"/>
    <w:rsid w:val="5B5364D7"/>
    <w:rsid w:val="5B5702DE"/>
    <w:rsid w:val="5BA40C28"/>
    <w:rsid w:val="5BE102A6"/>
    <w:rsid w:val="5BE61684"/>
    <w:rsid w:val="5BF64460"/>
    <w:rsid w:val="5C88012E"/>
    <w:rsid w:val="5CA2679A"/>
    <w:rsid w:val="5CB2205C"/>
    <w:rsid w:val="5D023AB9"/>
    <w:rsid w:val="5D085A74"/>
    <w:rsid w:val="5D172CE4"/>
    <w:rsid w:val="5D502A92"/>
    <w:rsid w:val="5DAD63FD"/>
    <w:rsid w:val="5DE119FD"/>
    <w:rsid w:val="5E09079C"/>
    <w:rsid w:val="5E5D0BCB"/>
    <w:rsid w:val="5E794B5C"/>
    <w:rsid w:val="5E7D5E5C"/>
    <w:rsid w:val="5EA8613E"/>
    <w:rsid w:val="5F3F6D39"/>
    <w:rsid w:val="5F5F0972"/>
    <w:rsid w:val="5F6A7CFF"/>
    <w:rsid w:val="5FFF520E"/>
    <w:rsid w:val="600924E9"/>
    <w:rsid w:val="602B222C"/>
    <w:rsid w:val="60532B25"/>
    <w:rsid w:val="60DF04E6"/>
    <w:rsid w:val="60FA31E2"/>
    <w:rsid w:val="61970B3C"/>
    <w:rsid w:val="61D7139F"/>
    <w:rsid w:val="62291782"/>
    <w:rsid w:val="623B7475"/>
    <w:rsid w:val="626B0696"/>
    <w:rsid w:val="62746B15"/>
    <w:rsid w:val="62B55A8F"/>
    <w:rsid w:val="633B5253"/>
    <w:rsid w:val="637F1C2C"/>
    <w:rsid w:val="63ED0C43"/>
    <w:rsid w:val="6416019A"/>
    <w:rsid w:val="64236F56"/>
    <w:rsid w:val="643A375C"/>
    <w:rsid w:val="64AE7770"/>
    <w:rsid w:val="64E43EDE"/>
    <w:rsid w:val="64FB7AAD"/>
    <w:rsid w:val="6533302C"/>
    <w:rsid w:val="653A45EA"/>
    <w:rsid w:val="657F5AF6"/>
    <w:rsid w:val="65A2780B"/>
    <w:rsid w:val="65F52B43"/>
    <w:rsid w:val="65F54AA3"/>
    <w:rsid w:val="662D5327"/>
    <w:rsid w:val="663A5C95"/>
    <w:rsid w:val="6667144E"/>
    <w:rsid w:val="66811B16"/>
    <w:rsid w:val="66A31A8D"/>
    <w:rsid w:val="66A6610E"/>
    <w:rsid w:val="66AA2E1B"/>
    <w:rsid w:val="66D441AF"/>
    <w:rsid w:val="672424E5"/>
    <w:rsid w:val="67635AF2"/>
    <w:rsid w:val="67670D0C"/>
    <w:rsid w:val="67900263"/>
    <w:rsid w:val="67C1041C"/>
    <w:rsid w:val="67F105D6"/>
    <w:rsid w:val="67F86C37"/>
    <w:rsid w:val="68327C7B"/>
    <w:rsid w:val="68871430"/>
    <w:rsid w:val="68A2789F"/>
    <w:rsid w:val="68A331E6"/>
    <w:rsid w:val="68C006D4"/>
    <w:rsid w:val="690E2CCA"/>
    <w:rsid w:val="690E3019"/>
    <w:rsid w:val="69F65D30"/>
    <w:rsid w:val="6A6373DD"/>
    <w:rsid w:val="6AE87945"/>
    <w:rsid w:val="6AFA317E"/>
    <w:rsid w:val="6B030D4C"/>
    <w:rsid w:val="6B3945F4"/>
    <w:rsid w:val="6B8D423A"/>
    <w:rsid w:val="6BF42367"/>
    <w:rsid w:val="6C1F738A"/>
    <w:rsid w:val="6C4568B5"/>
    <w:rsid w:val="6C953C26"/>
    <w:rsid w:val="6C9C4BB0"/>
    <w:rsid w:val="6CE510CA"/>
    <w:rsid w:val="6D2D20B0"/>
    <w:rsid w:val="6D376935"/>
    <w:rsid w:val="6D3B47CD"/>
    <w:rsid w:val="6DA87988"/>
    <w:rsid w:val="6E110694"/>
    <w:rsid w:val="6E301DBC"/>
    <w:rsid w:val="6E4E6782"/>
    <w:rsid w:val="6E8D7873"/>
    <w:rsid w:val="6F0A586B"/>
    <w:rsid w:val="6F16116F"/>
    <w:rsid w:val="6F294FAC"/>
    <w:rsid w:val="6F370918"/>
    <w:rsid w:val="6F4B12DA"/>
    <w:rsid w:val="70224E10"/>
    <w:rsid w:val="70310109"/>
    <w:rsid w:val="70442F17"/>
    <w:rsid w:val="706D08B1"/>
    <w:rsid w:val="70A95EF1"/>
    <w:rsid w:val="70D311C0"/>
    <w:rsid w:val="712239EA"/>
    <w:rsid w:val="71707F2B"/>
    <w:rsid w:val="721E646B"/>
    <w:rsid w:val="723B36C8"/>
    <w:rsid w:val="72653873"/>
    <w:rsid w:val="72907369"/>
    <w:rsid w:val="72997A02"/>
    <w:rsid w:val="72CB017F"/>
    <w:rsid w:val="73087335"/>
    <w:rsid w:val="738B7B30"/>
    <w:rsid w:val="73942E89"/>
    <w:rsid w:val="73D96AEE"/>
    <w:rsid w:val="74640B8F"/>
    <w:rsid w:val="74D103D0"/>
    <w:rsid w:val="74E724B5"/>
    <w:rsid w:val="74F23F4E"/>
    <w:rsid w:val="74FE43E9"/>
    <w:rsid w:val="750B3995"/>
    <w:rsid w:val="76397119"/>
    <w:rsid w:val="769A4AE0"/>
    <w:rsid w:val="76CA1E61"/>
    <w:rsid w:val="76F5178C"/>
    <w:rsid w:val="77B83B86"/>
    <w:rsid w:val="77C76BB7"/>
    <w:rsid w:val="77CB414B"/>
    <w:rsid w:val="77F35333"/>
    <w:rsid w:val="785319F7"/>
    <w:rsid w:val="7876044E"/>
    <w:rsid w:val="78BD4DE4"/>
    <w:rsid w:val="791F0A00"/>
    <w:rsid w:val="795F1843"/>
    <w:rsid w:val="7967679C"/>
    <w:rsid w:val="79694470"/>
    <w:rsid w:val="79781329"/>
    <w:rsid w:val="797A48CF"/>
    <w:rsid w:val="7A082BA3"/>
    <w:rsid w:val="7A3E6F9D"/>
    <w:rsid w:val="7A501B5C"/>
    <w:rsid w:val="7A601D17"/>
    <w:rsid w:val="7AA02C5F"/>
    <w:rsid w:val="7ABC721E"/>
    <w:rsid w:val="7AEA15E0"/>
    <w:rsid w:val="7B3371B4"/>
    <w:rsid w:val="7B3623D5"/>
    <w:rsid w:val="7B5B428C"/>
    <w:rsid w:val="7BAE0860"/>
    <w:rsid w:val="7BC9543A"/>
    <w:rsid w:val="7BCF7914"/>
    <w:rsid w:val="7BF96578"/>
    <w:rsid w:val="7C4132B5"/>
    <w:rsid w:val="7C6F6241"/>
    <w:rsid w:val="7C881452"/>
    <w:rsid w:val="7CBB1486"/>
    <w:rsid w:val="7D1F118F"/>
    <w:rsid w:val="7D5418E4"/>
    <w:rsid w:val="7DB12889"/>
    <w:rsid w:val="7DDC2683"/>
    <w:rsid w:val="7E036B7F"/>
    <w:rsid w:val="7E096221"/>
    <w:rsid w:val="7E447259"/>
    <w:rsid w:val="7E47085C"/>
    <w:rsid w:val="7EE72E5B"/>
    <w:rsid w:val="7F121106"/>
    <w:rsid w:val="7F22431B"/>
    <w:rsid w:val="7F4C4618"/>
    <w:rsid w:val="7FC05006"/>
    <w:rsid w:val="7FE4321D"/>
    <w:rsid w:val="A9FA35C0"/>
    <w:rsid w:val="FEF75F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99"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8">
    <w:name w:val="heading 3"/>
    <w:basedOn w:val="1"/>
    <w:next w:val="1"/>
    <w:qFormat/>
    <w:uiPriority w:val="0"/>
    <w:pPr>
      <w:keepNext/>
      <w:keepLines/>
      <w:spacing w:before="260" w:beforeLines="0" w:after="260" w:afterLines="0" w:line="413" w:lineRule="auto"/>
      <w:outlineLvl w:val="2"/>
    </w:pPr>
    <w:rPr>
      <w:rFonts w:ascii="Calibri" w:hAnsi="Calibri" w:eastAsia="宋体" w:cs="Times New Roman"/>
      <w:b/>
      <w:bCs/>
      <w:sz w:val="32"/>
      <w:szCs w:val="32"/>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firstLineChars="200"/>
    </w:pPr>
    <w:rPr>
      <w:rFonts w:ascii="宋体"/>
      <w:szCs w:val="20"/>
    </w:rPr>
  </w:style>
  <w:style w:type="paragraph" w:styleId="3">
    <w:name w:val="Body Text Indent"/>
    <w:basedOn w:val="1"/>
    <w:next w:val="4"/>
    <w:unhideWhenUsed/>
    <w:qFormat/>
    <w:uiPriority w:val="99"/>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9">
    <w:name w:val="toc 7"/>
    <w:basedOn w:val="1"/>
    <w:next w:val="1"/>
    <w:semiHidden/>
    <w:qFormat/>
    <w:uiPriority w:val="99"/>
    <w:pPr>
      <w:ind w:left="2520" w:leftChars="1200"/>
    </w:pPr>
    <w:rPr>
      <w:rFonts w:ascii="Calibri" w:hAnsi="Calibri" w:cs="Calibri"/>
    </w:rPr>
  </w:style>
  <w:style w:type="paragraph" w:styleId="10">
    <w:name w:val="Normal Indent"/>
    <w:basedOn w:val="1"/>
    <w:qFormat/>
    <w:uiPriority w:val="0"/>
    <w:pPr>
      <w:ind w:firstLine="420" w:firstLineChars="200"/>
    </w:pPr>
  </w:style>
  <w:style w:type="paragraph" w:styleId="11">
    <w:name w:val="annotation text"/>
    <w:basedOn w:val="1"/>
    <w:qFormat/>
    <w:uiPriority w:val="0"/>
    <w:pPr>
      <w:jc w:val="left"/>
    </w:pPr>
  </w:style>
  <w:style w:type="paragraph" w:styleId="12">
    <w:name w:val="Body Text 3"/>
    <w:basedOn w:val="1"/>
    <w:qFormat/>
    <w:uiPriority w:val="99"/>
    <w:rPr>
      <w:rFonts w:ascii="宋体"/>
      <w:sz w:val="24"/>
      <w:szCs w:val="20"/>
    </w:rPr>
  </w:style>
  <w:style w:type="paragraph" w:styleId="13">
    <w:name w:val="Body Text"/>
    <w:basedOn w:val="1"/>
    <w:next w:val="1"/>
    <w:qFormat/>
    <w:uiPriority w:val="0"/>
    <w:pPr>
      <w:spacing w:after="120"/>
    </w:pPr>
  </w:style>
  <w:style w:type="paragraph" w:styleId="14">
    <w:name w:val="Plain Text"/>
    <w:basedOn w:val="1"/>
    <w:next w:val="1"/>
    <w:qFormat/>
    <w:uiPriority w:val="99"/>
    <w:rPr>
      <w:rFonts w:ascii="宋体"/>
      <w:color w:val="000000"/>
      <w:szCs w:val="20"/>
      <w:u w:val="none" w:color="000000"/>
    </w:rPr>
  </w:style>
  <w:style w:type="paragraph" w:styleId="15">
    <w:name w:val="Date"/>
    <w:basedOn w:val="1"/>
    <w:next w:val="1"/>
    <w:link w:val="55"/>
    <w:qFormat/>
    <w:uiPriority w:val="0"/>
    <w:pPr>
      <w:ind w:left="100" w:leftChars="2500"/>
    </w:pPr>
  </w:style>
  <w:style w:type="paragraph" w:styleId="16">
    <w:name w:val="Body Text Indent 2"/>
    <w:basedOn w:val="1"/>
    <w:qFormat/>
    <w:uiPriority w:val="0"/>
    <w:pPr>
      <w:spacing w:line="360" w:lineRule="exact"/>
      <w:ind w:firstLine="600" w:firstLineChars="250"/>
      <w:jc w:val="left"/>
    </w:pPr>
    <w:rPr>
      <w:sz w:val="24"/>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qFormat/>
    <w:uiPriority w:val="99"/>
    <w:pPr>
      <w:jc w:val="left"/>
    </w:pPr>
    <w:rPr>
      <w:b/>
      <w:bCs/>
      <w:caps/>
      <w:sz w:val="20"/>
      <w:szCs w:val="20"/>
    </w:rPr>
  </w:style>
  <w:style w:type="paragraph" w:styleId="20">
    <w:name w:val="Body Text 2"/>
    <w:basedOn w:val="1"/>
    <w:qFormat/>
    <w:uiPriority w:val="0"/>
    <w:pPr>
      <w:spacing w:after="120" w:line="480" w:lineRule="auto"/>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page number"/>
    <w:basedOn w:val="23"/>
    <w:qFormat/>
    <w:uiPriority w:val="0"/>
  </w:style>
  <w:style w:type="character" w:styleId="26">
    <w:name w:val="FollowedHyperlink"/>
    <w:basedOn w:val="23"/>
    <w:qFormat/>
    <w:uiPriority w:val="0"/>
    <w:rPr>
      <w:color w:val="333333"/>
      <w:u w:val="none"/>
    </w:rPr>
  </w:style>
  <w:style w:type="character" w:styleId="27">
    <w:name w:val="HTML Definition"/>
    <w:basedOn w:val="23"/>
    <w:qFormat/>
    <w:uiPriority w:val="0"/>
  </w:style>
  <w:style w:type="character" w:styleId="28">
    <w:name w:val="HTML Typewriter"/>
    <w:basedOn w:val="23"/>
    <w:qFormat/>
    <w:uiPriority w:val="0"/>
    <w:rPr>
      <w:rFonts w:ascii="monospace" w:hAnsi="monospace" w:eastAsia="monospace" w:cs="monospace"/>
      <w:sz w:val="20"/>
    </w:rPr>
  </w:style>
  <w:style w:type="character" w:styleId="29">
    <w:name w:val="HTML Acronym"/>
    <w:basedOn w:val="23"/>
    <w:qFormat/>
    <w:uiPriority w:val="0"/>
  </w:style>
  <w:style w:type="character" w:styleId="30">
    <w:name w:val="HTML Variable"/>
    <w:basedOn w:val="23"/>
    <w:qFormat/>
    <w:uiPriority w:val="0"/>
  </w:style>
  <w:style w:type="character" w:styleId="31">
    <w:name w:val="Hyperlink"/>
    <w:basedOn w:val="23"/>
    <w:qFormat/>
    <w:uiPriority w:val="0"/>
    <w:rPr>
      <w:color w:val="333333"/>
      <w:u w:val="none"/>
    </w:rPr>
  </w:style>
  <w:style w:type="character" w:styleId="32">
    <w:name w:val="HTML Code"/>
    <w:basedOn w:val="23"/>
    <w:qFormat/>
    <w:uiPriority w:val="0"/>
    <w:rPr>
      <w:rFonts w:hint="default" w:ascii="monospace" w:hAnsi="monospace" w:eastAsia="monospace" w:cs="monospace"/>
      <w:sz w:val="20"/>
    </w:rPr>
  </w:style>
  <w:style w:type="character" w:styleId="33">
    <w:name w:val="HTML Cite"/>
    <w:basedOn w:val="23"/>
    <w:qFormat/>
    <w:uiPriority w:val="0"/>
  </w:style>
  <w:style w:type="character" w:styleId="34">
    <w:name w:val="HTML Keyboard"/>
    <w:basedOn w:val="23"/>
    <w:qFormat/>
    <w:uiPriority w:val="0"/>
    <w:rPr>
      <w:rFonts w:hint="default" w:ascii="monospace" w:hAnsi="monospace" w:eastAsia="monospace" w:cs="monospace"/>
      <w:sz w:val="20"/>
    </w:rPr>
  </w:style>
  <w:style w:type="character" w:styleId="35">
    <w:name w:val="HTML Sample"/>
    <w:basedOn w:val="23"/>
    <w:qFormat/>
    <w:uiPriority w:val="0"/>
    <w:rPr>
      <w:rFonts w:hint="default" w:ascii="monospace" w:hAnsi="monospace" w:eastAsia="monospace" w:cs="monospace"/>
    </w:rPr>
  </w:style>
  <w:style w:type="character" w:customStyle="1" w:styleId="36">
    <w:name w:val="msg-box"/>
    <w:basedOn w:val="23"/>
    <w:qFormat/>
    <w:uiPriority w:val="0"/>
  </w:style>
  <w:style w:type="character" w:customStyle="1" w:styleId="37">
    <w:name w:val="img_title"/>
    <w:basedOn w:val="23"/>
    <w:qFormat/>
    <w:uiPriority w:val="0"/>
    <w:rPr>
      <w:vanish/>
    </w:rPr>
  </w:style>
  <w:style w:type="character" w:customStyle="1" w:styleId="38">
    <w:name w:val="starting"/>
    <w:basedOn w:val="23"/>
    <w:qFormat/>
    <w:uiPriority w:val="0"/>
    <w:rPr>
      <w:color w:val="339900"/>
    </w:rPr>
  </w:style>
  <w:style w:type="character" w:customStyle="1" w:styleId="39">
    <w:name w:val="starting1"/>
    <w:basedOn w:val="23"/>
    <w:qFormat/>
    <w:uiPriority w:val="0"/>
    <w:rPr>
      <w:color w:val="339900"/>
    </w:rPr>
  </w:style>
  <w:style w:type="character" w:customStyle="1" w:styleId="40">
    <w:name w:val="nostart4"/>
    <w:basedOn w:val="23"/>
    <w:qFormat/>
    <w:uiPriority w:val="0"/>
    <w:rPr>
      <w:color w:val="FF0000"/>
    </w:rPr>
  </w:style>
  <w:style w:type="character" w:customStyle="1" w:styleId="41">
    <w:name w:val="over4"/>
    <w:basedOn w:val="23"/>
    <w:qFormat/>
    <w:uiPriority w:val="0"/>
    <w:rPr>
      <w:color w:val="B60000"/>
    </w:rPr>
  </w:style>
  <w:style w:type="character" w:customStyle="1" w:styleId="42">
    <w:name w:val="over5"/>
    <w:basedOn w:val="23"/>
    <w:qFormat/>
    <w:uiPriority w:val="0"/>
    <w:rPr>
      <w:color w:val="FF0000"/>
    </w:rPr>
  </w:style>
  <w:style w:type="character" w:customStyle="1" w:styleId="43">
    <w:name w:val="hit"/>
    <w:basedOn w:val="23"/>
    <w:qFormat/>
    <w:uiPriority w:val="0"/>
  </w:style>
  <w:style w:type="character" w:customStyle="1" w:styleId="44">
    <w:name w:val="bsharetext"/>
    <w:basedOn w:val="23"/>
    <w:qFormat/>
    <w:uiPriority w:val="0"/>
  </w:style>
  <w:style w:type="character" w:customStyle="1" w:styleId="45">
    <w:name w:val="starting4"/>
    <w:basedOn w:val="23"/>
    <w:qFormat/>
    <w:uiPriority w:val="0"/>
    <w:rPr>
      <w:color w:val="339900"/>
    </w:rPr>
  </w:style>
  <w:style w:type="character" w:customStyle="1" w:styleId="46">
    <w:name w:val="img_title8"/>
    <w:basedOn w:val="23"/>
    <w:qFormat/>
    <w:uiPriority w:val="0"/>
    <w:rPr>
      <w:vanish/>
    </w:rPr>
  </w:style>
  <w:style w:type="character" w:customStyle="1" w:styleId="47">
    <w:name w:val="nostart5"/>
    <w:basedOn w:val="23"/>
    <w:qFormat/>
    <w:uiPriority w:val="0"/>
    <w:rPr>
      <w:color w:val="FF0000"/>
    </w:rPr>
  </w:style>
  <w:style w:type="character" w:customStyle="1" w:styleId="48">
    <w:name w:val="msg-box2"/>
    <w:basedOn w:val="23"/>
    <w:qFormat/>
    <w:uiPriority w:val="0"/>
  </w:style>
  <w:style w:type="character" w:customStyle="1" w:styleId="49">
    <w:name w:val="over"/>
    <w:basedOn w:val="23"/>
    <w:qFormat/>
    <w:uiPriority w:val="0"/>
    <w:rPr>
      <w:color w:val="B60000"/>
    </w:rPr>
  </w:style>
  <w:style w:type="character" w:customStyle="1" w:styleId="50">
    <w:name w:val="over1"/>
    <w:basedOn w:val="23"/>
    <w:qFormat/>
    <w:uiPriority w:val="0"/>
    <w:rPr>
      <w:color w:val="339900"/>
    </w:rPr>
  </w:style>
  <w:style w:type="character" w:customStyle="1" w:styleId="51">
    <w:name w:val="nostart3"/>
    <w:basedOn w:val="23"/>
    <w:qFormat/>
    <w:uiPriority w:val="0"/>
    <w:rPr>
      <w:color w:val="FF0000"/>
    </w:rPr>
  </w:style>
  <w:style w:type="character" w:customStyle="1" w:styleId="52">
    <w:name w:val="nostart"/>
    <w:basedOn w:val="23"/>
    <w:qFormat/>
    <w:uiPriority w:val="0"/>
    <w:rPr>
      <w:color w:val="FF0000"/>
    </w:rPr>
  </w:style>
  <w:style w:type="character" w:customStyle="1" w:styleId="53">
    <w:name w:val="nostart1"/>
    <w:basedOn w:val="23"/>
    <w:qFormat/>
    <w:uiPriority w:val="0"/>
    <w:rPr>
      <w:color w:val="FF0000"/>
    </w:rPr>
  </w:style>
  <w:style w:type="character" w:customStyle="1" w:styleId="54">
    <w:name w:val="starting5"/>
    <w:basedOn w:val="23"/>
    <w:qFormat/>
    <w:uiPriority w:val="0"/>
    <w:rPr>
      <w:color w:val="339900"/>
    </w:rPr>
  </w:style>
  <w:style w:type="character" w:customStyle="1" w:styleId="55">
    <w:name w:val="日期 Char"/>
    <w:basedOn w:val="23"/>
    <w:link w:val="15"/>
    <w:qFormat/>
    <w:uiPriority w:val="0"/>
    <w:rPr>
      <w:rFonts w:asciiTheme="minorHAnsi" w:hAnsiTheme="minorHAnsi" w:eastAsiaTheme="minorEastAsia" w:cstheme="minorBidi"/>
      <w:kern w:val="2"/>
      <w:sz w:val="21"/>
      <w:szCs w:val="24"/>
    </w:rPr>
  </w:style>
  <w:style w:type="paragraph" w:customStyle="1" w:styleId="56">
    <w:name w:val="txt14"/>
    <w:basedOn w:val="1"/>
    <w:qFormat/>
    <w:uiPriority w:val="0"/>
    <w:pPr>
      <w:widowControl/>
      <w:spacing w:before="100" w:beforeAutospacing="1" w:after="100" w:afterAutospacing="1"/>
      <w:jc w:val="left"/>
    </w:pPr>
    <w:rPr>
      <w:rFonts w:ascii="宋体" w:hAnsi="宋体" w:cs="宋体"/>
      <w:color w:val="000000"/>
      <w:kern w:val="0"/>
      <w:szCs w:val="21"/>
    </w:rPr>
  </w:style>
  <w:style w:type="character" w:customStyle="1" w:styleId="57">
    <w:name w:val="first-child"/>
    <w:basedOn w:val="23"/>
    <w:qFormat/>
    <w:uiPriority w:val="0"/>
  </w:style>
  <w:style w:type="character" w:customStyle="1" w:styleId="58">
    <w:name w:val="layui-this"/>
    <w:basedOn w:val="23"/>
    <w:qFormat/>
    <w:uiPriority w:val="0"/>
    <w:rPr>
      <w:bdr w:val="single" w:color="EEEEEE" w:sz="6" w:space="0"/>
      <w:shd w:val="clear" w:fill="FFFFFF"/>
    </w:rPr>
  </w:style>
  <w:style w:type="paragraph" w:customStyle="1" w:styleId="59">
    <w:name w:val="节标题"/>
    <w:basedOn w:val="1"/>
    <w:next w:val="1"/>
    <w:qFormat/>
    <w:uiPriority w:val="0"/>
    <w:pPr>
      <w:widowControl/>
      <w:spacing w:line="289" w:lineRule="atLeast"/>
      <w:jc w:val="center"/>
      <w:textAlignment w:val="baseline"/>
    </w:pPr>
    <w:rPr>
      <w:rFonts w:ascii="Calibri" w:hAnsi="Calibri" w:eastAsia="宋体" w:cs="Times New Roman"/>
      <w:color w:val="000000"/>
      <w:kern w:val="0"/>
      <w:sz w:val="28"/>
      <w:szCs w:val="20"/>
      <w:u w:val="none" w:color="000000"/>
    </w:rPr>
  </w:style>
  <w:style w:type="character" w:customStyle="1" w:styleId="60">
    <w:name w:val="font11"/>
    <w:basedOn w:val="23"/>
    <w:qFormat/>
    <w:uiPriority w:val="0"/>
    <w:rPr>
      <w:rFonts w:hint="eastAsia" w:ascii="新宋体" w:hAnsi="新宋体" w:eastAsia="新宋体" w:cs="新宋体"/>
      <w:b/>
      <w:bCs/>
      <w:color w:val="000000"/>
      <w:sz w:val="36"/>
      <w:szCs w:val="36"/>
      <w:u w:val="none"/>
    </w:rPr>
  </w:style>
  <w:style w:type="character" w:customStyle="1" w:styleId="61">
    <w:name w:val="font21"/>
    <w:basedOn w:val="23"/>
    <w:qFormat/>
    <w:uiPriority w:val="0"/>
    <w:rPr>
      <w:rFonts w:hint="eastAsia" w:ascii="新宋体" w:hAnsi="新宋体" w:eastAsia="新宋体" w:cs="新宋体"/>
      <w:color w:val="000000"/>
      <w:sz w:val="28"/>
      <w:szCs w:val="28"/>
      <w:u w:val="none"/>
    </w:rPr>
  </w:style>
  <w:style w:type="character" w:customStyle="1" w:styleId="62">
    <w:name w:val="font01"/>
    <w:basedOn w:val="23"/>
    <w:qFormat/>
    <w:uiPriority w:val="0"/>
    <w:rPr>
      <w:rFonts w:hint="eastAsia" w:ascii="宋体" w:hAnsi="宋体" w:eastAsia="宋体" w:cs="宋体"/>
      <w:color w:val="000000"/>
      <w:sz w:val="21"/>
      <w:szCs w:val="21"/>
      <w:u w:val="none"/>
    </w:rPr>
  </w:style>
  <w:style w:type="table" w:customStyle="1" w:styleId="63">
    <w:name w:val="Table Normal"/>
    <w:semiHidden/>
    <w:unhideWhenUsed/>
    <w:qFormat/>
    <w:uiPriority w:val="0"/>
    <w:tblPr>
      <w:tblCellMar>
        <w:top w:w="0" w:type="dxa"/>
        <w:left w:w="0" w:type="dxa"/>
        <w:bottom w:w="0" w:type="dxa"/>
        <w:right w:w="0" w:type="dxa"/>
      </w:tblCellMar>
    </w:tblPr>
  </w:style>
  <w:style w:type="paragraph" w:customStyle="1" w:styleId="64">
    <w:name w:val="_Style 117"/>
    <w:basedOn w:val="1"/>
    <w:next w:val="1"/>
    <w:qFormat/>
    <w:uiPriority w:val="0"/>
    <w:pPr>
      <w:pBdr>
        <w:bottom w:val="single" w:color="auto" w:sz="6" w:space="1"/>
      </w:pBdr>
      <w:jc w:val="center"/>
    </w:pPr>
    <w:rPr>
      <w:rFonts w:ascii="Arial" w:eastAsia="宋体"/>
      <w:vanish/>
      <w:sz w:val="16"/>
    </w:rPr>
  </w:style>
  <w:style w:type="paragraph" w:customStyle="1" w:styleId="65">
    <w:name w:val="_Style 118"/>
    <w:basedOn w:val="1"/>
    <w:next w:val="1"/>
    <w:qFormat/>
    <w:uiPriority w:val="0"/>
    <w:pPr>
      <w:pBdr>
        <w:top w:val="single" w:color="auto" w:sz="6" w:space="1"/>
      </w:pBdr>
      <w:jc w:val="center"/>
    </w:pPr>
    <w:rPr>
      <w:rFonts w:ascii="Arial" w:eastAsia="宋体"/>
      <w:vanish/>
      <w:sz w:val="16"/>
    </w:rPr>
  </w:style>
  <w:style w:type="paragraph" w:customStyle="1" w:styleId="66">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67">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68">
    <w:name w:val="Body text|1"/>
    <w:basedOn w:val="1"/>
    <w:qFormat/>
    <w:uiPriority w:val="0"/>
    <w:pPr>
      <w:widowControl w:val="0"/>
      <w:shd w:val="clear" w:color="auto" w:fill="auto"/>
      <w:spacing w:line="454" w:lineRule="auto"/>
      <w:ind w:firstLine="400"/>
    </w:pPr>
    <w:rPr>
      <w:rFonts w:ascii="宋体" w:hAnsi="宋体" w:eastAsia="宋体" w:cs="宋体"/>
      <w:sz w:val="22"/>
      <w:szCs w:val="22"/>
      <w:u w:val="none"/>
      <w:shd w:val="clear" w:color="auto" w:fill="auto"/>
      <w:lang w:val="zh-TW" w:eastAsia="zh-TW" w:bidi="zh-TW"/>
    </w:rPr>
  </w:style>
  <w:style w:type="paragraph" w:customStyle="1" w:styleId="69">
    <w:name w:val="Other|1"/>
    <w:basedOn w:val="1"/>
    <w:qFormat/>
    <w:uiPriority w:val="0"/>
    <w:pPr>
      <w:widowControl w:val="0"/>
      <w:shd w:val="clear" w:color="auto" w:fill="auto"/>
      <w:spacing w:line="454" w:lineRule="auto"/>
      <w:ind w:firstLine="400"/>
    </w:pPr>
    <w:rPr>
      <w:rFonts w:ascii="宋体" w:hAnsi="宋体" w:eastAsia="宋体" w:cs="宋体"/>
      <w:sz w:val="22"/>
      <w:szCs w:val="22"/>
      <w:u w:val="none"/>
      <w:shd w:val="clear" w:color="auto" w:fill="auto"/>
      <w:lang w:val="zh-TW" w:eastAsia="zh-TW" w:bidi="zh-TW"/>
    </w:rPr>
  </w:style>
  <w:style w:type="paragraph" w:customStyle="1" w:styleId="70">
    <w:name w:val="Table caption|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30a2573c-372c-44f3-ac54-dc31b85e4e58</errorID>
      <errorWord>）</errorWord>
      <group>L1_Format</group>
      <groupName>格式问题</groupName>
      <ability>L2_HalfPunc_CN</ability>
      <abilityName>全半角问题</abilityName>
      <candidateList>
        <item>)</item>
      </candidateList>
      <explain>文本全半角错误。</explain>
      <paraID>602D7B64</paraID>
      <start>76</start>
      <end>77</end>
      <status>modified</status>
      <modifiedWord>)</modifiedWord>
      <trackRevisions>false</trackRevisions>
    </reviewItem>
    <reviewItem>
      <errorID>8eef194d-80e1-4546-a84b-c053152dc9fb</errorID>
      <errorWord>滁州市徽州</errorWord>
      <group>L1_Knowledge</group>
      <groupName>知识性问题</groupName>
      <ability>L2_Location</ability>
      <abilityName>地名检查</abilityName>
      <candidateList>
        <item>黄山徽州</item>
      </candidateList>
      <explain>地名表述错误。</explain>
      <paraID>7E2D92CF</paraID>
      <start>7</start>
      <end>12</end>
      <status>unmodified</status>
      <modifiedWord/>
      <trackRevisions>false</trackRevisions>
    </reviewItem>
    <reviewItem>
      <errorID>b1389f84-7b5e-46d1-8e07-d3a21ab89638</errorID>
      <errorWord>一步</errorWord>
      <group>L1_Knowledge</group>
      <groupName>知识性问题</groupName>
      <ability>L2_Knowledge</ability>
      <abilityName>其他知识</abilityName>
      <candidateList>
        <item>一道</item>
      </candidateList>
      <explain/>
      <paraID>12B8E4D7</paraID>
      <start>18</start>
      <end>20</end>
      <status>unmodified</status>
      <modifiedWord/>
      <trackRevisions>false</trackRevisions>
    </reviewItem>
    <reviewItem>
      <errorID>7f3d71f4-bb67-4e30-ac99-af162446e87b</errorID>
      <errorWord>件</errorWord>
      <group>L1_Word</group>
      <groupName>字词问题</groupName>
      <ability>L2_Typo</ability>
      <abilityName>字词错误</abilityName>
      <candidateList>
        <item>件和</item>
      </candidateList>
      <explain/>
      <paraID>2237244F</paraID>
      <start>97</start>
      <end>98</end>
      <status>unmodified</status>
      <modifiedWord/>
      <trackRevisions>false</trackRevisions>
    </reviewItem>
    <reviewItem>
      <errorID>d0243e33-bff2-4798-b856-64f1da2bfba4</errorID>
      <errorWord>灯</errorWord>
      <group>L1_Word</group>
      <groupName>字词问题</groupName>
      <ability>L2_Typo</ability>
      <abilityName>字词错误</abilityName>
      <candidateList>
        <item>等</item>
      </candidateList>
      <explain/>
      <paraID>778AC2F5</paraID>
      <start>41</start>
      <end>42</end>
      <status>modified</status>
      <modifiedWord>等</modifiedWord>
      <trackRevisions>false</trackRevisions>
    </reviewItem>
    <reviewItem>
      <errorID>dfd98c68-4a10-442d-bee9-315810af20f7</errorID>
      <errorWord>完</errorWord>
      <group>L1_Word</group>
      <groupName>字词问题</groupName>
      <ability>L2_Typo</ability>
      <abilityName>字词错误</abilityName>
      <candidateList>
        <item>完成</item>
      </candidateList>
      <explain/>
      <paraID>286E8A33</paraID>
      <start>57</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f3dfec-f68c-42d4-b81c-a6a9d6edd973}">
  <ds:schemaRefs/>
</ds:datastoreItem>
</file>

<file path=docProps/app.xml><?xml version="1.0" encoding="utf-8"?>
<Properties xmlns="http://schemas.openxmlformats.org/officeDocument/2006/extended-properties" xmlns:vt="http://schemas.openxmlformats.org/officeDocument/2006/docPropsVTypes">
  <Template>Normal</Template>
  <Pages>41</Pages>
  <Words>11467</Words>
  <Characters>12801</Characters>
  <Lines>71</Lines>
  <Paragraphs>20</Paragraphs>
  <TotalTime>1</TotalTime>
  <ScaleCrop>false</ScaleCrop>
  <LinksUpToDate>false</LinksUpToDate>
  <CharactersWithSpaces>12916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2019-06-13T09:13:00Z</dcterms:created>
  <dc:creator>Administrator</dc:creator>
  <cp:lastModifiedBy>韦韦</cp:lastModifiedBy>
  <cp:lastPrinted>2021-06-30T10:19:00Z</cp:lastPrinted>
  <dcterms:modified xsi:type="dcterms:W3CDTF">2026-09-21T04:05:00Z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263370792C8F4EF8945F327769288624_13</vt:lpwstr>
  </property>
  <property fmtid="{D5CDD505-2E9C-101B-9397-08002B2CF9AE}" pid="4" name="KSOTemplateDocerSaveRecord">
    <vt:lpwstr>eyJoZGlkIjoiZmQ5MGI3YTdkMjVkZTZjM2ZjZTQ5YjMxYTJjZjRlOWEiLCJ1c2VySWQiOiIzNjE4MjQ5In0=</vt:lpwstr>
  </property>
</Properties>
</file>