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8CEAA47">
      <w:pPr>
        <w:spacing w:line="720" w:lineRule="auto"/>
        <w:jc w:val="center"/>
        <w:rPr>
          <w:rFonts w:hint="eastAsia" w:ascii="宋体" w:hAnsi="宋体" w:cs="宋体"/>
          <w:b/>
          <w:bCs/>
          <w:color w:val="auto"/>
          <w:spacing w:val="-10"/>
          <w:sz w:val="48"/>
          <w:szCs w:val="48"/>
          <w:highlight w:val="none"/>
          <w:lang w:val="en-US" w:eastAsia="zh-CN"/>
        </w:rPr>
      </w:pPr>
      <w:bookmarkStart w:id="211" w:name="_GoBack"/>
      <w:r>
        <w:rPr>
          <w:rFonts w:hint="eastAsia" w:ascii="宋体" w:hAnsi="宋体" w:cs="宋体"/>
          <w:b/>
          <w:bCs/>
          <w:color w:val="auto"/>
          <w:spacing w:val="-10"/>
          <w:sz w:val="48"/>
          <w:szCs w:val="48"/>
          <w:highlight w:val="none"/>
          <w:lang w:val="en-US" w:eastAsia="zh-CN"/>
        </w:rPr>
        <w:t>滁州市老城区排涝综合整治工程-城西干渠（凤谯路-会峰路）改造工程工程量清单及最高投标限价编制服务项目</w:t>
      </w:r>
    </w:p>
    <w:p w14:paraId="6D207B7D">
      <w:pPr>
        <w:spacing w:line="400" w:lineRule="atLeast"/>
        <w:jc w:val="center"/>
        <w:rPr>
          <w:rFonts w:hint="eastAsia" w:ascii="宋体" w:hAnsi="宋体" w:eastAsia="宋体" w:cs="宋体"/>
          <w:b/>
          <w:bCs/>
          <w:color w:val="auto"/>
          <w:sz w:val="98"/>
          <w:szCs w:val="98"/>
          <w:highlight w:val="none"/>
        </w:rPr>
      </w:pPr>
    </w:p>
    <w:p w14:paraId="34C3FEB2">
      <w:pPr>
        <w:spacing w:line="400" w:lineRule="atLeast"/>
        <w:jc w:val="center"/>
        <w:rPr>
          <w:rFonts w:hint="eastAsia" w:ascii="宋体" w:hAnsi="宋体" w:eastAsia="宋体" w:cs="宋体"/>
          <w:b/>
          <w:bCs/>
          <w:color w:val="auto"/>
          <w:sz w:val="98"/>
          <w:szCs w:val="98"/>
          <w:highlight w:val="none"/>
        </w:rPr>
      </w:pPr>
      <w:r>
        <w:rPr>
          <w:rFonts w:hint="eastAsia" w:ascii="宋体" w:hAnsi="宋体" w:eastAsia="宋体" w:cs="宋体"/>
          <w:b/>
          <w:bCs/>
          <w:color w:val="auto"/>
          <w:sz w:val="98"/>
          <w:szCs w:val="98"/>
          <w:highlight w:val="none"/>
        </w:rPr>
        <w:t>招</w:t>
      </w:r>
      <w:r>
        <w:rPr>
          <w:rFonts w:hint="eastAsia" w:ascii="宋体" w:hAnsi="宋体" w:eastAsia="宋体" w:cs="宋体"/>
          <w:b/>
          <w:bCs/>
          <w:color w:val="auto"/>
          <w:sz w:val="98"/>
          <w:szCs w:val="98"/>
          <w:highlight w:val="none"/>
          <w:lang w:val="en-US" w:eastAsia="zh-CN"/>
        </w:rPr>
        <w:t xml:space="preserve"> </w:t>
      </w:r>
      <w:r>
        <w:rPr>
          <w:rFonts w:hint="eastAsia" w:ascii="宋体" w:hAnsi="宋体" w:eastAsia="宋体" w:cs="宋体"/>
          <w:b/>
          <w:bCs/>
          <w:color w:val="auto"/>
          <w:sz w:val="98"/>
          <w:szCs w:val="98"/>
          <w:highlight w:val="none"/>
        </w:rPr>
        <w:t>标</w:t>
      </w:r>
      <w:r>
        <w:rPr>
          <w:rFonts w:hint="eastAsia" w:ascii="宋体" w:hAnsi="宋体" w:eastAsia="宋体" w:cs="宋体"/>
          <w:b/>
          <w:bCs/>
          <w:color w:val="auto"/>
          <w:sz w:val="98"/>
          <w:szCs w:val="98"/>
          <w:highlight w:val="none"/>
          <w:lang w:val="en-US" w:eastAsia="zh-CN"/>
        </w:rPr>
        <w:t xml:space="preserve"> </w:t>
      </w:r>
      <w:r>
        <w:rPr>
          <w:rFonts w:hint="eastAsia" w:ascii="宋体" w:hAnsi="宋体" w:eastAsia="宋体" w:cs="宋体"/>
          <w:b/>
          <w:bCs/>
          <w:color w:val="auto"/>
          <w:sz w:val="98"/>
          <w:szCs w:val="98"/>
          <w:highlight w:val="none"/>
        </w:rPr>
        <w:t>文</w:t>
      </w:r>
      <w:r>
        <w:rPr>
          <w:rFonts w:hint="eastAsia" w:ascii="宋体" w:hAnsi="宋体" w:eastAsia="宋体" w:cs="宋体"/>
          <w:b/>
          <w:bCs/>
          <w:color w:val="auto"/>
          <w:sz w:val="98"/>
          <w:szCs w:val="98"/>
          <w:highlight w:val="none"/>
          <w:lang w:val="en-US" w:eastAsia="zh-CN"/>
        </w:rPr>
        <w:t xml:space="preserve"> </w:t>
      </w:r>
      <w:r>
        <w:rPr>
          <w:rFonts w:hint="eastAsia" w:ascii="宋体" w:hAnsi="宋体" w:eastAsia="宋体" w:cs="宋体"/>
          <w:b/>
          <w:bCs/>
          <w:color w:val="auto"/>
          <w:sz w:val="98"/>
          <w:szCs w:val="98"/>
          <w:highlight w:val="none"/>
        </w:rPr>
        <w:t>件</w:t>
      </w:r>
    </w:p>
    <w:p w14:paraId="7FF27D73">
      <w:pPr>
        <w:wordWrap w:val="0"/>
        <w:spacing w:line="800" w:lineRule="exact"/>
        <w:ind w:right="480"/>
        <w:jc w:val="center"/>
        <w:rPr>
          <w:rFonts w:hint="eastAsia" w:ascii="宋体" w:hAnsi="宋体" w:eastAsia="宋体" w:cs="宋体"/>
          <w:color w:val="auto"/>
          <w:sz w:val="32"/>
          <w:highlight w:val="none"/>
          <w:lang w:val="en-US" w:eastAsia="zh-CN"/>
        </w:rPr>
      </w:pPr>
    </w:p>
    <w:p w14:paraId="6228E25F">
      <w:pPr>
        <w:wordWrap w:val="0"/>
        <w:spacing w:line="800" w:lineRule="exact"/>
        <w:ind w:right="480"/>
        <w:jc w:val="center"/>
        <w:rPr>
          <w:rFonts w:hint="default" w:ascii="宋体" w:hAnsi="宋体" w:eastAsia="宋体" w:cs="宋体"/>
          <w:color w:val="auto"/>
          <w:sz w:val="32"/>
          <w:highlight w:val="none"/>
          <w:lang w:val="en-US" w:eastAsia="zh-CN"/>
        </w:rPr>
      </w:pPr>
      <w:r>
        <w:rPr>
          <w:rFonts w:hint="eastAsia" w:ascii="宋体" w:hAnsi="宋体" w:eastAsia="宋体" w:cs="宋体"/>
          <w:color w:val="auto"/>
          <w:sz w:val="32"/>
          <w:highlight w:val="none"/>
          <w:lang w:val="en-US" w:eastAsia="zh-CN"/>
        </w:rPr>
        <w:t>项目编号：HXJY1110001039177001001</w:t>
      </w:r>
      <w:r>
        <w:rPr>
          <w:rFonts w:hint="eastAsia" w:ascii="宋体" w:hAnsi="宋体" w:cs="宋体"/>
          <w:color w:val="auto"/>
          <w:sz w:val="32"/>
          <w:highlight w:val="none"/>
          <w:lang w:val="en-US" w:eastAsia="zh-CN"/>
        </w:rPr>
        <w:t xml:space="preserve">  </w:t>
      </w:r>
    </w:p>
    <w:p w14:paraId="1CCCA184">
      <w:pPr>
        <w:spacing w:line="480" w:lineRule="exact"/>
        <w:ind w:firstLine="643" w:firstLineChars="200"/>
        <w:jc w:val="center"/>
        <w:rPr>
          <w:rFonts w:hint="eastAsia" w:ascii="宋体" w:hAnsi="宋体" w:eastAsia="宋体" w:cs="宋体"/>
          <w:b/>
          <w:bCs/>
          <w:color w:val="auto"/>
          <w:sz w:val="32"/>
          <w:szCs w:val="32"/>
          <w:highlight w:val="none"/>
        </w:rPr>
      </w:pPr>
    </w:p>
    <w:p w14:paraId="59E21AA2">
      <w:pPr>
        <w:pageBreakBefore w:val="0"/>
        <w:kinsoku/>
        <w:overflowPunct/>
        <w:bidi w:val="0"/>
        <w:spacing w:line="600" w:lineRule="exact"/>
        <w:ind w:right="0" w:rightChars="0"/>
        <w:jc w:val="center"/>
        <w:rPr>
          <w:rFonts w:hint="eastAsia" w:ascii="宋体" w:hAnsi="宋体" w:eastAsia="宋体" w:cs="宋体"/>
          <w:b/>
          <w:bCs/>
          <w:color w:val="auto"/>
          <w:sz w:val="32"/>
          <w:szCs w:val="32"/>
          <w:highlight w:val="none"/>
        </w:rPr>
      </w:pPr>
      <w:r>
        <w:rPr>
          <w:rFonts w:hint="eastAsia" w:ascii="宋体" w:hAnsi="宋体" w:cs="宋体"/>
          <w:color w:val="auto"/>
          <w:sz w:val="28"/>
          <w:szCs w:val="28"/>
          <w:highlight w:val="none"/>
        </w:rPr>
        <w:t>（自行公开招标）</w:t>
      </w:r>
    </w:p>
    <w:p w14:paraId="77366701">
      <w:pPr>
        <w:pStyle w:val="2"/>
        <w:rPr>
          <w:rFonts w:hint="eastAsia" w:ascii="宋体" w:hAnsi="宋体" w:eastAsia="宋体" w:cs="宋体"/>
          <w:b/>
          <w:bCs/>
          <w:color w:val="auto"/>
          <w:sz w:val="32"/>
          <w:szCs w:val="32"/>
          <w:highlight w:val="none"/>
        </w:rPr>
      </w:pPr>
    </w:p>
    <w:p w14:paraId="536C2082">
      <w:pPr>
        <w:spacing w:line="480" w:lineRule="exact"/>
        <w:rPr>
          <w:rFonts w:hint="eastAsia" w:ascii="宋体" w:hAnsi="宋体" w:eastAsia="宋体" w:cs="宋体"/>
          <w:b/>
          <w:bCs/>
          <w:color w:val="auto"/>
          <w:sz w:val="32"/>
          <w:szCs w:val="32"/>
          <w:highlight w:val="none"/>
        </w:rPr>
      </w:pPr>
    </w:p>
    <w:p w14:paraId="0292DE31">
      <w:pPr>
        <w:rPr>
          <w:rFonts w:hint="eastAsia" w:ascii="宋体" w:hAnsi="宋体" w:eastAsia="宋体" w:cs="宋体"/>
          <w:color w:val="auto"/>
          <w:highlight w:val="none"/>
        </w:rPr>
      </w:pPr>
    </w:p>
    <w:p w14:paraId="311E90DF">
      <w:pPr>
        <w:rPr>
          <w:rFonts w:hint="eastAsia" w:ascii="宋体" w:hAnsi="宋体" w:eastAsia="宋体" w:cs="宋体"/>
          <w:color w:val="auto"/>
          <w:highlight w:val="none"/>
        </w:rPr>
      </w:pPr>
    </w:p>
    <w:p w14:paraId="6224BB2F">
      <w:pPr>
        <w:rPr>
          <w:rFonts w:hint="eastAsia" w:ascii="宋体" w:hAnsi="宋体" w:eastAsia="宋体" w:cs="宋体"/>
          <w:color w:val="auto"/>
          <w:highlight w:val="none"/>
        </w:rPr>
      </w:pPr>
    </w:p>
    <w:p w14:paraId="44D60B52">
      <w:pPr>
        <w:wordWrap w:val="0"/>
        <w:spacing w:line="800" w:lineRule="exact"/>
        <w:ind w:right="480"/>
        <w:jc w:val="center"/>
        <w:rPr>
          <w:rFonts w:hint="eastAsia" w:ascii="宋体" w:hAnsi="宋体" w:eastAsia="宋体" w:cs="宋体"/>
          <w:color w:val="auto"/>
          <w:sz w:val="32"/>
          <w:highlight w:val="none"/>
        </w:rPr>
      </w:pPr>
      <w:r>
        <w:rPr>
          <w:rFonts w:hint="eastAsia" w:ascii="宋体" w:hAnsi="宋体" w:cs="宋体"/>
          <w:color w:val="auto"/>
          <w:sz w:val="32"/>
          <w:highlight w:val="none"/>
          <w:lang w:val="en-US" w:eastAsia="zh-CN"/>
        </w:rPr>
        <w:t xml:space="preserve">   </w:t>
      </w:r>
      <w:r>
        <w:rPr>
          <w:rFonts w:hint="eastAsia" w:ascii="宋体" w:hAnsi="宋体" w:eastAsia="宋体" w:cs="宋体"/>
          <w:color w:val="auto"/>
          <w:sz w:val="32"/>
          <w:highlight w:val="none"/>
          <w:lang w:val="en-US" w:eastAsia="zh-CN"/>
        </w:rPr>
        <w:t>招标</w:t>
      </w:r>
      <w:r>
        <w:rPr>
          <w:rFonts w:hint="eastAsia" w:ascii="宋体" w:hAnsi="宋体" w:eastAsia="宋体" w:cs="宋体"/>
          <w:color w:val="auto"/>
          <w:sz w:val="32"/>
          <w:highlight w:val="none"/>
        </w:rPr>
        <w:t>单位：</w:t>
      </w:r>
      <w:r>
        <w:rPr>
          <w:rFonts w:hint="eastAsia" w:ascii="宋体" w:hAnsi="宋体" w:cs="宋体"/>
          <w:color w:val="auto"/>
          <w:sz w:val="32"/>
          <w:highlight w:val="none"/>
          <w:u w:val="single"/>
          <w:lang w:val="en-US" w:eastAsia="zh-CN"/>
        </w:rPr>
        <w:t xml:space="preserve">   </w:t>
      </w:r>
      <w:r>
        <w:rPr>
          <w:rFonts w:hint="eastAsia" w:ascii="宋体" w:cs="宋体"/>
          <w:color w:val="auto"/>
          <w:sz w:val="32"/>
          <w:highlight w:val="none"/>
          <w:u w:val="single"/>
          <w:lang w:val="en-US" w:eastAsia="zh-CN"/>
        </w:rPr>
        <w:t xml:space="preserve">滁州市重点工程建设管理处   </w:t>
      </w:r>
      <w:r>
        <w:rPr>
          <w:rFonts w:hint="eastAsia" w:ascii="宋体" w:hAnsi="宋体" w:eastAsia="宋体" w:cs="宋体"/>
          <w:color w:val="auto"/>
          <w:sz w:val="32"/>
          <w:highlight w:val="none"/>
          <w:u w:val="single"/>
        </w:rPr>
        <w:t>（盖章）</w:t>
      </w:r>
    </w:p>
    <w:p w14:paraId="7964B908">
      <w:pPr>
        <w:spacing w:line="800" w:lineRule="exact"/>
        <w:jc w:val="center"/>
        <w:rPr>
          <w:rFonts w:hint="eastAsia" w:ascii="宋体" w:hAnsi="宋体" w:eastAsia="宋体" w:cs="宋体"/>
          <w:color w:val="auto"/>
          <w:sz w:val="32"/>
          <w:highlight w:val="none"/>
          <w:u w:val="single"/>
        </w:rPr>
      </w:pPr>
      <w:r>
        <w:rPr>
          <w:rFonts w:hint="eastAsia" w:ascii="宋体" w:hAnsi="宋体" w:eastAsia="宋体" w:cs="宋体"/>
          <w:color w:val="auto"/>
          <w:sz w:val="32"/>
          <w:highlight w:val="none"/>
        </w:rPr>
        <w:t>代理机构：</w:t>
      </w:r>
      <w:r>
        <w:rPr>
          <w:rFonts w:hint="eastAsia" w:ascii="宋体" w:hAnsi="宋体" w:eastAsia="宋体" w:cs="宋体"/>
          <w:color w:val="auto"/>
          <w:sz w:val="32"/>
          <w:highlight w:val="none"/>
          <w:u w:val="single"/>
        </w:rPr>
        <w:t>滁州市城投工程咨询管理有限公司（盖章）</w:t>
      </w:r>
    </w:p>
    <w:p w14:paraId="10160BEE">
      <w:pPr>
        <w:spacing w:line="800" w:lineRule="exact"/>
        <w:jc w:val="center"/>
        <w:rPr>
          <w:rFonts w:hint="eastAsia" w:ascii="宋体" w:hAnsi="宋体" w:eastAsia="宋体" w:cs="宋体"/>
          <w:color w:val="auto"/>
          <w:sz w:val="32"/>
          <w:highlight w:val="none"/>
        </w:rPr>
      </w:pPr>
      <w:r>
        <w:rPr>
          <w:rFonts w:hint="eastAsia" w:ascii="宋体" w:hAnsi="宋体" w:eastAsia="宋体" w:cs="宋体"/>
          <w:color w:val="auto"/>
          <w:sz w:val="32"/>
          <w:highlight w:val="none"/>
          <w:u w:val="none"/>
        </w:rPr>
        <w:t>202</w:t>
      </w:r>
      <w:r>
        <w:rPr>
          <w:rFonts w:hint="eastAsia" w:ascii="宋体" w:hAnsi="宋体" w:cs="宋体"/>
          <w:color w:val="auto"/>
          <w:sz w:val="32"/>
          <w:highlight w:val="none"/>
          <w:u w:val="none"/>
          <w:lang w:val="en-US" w:eastAsia="zh-CN"/>
        </w:rPr>
        <w:t>5</w:t>
      </w:r>
      <w:r>
        <w:rPr>
          <w:rFonts w:hint="eastAsia" w:ascii="宋体" w:hAnsi="宋体" w:eastAsia="宋体" w:cs="宋体"/>
          <w:color w:val="auto"/>
          <w:sz w:val="32"/>
          <w:highlight w:val="none"/>
          <w:u w:val="none"/>
        </w:rPr>
        <w:t>年</w:t>
      </w:r>
      <w:r>
        <w:rPr>
          <w:rFonts w:hint="eastAsia" w:ascii="宋体" w:hAnsi="宋体" w:cs="宋体"/>
          <w:color w:val="auto"/>
          <w:sz w:val="32"/>
          <w:highlight w:val="none"/>
          <w:u w:val="none"/>
          <w:lang w:val="en-US" w:eastAsia="zh-CN"/>
        </w:rPr>
        <w:t>7</w:t>
      </w:r>
      <w:r>
        <w:rPr>
          <w:rFonts w:hint="eastAsia" w:ascii="宋体" w:hAnsi="宋体" w:eastAsia="宋体" w:cs="宋体"/>
          <w:color w:val="auto"/>
          <w:sz w:val="32"/>
          <w:highlight w:val="none"/>
          <w:u w:val="none"/>
        </w:rPr>
        <w:t>月</w:t>
      </w:r>
    </w:p>
    <w:p w14:paraId="7559EB01">
      <w:pP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br w:type="page"/>
      </w:r>
    </w:p>
    <w:p w14:paraId="35F77A08">
      <w:pPr>
        <w:spacing w:line="800" w:lineRule="exact"/>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目  录</w:t>
      </w:r>
    </w:p>
    <w:p w14:paraId="6259B4B0">
      <w:pPr>
        <w:pStyle w:val="32"/>
        <w:tabs>
          <w:tab w:val="right" w:leader="dot" w:pos="9541"/>
          <w:tab w:val="clear" w:pos="8296"/>
        </w:tabs>
        <w:rPr>
          <w:rFonts w:hint="eastAsia" w:ascii="宋体" w:hAnsi="宋体" w:eastAsia="宋体" w:cs="宋体"/>
          <w:b w:val="0"/>
          <w:bCs w:val="0"/>
          <w:color w:val="auto"/>
          <w:sz w:val="24"/>
          <w:szCs w:val="24"/>
          <w:highlight w:val="none"/>
        </w:rPr>
      </w:pPr>
    </w:p>
    <w:p w14:paraId="169A3C3F">
      <w:pPr>
        <w:pStyle w:val="32"/>
        <w:tabs>
          <w:tab w:val="right" w:leader="dot" w:pos="9541"/>
          <w:tab w:val="clear" w:pos="829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_Toc2570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val="en-US" w:eastAsia="zh-CN"/>
        </w:rPr>
        <w:t>A、 招标公告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_Toc2570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8C2286D">
      <w:pPr>
        <w:pStyle w:val="32"/>
        <w:tabs>
          <w:tab w:val="right" w:leader="dot" w:pos="9541"/>
          <w:tab w:val="clear" w:pos="829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_Toc24103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一</w:t>
      </w:r>
      <w:r>
        <w:rPr>
          <w:rFonts w:hint="eastAsia" w:ascii="宋体" w:hAnsi="宋体" w:eastAsia="宋体" w:cs="宋体"/>
          <w:color w:val="auto"/>
          <w:sz w:val="28"/>
          <w:szCs w:val="28"/>
          <w:highlight w:val="none"/>
        </w:rPr>
        <w:t>章</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_Toc24103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321A477">
      <w:pPr>
        <w:pStyle w:val="32"/>
        <w:tabs>
          <w:tab w:val="right" w:leader="dot" w:pos="9541"/>
          <w:tab w:val="clear" w:pos="829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_Toc21844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val="en-US" w:eastAsia="zh-CN"/>
        </w:rPr>
        <w:t>第二章 评标办法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_Toc21844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135DC7D">
      <w:pPr>
        <w:pStyle w:val="32"/>
        <w:tabs>
          <w:tab w:val="right" w:leader="dot" w:pos="9541"/>
          <w:tab w:val="clear" w:pos="829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_Toc29967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val="en-US" w:eastAsia="zh-CN"/>
        </w:rPr>
        <w:t>第三章 合同条款</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_Toc29967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D4A9845">
      <w:pPr>
        <w:pStyle w:val="32"/>
        <w:tabs>
          <w:tab w:val="right" w:leader="dot" w:pos="9541"/>
          <w:tab w:val="clear" w:pos="829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_Toc1482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val="en-US" w:eastAsia="zh-CN"/>
        </w:rPr>
        <w:t>第四章 投标文件格式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_Toc1482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EF6C0CD">
      <w:pPr>
        <w:pStyle w:val="32"/>
        <w:tabs>
          <w:tab w:val="right" w:leader="dot" w:pos="9541"/>
          <w:tab w:val="clear" w:pos="829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_Toc6595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val="en-US" w:eastAsia="zh-CN"/>
        </w:rPr>
        <w:t>第五章 招标单位、招标代理机构对本招标文件的确认</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_Toc6595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4C50B0C">
      <w:pPr>
        <w:rPr>
          <w:color w:val="auto"/>
          <w:highlight w:val="none"/>
        </w:rPr>
      </w:pPr>
      <w:r>
        <w:rPr>
          <w:rFonts w:hint="eastAsia" w:ascii="宋体" w:hAnsi="宋体" w:eastAsia="宋体" w:cs="宋体"/>
          <w:color w:val="auto"/>
          <w:sz w:val="28"/>
          <w:szCs w:val="28"/>
          <w:highlight w:val="none"/>
        </w:rPr>
        <w:fldChar w:fldCharType="end"/>
      </w:r>
    </w:p>
    <w:p w14:paraId="2E1D2DC7">
      <w:pPr>
        <w:pStyle w:val="6"/>
        <w:spacing w:before="0" w:after="0" w:line="48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w:t>
      </w:r>
    </w:p>
    <w:p w14:paraId="7DC563D7">
      <w:pPr>
        <w:rPr>
          <w:rFonts w:hint="eastAsia" w:ascii="宋体" w:hAnsi="宋体" w:eastAsia="宋体" w:cs="宋体"/>
          <w:color w:val="auto"/>
          <w:highlight w:val="none"/>
        </w:rPr>
        <w:sectPr>
          <w:footerReference r:id="rId5" w:type="first"/>
          <w:headerReference r:id="rId3" w:type="default"/>
          <w:footerReference r:id="rId4" w:type="default"/>
          <w:pgSz w:w="11906" w:h="16838"/>
          <w:pgMar w:top="1134" w:right="1106" w:bottom="1134" w:left="1259" w:header="680" w:footer="680" w:gutter="0"/>
          <w:pgNumType w:start="1"/>
          <w:cols w:space="0" w:num="1"/>
          <w:docGrid w:type="lines" w:linePitch="318" w:charSpace="0"/>
        </w:sectPr>
      </w:pPr>
      <w:r>
        <w:rPr>
          <w:rFonts w:hint="eastAsia" w:ascii="宋体" w:hAnsi="宋体" w:eastAsia="宋体" w:cs="宋体"/>
          <w:b w:val="0"/>
          <w:bCs w:val="0"/>
          <w:color w:val="auto"/>
          <w:sz w:val="24"/>
          <w:szCs w:val="24"/>
          <w:highlight w:val="none"/>
        </w:rPr>
        <w:tab/>
      </w:r>
    </w:p>
    <w:p w14:paraId="3D41C168">
      <w:pPr>
        <w:pStyle w:val="6"/>
        <w:keepNext/>
        <w:keepLines/>
        <w:pageBreakBefore w:val="0"/>
        <w:widowControl w:val="0"/>
        <w:numPr>
          <w:ilvl w:val="0"/>
          <w:numId w:val="1"/>
        </w:numPr>
        <w:kinsoku/>
        <w:wordWrap/>
        <w:overflowPunct/>
        <w:topLinePunct w:val="0"/>
        <w:bidi w:val="0"/>
        <w:snapToGrid/>
        <w:spacing w:before="0" w:after="0" w:line="500" w:lineRule="exact"/>
        <w:textAlignment w:val="auto"/>
        <w:rPr>
          <w:rFonts w:hint="eastAsia" w:ascii="宋体" w:hAnsi="宋体" w:eastAsia="宋体" w:cs="宋体"/>
          <w:color w:val="auto"/>
          <w:highlight w:val="none"/>
          <w:lang w:val="en-US" w:eastAsia="zh-CN"/>
        </w:rPr>
      </w:pPr>
      <w:bookmarkStart w:id="0" w:name="_Toc2570"/>
      <w:bookmarkStart w:id="1" w:name="_Toc16309"/>
      <w:r>
        <w:rPr>
          <w:rFonts w:hint="eastAsia" w:ascii="宋体" w:hAnsi="宋体" w:eastAsia="宋体" w:cs="宋体"/>
          <w:color w:val="auto"/>
          <w:highlight w:val="none"/>
          <w:lang w:val="en-US" w:eastAsia="zh-CN"/>
        </w:rPr>
        <w:t>招标公告</w:t>
      </w:r>
      <w:bookmarkEnd w:id="0"/>
    </w:p>
    <w:p w14:paraId="6153588B">
      <w:pPr>
        <w:pStyle w:val="6"/>
        <w:keepNext/>
        <w:keepLines/>
        <w:pageBreakBefore w:val="0"/>
        <w:widowControl w:val="0"/>
        <w:tabs>
          <w:tab w:val="left" w:pos="0"/>
          <w:tab w:val="left" w:pos="3165"/>
          <w:tab w:val="center" w:pos="4153"/>
        </w:tabs>
        <w:kinsoku/>
        <w:wordWrap/>
        <w:overflowPunct/>
        <w:topLinePunct w:val="0"/>
        <w:autoSpaceDE w:val="0"/>
        <w:autoSpaceDN w:val="0"/>
        <w:bidi w:val="0"/>
        <w:adjustRightInd w:val="0"/>
        <w:snapToGrid/>
        <w:spacing w:before="0" w:after="0" w:line="500" w:lineRule="exact"/>
        <w:jc w:val="center"/>
        <w:textAlignment w:val="auto"/>
        <w:rPr>
          <w:rFonts w:hint="eastAsia" w:ascii="华文中宋" w:hAnsi="华文中宋" w:eastAsia="华文中宋" w:cs="Times New Roman"/>
          <w:color w:val="auto"/>
          <w:highlight w:val="none"/>
          <w:lang w:eastAsia="zh-CN"/>
        </w:rPr>
      </w:pPr>
      <w:bookmarkStart w:id="2" w:name="_Toc21262"/>
      <w:bookmarkStart w:id="3" w:name="_Toc14627"/>
      <w:bookmarkStart w:id="4" w:name="_Toc9827"/>
      <w:r>
        <w:rPr>
          <w:rFonts w:hint="eastAsia" w:ascii="华文中宋" w:hAnsi="华文中宋" w:eastAsia="华文中宋" w:cs="Times New Roman"/>
          <w:color w:val="auto"/>
          <w:highlight w:val="none"/>
          <w:lang w:val="en-US" w:eastAsia="zh-CN"/>
        </w:rPr>
        <w:t>滁州市老城区排涝综合整治工程-城西干渠（凤谯路-会峰路）改造工程工程量清单及最高投标限价编制服务项目</w:t>
      </w:r>
      <w:r>
        <w:rPr>
          <w:rFonts w:hint="eastAsia" w:ascii="华文中宋" w:hAnsi="华文中宋" w:eastAsia="华文中宋" w:cs="Times New Roman"/>
          <w:color w:val="auto"/>
          <w:highlight w:val="none"/>
          <w:lang w:eastAsia="zh-CN"/>
        </w:rPr>
        <w:t>招标公告</w:t>
      </w:r>
      <w:bookmarkEnd w:id="2"/>
      <w:bookmarkEnd w:id="3"/>
      <w:r>
        <w:rPr>
          <w:rFonts w:hint="eastAsia" w:ascii="华文中宋" w:hAnsi="华文中宋" w:eastAsia="华文中宋" w:cs="Times New Roman"/>
          <w:color w:val="auto"/>
          <w:highlight w:val="none"/>
          <w:lang w:eastAsia="zh-CN"/>
        </w:rPr>
        <w:t>（</w:t>
      </w:r>
      <w:r>
        <w:rPr>
          <w:rFonts w:hint="eastAsia" w:ascii="华文中宋" w:hAnsi="华文中宋" w:eastAsia="华文中宋" w:cs="Times New Roman"/>
          <w:color w:val="auto"/>
          <w:highlight w:val="none"/>
          <w:lang w:val="en-US" w:eastAsia="zh-CN"/>
        </w:rPr>
        <w:t>不见面开标</w:t>
      </w:r>
      <w:r>
        <w:rPr>
          <w:rFonts w:hint="eastAsia" w:ascii="华文中宋" w:hAnsi="华文中宋" w:eastAsia="华文中宋" w:cs="Times New Roman"/>
          <w:color w:val="auto"/>
          <w:highlight w:val="none"/>
          <w:lang w:eastAsia="zh-CN"/>
        </w:rPr>
        <w:t>）</w:t>
      </w:r>
      <w:bookmarkEnd w:id="4"/>
    </w:p>
    <w:p w14:paraId="0105351F">
      <w:pPr>
        <w:keepNext/>
        <w:keepLines/>
        <w:pageBreakBefore w:val="0"/>
        <w:widowControl w:val="0"/>
        <w:kinsoku/>
        <w:wordWrap/>
        <w:overflowPunct/>
        <w:topLinePunct w:val="0"/>
        <w:autoSpaceDE/>
        <w:autoSpaceDN/>
        <w:bidi w:val="0"/>
        <w:adjustRightInd/>
        <w:snapToGrid/>
        <w:spacing w:before="100" w:after="100" w:line="440" w:lineRule="exact"/>
        <w:ind w:firstLine="422" w:firstLineChars="200"/>
        <w:textAlignment w:val="auto"/>
        <w:outlineLvl w:val="9"/>
        <w:rPr>
          <w:rFonts w:hint="eastAsia" w:ascii="宋体" w:hAnsi="宋体" w:eastAsia="宋体" w:cs="宋体"/>
          <w:b w:val="0"/>
          <w:color w:val="auto"/>
          <w:sz w:val="21"/>
          <w:szCs w:val="21"/>
          <w:highlight w:val="none"/>
        </w:rPr>
      </w:pPr>
      <w:bookmarkStart w:id="5" w:name="_Toc28359002"/>
      <w:bookmarkStart w:id="6" w:name="_Toc35393790"/>
      <w:bookmarkStart w:id="7" w:name="_Toc31215"/>
      <w:bookmarkStart w:id="8" w:name="_Toc35393621"/>
      <w:bookmarkStart w:id="9" w:name="_Toc11704"/>
      <w:bookmarkStart w:id="10" w:name="_Toc28359079"/>
      <w:bookmarkStart w:id="11" w:name="_Toc23993"/>
      <w:bookmarkStart w:id="12" w:name="_Hlk24379207"/>
      <w:r>
        <w:rPr>
          <w:rFonts w:hint="eastAsia" w:ascii="宋体" w:hAnsi="宋体" w:eastAsia="宋体" w:cs="宋体"/>
          <w:b/>
          <w:bCs/>
          <w:color w:val="auto"/>
          <w:sz w:val="21"/>
          <w:szCs w:val="21"/>
          <w:highlight w:val="none"/>
        </w:rPr>
        <w:t>一、项目基本情况</w:t>
      </w:r>
      <w:bookmarkEnd w:id="5"/>
      <w:bookmarkEnd w:id="6"/>
      <w:bookmarkEnd w:id="7"/>
      <w:bookmarkEnd w:id="8"/>
      <w:bookmarkEnd w:id="9"/>
      <w:bookmarkEnd w:id="10"/>
      <w:bookmarkEnd w:id="11"/>
    </w:p>
    <w:bookmarkEnd w:id="12"/>
    <w:p w14:paraId="660E968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sz w:val="21"/>
          <w:szCs w:val="21"/>
          <w:highlight w:val="none"/>
          <w:lang w:val="en-US"/>
        </w:rPr>
      </w:pPr>
      <w:bookmarkStart w:id="13" w:name="_Toc35393622"/>
      <w:bookmarkStart w:id="14" w:name="_Toc28004"/>
      <w:bookmarkStart w:id="15" w:name="_Toc4879"/>
      <w:bookmarkStart w:id="16" w:name="_Toc28359080"/>
      <w:bookmarkStart w:id="17" w:name="_Toc35393791"/>
      <w:bookmarkStart w:id="18" w:name="_Toc28359003"/>
      <w:r>
        <w:rPr>
          <w:rFonts w:hint="eastAsia" w:ascii="宋体" w:hAnsi="宋体" w:eastAsia="宋体" w:cs="宋体"/>
          <w:i w:val="0"/>
          <w:iCs w:val="0"/>
          <w:caps w:val="0"/>
          <w:color w:val="auto"/>
          <w:spacing w:val="0"/>
          <w:kern w:val="0"/>
          <w:sz w:val="21"/>
          <w:szCs w:val="21"/>
          <w:highlight w:val="none"/>
          <w:shd w:val="clear" w:fill="FFFFFF"/>
          <w:lang w:val="en-US" w:eastAsia="zh-CN" w:bidi="ar"/>
        </w:rPr>
        <w:t>项目编号：HXJY1110001039177001001</w:t>
      </w:r>
      <w:r>
        <w:rPr>
          <w:rFonts w:hint="eastAsia" w:ascii="宋体" w:hAnsi="宋体" w:cs="宋体"/>
          <w:i w:val="0"/>
          <w:iCs w:val="0"/>
          <w:caps w:val="0"/>
          <w:color w:val="auto"/>
          <w:spacing w:val="0"/>
          <w:kern w:val="0"/>
          <w:sz w:val="21"/>
          <w:szCs w:val="21"/>
          <w:highlight w:val="none"/>
          <w:shd w:val="clear" w:fill="FFFFFF"/>
          <w:lang w:val="en-US" w:eastAsia="zh-CN" w:bidi="ar"/>
        </w:rPr>
        <w:t xml:space="preserve">  </w:t>
      </w:r>
    </w:p>
    <w:p w14:paraId="20F961E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项目名称：</w:t>
      </w:r>
      <w:r>
        <w:rPr>
          <w:rFonts w:hint="eastAsia" w:ascii="华文中宋" w:hAnsi="华文中宋" w:eastAsia="华文中宋" w:cs="Times New Roman"/>
          <w:color w:val="auto"/>
          <w:highlight w:val="none"/>
          <w:lang w:val="en-US" w:eastAsia="zh-CN"/>
        </w:rPr>
        <w:t>滁州市老城区排涝综合整治工程-城西干渠（凤谯路-会峰路）改造工程工程量清单及最高投标限价编制服务项目</w:t>
      </w:r>
    </w:p>
    <w:p w14:paraId="1991BF2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sz w:val="21"/>
          <w:szCs w:val="21"/>
          <w:highlight w:val="none"/>
          <w:lang w:val="en-US"/>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预算金额：约</w:t>
      </w:r>
      <w:r>
        <w:rPr>
          <w:rFonts w:hint="eastAsia" w:ascii="宋体" w:hAnsi="宋体" w:cs="宋体"/>
          <w:i w:val="0"/>
          <w:iCs w:val="0"/>
          <w:caps w:val="0"/>
          <w:color w:val="auto"/>
          <w:spacing w:val="0"/>
          <w:kern w:val="0"/>
          <w:sz w:val="21"/>
          <w:szCs w:val="21"/>
          <w:highlight w:val="none"/>
          <w:shd w:val="clear" w:fill="FFFFFF"/>
          <w:lang w:val="en-US" w:eastAsia="zh-CN" w:bidi="ar"/>
        </w:rPr>
        <w:t>2.3万元</w:t>
      </w:r>
    </w:p>
    <w:p w14:paraId="126CD65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最高限价：《收费标准》计算费用的40%（报价均保留两位小数，小数点后第三位将四舍五入进行修正），投标单位投标报价不得高于上述费率最高限价，否则按无效标处理。《收费标准》详见附表。</w:t>
      </w:r>
    </w:p>
    <w:p w14:paraId="5196B8A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注：</w:t>
      </w:r>
      <w:r>
        <w:rPr>
          <w:rFonts w:hint="eastAsia" w:ascii="宋体" w:hAnsi="宋体" w:cs="宋体"/>
          <w:i w:val="0"/>
          <w:iCs w:val="0"/>
          <w:caps w:val="0"/>
          <w:color w:val="auto"/>
          <w:spacing w:val="0"/>
          <w:kern w:val="0"/>
          <w:sz w:val="21"/>
          <w:szCs w:val="21"/>
          <w:highlight w:val="none"/>
          <w:shd w:val="clear" w:fill="FFFFFF"/>
          <w:lang w:val="en-US" w:eastAsia="zh-CN" w:bidi="ar"/>
        </w:rPr>
        <w:t>编制</w:t>
      </w:r>
      <w:r>
        <w:rPr>
          <w:rFonts w:hint="eastAsia" w:ascii="宋体" w:hAnsi="宋体" w:eastAsia="宋体" w:cs="宋体"/>
          <w:i w:val="0"/>
          <w:iCs w:val="0"/>
          <w:caps w:val="0"/>
          <w:color w:val="auto"/>
          <w:spacing w:val="0"/>
          <w:kern w:val="0"/>
          <w:sz w:val="21"/>
          <w:szCs w:val="21"/>
          <w:highlight w:val="none"/>
          <w:shd w:val="clear" w:fill="FFFFFF"/>
          <w:lang w:val="en-US" w:eastAsia="zh-CN" w:bidi="ar"/>
        </w:rPr>
        <w:t>服务费用</w:t>
      </w:r>
      <w:r>
        <w:rPr>
          <w:rFonts w:hint="eastAsia" w:ascii="宋体" w:hAnsi="宋体" w:cs="宋体"/>
          <w:i w:val="0"/>
          <w:iCs w:val="0"/>
          <w:caps w:val="0"/>
          <w:color w:val="auto"/>
          <w:spacing w:val="0"/>
          <w:kern w:val="0"/>
          <w:sz w:val="21"/>
          <w:szCs w:val="21"/>
          <w:highlight w:val="none"/>
          <w:shd w:val="clear" w:fill="FFFFFF"/>
          <w:lang w:val="en-US" w:eastAsia="zh-CN" w:bidi="ar"/>
        </w:rPr>
        <w:t xml:space="preserve"> </w:t>
      </w:r>
      <w:r>
        <w:rPr>
          <w:rFonts w:hint="eastAsia" w:ascii="宋体" w:hAnsi="宋体" w:eastAsia="宋体" w:cs="宋体"/>
          <w:i w:val="0"/>
          <w:iCs w:val="0"/>
          <w:caps w:val="0"/>
          <w:color w:val="auto"/>
          <w:spacing w:val="0"/>
          <w:kern w:val="0"/>
          <w:sz w:val="21"/>
          <w:szCs w:val="21"/>
          <w:highlight w:val="none"/>
          <w:shd w:val="clear" w:fill="FFFFFF"/>
          <w:lang w:val="en-US" w:eastAsia="zh-CN" w:bidi="ar"/>
        </w:rPr>
        <w:t>=【施工中标价-（暂列金+暂估价）】*相应费率*中标费率。若施工招标时划分了多个施工标段，则造价咨询费的计费基数为已招标实施的施工标段中标价的合计总金额。</w:t>
      </w:r>
    </w:p>
    <w:p w14:paraId="45CFA02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服务需求：滁州市老城区排涝综合整治工程-城西干渠（凤谯路-会峰路）改造工程，工程投资金额约</w:t>
      </w:r>
      <w:r>
        <w:rPr>
          <w:rFonts w:hint="eastAsia" w:ascii="宋体" w:hAnsi="宋体" w:cs="宋体"/>
          <w:i w:val="0"/>
          <w:iCs w:val="0"/>
          <w:caps w:val="0"/>
          <w:color w:val="auto"/>
          <w:spacing w:val="0"/>
          <w:kern w:val="0"/>
          <w:sz w:val="21"/>
          <w:szCs w:val="21"/>
          <w:highlight w:val="none"/>
          <w:shd w:val="clear" w:fill="FFFFFF"/>
          <w:lang w:val="en-US" w:eastAsia="zh-CN" w:bidi="ar"/>
        </w:rPr>
        <w:t>1965</w:t>
      </w:r>
      <w:r>
        <w:rPr>
          <w:rFonts w:hint="eastAsia" w:ascii="宋体" w:hAnsi="宋体" w:eastAsia="宋体" w:cs="宋体"/>
          <w:i w:val="0"/>
          <w:iCs w:val="0"/>
          <w:caps w:val="0"/>
          <w:color w:val="auto"/>
          <w:spacing w:val="0"/>
          <w:kern w:val="0"/>
          <w:sz w:val="21"/>
          <w:szCs w:val="21"/>
          <w:highlight w:val="none"/>
          <w:shd w:val="clear" w:fill="FFFFFF"/>
          <w:lang w:val="en-US" w:eastAsia="zh-CN" w:bidi="ar"/>
        </w:rPr>
        <w:t>万元，</w:t>
      </w:r>
      <w:r>
        <w:rPr>
          <w:rFonts w:hint="eastAsia" w:ascii="宋体" w:hAnsi="宋体" w:cs="宋体"/>
          <w:i w:val="0"/>
          <w:iCs w:val="0"/>
          <w:caps w:val="0"/>
          <w:color w:val="auto"/>
          <w:spacing w:val="0"/>
          <w:kern w:val="0"/>
          <w:sz w:val="21"/>
          <w:szCs w:val="21"/>
          <w:highlight w:val="none"/>
          <w:shd w:val="clear" w:fill="FFFFFF"/>
          <w:lang w:val="en-US" w:eastAsia="zh-CN" w:bidi="ar"/>
        </w:rPr>
        <w:t>本项目为</w:t>
      </w:r>
      <w:r>
        <w:rPr>
          <w:rFonts w:hint="eastAsia" w:ascii="宋体" w:hAnsi="宋体" w:eastAsia="宋体" w:cs="宋体"/>
          <w:i w:val="0"/>
          <w:iCs w:val="0"/>
          <w:caps w:val="0"/>
          <w:color w:val="auto"/>
          <w:spacing w:val="0"/>
          <w:kern w:val="0"/>
          <w:sz w:val="21"/>
          <w:szCs w:val="21"/>
          <w:highlight w:val="none"/>
          <w:shd w:val="clear" w:fill="FFFFFF"/>
          <w:lang w:val="en-US" w:eastAsia="zh-CN" w:bidi="ar"/>
        </w:rPr>
        <w:t>工程量清单及最高投标限价编制</w:t>
      </w:r>
      <w:r>
        <w:rPr>
          <w:rFonts w:hint="eastAsia" w:ascii="宋体" w:hAnsi="宋体" w:cs="宋体"/>
          <w:i w:val="0"/>
          <w:iCs w:val="0"/>
          <w:caps w:val="0"/>
          <w:color w:val="auto"/>
          <w:spacing w:val="0"/>
          <w:kern w:val="0"/>
          <w:sz w:val="21"/>
          <w:szCs w:val="21"/>
          <w:highlight w:val="none"/>
          <w:shd w:val="clear" w:fill="FFFFFF"/>
          <w:lang w:val="en-US" w:eastAsia="zh-CN" w:bidi="ar"/>
        </w:rPr>
        <w:t>服务，编制服务</w:t>
      </w:r>
      <w:r>
        <w:rPr>
          <w:rFonts w:hint="eastAsia" w:ascii="宋体" w:hAnsi="宋体" w:eastAsia="宋体" w:cs="宋体"/>
          <w:i w:val="0"/>
          <w:iCs w:val="0"/>
          <w:caps w:val="0"/>
          <w:color w:val="auto"/>
          <w:spacing w:val="0"/>
          <w:kern w:val="0"/>
          <w:sz w:val="21"/>
          <w:szCs w:val="21"/>
          <w:highlight w:val="none"/>
          <w:shd w:val="clear" w:fill="FFFFFF"/>
          <w:lang w:val="en-US" w:eastAsia="zh-CN" w:bidi="ar"/>
        </w:rPr>
        <w:t>费</w:t>
      </w:r>
      <w:r>
        <w:rPr>
          <w:rFonts w:hint="eastAsia" w:ascii="宋体" w:hAnsi="宋体" w:cs="宋体"/>
          <w:i w:val="0"/>
          <w:iCs w:val="0"/>
          <w:caps w:val="0"/>
          <w:color w:val="auto"/>
          <w:spacing w:val="0"/>
          <w:kern w:val="0"/>
          <w:sz w:val="21"/>
          <w:szCs w:val="21"/>
          <w:highlight w:val="none"/>
          <w:shd w:val="clear" w:fill="FFFFFF"/>
          <w:lang w:val="en-US" w:eastAsia="zh-CN" w:bidi="ar"/>
        </w:rPr>
        <w:t>用</w:t>
      </w:r>
      <w:r>
        <w:rPr>
          <w:rFonts w:hint="eastAsia" w:ascii="宋体" w:hAnsi="宋体" w:eastAsia="宋体" w:cs="宋体"/>
          <w:i w:val="0"/>
          <w:iCs w:val="0"/>
          <w:caps w:val="0"/>
          <w:color w:val="auto"/>
          <w:spacing w:val="0"/>
          <w:kern w:val="0"/>
          <w:sz w:val="21"/>
          <w:szCs w:val="21"/>
          <w:highlight w:val="none"/>
          <w:shd w:val="clear" w:fill="FFFFFF"/>
          <w:lang w:val="en-US" w:eastAsia="zh-CN" w:bidi="ar"/>
        </w:rPr>
        <w:t>约</w:t>
      </w:r>
      <w:r>
        <w:rPr>
          <w:rFonts w:hint="eastAsia" w:ascii="宋体" w:hAnsi="宋体" w:cs="宋体"/>
          <w:i w:val="0"/>
          <w:iCs w:val="0"/>
          <w:caps w:val="0"/>
          <w:color w:val="auto"/>
          <w:spacing w:val="0"/>
          <w:kern w:val="0"/>
          <w:sz w:val="21"/>
          <w:szCs w:val="21"/>
          <w:highlight w:val="none"/>
          <w:shd w:val="clear" w:fill="FFFFFF"/>
          <w:lang w:val="en-US" w:eastAsia="zh-CN" w:bidi="ar"/>
        </w:rPr>
        <w:t>2.3万元</w:t>
      </w:r>
      <w:r>
        <w:rPr>
          <w:rFonts w:hint="eastAsia" w:ascii="宋体" w:hAnsi="宋体" w:eastAsia="宋体" w:cs="宋体"/>
          <w:i w:val="0"/>
          <w:iCs w:val="0"/>
          <w:caps w:val="0"/>
          <w:color w:val="auto"/>
          <w:spacing w:val="0"/>
          <w:kern w:val="0"/>
          <w:sz w:val="21"/>
          <w:szCs w:val="21"/>
          <w:highlight w:val="none"/>
          <w:shd w:val="clear" w:fill="FFFFFF"/>
          <w:lang w:val="en-US" w:eastAsia="zh-CN" w:bidi="ar"/>
        </w:rPr>
        <w:t>。</w:t>
      </w:r>
    </w:p>
    <w:p w14:paraId="1042DD8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sz w:val="21"/>
          <w:szCs w:val="21"/>
          <w:highlight w:val="none"/>
          <w:lang w:val="en-US"/>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标段（包别）划分：1个标段。</w:t>
      </w:r>
    </w:p>
    <w:p w14:paraId="20F129E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本项目不接受联合体。</w:t>
      </w:r>
    </w:p>
    <w:p w14:paraId="101A37AB">
      <w:pPr>
        <w:keepNext/>
        <w:keepLines/>
        <w:pageBreakBefore w:val="0"/>
        <w:widowControl w:val="0"/>
        <w:kinsoku/>
        <w:wordWrap/>
        <w:overflowPunct/>
        <w:topLinePunct w:val="0"/>
        <w:autoSpaceDE/>
        <w:autoSpaceDN/>
        <w:bidi w:val="0"/>
        <w:adjustRightInd/>
        <w:snapToGrid/>
        <w:spacing w:before="100" w:after="100" w:line="440" w:lineRule="exact"/>
        <w:ind w:firstLine="422" w:firstLineChars="200"/>
        <w:textAlignment w:val="auto"/>
        <w:outlineLvl w:val="9"/>
        <w:rPr>
          <w:rFonts w:hint="eastAsia" w:ascii="宋体" w:hAnsi="宋体" w:eastAsia="宋体" w:cs="宋体"/>
          <w:b/>
          <w:bCs/>
          <w:color w:val="auto"/>
          <w:sz w:val="21"/>
          <w:szCs w:val="21"/>
          <w:highlight w:val="none"/>
        </w:rPr>
      </w:pPr>
      <w:bookmarkStart w:id="19" w:name="_Toc30013"/>
      <w:r>
        <w:rPr>
          <w:rFonts w:hint="eastAsia" w:ascii="宋体" w:hAnsi="宋体" w:eastAsia="宋体" w:cs="宋体"/>
          <w:b/>
          <w:bCs/>
          <w:color w:val="auto"/>
          <w:sz w:val="21"/>
          <w:szCs w:val="21"/>
          <w:highlight w:val="none"/>
        </w:rPr>
        <w:t>二、申请人的资格要求</w:t>
      </w:r>
      <w:bookmarkEnd w:id="13"/>
      <w:bookmarkEnd w:id="14"/>
      <w:bookmarkEnd w:id="15"/>
      <w:bookmarkEnd w:id="16"/>
      <w:bookmarkEnd w:id="17"/>
      <w:bookmarkEnd w:id="18"/>
      <w:bookmarkEnd w:id="19"/>
    </w:p>
    <w:p w14:paraId="41B157CB">
      <w:pPr>
        <w:pageBreakBefore w:val="0"/>
        <w:kinsoku/>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投标人要求：具备独立承担民事责任能力，具有有效的营业执照或事业单位法人证书；</w:t>
      </w:r>
    </w:p>
    <w:p w14:paraId="2E536E7B">
      <w:pPr>
        <w:pageBreakBefore w:val="0"/>
        <w:kinsoku/>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bookmarkStart w:id="20" w:name="_Toc28359004"/>
      <w:bookmarkStart w:id="21" w:name="_Toc28359081"/>
      <w:r>
        <w:rPr>
          <w:rFonts w:hint="eastAsia" w:ascii="宋体" w:hAnsi="宋体" w:eastAsia="宋体" w:cs="宋体"/>
          <w:color w:val="auto"/>
          <w:sz w:val="21"/>
          <w:szCs w:val="21"/>
          <w:highlight w:val="none"/>
          <w:lang w:val="en-US" w:eastAsia="zh-CN"/>
        </w:rPr>
        <w:t>2.项目负责人要求：须具有注册在本单位的土木建筑工程专业一级注册造价工程师（或原注册造价工程师）；</w:t>
      </w:r>
    </w:p>
    <w:p w14:paraId="5F0B53DD">
      <w:pPr>
        <w:pageBreakBefore w:val="0"/>
        <w:kinsoku/>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其他</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项目组其他成员（不含项目负责人）要求：不少于2名且具有在本单位注册的二级及以上造价工程师（土木建筑工程专业至少1名、安装工程专业至少1名）。</w:t>
      </w:r>
    </w:p>
    <w:p w14:paraId="2AEC28B0">
      <w:pPr>
        <w:keepNext/>
        <w:keepLines/>
        <w:pageBreakBefore w:val="0"/>
        <w:widowControl w:val="0"/>
        <w:kinsoku/>
        <w:wordWrap/>
        <w:overflowPunct/>
        <w:topLinePunct w:val="0"/>
        <w:autoSpaceDE/>
        <w:autoSpaceDN/>
        <w:bidi w:val="0"/>
        <w:adjustRightInd/>
        <w:snapToGrid/>
        <w:spacing w:before="100" w:after="100" w:line="440" w:lineRule="exact"/>
        <w:ind w:firstLine="422" w:firstLineChars="200"/>
        <w:textAlignment w:val="auto"/>
        <w:outlineLvl w:val="9"/>
        <w:rPr>
          <w:rFonts w:hint="eastAsia" w:ascii="宋体" w:hAnsi="宋体" w:eastAsia="宋体" w:cs="宋体"/>
          <w:b/>
          <w:bCs/>
          <w:color w:val="auto"/>
          <w:sz w:val="21"/>
          <w:szCs w:val="21"/>
          <w:highlight w:val="none"/>
          <w:lang w:eastAsia="zh-CN"/>
        </w:rPr>
      </w:pPr>
      <w:bookmarkStart w:id="22" w:name="_Toc7189"/>
      <w:bookmarkStart w:id="23" w:name="_Toc28172"/>
      <w:bookmarkStart w:id="24" w:name="_Toc2689"/>
      <w:bookmarkStart w:id="25" w:name="_Toc35393792"/>
      <w:bookmarkStart w:id="26" w:name="_Toc35393623"/>
      <w:r>
        <w:rPr>
          <w:rFonts w:hint="eastAsia" w:ascii="宋体" w:hAnsi="宋体" w:eastAsia="宋体" w:cs="宋体"/>
          <w:b/>
          <w:bCs/>
          <w:color w:val="auto"/>
          <w:sz w:val="21"/>
          <w:szCs w:val="21"/>
          <w:highlight w:val="none"/>
        </w:rPr>
        <w:t>三、获取</w:t>
      </w:r>
      <w:bookmarkEnd w:id="20"/>
      <w:bookmarkEnd w:id="21"/>
      <w:bookmarkEnd w:id="22"/>
      <w:bookmarkEnd w:id="23"/>
      <w:bookmarkEnd w:id="24"/>
      <w:bookmarkEnd w:id="25"/>
      <w:bookmarkEnd w:id="26"/>
      <w:r>
        <w:rPr>
          <w:rFonts w:hint="eastAsia" w:ascii="宋体" w:hAnsi="宋体" w:eastAsia="宋体" w:cs="宋体"/>
          <w:b/>
          <w:bCs/>
          <w:color w:val="auto"/>
          <w:sz w:val="21"/>
          <w:szCs w:val="21"/>
          <w:highlight w:val="none"/>
          <w:lang w:eastAsia="zh-CN"/>
        </w:rPr>
        <w:t>招标文件</w:t>
      </w:r>
    </w:p>
    <w:p w14:paraId="42BFF7A7">
      <w:pPr>
        <w:pageBreakBefore w:val="0"/>
        <w:kinsoku/>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1、招标文件获取方式：</w:t>
      </w:r>
    </w:p>
    <w:p w14:paraId="7B7E7722">
      <w:pPr>
        <w:pageBreakBefore w:val="0"/>
        <w:kinsoku/>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时间：</w:t>
      </w:r>
      <w:r>
        <w:rPr>
          <w:rFonts w:hint="eastAsia" w:ascii="宋体" w:hAnsi="宋体" w:eastAsia="宋体" w:cs="宋体"/>
          <w:i w:val="0"/>
          <w:iCs w:val="0"/>
          <w:caps w:val="0"/>
          <w:color w:val="auto"/>
          <w:spacing w:val="0"/>
          <w:sz w:val="21"/>
          <w:szCs w:val="21"/>
          <w:highlight w:val="none"/>
          <w:u w:val="none"/>
          <w:shd w:val="clear" w:fill="FFFFFF"/>
          <w:lang w:val="en-US" w:eastAsia="zh-CN"/>
        </w:rPr>
        <w:t>2025</w:t>
      </w:r>
      <w:r>
        <w:rPr>
          <w:rFonts w:hint="eastAsia" w:ascii="宋体" w:hAnsi="宋体" w:eastAsia="宋体" w:cs="宋体"/>
          <w:i w:val="0"/>
          <w:iCs w:val="0"/>
          <w:caps w:val="0"/>
          <w:color w:val="auto"/>
          <w:spacing w:val="0"/>
          <w:sz w:val="21"/>
          <w:szCs w:val="21"/>
          <w:highlight w:val="none"/>
          <w:u w:val="none"/>
          <w:shd w:val="clear" w:fill="FFFFFF"/>
        </w:rPr>
        <w:t>年</w:t>
      </w:r>
      <w:r>
        <w:rPr>
          <w:rFonts w:hint="eastAsia" w:ascii="宋体" w:hAnsi="宋体" w:cs="宋体"/>
          <w:i w:val="0"/>
          <w:iCs w:val="0"/>
          <w:caps w:val="0"/>
          <w:color w:val="auto"/>
          <w:spacing w:val="0"/>
          <w:sz w:val="21"/>
          <w:szCs w:val="21"/>
          <w:highlight w:val="none"/>
          <w:u w:val="none"/>
          <w:shd w:val="clear" w:fill="FFFFFF"/>
          <w:lang w:val="en-US" w:eastAsia="zh-CN"/>
        </w:rPr>
        <w:t>7</w:t>
      </w:r>
      <w:r>
        <w:rPr>
          <w:rFonts w:hint="eastAsia" w:ascii="宋体" w:hAnsi="宋体" w:eastAsia="宋体" w:cs="宋体"/>
          <w:i w:val="0"/>
          <w:iCs w:val="0"/>
          <w:caps w:val="0"/>
          <w:color w:val="auto"/>
          <w:spacing w:val="0"/>
          <w:sz w:val="21"/>
          <w:szCs w:val="21"/>
          <w:highlight w:val="none"/>
          <w:u w:val="none"/>
          <w:shd w:val="clear" w:fill="FFFFFF"/>
          <w:lang w:val="en-US" w:eastAsia="zh-CN"/>
        </w:rPr>
        <w:t>月</w:t>
      </w:r>
      <w:r>
        <w:rPr>
          <w:rFonts w:hint="eastAsia" w:ascii="宋体" w:hAnsi="宋体" w:cs="宋体"/>
          <w:i w:val="0"/>
          <w:iCs w:val="0"/>
          <w:caps w:val="0"/>
          <w:color w:val="auto"/>
          <w:spacing w:val="0"/>
          <w:sz w:val="21"/>
          <w:szCs w:val="21"/>
          <w:highlight w:val="none"/>
          <w:u w:val="none"/>
          <w:shd w:val="clear" w:fill="FFFFFF"/>
          <w:lang w:val="en-US" w:eastAsia="zh-CN"/>
        </w:rPr>
        <w:t>14</w:t>
      </w:r>
      <w:r>
        <w:rPr>
          <w:rFonts w:hint="eastAsia" w:ascii="宋体" w:hAnsi="宋体" w:eastAsia="宋体" w:cs="宋体"/>
          <w:i w:val="0"/>
          <w:iCs w:val="0"/>
          <w:caps w:val="0"/>
          <w:color w:val="auto"/>
          <w:spacing w:val="0"/>
          <w:sz w:val="21"/>
          <w:szCs w:val="21"/>
          <w:highlight w:val="none"/>
          <w:u w:val="none"/>
          <w:shd w:val="clear" w:fill="FFFFFF"/>
        </w:rPr>
        <w:t>日至</w:t>
      </w:r>
      <w:r>
        <w:rPr>
          <w:rFonts w:hint="eastAsia" w:ascii="宋体" w:hAnsi="宋体" w:eastAsia="宋体" w:cs="宋体"/>
          <w:i w:val="0"/>
          <w:iCs w:val="0"/>
          <w:caps w:val="0"/>
          <w:color w:val="auto"/>
          <w:spacing w:val="0"/>
          <w:sz w:val="21"/>
          <w:szCs w:val="21"/>
          <w:highlight w:val="none"/>
          <w:u w:val="none"/>
          <w:shd w:val="clear" w:fill="FFFFFF"/>
          <w:lang w:val="en-US" w:eastAsia="zh-CN"/>
        </w:rPr>
        <w:t>2025</w:t>
      </w:r>
      <w:r>
        <w:rPr>
          <w:rFonts w:hint="eastAsia" w:ascii="宋体" w:hAnsi="宋体" w:eastAsia="宋体" w:cs="宋体"/>
          <w:i w:val="0"/>
          <w:iCs w:val="0"/>
          <w:caps w:val="0"/>
          <w:color w:val="auto"/>
          <w:spacing w:val="0"/>
          <w:sz w:val="21"/>
          <w:szCs w:val="21"/>
          <w:highlight w:val="none"/>
          <w:u w:val="none"/>
          <w:shd w:val="clear" w:fill="FFFFFF"/>
        </w:rPr>
        <w:t>年</w:t>
      </w:r>
      <w:r>
        <w:rPr>
          <w:rFonts w:hint="eastAsia" w:ascii="宋体" w:hAnsi="宋体" w:cs="宋体"/>
          <w:i w:val="0"/>
          <w:iCs w:val="0"/>
          <w:caps w:val="0"/>
          <w:color w:val="auto"/>
          <w:spacing w:val="0"/>
          <w:sz w:val="21"/>
          <w:szCs w:val="21"/>
          <w:highlight w:val="none"/>
          <w:u w:val="none"/>
          <w:shd w:val="clear" w:fill="FFFFFF"/>
          <w:lang w:val="en-US" w:eastAsia="zh-CN"/>
        </w:rPr>
        <w:t>7</w:t>
      </w:r>
      <w:r>
        <w:rPr>
          <w:rFonts w:hint="eastAsia" w:ascii="宋体" w:hAnsi="宋体" w:eastAsia="宋体" w:cs="宋体"/>
          <w:i w:val="0"/>
          <w:iCs w:val="0"/>
          <w:caps w:val="0"/>
          <w:color w:val="auto"/>
          <w:spacing w:val="0"/>
          <w:sz w:val="21"/>
          <w:szCs w:val="21"/>
          <w:highlight w:val="none"/>
          <w:u w:val="none"/>
          <w:shd w:val="clear" w:fill="FFFFFF"/>
          <w:lang w:val="en-US" w:eastAsia="zh-CN"/>
        </w:rPr>
        <w:t>月</w:t>
      </w:r>
      <w:r>
        <w:rPr>
          <w:rFonts w:hint="eastAsia" w:ascii="宋体" w:hAnsi="宋体" w:cs="宋体"/>
          <w:i w:val="0"/>
          <w:iCs w:val="0"/>
          <w:caps w:val="0"/>
          <w:color w:val="auto"/>
          <w:spacing w:val="0"/>
          <w:sz w:val="21"/>
          <w:szCs w:val="21"/>
          <w:highlight w:val="none"/>
          <w:u w:val="none"/>
          <w:shd w:val="clear" w:fill="FFFFFF"/>
          <w:lang w:val="en-US" w:eastAsia="zh-CN"/>
        </w:rPr>
        <w:t>17</w:t>
      </w:r>
      <w:r>
        <w:rPr>
          <w:rFonts w:hint="eastAsia" w:ascii="宋体" w:hAnsi="宋体" w:eastAsia="宋体" w:cs="宋体"/>
          <w:i w:val="0"/>
          <w:iCs w:val="0"/>
          <w:caps w:val="0"/>
          <w:color w:val="auto"/>
          <w:spacing w:val="0"/>
          <w:sz w:val="21"/>
          <w:szCs w:val="21"/>
          <w:highlight w:val="none"/>
          <w:u w:val="none"/>
          <w:shd w:val="clear" w:fill="FFFFFF"/>
        </w:rPr>
        <w:t>日</w:t>
      </w:r>
      <w:r>
        <w:rPr>
          <w:rFonts w:hint="eastAsia" w:ascii="宋体" w:hAnsi="宋体" w:cs="宋体"/>
          <w:i w:val="0"/>
          <w:iCs w:val="0"/>
          <w:caps w:val="0"/>
          <w:color w:val="auto"/>
          <w:spacing w:val="0"/>
          <w:sz w:val="21"/>
          <w:szCs w:val="21"/>
          <w:highlight w:val="none"/>
          <w:u w:val="none"/>
          <w:shd w:val="clear" w:fill="FFFFFF"/>
          <w:lang w:val="en-US" w:eastAsia="zh-CN"/>
        </w:rPr>
        <w:t>9</w:t>
      </w:r>
      <w:r>
        <w:rPr>
          <w:rFonts w:hint="eastAsia" w:ascii="宋体" w:hAnsi="宋体" w:eastAsia="宋体" w:cs="宋体"/>
          <w:i w:val="0"/>
          <w:iCs w:val="0"/>
          <w:caps w:val="0"/>
          <w:color w:val="auto"/>
          <w:spacing w:val="0"/>
          <w:sz w:val="21"/>
          <w:szCs w:val="21"/>
          <w:highlight w:val="none"/>
          <w:u w:val="none"/>
          <w:shd w:val="clear" w:fill="FFFFFF"/>
          <w:lang w:val="en-US" w:eastAsia="zh-CN"/>
        </w:rPr>
        <w:t>时00分</w:t>
      </w:r>
      <w:r>
        <w:rPr>
          <w:rFonts w:hint="eastAsia" w:ascii="宋体" w:hAnsi="宋体" w:eastAsia="宋体" w:cs="宋体"/>
          <w:i w:val="0"/>
          <w:iCs w:val="0"/>
          <w:caps w:val="0"/>
          <w:color w:val="auto"/>
          <w:spacing w:val="0"/>
          <w:sz w:val="21"/>
          <w:szCs w:val="21"/>
          <w:highlight w:val="none"/>
          <w:shd w:val="clear" w:fill="FFFFFF"/>
          <w:lang w:val="en-US" w:eastAsia="zh-CN"/>
        </w:rPr>
        <w:t>。</w:t>
      </w:r>
    </w:p>
    <w:p w14:paraId="074FEEE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地点：</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请于公告发布之日起从滁州市重点工程建设管理处（http://zdc.chuzhou.gov.cn/）或滁州市城投工程咨询管理有限公司官网（https://www.czctgczx.com/）下载。投标人自行承担因未按要求获取招标文件导致无法上传电子投标文件的风险。</w:t>
      </w:r>
    </w:p>
    <w:p w14:paraId="205D54F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方式：（1）投标人须登录新点电子交易平台【滁州专区】查询、获取采购文件。首次登录办理入库手续，办理入库不收取任何费用。新点电子招投标统一认证平台使用相关问题（如系统登录、信息登记、录入及提交、数字证书关联等）请拨打服务电话：4009280095-5（工作日）。  </w:t>
      </w:r>
    </w:p>
    <w:p w14:paraId="3BBAFA2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（2）投标人登录新点电子交易平台【滁州专区】获取招标文件及其它资料（含澄清和补充说明等）。如在招标文件获取过程中遇到系统问题，请拨打技术支持服务热线 4009280095或者网站首页在线客服。</w:t>
      </w:r>
    </w:p>
    <w:p w14:paraId="27A9C38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2、招标文件及相关资料售价：人民币0元/套（含清单控制价、图纸及澄清答疑文件）</w:t>
      </w:r>
      <w:r>
        <w:rPr>
          <w:rFonts w:hint="eastAsia" w:ascii="宋体" w:hAnsi="宋体" w:eastAsia="宋体" w:cs="宋体"/>
          <w:i w:val="0"/>
          <w:iCs w:val="0"/>
          <w:caps w:val="0"/>
          <w:color w:val="auto"/>
          <w:spacing w:val="0"/>
          <w:kern w:val="0"/>
          <w:sz w:val="21"/>
          <w:szCs w:val="21"/>
          <w:highlight w:val="none"/>
          <w:shd w:val="clear" w:fill="FFFFFF"/>
          <w:lang w:val="en-US" w:eastAsia="zh-CN" w:bidi="ar"/>
        </w:rPr>
        <w:t>。</w:t>
      </w:r>
    </w:p>
    <w:p w14:paraId="09247A6F">
      <w:pPr>
        <w:keepNext/>
        <w:keepLines/>
        <w:pageBreakBefore w:val="0"/>
        <w:widowControl w:val="0"/>
        <w:kinsoku/>
        <w:wordWrap/>
        <w:overflowPunct/>
        <w:topLinePunct w:val="0"/>
        <w:autoSpaceDE/>
        <w:autoSpaceDN/>
        <w:bidi w:val="0"/>
        <w:adjustRightInd/>
        <w:snapToGrid/>
        <w:spacing w:before="100" w:after="100" w:line="440" w:lineRule="exact"/>
        <w:ind w:firstLine="422" w:firstLineChars="200"/>
        <w:textAlignment w:val="auto"/>
        <w:outlineLvl w:val="9"/>
        <w:rPr>
          <w:rFonts w:hint="eastAsia" w:ascii="宋体" w:hAnsi="宋体" w:eastAsia="宋体" w:cs="宋体"/>
          <w:b/>
          <w:bCs/>
          <w:color w:val="auto"/>
          <w:sz w:val="21"/>
          <w:szCs w:val="21"/>
          <w:highlight w:val="none"/>
        </w:rPr>
      </w:pPr>
      <w:bookmarkStart w:id="27" w:name="_Toc28359082"/>
      <w:bookmarkStart w:id="28" w:name="_Toc28359005"/>
      <w:bookmarkStart w:id="29" w:name="_Toc19139"/>
      <w:bookmarkStart w:id="30" w:name="_Toc35393624"/>
      <w:bookmarkStart w:id="31" w:name="_Toc35393793"/>
      <w:bookmarkStart w:id="32" w:name="_Toc23486"/>
      <w:bookmarkStart w:id="33" w:name="_Toc6135"/>
      <w:r>
        <w:rPr>
          <w:rFonts w:hint="eastAsia" w:ascii="宋体" w:hAnsi="宋体" w:eastAsia="宋体" w:cs="宋体"/>
          <w:b/>
          <w:bCs/>
          <w:color w:val="auto"/>
          <w:sz w:val="21"/>
          <w:szCs w:val="21"/>
          <w:highlight w:val="none"/>
        </w:rPr>
        <w:t>四、提交投标文件</w:t>
      </w:r>
      <w:bookmarkEnd w:id="27"/>
      <w:bookmarkEnd w:id="28"/>
      <w:r>
        <w:rPr>
          <w:rFonts w:hint="eastAsia" w:ascii="宋体" w:hAnsi="宋体" w:eastAsia="宋体" w:cs="宋体"/>
          <w:b/>
          <w:bCs/>
          <w:color w:val="auto"/>
          <w:sz w:val="21"/>
          <w:szCs w:val="21"/>
          <w:highlight w:val="none"/>
        </w:rPr>
        <w:t>截止时间、开标时间和地点</w:t>
      </w:r>
      <w:bookmarkEnd w:id="29"/>
      <w:bookmarkEnd w:id="30"/>
      <w:bookmarkEnd w:id="31"/>
      <w:bookmarkEnd w:id="32"/>
      <w:bookmarkEnd w:id="33"/>
    </w:p>
    <w:p w14:paraId="78DDBB26">
      <w:pPr>
        <w:pageBreakBefore w:val="0"/>
        <w:kinsoku/>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sz w:val="21"/>
          <w:szCs w:val="21"/>
          <w:highlight w:val="none"/>
          <w:lang w:val="en-US" w:eastAsia="zh-CN"/>
        </w:rPr>
      </w:pPr>
      <w:bookmarkStart w:id="34" w:name="_Toc28359007"/>
      <w:bookmarkStart w:id="35" w:name="_Toc28359084"/>
      <w:bookmarkStart w:id="36" w:name="_Toc35393625"/>
      <w:bookmarkStart w:id="37" w:name="_Toc19623"/>
      <w:bookmarkStart w:id="38" w:name="_Toc5602"/>
      <w:bookmarkStart w:id="39" w:name="_Toc1913"/>
      <w:bookmarkStart w:id="40" w:name="_Toc35393794"/>
      <w:r>
        <w:rPr>
          <w:rFonts w:hint="eastAsia" w:ascii="宋体" w:hAnsi="宋体" w:eastAsia="宋体" w:cs="宋体"/>
          <w:b w:val="0"/>
          <w:bCs w:val="0"/>
          <w:color w:val="auto"/>
          <w:sz w:val="21"/>
          <w:szCs w:val="21"/>
          <w:highlight w:val="none"/>
          <w:lang w:val="en-US" w:eastAsia="zh-CN"/>
        </w:rPr>
        <w:t>1、投标文件递交的截止时间为</w:t>
      </w:r>
      <w:r>
        <w:rPr>
          <w:rFonts w:hint="eastAsia" w:ascii="宋体" w:hAnsi="宋体" w:eastAsia="宋体" w:cs="宋体"/>
          <w:b w:val="0"/>
          <w:bCs w:val="0"/>
          <w:color w:val="auto"/>
          <w:sz w:val="21"/>
          <w:szCs w:val="21"/>
          <w:highlight w:val="none"/>
          <w:u w:val="single"/>
          <w:lang w:val="en-US" w:eastAsia="zh-CN"/>
        </w:rPr>
        <w:t>2025</w:t>
      </w:r>
      <w:r>
        <w:rPr>
          <w:rFonts w:hint="eastAsia" w:ascii="宋体" w:hAnsi="宋体" w:eastAsia="宋体" w:cs="宋体"/>
          <w:b w:val="0"/>
          <w:bCs w:val="0"/>
          <w:color w:val="auto"/>
          <w:sz w:val="21"/>
          <w:szCs w:val="21"/>
          <w:highlight w:val="none"/>
          <w:lang w:val="en-US" w:eastAsia="zh-CN"/>
        </w:rPr>
        <w:t>年</w:t>
      </w:r>
      <w:r>
        <w:rPr>
          <w:rFonts w:hint="eastAsia" w:ascii="宋体" w:hAnsi="宋体" w:cs="宋体"/>
          <w:b w:val="0"/>
          <w:bCs w:val="0"/>
          <w:color w:val="auto"/>
          <w:sz w:val="21"/>
          <w:szCs w:val="21"/>
          <w:highlight w:val="none"/>
          <w:u w:val="single"/>
          <w:lang w:val="en-US" w:eastAsia="zh-CN"/>
        </w:rPr>
        <w:t xml:space="preserve"> 7 </w:t>
      </w:r>
      <w:r>
        <w:rPr>
          <w:rFonts w:hint="eastAsia" w:ascii="宋体" w:hAnsi="宋体" w:eastAsia="宋体" w:cs="宋体"/>
          <w:b w:val="0"/>
          <w:bCs w:val="0"/>
          <w:color w:val="auto"/>
          <w:sz w:val="21"/>
          <w:szCs w:val="21"/>
          <w:highlight w:val="none"/>
          <w:lang w:val="en-US" w:eastAsia="zh-CN"/>
        </w:rPr>
        <w:t>月</w:t>
      </w:r>
      <w:r>
        <w:rPr>
          <w:rFonts w:hint="eastAsia" w:ascii="宋体" w:hAnsi="宋体" w:cs="宋体"/>
          <w:b w:val="0"/>
          <w:bCs w:val="0"/>
          <w:color w:val="auto"/>
          <w:sz w:val="21"/>
          <w:szCs w:val="21"/>
          <w:highlight w:val="none"/>
          <w:u w:val="single"/>
          <w:lang w:val="en-US" w:eastAsia="zh-CN"/>
        </w:rPr>
        <w:t xml:space="preserve"> 17</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lang w:val="en-US" w:eastAsia="zh-CN"/>
        </w:rPr>
        <w:t>日</w:t>
      </w:r>
      <w:r>
        <w:rPr>
          <w:rFonts w:hint="eastAsia" w:ascii="宋体" w:hAnsi="宋体" w:cs="宋体"/>
          <w:b w:val="0"/>
          <w:bCs w:val="0"/>
          <w:color w:val="auto"/>
          <w:sz w:val="21"/>
          <w:szCs w:val="21"/>
          <w:highlight w:val="none"/>
          <w:u w:val="single"/>
          <w:lang w:val="en-US" w:eastAsia="zh-CN"/>
        </w:rPr>
        <w:t xml:space="preserve"> 9 </w:t>
      </w:r>
      <w:r>
        <w:rPr>
          <w:rFonts w:hint="eastAsia" w:ascii="宋体" w:hAnsi="宋体" w:eastAsia="宋体" w:cs="宋体"/>
          <w:b w:val="0"/>
          <w:bCs w:val="0"/>
          <w:color w:val="auto"/>
          <w:sz w:val="21"/>
          <w:szCs w:val="21"/>
          <w:highlight w:val="none"/>
          <w:lang w:val="en-US" w:eastAsia="zh-CN"/>
        </w:rPr>
        <w:t>时</w:t>
      </w:r>
      <w:r>
        <w:rPr>
          <w:rFonts w:hint="eastAsia" w:ascii="宋体" w:hAnsi="宋体" w:eastAsia="宋体" w:cs="宋体"/>
          <w:b w:val="0"/>
          <w:bCs w:val="0"/>
          <w:color w:val="auto"/>
          <w:sz w:val="21"/>
          <w:szCs w:val="21"/>
          <w:highlight w:val="none"/>
          <w:u w:val="single"/>
          <w:lang w:val="en-US" w:eastAsia="zh-CN"/>
        </w:rPr>
        <w:t>00</w:t>
      </w:r>
      <w:r>
        <w:rPr>
          <w:rFonts w:hint="eastAsia" w:ascii="宋体" w:hAnsi="宋体" w:eastAsia="宋体" w:cs="宋体"/>
          <w:b w:val="0"/>
          <w:bCs w:val="0"/>
          <w:color w:val="auto"/>
          <w:sz w:val="21"/>
          <w:szCs w:val="21"/>
          <w:highlight w:val="none"/>
          <w:lang w:val="en-US" w:eastAsia="zh-CN"/>
        </w:rPr>
        <w:t>分；</w:t>
      </w:r>
    </w:p>
    <w:p w14:paraId="5E1653D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2、</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网上开标，投标人登录滁州市城投工程咨询有限公司不见面开标系统参与网上开标（网址：http://js.etrading.cn/EpointBidOpening/bidopeninghallaction/hall/login）。</w:t>
      </w:r>
    </w:p>
    <w:p w14:paraId="11B42555">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3、投标人应在投标截止时间之前，登</w:t>
      </w:r>
      <w:r>
        <w:rPr>
          <w:rFonts w:hint="eastAsia" w:cs="宋体"/>
          <w:i w:val="0"/>
          <w:iCs w:val="0"/>
          <w:caps w:val="0"/>
          <w:color w:val="auto"/>
          <w:spacing w:val="0"/>
          <w:kern w:val="0"/>
          <w:sz w:val="21"/>
          <w:szCs w:val="21"/>
          <w:highlight w:val="none"/>
          <w:shd w:val="clear" w:color="auto" w:fill="FFFFFF"/>
          <w:lang w:val="en-US" w:eastAsia="zh-CN" w:bidi="ar"/>
        </w:rPr>
        <w:t>录</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新点电子交易平台【滁州专区】上传投标文件。</w:t>
      </w:r>
    </w:p>
    <w:p w14:paraId="68E70389">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auto"/>
          <w:spacing w:val="0"/>
          <w:kern w:val="0"/>
          <w:sz w:val="21"/>
          <w:szCs w:val="21"/>
          <w:highlight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4、投标人逾期上传投标文件的，电子系统不予受理</w:t>
      </w:r>
      <w:r>
        <w:rPr>
          <w:rFonts w:hint="eastAsia" w:ascii="宋体" w:hAnsi="宋体" w:eastAsia="宋体" w:cs="宋体"/>
          <w:i w:val="0"/>
          <w:iCs w:val="0"/>
          <w:caps w:val="0"/>
          <w:color w:val="auto"/>
          <w:spacing w:val="0"/>
          <w:kern w:val="0"/>
          <w:sz w:val="21"/>
          <w:szCs w:val="21"/>
          <w:highlight w:val="none"/>
          <w:shd w:val="clear" w:fill="FFFFFF"/>
          <w:lang w:val="en-US" w:eastAsia="zh-CN" w:bidi="ar"/>
        </w:rPr>
        <w:t>。</w:t>
      </w:r>
    </w:p>
    <w:p w14:paraId="39276E8D">
      <w:pPr>
        <w:keepNext/>
        <w:keepLines/>
        <w:pageBreakBefore w:val="0"/>
        <w:widowControl w:val="0"/>
        <w:kinsoku/>
        <w:wordWrap/>
        <w:overflowPunct/>
        <w:topLinePunct w:val="0"/>
        <w:autoSpaceDE/>
        <w:autoSpaceDN/>
        <w:bidi w:val="0"/>
        <w:adjustRightInd/>
        <w:snapToGrid/>
        <w:spacing w:before="100" w:after="100" w:line="440" w:lineRule="exact"/>
        <w:ind w:firstLine="422" w:firstLineChars="20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五、公告</w:t>
      </w:r>
      <w:bookmarkEnd w:id="34"/>
      <w:bookmarkEnd w:id="35"/>
      <w:bookmarkEnd w:id="36"/>
      <w:bookmarkEnd w:id="37"/>
      <w:bookmarkEnd w:id="38"/>
      <w:bookmarkEnd w:id="39"/>
      <w:bookmarkEnd w:id="40"/>
      <w:r>
        <w:rPr>
          <w:rFonts w:hint="eastAsia" w:ascii="宋体" w:hAnsi="宋体" w:eastAsia="宋体" w:cs="宋体"/>
          <w:b/>
          <w:bCs/>
          <w:color w:val="auto"/>
          <w:sz w:val="21"/>
          <w:szCs w:val="21"/>
          <w:highlight w:val="none"/>
          <w:lang w:val="en-US" w:eastAsia="zh-CN"/>
        </w:rPr>
        <w:t>发布期限及媒体</w:t>
      </w:r>
    </w:p>
    <w:p w14:paraId="70ADAEFA">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自本公告发布之日起至投标截止时间止。</w:t>
      </w:r>
    </w:p>
    <w:p w14:paraId="55C898ED">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本次招标公告同时在安徽省招标投标信息网（www.ahtba.org.cn）、滁州市城投工程咨询管理有限公司（https://www.czctgczx.com/）、滁州市重点工程建设管理处（http://zdc.chuzhou.gov.cn/）</w:t>
      </w:r>
      <w:r>
        <w:rPr>
          <w:rFonts w:hint="eastAsia" w:ascii="宋体" w:hAnsi="宋体" w:cs="宋体"/>
          <w:i w:val="0"/>
          <w:iCs w:val="0"/>
          <w:caps w:val="0"/>
          <w:color w:val="auto"/>
          <w:spacing w:val="0"/>
          <w:kern w:val="0"/>
          <w:sz w:val="21"/>
          <w:szCs w:val="21"/>
          <w:highlight w:val="none"/>
          <w:shd w:val="clear" w:color="auto" w:fill="FFFFFF"/>
          <w:lang w:val="en-US" w:eastAsia="zh-CN" w:bidi="ar"/>
        </w:rPr>
        <w:t>网站</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上发布。</w:t>
      </w:r>
    </w:p>
    <w:p w14:paraId="25B232D4">
      <w:pPr>
        <w:keepNext/>
        <w:keepLines/>
        <w:pageBreakBefore w:val="0"/>
        <w:widowControl w:val="0"/>
        <w:kinsoku/>
        <w:wordWrap/>
        <w:overflowPunct/>
        <w:topLinePunct w:val="0"/>
        <w:autoSpaceDE/>
        <w:autoSpaceDN/>
        <w:bidi w:val="0"/>
        <w:adjustRightInd/>
        <w:snapToGrid/>
        <w:spacing w:before="100" w:after="100" w:line="440" w:lineRule="exact"/>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六、投标保证金金额及缴纳账户</w:t>
      </w:r>
    </w:p>
    <w:p w14:paraId="1B54B949">
      <w:pPr>
        <w:pageBreakBefore w:val="0"/>
        <w:kinsoku/>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是否要求投标人提交投标保证金：不要求。</w:t>
      </w:r>
    </w:p>
    <w:p w14:paraId="70CCC2F2">
      <w:pPr>
        <w:keepNext/>
        <w:keepLines/>
        <w:pageBreakBefore w:val="0"/>
        <w:widowControl w:val="0"/>
        <w:kinsoku/>
        <w:wordWrap/>
        <w:overflowPunct/>
        <w:topLinePunct w:val="0"/>
        <w:autoSpaceDE/>
        <w:autoSpaceDN/>
        <w:bidi w:val="0"/>
        <w:adjustRightInd/>
        <w:snapToGrid/>
        <w:spacing w:before="100" w:after="100" w:line="440" w:lineRule="exact"/>
        <w:ind w:firstLine="422" w:firstLineChars="20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重要提醒</w:t>
      </w:r>
    </w:p>
    <w:p w14:paraId="2DC12A3E">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本项目采用电子招投标方式，请投标人在“新点电子交易平台”办事指南下载“新点电子交易平台专用投标文件制作软件”，仔细阅读招标文件要求和相关操作手册，以免影响投标文件编制，因投标人未及时关注相关信息对投标造成的不利后果由其自行承担。投标软件制作工具下载：https://download.bqpoint.com/download/downloaddetail.html?SourceFrom=Ztb&amp;ZtbSoftXiaQuCode=0128&amp;ZtbSoftType=tballinclusive。</w:t>
      </w:r>
    </w:p>
    <w:p w14:paraId="33C7ADB5">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请于公告发布之日起从滁州市城投工程咨询管理有限公司官网（https://www.czctgczx.com/）下载本项目招标文件，或从滁州市城投工程咨询管理有限公司官网（https://www.czctgczx.com/），点击项目招标公告下方【我要投标】，登录新点电子交易平台后在【滁州专区】（https://www.etrading.cn/BREpointSSO/login/oauth2login?regioncode=DQ_ChuZhou）下载本项目招标文件。</w:t>
      </w:r>
    </w:p>
    <w:p w14:paraId="0320AE7C">
      <w:pPr>
        <w:pageBreakBefore w:val="0"/>
        <w:kinsoku/>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投标人参与投标的，须登录新点电子交易平台【滁州专区】查询、获取招标文件。首次登录办理入库手续，办理入库不收取任何费用。新点电子招投标统一认证平台使用相关问题（如系统登录、信息登记、录入及提交、数字证书关联等）请拨打服务电话：4009280095-5（工作日）。</w:t>
      </w:r>
    </w:p>
    <w:p w14:paraId="74FFEB12">
      <w:pPr>
        <w:pageBreakBefore w:val="0"/>
        <w:kinsoku/>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投标人登录新点电子交易平台【滁州专区】获取招标文件及其它资料（含澄清和补充说明等）。如在招标文件获取过程中遇到系统问题，请拨打技术支持服务热线4009280095或者网站首页在线客服。投标人自行承担因未按要求获取招标文件导致无法上传电子投标文件的风险。</w:t>
      </w:r>
    </w:p>
    <w:p w14:paraId="42F9A653">
      <w:pPr>
        <w:pageBreakBefore w:val="0"/>
        <w:kinsoku/>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5.本项目采用不见面开标，投标人登录滁州市城投工程咨询有限公司不见面开标系统参与网上开标（网址：http://js.etrading.cn/EpointBidOpening/bidopeninghallaction/hall/login）。</w:t>
      </w:r>
    </w:p>
    <w:p w14:paraId="348D91F7">
      <w:pPr>
        <w:pageBreakBefore w:val="0"/>
        <w:kinsoku/>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6.投标人应在投标截止时间之前，登录新点电子交易平台【滁州专区】上传投标文件。投标人逾期上传投标文件的，电子系统不予受理。</w:t>
      </w:r>
    </w:p>
    <w:p w14:paraId="507F2748">
      <w:pPr>
        <w:pageBreakBefore w:val="0"/>
        <w:kinsoku/>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本项目开评标实行全流程电子化，在线完成开评标活动。开标时投标人无需到达开标现场，不接受现场解密，实行远程解密和在线询标。各投标人认真学习《新点电子交易平台投标人操作手册》，务必掌握远程解密方法和在线回复询标方法。</w:t>
      </w:r>
    </w:p>
    <w:p w14:paraId="16147551">
      <w:pPr>
        <w:pageBreakBefore w:val="0"/>
        <w:kinsoku/>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8.投标人的联系人电话(手机)、电子邮箱等通讯方式在开标过程中必须保持畅通，否则因上述原因造成的后果，责任自负。</w:t>
      </w:r>
    </w:p>
    <w:p w14:paraId="2A3BE869">
      <w:pPr>
        <w:keepNext/>
        <w:keepLines/>
        <w:pageBreakBefore w:val="0"/>
        <w:widowControl w:val="0"/>
        <w:kinsoku/>
        <w:wordWrap/>
        <w:overflowPunct/>
        <w:topLinePunct w:val="0"/>
        <w:autoSpaceDE/>
        <w:autoSpaceDN/>
        <w:bidi w:val="0"/>
        <w:adjustRightInd/>
        <w:snapToGrid/>
        <w:spacing w:before="100" w:after="100" w:line="440" w:lineRule="exact"/>
        <w:ind w:firstLine="422" w:firstLineChars="20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八、对本次招标提出询问，请按以下方式联系</w:t>
      </w:r>
    </w:p>
    <w:p w14:paraId="610D0890">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r>
        <w:rPr>
          <w:rFonts w:hint="eastAsia" w:ascii="宋体" w:hAnsi="宋体" w:cs="宋体"/>
          <w:color w:val="auto"/>
          <w:kern w:val="2"/>
          <w:sz w:val="21"/>
          <w:szCs w:val="21"/>
          <w:highlight w:val="none"/>
          <w:lang w:val="en-US" w:eastAsia="zh-CN" w:bidi="ar"/>
        </w:rPr>
        <w:t>招标</w:t>
      </w:r>
      <w:r>
        <w:rPr>
          <w:rFonts w:hint="eastAsia" w:ascii="宋体" w:hAnsi="宋体" w:eastAsia="宋体" w:cs="宋体"/>
          <w:color w:val="auto"/>
          <w:kern w:val="2"/>
          <w:sz w:val="21"/>
          <w:szCs w:val="21"/>
          <w:highlight w:val="none"/>
          <w:lang w:val="en-US" w:eastAsia="zh-CN" w:bidi="ar"/>
        </w:rPr>
        <w:t>人信息</w:t>
      </w:r>
    </w:p>
    <w:p w14:paraId="528AB23E">
      <w:pPr>
        <w:keepNext w:val="0"/>
        <w:keepLines w:val="0"/>
        <w:widowControl w:val="0"/>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名称：滁州市重点工程建设管理处</w:t>
      </w:r>
    </w:p>
    <w:p w14:paraId="3E71B465">
      <w:pPr>
        <w:keepNext w:val="0"/>
        <w:keepLines w:val="0"/>
        <w:widowControl w:val="0"/>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地址：滁州市琅琊西路建设大厦4楼</w:t>
      </w:r>
    </w:p>
    <w:p w14:paraId="55B1265B">
      <w:pPr>
        <w:keepNext w:val="0"/>
        <w:keepLines w:val="0"/>
        <w:widowControl w:val="0"/>
        <w:suppressLineNumbers w:val="0"/>
        <w:autoSpaceDE w:val="0"/>
        <w:autoSpaceDN/>
        <w:spacing w:before="0" w:beforeAutospacing="0" w:after="0" w:afterAutospacing="0" w:line="440" w:lineRule="exact"/>
        <w:ind w:left="0" w:right="0" w:firstLine="420" w:firstLineChars="200"/>
        <w:jc w:val="left"/>
        <w:rPr>
          <w:rFonts w:hint="default"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eastAsia="zh-CN" w:bidi="ar"/>
        </w:rPr>
        <w:t>联系方式：</w:t>
      </w:r>
      <w:r>
        <w:rPr>
          <w:rFonts w:hint="eastAsia" w:ascii="宋体" w:hAnsi="宋体" w:cs="宋体"/>
          <w:color w:val="auto"/>
          <w:kern w:val="2"/>
          <w:sz w:val="21"/>
          <w:szCs w:val="21"/>
          <w:highlight w:val="none"/>
          <w:lang w:val="en-US" w:eastAsia="zh-CN" w:bidi="ar"/>
        </w:rPr>
        <w:t>马雪婷</w:t>
      </w:r>
      <w:r>
        <w:rPr>
          <w:rFonts w:hint="eastAsia" w:ascii="宋体" w:hAnsi="宋体" w:eastAsia="宋体" w:cs="宋体"/>
          <w:color w:val="auto"/>
          <w:kern w:val="2"/>
          <w:sz w:val="21"/>
          <w:szCs w:val="21"/>
          <w:highlight w:val="none"/>
          <w:lang w:val="en-US" w:eastAsia="zh-CN" w:bidi="ar"/>
        </w:rPr>
        <w:t xml:space="preserve">  </w:t>
      </w:r>
      <w:r>
        <w:rPr>
          <w:rFonts w:hint="eastAsia" w:ascii="宋体" w:hAnsi="宋体" w:cs="宋体"/>
          <w:color w:val="auto"/>
          <w:kern w:val="2"/>
          <w:sz w:val="21"/>
          <w:szCs w:val="21"/>
          <w:highlight w:val="none"/>
          <w:lang w:val="en-US" w:eastAsia="zh-CN" w:bidi="ar"/>
        </w:rPr>
        <w:t>0550-</w:t>
      </w:r>
      <w:r>
        <w:rPr>
          <w:rFonts w:hint="eastAsia" w:ascii="宋体" w:hAnsi="宋体" w:eastAsia="宋体" w:cs="宋体"/>
          <w:color w:val="auto"/>
          <w:kern w:val="2"/>
          <w:sz w:val="21"/>
          <w:szCs w:val="21"/>
          <w:highlight w:val="none"/>
          <w:lang w:val="en-US" w:eastAsia="zh-CN" w:bidi="ar"/>
        </w:rPr>
        <w:t>3046029</w:t>
      </w:r>
    </w:p>
    <w:p w14:paraId="0959C5B1">
      <w:pPr>
        <w:keepNext w:val="0"/>
        <w:keepLines w:val="0"/>
        <w:widowControl w:val="0"/>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2.采购代理机构信息</w:t>
      </w:r>
    </w:p>
    <w:p w14:paraId="347D39A0">
      <w:pPr>
        <w:keepNext w:val="0"/>
        <w:keepLines w:val="0"/>
        <w:widowControl w:val="0"/>
        <w:suppressLineNumbers w:val="0"/>
        <w:autoSpaceDE w:val="0"/>
        <w:autoSpaceDN/>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名称：滁州市城投工程咨询管理有限公司</w:t>
      </w:r>
    </w:p>
    <w:p w14:paraId="7068A465">
      <w:pPr>
        <w:keepNext w:val="0"/>
        <w:keepLines w:val="0"/>
        <w:widowControl w:val="0"/>
        <w:suppressLineNumbers w:val="0"/>
        <w:autoSpaceDE w:val="0"/>
        <w:autoSpaceDN/>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地址：滁州市龙蟠大道109号房产商务大厦6楼</w:t>
      </w:r>
      <w:r>
        <w:rPr>
          <w:rFonts w:hint="eastAsia" w:ascii="宋体" w:hAnsi="宋体" w:cs="宋体"/>
          <w:color w:val="auto"/>
          <w:kern w:val="2"/>
          <w:sz w:val="21"/>
          <w:szCs w:val="21"/>
          <w:highlight w:val="none"/>
          <w:lang w:val="en-US" w:eastAsia="zh-CN" w:bidi="ar"/>
        </w:rPr>
        <w:t>620</w:t>
      </w:r>
      <w:r>
        <w:rPr>
          <w:rFonts w:hint="eastAsia" w:ascii="宋体" w:hAnsi="宋体" w:eastAsia="宋体" w:cs="宋体"/>
          <w:color w:val="auto"/>
          <w:kern w:val="2"/>
          <w:sz w:val="21"/>
          <w:szCs w:val="21"/>
          <w:highlight w:val="none"/>
          <w:lang w:val="en-US" w:eastAsia="zh-CN" w:bidi="ar"/>
        </w:rPr>
        <w:t>室</w:t>
      </w:r>
    </w:p>
    <w:p w14:paraId="3A132979">
      <w:pPr>
        <w:keepNext w:val="0"/>
        <w:keepLines w:val="0"/>
        <w:widowControl w:val="0"/>
        <w:suppressLineNumbers w:val="0"/>
        <w:autoSpaceDE w:val="0"/>
        <w:autoSpaceDN/>
        <w:spacing w:before="0" w:beforeAutospacing="0" w:after="0" w:afterAutospacing="0" w:line="440" w:lineRule="exact"/>
        <w:ind w:left="0" w:right="0" w:firstLine="420" w:firstLineChars="200"/>
        <w:jc w:val="both"/>
        <w:rPr>
          <w:rFonts w:hint="default"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eastAsia="zh-CN" w:bidi="ar"/>
        </w:rPr>
        <w:t>联系方式：</w:t>
      </w:r>
      <w:r>
        <w:rPr>
          <w:rFonts w:hint="eastAsia" w:ascii="宋体" w:hAnsi="宋体" w:cs="宋体"/>
          <w:color w:val="auto"/>
          <w:kern w:val="2"/>
          <w:sz w:val="21"/>
          <w:szCs w:val="21"/>
          <w:highlight w:val="none"/>
          <w:lang w:val="en-US" w:eastAsia="zh-CN" w:bidi="ar"/>
        </w:rPr>
        <w:t>关勤勤 18909605753</w:t>
      </w:r>
    </w:p>
    <w:p w14:paraId="5ECB63B7">
      <w:pPr>
        <w:pageBreakBefore w:val="0"/>
        <w:kinsoku/>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sz w:val="21"/>
          <w:szCs w:val="21"/>
          <w:highlight w:val="none"/>
          <w:lang w:val="en-US" w:eastAsia="zh-CN"/>
        </w:rPr>
      </w:pPr>
    </w:p>
    <w:p w14:paraId="0B7C01C1">
      <w:pPr>
        <w:pStyle w:val="6"/>
        <w:keepNext/>
        <w:keepLines/>
        <w:pageBreakBefore/>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color w:val="auto"/>
          <w:highlight w:val="none"/>
          <w:lang w:eastAsia="zh-CN"/>
        </w:rPr>
      </w:pPr>
      <w:bookmarkStart w:id="41" w:name="_Toc2525"/>
      <w:bookmarkStart w:id="42" w:name="_Toc24103"/>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章</w:t>
      </w:r>
      <w:r>
        <w:rPr>
          <w:rFonts w:hint="eastAsia" w:ascii="宋体" w:hAnsi="宋体" w:eastAsia="宋体" w:cs="宋体"/>
          <w:color w:val="auto"/>
          <w:highlight w:val="none"/>
          <w:lang w:val="en-US" w:eastAsia="zh-CN"/>
        </w:rPr>
        <w:t xml:space="preserve"> </w:t>
      </w:r>
      <w:bookmarkEnd w:id="41"/>
      <w:r>
        <w:rPr>
          <w:rFonts w:hint="eastAsia" w:ascii="宋体" w:hAnsi="宋体" w:eastAsia="宋体" w:cs="宋体"/>
          <w:color w:val="auto"/>
          <w:highlight w:val="none"/>
          <w:lang w:eastAsia="zh-CN"/>
        </w:rPr>
        <w:t>投标人须知</w:t>
      </w:r>
      <w:bookmarkEnd w:id="42"/>
    </w:p>
    <w:p w14:paraId="11A55803">
      <w:pPr>
        <w:pStyle w:val="6"/>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color w:val="auto"/>
          <w:highlight w:val="none"/>
        </w:rPr>
      </w:pPr>
      <w:bookmarkStart w:id="43" w:name="_Toc15200"/>
      <w:r>
        <w:rPr>
          <w:rFonts w:hint="eastAsia" w:ascii="宋体" w:hAnsi="宋体" w:eastAsia="宋体" w:cs="宋体"/>
          <w:color w:val="auto"/>
          <w:highlight w:val="none"/>
          <w:lang w:eastAsia="zh-CN"/>
        </w:rPr>
        <w:t>投标人须知</w:t>
      </w:r>
      <w:r>
        <w:rPr>
          <w:rFonts w:hint="eastAsia" w:ascii="宋体" w:hAnsi="宋体" w:eastAsia="宋体" w:cs="宋体"/>
          <w:color w:val="auto"/>
          <w:highlight w:val="none"/>
        </w:rPr>
        <w:t>前附表</w:t>
      </w:r>
      <w:bookmarkEnd w:id="1"/>
      <w:bookmarkEnd w:id="43"/>
    </w:p>
    <w:tbl>
      <w:tblPr>
        <w:tblStyle w:val="45"/>
        <w:tblW w:w="9538" w:type="dxa"/>
        <w:tblInd w:w="2" w:type="dxa"/>
        <w:tblLayout w:type="fixed"/>
        <w:tblCellMar>
          <w:top w:w="0" w:type="dxa"/>
          <w:left w:w="0" w:type="dxa"/>
          <w:bottom w:w="0" w:type="dxa"/>
          <w:right w:w="0" w:type="dxa"/>
        </w:tblCellMar>
      </w:tblPr>
      <w:tblGrid>
        <w:gridCol w:w="727"/>
        <w:gridCol w:w="1645"/>
        <w:gridCol w:w="7166"/>
      </w:tblGrid>
      <w:tr w14:paraId="78EF493F">
        <w:trPr>
          <w:trHeight w:val="164" w:hRule="atLeast"/>
        </w:trPr>
        <w:tc>
          <w:tcPr>
            <w:tcW w:w="727" w:type="dxa"/>
            <w:tcBorders>
              <w:top w:val="single" w:color="auto" w:sz="8" w:space="0"/>
              <w:left w:val="single" w:color="auto" w:sz="8" w:space="0"/>
              <w:bottom w:val="single" w:color="auto" w:sz="8" w:space="0"/>
              <w:right w:val="single" w:color="auto" w:sz="8" w:space="0"/>
            </w:tcBorders>
            <w:vAlign w:val="center"/>
          </w:tcPr>
          <w:p w14:paraId="6A179B0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编号</w:t>
            </w:r>
          </w:p>
        </w:tc>
        <w:tc>
          <w:tcPr>
            <w:tcW w:w="1645" w:type="dxa"/>
            <w:tcBorders>
              <w:top w:val="single" w:color="auto" w:sz="8" w:space="0"/>
              <w:left w:val="single" w:color="auto" w:sz="4" w:space="0"/>
              <w:bottom w:val="single" w:color="auto" w:sz="8" w:space="0"/>
              <w:right w:val="single" w:color="auto" w:sz="4" w:space="0"/>
            </w:tcBorders>
            <w:vAlign w:val="center"/>
          </w:tcPr>
          <w:p w14:paraId="49C71E2D">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内容</w:t>
            </w:r>
          </w:p>
        </w:tc>
        <w:tc>
          <w:tcPr>
            <w:tcW w:w="7166" w:type="dxa"/>
            <w:tcBorders>
              <w:top w:val="single" w:color="auto" w:sz="8" w:space="0"/>
              <w:left w:val="single" w:color="auto" w:sz="4" w:space="0"/>
              <w:bottom w:val="single" w:color="auto" w:sz="8" w:space="0"/>
              <w:right w:val="single" w:color="auto" w:sz="8" w:space="0"/>
            </w:tcBorders>
            <w:vAlign w:val="center"/>
          </w:tcPr>
          <w:p w14:paraId="6CFD765C">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说明与要求</w:t>
            </w:r>
          </w:p>
        </w:tc>
      </w:tr>
      <w:tr w14:paraId="726904A0">
        <w:tblPrEx>
          <w:tblCellMar>
            <w:top w:w="0" w:type="dxa"/>
            <w:left w:w="0" w:type="dxa"/>
            <w:bottom w:w="0" w:type="dxa"/>
            <w:right w:w="0" w:type="dxa"/>
          </w:tblCellMar>
        </w:tblPrEx>
        <w:trPr>
          <w:trHeight w:val="816" w:hRule="atLeast"/>
        </w:trPr>
        <w:tc>
          <w:tcPr>
            <w:tcW w:w="727" w:type="dxa"/>
            <w:tcBorders>
              <w:top w:val="single" w:color="auto" w:sz="8" w:space="0"/>
              <w:left w:val="single" w:color="auto" w:sz="8" w:space="0"/>
              <w:bottom w:val="single" w:color="auto" w:sz="8" w:space="0"/>
              <w:right w:val="single" w:color="auto" w:sz="8" w:space="0"/>
            </w:tcBorders>
            <w:vAlign w:val="center"/>
          </w:tcPr>
          <w:p w14:paraId="2BF3545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645" w:type="dxa"/>
            <w:tcBorders>
              <w:top w:val="single" w:color="auto" w:sz="8" w:space="0"/>
              <w:left w:val="single" w:color="auto" w:sz="4" w:space="0"/>
              <w:bottom w:val="single" w:color="auto" w:sz="8" w:space="0"/>
              <w:right w:val="single" w:color="auto" w:sz="4" w:space="0"/>
            </w:tcBorders>
            <w:vAlign w:val="center"/>
          </w:tcPr>
          <w:p w14:paraId="1C48B21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项目概况</w:t>
            </w:r>
          </w:p>
        </w:tc>
        <w:tc>
          <w:tcPr>
            <w:tcW w:w="7166" w:type="dxa"/>
            <w:tcBorders>
              <w:top w:val="single" w:color="auto" w:sz="8" w:space="0"/>
              <w:left w:val="single" w:color="auto" w:sz="4" w:space="0"/>
              <w:bottom w:val="single" w:color="auto" w:sz="8" w:space="0"/>
              <w:right w:val="single" w:color="auto" w:sz="8" w:space="0"/>
            </w:tcBorders>
            <w:vAlign w:val="center"/>
          </w:tcPr>
          <w:p w14:paraId="5594D2C0">
            <w:pPr>
              <w:keepNext w:val="0"/>
              <w:keepLines w:val="0"/>
              <w:pageBreakBefore w:val="0"/>
              <w:kinsoku/>
              <w:wordWrap/>
              <w:overflowPunct/>
              <w:topLinePunct w:val="0"/>
              <w:autoSpaceDE/>
              <w:autoSpaceDN/>
              <w:bidi w:val="0"/>
              <w:adjustRightInd/>
              <w:snapToGrid/>
              <w:spacing w:line="440" w:lineRule="exact"/>
              <w:ind w:left="63" w:leftChars="3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项目</w:t>
            </w:r>
            <w:r>
              <w:rPr>
                <w:rFonts w:hint="eastAsia" w:ascii="宋体" w:hAnsi="宋体" w:eastAsia="宋体" w:cs="宋体"/>
                <w:color w:val="auto"/>
                <w:kern w:val="0"/>
                <w:sz w:val="21"/>
                <w:szCs w:val="21"/>
                <w:highlight w:val="none"/>
              </w:rPr>
              <w:t>名称：</w:t>
            </w:r>
            <w:r>
              <w:rPr>
                <w:rFonts w:hint="eastAsia" w:ascii="宋体" w:hAnsi="宋体" w:eastAsia="宋体" w:cs="宋体"/>
                <w:i w:val="0"/>
                <w:iCs w:val="0"/>
                <w:caps w:val="0"/>
                <w:color w:val="auto"/>
                <w:spacing w:val="0"/>
                <w:kern w:val="0"/>
                <w:sz w:val="21"/>
                <w:szCs w:val="21"/>
                <w:highlight w:val="none"/>
                <w:shd w:val="clear" w:fill="FFFFFF"/>
                <w:lang w:val="en-US" w:eastAsia="zh-CN" w:bidi="ar"/>
              </w:rPr>
              <w:t>滁州市老城区排涝综合整治工程-城西干渠（凤谯路-会峰路）改造工程工程量清单及最高投标限价编制服务项目</w:t>
            </w:r>
          </w:p>
          <w:p w14:paraId="3D870AD5">
            <w:pPr>
              <w:keepNext w:val="0"/>
              <w:keepLines w:val="0"/>
              <w:pageBreakBefore w:val="0"/>
              <w:kinsoku/>
              <w:wordWrap/>
              <w:overflowPunct/>
              <w:topLinePunct w:val="0"/>
              <w:autoSpaceDE/>
              <w:autoSpaceDN/>
              <w:bidi w:val="0"/>
              <w:adjustRightInd/>
              <w:snapToGrid/>
              <w:spacing w:line="440" w:lineRule="exact"/>
              <w:ind w:left="63" w:leftChars="3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建设地点：滁州市</w:t>
            </w:r>
            <w:r>
              <w:rPr>
                <w:rFonts w:hint="eastAsia" w:ascii="宋体" w:hAnsi="宋体" w:eastAsia="宋体" w:cs="宋体"/>
                <w:color w:val="auto"/>
                <w:kern w:val="0"/>
                <w:sz w:val="21"/>
                <w:szCs w:val="21"/>
                <w:highlight w:val="none"/>
                <w:lang w:val="en-US" w:eastAsia="zh-CN"/>
              </w:rPr>
              <w:t>内</w:t>
            </w:r>
          </w:p>
          <w:p w14:paraId="41C1F8B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63" w:leftChars="30" w:right="0"/>
              <w:jc w:val="left"/>
              <w:textAlignment w:val="auto"/>
              <w:rPr>
                <w:rFonts w:hint="default" w:ascii="宋体" w:hAnsi="宋体" w:eastAsia="宋体" w:cs="宋体"/>
                <w:color w:val="auto"/>
                <w:kern w:val="0"/>
                <w:sz w:val="21"/>
                <w:szCs w:val="21"/>
                <w:highlight w:val="none"/>
                <w:u w:val="single"/>
                <w:lang w:val="en-US"/>
              </w:rPr>
            </w:pPr>
            <w:r>
              <w:rPr>
                <w:rFonts w:hint="eastAsia" w:ascii="宋体" w:hAnsi="宋体" w:eastAsia="宋体" w:cs="宋体"/>
                <w:color w:val="auto"/>
                <w:kern w:val="0"/>
                <w:sz w:val="21"/>
                <w:szCs w:val="21"/>
                <w:highlight w:val="none"/>
                <w:lang w:val="en-US" w:eastAsia="zh-CN"/>
              </w:rPr>
              <w:t>建设规模：工程量清单及最高投标限价编制费约</w:t>
            </w:r>
            <w:r>
              <w:rPr>
                <w:rFonts w:hint="eastAsia" w:ascii="宋体" w:hAnsi="宋体" w:cs="宋体"/>
                <w:color w:val="auto"/>
                <w:kern w:val="0"/>
                <w:sz w:val="21"/>
                <w:szCs w:val="21"/>
                <w:highlight w:val="none"/>
                <w:lang w:val="en-US" w:eastAsia="zh-CN"/>
              </w:rPr>
              <w:t>2.3万元</w:t>
            </w:r>
            <w:r>
              <w:rPr>
                <w:rFonts w:hint="eastAsia" w:ascii="宋体" w:hAnsi="宋体" w:eastAsia="宋体" w:cs="宋体"/>
                <w:color w:val="auto"/>
                <w:kern w:val="0"/>
                <w:sz w:val="21"/>
                <w:szCs w:val="21"/>
                <w:highlight w:val="none"/>
                <w:lang w:val="en-US" w:eastAsia="zh-CN"/>
              </w:rPr>
              <w:t>。</w:t>
            </w:r>
          </w:p>
        </w:tc>
      </w:tr>
      <w:tr w14:paraId="4047B0BA">
        <w:tblPrEx>
          <w:tblCellMar>
            <w:top w:w="0" w:type="dxa"/>
            <w:left w:w="0" w:type="dxa"/>
            <w:bottom w:w="0" w:type="dxa"/>
            <w:right w:w="0" w:type="dxa"/>
          </w:tblCellMar>
        </w:tblPrEx>
        <w:trPr>
          <w:trHeight w:val="525" w:hRule="atLeast"/>
        </w:trPr>
        <w:tc>
          <w:tcPr>
            <w:tcW w:w="727" w:type="dxa"/>
            <w:tcBorders>
              <w:top w:val="single" w:color="auto" w:sz="8" w:space="0"/>
              <w:left w:val="single" w:color="auto" w:sz="8" w:space="0"/>
              <w:bottom w:val="single" w:color="auto" w:sz="8" w:space="0"/>
              <w:right w:val="single" w:color="auto" w:sz="8" w:space="0"/>
            </w:tcBorders>
            <w:vAlign w:val="center"/>
          </w:tcPr>
          <w:p w14:paraId="4A966AC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645" w:type="dxa"/>
            <w:tcBorders>
              <w:top w:val="single" w:color="auto" w:sz="8" w:space="0"/>
              <w:left w:val="single" w:color="auto" w:sz="4" w:space="0"/>
              <w:bottom w:val="single" w:color="auto" w:sz="8" w:space="0"/>
              <w:right w:val="single" w:color="auto" w:sz="4" w:space="0"/>
            </w:tcBorders>
            <w:vAlign w:val="center"/>
          </w:tcPr>
          <w:p w14:paraId="1E1D1A5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服务需求</w:t>
            </w:r>
          </w:p>
        </w:tc>
        <w:tc>
          <w:tcPr>
            <w:tcW w:w="7166" w:type="dxa"/>
            <w:tcBorders>
              <w:top w:val="single" w:color="auto" w:sz="8" w:space="0"/>
              <w:left w:val="single" w:color="auto" w:sz="4" w:space="0"/>
              <w:bottom w:val="single" w:color="auto" w:sz="8" w:space="0"/>
              <w:right w:val="single" w:color="auto" w:sz="8" w:space="0"/>
            </w:tcBorders>
            <w:vAlign w:val="center"/>
          </w:tcPr>
          <w:p w14:paraId="0003F08F">
            <w:pPr>
              <w:keepNext w:val="0"/>
              <w:keepLines w:val="0"/>
              <w:pageBreakBefore w:val="0"/>
              <w:kinsoku/>
              <w:wordWrap/>
              <w:overflowPunct/>
              <w:topLinePunct w:val="0"/>
              <w:autoSpaceDE/>
              <w:autoSpaceDN/>
              <w:bidi w:val="0"/>
              <w:adjustRightInd/>
              <w:snapToGrid/>
              <w:spacing w:line="440" w:lineRule="exact"/>
              <w:ind w:left="63" w:leftChars="30"/>
              <w:textAlignment w:val="auto"/>
              <w:rPr>
                <w:rFonts w:hint="default" w:ascii="宋体" w:hAnsi="宋体" w:eastAsia="宋体" w:cs="宋体"/>
                <w:color w:val="auto"/>
                <w:kern w:val="0"/>
                <w:sz w:val="21"/>
                <w:szCs w:val="21"/>
                <w:highlight w:val="none"/>
                <w:lang w:val="en-US"/>
              </w:rPr>
            </w:pPr>
            <w:r>
              <w:rPr>
                <w:rFonts w:hint="eastAsia" w:ascii="宋体" w:hAnsi="宋体" w:cs="宋体"/>
                <w:color w:val="auto"/>
                <w:kern w:val="0"/>
                <w:sz w:val="21"/>
                <w:szCs w:val="21"/>
                <w:highlight w:val="none"/>
                <w:lang w:val="en-US" w:eastAsia="zh-CN"/>
              </w:rPr>
              <w:t>见招标公告</w:t>
            </w:r>
          </w:p>
        </w:tc>
      </w:tr>
      <w:tr w14:paraId="597FACB0">
        <w:tblPrEx>
          <w:tblCellMar>
            <w:top w:w="0" w:type="dxa"/>
            <w:left w:w="0" w:type="dxa"/>
            <w:bottom w:w="0" w:type="dxa"/>
            <w:right w:w="0" w:type="dxa"/>
          </w:tblCellMar>
        </w:tblPrEx>
        <w:trPr>
          <w:trHeight w:val="711" w:hRule="atLeast"/>
        </w:trPr>
        <w:tc>
          <w:tcPr>
            <w:tcW w:w="727" w:type="dxa"/>
            <w:tcBorders>
              <w:top w:val="single" w:color="auto" w:sz="8" w:space="0"/>
              <w:left w:val="single" w:color="auto" w:sz="8" w:space="0"/>
              <w:bottom w:val="single" w:color="auto" w:sz="8" w:space="0"/>
              <w:right w:val="single" w:color="auto" w:sz="8" w:space="0"/>
            </w:tcBorders>
            <w:vAlign w:val="center"/>
          </w:tcPr>
          <w:p w14:paraId="01D1593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645" w:type="dxa"/>
            <w:tcBorders>
              <w:top w:val="single" w:color="auto" w:sz="8" w:space="0"/>
              <w:left w:val="single" w:color="auto" w:sz="4" w:space="0"/>
              <w:bottom w:val="single" w:color="auto" w:sz="8" w:space="0"/>
              <w:right w:val="single" w:color="auto" w:sz="4" w:space="0"/>
            </w:tcBorders>
            <w:vAlign w:val="center"/>
          </w:tcPr>
          <w:p w14:paraId="0815F981">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服务期</w:t>
            </w:r>
            <w:r>
              <w:rPr>
                <w:rFonts w:hint="eastAsia" w:ascii="宋体" w:hAnsi="宋体" w:eastAsia="宋体" w:cs="宋体"/>
                <w:color w:val="auto"/>
                <w:kern w:val="0"/>
                <w:sz w:val="21"/>
                <w:szCs w:val="21"/>
                <w:highlight w:val="none"/>
              </w:rPr>
              <w:t>要求</w:t>
            </w:r>
          </w:p>
        </w:tc>
        <w:tc>
          <w:tcPr>
            <w:tcW w:w="7166" w:type="dxa"/>
            <w:tcBorders>
              <w:top w:val="single" w:color="auto" w:sz="8" w:space="0"/>
              <w:left w:val="single" w:color="auto" w:sz="4" w:space="0"/>
              <w:bottom w:val="single" w:color="auto" w:sz="8" w:space="0"/>
              <w:right w:val="single" w:color="auto" w:sz="8" w:space="0"/>
            </w:tcBorders>
            <w:vAlign w:val="center"/>
          </w:tcPr>
          <w:p w14:paraId="125E3E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63" w:leftChars="30" w:right="42" w:rightChars="2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1、领取图纸之日起7日内完成工程量清单和最高投标限价的编制工作。</w:t>
            </w:r>
          </w:p>
          <w:p w14:paraId="5C4636FF">
            <w:pPr>
              <w:keepNext w:val="0"/>
              <w:keepLines w:val="0"/>
              <w:pageBreakBefore w:val="0"/>
              <w:kinsoku/>
              <w:wordWrap/>
              <w:overflowPunct/>
              <w:topLinePunct w:val="0"/>
              <w:autoSpaceDE/>
              <w:autoSpaceDN/>
              <w:bidi w:val="0"/>
              <w:adjustRightInd/>
              <w:snapToGrid/>
              <w:spacing w:line="440" w:lineRule="exact"/>
              <w:ind w:left="63" w:leftChars="3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2、造价企业应在规定时间内提交咨询成果文件，因造价企业原因未能按时提交，超过5日的，扣咨询服务费500元/日；超过15日的，扣咨询服务费1000元/日；超过规定时间一半以上的，终止委托业务</w:t>
            </w:r>
            <w:r>
              <w:rPr>
                <w:rFonts w:hint="eastAsia" w:ascii="宋体" w:hAnsi="宋体" w:eastAsia="宋体" w:cs="宋体"/>
                <w:color w:val="auto"/>
                <w:sz w:val="21"/>
                <w:szCs w:val="21"/>
                <w:highlight w:val="none"/>
              </w:rPr>
              <w:t>。</w:t>
            </w:r>
          </w:p>
        </w:tc>
      </w:tr>
      <w:tr w14:paraId="24784F21">
        <w:tblPrEx>
          <w:tblCellMar>
            <w:top w:w="0" w:type="dxa"/>
            <w:left w:w="0" w:type="dxa"/>
            <w:bottom w:w="0" w:type="dxa"/>
            <w:right w:w="0" w:type="dxa"/>
          </w:tblCellMar>
        </w:tblPrEx>
        <w:trPr>
          <w:trHeight w:val="320" w:hRule="atLeast"/>
        </w:trPr>
        <w:tc>
          <w:tcPr>
            <w:tcW w:w="727" w:type="dxa"/>
            <w:tcBorders>
              <w:top w:val="single" w:color="auto" w:sz="8" w:space="0"/>
              <w:left w:val="single" w:color="auto" w:sz="8" w:space="0"/>
              <w:bottom w:val="single" w:color="auto" w:sz="8" w:space="0"/>
              <w:right w:val="single" w:color="auto" w:sz="8" w:space="0"/>
            </w:tcBorders>
            <w:vAlign w:val="center"/>
          </w:tcPr>
          <w:p w14:paraId="274B87BC">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645" w:type="dxa"/>
            <w:tcBorders>
              <w:top w:val="single" w:color="auto" w:sz="8" w:space="0"/>
              <w:left w:val="single" w:color="auto" w:sz="4" w:space="0"/>
              <w:bottom w:val="single" w:color="auto" w:sz="8" w:space="0"/>
              <w:right w:val="single" w:color="auto" w:sz="4" w:space="0"/>
            </w:tcBorders>
            <w:vAlign w:val="center"/>
          </w:tcPr>
          <w:p w14:paraId="3198F4B1">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质量标准</w:t>
            </w:r>
          </w:p>
        </w:tc>
        <w:tc>
          <w:tcPr>
            <w:tcW w:w="7166" w:type="dxa"/>
            <w:tcBorders>
              <w:top w:val="single" w:color="auto" w:sz="8" w:space="0"/>
              <w:left w:val="single" w:color="auto" w:sz="4" w:space="0"/>
              <w:bottom w:val="single" w:color="auto" w:sz="8" w:space="0"/>
              <w:right w:val="single" w:color="auto" w:sz="8" w:space="0"/>
            </w:tcBorders>
            <w:vAlign w:val="center"/>
          </w:tcPr>
          <w:p w14:paraId="27135FFC">
            <w:pPr>
              <w:keepNext w:val="0"/>
              <w:keepLines w:val="0"/>
              <w:pageBreakBefore w:val="0"/>
              <w:widowControl w:val="0"/>
              <w:kinsoku/>
              <w:wordWrap/>
              <w:overflowPunct/>
              <w:topLinePunct w:val="0"/>
              <w:autoSpaceDE/>
              <w:autoSpaceDN/>
              <w:bidi w:val="0"/>
              <w:adjustRightInd/>
              <w:snapToGrid/>
              <w:spacing w:line="440" w:lineRule="exact"/>
              <w:ind w:left="63" w:leftChars="3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eastAsia="zh-CN"/>
              </w:rPr>
              <w:t>符合《建设工程造价咨询成果文件质量标准》（CECA/GCF2012）</w:t>
            </w:r>
          </w:p>
        </w:tc>
      </w:tr>
      <w:tr w14:paraId="21D1049F">
        <w:tblPrEx>
          <w:tblCellMar>
            <w:top w:w="0" w:type="dxa"/>
            <w:left w:w="0" w:type="dxa"/>
            <w:bottom w:w="0" w:type="dxa"/>
            <w:right w:w="0" w:type="dxa"/>
          </w:tblCellMar>
        </w:tblPrEx>
        <w:trPr>
          <w:trHeight w:val="320" w:hRule="atLeast"/>
        </w:trPr>
        <w:tc>
          <w:tcPr>
            <w:tcW w:w="727" w:type="dxa"/>
            <w:tcBorders>
              <w:top w:val="single" w:color="auto" w:sz="8" w:space="0"/>
              <w:left w:val="single" w:color="auto" w:sz="8" w:space="0"/>
              <w:bottom w:val="single" w:color="auto" w:sz="8" w:space="0"/>
              <w:right w:val="single" w:color="auto" w:sz="8" w:space="0"/>
            </w:tcBorders>
            <w:vAlign w:val="center"/>
          </w:tcPr>
          <w:p w14:paraId="68BC984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645" w:type="dxa"/>
            <w:tcBorders>
              <w:top w:val="single" w:color="auto" w:sz="8" w:space="0"/>
              <w:left w:val="single" w:color="auto" w:sz="4" w:space="0"/>
              <w:bottom w:val="single" w:color="auto" w:sz="8" w:space="0"/>
              <w:right w:val="single" w:color="auto" w:sz="4" w:space="0"/>
            </w:tcBorders>
            <w:vAlign w:val="center"/>
          </w:tcPr>
          <w:p w14:paraId="0E6F3B67">
            <w:pPr>
              <w:keepNext w:val="0"/>
              <w:keepLines w:val="0"/>
              <w:pageBreakBefore w:val="0"/>
              <w:kinsoku/>
              <w:wordWrap/>
              <w:overflowPunct/>
              <w:topLinePunct w:val="0"/>
              <w:autoSpaceDE/>
              <w:autoSpaceDN/>
              <w:bidi w:val="0"/>
              <w:adjustRightInd/>
              <w:snapToGrid/>
              <w:spacing w:line="440" w:lineRule="exact"/>
              <w:ind w:left="31680" w:hanging="1470" w:hangingChars="7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投标人资质</w:t>
            </w:r>
          </w:p>
          <w:p w14:paraId="4A788D2E">
            <w:pPr>
              <w:keepNext w:val="0"/>
              <w:keepLines w:val="0"/>
              <w:pageBreakBefore w:val="0"/>
              <w:kinsoku/>
              <w:wordWrap/>
              <w:overflowPunct/>
              <w:topLinePunct w:val="0"/>
              <w:autoSpaceDE/>
              <w:autoSpaceDN/>
              <w:bidi w:val="0"/>
              <w:adjustRightInd/>
              <w:snapToGrid/>
              <w:spacing w:line="440" w:lineRule="exact"/>
              <w:ind w:left="31680" w:hanging="1470" w:hangingChars="7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等级要求</w:t>
            </w:r>
          </w:p>
        </w:tc>
        <w:tc>
          <w:tcPr>
            <w:tcW w:w="7166" w:type="dxa"/>
            <w:tcBorders>
              <w:top w:val="single" w:color="auto" w:sz="8" w:space="0"/>
              <w:left w:val="single" w:color="auto" w:sz="4" w:space="0"/>
              <w:bottom w:val="single" w:color="auto" w:sz="8" w:space="0"/>
              <w:right w:val="single" w:color="auto" w:sz="8" w:space="0"/>
            </w:tcBorders>
            <w:vAlign w:val="center"/>
          </w:tcPr>
          <w:p w14:paraId="19BF53D1">
            <w:pPr>
              <w:keepNext w:val="0"/>
              <w:keepLines w:val="0"/>
              <w:pageBreakBefore w:val="0"/>
              <w:kinsoku/>
              <w:wordWrap/>
              <w:overflowPunct/>
              <w:topLinePunct w:val="0"/>
              <w:autoSpaceDE/>
              <w:autoSpaceDN/>
              <w:bidi w:val="0"/>
              <w:adjustRightInd/>
              <w:snapToGrid/>
              <w:spacing w:line="440" w:lineRule="exact"/>
              <w:ind w:left="63" w:leftChars="30"/>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详</w:t>
            </w:r>
            <w:r>
              <w:rPr>
                <w:rFonts w:hint="eastAsia" w:ascii="宋体" w:hAnsi="宋体" w:eastAsia="宋体" w:cs="宋体"/>
                <w:color w:val="auto"/>
                <w:kern w:val="0"/>
                <w:sz w:val="21"/>
                <w:szCs w:val="21"/>
                <w:highlight w:val="none"/>
                <w:lang w:val="en-US" w:eastAsia="zh-CN"/>
              </w:rPr>
              <w:t>见招标公告</w:t>
            </w:r>
            <w:r>
              <w:rPr>
                <w:rFonts w:hint="eastAsia" w:ascii="宋体" w:hAnsi="宋体" w:eastAsia="宋体" w:cs="宋体"/>
                <w:color w:val="auto"/>
                <w:kern w:val="0"/>
                <w:sz w:val="21"/>
                <w:szCs w:val="21"/>
                <w:highlight w:val="none"/>
              </w:rPr>
              <w:t>。</w:t>
            </w:r>
          </w:p>
        </w:tc>
      </w:tr>
      <w:tr w14:paraId="26978DB0">
        <w:tblPrEx>
          <w:tblCellMar>
            <w:top w:w="0" w:type="dxa"/>
            <w:left w:w="0" w:type="dxa"/>
            <w:bottom w:w="0" w:type="dxa"/>
            <w:right w:w="0" w:type="dxa"/>
          </w:tblCellMar>
        </w:tblPrEx>
        <w:trPr>
          <w:trHeight w:val="320" w:hRule="atLeast"/>
        </w:trPr>
        <w:tc>
          <w:tcPr>
            <w:tcW w:w="727" w:type="dxa"/>
            <w:tcBorders>
              <w:top w:val="single" w:color="auto" w:sz="8" w:space="0"/>
              <w:left w:val="single" w:color="auto" w:sz="8" w:space="0"/>
              <w:bottom w:val="single" w:color="auto" w:sz="8" w:space="0"/>
              <w:right w:val="single" w:color="auto" w:sz="8" w:space="0"/>
            </w:tcBorders>
            <w:vAlign w:val="center"/>
          </w:tcPr>
          <w:p w14:paraId="2B243C1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645" w:type="dxa"/>
            <w:tcBorders>
              <w:top w:val="single" w:color="auto" w:sz="8" w:space="0"/>
              <w:left w:val="single" w:color="auto" w:sz="4" w:space="0"/>
              <w:bottom w:val="single" w:color="auto" w:sz="8" w:space="0"/>
              <w:right w:val="single" w:color="auto" w:sz="4" w:space="0"/>
            </w:tcBorders>
            <w:vAlign w:val="center"/>
          </w:tcPr>
          <w:p w14:paraId="0DD7F5B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勘察现场及投标预备会</w:t>
            </w:r>
          </w:p>
        </w:tc>
        <w:tc>
          <w:tcPr>
            <w:tcW w:w="7166" w:type="dxa"/>
            <w:tcBorders>
              <w:top w:val="single" w:color="auto" w:sz="8" w:space="0"/>
              <w:left w:val="single" w:color="auto" w:sz="4" w:space="0"/>
              <w:bottom w:val="single" w:color="auto" w:sz="8" w:space="0"/>
              <w:right w:val="single" w:color="auto" w:sz="8" w:space="0"/>
            </w:tcBorders>
            <w:vAlign w:val="center"/>
          </w:tcPr>
          <w:p w14:paraId="13D7AA67">
            <w:pPr>
              <w:keepNext w:val="0"/>
              <w:keepLines w:val="0"/>
              <w:pageBreakBefore w:val="0"/>
              <w:widowControl/>
              <w:kinsoku/>
              <w:wordWrap/>
              <w:overflowPunct/>
              <w:topLinePunct w:val="0"/>
              <w:autoSpaceDE/>
              <w:autoSpaceDN/>
              <w:bidi w:val="0"/>
              <w:adjustRightInd/>
              <w:snapToGrid/>
              <w:spacing w:line="440" w:lineRule="exact"/>
              <w:ind w:left="63" w:leftChars="3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不再集中召开招标答疑会；投标人自行组织勘察现场。</w:t>
            </w:r>
          </w:p>
        </w:tc>
      </w:tr>
      <w:tr w14:paraId="73E08BE4">
        <w:tblPrEx>
          <w:tblCellMar>
            <w:top w:w="0" w:type="dxa"/>
            <w:left w:w="0" w:type="dxa"/>
            <w:bottom w:w="0" w:type="dxa"/>
            <w:right w:w="0" w:type="dxa"/>
          </w:tblCellMar>
        </w:tblPrEx>
        <w:trPr>
          <w:trHeight w:val="164" w:hRule="atLeast"/>
        </w:trPr>
        <w:tc>
          <w:tcPr>
            <w:tcW w:w="727" w:type="dxa"/>
            <w:tcBorders>
              <w:top w:val="single" w:color="auto" w:sz="8" w:space="0"/>
              <w:left w:val="single" w:color="auto" w:sz="8" w:space="0"/>
              <w:bottom w:val="single" w:color="auto" w:sz="8" w:space="0"/>
              <w:right w:val="single" w:color="auto" w:sz="8" w:space="0"/>
            </w:tcBorders>
            <w:vAlign w:val="center"/>
          </w:tcPr>
          <w:p w14:paraId="59B9DB0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645" w:type="dxa"/>
            <w:tcBorders>
              <w:top w:val="single" w:color="auto" w:sz="8" w:space="0"/>
              <w:left w:val="single" w:color="auto" w:sz="4" w:space="0"/>
              <w:bottom w:val="single" w:color="auto" w:sz="8" w:space="0"/>
              <w:right w:val="single" w:color="auto" w:sz="4" w:space="0"/>
            </w:tcBorders>
            <w:vAlign w:val="center"/>
          </w:tcPr>
          <w:p w14:paraId="396C664A">
            <w:pPr>
              <w:pStyle w:val="25"/>
              <w:keepNext w:val="0"/>
              <w:keepLines w:val="0"/>
              <w:pageBreakBefore w:val="0"/>
              <w:kinsoku/>
              <w:overflowPunct/>
              <w:topLinePunct w:val="0"/>
              <w:autoSpaceDE/>
              <w:autoSpaceDN/>
              <w:bidi w:val="0"/>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招标方式</w:t>
            </w:r>
          </w:p>
        </w:tc>
        <w:tc>
          <w:tcPr>
            <w:tcW w:w="7166" w:type="dxa"/>
            <w:tcBorders>
              <w:top w:val="single" w:color="auto" w:sz="8" w:space="0"/>
              <w:left w:val="single" w:color="auto" w:sz="4" w:space="0"/>
              <w:bottom w:val="single" w:color="auto" w:sz="8" w:space="0"/>
              <w:right w:val="single" w:color="auto" w:sz="8" w:space="0"/>
            </w:tcBorders>
            <w:vAlign w:val="center"/>
          </w:tcPr>
          <w:p w14:paraId="59739CC9">
            <w:pPr>
              <w:pStyle w:val="25"/>
              <w:keepNext w:val="0"/>
              <w:keepLines w:val="0"/>
              <w:pageBreakBefore w:val="0"/>
              <w:kinsoku/>
              <w:overflowPunct/>
              <w:topLinePunct w:val="0"/>
              <w:autoSpaceDE/>
              <w:autoSpaceDN/>
              <w:bidi w:val="0"/>
              <w:adjustRightInd/>
              <w:snapToGrid/>
              <w:spacing w:line="440" w:lineRule="exact"/>
              <w:ind w:left="63" w:leftChars="30"/>
              <w:textAlignment w:val="auto"/>
              <w:rPr>
                <w:rFonts w:hint="eastAsia" w:ascii="宋体" w:hAnsi="宋体" w:eastAsia="宋体" w:cs="宋体"/>
                <w:color w:val="auto"/>
                <w:kern w:val="0"/>
                <w:sz w:val="21"/>
                <w:szCs w:val="21"/>
                <w:highlight w:val="none"/>
              </w:rPr>
            </w:pPr>
            <w:r>
              <w:rPr>
                <w:rFonts w:hint="eastAsia" w:ascii="宋体" w:hAnsi="宋体" w:eastAsia="宋体" w:cs="宋体"/>
                <w:b/>
                <w:bCs w:val="0"/>
                <w:color w:val="auto"/>
                <w:sz w:val="21"/>
                <w:szCs w:val="21"/>
                <w:highlight w:val="none"/>
              </w:rPr>
              <w:t xml:space="preserve">公开招标(本项目采用网上电子招投标) </w:t>
            </w:r>
          </w:p>
        </w:tc>
      </w:tr>
      <w:tr w14:paraId="0DEE0E5F">
        <w:tblPrEx>
          <w:tblCellMar>
            <w:top w:w="0" w:type="dxa"/>
            <w:left w:w="0" w:type="dxa"/>
            <w:bottom w:w="0" w:type="dxa"/>
            <w:right w:w="0" w:type="dxa"/>
          </w:tblCellMar>
        </w:tblPrEx>
        <w:trPr>
          <w:trHeight w:val="1103" w:hRule="atLeast"/>
        </w:trPr>
        <w:tc>
          <w:tcPr>
            <w:tcW w:w="727" w:type="dxa"/>
            <w:tcBorders>
              <w:top w:val="single" w:color="auto" w:sz="8" w:space="0"/>
              <w:left w:val="single" w:color="auto" w:sz="8" w:space="0"/>
              <w:bottom w:val="single" w:color="auto" w:sz="8" w:space="0"/>
              <w:right w:val="single" w:color="auto" w:sz="8" w:space="0"/>
            </w:tcBorders>
            <w:vAlign w:val="center"/>
          </w:tcPr>
          <w:p w14:paraId="48A5CF8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8</w:t>
            </w:r>
          </w:p>
        </w:tc>
        <w:tc>
          <w:tcPr>
            <w:tcW w:w="1645" w:type="dxa"/>
            <w:tcBorders>
              <w:top w:val="single" w:color="auto" w:sz="8" w:space="0"/>
              <w:left w:val="single" w:color="auto" w:sz="4" w:space="0"/>
              <w:bottom w:val="single" w:color="auto" w:sz="8" w:space="0"/>
              <w:right w:val="single" w:color="auto" w:sz="4" w:space="0"/>
            </w:tcBorders>
            <w:vAlign w:val="center"/>
          </w:tcPr>
          <w:p w14:paraId="51E1A093">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最高限价</w:t>
            </w:r>
          </w:p>
        </w:tc>
        <w:tc>
          <w:tcPr>
            <w:tcW w:w="7166" w:type="dxa"/>
            <w:tcBorders>
              <w:top w:val="single" w:color="auto" w:sz="8" w:space="0"/>
              <w:left w:val="single" w:color="auto" w:sz="4" w:space="0"/>
              <w:bottom w:val="single" w:color="auto" w:sz="8" w:space="0"/>
              <w:right w:val="single" w:color="auto" w:sz="8" w:space="0"/>
            </w:tcBorders>
            <w:vAlign w:val="center"/>
          </w:tcPr>
          <w:p w14:paraId="4C759270">
            <w:pPr>
              <w:keepNext w:val="0"/>
              <w:keepLines w:val="0"/>
              <w:pageBreakBefore w:val="0"/>
              <w:widowControl/>
              <w:kinsoku/>
              <w:wordWrap/>
              <w:overflowPunct/>
              <w:topLinePunct w:val="0"/>
              <w:autoSpaceDE/>
              <w:autoSpaceDN/>
              <w:bidi w:val="0"/>
              <w:adjustRightInd/>
              <w:snapToGrid/>
              <w:spacing w:line="440" w:lineRule="exact"/>
              <w:ind w:left="63" w:leftChars="3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本项目</w:t>
            </w:r>
            <w:r>
              <w:rPr>
                <w:rFonts w:hint="eastAsia" w:ascii="宋体" w:hAnsi="宋体" w:eastAsia="宋体" w:cs="宋体"/>
                <w:color w:val="auto"/>
                <w:kern w:val="0"/>
                <w:sz w:val="21"/>
                <w:szCs w:val="21"/>
                <w:highlight w:val="none"/>
                <w:lang w:eastAsia="zh-CN"/>
              </w:rPr>
              <w:t>工程量清单和最高投标限价编制</w:t>
            </w:r>
            <w:r>
              <w:rPr>
                <w:rFonts w:hint="eastAsia" w:ascii="宋体" w:hAnsi="宋体" w:eastAsia="宋体" w:cs="宋体"/>
                <w:color w:val="auto"/>
                <w:kern w:val="0"/>
                <w:sz w:val="21"/>
                <w:szCs w:val="21"/>
                <w:highlight w:val="none"/>
                <w:lang w:val="en-US" w:eastAsia="zh-CN"/>
              </w:rPr>
              <w:t>费用的最高限价为《收费标准》计算费用的</w:t>
            </w:r>
            <w:r>
              <w:rPr>
                <w:rFonts w:hint="eastAsia" w:ascii="宋体" w:hAnsi="宋体" w:eastAsia="宋体" w:cs="宋体"/>
                <w:b/>
                <w:bCs/>
                <w:color w:val="auto"/>
                <w:kern w:val="0"/>
                <w:sz w:val="24"/>
                <w:szCs w:val="24"/>
                <w:highlight w:val="none"/>
                <w:lang w:val="en-US" w:eastAsia="zh-CN"/>
              </w:rPr>
              <w:t>40%</w:t>
            </w:r>
            <w:r>
              <w:rPr>
                <w:rFonts w:hint="eastAsia" w:ascii="宋体" w:hAnsi="宋体" w:eastAsia="宋体" w:cs="宋体"/>
                <w:color w:val="auto"/>
                <w:kern w:val="0"/>
                <w:sz w:val="21"/>
                <w:szCs w:val="21"/>
                <w:highlight w:val="none"/>
                <w:lang w:val="en-US" w:eastAsia="zh-CN"/>
              </w:rPr>
              <w:t>（报价均保留两位小数，小数点后第三位将四舍五入进行修正）</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投标单位投标报价不得高于上述费率最高限价，否则按无效标处理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《收费标准》详见附表</w:t>
            </w:r>
            <w:r>
              <w:rPr>
                <w:rFonts w:hint="eastAsia" w:ascii="宋体" w:hAnsi="宋体" w:eastAsia="宋体" w:cs="宋体"/>
                <w:color w:val="auto"/>
                <w:kern w:val="0"/>
                <w:sz w:val="21"/>
                <w:szCs w:val="21"/>
                <w:highlight w:val="none"/>
                <w:lang w:eastAsia="zh-CN"/>
              </w:rPr>
              <w:t>。</w:t>
            </w:r>
          </w:p>
          <w:p w14:paraId="48D22E22">
            <w:pPr>
              <w:keepNext w:val="0"/>
              <w:keepLines w:val="0"/>
              <w:pageBreakBefore w:val="0"/>
              <w:widowControl/>
              <w:kinsoku/>
              <w:wordWrap/>
              <w:overflowPunct/>
              <w:topLinePunct w:val="0"/>
              <w:autoSpaceDE/>
              <w:autoSpaceDN/>
              <w:bidi w:val="0"/>
              <w:adjustRightInd/>
              <w:snapToGrid/>
              <w:spacing w:line="440" w:lineRule="exact"/>
              <w:ind w:left="63" w:leftChars="3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注：服务费用=【施工中标价-（暂列金+暂估价）】*相应费率*中标费率</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若施工招标时划分了多个施工标段，则造价咨询费的计费基数为已招标实施的施工标段中标价的合计总金额。</w:t>
            </w:r>
          </w:p>
        </w:tc>
      </w:tr>
      <w:tr w14:paraId="689F356F">
        <w:tblPrEx>
          <w:tblCellMar>
            <w:top w:w="0" w:type="dxa"/>
            <w:left w:w="0" w:type="dxa"/>
            <w:bottom w:w="0" w:type="dxa"/>
            <w:right w:w="0" w:type="dxa"/>
          </w:tblCellMar>
        </w:tblPrEx>
        <w:trPr>
          <w:trHeight w:val="164" w:hRule="atLeast"/>
        </w:trPr>
        <w:tc>
          <w:tcPr>
            <w:tcW w:w="727" w:type="dxa"/>
            <w:tcBorders>
              <w:top w:val="single" w:color="auto" w:sz="8" w:space="0"/>
              <w:left w:val="single" w:color="auto" w:sz="8" w:space="0"/>
              <w:bottom w:val="single" w:color="auto" w:sz="8" w:space="0"/>
              <w:right w:val="single" w:color="auto" w:sz="8" w:space="0"/>
            </w:tcBorders>
            <w:vAlign w:val="center"/>
          </w:tcPr>
          <w:p w14:paraId="61DCADC1">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w:t>
            </w:r>
          </w:p>
        </w:tc>
        <w:tc>
          <w:tcPr>
            <w:tcW w:w="1645" w:type="dxa"/>
            <w:tcBorders>
              <w:top w:val="single" w:color="auto" w:sz="8" w:space="0"/>
              <w:left w:val="single" w:color="auto" w:sz="4" w:space="0"/>
              <w:bottom w:val="single" w:color="auto" w:sz="8" w:space="0"/>
              <w:right w:val="single" w:color="auto" w:sz="4" w:space="0"/>
            </w:tcBorders>
            <w:vAlign w:val="center"/>
          </w:tcPr>
          <w:p w14:paraId="0CDB768E">
            <w:pPr>
              <w:keepNext w:val="0"/>
              <w:keepLines w:val="0"/>
              <w:pageBreakBefore w:val="0"/>
              <w:kinsoku/>
              <w:overflowPunct/>
              <w:topLinePunct w:val="0"/>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投标人提出问题的截止时间</w:t>
            </w:r>
          </w:p>
          <w:p w14:paraId="156BE6F6">
            <w:pPr>
              <w:keepNext w:val="0"/>
              <w:keepLines w:val="0"/>
              <w:pageBreakBefore w:val="0"/>
              <w:kinsoku/>
              <w:overflowPunct/>
              <w:topLinePunct w:val="0"/>
              <w:autoSpaceDE/>
              <w:autoSpaceDN/>
              <w:bidi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及方式</w:t>
            </w:r>
          </w:p>
        </w:tc>
        <w:tc>
          <w:tcPr>
            <w:tcW w:w="7166" w:type="dxa"/>
            <w:tcBorders>
              <w:top w:val="single" w:color="auto" w:sz="8" w:space="0"/>
              <w:left w:val="single" w:color="auto" w:sz="4" w:space="0"/>
              <w:bottom w:val="single" w:color="auto" w:sz="8" w:space="0"/>
              <w:right w:val="single" w:color="auto" w:sz="8" w:space="0"/>
            </w:tcBorders>
            <w:vAlign w:val="center"/>
          </w:tcPr>
          <w:p w14:paraId="7839BB0B">
            <w:pPr>
              <w:keepNext w:val="0"/>
              <w:keepLines w:val="0"/>
              <w:pageBreakBefore w:val="0"/>
              <w:widowControl w:val="0"/>
              <w:kinsoku/>
              <w:wordWrap w:val="0"/>
              <w:overflowPunct/>
              <w:topLinePunct w:val="0"/>
              <w:autoSpaceDE/>
              <w:autoSpaceDN/>
              <w:bidi w:val="0"/>
              <w:adjustRightInd/>
              <w:snapToGrid/>
              <w:spacing w:line="440" w:lineRule="exact"/>
              <w:ind w:left="63" w:leftChars="3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4"/>
                <w:kern w:val="0"/>
                <w:sz w:val="21"/>
                <w:szCs w:val="21"/>
                <w:highlight w:val="none"/>
              </w:rPr>
              <w:t>如投标人对招标文件有疑问，请于202</w:t>
            </w:r>
            <w:r>
              <w:rPr>
                <w:rFonts w:hint="eastAsia" w:ascii="宋体" w:hAnsi="宋体" w:eastAsia="宋体" w:cs="宋体"/>
                <w:color w:val="auto"/>
                <w:spacing w:val="-4"/>
                <w:kern w:val="0"/>
                <w:sz w:val="21"/>
                <w:szCs w:val="21"/>
                <w:highlight w:val="none"/>
                <w:lang w:val="en-US" w:eastAsia="zh-CN"/>
              </w:rPr>
              <w:t>5</w:t>
            </w:r>
            <w:r>
              <w:rPr>
                <w:rFonts w:hint="eastAsia" w:ascii="宋体" w:hAnsi="宋体" w:eastAsia="宋体" w:cs="宋体"/>
                <w:color w:val="auto"/>
                <w:spacing w:val="-4"/>
                <w:kern w:val="0"/>
                <w:sz w:val="21"/>
                <w:szCs w:val="21"/>
                <w:highlight w:val="none"/>
              </w:rPr>
              <w:t>年</w:t>
            </w:r>
            <w:r>
              <w:rPr>
                <w:rFonts w:hint="eastAsia" w:ascii="宋体" w:hAnsi="宋体" w:cs="宋体"/>
                <w:color w:val="auto"/>
                <w:spacing w:val="-4"/>
                <w:kern w:val="0"/>
                <w:sz w:val="21"/>
                <w:szCs w:val="21"/>
                <w:highlight w:val="none"/>
                <w:lang w:val="en-US" w:eastAsia="zh-CN"/>
              </w:rPr>
              <w:t>7</w:t>
            </w:r>
            <w:r>
              <w:rPr>
                <w:rFonts w:hint="eastAsia" w:ascii="宋体" w:hAnsi="宋体" w:eastAsia="宋体" w:cs="宋体"/>
                <w:color w:val="auto"/>
                <w:spacing w:val="-4"/>
                <w:kern w:val="0"/>
                <w:sz w:val="21"/>
                <w:szCs w:val="21"/>
                <w:highlight w:val="none"/>
              </w:rPr>
              <w:t>月</w:t>
            </w:r>
            <w:r>
              <w:rPr>
                <w:rFonts w:hint="eastAsia" w:ascii="宋体" w:hAnsi="宋体" w:cs="宋体"/>
                <w:color w:val="auto"/>
                <w:spacing w:val="-4"/>
                <w:kern w:val="0"/>
                <w:sz w:val="21"/>
                <w:szCs w:val="21"/>
                <w:highlight w:val="none"/>
                <w:lang w:val="en-US" w:eastAsia="zh-CN"/>
              </w:rPr>
              <w:t>15</w:t>
            </w:r>
            <w:r>
              <w:rPr>
                <w:rFonts w:hint="eastAsia" w:ascii="宋体" w:hAnsi="宋体" w:eastAsia="宋体" w:cs="宋体"/>
                <w:color w:val="auto"/>
                <w:spacing w:val="-4"/>
                <w:kern w:val="0"/>
                <w:sz w:val="21"/>
                <w:szCs w:val="21"/>
                <w:highlight w:val="none"/>
              </w:rPr>
              <w:fldChar w:fldCharType="begin"/>
            </w:r>
            <w:r>
              <w:rPr>
                <w:rFonts w:hint="eastAsia" w:ascii="宋体" w:hAnsi="宋体" w:eastAsia="宋体" w:cs="宋体"/>
                <w:color w:val="auto"/>
                <w:spacing w:val="-4"/>
                <w:kern w:val="0"/>
                <w:sz w:val="21"/>
                <w:szCs w:val="21"/>
                <w:highlight w:val="none"/>
              </w:rPr>
              <w:instrText xml:space="preserve"> HYPERLINK "mailto:日12时前将疑问内容以电子邮件形式发送至czsctgczx@163.com（滁州市城投工程咨询管理有限公司邮箱），招标人将在2024年4月" </w:instrText>
            </w:r>
            <w:r>
              <w:rPr>
                <w:rFonts w:hint="eastAsia" w:ascii="宋体" w:hAnsi="宋体" w:eastAsia="宋体" w:cs="宋体"/>
                <w:color w:val="auto"/>
                <w:spacing w:val="-4"/>
                <w:kern w:val="0"/>
                <w:sz w:val="21"/>
                <w:szCs w:val="21"/>
                <w:highlight w:val="none"/>
              </w:rPr>
              <w:fldChar w:fldCharType="separate"/>
            </w:r>
            <w:r>
              <w:rPr>
                <w:rFonts w:hint="eastAsia" w:ascii="宋体" w:hAnsi="宋体" w:eastAsia="宋体" w:cs="宋体"/>
                <w:color w:val="auto"/>
                <w:spacing w:val="-4"/>
                <w:kern w:val="0"/>
                <w:sz w:val="21"/>
                <w:szCs w:val="21"/>
                <w:highlight w:val="none"/>
              </w:rPr>
              <w:t>日</w:t>
            </w:r>
            <w:r>
              <w:rPr>
                <w:rFonts w:hint="eastAsia" w:ascii="宋体" w:hAnsi="宋体" w:cs="宋体"/>
                <w:color w:val="auto"/>
                <w:spacing w:val="-4"/>
                <w:kern w:val="0"/>
                <w:sz w:val="21"/>
                <w:szCs w:val="21"/>
                <w:highlight w:val="none"/>
                <w:lang w:val="en-US" w:eastAsia="zh-CN"/>
              </w:rPr>
              <w:t>17</w:t>
            </w:r>
            <w:r>
              <w:rPr>
                <w:rFonts w:hint="eastAsia" w:ascii="宋体" w:hAnsi="宋体" w:eastAsia="宋体" w:cs="宋体"/>
                <w:color w:val="auto"/>
                <w:spacing w:val="-4"/>
                <w:kern w:val="0"/>
                <w:sz w:val="21"/>
                <w:szCs w:val="21"/>
                <w:highlight w:val="none"/>
              </w:rPr>
              <w:t>时前</w:t>
            </w:r>
            <w:r>
              <w:rPr>
                <w:rFonts w:hint="eastAsia" w:ascii="宋体" w:hAnsi="宋体" w:eastAsia="宋体" w:cs="宋体"/>
                <w:color w:val="auto"/>
                <w:kern w:val="0"/>
                <w:sz w:val="21"/>
                <w:szCs w:val="21"/>
                <w:highlight w:val="none"/>
                <w:lang w:val="en-US" w:eastAsia="zh-CN"/>
              </w:rPr>
              <w:t>通过新点电子交易平台【滁州专区】对招标文件提出澄清（质疑）</w:t>
            </w:r>
            <w:r>
              <w:rPr>
                <w:rFonts w:hint="eastAsia" w:ascii="宋体" w:hAnsi="宋体" w:eastAsia="宋体" w:cs="宋体"/>
                <w:color w:val="auto"/>
                <w:spacing w:val="-4"/>
                <w:kern w:val="0"/>
                <w:sz w:val="21"/>
                <w:szCs w:val="21"/>
                <w:highlight w:val="none"/>
              </w:rPr>
              <w:t>，招标人将在202</w:t>
            </w:r>
            <w:r>
              <w:rPr>
                <w:rFonts w:hint="eastAsia" w:ascii="宋体" w:hAnsi="宋体" w:eastAsia="宋体" w:cs="宋体"/>
                <w:color w:val="auto"/>
                <w:spacing w:val="-4"/>
                <w:kern w:val="0"/>
                <w:sz w:val="21"/>
                <w:szCs w:val="21"/>
                <w:highlight w:val="none"/>
                <w:lang w:val="en-US" w:eastAsia="zh-CN"/>
              </w:rPr>
              <w:t>5</w:t>
            </w:r>
            <w:r>
              <w:rPr>
                <w:rFonts w:hint="eastAsia" w:ascii="宋体" w:hAnsi="宋体" w:eastAsia="宋体" w:cs="宋体"/>
                <w:color w:val="auto"/>
                <w:spacing w:val="-4"/>
                <w:kern w:val="0"/>
                <w:sz w:val="21"/>
                <w:szCs w:val="21"/>
                <w:highlight w:val="none"/>
              </w:rPr>
              <w:t>年</w:t>
            </w:r>
            <w:r>
              <w:rPr>
                <w:rFonts w:hint="eastAsia" w:ascii="宋体" w:hAnsi="宋体" w:cs="宋体"/>
                <w:color w:val="auto"/>
                <w:spacing w:val="-4"/>
                <w:kern w:val="0"/>
                <w:sz w:val="21"/>
                <w:szCs w:val="21"/>
                <w:highlight w:val="none"/>
                <w:lang w:val="en-US" w:eastAsia="zh-CN"/>
              </w:rPr>
              <w:t>7</w:t>
            </w:r>
            <w:r>
              <w:rPr>
                <w:rFonts w:hint="eastAsia" w:ascii="宋体" w:hAnsi="宋体" w:eastAsia="宋体" w:cs="宋体"/>
                <w:color w:val="auto"/>
                <w:spacing w:val="-4"/>
                <w:kern w:val="0"/>
                <w:sz w:val="21"/>
                <w:szCs w:val="21"/>
                <w:highlight w:val="none"/>
              </w:rPr>
              <w:t>月</w:t>
            </w:r>
            <w:r>
              <w:rPr>
                <w:rFonts w:hint="eastAsia" w:ascii="宋体" w:hAnsi="宋体" w:eastAsia="宋体" w:cs="宋体"/>
                <w:color w:val="auto"/>
                <w:spacing w:val="-4"/>
                <w:kern w:val="0"/>
                <w:sz w:val="21"/>
                <w:szCs w:val="21"/>
                <w:highlight w:val="none"/>
              </w:rPr>
              <w:fldChar w:fldCharType="end"/>
            </w:r>
            <w:r>
              <w:rPr>
                <w:rFonts w:hint="eastAsia" w:ascii="宋体" w:hAnsi="宋体" w:cs="宋体"/>
                <w:color w:val="auto"/>
                <w:spacing w:val="-4"/>
                <w:kern w:val="0"/>
                <w:sz w:val="21"/>
                <w:szCs w:val="21"/>
                <w:highlight w:val="none"/>
                <w:lang w:val="en-US" w:eastAsia="zh-CN"/>
              </w:rPr>
              <w:t>16</w:t>
            </w:r>
            <w:r>
              <w:rPr>
                <w:rFonts w:hint="eastAsia" w:ascii="宋体" w:hAnsi="宋体" w:eastAsia="宋体" w:cs="宋体"/>
                <w:color w:val="auto"/>
                <w:spacing w:val="-4"/>
                <w:kern w:val="0"/>
                <w:sz w:val="21"/>
                <w:szCs w:val="21"/>
                <w:highlight w:val="none"/>
              </w:rPr>
              <w:t>日1</w:t>
            </w:r>
            <w:r>
              <w:rPr>
                <w:rFonts w:hint="eastAsia" w:ascii="宋体" w:hAnsi="宋体" w:cs="宋体"/>
                <w:color w:val="auto"/>
                <w:spacing w:val="-4"/>
                <w:kern w:val="0"/>
                <w:sz w:val="21"/>
                <w:szCs w:val="21"/>
                <w:highlight w:val="none"/>
                <w:lang w:val="en-US" w:eastAsia="zh-CN"/>
              </w:rPr>
              <w:t>7</w:t>
            </w:r>
            <w:r>
              <w:rPr>
                <w:rFonts w:hint="eastAsia" w:ascii="宋体" w:hAnsi="宋体" w:eastAsia="宋体" w:cs="宋体"/>
                <w:color w:val="auto"/>
                <w:spacing w:val="-4"/>
                <w:kern w:val="0"/>
                <w:sz w:val="21"/>
                <w:szCs w:val="21"/>
                <w:highlight w:val="none"/>
              </w:rPr>
              <w:t>时后</w:t>
            </w:r>
            <w:r>
              <w:rPr>
                <w:rFonts w:hint="eastAsia" w:ascii="宋体" w:hAnsi="宋体" w:eastAsia="宋体" w:cs="宋体"/>
                <w:color w:val="auto"/>
                <w:spacing w:val="-4"/>
                <w:kern w:val="0"/>
                <w:sz w:val="21"/>
                <w:szCs w:val="21"/>
                <w:highlight w:val="none"/>
                <w:lang w:eastAsia="zh-CN"/>
              </w:rPr>
              <w:t>在</w:t>
            </w:r>
            <w:r>
              <w:rPr>
                <w:rFonts w:hint="eastAsia" w:ascii="宋体" w:hAnsi="宋体" w:eastAsia="宋体" w:cs="宋体"/>
                <w:color w:val="auto"/>
                <w:sz w:val="21"/>
                <w:szCs w:val="21"/>
                <w:highlight w:val="none"/>
              </w:rPr>
              <w:t>滁州市城投工程咨询管理有限公司（https://www.czctgczx.com/）、滁州市重点工程建设管理处（http://zdc.chuzhou.gov.cn/）</w:t>
            </w:r>
            <w:r>
              <w:rPr>
                <w:rFonts w:hint="eastAsia" w:ascii="宋体" w:hAnsi="宋体" w:cs="宋体"/>
                <w:color w:val="auto"/>
                <w:sz w:val="21"/>
                <w:szCs w:val="21"/>
                <w:highlight w:val="none"/>
                <w:lang w:val="en-US" w:eastAsia="zh-CN"/>
              </w:rPr>
              <w:t>等</w:t>
            </w:r>
            <w:r>
              <w:rPr>
                <w:rFonts w:hint="eastAsia" w:ascii="宋体" w:hAnsi="宋体" w:eastAsia="宋体" w:cs="宋体"/>
                <w:color w:val="auto"/>
                <w:sz w:val="21"/>
                <w:szCs w:val="21"/>
                <w:highlight w:val="none"/>
                <w:lang w:val="en-US" w:eastAsia="zh-CN"/>
              </w:rPr>
              <w:t>网站发布</w:t>
            </w:r>
            <w:r>
              <w:rPr>
                <w:rFonts w:hint="eastAsia" w:ascii="宋体" w:hAnsi="宋体" w:eastAsia="宋体" w:cs="宋体"/>
                <w:color w:val="auto"/>
                <w:spacing w:val="-4"/>
                <w:kern w:val="0"/>
                <w:sz w:val="21"/>
                <w:szCs w:val="21"/>
                <w:highlight w:val="none"/>
              </w:rPr>
              <w:t>，请各位投标人注意查看有关澄清内容，如不及时查看造成后果由投标人自负。</w:t>
            </w:r>
          </w:p>
        </w:tc>
      </w:tr>
      <w:tr w14:paraId="3CAB79A3">
        <w:tblPrEx>
          <w:tblCellMar>
            <w:top w:w="0" w:type="dxa"/>
            <w:left w:w="0" w:type="dxa"/>
            <w:bottom w:w="0" w:type="dxa"/>
            <w:right w:w="0" w:type="dxa"/>
          </w:tblCellMar>
        </w:tblPrEx>
        <w:trPr>
          <w:trHeight w:val="320" w:hRule="atLeast"/>
        </w:trPr>
        <w:tc>
          <w:tcPr>
            <w:tcW w:w="727" w:type="dxa"/>
            <w:tcBorders>
              <w:top w:val="single" w:color="auto" w:sz="8" w:space="0"/>
              <w:left w:val="single" w:color="auto" w:sz="8" w:space="0"/>
              <w:bottom w:val="single" w:color="auto" w:sz="8" w:space="0"/>
              <w:right w:val="single" w:color="auto" w:sz="8" w:space="0"/>
            </w:tcBorders>
            <w:vAlign w:val="center"/>
          </w:tcPr>
          <w:p w14:paraId="31E06C3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p>
        </w:tc>
        <w:tc>
          <w:tcPr>
            <w:tcW w:w="1645" w:type="dxa"/>
            <w:tcBorders>
              <w:top w:val="single" w:color="auto" w:sz="8" w:space="0"/>
              <w:left w:val="single" w:color="auto" w:sz="4" w:space="0"/>
              <w:bottom w:val="single" w:color="auto" w:sz="8" w:space="0"/>
              <w:right w:val="single" w:color="auto" w:sz="4" w:space="0"/>
            </w:tcBorders>
            <w:vAlign w:val="center"/>
          </w:tcPr>
          <w:p w14:paraId="0B644D17">
            <w:pPr>
              <w:pStyle w:val="25"/>
              <w:keepNext w:val="0"/>
              <w:keepLines w:val="0"/>
              <w:pageBreakBefore w:val="0"/>
              <w:kinsoku/>
              <w:overflowPunct/>
              <w:topLinePunct w:val="0"/>
              <w:autoSpaceDE/>
              <w:autoSpaceDN/>
              <w:bidi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投标有效期</w:t>
            </w:r>
          </w:p>
        </w:tc>
        <w:tc>
          <w:tcPr>
            <w:tcW w:w="7166" w:type="dxa"/>
            <w:tcBorders>
              <w:top w:val="single" w:color="auto" w:sz="8" w:space="0"/>
              <w:left w:val="single" w:color="auto" w:sz="4" w:space="0"/>
              <w:bottom w:val="single" w:color="auto" w:sz="8" w:space="0"/>
              <w:right w:val="single" w:color="auto" w:sz="8" w:space="0"/>
            </w:tcBorders>
            <w:vAlign w:val="center"/>
          </w:tcPr>
          <w:p w14:paraId="0CB8330D">
            <w:pPr>
              <w:pStyle w:val="25"/>
              <w:keepNext w:val="0"/>
              <w:keepLines w:val="0"/>
              <w:pageBreakBefore w:val="0"/>
              <w:kinsoku/>
              <w:overflowPunct/>
              <w:topLinePunct w:val="0"/>
              <w:autoSpaceDE/>
              <w:autoSpaceDN/>
              <w:bidi w:val="0"/>
              <w:adjustRightInd/>
              <w:snapToGrid/>
              <w:spacing w:line="440" w:lineRule="exact"/>
              <w:ind w:left="63" w:leftChars="3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投标有效期为</w:t>
            </w:r>
            <w:r>
              <w:rPr>
                <w:rFonts w:hint="eastAsia" w:ascii="宋体" w:hAnsi="宋体" w:eastAsia="宋体" w:cs="宋体"/>
                <w:color w:val="auto"/>
                <w:sz w:val="21"/>
                <w:szCs w:val="21"/>
                <w:highlight w:val="none"/>
                <w:u w:val="single"/>
                <w:lang w:val="en-US" w:eastAsia="zh-CN"/>
              </w:rPr>
              <w:t>60</w:t>
            </w:r>
            <w:r>
              <w:rPr>
                <w:rFonts w:hint="eastAsia" w:ascii="宋体" w:hAnsi="宋体" w:eastAsia="宋体" w:cs="宋体"/>
                <w:color w:val="auto"/>
                <w:sz w:val="21"/>
                <w:szCs w:val="21"/>
                <w:highlight w:val="none"/>
              </w:rPr>
              <w:t>日历天（从投标截止之日算起）。在此期限内，凡符合本招标文件要求的投标文件均保持有效。</w:t>
            </w:r>
          </w:p>
        </w:tc>
      </w:tr>
      <w:tr w14:paraId="27D30DA2">
        <w:tblPrEx>
          <w:tblCellMar>
            <w:top w:w="0" w:type="dxa"/>
            <w:left w:w="0" w:type="dxa"/>
            <w:bottom w:w="0" w:type="dxa"/>
            <w:right w:w="0" w:type="dxa"/>
          </w:tblCellMar>
        </w:tblPrEx>
        <w:trPr>
          <w:trHeight w:val="946" w:hRule="atLeast"/>
        </w:trPr>
        <w:tc>
          <w:tcPr>
            <w:tcW w:w="727" w:type="dxa"/>
            <w:tcBorders>
              <w:top w:val="single" w:color="auto" w:sz="8" w:space="0"/>
              <w:left w:val="single" w:color="auto" w:sz="8" w:space="0"/>
              <w:bottom w:val="single" w:color="auto" w:sz="8" w:space="0"/>
              <w:right w:val="single" w:color="auto" w:sz="8" w:space="0"/>
            </w:tcBorders>
            <w:vAlign w:val="center"/>
          </w:tcPr>
          <w:p w14:paraId="7A32EE2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w:t>
            </w:r>
          </w:p>
        </w:tc>
        <w:tc>
          <w:tcPr>
            <w:tcW w:w="1645" w:type="dxa"/>
            <w:tcBorders>
              <w:top w:val="single" w:color="auto" w:sz="8" w:space="0"/>
              <w:left w:val="single" w:color="auto" w:sz="4" w:space="0"/>
              <w:bottom w:val="single" w:color="auto" w:sz="8" w:space="0"/>
              <w:right w:val="single" w:color="auto" w:sz="4" w:space="0"/>
            </w:tcBorders>
            <w:vAlign w:val="center"/>
          </w:tcPr>
          <w:p w14:paraId="32269176">
            <w:pPr>
              <w:pStyle w:val="25"/>
              <w:keepNext w:val="0"/>
              <w:keepLines w:val="0"/>
              <w:pageBreakBefore w:val="0"/>
              <w:kinsoku/>
              <w:overflowPunct/>
              <w:topLinePunct w:val="0"/>
              <w:autoSpaceDE/>
              <w:autoSpaceDN/>
              <w:bidi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val="en-US" w:eastAsia="zh-CN"/>
              </w:rPr>
              <w:t>递交</w:t>
            </w:r>
          </w:p>
        </w:tc>
        <w:tc>
          <w:tcPr>
            <w:tcW w:w="7166" w:type="dxa"/>
            <w:tcBorders>
              <w:top w:val="single" w:color="auto" w:sz="8" w:space="0"/>
              <w:left w:val="single" w:color="auto" w:sz="4" w:space="0"/>
              <w:bottom w:val="single" w:color="auto" w:sz="8" w:space="0"/>
              <w:right w:val="single" w:color="auto" w:sz="8" w:space="0"/>
            </w:tcBorders>
            <w:vAlign w:val="center"/>
          </w:tcPr>
          <w:p w14:paraId="4BDE2FC9">
            <w:pPr>
              <w:keepNext w:val="0"/>
              <w:keepLines w:val="0"/>
              <w:pageBreakBefore w:val="0"/>
              <w:widowControl w:val="0"/>
              <w:kinsoku/>
              <w:wordWrap w:val="0"/>
              <w:overflowPunct/>
              <w:topLinePunct w:val="0"/>
              <w:autoSpaceDE/>
              <w:autoSpaceDN/>
              <w:bidi w:val="0"/>
              <w:adjustRightInd/>
              <w:snapToGrid/>
              <w:spacing w:line="440" w:lineRule="exact"/>
              <w:ind w:left="63" w:leftChars="3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加密电子投标文件投标人应在投标截止时间前通过新点电子交易平台后在【滁州专区】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https://www.etrading.cn/BREpointSSO/login/oauth2login?regioncode=DQ_ChuZhou</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交易系统递交电子投标文件。</w:t>
            </w:r>
          </w:p>
          <w:p w14:paraId="6AD718D2">
            <w:pPr>
              <w:keepNext w:val="0"/>
              <w:keepLines w:val="0"/>
              <w:pageBreakBefore w:val="0"/>
              <w:widowControl/>
              <w:kinsoku/>
              <w:overflowPunct/>
              <w:topLinePunct w:val="0"/>
              <w:autoSpaceDE/>
              <w:autoSpaceDN/>
              <w:bidi w:val="0"/>
              <w:adjustRightInd/>
              <w:snapToGrid/>
              <w:spacing w:line="440" w:lineRule="exact"/>
              <w:ind w:left="63" w:leftChars="30" w:firstLine="89" w:firstLineChars="42"/>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kern w:val="0"/>
                <w:sz w:val="21"/>
                <w:szCs w:val="21"/>
                <w:highlight w:val="none"/>
              </w:rPr>
              <w:t>（投标人中标后须递交与网上电子投标文件完全一致的纸质版投标文件，并按要求加盖单位章；份数：正本</w:t>
            </w:r>
            <w:r>
              <w:rPr>
                <w:rFonts w:hint="eastAsia" w:ascii="宋体" w:hAnsi="宋体" w:eastAsia="宋体" w:cs="宋体"/>
                <w:b/>
                <w:color w:val="auto"/>
                <w:kern w:val="0"/>
                <w:sz w:val="21"/>
                <w:szCs w:val="21"/>
                <w:highlight w:val="none"/>
                <w:u w:val="single"/>
              </w:rPr>
              <w:t xml:space="preserve"> 1 </w:t>
            </w:r>
            <w:r>
              <w:rPr>
                <w:rFonts w:hint="eastAsia" w:ascii="宋体" w:hAnsi="宋体" w:eastAsia="宋体" w:cs="宋体"/>
                <w:b/>
                <w:color w:val="auto"/>
                <w:kern w:val="0"/>
                <w:sz w:val="21"/>
                <w:szCs w:val="21"/>
                <w:highlight w:val="none"/>
              </w:rPr>
              <w:t>份，副本</w:t>
            </w:r>
            <w:r>
              <w:rPr>
                <w:rFonts w:hint="eastAsia" w:ascii="宋体" w:hAnsi="宋体" w:eastAsia="宋体" w:cs="宋体"/>
                <w:b/>
                <w:color w:val="auto"/>
                <w:kern w:val="0"/>
                <w:sz w:val="21"/>
                <w:szCs w:val="21"/>
                <w:highlight w:val="none"/>
                <w:u w:val="single"/>
              </w:rPr>
              <w:t xml:space="preserve"> </w:t>
            </w:r>
            <w:r>
              <w:rPr>
                <w:rFonts w:hint="eastAsia" w:ascii="宋体" w:hAnsi="宋体" w:eastAsia="宋体" w:cs="宋体"/>
                <w:b/>
                <w:color w:val="auto"/>
                <w:kern w:val="0"/>
                <w:sz w:val="21"/>
                <w:szCs w:val="21"/>
                <w:highlight w:val="none"/>
                <w:u w:val="single"/>
                <w:lang w:val="en-US" w:eastAsia="zh-CN"/>
              </w:rPr>
              <w:t>1</w:t>
            </w:r>
            <w:r>
              <w:rPr>
                <w:rFonts w:hint="eastAsia" w:ascii="宋体" w:hAnsi="宋体" w:eastAsia="宋体" w:cs="宋体"/>
                <w:b/>
                <w:color w:val="auto"/>
                <w:kern w:val="0"/>
                <w:sz w:val="21"/>
                <w:szCs w:val="21"/>
                <w:highlight w:val="none"/>
                <w:u w:val="single"/>
              </w:rPr>
              <w:t xml:space="preserve"> </w:t>
            </w:r>
            <w:r>
              <w:rPr>
                <w:rFonts w:hint="eastAsia" w:ascii="宋体" w:hAnsi="宋体" w:eastAsia="宋体" w:cs="宋体"/>
                <w:b/>
                <w:color w:val="auto"/>
                <w:kern w:val="0"/>
                <w:sz w:val="21"/>
                <w:szCs w:val="21"/>
                <w:highlight w:val="none"/>
              </w:rPr>
              <w:t>份；中标人领取中标通知书时，一并递交给招标代理机构）。</w:t>
            </w:r>
          </w:p>
        </w:tc>
      </w:tr>
      <w:tr w14:paraId="48A6C47E">
        <w:tblPrEx>
          <w:tblCellMar>
            <w:top w:w="0" w:type="dxa"/>
            <w:left w:w="0" w:type="dxa"/>
            <w:bottom w:w="0" w:type="dxa"/>
            <w:right w:w="0" w:type="dxa"/>
          </w:tblCellMar>
        </w:tblPrEx>
        <w:trPr>
          <w:trHeight w:val="816" w:hRule="atLeast"/>
        </w:trPr>
        <w:tc>
          <w:tcPr>
            <w:tcW w:w="727" w:type="dxa"/>
            <w:tcBorders>
              <w:top w:val="single" w:color="auto" w:sz="8" w:space="0"/>
              <w:left w:val="single" w:color="auto" w:sz="8" w:space="0"/>
              <w:bottom w:val="single" w:color="auto" w:sz="8" w:space="0"/>
              <w:right w:val="single" w:color="auto" w:sz="8" w:space="0"/>
            </w:tcBorders>
            <w:vAlign w:val="center"/>
          </w:tcPr>
          <w:p w14:paraId="6C307E5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1645" w:type="dxa"/>
            <w:tcBorders>
              <w:top w:val="single" w:color="auto" w:sz="8" w:space="0"/>
              <w:left w:val="single" w:color="auto" w:sz="4" w:space="0"/>
              <w:bottom w:val="single" w:color="auto" w:sz="8" w:space="0"/>
              <w:right w:val="single" w:color="auto" w:sz="4" w:space="0"/>
            </w:tcBorders>
            <w:vAlign w:val="center"/>
          </w:tcPr>
          <w:p w14:paraId="6AF10602">
            <w:pPr>
              <w:keepNext w:val="0"/>
              <w:keepLines w:val="0"/>
              <w:pageBreakBefore w:val="0"/>
              <w:kinsoku/>
              <w:overflowPunct/>
              <w:topLinePunct w:val="0"/>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签字或盖章要求</w:t>
            </w:r>
          </w:p>
        </w:tc>
        <w:tc>
          <w:tcPr>
            <w:tcW w:w="7166" w:type="dxa"/>
            <w:tcBorders>
              <w:top w:val="single" w:color="auto" w:sz="8" w:space="0"/>
              <w:left w:val="single" w:color="auto" w:sz="4" w:space="0"/>
              <w:bottom w:val="single" w:color="auto" w:sz="8" w:space="0"/>
              <w:right w:val="single" w:color="auto" w:sz="8" w:space="0"/>
            </w:tcBorders>
            <w:vAlign w:val="center"/>
          </w:tcPr>
          <w:p w14:paraId="4FCD2EB5">
            <w:pPr>
              <w:pStyle w:val="2"/>
              <w:keepNext w:val="0"/>
              <w:keepLines w:val="0"/>
              <w:pageBreakBefore w:val="0"/>
              <w:kinsoku/>
              <w:overflowPunct/>
              <w:topLinePunct w:val="0"/>
              <w:autoSpaceDE/>
              <w:autoSpaceDN/>
              <w:bidi w:val="0"/>
              <w:adjustRightInd/>
              <w:snapToGrid/>
              <w:spacing w:line="440" w:lineRule="exact"/>
              <w:ind w:left="63" w:leftChars="30" w:firstLine="0" w:firstLineChars="0"/>
              <w:textAlignment w:val="auto"/>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bidi="ar-SA"/>
              </w:rPr>
              <w:t>招标文件中“签章”是指签字或盖章。在“投标文件格式”中要求</w:t>
            </w:r>
            <w:r>
              <w:rPr>
                <w:rFonts w:hint="eastAsia" w:ascii="宋体" w:hAnsi="宋体" w:cs="宋体"/>
                <w:b/>
                <w:color w:val="auto"/>
                <w:kern w:val="0"/>
                <w:sz w:val="21"/>
                <w:szCs w:val="21"/>
                <w:highlight w:val="none"/>
                <w:lang w:val="en-US" w:eastAsia="zh-CN" w:bidi="ar-SA"/>
              </w:rPr>
              <w:t>单位</w:t>
            </w:r>
            <w:r>
              <w:rPr>
                <w:rFonts w:hint="eastAsia" w:ascii="宋体" w:hAnsi="宋体" w:eastAsia="宋体" w:cs="宋体"/>
                <w:b/>
                <w:color w:val="auto"/>
                <w:kern w:val="0"/>
                <w:sz w:val="21"/>
                <w:szCs w:val="21"/>
                <w:highlight w:val="none"/>
                <w:lang w:val="en-US" w:eastAsia="zh-CN" w:bidi="ar-SA"/>
              </w:rPr>
              <w:t>签章</w:t>
            </w:r>
            <w:r>
              <w:rPr>
                <w:rFonts w:hint="eastAsia" w:ascii="宋体" w:hAnsi="宋体" w:cs="宋体"/>
                <w:b/>
                <w:color w:val="auto"/>
                <w:kern w:val="0"/>
                <w:sz w:val="21"/>
                <w:szCs w:val="21"/>
                <w:highlight w:val="none"/>
                <w:lang w:val="en-US" w:eastAsia="zh-CN" w:bidi="ar-SA"/>
              </w:rPr>
              <w:t>的</w:t>
            </w:r>
            <w:r>
              <w:rPr>
                <w:rFonts w:hint="eastAsia" w:ascii="宋体" w:hAnsi="宋体" w:eastAsia="宋体" w:cs="宋体"/>
                <w:b/>
                <w:color w:val="auto"/>
                <w:kern w:val="0"/>
                <w:sz w:val="21"/>
                <w:szCs w:val="21"/>
                <w:highlight w:val="none"/>
                <w:lang w:val="en-US" w:eastAsia="zh-CN" w:bidi="ar-SA"/>
              </w:rPr>
              <w:t>，投标人应加盖投标人单位电子印章或直接上传加盖投标人单位印章原件彩色扫描件。</w:t>
            </w:r>
            <w:r>
              <w:rPr>
                <w:rFonts w:hint="eastAsia" w:ascii="宋体" w:hAnsi="宋体" w:cs="宋体"/>
                <w:b/>
                <w:color w:val="auto"/>
                <w:kern w:val="0"/>
                <w:sz w:val="21"/>
                <w:szCs w:val="21"/>
                <w:highlight w:val="none"/>
                <w:lang w:val="en-US" w:eastAsia="zh-CN" w:bidi="ar-SA"/>
              </w:rPr>
              <w:t>要求个人签章的，加盖相应人员</w:t>
            </w:r>
            <w:r>
              <w:rPr>
                <w:rFonts w:hint="eastAsia" w:ascii="宋体" w:hAnsi="宋体" w:eastAsia="宋体" w:cs="宋体"/>
                <w:b/>
                <w:color w:val="auto"/>
                <w:kern w:val="0"/>
                <w:sz w:val="21"/>
                <w:szCs w:val="21"/>
                <w:highlight w:val="none"/>
                <w:lang w:val="en-US" w:eastAsia="zh-CN" w:bidi="ar-SA"/>
              </w:rPr>
              <w:t>印章</w:t>
            </w:r>
            <w:r>
              <w:rPr>
                <w:rFonts w:hint="eastAsia" w:ascii="宋体" w:hAnsi="宋体" w:cs="宋体"/>
                <w:b/>
                <w:color w:val="auto"/>
                <w:kern w:val="0"/>
                <w:sz w:val="21"/>
                <w:szCs w:val="21"/>
                <w:highlight w:val="none"/>
                <w:lang w:val="en-US" w:eastAsia="zh-CN" w:bidi="ar-SA"/>
              </w:rPr>
              <w:t>（或电子印章）</w:t>
            </w:r>
            <w:r>
              <w:rPr>
                <w:rFonts w:hint="eastAsia" w:ascii="宋体" w:hAnsi="宋体" w:eastAsia="宋体" w:cs="宋体"/>
                <w:b/>
                <w:color w:val="auto"/>
                <w:kern w:val="0"/>
                <w:sz w:val="21"/>
                <w:szCs w:val="21"/>
                <w:highlight w:val="none"/>
                <w:lang w:val="en-US" w:eastAsia="zh-CN" w:bidi="ar-SA"/>
              </w:rPr>
              <w:t>或</w:t>
            </w:r>
            <w:r>
              <w:rPr>
                <w:rFonts w:hint="eastAsia" w:ascii="宋体" w:hAnsi="宋体" w:cs="宋体"/>
                <w:b/>
                <w:color w:val="auto"/>
                <w:kern w:val="0"/>
                <w:sz w:val="21"/>
                <w:szCs w:val="21"/>
                <w:highlight w:val="none"/>
                <w:lang w:val="en-US" w:eastAsia="zh-CN" w:bidi="ar-SA"/>
              </w:rPr>
              <w:t>相应人员</w:t>
            </w:r>
            <w:r>
              <w:rPr>
                <w:rFonts w:hint="eastAsia" w:ascii="宋体" w:hAnsi="宋体" w:eastAsia="宋体" w:cs="宋体"/>
                <w:b/>
                <w:color w:val="auto"/>
                <w:kern w:val="0"/>
                <w:sz w:val="21"/>
                <w:szCs w:val="21"/>
                <w:highlight w:val="none"/>
                <w:lang w:val="en-US" w:eastAsia="zh-CN" w:bidi="ar-SA"/>
              </w:rPr>
              <w:t>签字</w:t>
            </w:r>
            <w:r>
              <w:rPr>
                <w:rFonts w:hint="eastAsia" w:ascii="宋体" w:hAnsi="宋体" w:cs="宋体"/>
                <w:b/>
                <w:color w:val="auto"/>
                <w:kern w:val="0"/>
                <w:sz w:val="21"/>
                <w:szCs w:val="21"/>
                <w:highlight w:val="none"/>
                <w:lang w:val="en-US" w:eastAsia="zh-CN" w:bidi="ar-SA"/>
              </w:rPr>
              <w:t>均可。</w:t>
            </w:r>
          </w:p>
          <w:p w14:paraId="66A35DAC">
            <w:pPr>
              <w:keepNext w:val="0"/>
              <w:keepLines w:val="0"/>
              <w:pageBreakBefore w:val="0"/>
              <w:widowControl/>
              <w:kinsoku/>
              <w:overflowPunct/>
              <w:topLinePunct w:val="0"/>
              <w:autoSpaceDE/>
              <w:autoSpaceDN/>
              <w:bidi w:val="0"/>
              <w:adjustRightInd/>
              <w:snapToGrid/>
              <w:spacing w:line="440" w:lineRule="exact"/>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bidi="ar-SA"/>
              </w:rPr>
              <w:t>否则经评委会一致认定后，按照无效投标处理。</w:t>
            </w:r>
          </w:p>
        </w:tc>
      </w:tr>
      <w:tr w14:paraId="443033B5">
        <w:tblPrEx>
          <w:tblCellMar>
            <w:top w:w="0" w:type="dxa"/>
            <w:left w:w="0" w:type="dxa"/>
            <w:bottom w:w="0" w:type="dxa"/>
            <w:right w:w="0" w:type="dxa"/>
          </w:tblCellMar>
        </w:tblPrEx>
        <w:trPr>
          <w:trHeight w:val="1339" w:hRule="atLeast"/>
        </w:trPr>
        <w:tc>
          <w:tcPr>
            <w:tcW w:w="727" w:type="dxa"/>
            <w:tcBorders>
              <w:top w:val="single" w:color="auto" w:sz="8" w:space="0"/>
              <w:left w:val="single" w:color="auto" w:sz="8" w:space="0"/>
              <w:bottom w:val="single" w:color="auto" w:sz="8" w:space="0"/>
              <w:right w:val="single" w:color="auto" w:sz="8" w:space="0"/>
            </w:tcBorders>
            <w:vAlign w:val="center"/>
          </w:tcPr>
          <w:p w14:paraId="6036610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13</w:t>
            </w:r>
          </w:p>
        </w:tc>
        <w:tc>
          <w:tcPr>
            <w:tcW w:w="1645" w:type="dxa"/>
            <w:tcBorders>
              <w:top w:val="single" w:color="auto" w:sz="8" w:space="0"/>
              <w:left w:val="single" w:color="auto" w:sz="4" w:space="0"/>
              <w:bottom w:val="single" w:color="auto" w:sz="8" w:space="0"/>
              <w:right w:val="single" w:color="auto" w:sz="4" w:space="0"/>
            </w:tcBorders>
            <w:vAlign w:val="center"/>
          </w:tcPr>
          <w:p w14:paraId="5C83C75F">
            <w:pPr>
              <w:keepNext w:val="0"/>
              <w:keepLines w:val="0"/>
              <w:pageBreakBefore w:val="0"/>
              <w:kinsoku/>
              <w:overflowPunct/>
              <w:topLinePunct w:val="0"/>
              <w:autoSpaceDE/>
              <w:autoSpaceDN/>
              <w:bidi w:val="0"/>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投标文件提交截止时间</w:t>
            </w:r>
          </w:p>
        </w:tc>
        <w:tc>
          <w:tcPr>
            <w:tcW w:w="7166" w:type="dxa"/>
            <w:tcBorders>
              <w:top w:val="single" w:color="auto" w:sz="8" w:space="0"/>
              <w:left w:val="single" w:color="auto" w:sz="4" w:space="0"/>
              <w:bottom w:val="single" w:color="auto" w:sz="8" w:space="0"/>
              <w:right w:val="single" w:color="auto" w:sz="8" w:space="0"/>
            </w:tcBorders>
            <w:vAlign w:val="center"/>
          </w:tcPr>
          <w:p w14:paraId="4AACE522">
            <w:pPr>
              <w:keepNext w:val="0"/>
              <w:keepLines w:val="0"/>
              <w:pageBreakBefore w:val="0"/>
              <w:kinsoku/>
              <w:overflowPunct/>
              <w:topLinePunct w:val="0"/>
              <w:autoSpaceDE/>
              <w:autoSpaceDN/>
              <w:bidi w:val="0"/>
              <w:adjustRightInd/>
              <w:snapToGrid/>
              <w:spacing w:line="440" w:lineRule="exact"/>
              <w:ind w:left="63" w:leftChars="3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网上递交投标文件截止时间：</w:t>
            </w:r>
            <w:r>
              <w:rPr>
                <w:rFonts w:hint="eastAsia" w:ascii="宋体" w:hAnsi="宋体" w:eastAsia="宋体" w:cs="宋体"/>
                <w:b/>
                <w:bCs/>
                <w:color w:val="auto"/>
                <w:sz w:val="21"/>
                <w:szCs w:val="21"/>
                <w:highlight w:val="none"/>
                <w:lang w:val="en-US" w:eastAsia="zh-CN"/>
              </w:rPr>
              <w:t>2025</w:t>
            </w:r>
            <w:r>
              <w:rPr>
                <w:rFonts w:hint="eastAsia" w:ascii="宋体" w:hAnsi="宋体" w:eastAsia="宋体" w:cs="宋体"/>
                <w:b/>
                <w:bCs/>
                <w:color w:val="auto"/>
                <w:sz w:val="21"/>
                <w:szCs w:val="21"/>
                <w:highlight w:val="none"/>
              </w:rPr>
              <w:t>年</w:t>
            </w: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月</w:t>
            </w:r>
            <w:r>
              <w:rPr>
                <w:rFonts w:hint="eastAsia" w:ascii="宋体" w:hAnsi="宋体" w:cs="宋体"/>
                <w:b/>
                <w:bCs/>
                <w:color w:val="auto"/>
                <w:sz w:val="21"/>
                <w:szCs w:val="21"/>
                <w:highlight w:val="none"/>
                <w:lang w:val="en-US" w:eastAsia="zh-CN"/>
              </w:rPr>
              <w:t>17</w:t>
            </w:r>
            <w:r>
              <w:rPr>
                <w:rFonts w:hint="eastAsia" w:ascii="宋体" w:hAnsi="宋体" w:eastAsia="宋体" w:cs="宋体"/>
                <w:b/>
                <w:bCs/>
                <w:color w:val="auto"/>
                <w:sz w:val="21"/>
                <w:szCs w:val="21"/>
                <w:highlight w:val="none"/>
              </w:rPr>
              <w:t>日</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时</w:t>
            </w:r>
            <w:r>
              <w:rPr>
                <w:rFonts w:hint="eastAsia" w:ascii="宋体" w:hAnsi="宋体" w:eastAsia="宋体" w:cs="宋体"/>
                <w:b/>
                <w:bCs/>
                <w:color w:val="auto"/>
                <w:sz w:val="21"/>
                <w:szCs w:val="21"/>
                <w:highlight w:val="none"/>
                <w:lang w:val="en-US" w:eastAsia="zh-CN"/>
              </w:rPr>
              <w:t>00</w:t>
            </w:r>
            <w:r>
              <w:rPr>
                <w:rFonts w:hint="eastAsia" w:ascii="宋体" w:hAnsi="宋体" w:eastAsia="宋体" w:cs="宋体"/>
                <w:b/>
                <w:bCs/>
                <w:color w:val="auto"/>
                <w:sz w:val="21"/>
                <w:szCs w:val="21"/>
                <w:highlight w:val="none"/>
              </w:rPr>
              <w:t>分（北京时间）</w:t>
            </w:r>
          </w:p>
          <w:p w14:paraId="59553084">
            <w:pPr>
              <w:keepNext w:val="0"/>
              <w:keepLines w:val="0"/>
              <w:pageBreakBefore w:val="0"/>
              <w:kinsoku/>
              <w:overflowPunct/>
              <w:topLinePunct w:val="0"/>
              <w:autoSpaceDE/>
              <w:autoSpaceDN/>
              <w:bidi w:val="0"/>
              <w:adjustRightInd/>
              <w:snapToGrid/>
              <w:spacing w:line="440" w:lineRule="exact"/>
              <w:ind w:left="63" w:leftChars="30"/>
              <w:textAlignment w:val="auto"/>
              <w:rPr>
                <w:rFonts w:hint="eastAsia" w:ascii="宋体" w:hAnsi="宋体" w:eastAsia="宋体" w:cs="宋体"/>
                <w:b w:val="0"/>
                <w:bCs/>
                <w:color w:val="auto"/>
                <w:sz w:val="21"/>
                <w:szCs w:val="21"/>
                <w:highlight w:val="none"/>
              </w:rPr>
            </w:pPr>
            <w:r>
              <w:rPr>
                <w:rFonts w:hint="eastAsia" w:ascii="宋体" w:hAnsi="宋体" w:eastAsia="宋体" w:cs="宋体"/>
                <w:b/>
                <w:color w:val="auto"/>
                <w:sz w:val="21"/>
                <w:szCs w:val="21"/>
                <w:highlight w:val="none"/>
              </w:rPr>
              <w:t>注：以投标人在投标截止时间前网上递交的电子投标文件为准，逾期提交的，投标文件将被拒绝。</w:t>
            </w:r>
          </w:p>
          <w:p w14:paraId="2D17B673">
            <w:pPr>
              <w:keepNext w:val="0"/>
              <w:keepLines w:val="0"/>
              <w:pageBreakBefore w:val="0"/>
              <w:kinsoku/>
              <w:overflowPunct/>
              <w:topLinePunct w:val="0"/>
              <w:autoSpaceDE/>
              <w:autoSpaceDN/>
              <w:bidi w:val="0"/>
              <w:adjustRightInd/>
              <w:snapToGrid/>
              <w:spacing w:line="440" w:lineRule="exact"/>
              <w:ind w:left="63" w:leftChars="30"/>
              <w:textAlignment w:val="auto"/>
              <w:rPr>
                <w:rFonts w:hint="eastAsia" w:ascii="宋体" w:hAnsi="宋体" w:eastAsia="宋体" w:cs="宋体"/>
                <w:color w:val="auto"/>
                <w:sz w:val="21"/>
                <w:szCs w:val="21"/>
                <w:highlight w:val="none"/>
                <w:lang w:val="en-US" w:eastAsia="zh-CN"/>
              </w:rPr>
            </w:pPr>
            <w:r>
              <w:rPr>
                <w:rFonts w:hint="eastAsia" w:ascii="宋体" w:hAnsi="宋体" w:cs="宋体"/>
                <w:b w:val="0"/>
                <w:bCs/>
                <w:color w:val="auto"/>
                <w:sz w:val="21"/>
                <w:szCs w:val="21"/>
                <w:highlight w:val="none"/>
                <w:lang w:eastAsia="zh-CN"/>
              </w:rPr>
              <w:t>1.解密程序开始后</w:t>
            </w:r>
            <w:r>
              <w:rPr>
                <w:rFonts w:hint="eastAsia" w:ascii="宋体" w:hAnsi="宋体" w:cs="宋体"/>
                <w:b/>
                <w:bCs w:val="0"/>
                <w:color w:val="auto"/>
                <w:sz w:val="36"/>
                <w:szCs w:val="36"/>
                <w:highlight w:val="none"/>
                <w:lang w:eastAsia="zh-CN"/>
              </w:rPr>
              <w:t>30</w:t>
            </w:r>
            <w:r>
              <w:rPr>
                <w:rFonts w:hint="eastAsia" w:ascii="宋体" w:hAnsi="宋体" w:cs="宋体"/>
                <w:b w:val="0"/>
                <w:bCs/>
                <w:color w:val="auto"/>
                <w:sz w:val="21"/>
                <w:szCs w:val="21"/>
                <w:highlight w:val="none"/>
                <w:lang w:eastAsia="zh-CN"/>
              </w:rPr>
              <w:t>分钟内（以本项目网上招投标系统解密倒计时为准）。</w:t>
            </w:r>
          </w:p>
        </w:tc>
      </w:tr>
      <w:tr w14:paraId="39CAD765">
        <w:tblPrEx>
          <w:tblCellMar>
            <w:top w:w="0" w:type="dxa"/>
            <w:left w:w="0" w:type="dxa"/>
            <w:bottom w:w="0" w:type="dxa"/>
            <w:right w:w="0" w:type="dxa"/>
          </w:tblCellMar>
        </w:tblPrEx>
        <w:trPr>
          <w:trHeight w:val="320" w:hRule="atLeast"/>
        </w:trPr>
        <w:tc>
          <w:tcPr>
            <w:tcW w:w="727" w:type="dxa"/>
            <w:tcBorders>
              <w:top w:val="single" w:color="auto" w:sz="8" w:space="0"/>
              <w:left w:val="single" w:color="auto" w:sz="8" w:space="0"/>
              <w:bottom w:val="single" w:color="auto" w:sz="8" w:space="0"/>
              <w:right w:val="single" w:color="auto" w:sz="8" w:space="0"/>
            </w:tcBorders>
            <w:vAlign w:val="center"/>
          </w:tcPr>
          <w:p w14:paraId="0E67040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14</w:t>
            </w:r>
          </w:p>
        </w:tc>
        <w:tc>
          <w:tcPr>
            <w:tcW w:w="1645" w:type="dxa"/>
            <w:tcBorders>
              <w:top w:val="single" w:color="auto" w:sz="8" w:space="0"/>
              <w:left w:val="single" w:color="auto" w:sz="4" w:space="0"/>
              <w:bottom w:val="single" w:color="auto" w:sz="8" w:space="0"/>
              <w:right w:val="single" w:color="auto" w:sz="4" w:space="0"/>
            </w:tcBorders>
            <w:vAlign w:val="center"/>
          </w:tcPr>
          <w:p w14:paraId="03D51B63">
            <w:pPr>
              <w:keepNext w:val="0"/>
              <w:keepLines w:val="0"/>
              <w:pageBreakBefore w:val="0"/>
              <w:kinsoku/>
              <w:overflowPunct/>
              <w:topLinePunct w:val="0"/>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是否退还投标文件</w:t>
            </w:r>
          </w:p>
        </w:tc>
        <w:tc>
          <w:tcPr>
            <w:tcW w:w="7166" w:type="dxa"/>
            <w:tcBorders>
              <w:top w:val="single" w:color="auto" w:sz="8" w:space="0"/>
              <w:left w:val="single" w:color="auto" w:sz="4" w:space="0"/>
              <w:bottom w:val="single" w:color="auto" w:sz="8" w:space="0"/>
              <w:right w:val="single" w:color="auto" w:sz="8" w:space="0"/>
            </w:tcBorders>
            <w:vAlign w:val="center"/>
          </w:tcPr>
          <w:p w14:paraId="626B5B3B">
            <w:pPr>
              <w:keepNext w:val="0"/>
              <w:keepLines w:val="0"/>
              <w:pageBreakBefore w:val="0"/>
              <w:kinsoku/>
              <w:overflowPunct/>
              <w:topLinePunct w:val="0"/>
              <w:autoSpaceDE/>
              <w:autoSpaceDN/>
              <w:bidi w:val="0"/>
              <w:adjustRightInd/>
              <w:snapToGrid/>
              <w:spacing w:line="440" w:lineRule="exact"/>
              <w:ind w:left="63" w:leftChars="3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266A8CA8">
        <w:tblPrEx>
          <w:tblCellMar>
            <w:top w:w="0" w:type="dxa"/>
            <w:left w:w="0" w:type="dxa"/>
            <w:bottom w:w="0" w:type="dxa"/>
            <w:right w:w="0" w:type="dxa"/>
          </w:tblCellMar>
        </w:tblPrEx>
        <w:trPr>
          <w:trHeight w:val="164" w:hRule="atLeast"/>
        </w:trPr>
        <w:tc>
          <w:tcPr>
            <w:tcW w:w="727" w:type="dxa"/>
            <w:tcBorders>
              <w:top w:val="single" w:color="auto" w:sz="8" w:space="0"/>
              <w:left w:val="single" w:color="auto" w:sz="8" w:space="0"/>
              <w:bottom w:val="single" w:color="auto" w:sz="8" w:space="0"/>
              <w:right w:val="single" w:color="auto" w:sz="8" w:space="0"/>
            </w:tcBorders>
            <w:vAlign w:val="center"/>
          </w:tcPr>
          <w:p w14:paraId="136C06B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15</w:t>
            </w:r>
          </w:p>
        </w:tc>
        <w:tc>
          <w:tcPr>
            <w:tcW w:w="1645" w:type="dxa"/>
            <w:tcBorders>
              <w:top w:val="single" w:color="auto" w:sz="8" w:space="0"/>
              <w:left w:val="single" w:color="auto" w:sz="4" w:space="0"/>
              <w:bottom w:val="single" w:color="auto" w:sz="8" w:space="0"/>
              <w:right w:val="single" w:color="auto" w:sz="4" w:space="0"/>
            </w:tcBorders>
            <w:vAlign w:val="center"/>
          </w:tcPr>
          <w:p w14:paraId="53C0A74C">
            <w:pPr>
              <w:keepNext w:val="0"/>
              <w:keepLines w:val="0"/>
              <w:pageBreakBefore w:val="0"/>
              <w:kinsoku/>
              <w:overflowPunct/>
              <w:topLinePunct w:val="0"/>
              <w:autoSpaceDE/>
              <w:autoSpaceDN/>
              <w:bidi w:val="0"/>
              <w:spacing w:line="4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开标时间及地点</w:t>
            </w:r>
          </w:p>
        </w:tc>
        <w:tc>
          <w:tcPr>
            <w:tcW w:w="7166" w:type="dxa"/>
            <w:tcBorders>
              <w:top w:val="single" w:color="auto" w:sz="8" w:space="0"/>
              <w:left w:val="single" w:color="auto" w:sz="4" w:space="0"/>
              <w:bottom w:val="single" w:color="auto" w:sz="8" w:space="0"/>
              <w:right w:val="single" w:color="auto" w:sz="8" w:space="0"/>
            </w:tcBorders>
            <w:vAlign w:val="center"/>
          </w:tcPr>
          <w:p w14:paraId="29D105D4">
            <w:pPr>
              <w:keepNext w:val="0"/>
              <w:keepLines w:val="0"/>
              <w:pageBreakBefore w:val="0"/>
              <w:kinsoku/>
              <w:overflowPunct/>
              <w:topLinePunct w:val="0"/>
              <w:autoSpaceDE/>
              <w:autoSpaceDN/>
              <w:bidi w:val="0"/>
              <w:adjustRightInd/>
              <w:snapToGrid/>
              <w:spacing w:line="440" w:lineRule="exact"/>
              <w:ind w:left="63" w:leftChars="3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rPr>
              <w:t>详见招标公告</w:t>
            </w:r>
            <w:r>
              <w:rPr>
                <w:rFonts w:hint="eastAsia" w:ascii="宋体" w:hAnsi="宋体" w:cs="宋体"/>
                <w:color w:val="auto"/>
                <w:szCs w:val="21"/>
                <w:highlight w:val="none"/>
                <w:lang w:eastAsia="zh-CN"/>
              </w:rPr>
              <w:t>。</w:t>
            </w:r>
          </w:p>
        </w:tc>
      </w:tr>
      <w:tr w14:paraId="076992A3">
        <w:tblPrEx>
          <w:tblCellMar>
            <w:top w:w="0" w:type="dxa"/>
            <w:left w:w="0" w:type="dxa"/>
            <w:bottom w:w="0" w:type="dxa"/>
            <w:right w:w="0" w:type="dxa"/>
          </w:tblCellMar>
        </w:tblPrEx>
        <w:trPr>
          <w:trHeight w:val="164" w:hRule="atLeast"/>
        </w:trPr>
        <w:tc>
          <w:tcPr>
            <w:tcW w:w="727" w:type="dxa"/>
            <w:tcBorders>
              <w:top w:val="single" w:color="auto" w:sz="8" w:space="0"/>
              <w:left w:val="single" w:color="auto" w:sz="8" w:space="0"/>
              <w:bottom w:val="single" w:color="auto" w:sz="8" w:space="0"/>
              <w:right w:val="single" w:color="auto" w:sz="8" w:space="0"/>
            </w:tcBorders>
            <w:vAlign w:val="center"/>
          </w:tcPr>
          <w:p w14:paraId="3C028E0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16</w:t>
            </w:r>
          </w:p>
        </w:tc>
        <w:tc>
          <w:tcPr>
            <w:tcW w:w="1645" w:type="dxa"/>
            <w:tcBorders>
              <w:top w:val="single" w:color="auto" w:sz="8" w:space="0"/>
              <w:left w:val="single" w:color="auto" w:sz="4" w:space="0"/>
              <w:bottom w:val="single" w:color="auto" w:sz="8" w:space="0"/>
              <w:right w:val="single" w:color="auto" w:sz="4" w:space="0"/>
            </w:tcBorders>
            <w:vAlign w:val="center"/>
          </w:tcPr>
          <w:p w14:paraId="57F847A2">
            <w:pPr>
              <w:keepNext w:val="0"/>
              <w:keepLines w:val="0"/>
              <w:pageBreakBefore w:val="0"/>
              <w:kinsoku/>
              <w:overflowPunct/>
              <w:topLinePunct w:val="0"/>
              <w:autoSpaceDE/>
              <w:autoSpaceDN/>
              <w:bidi w:val="0"/>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开标程序</w:t>
            </w:r>
          </w:p>
        </w:tc>
        <w:tc>
          <w:tcPr>
            <w:tcW w:w="7166" w:type="dxa"/>
            <w:tcBorders>
              <w:top w:val="single" w:color="auto" w:sz="8" w:space="0"/>
              <w:left w:val="single" w:color="auto" w:sz="4" w:space="0"/>
              <w:bottom w:val="single" w:color="auto" w:sz="8" w:space="0"/>
              <w:right w:val="single" w:color="auto" w:sz="8" w:space="0"/>
            </w:tcBorders>
            <w:vAlign w:val="center"/>
          </w:tcPr>
          <w:p w14:paraId="476CEA77">
            <w:pPr>
              <w:keepNext w:val="0"/>
              <w:keepLines w:val="0"/>
              <w:pageBreakBefore w:val="0"/>
              <w:kinsoku/>
              <w:overflowPunct/>
              <w:topLinePunct w:val="0"/>
              <w:autoSpaceDE/>
              <w:autoSpaceDN/>
              <w:bidi w:val="0"/>
              <w:adjustRightInd/>
              <w:snapToGrid/>
              <w:spacing w:line="440" w:lineRule="exact"/>
              <w:ind w:left="63" w:leftChars="3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开标顺序：解密电子投标文件后，由评标委员会评审。</w:t>
            </w:r>
          </w:p>
        </w:tc>
      </w:tr>
      <w:tr w14:paraId="6EC3DC31">
        <w:tblPrEx>
          <w:tblCellMar>
            <w:top w:w="0" w:type="dxa"/>
            <w:left w:w="0" w:type="dxa"/>
            <w:bottom w:w="0" w:type="dxa"/>
            <w:right w:w="0" w:type="dxa"/>
          </w:tblCellMar>
        </w:tblPrEx>
        <w:trPr>
          <w:trHeight w:val="320" w:hRule="atLeast"/>
        </w:trPr>
        <w:tc>
          <w:tcPr>
            <w:tcW w:w="727" w:type="dxa"/>
            <w:tcBorders>
              <w:top w:val="single" w:color="auto" w:sz="8" w:space="0"/>
              <w:left w:val="single" w:color="auto" w:sz="8" w:space="0"/>
              <w:bottom w:val="single" w:color="auto" w:sz="8" w:space="0"/>
              <w:right w:val="single" w:color="auto" w:sz="8" w:space="0"/>
            </w:tcBorders>
            <w:vAlign w:val="center"/>
          </w:tcPr>
          <w:p w14:paraId="73E8B67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17</w:t>
            </w:r>
          </w:p>
        </w:tc>
        <w:tc>
          <w:tcPr>
            <w:tcW w:w="1645" w:type="dxa"/>
            <w:tcBorders>
              <w:top w:val="single" w:color="auto" w:sz="8" w:space="0"/>
              <w:left w:val="single" w:color="auto" w:sz="4" w:space="0"/>
              <w:bottom w:val="single" w:color="auto" w:sz="8" w:space="0"/>
              <w:right w:val="single" w:color="auto" w:sz="4" w:space="0"/>
            </w:tcBorders>
            <w:vAlign w:val="center"/>
          </w:tcPr>
          <w:p w14:paraId="5CB513ED">
            <w:pPr>
              <w:pStyle w:val="25"/>
              <w:keepNext w:val="0"/>
              <w:keepLines w:val="0"/>
              <w:pageBreakBefore w:val="0"/>
              <w:kinsoku/>
              <w:overflowPunct/>
              <w:topLinePunct w:val="0"/>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评标委员会的组建</w:t>
            </w:r>
          </w:p>
        </w:tc>
        <w:tc>
          <w:tcPr>
            <w:tcW w:w="7166" w:type="dxa"/>
            <w:tcBorders>
              <w:top w:val="single" w:color="auto" w:sz="8" w:space="0"/>
              <w:left w:val="single" w:color="auto" w:sz="4" w:space="0"/>
              <w:bottom w:val="single" w:color="auto" w:sz="8" w:space="0"/>
              <w:right w:val="single" w:color="auto" w:sz="8" w:space="0"/>
            </w:tcBorders>
            <w:vAlign w:val="top"/>
          </w:tcPr>
          <w:p w14:paraId="4FB4DBB5">
            <w:pPr>
              <w:pStyle w:val="157"/>
              <w:keepNext w:val="0"/>
              <w:keepLines w:val="0"/>
              <w:pageBreakBefore w:val="0"/>
              <w:kinsoku/>
              <w:overflowPunct/>
              <w:topLinePunct w:val="0"/>
              <w:autoSpaceDE/>
              <w:autoSpaceDN/>
              <w:bidi w:val="0"/>
              <w:adjustRightInd/>
              <w:snapToGrid/>
              <w:spacing w:line="440" w:lineRule="exact"/>
              <w:ind w:left="63" w:leftChars="3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评标委员会由</w:t>
            </w:r>
            <w:r>
              <w:rPr>
                <w:rFonts w:hint="eastAsia" w:ascii="宋体" w:hAnsi="宋体" w:eastAsia="宋体" w:cs="宋体"/>
                <w:color w:val="auto"/>
                <w:sz w:val="21"/>
                <w:szCs w:val="21"/>
                <w:highlight w:val="none"/>
                <w:lang w:val="en-US" w:eastAsia="zh-CN"/>
              </w:rPr>
              <w:t>招标人依法组建</w:t>
            </w:r>
            <w:r>
              <w:rPr>
                <w:rFonts w:hint="eastAsia" w:ascii="宋体" w:hAnsi="宋体" w:eastAsia="宋体" w:cs="宋体"/>
                <w:color w:val="auto"/>
                <w:sz w:val="21"/>
                <w:szCs w:val="21"/>
                <w:highlight w:val="none"/>
              </w:rPr>
              <w:t>；</w:t>
            </w:r>
          </w:p>
          <w:p w14:paraId="6B4E98E9">
            <w:pPr>
              <w:pStyle w:val="25"/>
              <w:keepNext w:val="0"/>
              <w:keepLines w:val="0"/>
              <w:pageBreakBefore w:val="0"/>
              <w:kinsoku/>
              <w:overflowPunct/>
              <w:topLinePunct w:val="0"/>
              <w:autoSpaceDE/>
              <w:autoSpaceDN/>
              <w:bidi w:val="0"/>
              <w:adjustRightInd/>
              <w:snapToGrid/>
              <w:spacing w:line="440" w:lineRule="exact"/>
              <w:ind w:left="63" w:leftChars="3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评标专家确定方式：专家评委由采购人在开标前从专家库中随机抽取。</w:t>
            </w:r>
          </w:p>
        </w:tc>
      </w:tr>
      <w:tr w14:paraId="02D6C8AD">
        <w:tblPrEx>
          <w:tblCellMar>
            <w:top w:w="0" w:type="dxa"/>
            <w:left w:w="0" w:type="dxa"/>
            <w:bottom w:w="0" w:type="dxa"/>
            <w:right w:w="0" w:type="dxa"/>
          </w:tblCellMar>
        </w:tblPrEx>
        <w:trPr>
          <w:trHeight w:val="164" w:hRule="atLeast"/>
        </w:trPr>
        <w:tc>
          <w:tcPr>
            <w:tcW w:w="727" w:type="dxa"/>
            <w:tcBorders>
              <w:top w:val="single" w:color="auto" w:sz="8" w:space="0"/>
              <w:left w:val="single" w:color="auto" w:sz="8" w:space="0"/>
              <w:bottom w:val="single" w:color="auto" w:sz="8" w:space="0"/>
              <w:right w:val="single" w:color="auto" w:sz="8" w:space="0"/>
            </w:tcBorders>
            <w:vAlign w:val="center"/>
          </w:tcPr>
          <w:p w14:paraId="61FD27D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18</w:t>
            </w:r>
          </w:p>
        </w:tc>
        <w:tc>
          <w:tcPr>
            <w:tcW w:w="1645" w:type="dxa"/>
            <w:tcBorders>
              <w:top w:val="single" w:color="auto" w:sz="8" w:space="0"/>
              <w:left w:val="single" w:color="auto" w:sz="4" w:space="0"/>
              <w:bottom w:val="single" w:color="auto" w:sz="8" w:space="0"/>
              <w:right w:val="single" w:color="auto" w:sz="4" w:space="0"/>
            </w:tcBorders>
            <w:vAlign w:val="center"/>
          </w:tcPr>
          <w:p w14:paraId="289798AF">
            <w:pPr>
              <w:pStyle w:val="25"/>
              <w:keepNext w:val="0"/>
              <w:keepLines w:val="0"/>
              <w:pageBreakBefore w:val="0"/>
              <w:kinsoku/>
              <w:overflowPunct/>
              <w:topLinePunct w:val="0"/>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是否授权评标委员会确定中标候选人</w:t>
            </w:r>
          </w:p>
        </w:tc>
        <w:tc>
          <w:tcPr>
            <w:tcW w:w="7166" w:type="dxa"/>
            <w:tcBorders>
              <w:top w:val="single" w:color="auto" w:sz="8" w:space="0"/>
              <w:left w:val="single" w:color="auto" w:sz="4" w:space="0"/>
              <w:bottom w:val="single" w:color="auto" w:sz="8" w:space="0"/>
              <w:right w:val="single" w:color="auto" w:sz="8" w:space="0"/>
            </w:tcBorders>
            <w:vAlign w:val="center"/>
          </w:tcPr>
          <w:p w14:paraId="50C3E122">
            <w:pPr>
              <w:pStyle w:val="25"/>
              <w:keepNext w:val="0"/>
              <w:keepLines w:val="0"/>
              <w:pageBreakBefore w:val="0"/>
              <w:kinsoku/>
              <w:overflowPunct/>
              <w:topLinePunct w:val="0"/>
              <w:autoSpaceDE/>
              <w:autoSpaceDN/>
              <w:bidi w:val="0"/>
              <w:adjustRightInd/>
              <w:snapToGrid/>
              <w:spacing w:line="440" w:lineRule="exact"/>
              <w:ind w:left="63" w:leftChars="3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评标委员会推荐</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u w:val="single" w:color="auto"/>
                <w:lang w:val="en-US" w:eastAsia="zh-CN"/>
              </w:rPr>
              <w:t>2</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rPr>
              <w:t>名中标候选人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并标明排序</w:t>
            </w:r>
            <w:r>
              <w:rPr>
                <w:rFonts w:hint="eastAsia" w:ascii="宋体" w:hAnsi="宋体" w:eastAsia="宋体" w:cs="宋体"/>
                <w:color w:val="auto"/>
                <w:sz w:val="21"/>
                <w:szCs w:val="21"/>
                <w:highlight w:val="none"/>
              </w:rPr>
              <w:t>。</w:t>
            </w:r>
          </w:p>
        </w:tc>
      </w:tr>
      <w:tr w14:paraId="191E86E8">
        <w:tblPrEx>
          <w:tblCellMar>
            <w:top w:w="0" w:type="dxa"/>
            <w:left w:w="0" w:type="dxa"/>
            <w:bottom w:w="0" w:type="dxa"/>
            <w:right w:w="0" w:type="dxa"/>
          </w:tblCellMar>
        </w:tblPrEx>
        <w:trPr>
          <w:trHeight w:val="320" w:hRule="atLeast"/>
        </w:trPr>
        <w:tc>
          <w:tcPr>
            <w:tcW w:w="727" w:type="dxa"/>
            <w:tcBorders>
              <w:top w:val="single" w:color="auto" w:sz="8" w:space="0"/>
              <w:left w:val="single" w:color="auto" w:sz="8" w:space="0"/>
              <w:bottom w:val="single" w:color="auto" w:sz="8" w:space="0"/>
              <w:right w:val="single" w:color="auto" w:sz="8" w:space="0"/>
            </w:tcBorders>
            <w:vAlign w:val="center"/>
          </w:tcPr>
          <w:p w14:paraId="1D007CD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19</w:t>
            </w:r>
          </w:p>
        </w:tc>
        <w:tc>
          <w:tcPr>
            <w:tcW w:w="1645" w:type="dxa"/>
            <w:tcBorders>
              <w:top w:val="single" w:color="auto" w:sz="8" w:space="0"/>
              <w:left w:val="single" w:color="auto" w:sz="4" w:space="0"/>
              <w:bottom w:val="single" w:color="auto" w:sz="8" w:space="0"/>
              <w:right w:val="single" w:color="auto" w:sz="4" w:space="0"/>
            </w:tcBorders>
            <w:vAlign w:val="center"/>
          </w:tcPr>
          <w:p w14:paraId="77F75070">
            <w:pPr>
              <w:pStyle w:val="25"/>
              <w:keepNext w:val="0"/>
              <w:keepLines w:val="0"/>
              <w:pageBreakBefore w:val="0"/>
              <w:kinsoku/>
              <w:overflowPunct/>
              <w:topLinePunct w:val="0"/>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中标结果公告媒介</w:t>
            </w:r>
          </w:p>
        </w:tc>
        <w:tc>
          <w:tcPr>
            <w:tcW w:w="7166" w:type="dxa"/>
            <w:tcBorders>
              <w:top w:val="single" w:color="auto" w:sz="8" w:space="0"/>
              <w:left w:val="single" w:color="auto" w:sz="4" w:space="0"/>
              <w:bottom w:val="single" w:color="auto" w:sz="8" w:space="0"/>
              <w:right w:val="single" w:color="auto" w:sz="8" w:space="0"/>
            </w:tcBorders>
            <w:vAlign w:val="top"/>
          </w:tcPr>
          <w:p w14:paraId="2F0DB711">
            <w:pPr>
              <w:pStyle w:val="25"/>
              <w:keepNext w:val="0"/>
              <w:keepLines w:val="0"/>
              <w:pageBreakBefore w:val="0"/>
              <w:kinsoku/>
              <w:wordWrap w:val="0"/>
              <w:overflowPunct/>
              <w:topLinePunct w:val="0"/>
              <w:autoSpaceDE/>
              <w:autoSpaceDN/>
              <w:bidi w:val="0"/>
              <w:adjustRightInd/>
              <w:snapToGrid/>
              <w:spacing w:line="440" w:lineRule="exact"/>
              <w:ind w:left="63" w:leftChars="3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滁州市城投工程咨询管理有限公司（https://www.czctgczx.com/）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滁州市重点工程建设管理处（http://zdc.chuzhou.gov.cn/）</w:t>
            </w:r>
            <w:r>
              <w:rPr>
                <w:rFonts w:hint="eastAsia" w:ascii="宋体" w:hAnsi="宋体" w:eastAsia="宋体" w:cs="宋体"/>
                <w:color w:val="auto"/>
                <w:spacing w:val="-4"/>
                <w:sz w:val="21"/>
                <w:szCs w:val="21"/>
                <w:highlight w:val="none"/>
              </w:rPr>
              <w:t>等网站</w:t>
            </w:r>
          </w:p>
        </w:tc>
      </w:tr>
      <w:tr w14:paraId="6EA640C0">
        <w:tblPrEx>
          <w:tblCellMar>
            <w:top w:w="0" w:type="dxa"/>
            <w:left w:w="0" w:type="dxa"/>
            <w:bottom w:w="0" w:type="dxa"/>
            <w:right w:w="0" w:type="dxa"/>
          </w:tblCellMar>
        </w:tblPrEx>
        <w:trPr>
          <w:trHeight w:val="164" w:hRule="atLeast"/>
        </w:trPr>
        <w:tc>
          <w:tcPr>
            <w:tcW w:w="727" w:type="dxa"/>
            <w:tcBorders>
              <w:top w:val="single" w:color="auto" w:sz="8" w:space="0"/>
              <w:left w:val="single" w:color="auto" w:sz="8" w:space="0"/>
              <w:bottom w:val="single" w:color="auto" w:sz="8" w:space="0"/>
              <w:right w:val="single" w:color="auto" w:sz="8" w:space="0"/>
            </w:tcBorders>
            <w:vAlign w:val="center"/>
          </w:tcPr>
          <w:p w14:paraId="300286F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20</w:t>
            </w:r>
          </w:p>
        </w:tc>
        <w:tc>
          <w:tcPr>
            <w:tcW w:w="1645" w:type="dxa"/>
            <w:tcBorders>
              <w:top w:val="single" w:color="auto" w:sz="8" w:space="0"/>
              <w:left w:val="single" w:color="auto" w:sz="4" w:space="0"/>
              <w:bottom w:val="single" w:color="auto" w:sz="8" w:space="0"/>
              <w:right w:val="single" w:color="auto" w:sz="4" w:space="0"/>
            </w:tcBorders>
            <w:vAlign w:val="center"/>
          </w:tcPr>
          <w:p w14:paraId="5C02703D">
            <w:pPr>
              <w:keepNext w:val="0"/>
              <w:keepLines w:val="0"/>
              <w:pageBreakBefore w:val="0"/>
              <w:kinsoku/>
              <w:overflowPunct/>
              <w:topLinePunct w:val="0"/>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w:t>
            </w:r>
          </w:p>
        </w:tc>
        <w:tc>
          <w:tcPr>
            <w:tcW w:w="7166" w:type="dxa"/>
            <w:tcBorders>
              <w:top w:val="single" w:color="auto" w:sz="8" w:space="0"/>
              <w:left w:val="single" w:color="auto" w:sz="4" w:space="0"/>
              <w:bottom w:val="single" w:color="auto" w:sz="8" w:space="0"/>
              <w:right w:val="single" w:color="auto" w:sz="8" w:space="0"/>
            </w:tcBorders>
            <w:vAlign w:val="center"/>
          </w:tcPr>
          <w:p w14:paraId="492E7E00">
            <w:pPr>
              <w:keepNext w:val="0"/>
              <w:keepLines w:val="0"/>
              <w:pageBreakBefore w:val="0"/>
              <w:widowControl/>
              <w:kinsoku/>
              <w:overflowPunct/>
              <w:topLinePunct w:val="0"/>
              <w:autoSpaceDE/>
              <w:autoSpaceDN/>
              <w:bidi w:val="0"/>
              <w:adjustRightInd/>
              <w:snapToGrid/>
              <w:spacing w:line="440" w:lineRule="exact"/>
              <w:ind w:left="63" w:leftChars="3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是否收取履约担保：□收取，</w:t>
            </w: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不收取</w:t>
            </w:r>
          </w:p>
        </w:tc>
      </w:tr>
      <w:tr w14:paraId="53B9F13B">
        <w:tblPrEx>
          <w:tblCellMar>
            <w:top w:w="0" w:type="dxa"/>
            <w:left w:w="0" w:type="dxa"/>
            <w:bottom w:w="0" w:type="dxa"/>
            <w:right w:w="0" w:type="dxa"/>
          </w:tblCellMar>
        </w:tblPrEx>
        <w:trPr>
          <w:trHeight w:val="164" w:hRule="atLeast"/>
        </w:trPr>
        <w:tc>
          <w:tcPr>
            <w:tcW w:w="9538" w:type="dxa"/>
            <w:gridSpan w:val="3"/>
            <w:tcBorders>
              <w:top w:val="single" w:color="auto" w:sz="8" w:space="0"/>
              <w:left w:val="single" w:color="auto" w:sz="8" w:space="0"/>
              <w:bottom w:val="single" w:color="auto" w:sz="8" w:space="0"/>
              <w:right w:val="single" w:color="auto" w:sz="8" w:space="0"/>
            </w:tcBorders>
            <w:vAlign w:val="center"/>
          </w:tcPr>
          <w:p w14:paraId="0FD01F5C">
            <w:pPr>
              <w:keepNext w:val="0"/>
              <w:keepLines w:val="0"/>
              <w:pageBreakBefore w:val="0"/>
              <w:widowControl/>
              <w:kinsoku/>
              <w:overflowPunct/>
              <w:topLinePunct w:val="0"/>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需要补充的其他内容</w:t>
            </w:r>
          </w:p>
        </w:tc>
      </w:tr>
      <w:tr w14:paraId="54EFCC42">
        <w:tblPrEx>
          <w:tblCellMar>
            <w:top w:w="0" w:type="dxa"/>
            <w:left w:w="0" w:type="dxa"/>
            <w:bottom w:w="0" w:type="dxa"/>
            <w:right w:w="0" w:type="dxa"/>
          </w:tblCellMar>
        </w:tblPrEx>
        <w:trPr>
          <w:trHeight w:val="164" w:hRule="atLeast"/>
        </w:trPr>
        <w:tc>
          <w:tcPr>
            <w:tcW w:w="2372" w:type="dxa"/>
            <w:gridSpan w:val="2"/>
            <w:tcBorders>
              <w:top w:val="single" w:color="auto" w:sz="8" w:space="0"/>
              <w:left w:val="single" w:color="auto" w:sz="8" w:space="0"/>
              <w:bottom w:val="single" w:color="auto" w:sz="8" w:space="0"/>
              <w:right w:val="single" w:color="auto" w:sz="4" w:space="0"/>
            </w:tcBorders>
            <w:vAlign w:val="center"/>
          </w:tcPr>
          <w:p w14:paraId="5A46107E">
            <w:pPr>
              <w:keepNext w:val="0"/>
              <w:keepLines w:val="0"/>
              <w:pageBreakBefore w:val="0"/>
              <w:kinsoku/>
              <w:overflowPunct/>
              <w:topLinePunct w:val="0"/>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电子招标投标</w:t>
            </w:r>
          </w:p>
        </w:tc>
        <w:tc>
          <w:tcPr>
            <w:tcW w:w="7166" w:type="dxa"/>
            <w:tcBorders>
              <w:top w:val="single" w:color="auto" w:sz="8" w:space="0"/>
              <w:left w:val="single" w:color="auto" w:sz="4" w:space="0"/>
              <w:bottom w:val="single" w:color="auto" w:sz="8" w:space="0"/>
              <w:right w:val="single" w:color="auto" w:sz="8" w:space="0"/>
            </w:tcBorders>
            <w:vAlign w:val="center"/>
          </w:tcPr>
          <w:p w14:paraId="042E25F9">
            <w:pPr>
              <w:keepNext w:val="0"/>
              <w:keepLines w:val="0"/>
              <w:pageBreakBefore w:val="0"/>
              <w:kinsoku/>
              <w:wordWrap/>
              <w:overflowPunct/>
              <w:topLinePunct w:val="0"/>
              <w:autoSpaceDE/>
              <w:autoSpaceDN/>
              <w:bidi w:val="0"/>
              <w:adjustRightInd/>
              <w:snapToGrid/>
              <w:spacing w:line="440" w:lineRule="exact"/>
              <w:ind w:left="63" w:leftChars="3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 xml:space="preserve">否；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是，具体要求：按招标文件规定。</w:t>
            </w:r>
          </w:p>
        </w:tc>
      </w:tr>
      <w:tr w14:paraId="1140AE85">
        <w:tblPrEx>
          <w:tblCellMar>
            <w:top w:w="0" w:type="dxa"/>
            <w:left w:w="0" w:type="dxa"/>
            <w:bottom w:w="0" w:type="dxa"/>
            <w:right w:w="0" w:type="dxa"/>
          </w:tblCellMar>
        </w:tblPrEx>
        <w:trPr>
          <w:trHeight w:val="790" w:hRule="atLeast"/>
        </w:trPr>
        <w:tc>
          <w:tcPr>
            <w:tcW w:w="2372" w:type="dxa"/>
            <w:gridSpan w:val="2"/>
            <w:tcBorders>
              <w:top w:val="single" w:color="auto" w:sz="8" w:space="0"/>
              <w:left w:val="single" w:color="auto" w:sz="8" w:space="0"/>
              <w:bottom w:val="single" w:color="auto" w:sz="8" w:space="0"/>
              <w:right w:val="single" w:color="auto" w:sz="4" w:space="0"/>
            </w:tcBorders>
            <w:vAlign w:val="center"/>
          </w:tcPr>
          <w:p w14:paraId="741EEFE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限制投标情形</w:t>
            </w:r>
          </w:p>
        </w:tc>
        <w:tc>
          <w:tcPr>
            <w:tcW w:w="7166" w:type="dxa"/>
            <w:tcBorders>
              <w:top w:val="single" w:color="auto" w:sz="8" w:space="0"/>
              <w:left w:val="single" w:color="auto" w:sz="4" w:space="0"/>
              <w:bottom w:val="single" w:color="auto" w:sz="8" w:space="0"/>
              <w:right w:val="single" w:color="auto" w:sz="8" w:space="0"/>
            </w:tcBorders>
            <w:vAlign w:val="center"/>
          </w:tcPr>
          <w:p w14:paraId="544763DD">
            <w:pPr>
              <w:keepNext w:val="0"/>
              <w:keepLines w:val="0"/>
              <w:pageBreakBefore w:val="0"/>
              <w:kinsoku/>
              <w:wordWrap/>
              <w:overflowPunct/>
              <w:topLinePunct w:val="0"/>
              <w:autoSpaceDE/>
              <w:autoSpaceDN/>
              <w:bidi w:val="0"/>
              <w:adjustRightInd/>
              <w:snapToGrid/>
              <w:spacing w:line="440" w:lineRule="exact"/>
              <w:ind w:left="63" w:leftChars="3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1.限制近两年内在承接我单位工程造价、审计结算等业务过程中，因工作疏漏对我单位产生不良影响的咨询公司参加投标。</w:t>
            </w:r>
          </w:p>
          <w:p w14:paraId="148E1483">
            <w:pPr>
              <w:keepNext w:val="0"/>
              <w:keepLines w:val="0"/>
              <w:pageBreakBefore w:val="0"/>
              <w:kinsoku/>
              <w:wordWrap/>
              <w:overflowPunct/>
              <w:topLinePunct w:val="0"/>
              <w:autoSpaceDE/>
              <w:autoSpaceDN/>
              <w:bidi w:val="0"/>
              <w:adjustRightInd/>
              <w:snapToGrid/>
              <w:spacing w:line="440" w:lineRule="exact"/>
              <w:ind w:left="63" w:leftChars="3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2.在我处限制承揽业务期限内的企业不予参加。</w:t>
            </w:r>
          </w:p>
          <w:p w14:paraId="5F2A2E55">
            <w:pPr>
              <w:keepNext w:val="0"/>
              <w:keepLines w:val="0"/>
              <w:pageBreakBefore w:val="0"/>
              <w:kinsoku/>
              <w:wordWrap/>
              <w:overflowPunct/>
              <w:topLinePunct w:val="0"/>
              <w:autoSpaceDE/>
              <w:autoSpaceDN/>
              <w:bidi w:val="0"/>
              <w:adjustRightInd/>
              <w:snapToGrid/>
              <w:spacing w:line="440" w:lineRule="exact"/>
              <w:ind w:left="63" w:leftChars="3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3.被市重点处列入“不良行为企业名单”和“暂停委托项目跟踪审计的工程造价咨询企业名单”的单位不得参加。</w:t>
            </w:r>
          </w:p>
        </w:tc>
      </w:tr>
      <w:tr w14:paraId="234C8D6C">
        <w:tblPrEx>
          <w:tblCellMar>
            <w:top w:w="0" w:type="dxa"/>
            <w:left w:w="0" w:type="dxa"/>
            <w:bottom w:w="0" w:type="dxa"/>
            <w:right w:w="0" w:type="dxa"/>
          </w:tblCellMar>
        </w:tblPrEx>
        <w:trPr>
          <w:trHeight w:val="1885" w:hRule="atLeast"/>
        </w:trPr>
        <w:tc>
          <w:tcPr>
            <w:tcW w:w="2372" w:type="dxa"/>
            <w:gridSpan w:val="2"/>
            <w:tcBorders>
              <w:top w:val="single" w:color="auto" w:sz="8" w:space="0"/>
              <w:left w:val="single" w:color="auto" w:sz="8" w:space="0"/>
              <w:bottom w:val="single" w:color="auto" w:sz="8" w:space="0"/>
              <w:right w:val="single" w:color="auto" w:sz="4" w:space="0"/>
            </w:tcBorders>
            <w:vAlign w:val="center"/>
          </w:tcPr>
          <w:p w14:paraId="359C7E4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特别要求</w:t>
            </w:r>
          </w:p>
        </w:tc>
        <w:tc>
          <w:tcPr>
            <w:tcW w:w="7166" w:type="dxa"/>
            <w:tcBorders>
              <w:top w:val="single" w:color="auto" w:sz="8" w:space="0"/>
              <w:left w:val="single" w:color="auto" w:sz="4" w:space="0"/>
              <w:bottom w:val="single" w:color="auto" w:sz="8" w:space="0"/>
              <w:right w:val="single" w:color="auto" w:sz="8" w:space="0"/>
            </w:tcBorders>
            <w:vAlign w:val="center"/>
          </w:tcPr>
          <w:p w14:paraId="7ED64295">
            <w:pPr>
              <w:keepNext w:val="0"/>
              <w:keepLines w:val="0"/>
              <w:pageBreakBefore w:val="0"/>
              <w:kinsoku/>
              <w:wordWrap/>
              <w:overflowPunct/>
              <w:topLinePunct w:val="0"/>
              <w:autoSpaceDE/>
              <w:autoSpaceDN/>
              <w:bidi w:val="0"/>
              <w:adjustRightInd/>
              <w:snapToGrid/>
              <w:spacing w:line="440" w:lineRule="exact"/>
              <w:ind w:left="63" w:leftChars="3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1、项目建设期间，相关部门将对跟踪审计工作进行不定期检查，如发现有不符合《委托协议》相关工作要求的行为，将按照约定给予相应的处罚。</w:t>
            </w:r>
          </w:p>
          <w:p w14:paraId="6D70A519">
            <w:pPr>
              <w:keepNext w:val="0"/>
              <w:keepLines w:val="0"/>
              <w:pageBreakBefore w:val="0"/>
              <w:kinsoku/>
              <w:wordWrap/>
              <w:overflowPunct/>
              <w:topLinePunct w:val="0"/>
              <w:autoSpaceDE/>
              <w:autoSpaceDN/>
              <w:bidi w:val="0"/>
              <w:adjustRightInd/>
              <w:snapToGrid/>
              <w:spacing w:line="440" w:lineRule="exact"/>
              <w:ind w:left="63" w:leftChars="3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2、严格执行《工程造价咨询服务管理办法》。</w:t>
            </w:r>
          </w:p>
          <w:p w14:paraId="21315B4F">
            <w:pPr>
              <w:pStyle w:val="2"/>
              <w:keepNext w:val="0"/>
              <w:keepLines w:val="0"/>
              <w:pageBreakBefore w:val="0"/>
              <w:kinsoku/>
              <w:wordWrap/>
              <w:overflowPunct/>
              <w:topLinePunct w:val="0"/>
              <w:autoSpaceDE/>
              <w:autoSpaceDN/>
              <w:bidi w:val="0"/>
              <w:adjustRightInd/>
              <w:snapToGrid/>
              <w:spacing w:line="440" w:lineRule="exact"/>
              <w:ind w:left="63" w:leftChars="30" w:firstLine="0" w:firstLineChars="0"/>
              <w:textAlignment w:val="auto"/>
              <w:rPr>
                <w:rFonts w:hint="eastAsia"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3、中标人需安排具备相应资格条件和类似业绩且经验丰富的造价人员编制清单及最高投标限价，严格执行三级复核制度，对工程造价咨询成果负经济、法律责任，编制人员必须进行现场踏勘，发现与设计不符的及时汇报招标人。</w:t>
            </w:r>
          </w:p>
          <w:p w14:paraId="186151AA">
            <w:pPr>
              <w:pStyle w:val="2"/>
              <w:keepNext w:val="0"/>
              <w:keepLines w:val="0"/>
              <w:pageBreakBefore w:val="0"/>
              <w:kinsoku/>
              <w:wordWrap/>
              <w:overflowPunct/>
              <w:topLinePunct w:val="0"/>
              <w:autoSpaceDE/>
              <w:autoSpaceDN/>
              <w:bidi w:val="0"/>
              <w:adjustRightInd/>
              <w:snapToGrid/>
              <w:spacing w:line="440" w:lineRule="exact"/>
              <w:ind w:left="63" w:leftChars="30" w:firstLine="0" w:firstLineChars="0"/>
              <w:textAlignment w:val="auto"/>
              <w:rPr>
                <w:rFonts w:hint="eastAsia"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4、中标人项目组人员变更，变更后人员必须满足本项目招标要求。由造价企业向综合计划科提出申请并提供相应证明，工程建设科和综合计划科会商提出意见，报综合计划科分管领导批准后予以备案。</w:t>
            </w:r>
          </w:p>
          <w:p w14:paraId="71587E98">
            <w:pPr>
              <w:pStyle w:val="2"/>
              <w:keepNext w:val="0"/>
              <w:keepLines w:val="0"/>
              <w:pageBreakBefore w:val="0"/>
              <w:kinsoku/>
              <w:wordWrap/>
              <w:overflowPunct/>
              <w:topLinePunct w:val="0"/>
              <w:autoSpaceDE/>
              <w:autoSpaceDN/>
              <w:bidi w:val="0"/>
              <w:adjustRightInd/>
              <w:snapToGrid/>
              <w:spacing w:line="440" w:lineRule="exact"/>
              <w:ind w:left="63" w:leftChars="30" w:firstLine="0" w:firstLineChars="0"/>
              <w:textAlignment w:val="auto"/>
              <w:rPr>
                <w:rFonts w:hint="eastAsia"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项目组负责人因以下原因变更不予处罚：①亡故；②重病（或重伤）三个月以上，不能履行职责；③受到刑事或行政处罚，不能胜任；④犯罪被羁押或判刑；⑤被责令停止职业资格。其他原因，造价企业须缴纳2万元违约金。</w:t>
            </w:r>
          </w:p>
          <w:p w14:paraId="68C82617">
            <w:pPr>
              <w:pStyle w:val="2"/>
              <w:keepNext w:val="0"/>
              <w:keepLines w:val="0"/>
              <w:pageBreakBefore w:val="0"/>
              <w:kinsoku/>
              <w:wordWrap/>
              <w:overflowPunct/>
              <w:topLinePunct w:val="0"/>
              <w:autoSpaceDE/>
              <w:autoSpaceDN/>
              <w:bidi w:val="0"/>
              <w:adjustRightInd/>
              <w:snapToGrid/>
              <w:spacing w:line="440" w:lineRule="exact"/>
              <w:ind w:left="63" w:leftChars="30" w:firstLine="0" w:firstLineChars="0"/>
              <w:textAlignment w:val="auto"/>
              <w:rPr>
                <w:rFonts w:hint="eastAsia"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5、中标人存在转包、违法分包等行为的，无证人员执业、挂靠执业、执业人员不到岗等违反相关法规的，将按相关法规进行处罚，终止委托业务。</w:t>
            </w:r>
          </w:p>
          <w:p w14:paraId="589A0E2D">
            <w:pPr>
              <w:pStyle w:val="2"/>
              <w:keepNext w:val="0"/>
              <w:keepLines w:val="0"/>
              <w:pageBreakBefore w:val="0"/>
              <w:kinsoku/>
              <w:wordWrap/>
              <w:overflowPunct/>
              <w:topLinePunct w:val="0"/>
              <w:autoSpaceDE/>
              <w:autoSpaceDN/>
              <w:bidi w:val="0"/>
              <w:adjustRightInd/>
              <w:snapToGrid/>
              <w:spacing w:line="440" w:lineRule="exact"/>
              <w:ind w:left="63" w:leftChars="30" w:firstLine="0" w:firstLineChars="0"/>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6、本项目工程款结算仅支付给中标人，不支持支付给授权的分公司、子公司等分支机构。（请款所提供的发票名称须与中标单位名称保持一致）。</w:t>
            </w:r>
          </w:p>
        </w:tc>
      </w:tr>
      <w:tr w14:paraId="6E099D79">
        <w:tblPrEx>
          <w:tblCellMar>
            <w:top w:w="0" w:type="dxa"/>
            <w:left w:w="0" w:type="dxa"/>
            <w:bottom w:w="0" w:type="dxa"/>
            <w:right w:w="0" w:type="dxa"/>
          </w:tblCellMar>
        </w:tblPrEx>
        <w:trPr>
          <w:trHeight w:val="633" w:hRule="atLeast"/>
        </w:trPr>
        <w:tc>
          <w:tcPr>
            <w:tcW w:w="2372" w:type="dxa"/>
            <w:gridSpan w:val="2"/>
            <w:tcBorders>
              <w:top w:val="single" w:color="auto" w:sz="8" w:space="0"/>
              <w:left w:val="single" w:color="auto" w:sz="8" w:space="0"/>
              <w:bottom w:val="single" w:color="auto" w:sz="8" w:space="0"/>
              <w:right w:val="single" w:color="auto" w:sz="4" w:space="0"/>
            </w:tcBorders>
            <w:vAlign w:val="center"/>
          </w:tcPr>
          <w:p w14:paraId="70D745D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付款方式</w:t>
            </w:r>
          </w:p>
        </w:tc>
        <w:tc>
          <w:tcPr>
            <w:tcW w:w="7166" w:type="dxa"/>
            <w:tcBorders>
              <w:top w:val="single" w:color="auto" w:sz="8" w:space="0"/>
              <w:left w:val="single" w:color="auto" w:sz="4" w:space="0"/>
              <w:bottom w:val="single" w:color="auto" w:sz="8" w:space="0"/>
              <w:right w:val="single" w:color="auto" w:sz="8" w:space="0"/>
            </w:tcBorders>
            <w:vAlign w:val="center"/>
          </w:tcPr>
          <w:p w14:paraId="0AC94A4D">
            <w:pPr>
              <w:pStyle w:val="2"/>
              <w:ind w:left="0" w:leftChars="0" w:firstLine="0" w:firstLineChars="0"/>
              <w:rPr>
                <w:rFonts w:hint="eastAsia"/>
                <w:lang w:val="en-US" w:eastAsia="zh-CN"/>
              </w:rPr>
            </w:pPr>
            <w:r>
              <w:rPr>
                <w:rFonts w:hint="eastAsia" w:ascii="宋体" w:hAnsi="宋体" w:eastAsia="宋体" w:cs="宋体"/>
                <w:b/>
                <w:bCs/>
                <w:color w:val="auto"/>
                <w:kern w:val="0"/>
                <w:sz w:val="21"/>
                <w:szCs w:val="21"/>
                <w:highlight w:val="none"/>
                <w:lang w:val="en-US" w:eastAsia="zh-CN" w:bidi="ar-SA"/>
              </w:rPr>
              <w:t>施工招标完成后支付至合同价款的80%，工程竣工验收后支付合同价款的剩余费用（计算基数以施工中标价减去暂列金额、暂估价为准）。如项目因故调整未招标，则以最高投标限价乘以30%施工下浮率为计费基数结算编制费用。（注：发包人在政府资金调度会批准且发票送达后完成支付）。</w:t>
            </w:r>
          </w:p>
        </w:tc>
      </w:tr>
      <w:tr w14:paraId="25B900FF">
        <w:tblPrEx>
          <w:tblCellMar>
            <w:top w:w="0" w:type="dxa"/>
            <w:left w:w="0" w:type="dxa"/>
            <w:bottom w:w="0" w:type="dxa"/>
            <w:right w:w="0" w:type="dxa"/>
          </w:tblCellMar>
        </w:tblPrEx>
        <w:trPr>
          <w:trHeight w:val="320" w:hRule="atLeast"/>
        </w:trPr>
        <w:tc>
          <w:tcPr>
            <w:tcW w:w="2372" w:type="dxa"/>
            <w:gridSpan w:val="2"/>
            <w:tcBorders>
              <w:top w:val="single" w:color="auto" w:sz="8" w:space="0"/>
              <w:left w:val="single" w:color="auto" w:sz="8" w:space="0"/>
              <w:bottom w:val="single" w:color="auto" w:sz="8" w:space="0"/>
              <w:right w:val="single" w:color="auto" w:sz="4" w:space="0"/>
            </w:tcBorders>
            <w:vAlign w:val="center"/>
          </w:tcPr>
          <w:p w14:paraId="5CE4694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招标代理费及专家评审费</w:t>
            </w:r>
          </w:p>
        </w:tc>
        <w:tc>
          <w:tcPr>
            <w:tcW w:w="7166" w:type="dxa"/>
            <w:tcBorders>
              <w:top w:val="single" w:color="auto" w:sz="8" w:space="0"/>
              <w:left w:val="single" w:color="auto" w:sz="4" w:space="0"/>
              <w:bottom w:val="single" w:color="auto" w:sz="8" w:space="0"/>
              <w:right w:val="single" w:color="auto" w:sz="8" w:space="0"/>
            </w:tcBorders>
            <w:vAlign w:val="center"/>
          </w:tcPr>
          <w:p w14:paraId="63D232A1">
            <w:pPr>
              <w:keepNext w:val="0"/>
              <w:keepLines w:val="0"/>
              <w:pageBreakBefore w:val="0"/>
              <w:kinsoku/>
              <w:wordWrap/>
              <w:overflowPunct/>
              <w:topLinePunct w:val="0"/>
              <w:autoSpaceDE/>
              <w:autoSpaceDN/>
              <w:bidi w:val="0"/>
              <w:adjustRightInd/>
              <w:snapToGrid/>
              <w:spacing w:line="440" w:lineRule="exact"/>
              <w:ind w:left="63" w:leftChars="30"/>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本项目招标代理服务费用</w:t>
            </w:r>
            <w:r>
              <w:rPr>
                <w:rFonts w:hint="eastAsia" w:ascii="宋体" w:hAnsi="宋体" w:cs="宋体"/>
                <w:color w:val="auto"/>
                <w:kern w:val="0"/>
                <w:sz w:val="21"/>
                <w:szCs w:val="21"/>
                <w:highlight w:val="none"/>
                <w:lang w:val="en-US" w:eastAsia="zh-CN"/>
              </w:rPr>
              <w:t>1000</w:t>
            </w:r>
            <w:r>
              <w:rPr>
                <w:rFonts w:hint="eastAsia" w:ascii="宋体" w:hAnsi="宋体" w:eastAsia="宋体" w:cs="宋体"/>
                <w:color w:val="auto"/>
                <w:kern w:val="0"/>
                <w:sz w:val="21"/>
                <w:szCs w:val="21"/>
                <w:highlight w:val="none"/>
                <w:lang w:val="en-US" w:eastAsia="zh-CN"/>
              </w:rPr>
              <w:t>元，专家评审费另计（最终以实际发生为准，按实计收），中标单位在领取中标通知书前一次性支付给代理公司。</w:t>
            </w:r>
          </w:p>
        </w:tc>
      </w:tr>
      <w:tr w14:paraId="6C5E33CA">
        <w:tblPrEx>
          <w:tblCellMar>
            <w:top w:w="0" w:type="dxa"/>
            <w:left w:w="0" w:type="dxa"/>
            <w:bottom w:w="0" w:type="dxa"/>
            <w:right w:w="0" w:type="dxa"/>
          </w:tblCellMar>
        </w:tblPrEx>
        <w:trPr>
          <w:trHeight w:val="0" w:hRule="atLeast"/>
        </w:trPr>
        <w:tc>
          <w:tcPr>
            <w:tcW w:w="2372" w:type="dxa"/>
            <w:gridSpan w:val="2"/>
            <w:tcBorders>
              <w:top w:val="single" w:color="auto" w:sz="8" w:space="0"/>
              <w:left w:val="single" w:color="auto" w:sz="8" w:space="0"/>
              <w:bottom w:val="single" w:color="auto" w:sz="8" w:space="0"/>
              <w:right w:val="single" w:color="auto" w:sz="4" w:space="0"/>
            </w:tcBorders>
            <w:vAlign w:val="center"/>
          </w:tcPr>
          <w:p w14:paraId="7DBB6D63">
            <w:pPr>
              <w:keepNext w:val="0"/>
              <w:keepLines w:val="0"/>
              <w:pageBreakBefore w:val="0"/>
              <w:widowControl/>
              <w:kinsoku/>
              <w:overflowPunct/>
              <w:topLinePunct w:val="0"/>
              <w:autoSpaceDE/>
              <w:autoSpaceDN/>
              <w:bidi w:val="0"/>
              <w:spacing w:line="440" w:lineRule="exact"/>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color w:val="auto"/>
                <w:sz w:val="21"/>
                <w:szCs w:val="21"/>
                <w:highlight w:val="none"/>
              </w:rPr>
              <w:t>评标过程中的澄清、说明或补正</w:t>
            </w:r>
          </w:p>
        </w:tc>
        <w:tc>
          <w:tcPr>
            <w:tcW w:w="7166" w:type="dxa"/>
            <w:tcBorders>
              <w:top w:val="single" w:color="auto" w:sz="8" w:space="0"/>
              <w:left w:val="single" w:color="auto" w:sz="4" w:space="0"/>
              <w:bottom w:val="single" w:color="auto" w:sz="8" w:space="0"/>
              <w:right w:val="single" w:color="auto" w:sz="8" w:space="0"/>
            </w:tcBorders>
            <w:vAlign w:val="center"/>
          </w:tcPr>
          <w:p w14:paraId="22C167F8">
            <w:pPr>
              <w:keepNext w:val="0"/>
              <w:keepLines w:val="0"/>
              <w:pageBreakBefore w:val="0"/>
              <w:widowControl/>
              <w:kinsoku/>
              <w:wordWrap/>
              <w:overflowPunct/>
              <w:topLinePunct w:val="0"/>
              <w:autoSpaceDE/>
              <w:autoSpaceDN/>
              <w:bidi w:val="0"/>
              <w:adjustRightInd/>
              <w:snapToGrid/>
              <w:spacing w:line="440" w:lineRule="exact"/>
              <w:ind w:left="63" w:leftChars="3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1</w:t>
            </w:r>
            <w:r>
              <w:rPr>
                <w:rFonts w:hint="eastAsia" w:ascii="宋体" w:hAnsi="宋体" w:eastAsia="宋体" w:cs="宋体"/>
                <w:color w:val="auto"/>
                <w:sz w:val="21"/>
                <w:szCs w:val="21"/>
                <w:highlight w:val="none"/>
              </w:rPr>
              <w:t>）评标委员会通过</w:t>
            </w:r>
            <w:r>
              <w:rPr>
                <w:rFonts w:hint="eastAsia" w:ascii="宋体" w:hAnsi="宋体" w:eastAsia="宋体" w:cs="宋体"/>
                <w:color w:val="auto"/>
                <w:sz w:val="21"/>
                <w:szCs w:val="21"/>
                <w:highlight w:val="none"/>
                <w:lang w:val="en-US"/>
              </w:rPr>
              <w:t>网上招投标</w:t>
            </w:r>
            <w:r>
              <w:rPr>
                <w:rFonts w:hint="eastAsia" w:ascii="宋体" w:hAnsi="宋体" w:eastAsia="宋体" w:cs="宋体"/>
                <w:color w:val="auto"/>
                <w:sz w:val="21"/>
                <w:szCs w:val="21"/>
                <w:highlight w:val="none"/>
              </w:rPr>
              <w:t>系统将需要澄清、说明或补正的内容以询标函的形式发送给投标人，投标人应安排专人登录</w:t>
            </w:r>
            <w:r>
              <w:rPr>
                <w:rFonts w:hint="eastAsia" w:ascii="宋体" w:hAnsi="宋体" w:eastAsia="宋体" w:cs="宋体"/>
                <w:color w:val="auto"/>
                <w:sz w:val="21"/>
                <w:szCs w:val="21"/>
                <w:highlight w:val="none"/>
                <w:lang w:val="en-US"/>
              </w:rPr>
              <w:t>网上招投标</w:t>
            </w:r>
            <w:r>
              <w:rPr>
                <w:rFonts w:hint="eastAsia" w:ascii="宋体" w:hAnsi="宋体" w:eastAsia="宋体" w:cs="宋体"/>
                <w:color w:val="auto"/>
                <w:sz w:val="21"/>
                <w:szCs w:val="21"/>
                <w:highlight w:val="none"/>
              </w:rPr>
              <w:t>系统并保持在线状态，以便及时接收评标委员会可能发出的询标函。</w:t>
            </w:r>
          </w:p>
          <w:p w14:paraId="6C77080F">
            <w:pPr>
              <w:keepNext w:val="0"/>
              <w:keepLines w:val="0"/>
              <w:pageBreakBefore w:val="0"/>
              <w:widowControl/>
              <w:kinsoku/>
              <w:wordWrap/>
              <w:overflowPunct/>
              <w:topLinePunct w:val="0"/>
              <w:autoSpaceDE/>
              <w:autoSpaceDN/>
              <w:bidi w:val="0"/>
              <w:adjustRightInd/>
              <w:snapToGrid/>
              <w:spacing w:line="440" w:lineRule="exact"/>
              <w:ind w:left="63" w:leftChars="3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2</w:t>
            </w:r>
            <w:r>
              <w:rPr>
                <w:rFonts w:hint="eastAsia" w:ascii="宋体" w:hAnsi="宋体" w:eastAsia="宋体" w:cs="宋体"/>
                <w:color w:val="auto"/>
                <w:sz w:val="21"/>
                <w:szCs w:val="21"/>
                <w:highlight w:val="none"/>
              </w:rPr>
              <w:t>）因投标人未登录</w:t>
            </w:r>
            <w:r>
              <w:rPr>
                <w:rFonts w:hint="eastAsia" w:ascii="宋体" w:hAnsi="宋体" w:eastAsia="宋体" w:cs="宋体"/>
                <w:color w:val="auto"/>
                <w:sz w:val="21"/>
                <w:szCs w:val="21"/>
                <w:highlight w:val="none"/>
                <w:lang w:val="en-US"/>
              </w:rPr>
              <w:t>网上招投标</w:t>
            </w:r>
            <w:r>
              <w:rPr>
                <w:rFonts w:hint="eastAsia" w:ascii="宋体" w:hAnsi="宋体" w:eastAsia="宋体" w:cs="宋体"/>
                <w:color w:val="auto"/>
                <w:sz w:val="21"/>
                <w:szCs w:val="21"/>
                <w:highlight w:val="none"/>
              </w:rPr>
              <w:t>系统导致无法及时接收询标函（远程网上询标）或未在规定时间内按评标委员会要求进行澄清、说明或补正内容的视同投标人放弃澄清、说明或补正内容的权利，评标委员会可按对投标人不利的解释进行判定。</w:t>
            </w:r>
          </w:p>
        </w:tc>
      </w:tr>
      <w:tr w14:paraId="3FB9B323">
        <w:tblPrEx>
          <w:tblCellMar>
            <w:top w:w="0" w:type="dxa"/>
            <w:left w:w="0" w:type="dxa"/>
            <w:bottom w:w="0" w:type="dxa"/>
            <w:right w:w="0" w:type="dxa"/>
          </w:tblCellMar>
        </w:tblPrEx>
        <w:trPr>
          <w:trHeight w:val="1181" w:hRule="atLeast"/>
        </w:trPr>
        <w:tc>
          <w:tcPr>
            <w:tcW w:w="2372" w:type="dxa"/>
            <w:gridSpan w:val="2"/>
            <w:tcBorders>
              <w:top w:val="single" w:color="auto" w:sz="8" w:space="0"/>
              <w:left w:val="single" w:color="auto" w:sz="8" w:space="0"/>
              <w:bottom w:val="single" w:color="auto" w:sz="8" w:space="0"/>
              <w:right w:val="single" w:color="auto" w:sz="4" w:space="0"/>
            </w:tcBorders>
            <w:vAlign w:val="center"/>
          </w:tcPr>
          <w:p w14:paraId="47B8DF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宋体" w:hAnsi="宋体" w:eastAsia="宋体" w:cs="宋体"/>
                <w:color w:val="auto"/>
                <w:sz w:val="21"/>
                <w:szCs w:val="21"/>
                <w:highlight w:val="none"/>
              </w:rPr>
            </w:pPr>
            <w:bookmarkStart w:id="44" w:name="_Toc515"/>
            <w:bookmarkStart w:id="45" w:name="_Toc13663"/>
            <w:r>
              <w:rPr>
                <w:rFonts w:hint="eastAsia" w:ascii="宋体" w:hAnsi="宋体" w:eastAsia="宋体" w:cs="宋体"/>
                <w:color w:val="auto"/>
                <w:sz w:val="21"/>
                <w:szCs w:val="21"/>
                <w:highlight w:val="none"/>
                <w:lang w:val="en-US" w:eastAsia="zh-CN"/>
              </w:rPr>
              <w:t>特别说明</w:t>
            </w:r>
          </w:p>
        </w:tc>
        <w:tc>
          <w:tcPr>
            <w:tcW w:w="7166" w:type="dxa"/>
            <w:tcBorders>
              <w:top w:val="single" w:color="auto" w:sz="8" w:space="0"/>
              <w:left w:val="single" w:color="auto" w:sz="4" w:space="0"/>
              <w:bottom w:val="single" w:color="auto" w:sz="8" w:space="0"/>
              <w:right w:val="single" w:color="auto" w:sz="8" w:space="0"/>
            </w:tcBorders>
            <w:vAlign w:val="center"/>
          </w:tcPr>
          <w:p w14:paraId="5A4593A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63" w:leftChars="3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招标人与中标人不按照招标文件和中标人的投标文件订立合同的，或者招标人、中标人订立背离合同实质性内容的协议的，责令改正；可以处中标项目金额千分之五以上千分之十以下的罚款。</w:t>
            </w:r>
          </w:p>
          <w:p w14:paraId="59B330C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63" w:leftChars="3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中标人不履行与招标人订立的合同的，履约保证金不予退还，给招标人造成的损失超过履约保证金数额的，还应当对超过部分予以赔偿；没有提交履约保证金的，应当对招标人的损失承担赔偿责任。</w:t>
            </w:r>
          </w:p>
          <w:p w14:paraId="3DA82CB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63" w:leftChars="3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中标人不按照与招标人订立的合同履行义务，情节严重的，取消其二年至五年内参加依法必须进行招标的项目的投标资格并予以公告，直至由工商行政管理机关吊销营业执照。</w:t>
            </w:r>
          </w:p>
          <w:p w14:paraId="41141D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63" w:leftChars="3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因不可抗力不能履行合同的，不适用前两款规定。</w:t>
            </w:r>
          </w:p>
        </w:tc>
      </w:tr>
      <w:tr w14:paraId="53FC2CC8">
        <w:tblPrEx>
          <w:tblCellMar>
            <w:top w:w="0" w:type="dxa"/>
            <w:left w:w="0" w:type="dxa"/>
            <w:bottom w:w="0" w:type="dxa"/>
            <w:right w:w="0" w:type="dxa"/>
          </w:tblCellMar>
        </w:tblPrEx>
        <w:trPr>
          <w:trHeight w:val="444" w:hRule="atLeast"/>
        </w:trPr>
        <w:tc>
          <w:tcPr>
            <w:tcW w:w="2372" w:type="dxa"/>
            <w:gridSpan w:val="2"/>
            <w:tcBorders>
              <w:top w:val="single" w:color="auto" w:sz="8" w:space="0"/>
              <w:left w:val="single" w:color="auto" w:sz="8" w:space="0"/>
              <w:bottom w:val="single" w:color="auto" w:sz="8" w:space="0"/>
              <w:right w:val="single" w:color="auto" w:sz="4" w:space="0"/>
            </w:tcBorders>
            <w:shd w:val="clear" w:color="auto" w:fill="auto"/>
            <w:vAlign w:val="center"/>
          </w:tcPr>
          <w:p w14:paraId="179EA4E3">
            <w:pPr>
              <w:keepNext w:val="0"/>
              <w:keepLines w:val="0"/>
              <w:pageBreakBefore w:val="0"/>
              <w:kinsoku/>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Cs w:val="21"/>
                <w:highlight w:val="none"/>
              </w:rPr>
              <w:t>解释权</w:t>
            </w:r>
          </w:p>
        </w:tc>
        <w:tc>
          <w:tcPr>
            <w:tcW w:w="7166" w:type="dxa"/>
            <w:tcBorders>
              <w:top w:val="single" w:color="auto" w:sz="8" w:space="0"/>
              <w:left w:val="single" w:color="auto" w:sz="4" w:space="0"/>
              <w:bottom w:val="single" w:color="auto" w:sz="8" w:space="0"/>
              <w:right w:val="single" w:color="auto" w:sz="8" w:space="0"/>
            </w:tcBorders>
            <w:shd w:val="clear" w:color="auto" w:fill="auto"/>
            <w:vAlign w:val="center"/>
          </w:tcPr>
          <w:p w14:paraId="4A11B6B2">
            <w:pPr>
              <w:pStyle w:val="160"/>
              <w:keepNext w:val="0"/>
              <w:keepLines w:val="0"/>
              <w:pageBreakBefore w:val="0"/>
              <w:kinsoku/>
              <w:wordWrap/>
              <w:overflowPunct/>
              <w:topLinePunct w:val="0"/>
              <w:autoSpaceDE/>
              <w:autoSpaceDN/>
              <w:bidi w:val="0"/>
              <w:adjustRightInd/>
              <w:snapToGrid/>
              <w:spacing w:line="440" w:lineRule="exact"/>
              <w:ind w:left="63" w:leftChars="30"/>
              <w:textAlignment w:val="auto"/>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1、构成本招标文件的各个组成文件应互为解释，互为说明；</w:t>
            </w:r>
          </w:p>
          <w:p w14:paraId="20A28A68">
            <w:pPr>
              <w:pStyle w:val="160"/>
              <w:keepNext w:val="0"/>
              <w:keepLines w:val="0"/>
              <w:pageBreakBefore w:val="0"/>
              <w:kinsoku/>
              <w:wordWrap/>
              <w:overflowPunct/>
              <w:topLinePunct w:val="0"/>
              <w:autoSpaceDE/>
              <w:autoSpaceDN/>
              <w:bidi w:val="0"/>
              <w:adjustRightInd/>
              <w:snapToGrid/>
              <w:spacing w:line="440" w:lineRule="exact"/>
              <w:ind w:left="63" w:leftChars="3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2、</w:t>
            </w:r>
            <w:r>
              <w:rPr>
                <w:rFonts w:hint="eastAsia" w:ascii="宋体" w:hAnsi="宋体" w:eastAsia="宋体" w:cs="宋体"/>
                <w:color w:val="auto"/>
                <w:spacing w:val="-7"/>
                <w:sz w:val="21"/>
                <w:szCs w:val="21"/>
                <w:highlight w:val="none"/>
              </w:rPr>
              <w:t>同一组成文件中就同一事项的规定或约定不一致的，以编排</w:t>
            </w:r>
            <w:r>
              <w:rPr>
                <w:rFonts w:hint="eastAsia" w:ascii="宋体" w:hAnsi="宋体" w:eastAsia="宋体" w:cs="宋体"/>
                <w:color w:val="auto"/>
                <w:spacing w:val="-5"/>
                <w:sz w:val="21"/>
                <w:szCs w:val="21"/>
                <w:highlight w:val="none"/>
              </w:rPr>
              <w:t>顺序在后者为准；</w:t>
            </w:r>
          </w:p>
          <w:p w14:paraId="5152586F">
            <w:pPr>
              <w:pStyle w:val="160"/>
              <w:keepNext w:val="0"/>
              <w:keepLines w:val="0"/>
              <w:pageBreakBefore w:val="0"/>
              <w:tabs>
                <w:tab w:val="left" w:pos="351"/>
              </w:tabs>
              <w:kinsoku/>
              <w:wordWrap/>
              <w:overflowPunct/>
              <w:topLinePunct w:val="0"/>
              <w:autoSpaceDE/>
              <w:autoSpaceDN/>
              <w:bidi w:val="0"/>
              <w:adjustRightInd/>
              <w:snapToGrid/>
              <w:spacing w:line="440" w:lineRule="exact"/>
              <w:ind w:left="63" w:leftChars="3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3、如有不明确或不一致，构成合同文件组成内容的，以合同文件约定内容为准，且以专用合同条款约定的合同文件优先顺序解释；</w:t>
            </w:r>
          </w:p>
          <w:p w14:paraId="0E820394">
            <w:pPr>
              <w:pStyle w:val="160"/>
              <w:keepNext w:val="0"/>
              <w:keepLines w:val="0"/>
              <w:pageBreakBefore w:val="0"/>
              <w:tabs>
                <w:tab w:val="left" w:pos="354"/>
              </w:tabs>
              <w:kinsoku/>
              <w:wordWrap/>
              <w:overflowPunct/>
              <w:topLinePunct w:val="0"/>
              <w:autoSpaceDE/>
              <w:autoSpaceDN/>
              <w:bidi w:val="0"/>
              <w:adjustRightInd/>
              <w:snapToGrid/>
              <w:spacing w:line="440" w:lineRule="exact"/>
              <w:ind w:left="63" w:leftChars="30"/>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4、</w:t>
            </w:r>
            <w:r>
              <w:rPr>
                <w:rFonts w:hint="eastAsia" w:ascii="宋体" w:hAnsi="宋体" w:eastAsia="宋体" w:cs="宋体"/>
                <w:color w:val="auto"/>
                <w:sz w:val="21"/>
                <w:szCs w:val="21"/>
                <w:highlight w:val="none"/>
              </w:rPr>
              <w:t>系统中提供的表格（或格式文件）与招标文件中不一致时，以招标文件中提供的为准；</w:t>
            </w:r>
          </w:p>
          <w:p w14:paraId="3036DB2F">
            <w:pPr>
              <w:keepNext w:val="0"/>
              <w:keepLines w:val="0"/>
              <w:pageBreakBefore w:val="0"/>
              <w:kinsoku/>
              <w:wordWrap/>
              <w:overflowPunct/>
              <w:topLinePunct w:val="0"/>
              <w:autoSpaceDE/>
              <w:autoSpaceDN/>
              <w:bidi w:val="0"/>
              <w:adjustRightInd/>
              <w:snapToGrid/>
              <w:spacing w:line="440" w:lineRule="exact"/>
              <w:ind w:left="63" w:leftChars="3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pacing w:val="-3"/>
                <w:sz w:val="21"/>
                <w:szCs w:val="21"/>
                <w:highlight w:val="none"/>
              </w:rPr>
              <w:t>5、按本款前述规定仍不能形成结论的，由招标人负责解释。</w:t>
            </w:r>
          </w:p>
        </w:tc>
      </w:tr>
    </w:tbl>
    <w:p w14:paraId="3F700D07">
      <w:pPr>
        <w:spacing w:line="400" w:lineRule="exact"/>
        <w:jc w:val="center"/>
        <w:outlineLvl w:val="1"/>
        <w:rPr>
          <w:rFonts w:hint="eastAsia" w:ascii="宋体" w:hAnsi="宋体" w:eastAsia="宋体" w:cs="宋体"/>
          <w:b/>
          <w:bCs/>
          <w:color w:val="auto"/>
          <w:sz w:val="28"/>
          <w:highlight w:val="none"/>
        </w:rPr>
      </w:pPr>
    </w:p>
    <w:p w14:paraId="7AAEE894">
      <w:pPr>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br w:type="page"/>
      </w:r>
    </w:p>
    <w:p w14:paraId="6094F76D">
      <w:pPr>
        <w:keepNext w:val="0"/>
        <w:keepLines w:val="0"/>
        <w:pageBreakBefore w:val="0"/>
        <w:widowControl w:val="0"/>
        <w:kinsoku/>
        <w:wordWrap/>
        <w:overflowPunct/>
        <w:topLinePunct w:val="0"/>
        <w:autoSpaceDE/>
        <w:autoSpaceDN/>
        <w:bidi w:val="0"/>
        <w:adjustRightInd/>
        <w:snapToGrid/>
        <w:spacing w:before="313" w:beforeLines="100" w:line="400" w:lineRule="exact"/>
        <w:jc w:val="center"/>
        <w:textAlignment w:val="auto"/>
        <w:outlineLvl w:val="1"/>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一、总  则</w:t>
      </w:r>
      <w:bookmarkEnd w:id="44"/>
      <w:bookmarkEnd w:id="45"/>
    </w:p>
    <w:p w14:paraId="5FB33392">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1.工程概况</w:t>
      </w:r>
    </w:p>
    <w:p w14:paraId="53A8EFA9">
      <w:pPr>
        <w:keepNext w:val="0"/>
        <w:keepLines w:val="0"/>
        <w:pageBreakBefore w:val="0"/>
        <w:widowControl w:val="0"/>
        <w:kinsoku/>
        <w:wordWrap w:val="0"/>
        <w:overflowPunct/>
        <w:topLinePunct w:val="0"/>
        <w:autoSpaceDE/>
        <w:autoSpaceDN/>
        <w:bidi w:val="0"/>
        <w:adjustRightInd/>
        <w:snapToGrid/>
        <w:spacing w:line="480" w:lineRule="exact"/>
        <w:ind w:left="0" w:leftChars="0" w:firstLine="0" w:firstLineChars="0"/>
        <w:jc w:val="left"/>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名称：</w:t>
      </w:r>
      <w:r>
        <w:rPr>
          <w:rFonts w:hint="eastAsia" w:ascii="宋体" w:hAnsi="宋体" w:eastAsia="宋体" w:cs="宋体"/>
          <w:i w:val="0"/>
          <w:iCs w:val="0"/>
          <w:caps w:val="0"/>
          <w:color w:val="auto"/>
          <w:spacing w:val="0"/>
          <w:kern w:val="0"/>
          <w:sz w:val="21"/>
          <w:szCs w:val="21"/>
          <w:highlight w:val="none"/>
          <w:shd w:val="clear" w:fill="FFFFFF"/>
          <w:lang w:val="en-US" w:eastAsia="zh-CN" w:bidi="ar"/>
        </w:rPr>
        <w:t>滁州市老城区排涝综合整治工程-城西干渠（凤谯路-会峰路）改造工程工程量清单及最高投标限价编制服务项目</w:t>
      </w:r>
    </w:p>
    <w:p w14:paraId="26F9FD99">
      <w:pPr>
        <w:keepNext w:val="0"/>
        <w:keepLines w:val="0"/>
        <w:pageBreakBefore w:val="0"/>
        <w:widowControl w:val="0"/>
        <w:kinsoku/>
        <w:wordWrap/>
        <w:overflowPunct/>
        <w:topLinePunct w:val="0"/>
        <w:autoSpaceDE/>
        <w:autoSpaceDN/>
        <w:bidi w:val="0"/>
        <w:adjustRightInd/>
        <w:snapToGrid/>
        <w:spacing w:line="480" w:lineRule="exact"/>
        <w:ind w:left="1050" w:leftChars="0" w:hanging="1050" w:hangingChars="5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rPr>
        <w:t>工程地址：滁州市</w:t>
      </w:r>
      <w:r>
        <w:rPr>
          <w:rFonts w:hint="eastAsia" w:ascii="宋体" w:hAnsi="宋体" w:eastAsia="宋体" w:cs="宋体"/>
          <w:color w:val="auto"/>
          <w:sz w:val="21"/>
          <w:szCs w:val="21"/>
          <w:highlight w:val="none"/>
          <w:u w:val="none"/>
          <w:lang w:val="en-US" w:eastAsia="zh-CN"/>
        </w:rPr>
        <w:t>内</w:t>
      </w:r>
    </w:p>
    <w:p w14:paraId="4E7F6254">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val="en-US" w:eastAsia="zh-CN"/>
        </w:rPr>
        <w:t>招标</w:t>
      </w:r>
      <w:r>
        <w:rPr>
          <w:rFonts w:hint="eastAsia" w:ascii="宋体" w:hAnsi="宋体" w:eastAsia="宋体" w:cs="宋体"/>
          <w:color w:val="auto"/>
          <w:sz w:val="21"/>
          <w:szCs w:val="21"/>
          <w:highlight w:val="none"/>
          <w:u w:val="none"/>
        </w:rPr>
        <w:t>单位：</w:t>
      </w:r>
      <w:r>
        <w:rPr>
          <w:rFonts w:hint="eastAsia" w:ascii="宋体" w:hAnsi="宋体" w:cs="宋体"/>
          <w:color w:val="auto"/>
          <w:sz w:val="21"/>
          <w:szCs w:val="21"/>
          <w:highlight w:val="none"/>
          <w:u w:val="none"/>
          <w:lang w:eastAsia="zh-CN"/>
        </w:rPr>
        <w:t>滁州市重点工程建设管理处</w:t>
      </w:r>
      <w:r>
        <w:rPr>
          <w:rFonts w:hint="eastAsia" w:ascii="宋体" w:hAnsi="宋体" w:eastAsia="宋体" w:cs="宋体"/>
          <w:color w:val="auto"/>
          <w:sz w:val="21"/>
          <w:szCs w:val="21"/>
          <w:highlight w:val="none"/>
          <w:u w:val="none"/>
          <w:lang w:eastAsia="zh-CN"/>
        </w:rPr>
        <w:t xml:space="preserve"> </w:t>
      </w:r>
    </w:p>
    <w:p w14:paraId="2F9C622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sz w:val="21"/>
          <w:szCs w:val="21"/>
          <w:highlight w:val="none"/>
          <w:u w:val="none"/>
        </w:rPr>
        <w:t>1.2本工程建设规模：</w:t>
      </w:r>
      <w:r>
        <w:rPr>
          <w:rFonts w:hint="eastAsia" w:ascii="宋体" w:hAnsi="宋体" w:eastAsia="宋体" w:cs="宋体"/>
          <w:color w:val="auto"/>
          <w:sz w:val="21"/>
          <w:szCs w:val="21"/>
          <w:highlight w:val="none"/>
          <w:u w:val="none"/>
          <w:lang w:val="en-US" w:eastAsia="zh-CN"/>
        </w:rPr>
        <w:t>工程</w:t>
      </w:r>
      <w:r>
        <w:rPr>
          <w:rFonts w:hint="eastAsia" w:ascii="宋体" w:hAnsi="宋体" w:cs="宋体"/>
          <w:color w:val="auto"/>
          <w:sz w:val="21"/>
          <w:szCs w:val="21"/>
          <w:highlight w:val="none"/>
          <w:u w:val="none"/>
          <w:lang w:val="en-US" w:eastAsia="zh-CN"/>
        </w:rPr>
        <w:t>投资</w:t>
      </w:r>
      <w:r>
        <w:rPr>
          <w:rFonts w:hint="eastAsia" w:ascii="宋体" w:hAnsi="宋体" w:eastAsia="宋体" w:cs="宋体"/>
          <w:color w:val="auto"/>
          <w:sz w:val="21"/>
          <w:szCs w:val="21"/>
          <w:highlight w:val="none"/>
          <w:u w:val="none"/>
          <w:lang w:val="en-US" w:eastAsia="zh-CN"/>
        </w:rPr>
        <w:t>金额约</w:t>
      </w:r>
      <w:r>
        <w:rPr>
          <w:rFonts w:hint="eastAsia" w:ascii="宋体" w:hAnsi="宋体" w:cs="宋体"/>
          <w:color w:val="auto"/>
          <w:sz w:val="21"/>
          <w:szCs w:val="21"/>
          <w:highlight w:val="none"/>
          <w:u w:val="none"/>
          <w:lang w:val="en-US" w:eastAsia="zh-CN"/>
        </w:rPr>
        <w:t>1965万元</w:t>
      </w:r>
      <w:r>
        <w:rPr>
          <w:rFonts w:hint="eastAsia" w:ascii="宋体" w:hAnsi="宋体" w:eastAsia="宋体" w:cs="宋体"/>
          <w:color w:val="auto"/>
          <w:sz w:val="21"/>
          <w:szCs w:val="21"/>
          <w:highlight w:val="none"/>
          <w:u w:val="none"/>
          <w:lang w:val="en-US" w:eastAsia="zh-CN"/>
        </w:rPr>
        <w:t>，</w:t>
      </w:r>
      <w:r>
        <w:rPr>
          <w:rFonts w:hint="eastAsia" w:ascii="宋体" w:hAnsi="宋体" w:cs="宋体"/>
          <w:color w:val="auto"/>
          <w:sz w:val="21"/>
          <w:szCs w:val="21"/>
          <w:highlight w:val="none"/>
          <w:lang w:val="en-US" w:eastAsia="zh-CN"/>
        </w:rPr>
        <w:t>工程量清单及最高投标限价编制</w:t>
      </w:r>
      <w:r>
        <w:rPr>
          <w:rFonts w:hint="eastAsia" w:ascii="宋体" w:hAnsi="宋体" w:eastAsia="宋体" w:cs="宋体"/>
          <w:color w:val="auto"/>
          <w:sz w:val="21"/>
          <w:szCs w:val="21"/>
          <w:highlight w:val="none"/>
          <w:u w:val="none"/>
          <w:lang w:val="en-US" w:eastAsia="zh-CN"/>
        </w:rPr>
        <w:t>费</w:t>
      </w:r>
      <w:r>
        <w:rPr>
          <w:rFonts w:hint="eastAsia" w:ascii="宋体" w:hAnsi="宋体" w:cs="宋体"/>
          <w:color w:val="auto"/>
          <w:sz w:val="21"/>
          <w:szCs w:val="21"/>
          <w:highlight w:val="none"/>
          <w:u w:val="none"/>
          <w:lang w:val="en-US" w:eastAsia="zh-CN"/>
        </w:rPr>
        <w:t>约2.3万元</w:t>
      </w:r>
      <w:r>
        <w:rPr>
          <w:rFonts w:hint="eastAsia" w:ascii="宋体" w:hAnsi="宋体" w:eastAsia="宋体" w:cs="宋体"/>
          <w:color w:val="auto"/>
          <w:kern w:val="0"/>
          <w:sz w:val="21"/>
          <w:szCs w:val="21"/>
          <w:highlight w:val="none"/>
          <w:u w:val="none"/>
          <w:lang w:val="en-US" w:eastAsia="zh-CN"/>
        </w:rPr>
        <w:t>。</w:t>
      </w:r>
    </w:p>
    <w:p w14:paraId="67586197">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2. </w:t>
      </w:r>
      <w:r>
        <w:rPr>
          <w:rFonts w:hint="eastAsia" w:ascii="宋体" w:hAnsi="宋体" w:cs="宋体"/>
          <w:color w:val="auto"/>
          <w:sz w:val="21"/>
          <w:szCs w:val="21"/>
          <w:highlight w:val="none"/>
          <w:lang w:val="en-US" w:eastAsia="zh-CN"/>
        </w:rPr>
        <w:t>服务需求</w:t>
      </w:r>
    </w:p>
    <w:p w14:paraId="67DEE0C4">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投标人须知</w:t>
      </w:r>
      <w:r>
        <w:rPr>
          <w:rFonts w:hint="eastAsia" w:ascii="宋体" w:hAnsi="宋体" w:eastAsia="宋体" w:cs="宋体"/>
          <w:color w:val="auto"/>
          <w:sz w:val="21"/>
          <w:szCs w:val="21"/>
          <w:highlight w:val="none"/>
          <w:lang w:val="en-US" w:eastAsia="zh-CN"/>
        </w:rPr>
        <w:t>前附表》要求</w:t>
      </w:r>
    </w:p>
    <w:p w14:paraId="40FE54FE">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3.承包方式</w:t>
      </w:r>
    </w:p>
    <w:p w14:paraId="7F965071">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3.1承包方式：</w:t>
      </w:r>
      <w:r>
        <w:rPr>
          <w:rFonts w:hint="eastAsia" w:ascii="宋体" w:hAnsi="宋体" w:eastAsia="宋体" w:cs="宋体"/>
          <w:color w:val="auto"/>
          <w:sz w:val="21"/>
          <w:szCs w:val="21"/>
          <w:highlight w:val="none"/>
          <w:lang w:val="en-US" w:eastAsia="zh-CN"/>
        </w:rPr>
        <w:t>固定</w:t>
      </w:r>
      <w:r>
        <w:rPr>
          <w:rFonts w:hint="eastAsia" w:ascii="宋体" w:hAnsi="宋体" w:cs="宋体"/>
          <w:color w:val="auto"/>
          <w:sz w:val="21"/>
          <w:szCs w:val="21"/>
          <w:highlight w:val="none"/>
          <w:lang w:val="en-US" w:eastAsia="zh-CN"/>
        </w:rPr>
        <w:t>费率</w:t>
      </w:r>
      <w:r>
        <w:rPr>
          <w:rFonts w:hint="eastAsia" w:ascii="宋体" w:hAnsi="宋体" w:eastAsia="宋体" w:cs="宋体"/>
          <w:color w:val="auto"/>
          <w:sz w:val="21"/>
          <w:szCs w:val="21"/>
          <w:highlight w:val="none"/>
        </w:rPr>
        <w:t>。</w:t>
      </w:r>
    </w:p>
    <w:p w14:paraId="06FDAF9B">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val="en-US" w:eastAsia="zh-CN"/>
        </w:rPr>
        <w:t>服务期</w:t>
      </w:r>
      <w:r>
        <w:rPr>
          <w:rFonts w:hint="eastAsia" w:ascii="宋体" w:hAnsi="宋体" w:eastAsia="宋体" w:cs="宋体"/>
          <w:color w:val="auto"/>
          <w:sz w:val="21"/>
          <w:szCs w:val="21"/>
          <w:highlight w:val="none"/>
        </w:rPr>
        <w:t>要求</w:t>
      </w:r>
    </w:p>
    <w:p w14:paraId="2E0A7DF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4.1</w:t>
      </w:r>
      <w:r>
        <w:rPr>
          <w:rFonts w:hint="eastAsia" w:ascii="宋体" w:hAnsi="宋体" w:cs="宋体"/>
          <w:color w:val="auto"/>
          <w:sz w:val="21"/>
          <w:szCs w:val="21"/>
          <w:highlight w:val="none"/>
          <w:lang w:val="en-US" w:eastAsia="zh-CN"/>
        </w:rPr>
        <w:t>服务期</w:t>
      </w:r>
      <w:r>
        <w:rPr>
          <w:rFonts w:hint="eastAsia" w:ascii="宋体" w:hAnsi="宋体" w:eastAsia="宋体" w:cs="宋体"/>
          <w:color w:val="auto"/>
          <w:sz w:val="21"/>
          <w:szCs w:val="21"/>
          <w:highlight w:val="none"/>
        </w:rPr>
        <w:t>要求</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投标人须知</w:t>
      </w:r>
      <w:r>
        <w:rPr>
          <w:rFonts w:hint="eastAsia" w:ascii="宋体" w:hAnsi="宋体" w:eastAsia="宋体" w:cs="宋体"/>
          <w:color w:val="auto"/>
          <w:sz w:val="21"/>
          <w:szCs w:val="21"/>
          <w:highlight w:val="none"/>
          <w:lang w:val="en-US" w:eastAsia="zh-CN"/>
        </w:rPr>
        <w:t>前附表》要求</w:t>
      </w:r>
      <w:r>
        <w:rPr>
          <w:rFonts w:hint="eastAsia" w:ascii="宋体" w:hAnsi="宋体" w:eastAsia="宋体" w:cs="宋体"/>
          <w:color w:val="auto"/>
          <w:kern w:val="0"/>
          <w:sz w:val="21"/>
          <w:szCs w:val="21"/>
          <w:highlight w:val="none"/>
        </w:rPr>
        <w:t>。</w:t>
      </w:r>
    </w:p>
    <w:p w14:paraId="0BCBF344">
      <w:pPr>
        <w:keepNext w:val="0"/>
        <w:keepLines w:val="0"/>
        <w:pageBreakBefore w:val="0"/>
        <w:widowControl w:val="0"/>
        <w:kinsoku/>
        <w:wordWrap/>
        <w:overflowPunct/>
        <w:topLinePunct w:val="0"/>
        <w:autoSpaceDE/>
        <w:autoSpaceDN/>
        <w:bidi w:val="0"/>
        <w:adjustRightInd/>
        <w:snapToGrid/>
        <w:spacing w:line="480" w:lineRule="exac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5.质量要求</w:t>
      </w:r>
    </w:p>
    <w:p w14:paraId="4592EB5D">
      <w:pPr>
        <w:keepNext w:val="0"/>
        <w:keepLines w:val="0"/>
        <w:pageBreakBefore w:val="0"/>
        <w:widowControl w:val="0"/>
        <w:kinsoku/>
        <w:wordWrap/>
        <w:overflowPunct/>
        <w:topLinePunct w:val="0"/>
        <w:autoSpaceDE/>
        <w:autoSpaceDN/>
        <w:bidi w:val="0"/>
        <w:adjustRightInd/>
        <w:snapToGrid/>
        <w:spacing w:line="480" w:lineRule="exac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投标人须知</w:t>
      </w:r>
      <w:r>
        <w:rPr>
          <w:rFonts w:hint="eastAsia" w:ascii="宋体" w:hAnsi="宋体" w:eastAsia="宋体" w:cs="宋体"/>
          <w:color w:val="auto"/>
          <w:sz w:val="21"/>
          <w:szCs w:val="21"/>
          <w:highlight w:val="none"/>
          <w:lang w:val="en-US" w:eastAsia="zh-CN"/>
        </w:rPr>
        <w:t>前附表》要求</w:t>
      </w:r>
      <w:r>
        <w:rPr>
          <w:rFonts w:hint="eastAsia" w:ascii="宋体" w:hAnsi="宋体" w:eastAsia="宋体" w:cs="宋体"/>
          <w:color w:val="auto"/>
          <w:sz w:val="21"/>
          <w:szCs w:val="21"/>
          <w:highlight w:val="none"/>
        </w:rPr>
        <w:t>。</w:t>
      </w:r>
    </w:p>
    <w:p w14:paraId="796160D6">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6.投标人资质等级要求</w:t>
      </w:r>
    </w:p>
    <w:p w14:paraId="1DAD49D1">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投标人须知</w:t>
      </w:r>
      <w:r>
        <w:rPr>
          <w:rFonts w:hint="eastAsia" w:ascii="宋体" w:hAnsi="宋体" w:eastAsia="宋体" w:cs="宋体"/>
          <w:color w:val="auto"/>
          <w:sz w:val="21"/>
          <w:szCs w:val="21"/>
          <w:highlight w:val="none"/>
          <w:lang w:val="en-US" w:eastAsia="zh-CN"/>
        </w:rPr>
        <w:t>前附表》要求。</w:t>
      </w:r>
    </w:p>
    <w:p w14:paraId="788E0003">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7.资金来源</w:t>
      </w:r>
    </w:p>
    <w:p w14:paraId="04B3D660">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7.1资金来源：</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财政</w:t>
      </w:r>
      <w:r>
        <w:rPr>
          <w:rFonts w:hint="eastAsia" w:ascii="宋体" w:hAnsi="宋体" w:eastAsia="宋体" w:cs="宋体"/>
          <w:color w:val="auto"/>
          <w:sz w:val="21"/>
          <w:szCs w:val="21"/>
          <w:highlight w:val="none"/>
          <w:u w:val="single"/>
        </w:rPr>
        <w:t xml:space="preserve">资金 </w:t>
      </w:r>
      <w:r>
        <w:rPr>
          <w:rFonts w:hint="eastAsia" w:ascii="宋体" w:hAnsi="宋体" w:eastAsia="宋体" w:cs="宋体"/>
          <w:color w:val="auto"/>
          <w:sz w:val="21"/>
          <w:szCs w:val="21"/>
          <w:highlight w:val="none"/>
        </w:rPr>
        <w:t>；资金已落实。</w:t>
      </w:r>
    </w:p>
    <w:p w14:paraId="16562C86">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8.标段划分</w:t>
      </w:r>
    </w:p>
    <w:p w14:paraId="2EB90A2C">
      <w:pPr>
        <w:keepNext w:val="0"/>
        <w:keepLines w:val="0"/>
        <w:pageBreakBefore w:val="0"/>
        <w:widowControl w:val="0"/>
        <w:kinsoku/>
        <w:wordWrap/>
        <w:overflowPunct/>
        <w:topLinePunct w:val="0"/>
        <w:autoSpaceDE/>
        <w:autoSpaceDN/>
        <w:bidi w:val="0"/>
        <w:adjustRightInd/>
        <w:snapToGrid/>
        <w:spacing w:line="480" w:lineRule="exact"/>
        <w:ind w:right="-155" w:rightChars="-74"/>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8.1该工程划分：</w:t>
      </w:r>
      <w:r>
        <w:rPr>
          <w:rFonts w:hint="eastAsia" w:ascii="宋体" w:hAnsi="宋体" w:eastAsia="宋体" w:cs="宋体"/>
          <w:color w:val="auto"/>
          <w:sz w:val="21"/>
          <w:szCs w:val="21"/>
          <w:highlight w:val="none"/>
          <w:u w:val="single"/>
        </w:rPr>
        <w:t xml:space="preserve"> 一 </w:t>
      </w:r>
      <w:r>
        <w:rPr>
          <w:rFonts w:hint="eastAsia" w:ascii="宋体" w:hAnsi="宋体" w:eastAsia="宋体" w:cs="宋体"/>
          <w:color w:val="auto"/>
          <w:sz w:val="21"/>
          <w:szCs w:val="21"/>
          <w:highlight w:val="none"/>
        </w:rPr>
        <w:t xml:space="preserve">个标段  </w:t>
      </w:r>
    </w:p>
    <w:p w14:paraId="084D1B0F">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9.招标方式</w:t>
      </w:r>
    </w:p>
    <w:p w14:paraId="585C687E">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9.1本工程招标方式：</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公开</w:t>
      </w:r>
      <w:r>
        <w:rPr>
          <w:rFonts w:hint="eastAsia" w:ascii="宋体" w:hAnsi="宋体" w:eastAsia="宋体" w:cs="宋体"/>
          <w:color w:val="auto"/>
          <w:sz w:val="21"/>
          <w:szCs w:val="21"/>
          <w:highlight w:val="none"/>
          <w:u w:val="single"/>
        </w:rPr>
        <w:t xml:space="preserve">招标 </w:t>
      </w:r>
      <w:r>
        <w:rPr>
          <w:rFonts w:hint="eastAsia" w:ascii="宋体" w:hAnsi="宋体" w:eastAsia="宋体" w:cs="宋体"/>
          <w:color w:val="auto"/>
          <w:sz w:val="21"/>
          <w:szCs w:val="21"/>
          <w:highlight w:val="none"/>
        </w:rPr>
        <w:t>。</w:t>
      </w:r>
    </w:p>
    <w:p w14:paraId="4E82FFBC">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10.计价方式</w:t>
      </w:r>
    </w:p>
    <w:p w14:paraId="7A62DB5F">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10.1本工程合同计价方式：</w:t>
      </w:r>
      <w:r>
        <w:rPr>
          <w:rFonts w:hint="eastAsia" w:ascii="宋体" w:hAnsi="宋体" w:eastAsia="宋体" w:cs="宋体"/>
          <w:color w:val="auto"/>
          <w:sz w:val="21"/>
          <w:szCs w:val="21"/>
          <w:highlight w:val="none"/>
          <w:u w:val="single"/>
          <w:lang w:val="en-US" w:eastAsia="zh-CN"/>
        </w:rPr>
        <w:t>固定费率</w:t>
      </w:r>
      <w:r>
        <w:rPr>
          <w:rFonts w:hint="eastAsia" w:ascii="宋体" w:hAnsi="宋体" w:eastAsia="宋体" w:cs="宋体"/>
          <w:color w:val="auto"/>
          <w:sz w:val="21"/>
          <w:szCs w:val="21"/>
          <w:highlight w:val="none"/>
        </w:rPr>
        <w:t>。</w:t>
      </w:r>
    </w:p>
    <w:p w14:paraId="08A7EAA4">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11.评标办法</w:t>
      </w:r>
    </w:p>
    <w:p w14:paraId="5C11E0E5">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11.1本工程评标办法：</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综合评估法</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（详见第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章评标办法）。</w:t>
      </w:r>
    </w:p>
    <w:p w14:paraId="50CEFD82">
      <w:pPr>
        <w:keepNext w:val="0"/>
        <w:keepLines w:val="0"/>
        <w:pageBreakBefore w:val="0"/>
        <w:widowControl w:val="0"/>
        <w:kinsoku/>
        <w:wordWrap/>
        <w:overflowPunct/>
        <w:topLinePunct w:val="0"/>
        <w:autoSpaceDE/>
        <w:autoSpaceDN/>
        <w:bidi w:val="0"/>
        <w:adjustRightInd/>
        <w:snapToGrid/>
        <w:spacing w:before="313" w:beforeLines="100" w:line="400" w:lineRule="exact"/>
        <w:jc w:val="center"/>
        <w:textAlignment w:val="auto"/>
        <w:outlineLvl w:val="1"/>
        <w:rPr>
          <w:rFonts w:hint="eastAsia" w:ascii="宋体" w:hAnsi="宋体" w:eastAsia="宋体" w:cs="宋体"/>
          <w:b/>
          <w:bCs/>
          <w:color w:val="auto"/>
          <w:sz w:val="28"/>
          <w:highlight w:val="none"/>
        </w:rPr>
      </w:pPr>
      <w:bookmarkStart w:id="46" w:name="_Toc29988"/>
      <w:bookmarkStart w:id="47" w:name="_Toc17301"/>
    </w:p>
    <w:p w14:paraId="2DD47ABF">
      <w:pPr>
        <w:keepNext w:val="0"/>
        <w:keepLines w:val="0"/>
        <w:pageBreakBefore w:val="0"/>
        <w:widowControl w:val="0"/>
        <w:kinsoku/>
        <w:wordWrap/>
        <w:overflowPunct/>
        <w:topLinePunct w:val="0"/>
        <w:autoSpaceDE/>
        <w:autoSpaceDN/>
        <w:bidi w:val="0"/>
        <w:adjustRightInd/>
        <w:snapToGrid/>
        <w:spacing w:before="313" w:beforeLines="100" w:line="400" w:lineRule="exact"/>
        <w:jc w:val="center"/>
        <w:textAlignment w:val="auto"/>
        <w:outlineLvl w:val="1"/>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二、招标文件</w:t>
      </w:r>
      <w:bookmarkEnd w:id="46"/>
      <w:bookmarkEnd w:id="47"/>
    </w:p>
    <w:p w14:paraId="62AC36E5">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12.招标文件的编制依据</w:t>
      </w:r>
    </w:p>
    <w:p w14:paraId="6640ED8C">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12.1根据相关法律法规和规章及部、省、市级规范性文件的规定，编制本招标文件。</w:t>
      </w:r>
    </w:p>
    <w:p w14:paraId="00599032">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13.</w:t>
      </w:r>
      <w:r>
        <w:rPr>
          <w:rFonts w:hint="eastAsia" w:ascii="宋体" w:hAnsi="宋体" w:eastAsia="宋体" w:cs="宋体"/>
          <w:bCs/>
          <w:color w:val="auto"/>
          <w:sz w:val="21"/>
          <w:szCs w:val="21"/>
          <w:highlight w:val="none"/>
        </w:rPr>
        <w:t>招标文件的组成</w:t>
      </w:r>
    </w:p>
    <w:p w14:paraId="3FC2C949">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13.1招标文件包括内容：</w:t>
      </w:r>
    </w:p>
    <w:p w14:paraId="27C5F634">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第一章  </w:t>
      </w:r>
      <w:r>
        <w:rPr>
          <w:rFonts w:hint="eastAsia" w:ascii="宋体" w:hAnsi="宋体" w:cs="宋体"/>
          <w:color w:val="auto"/>
          <w:sz w:val="21"/>
          <w:szCs w:val="21"/>
          <w:highlight w:val="none"/>
          <w:lang w:eastAsia="zh-CN"/>
        </w:rPr>
        <w:t>投标人须知</w:t>
      </w:r>
    </w:p>
    <w:p w14:paraId="3E882546">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第二章  </w:t>
      </w:r>
      <w:r>
        <w:rPr>
          <w:rFonts w:hint="eastAsia" w:ascii="宋体" w:hAnsi="宋体" w:eastAsia="宋体" w:cs="宋体"/>
          <w:color w:val="auto"/>
          <w:sz w:val="21"/>
          <w:szCs w:val="21"/>
          <w:highlight w:val="none"/>
          <w:lang w:val="en-US" w:eastAsia="zh-CN"/>
        </w:rPr>
        <w:t>评标办法</w:t>
      </w:r>
    </w:p>
    <w:p w14:paraId="091E054E">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第三章  合同条款</w:t>
      </w:r>
    </w:p>
    <w:p w14:paraId="5C6D9635">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章  投标文件格式</w:t>
      </w:r>
    </w:p>
    <w:p w14:paraId="3A70C4EA">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pacing w:val="-20"/>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章  招标单位、招标代理机构对本招标文件的确认</w:t>
      </w:r>
    </w:p>
    <w:p w14:paraId="426A67FC">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w:t>
      </w:r>
      <w:r>
        <w:rPr>
          <w:rFonts w:hint="eastAsia" w:ascii="宋体" w:hAnsi="宋体" w:eastAsia="宋体" w:cs="宋体"/>
          <w:color w:val="auto"/>
          <w:spacing w:val="-10"/>
          <w:sz w:val="21"/>
          <w:szCs w:val="21"/>
          <w:highlight w:val="none"/>
        </w:rPr>
        <w:t>除13.1内容外，招标答疑亦为招标文件的组成部分，对招标人和投标人起约束作用。</w:t>
      </w:r>
    </w:p>
    <w:p w14:paraId="4DAD4163">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13.3</w:t>
      </w:r>
      <w:r>
        <w:rPr>
          <w:rFonts w:hint="eastAsia" w:ascii="宋体"/>
          <w:color w:val="auto"/>
          <w:szCs w:val="21"/>
          <w:highlight w:val="none"/>
        </w:rPr>
        <w:t>投标人应仔细阅读和检查招标文件的全部内容。如发现缺页或附件不全，应及时向</w:t>
      </w:r>
      <w:r>
        <w:rPr>
          <w:rFonts w:hint="eastAsia" w:ascii="宋体"/>
          <w:color w:val="auto"/>
          <w:szCs w:val="21"/>
          <w:highlight w:val="none"/>
          <w:lang w:eastAsia="zh-CN"/>
        </w:rPr>
        <w:t>招标人</w:t>
      </w:r>
      <w:r>
        <w:rPr>
          <w:rFonts w:hint="eastAsia" w:ascii="宋体"/>
          <w:color w:val="auto"/>
          <w:szCs w:val="21"/>
          <w:highlight w:val="none"/>
        </w:rPr>
        <w:t>提出，以便补齐</w:t>
      </w:r>
      <w:r>
        <w:rPr>
          <w:rFonts w:hint="eastAsia" w:ascii="宋体" w:hAnsi="宋体" w:eastAsia="宋体" w:cs="宋体"/>
          <w:color w:val="auto"/>
          <w:kern w:val="0"/>
          <w:sz w:val="21"/>
          <w:szCs w:val="21"/>
          <w:highlight w:val="none"/>
          <w:lang w:val="zh-CN"/>
        </w:rPr>
        <w:t>。</w:t>
      </w:r>
    </w:p>
    <w:p w14:paraId="2C32EE20">
      <w:pPr>
        <w:pStyle w:val="63"/>
        <w:keepNext w:val="0"/>
        <w:keepLines w:val="0"/>
        <w:pageBreakBefore w:val="0"/>
        <w:widowControl w:val="0"/>
        <w:kinsoku/>
        <w:wordWrap w:val="0"/>
        <w:overflowPunct/>
        <w:topLinePunct w:val="0"/>
        <w:autoSpaceDE/>
        <w:autoSpaceDN/>
        <w:bidi w:val="0"/>
        <w:adjustRightInd/>
        <w:snapToGrid/>
        <w:ind w:left="0" w:leftChars="0" w:firstLine="0" w:firstLineChars="0"/>
        <w:textAlignment w:val="auto"/>
        <w:rPr>
          <w:rFonts w:hint="default" w:eastAsia="宋体"/>
          <w:color w:val="auto"/>
          <w:highlight w:val="none"/>
          <w:lang w:val="en-US" w:eastAsia="zh-CN"/>
        </w:rPr>
      </w:pPr>
      <w:r>
        <w:rPr>
          <w:rFonts w:hint="eastAsia" w:ascii="宋体" w:hAnsi="宋体" w:eastAsia="宋体" w:cs="宋体"/>
          <w:b/>
          <w:bCs/>
          <w:color w:val="auto"/>
          <w:kern w:val="0"/>
          <w:sz w:val="21"/>
          <w:szCs w:val="21"/>
          <w:highlight w:val="none"/>
          <w:lang w:val="en-US" w:eastAsia="zh-CN"/>
        </w:rPr>
        <w:t>13.4投标人可以通过新点电子交易平台【滁州专区】对招标文件提出澄清（质疑）。招标文件的澄清将在滁州市城投工程咨询管理有限公司（https://www.czctgczx.com/）、滁州市重点工程建设管理处（http://zdc.chuzhou.gov.cn/）发布，但不指明澄清问题的来源。如果澄清内容影响投标文件编制的，将相应延长投标截止时间。</w:t>
      </w:r>
    </w:p>
    <w:p w14:paraId="182D12DA">
      <w:pPr>
        <w:keepNext w:val="0"/>
        <w:keepLines w:val="0"/>
        <w:pageBreakBefore w:val="0"/>
        <w:widowControl w:val="0"/>
        <w:kinsoku/>
        <w:wordWrap w:val="0"/>
        <w:overflowPunct/>
        <w:topLinePunct w:val="0"/>
        <w:autoSpaceDE/>
        <w:autoSpaceDN/>
        <w:bidi w:val="0"/>
        <w:adjustRightInd/>
        <w:snapToGrid/>
        <w:spacing w:line="50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14.</w:t>
      </w:r>
      <w:r>
        <w:rPr>
          <w:rFonts w:hint="eastAsia" w:ascii="宋体" w:hAnsi="宋体" w:eastAsia="宋体" w:cs="宋体"/>
          <w:bCs/>
          <w:color w:val="auto"/>
          <w:sz w:val="21"/>
          <w:szCs w:val="21"/>
          <w:highlight w:val="none"/>
        </w:rPr>
        <w:t>招标文件的澄清、修改、补充、解释</w:t>
      </w:r>
    </w:p>
    <w:p w14:paraId="6B0F2D10">
      <w:pPr>
        <w:keepNext w:val="0"/>
        <w:keepLines w:val="0"/>
        <w:pageBreakBefore w:val="0"/>
        <w:widowControl w:val="0"/>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14.1</w:t>
      </w:r>
      <w:r>
        <w:rPr>
          <w:rFonts w:hint="eastAsia" w:ascii="宋体" w:hAnsi="宋体" w:eastAsia="宋体" w:cs="宋体"/>
          <w:color w:val="auto"/>
          <w:kern w:val="0"/>
          <w:sz w:val="21"/>
          <w:szCs w:val="21"/>
          <w:highlight w:val="none"/>
          <w:lang w:val="zh-CN"/>
        </w:rPr>
        <w:t>招标文件发出后</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招标人可对招标文件进行必要的澄清、修改和补充</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并在</w:t>
      </w:r>
      <w:r>
        <w:rPr>
          <w:rFonts w:hint="eastAsia" w:ascii="宋体" w:hAnsi="宋体" w:eastAsia="宋体" w:cs="宋体"/>
          <w:color w:val="auto"/>
          <w:sz w:val="21"/>
          <w:szCs w:val="21"/>
          <w:highlight w:val="none"/>
        </w:rPr>
        <w:t>滁州市城投工程咨询管理有限公司</w:t>
      </w:r>
      <w:r>
        <w:rPr>
          <w:rFonts w:hint="eastAsia"/>
          <w:color w:val="auto"/>
          <w:szCs w:val="21"/>
          <w:highlight w:val="none"/>
        </w:rPr>
        <w:t>（https://www.czctgczx.com/）</w:t>
      </w:r>
      <w:r>
        <w:rPr>
          <w:rFonts w:hint="eastAsia"/>
          <w:color w:val="auto"/>
          <w:szCs w:val="21"/>
          <w:highlight w:val="none"/>
          <w:lang w:eastAsia="zh-CN"/>
        </w:rPr>
        <w:t>、滁州市重点工程建设管理处（http://zdc.chuzhou.gov.cn/）</w:t>
      </w:r>
      <w:r>
        <w:rPr>
          <w:rFonts w:hint="eastAsia"/>
          <w:color w:val="auto"/>
          <w:szCs w:val="21"/>
          <w:highlight w:val="none"/>
          <w:lang w:val="en-US" w:eastAsia="zh-CN"/>
        </w:rPr>
        <w:t>网站发布</w:t>
      </w:r>
      <w:r>
        <w:rPr>
          <w:rFonts w:hint="eastAsia" w:ascii="宋体" w:hAnsi="宋体" w:eastAsia="宋体" w:cs="宋体"/>
          <w:color w:val="auto"/>
          <w:kern w:val="0"/>
          <w:sz w:val="21"/>
          <w:szCs w:val="21"/>
          <w:highlight w:val="none"/>
          <w:lang w:val="zh-CN"/>
        </w:rPr>
        <w:t>。招标文件的修改内容作为招标文件的组成部分，具有约束作用。</w:t>
      </w:r>
    </w:p>
    <w:p w14:paraId="291D1EEA">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本招标文件由招标人委托的招标代理机构负责解释。</w:t>
      </w:r>
    </w:p>
    <w:p w14:paraId="2B94AB1C">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15.踏勘现场及投标预备会</w:t>
      </w:r>
    </w:p>
    <w:p w14:paraId="275BCF22">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 踏勘现场</w:t>
      </w:r>
    </w:p>
    <w:p w14:paraId="50495330">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15.1.1</w:t>
      </w:r>
      <w:r>
        <w:rPr>
          <w:rFonts w:hint="eastAsia" w:ascii="宋体" w:hAnsi="宋体" w:eastAsia="宋体" w:cs="宋体"/>
          <w:color w:val="auto"/>
          <w:kern w:val="0"/>
          <w:sz w:val="21"/>
          <w:szCs w:val="21"/>
          <w:highlight w:val="none"/>
        </w:rPr>
        <w:t>不再集中召开招标答疑会；投标人自行组织勘察现场。</w:t>
      </w:r>
    </w:p>
    <w:p w14:paraId="6FE74C30">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15.2投标预备会</w:t>
      </w:r>
    </w:p>
    <w:p w14:paraId="13F5946E">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15.2.1</w:t>
      </w:r>
      <w:r>
        <w:rPr>
          <w:rFonts w:hint="eastAsia" w:ascii="宋体" w:hAnsi="宋体" w:cs="宋体"/>
          <w:color w:val="auto"/>
          <w:sz w:val="21"/>
          <w:szCs w:val="21"/>
          <w:highlight w:val="none"/>
          <w:lang w:val="en-US" w:eastAsia="zh-CN"/>
        </w:rPr>
        <w:t>本项目不组织</w:t>
      </w:r>
      <w:r>
        <w:rPr>
          <w:rFonts w:hint="eastAsia" w:ascii="宋体" w:hAnsi="宋体" w:eastAsia="宋体" w:cs="宋体"/>
          <w:color w:val="auto"/>
          <w:sz w:val="21"/>
          <w:szCs w:val="21"/>
          <w:highlight w:val="none"/>
        </w:rPr>
        <w:t>投标预备会</w:t>
      </w:r>
      <w:r>
        <w:rPr>
          <w:rFonts w:hint="eastAsia" w:ascii="宋体" w:hAnsi="宋体" w:eastAsia="宋体" w:cs="宋体"/>
          <w:bCs/>
          <w:color w:val="auto"/>
          <w:sz w:val="21"/>
          <w:szCs w:val="21"/>
          <w:highlight w:val="none"/>
        </w:rPr>
        <w:t>。</w:t>
      </w:r>
    </w:p>
    <w:p w14:paraId="13802E14">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16.招标文件的发出</w:t>
      </w:r>
    </w:p>
    <w:p w14:paraId="185B78E9">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16.1招标文件、招标文件的澄清、修改、补充及招标答疑等均应报招标人备案后，方可发出。</w:t>
      </w:r>
    </w:p>
    <w:p w14:paraId="0E4E3056">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17.最高投标限价的作用和说明</w:t>
      </w:r>
    </w:p>
    <w:p w14:paraId="1F52E4EF">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17.1本项目工程量清单和最高投标限价编制费用为《收费标准》计算费用的</w:t>
      </w: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en-US" w:eastAsia="zh-CN"/>
        </w:rPr>
        <w:t>0%，投标单位投标报价不得高于上述费率最高限价，否则按无效标处理</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《收费标准》详见附表</w:t>
      </w:r>
      <w:r>
        <w:rPr>
          <w:rFonts w:hint="eastAsia" w:ascii="宋体" w:hAnsi="宋体" w:eastAsia="宋体" w:cs="宋体"/>
          <w:b/>
          <w:bCs/>
          <w:color w:val="auto"/>
          <w:sz w:val="21"/>
          <w:szCs w:val="21"/>
          <w:highlight w:val="none"/>
          <w:lang w:eastAsia="zh-CN"/>
        </w:rPr>
        <w:t>。</w:t>
      </w:r>
    </w:p>
    <w:p w14:paraId="344A8BB9">
      <w:pPr>
        <w:keepNext w:val="0"/>
        <w:keepLines w:val="0"/>
        <w:pageBreakBefore w:val="0"/>
        <w:widowControl w:val="0"/>
        <w:kinsoku/>
        <w:wordWrap/>
        <w:overflowPunct/>
        <w:topLinePunct w:val="0"/>
        <w:autoSpaceDE/>
        <w:autoSpaceDN/>
        <w:bidi w:val="0"/>
        <w:adjustRightInd/>
        <w:snapToGrid/>
        <w:spacing w:before="313" w:beforeLines="100" w:line="400" w:lineRule="exact"/>
        <w:jc w:val="center"/>
        <w:textAlignment w:val="auto"/>
        <w:outlineLvl w:val="1"/>
        <w:rPr>
          <w:rFonts w:hint="eastAsia" w:ascii="宋体" w:hAnsi="宋体" w:eastAsia="宋体" w:cs="宋体"/>
          <w:b/>
          <w:bCs/>
          <w:color w:val="auto"/>
          <w:sz w:val="28"/>
          <w:highlight w:val="none"/>
        </w:rPr>
      </w:pPr>
      <w:bookmarkStart w:id="48" w:name="_Toc6831"/>
      <w:bookmarkStart w:id="49" w:name="_Toc24852"/>
      <w:r>
        <w:rPr>
          <w:rFonts w:hint="eastAsia" w:ascii="宋体" w:hAnsi="宋体" w:eastAsia="宋体" w:cs="宋体"/>
          <w:b/>
          <w:bCs/>
          <w:color w:val="auto"/>
          <w:sz w:val="28"/>
          <w:highlight w:val="none"/>
        </w:rPr>
        <w:t>三、投标文件的编制</w:t>
      </w:r>
      <w:bookmarkEnd w:id="48"/>
      <w:bookmarkEnd w:id="49"/>
    </w:p>
    <w:p w14:paraId="64695F4A">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18</w:t>
      </w:r>
      <w:r>
        <w:rPr>
          <w:rFonts w:hint="eastAsia" w:ascii="宋体" w:hAnsi="宋体" w:eastAsia="宋体" w:cs="宋体"/>
          <w:b/>
          <w:bCs/>
          <w:color w:val="auto"/>
          <w:sz w:val="21"/>
          <w:szCs w:val="21"/>
          <w:highlight w:val="none"/>
        </w:rPr>
        <w:t>. 投标文件的组成</w:t>
      </w:r>
      <w:r>
        <w:rPr>
          <w:rFonts w:hint="eastAsia" w:ascii="宋体" w:hAnsi="宋体" w:eastAsia="宋体" w:cs="宋体"/>
          <w:b/>
          <w:bCs/>
          <w:color w:val="auto"/>
          <w:sz w:val="21"/>
          <w:szCs w:val="21"/>
          <w:highlight w:val="none"/>
          <w:lang w:val="en-US" w:eastAsia="zh-CN"/>
        </w:rPr>
        <w:t xml:space="preserve"> </w:t>
      </w:r>
    </w:p>
    <w:p w14:paraId="499ED5AC">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（1）法定代表人身份证明文件和本人有效身份证(或法定代表人授权委托书和委托代理人有效身份证)；</w:t>
      </w:r>
    </w:p>
    <w:p w14:paraId="41B02096">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（2）企业法人营业执照；</w:t>
      </w:r>
      <w:r>
        <w:rPr>
          <w:rFonts w:hint="eastAsia" w:ascii="宋体" w:hAnsi="宋体" w:cs="宋体"/>
          <w:color w:val="auto"/>
          <w:sz w:val="21"/>
          <w:szCs w:val="21"/>
          <w:highlight w:val="none"/>
          <w:lang w:val="en-US" w:eastAsia="zh-CN"/>
        </w:rPr>
        <w:t xml:space="preserve"> </w:t>
      </w:r>
    </w:p>
    <w:p w14:paraId="46681444">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（3）拟派项目负责人</w:t>
      </w:r>
      <w:r>
        <w:rPr>
          <w:rFonts w:hint="eastAsia" w:ascii="宋体" w:hAnsi="宋体" w:eastAsia="宋体" w:cs="宋体"/>
          <w:color w:val="auto"/>
          <w:sz w:val="21"/>
          <w:szCs w:val="21"/>
          <w:highlight w:val="none"/>
          <w:lang w:val="en-US" w:eastAsia="zh-CN"/>
        </w:rPr>
        <w:t>身份证和</w:t>
      </w:r>
      <w:r>
        <w:rPr>
          <w:rFonts w:hint="eastAsia" w:ascii="宋体" w:hAnsi="宋体" w:eastAsia="宋体" w:cs="宋体"/>
          <w:color w:val="auto"/>
          <w:sz w:val="21"/>
          <w:szCs w:val="21"/>
          <w:highlight w:val="none"/>
        </w:rPr>
        <w:t>注册造价师证书且</w:t>
      </w:r>
      <w:r>
        <w:rPr>
          <w:rFonts w:hint="eastAsia" w:ascii="宋体" w:hAnsi="宋体" w:eastAsia="宋体" w:cs="宋体"/>
          <w:color w:val="auto"/>
          <w:sz w:val="21"/>
          <w:szCs w:val="21"/>
          <w:highlight w:val="none"/>
          <w:lang w:val="en-US" w:eastAsia="zh-CN"/>
        </w:rPr>
        <w:t>证明</w:t>
      </w:r>
      <w:r>
        <w:rPr>
          <w:rFonts w:hint="eastAsia" w:ascii="宋体" w:hAnsi="宋体" w:eastAsia="宋体" w:cs="宋体"/>
          <w:color w:val="auto"/>
          <w:sz w:val="21"/>
          <w:szCs w:val="21"/>
          <w:highlight w:val="none"/>
        </w:rPr>
        <w:t>专业为土木建筑工程</w:t>
      </w:r>
      <w:r>
        <w:rPr>
          <w:rFonts w:hint="eastAsia" w:ascii="宋体" w:hAnsi="宋体" w:eastAsia="宋体" w:cs="宋体"/>
          <w:color w:val="auto"/>
          <w:sz w:val="21"/>
          <w:szCs w:val="21"/>
          <w:highlight w:val="none"/>
          <w:lang w:val="en-US" w:eastAsia="zh-CN"/>
        </w:rPr>
        <w:t>的证明材料</w:t>
      </w:r>
      <w:r>
        <w:rPr>
          <w:rFonts w:hint="eastAsia" w:ascii="宋体" w:hAnsi="宋体" w:cs="宋体"/>
          <w:color w:val="auto"/>
          <w:sz w:val="21"/>
          <w:szCs w:val="21"/>
          <w:highlight w:val="none"/>
          <w:lang w:val="en-US" w:eastAsia="zh-CN"/>
        </w:rPr>
        <w:t xml:space="preserve">； </w:t>
      </w:r>
    </w:p>
    <w:p w14:paraId="18064BF3">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val="en-US" w:eastAsia="zh-CN"/>
        </w:rPr>
        <w:t>项目人员配备表；（格式见附件）</w:t>
      </w:r>
    </w:p>
    <w:p w14:paraId="43DBF8FC">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项目组其他成员（不含项目负责人）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不少于2名且具有在本单位注册的二级及以上造价工程师（土木建筑工程专业至少1名、安装工程专业至少1名）</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注册</w:t>
      </w:r>
      <w:r>
        <w:rPr>
          <w:rFonts w:hint="eastAsia" w:ascii="宋体" w:hAnsi="宋体" w:eastAsia="宋体" w:cs="宋体"/>
          <w:color w:val="auto"/>
          <w:sz w:val="21"/>
          <w:szCs w:val="21"/>
          <w:highlight w:val="none"/>
        </w:rPr>
        <w:t>证书且证明专业为土木建筑工程</w:t>
      </w:r>
      <w:r>
        <w:rPr>
          <w:rFonts w:hint="eastAsia" w:ascii="宋体" w:hAnsi="宋体" w:cs="宋体"/>
          <w:color w:val="auto"/>
          <w:sz w:val="21"/>
          <w:szCs w:val="21"/>
          <w:highlight w:val="none"/>
          <w:lang w:val="en-US" w:eastAsia="zh-CN"/>
        </w:rPr>
        <w:t>专业或安装工程专业</w:t>
      </w:r>
      <w:r>
        <w:rPr>
          <w:rFonts w:hint="eastAsia" w:ascii="宋体" w:hAnsi="宋体" w:eastAsia="宋体" w:cs="宋体"/>
          <w:color w:val="auto"/>
          <w:sz w:val="21"/>
          <w:szCs w:val="21"/>
          <w:highlight w:val="none"/>
        </w:rPr>
        <w:t xml:space="preserve">的证明材料 </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 xml:space="preserve"> </w:t>
      </w:r>
    </w:p>
    <w:p w14:paraId="0AA33432">
      <w:pPr>
        <w:keepNext w:val="0"/>
        <w:keepLines w:val="0"/>
        <w:pageBreakBefore w:val="0"/>
        <w:widowControl w:val="0"/>
        <w:kinsoku/>
        <w:wordWrap/>
        <w:overflowPunct/>
        <w:topLinePunct w:val="0"/>
        <w:autoSpaceDE/>
        <w:autoSpaceDN/>
        <w:bidi w:val="0"/>
        <w:spacing w:line="500" w:lineRule="exac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（6）投标人须提供法定代表人（或委托代理人）及拟派的上述项目负责人和项目组成员须持有社保部门出具的本单位为其缴纳的投标前近三个月的养老保险证明</w:t>
      </w:r>
      <w:r>
        <w:rPr>
          <w:rFonts w:hint="eastAsia" w:ascii="宋体" w:hAnsi="宋体" w:eastAsia="宋体" w:cs="宋体"/>
          <w:color w:val="auto"/>
          <w:sz w:val="21"/>
          <w:szCs w:val="21"/>
          <w:highlight w:val="none"/>
          <w:lang w:val="en-US" w:eastAsia="zh-CN"/>
        </w:rPr>
        <w:t>材料；投标人是事业单位的，须其主管部门出具证明（证明文件两个月内有效）；注：若投标人拟派的项目负责人为已退休人员，须同时提供①退休证明材料；②与投标人签订的返聘劳动合同；③项目负责人社保卡所在银行出具的退休工资流水；④银行出具的工资流水和返聘单位出具的工资表（加盖返聘单位公章，现聘用单位（投标人）所发工资）。</w:t>
      </w:r>
    </w:p>
    <w:p w14:paraId="20980F17">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（7）投标函</w:t>
      </w:r>
      <w:r>
        <w:rPr>
          <w:rFonts w:hint="eastAsia" w:ascii="宋体" w:hAnsi="宋体" w:eastAsia="宋体" w:cs="宋体"/>
          <w:color w:val="auto"/>
          <w:sz w:val="21"/>
          <w:szCs w:val="21"/>
          <w:highlight w:val="none"/>
        </w:rPr>
        <w:t>；</w:t>
      </w:r>
    </w:p>
    <w:p w14:paraId="67A22FA4">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r>
        <w:rPr>
          <w:rFonts w:hint="eastAsia" w:ascii="宋体" w:hAnsi="宋体" w:cs="宋体"/>
          <w:color w:val="auto"/>
          <w:sz w:val="21"/>
          <w:szCs w:val="21"/>
          <w:highlight w:val="none"/>
          <w:lang w:val="en-US" w:eastAsia="zh-CN"/>
        </w:rPr>
        <w:t>投标人认为需要提供的其他材料。</w:t>
      </w:r>
    </w:p>
    <w:p w14:paraId="6CFB64B6">
      <w:pPr>
        <w:numPr>
          <w:ilvl w:val="0"/>
          <w:numId w:val="0"/>
        </w:numPr>
        <w:spacing w:line="440" w:lineRule="exact"/>
        <w:jc w:val="both"/>
        <w:rPr>
          <w:rFonts w:hint="eastAsia" w:ascii="宋体" w:hAnsi="Times New Roman" w:eastAsia="宋体" w:cs="Times New Roman"/>
          <w:b/>
          <w:color w:val="auto"/>
          <w:szCs w:val="21"/>
          <w:highlight w:val="none"/>
          <w:lang w:val="en-US" w:eastAsia="zh-CN"/>
        </w:rPr>
      </w:pPr>
      <w:r>
        <w:rPr>
          <w:rFonts w:hint="eastAsia" w:ascii="宋体" w:hAnsi="Times New Roman" w:eastAsia="宋体" w:cs="Times New Roman"/>
          <w:b/>
          <w:color w:val="auto"/>
          <w:szCs w:val="21"/>
          <w:highlight w:val="none"/>
          <w:lang w:val="en-US" w:eastAsia="zh-CN"/>
        </w:rPr>
        <w:t xml:space="preserve">19.投标文件的组成、上传说明 </w:t>
      </w:r>
    </w:p>
    <w:p w14:paraId="344E5516">
      <w:pPr>
        <w:spacing w:line="440" w:lineRule="exact"/>
        <w:rPr>
          <w:rFonts w:hint="eastAsia" w:ascii="宋体" w:hAnsi="Calibri"/>
          <w:color w:val="auto"/>
          <w:szCs w:val="21"/>
          <w:highlight w:val="none"/>
        </w:rPr>
      </w:pPr>
      <w:r>
        <w:rPr>
          <w:rFonts w:hint="eastAsia" w:ascii="宋体" w:hAnsi="Calibri"/>
          <w:color w:val="auto"/>
          <w:szCs w:val="21"/>
          <w:highlight w:val="none"/>
          <w:lang w:val="en-US" w:eastAsia="zh-CN"/>
        </w:rPr>
        <w:t xml:space="preserve">19.1 投标文件的组成 </w:t>
      </w:r>
    </w:p>
    <w:p w14:paraId="6BBBE030">
      <w:pPr>
        <w:spacing w:line="440" w:lineRule="exact"/>
        <w:rPr>
          <w:rFonts w:hint="eastAsia" w:ascii="宋体" w:hAnsi="Calibri"/>
          <w:color w:val="auto"/>
          <w:szCs w:val="21"/>
          <w:highlight w:val="none"/>
        </w:rPr>
      </w:pPr>
      <w:r>
        <w:rPr>
          <w:rFonts w:hint="eastAsia" w:ascii="宋体" w:hAnsi="Calibri"/>
          <w:color w:val="auto"/>
          <w:szCs w:val="21"/>
          <w:highlight w:val="none"/>
          <w:lang w:val="en-US" w:eastAsia="zh-CN"/>
        </w:rPr>
        <w:t xml:space="preserve">具体内容详见第四章投标文件格式内容。 </w:t>
      </w:r>
    </w:p>
    <w:p w14:paraId="559C5DB4">
      <w:pPr>
        <w:spacing w:line="440" w:lineRule="exact"/>
        <w:rPr>
          <w:rFonts w:hint="eastAsia" w:ascii="宋体" w:hAnsi="Calibri"/>
          <w:color w:val="auto"/>
          <w:szCs w:val="21"/>
          <w:highlight w:val="none"/>
        </w:rPr>
      </w:pPr>
      <w:r>
        <w:rPr>
          <w:rFonts w:hint="eastAsia" w:ascii="宋体" w:hAnsi="Calibri"/>
          <w:color w:val="auto"/>
          <w:szCs w:val="21"/>
          <w:highlight w:val="none"/>
          <w:lang w:val="en-US" w:eastAsia="zh-CN"/>
        </w:rPr>
        <w:t xml:space="preserve">19.2 投标文件的上传 </w:t>
      </w:r>
    </w:p>
    <w:p w14:paraId="276CFE5B">
      <w:pPr>
        <w:spacing w:line="440" w:lineRule="exact"/>
        <w:ind w:firstLine="420" w:firstLineChars="200"/>
        <w:rPr>
          <w:rFonts w:hint="eastAsia" w:ascii="宋体" w:hAnsi="Calibri"/>
          <w:color w:val="auto"/>
          <w:szCs w:val="21"/>
          <w:highlight w:val="none"/>
        </w:rPr>
      </w:pPr>
      <w:r>
        <w:rPr>
          <w:rFonts w:hint="eastAsia" w:ascii="宋体" w:hAnsi="Calibri"/>
          <w:color w:val="auto"/>
          <w:szCs w:val="21"/>
          <w:highlight w:val="none"/>
          <w:lang w:val="en-US" w:eastAsia="zh-CN"/>
        </w:rPr>
        <w:t>（1）</w:t>
      </w:r>
      <w:r>
        <w:rPr>
          <w:rFonts w:hint="eastAsia" w:ascii="宋体" w:hAnsi="宋体" w:cs="宋体"/>
          <w:color w:val="auto"/>
          <w:szCs w:val="21"/>
          <w:highlight w:val="none"/>
        </w:rPr>
        <w:t>请投标人通过</w:t>
      </w:r>
      <w:r>
        <w:rPr>
          <w:rFonts w:hint="eastAsia" w:ascii="宋体" w:hAnsi="宋体" w:cs="宋体"/>
          <w:color w:val="auto"/>
          <w:szCs w:val="21"/>
          <w:highlight w:val="none"/>
          <w:lang w:val="en-US" w:eastAsia="zh-CN"/>
        </w:rPr>
        <w:t>新点电子交易平台</w:t>
      </w:r>
      <w:r>
        <w:rPr>
          <w:rFonts w:hint="eastAsia" w:ascii="宋体" w:hAnsi="宋体" w:cs="宋体"/>
          <w:color w:val="auto"/>
          <w:szCs w:val="21"/>
          <w:highlight w:val="none"/>
        </w:rPr>
        <w:t>下载投标工具制作投标文件，并利用CA数字证书进行上传投标文件，上传已加密的投标文件，务必通过此方式上传投标文件</w:t>
      </w:r>
      <w:r>
        <w:rPr>
          <w:rFonts w:hint="eastAsia" w:ascii="宋体" w:hAnsi="Calibri"/>
          <w:color w:val="auto"/>
          <w:szCs w:val="21"/>
          <w:highlight w:val="none"/>
          <w:lang w:val="en-US" w:eastAsia="zh-CN"/>
        </w:rPr>
        <w:t xml:space="preserve">。 </w:t>
      </w:r>
    </w:p>
    <w:p w14:paraId="42834304">
      <w:pPr>
        <w:spacing w:line="440" w:lineRule="exact"/>
        <w:ind w:firstLine="420" w:firstLineChars="200"/>
        <w:rPr>
          <w:rFonts w:hint="eastAsia" w:ascii="宋体" w:hAnsi="Calibri"/>
          <w:color w:val="auto"/>
          <w:szCs w:val="21"/>
          <w:highlight w:val="none"/>
        </w:rPr>
      </w:pPr>
      <w:r>
        <w:rPr>
          <w:rFonts w:hint="eastAsia" w:ascii="宋体" w:hAnsi="Calibri"/>
          <w:color w:val="auto"/>
          <w:szCs w:val="21"/>
          <w:highlight w:val="none"/>
          <w:lang w:val="en-US" w:eastAsia="zh-CN"/>
        </w:rPr>
        <w:t>（2）</w:t>
      </w:r>
      <w:r>
        <w:rPr>
          <w:rFonts w:hint="eastAsia" w:ascii="宋体" w:hAnsi="Calibri"/>
          <w:b/>
          <w:bCs/>
          <w:color w:val="auto"/>
          <w:szCs w:val="21"/>
          <w:highlight w:val="none"/>
          <w:lang w:val="en-US" w:eastAsia="zh-CN"/>
        </w:rPr>
        <w:t>投标人在投标文件编制、签章、上传过程中如有任何操作的疑问请及时联系技术支持，电话： 400928009-5 （工作日）或者网站首页在线客服</w:t>
      </w:r>
      <w:r>
        <w:rPr>
          <w:rFonts w:hint="eastAsia" w:ascii="宋体" w:hAnsi="Calibri"/>
          <w:color w:val="auto"/>
          <w:szCs w:val="21"/>
          <w:highlight w:val="none"/>
          <w:lang w:val="en-US" w:eastAsia="zh-CN"/>
        </w:rPr>
        <w:t xml:space="preserve">。 </w:t>
      </w:r>
    </w:p>
    <w:p w14:paraId="1EADF7E1">
      <w:pPr>
        <w:spacing w:line="440" w:lineRule="exact"/>
        <w:ind w:firstLine="420" w:firstLineChars="200"/>
        <w:rPr>
          <w:rFonts w:hint="eastAsia" w:ascii="宋体" w:hAnsi="Calibri"/>
          <w:color w:val="auto"/>
          <w:szCs w:val="21"/>
          <w:highlight w:val="none"/>
        </w:rPr>
      </w:pPr>
      <w:r>
        <w:rPr>
          <w:rFonts w:hint="eastAsia" w:ascii="宋体" w:hAnsi="Calibri"/>
          <w:color w:val="auto"/>
          <w:szCs w:val="21"/>
          <w:highlight w:val="none"/>
          <w:lang w:val="en-US" w:eastAsia="zh-CN"/>
        </w:rPr>
        <w:t xml:space="preserve">（3）如果因投标人自身原因导致投标文件在规定时间内未能解密、解密失败或解密超时，投标文件无效；因代理公司原因或网上平台发生故障，导致无法按时完成投标文件解密的，经代理公司申请后可延迟解密时间。 </w:t>
      </w:r>
    </w:p>
    <w:p w14:paraId="2A77AAEF">
      <w:pPr>
        <w:spacing w:line="440" w:lineRule="exact"/>
        <w:rPr>
          <w:rFonts w:hint="eastAsia" w:ascii="宋体" w:hAnsi="Calibri"/>
          <w:color w:val="auto"/>
          <w:szCs w:val="21"/>
          <w:highlight w:val="none"/>
        </w:rPr>
      </w:pPr>
      <w:r>
        <w:rPr>
          <w:rFonts w:hint="eastAsia" w:ascii="宋体" w:hAnsi="Calibri"/>
          <w:color w:val="auto"/>
          <w:szCs w:val="21"/>
          <w:highlight w:val="none"/>
          <w:lang w:val="en-US" w:eastAsia="zh-CN"/>
        </w:rPr>
        <w:t xml:space="preserve">19.3 投标文件的编制 </w:t>
      </w:r>
    </w:p>
    <w:p w14:paraId="64DCFAF7">
      <w:pPr>
        <w:spacing w:line="440" w:lineRule="exact"/>
        <w:ind w:firstLine="420" w:firstLineChars="200"/>
        <w:rPr>
          <w:rFonts w:hint="eastAsia" w:ascii="宋体" w:hAnsi="Calibri"/>
          <w:color w:val="auto"/>
          <w:szCs w:val="21"/>
          <w:highlight w:val="none"/>
        </w:rPr>
      </w:pPr>
      <w:r>
        <w:rPr>
          <w:rFonts w:hint="eastAsia" w:ascii="宋体" w:hAnsi="Calibri"/>
          <w:color w:val="auto"/>
          <w:szCs w:val="21"/>
          <w:highlight w:val="none"/>
          <w:lang w:val="en-US" w:eastAsia="zh-CN"/>
        </w:rPr>
        <w:t xml:space="preserve">（1）投标文件应按第四章“投标文件格式”进行编写，如有必要，可以增加附页，作为投标文件的组成部分。 </w:t>
      </w:r>
    </w:p>
    <w:p w14:paraId="6D4B70A1">
      <w:pPr>
        <w:spacing w:line="440" w:lineRule="exact"/>
        <w:ind w:firstLine="420" w:firstLineChars="200"/>
        <w:rPr>
          <w:rFonts w:hint="eastAsia" w:ascii="宋体" w:hAnsi="Calibri"/>
          <w:color w:val="auto"/>
          <w:szCs w:val="21"/>
          <w:highlight w:val="none"/>
        </w:rPr>
      </w:pPr>
      <w:r>
        <w:rPr>
          <w:rFonts w:hint="eastAsia" w:ascii="宋体" w:hAnsi="Calibri"/>
          <w:color w:val="auto"/>
          <w:szCs w:val="21"/>
          <w:highlight w:val="none"/>
          <w:lang w:val="en-US" w:eastAsia="zh-CN"/>
        </w:rPr>
        <w:t>（2）</w:t>
      </w:r>
      <w:r>
        <w:rPr>
          <w:rFonts w:hint="eastAsia" w:ascii="宋体" w:hAnsi="宋体" w:cs="宋体"/>
          <w:b/>
          <w:bCs/>
          <w:color w:val="auto"/>
          <w:szCs w:val="21"/>
          <w:highlight w:val="none"/>
        </w:rPr>
        <w:t>本次投标不需要提供纸质投标文件，投标人应按照电子招标投标的要求，在投标人的电子系统中制作、签章、上传加密的电子投标文件</w:t>
      </w:r>
      <w:r>
        <w:rPr>
          <w:rFonts w:hint="eastAsia" w:ascii="宋体" w:hAnsi="Calibri"/>
          <w:color w:val="auto"/>
          <w:szCs w:val="21"/>
          <w:highlight w:val="none"/>
          <w:lang w:val="en-US" w:eastAsia="zh-CN"/>
        </w:rPr>
        <w:t xml:space="preserve">。 </w:t>
      </w:r>
    </w:p>
    <w:p w14:paraId="12304D1D">
      <w:pPr>
        <w:spacing w:line="440" w:lineRule="exact"/>
        <w:ind w:firstLine="420" w:firstLineChars="200"/>
        <w:rPr>
          <w:rFonts w:hint="eastAsia" w:ascii="宋体" w:hAnsi="Calibri"/>
          <w:color w:val="auto"/>
          <w:szCs w:val="21"/>
          <w:highlight w:val="none"/>
        </w:rPr>
      </w:pPr>
      <w:r>
        <w:rPr>
          <w:rFonts w:hint="eastAsia" w:ascii="宋体" w:hAnsi="Calibri"/>
          <w:color w:val="auto"/>
          <w:szCs w:val="21"/>
          <w:highlight w:val="none"/>
          <w:lang w:val="en-US" w:eastAsia="zh-CN"/>
        </w:rPr>
        <w:t xml:space="preserve">（3）网上递交的电子投标文件制作工具等要求详见系统内帮助模块。 </w:t>
      </w:r>
    </w:p>
    <w:p w14:paraId="62D31D9D">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Calibri"/>
          <w:color w:val="auto"/>
          <w:szCs w:val="21"/>
          <w:highlight w:val="none"/>
          <w:lang w:val="en-US" w:eastAsia="zh-CN"/>
        </w:rPr>
      </w:pPr>
      <w:r>
        <w:rPr>
          <w:rFonts w:hint="eastAsia" w:ascii="宋体" w:hAnsi="Calibri"/>
          <w:color w:val="auto"/>
          <w:szCs w:val="21"/>
          <w:highlight w:val="none"/>
          <w:lang w:val="en-US" w:eastAsia="zh-CN"/>
        </w:rPr>
        <w:t>（4）网上递交的电子投标文件应按招标文件规定的格式由投标人的法定代表人和投标人分别签章。</w:t>
      </w:r>
    </w:p>
    <w:p w14:paraId="62849197">
      <w:pPr>
        <w:pStyle w:val="2"/>
        <w:rPr>
          <w:rFonts w:hint="eastAsia" w:ascii="宋体" w:hAnsi="Calibri" w:eastAsia="宋体" w:cs="Times New Roman"/>
          <w:color w:val="auto"/>
          <w:kern w:val="2"/>
          <w:sz w:val="21"/>
          <w:szCs w:val="21"/>
          <w:highlight w:val="none"/>
          <w:lang w:val="en-US" w:eastAsia="zh-CN" w:bidi="ar-SA"/>
        </w:rPr>
      </w:pPr>
      <w:r>
        <w:rPr>
          <w:rFonts w:hint="eastAsia" w:ascii="宋体" w:hAnsi="Calibri" w:eastAsia="宋体" w:cs="Times New Roman"/>
          <w:color w:val="auto"/>
          <w:kern w:val="2"/>
          <w:sz w:val="21"/>
          <w:szCs w:val="21"/>
          <w:highlight w:val="none"/>
          <w:lang w:val="en-US" w:eastAsia="zh-CN" w:bidi="ar-SA"/>
        </w:rPr>
        <w:t>（5）招标人有权核查投标人在投标文件中提供的资料，若在评标期间发现投标人提供了虚假资料，其投标将被否决；若发现投标人以他人名义投标或者以其他方式弄虚作假骗取中标的，中标无效；如果签订合同后发现中标人提供了虚假材料，招标人有权解除合同。同时招标人将投标人上述弄虚作假行为上报公共资源交易监督管理部门处理。</w:t>
      </w:r>
    </w:p>
    <w:p w14:paraId="5A82299E">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投标文件的制作应满足以下规定：</w:t>
      </w:r>
    </w:p>
    <w:p w14:paraId="48490317">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①</w:t>
      </w:r>
      <w:r>
        <w:rPr>
          <w:rFonts w:hint="eastAsia" w:ascii="宋体" w:hAnsi="宋体" w:cs="宋体"/>
          <w:color w:val="auto"/>
          <w:szCs w:val="21"/>
          <w:highlight w:val="none"/>
        </w:rPr>
        <w:t>投标文件由投标人使用</w:t>
      </w:r>
      <w:r>
        <w:rPr>
          <w:rFonts w:hint="eastAsia" w:ascii="宋体" w:hAnsi="宋体" w:cs="宋体"/>
          <w:color w:val="auto"/>
          <w:szCs w:val="21"/>
          <w:highlight w:val="none"/>
          <w:lang w:val="en-US" w:eastAsia="zh-CN"/>
        </w:rPr>
        <w:t>新点电子交易平台</w:t>
      </w:r>
      <w:r>
        <w:rPr>
          <w:rFonts w:hint="eastAsia" w:ascii="宋体" w:hAnsi="宋体" w:cs="宋体"/>
          <w:color w:val="auto"/>
          <w:szCs w:val="21"/>
          <w:highlight w:val="none"/>
        </w:rPr>
        <w:t>提供的“投标文件制作工具”制作生成。“投标文件制作工具”可以通过电子交易系统下载。</w:t>
      </w:r>
    </w:p>
    <w:p w14:paraId="424145B6">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②</w:t>
      </w:r>
      <w:r>
        <w:rPr>
          <w:rFonts w:hint="eastAsia" w:ascii="宋体" w:hAnsi="宋体" w:cs="宋体"/>
          <w:b/>
          <w:color w:val="auto"/>
          <w:szCs w:val="21"/>
          <w:highlight w:val="none"/>
        </w:rPr>
        <w:t>招标文件中“签章”是指签字或盖章</w:t>
      </w:r>
      <w:r>
        <w:rPr>
          <w:rFonts w:hint="eastAsia" w:ascii="宋体" w:hAnsi="宋体" w:cs="宋体"/>
          <w:b/>
          <w:color w:val="auto"/>
          <w:szCs w:val="21"/>
          <w:highlight w:val="none"/>
          <w:lang w:val="en-US" w:eastAsia="zh-CN"/>
        </w:rPr>
        <w:t>。在“投标文件格式”中要求单位签章的，投标人应加盖投标人单位电子印章或直接上传加盖投标人单位印章原件彩色扫描件。要求个人签章的，加盖相应人员印章（或电子印章）或相应人员签字均可。</w:t>
      </w:r>
    </w:p>
    <w:p w14:paraId="52D29299">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③</w:t>
      </w:r>
      <w:r>
        <w:rPr>
          <w:rFonts w:hint="eastAsia" w:ascii="宋体" w:hAnsi="宋体" w:cs="宋体"/>
          <w:color w:val="auto"/>
          <w:szCs w:val="21"/>
          <w:highlight w:val="none"/>
        </w:rPr>
        <w:t>投标文件制作完成后，投标人应对投标文件进行文件加密，形成加密的投标文件。采用CA数字证书加密的，加密时投标文件的所有内容均只能使用同一把CA数字证书进行加密，否则引起的解密失败责任由投标人自行承担。</w:t>
      </w:r>
    </w:p>
    <w:p w14:paraId="0BE993A2">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color w:val="auto"/>
          <w:highlight w:val="none"/>
          <w:lang w:val="en-US" w:eastAsia="zh-CN"/>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因投标人自身原因而导致投标文件无法导入电子交易系统电子开标、评标系统，该投标视为无效投标，投标人自行承担由此导致的全部责任。</w:t>
      </w:r>
    </w:p>
    <w:p w14:paraId="235F678A">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投标报价</w:t>
      </w:r>
    </w:p>
    <w:p w14:paraId="05488F20">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.1投标人的投标报价包括按合同规定的范围所提供的全部服务所需的费用，即招标范围内人员工资、办公费用、</w:t>
      </w:r>
      <w:r>
        <w:rPr>
          <w:rFonts w:hint="eastAsia" w:ascii="宋体" w:hAnsi="宋体" w:eastAsia="宋体" w:cs="宋体"/>
          <w:color w:val="auto"/>
          <w:sz w:val="21"/>
          <w:szCs w:val="21"/>
          <w:highlight w:val="none"/>
          <w:lang w:val="en-US" w:eastAsia="zh-CN"/>
        </w:rPr>
        <w:t>专家评审费、</w:t>
      </w:r>
      <w:r>
        <w:rPr>
          <w:rFonts w:hint="eastAsia" w:ascii="宋体" w:hAnsi="宋体" w:eastAsia="宋体" w:cs="宋体"/>
          <w:color w:val="auto"/>
          <w:sz w:val="21"/>
          <w:szCs w:val="21"/>
          <w:highlight w:val="none"/>
        </w:rPr>
        <w:t>成本、利润及税金等</w:t>
      </w:r>
      <w:r>
        <w:rPr>
          <w:rFonts w:hint="eastAsia" w:ascii="宋体" w:hAnsi="宋体" w:eastAsia="宋体" w:cs="宋体"/>
          <w:color w:val="auto"/>
          <w:sz w:val="21"/>
          <w:szCs w:val="21"/>
          <w:highlight w:val="none"/>
          <w:lang w:val="en-US" w:eastAsia="zh-CN"/>
        </w:rPr>
        <w:t>完成本项目所有工作所产生的</w:t>
      </w:r>
      <w:r>
        <w:rPr>
          <w:rFonts w:hint="eastAsia" w:ascii="宋体" w:hAnsi="宋体" w:eastAsia="宋体" w:cs="宋体"/>
          <w:color w:val="auto"/>
          <w:sz w:val="21"/>
          <w:szCs w:val="21"/>
          <w:highlight w:val="none"/>
        </w:rPr>
        <w:t>全部费用。</w:t>
      </w:r>
    </w:p>
    <w:p w14:paraId="076B814B">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.2 投标报价不按规定报价的，其投标文件按无效标处理。</w:t>
      </w:r>
    </w:p>
    <w:p w14:paraId="79647B60">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.投标有效期</w:t>
      </w:r>
    </w:p>
    <w:p w14:paraId="6BD254F2">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.1投标有效期为</w:t>
      </w:r>
      <w:r>
        <w:rPr>
          <w:rFonts w:hint="eastAsia" w:ascii="宋体" w:hAnsi="宋体" w:eastAsia="宋体" w:cs="宋体"/>
          <w:color w:val="auto"/>
          <w:sz w:val="21"/>
          <w:szCs w:val="21"/>
          <w:highlight w:val="none"/>
          <w:u w:val="single"/>
        </w:rPr>
        <w:t>60</w:t>
      </w:r>
      <w:r>
        <w:rPr>
          <w:rFonts w:hint="eastAsia" w:ascii="宋体" w:hAnsi="宋体" w:eastAsia="宋体" w:cs="宋体"/>
          <w:color w:val="auto"/>
          <w:sz w:val="21"/>
          <w:szCs w:val="21"/>
          <w:highlight w:val="none"/>
        </w:rPr>
        <w:t>日历天（从投标截止之日算起）。在此期限内，凡符合本招标文件要求的投标文件均保持有效。</w:t>
      </w:r>
    </w:p>
    <w:p w14:paraId="3EF24EAB">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.2 在特殊情况下，招标人在原定投标有效期内，可以根据需要以书面形式向投标人提出延长投标有效期的要求，对此要求投标人须以书面形式予以答复。投标人可以拒绝招标人这种要求，而不被没收投标保证金。同意延长投标有效期的投标人既不能要求也不允许修改其投标文件，但需要相应的延长投标担保的有效期，在延长的投标有效期内，本须知关于投标担保的退还与没收的规定仍然适用</w:t>
      </w:r>
      <w:r>
        <w:rPr>
          <w:rFonts w:hint="eastAsia" w:ascii="宋体" w:hAnsi="宋体" w:eastAsia="宋体" w:cs="宋体"/>
          <w:color w:val="auto"/>
          <w:sz w:val="24"/>
          <w:highlight w:val="none"/>
        </w:rPr>
        <w:t>。</w:t>
      </w:r>
    </w:p>
    <w:p w14:paraId="0A229A7F">
      <w:pPr>
        <w:keepNext w:val="0"/>
        <w:keepLines w:val="0"/>
        <w:pageBreakBefore w:val="0"/>
        <w:widowControl w:val="0"/>
        <w:kinsoku/>
        <w:wordWrap/>
        <w:overflowPunct/>
        <w:topLinePunct w:val="0"/>
        <w:autoSpaceDE/>
        <w:autoSpaceDN/>
        <w:bidi w:val="0"/>
        <w:adjustRightInd/>
        <w:snapToGrid/>
        <w:spacing w:before="313" w:beforeLines="100" w:line="500" w:lineRule="exact"/>
        <w:jc w:val="center"/>
        <w:textAlignment w:val="auto"/>
        <w:outlineLvl w:val="1"/>
        <w:rPr>
          <w:rFonts w:hint="eastAsia" w:ascii="宋体" w:hAnsi="宋体" w:eastAsia="宋体" w:cs="宋体"/>
          <w:color w:val="auto"/>
          <w:sz w:val="28"/>
          <w:szCs w:val="28"/>
          <w:highlight w:val="none"/>
        </w:rPr>
      </w:pPr>
      <w:bookmarkStart w:id="50" w:name="_Toc13407"/>
      <w:bookmarkStart w:id="51" w:name="_Toc27519"/>
      <w:r>
        <w:rPr>
          <w:rFonts w:hint="eastAsia" w:ascii="宋体" w:hAnsi="宋体" w:eastAsia="宋体" w:cs="宋体"/>
          <w:b/>
          <w:bCs/>
          <w:color w:val="auto"/>
          <w:sz w:val="28"/>
          <w:highlight w:val="none"/>
        </w:rPr>
        <w:t>四、投标文件的递交</w:t>
      </w:r>
      <w:bookmarkEnd w:id="50"/>
      <w:bookmarkEnd w:id="51"/>
    </w:p>
    <w:p w14:paraId="3545408C">
      <w:pPr>
        <w:numPr>
          <w:ilvl w:val="0"/>
          <w:numId w:val="0"/>
        </w:numPr>
        <w:spacing w:line="440" w:lineRule="exact"/>
        <w:jc w:val="both"/>
        <w:rPr>
          <w:rFonts w:hint="eastAsia" w:ascii="宋体" w:hAnsi="Times New Roman" w:eastAsia="宋体" w:cs="Times New Roman"/>
          <w:b/>
          <w:bCs/>
          <w:color w:val="auto"/>
          <w:szCs w:val="21"/>
          <w:highlight w:val="none"/>
        </w:rPr>
      </w:pPr>
      <w:r>
        <w:rPr>
          <w:rFonts w:hint="eastAsia" w:ascii="宋体" w:hAnsi="宋体" w:cs="宋体"/>
          <w:b/>
          <w:bCs/>
          <w:color w:val="auto"/>
          <w:sz w:val="21"/>
          <w:szCs w:val="21"/>
          <w:highlight w:val="none"/>
          <w:lang w:val="en-US" w:eastAsia="zh-CN"/>
        </w:rPr>
        <w:t>22.</w:t>
      </w:r>
      <w:r>
        <w:rPr>
          <w:rFonts w:hint="eastAsia" w:ascii="宋体" w:hAnsi="Times New Roman" w:eastAsia="宋体" w:cs="Times New Roman"/>
          <w:b/>
          <w:bCs/>
          <w:color w:val="auto"/>
          <w:szCs w:val="21"/>
          <w:highlight w:val="none"/>
        </w:rPr>
        <w:t>投标文件的份数和签署</w:t>
      </w:r>
    </w:p>
    <w:p w14:paraId="0F10380A">
      <w:pPr>
        <w:spacing w:line="440" w:lineRule="exact"/>
        <w:jc w:val="left"/>
        <w:rPr>
          <w:rFonts w:hint="eastAsia" w:ascii="宋体" w:hAnsi="宋体"/>
          <w:b/>
          <w:bCs/>
          <w:color w:val="auto"/>
          <w:szCs w:val="21"/>
          <w:highlight w:val="none"/>
        </w:rPr>
      </w:pPr>
      <w:r>
        <w:rPr>
          <w:rFonts w:hint="eastAsia" w:ascii="宋体"/>
          <w:b/>
          <w:bCs/>
          <w:color w:val="auto"/>
          <w:szCs w:val="21"/>
          <w:highlight w:val="none"/>
        </w:rPr>
        <w:t>2</w:t>
      </w:r>
      <w:r>
        <w:rPr>
          <w:rFonts w:hint="eastAsia" w:ascii="宋体"/>
          <w:b/>
          <w:bCs/>
          <w:color w:val="auto"/>
          <w:szCs w:val="21"/>
          <w:highlight w:val="none"/>
          <w:lang w:val="en-US" w:eastAsia="zh-CN"/>
        </w:rPr>
        <w:t>2</w:t>
      </w:r>
      <w:r>
        <w:rPr>
          <w:rFonts w:hint="eastAsia" w:ascii="宋体"/>
          <w:b/>
          <w:bCs/>
          <w:color w:val="auto"/>
          <w:szCs w:val="21"/>
          <w:highlight w:val="none"/>
        </w:rPr>
        <w:t>.1</w:t>
      </w:r>
      <w:r>
        <w:rPr>
          <w:rFonts w:hint="eastAsia" w:ascii="宋体" w:hAnsi="宋体" w:cs="宋体"/>
          <w:color w:val="auto"/>
          <w:kern w:val="0"/>
          <w:szCs w:val="21"/>
          <w:highlight w:val="none"/>
        </w:rPr>
        <w:t>投标人中标后须递交与网上电子投标文件完全一致的纸质版投标文件，在领取中标通知书时，一并递交给招标代理机构。</w:t>
      </w:r>
    </w:p>
    <w:p w14:paraId="28A205A5">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b/>
          <w:bCs/>
          <w:color w:val="auto"/>
          <w:szCs w:val="21"/>
          <w:highlight w:val="none"/>
        </w:rPr>
        <w:t>2</w:t>
      </w:r>
      <w:r>
        <w:rPr>
          <w:rFonts w:hint="eastAsia" w:ascii="宋体"/>
          <w:b/>
          <w:bCs/>
          <w:color w:val="auto"/>
          <w:szCs w:val="21"/>
          <w:highlight w:val="none"/>
          <w:lang w:val="en-US" w:eastAsia="zh-CN"/>
        </w:rPr>
        <w:t>2</w:t>
      </w:r>
      <w:r>
        <w:rPr>
          <w:rFonts w:hint="eastAsia" w:ascii="宋体"/>
          <w:b/>
          <w:bCs/>
          <w:color w:val="auto"/>
          <w:szCs w:val="21"/>
          <w:highlight w:val="none"/>
        </w:rPr>
        <w:t xml:space="preserve">.2 </w:t>
      </w:r>
      <w:r>
        <w:rPr>
          <w:rFonts w:hint="eastAsia" w:ascii="宋体" w:hAnsi="宋体"/>
          <w:b/>
          <w:color w:val="auto"/>
          <w:szCs w:val="21"/>
          <w:highlight w:val="none"/>
        </w:rPr>
        <w:t>电子投标文件须按格式文件要求签字或盖章（电子签章），否则经评委会一致认定后, 按照无效投标处理</w:t>
      </w:r>
      <w:r>
        <w:rPr>
          <w:rFonts w:hint="eastAsia" w:ascii="宋体" w:hAnsi="宋体" w:eastAsia="宋体" w:cs="宋体"/>
          <w:color w:val="auto"/>
          <w:sz w:val="21"/>
          <w:szCs w:val="21"/>
          <w:highlight w:val="none"/>
        </w:rPr>
        <w:t>。</w:t>
      </w:r>
    </w:p>
    <w:p w14:paraId="63552288">
      <w:pPr>
        <w:spacing w:line="440" w:lineRule="exact"/>
        <w:jc w:val="left"/>
        <w:rPr>
          <w:rFonts w:hint="eastAsia" w:ascii="宋体" w:hAnsi="宋体"/>
          <w:b/>
          <w:bCs/>
          <w:color w:val="auto"/>
          <w:szCs w:val="21"/>
          <w:highlight w:val="none"/>
        </w:rPr>
      </w:pPr>
      <w:r>
        <w:rPr>
          <w:rFonts w:hint="eastAsia" w:ascii="宋体" w:hAnsi="宋体" w:cs="宋体"/>
          <w:b/>
          <w:bCs/>
          <w:color w:val="auto"/>
          <w:sz w:val="21"/>
          <w:szCs w:val="21"/>
          <w:highlight w:val="none"/>
          <w:lang w:val="en-US" w:eastAsia="zh-CN"/>
        </w:rPr>
        <w:t>23.</w:t>
      </w:r>
      <w:r>
        <w:rPr>
          <w:rFonts w:hint="eastAsia" w:ascii="宋体" w:hAnsi="宋体"/>
          <w:b/>
          <w:bCs/>
          <w:color w:val="auto"/>
          <w:szCs w:val="21"/>
          <w:highlight w:val="none"/>
        </w:rPr>
        <w:t>投标文件的</w:t>
      </w:r>
      <w:r>
        <w:rPr>
          <w:rFonts w:hint="eastAsia" w:ascii="宋体" w:hAnsi="宋体"/>
          <w:b/>
          <w:color w:val="auto"/>
          <w:szCs w:val="21"/>
          <w:highlight w:val="none"/>
        </w:rPr>
        <w:t>递</w:t>
      </w:r>
      <w:r>
        <w:rPr>
          <w:rFonts w:hint="eastAsia" w:ascii="宋体" w:hAnsi="宋体"/>
          <w:b/>
          <w:bCs/>
          <w:color w:val="auto"/>
          <w:szCs w:val="21"/>
          <w:highlight w:val="none"/>
        </w:rPr>
        <w:t>交</w:t>
      </w:r>
    </w:p>
    <w:p w14:paraId="7F8AEA89">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b/>
          <w:color w:val="auto"/>
          <w:szCs w:val="21"/>
          <w:highlight w:val="none"/>
        </w:rPr>
        <w:t>2</w:t>
      </w:r>
      <w:r>
        <w:rPr>
          <w:rFonts w:hint="eastAsia" w:ascii="宋体" w:hAnsi="宋体"/>
          <w:b/>
          <w:color w:val="auto"/>
          <w:szCs w:val="21"/>
          <w:highlight w:val="none"/>
          <w:lang w:val="en-US" w:eastAsia="zh-CN"/>
        </w:rPr>
        <w:t>3</w:t>
      </w:r>
      <w:r>
        <w:rPr>
          <w:rFonts w:hint="eastAsia" w:ascii="宋体" w:hAnsi="宋体"/>
          <w:b/>
          <w:color w:val="auto"/>
          <w:szCs w:val="21"/>
          <w:highlight w:val="none"/>
        </w:rPr>
        <w:t>.1 投标人应当在投标截止时间前完成投标文件的网上递交，并可以补充、修改或者撤回投标文件。投标截止时间前未完成投标文件网上递交的，视为撤回投标文件。未按规定加密或投标截止时间后通过</w:t>
      </w:r>
      <w:r>
        <w:rPr>
          <w:rFonts w:hint="eastAsia" w:ascii="宋体" w:hAnsi="宋体"/>
          <w:b/>
          <w:color w:val="auto"/>
          <w:szCs w:val="21"/>
          <w:highlight w:val="none"/>
          <w:lang w:val="en-US" w:eastAsia="zh-CN"/>
        </w:rPr>
        <w:t>新点电子交易平台</w:t>
      </w:r>
      <w:r>
        <w:rPr>
          <w:rFonts w:hint="eastAsia" w:ascii="宋体" w:hAnsi="宋体"/>
          <w:b/>
          <w:color w:val="auto"/>
          <w:szCs w:val="21"/>
          <w:highlight w:val="none"/>
        </w:rPr>
        <w:t>递交电子投标文件的，电子交易系统应当拒收，投标无效</w:t>
      </w:r>
      <w:r>
        <w:rPr>
          <w:rFonts w:hint="eastAsia" w:ascii="宋体" w:hAnsi="宋体" w:eastAsia="宋体" w:cs="宋体"/>
          <w:color w:val="auto"/>
          <w:sz w:val="21"/>
          <w:szCs w:val="21"/>
          <w:highlight w:val="none"/>
        </w:rPr>
        <w:t>。</w:t>
      </w:r>
    </w:p>
    <w:p w14:paraId="6948FF47">
      <w:pPr>
        <w:spacing w:line="440" w:lineRule="exact"/>
        <w:rPr>
          <w:rFonts w:hint="eastAsia" w:ascii="宋体"/>
          <w:b/>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4</w:t>
      </w:r>
      <w:r>
        <w:rPr>
          <w:rFonts w:hint="eastAsia" w:ascii="宋体"/>
          <w:b/>
          <w:color w:val="auto"/>
          <w:szCs w:val="21"/>
          <w:highlight w:val="none"/>
        </w:rPr>
        <w:t>．投标文件的修改与撤回</w:t>
      </w:r>
    </w:p>
    <w:p w14:paraId="1800A27E">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8"/>
          <w:szCs w:val="28"/>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4</w:t>
      </w:r>
      <w:r>
        <w:rPr>
          <w:rFonts w:hint="eastAsia" w:ascii="宋体" w:hAnsi="宋体"/>
          <w:color w:val="auto"/>
          <w:szCs w:val="21"/>
          <w:highlight w:val="none"/>
        </w:rPr>
        <w:t xml:space="preserve">.1 </w:t>
      </w:r>
      <w:r>
        <w:rPr>
          <w:rFonts w:hint="eastAsia" w:ascii="宋体" w:hAnsi="宋体" w:cs="宋体"/>
          <w:color w:val="auto"/>
          <w:szCs w:val="21"/>
          <w:highlight w:val="none"/>
        </w:rPr>
        <w:t>在“招标公告”规定的投标截止时间前，投标人可以自行从网上</w:t>
      </w:r>
      <w:r>
        <w:rPr>
          <w:rFonts w:hint="eastAsia" w:ascii="宋体" w:hAnsi="宋体" w:cs="宋体"/>
          <w:color w:val="auto"/>
          <w:szCs w:val="21"/>
          <w:highlight w:val="none"/>
          <w:lang w:val="en-US" w:eastAsia="zh-CN"/>
        </w:rPr>
        <w:t>新点电子交易平台</w:t>
      </w:r>
      <w:r>
        <w:rPr>
          <w:rFonts w:hint="eastAsia" w:ascii="宋体" w:hAnsi="宋体" w:cs="宋体"/>
          <w:color w:val="auto"/>
          <w:szCs w:val="21"/>
          <w:highlight w:val="none"/>
        </w:rPr>
        <w:t>撤回已递交的投标文件，并可修改后重新加密上传，开标时以投标截止时间前投标人最终上传的投标文件为准</w:t>
      </w:r>
      <w:r>
        <w:rPr>
          <w:rFonts w:hint="eastAsia" w:ascii="宋体" w:hAnsi="宋体" w:cs="宋体"/>
          <w:color w:val="auto"/>
          <w:szCs w:val="21"/>
          <w:highlight w:val="none"/>
          <w:lang w:eastAsia="zh-CN"/>
        </w:rPr>
        <w:t>。</w:t>
      </w:r>
    </w:p>
    <w:p w14:paraId="7500E7D0">
      <w:pPr>
        <w:keepNext w:val="0"/>
        <w:keepLines w:val="0"/>
        <w:pageBreakBefore w:val="0"/>
        <w:widowControl w:val="0"/>
        <w:kinsoku/>
        <w:wordWrap/>
        <w:overflowPunct/>
        <w:topLinePunct w:val="0"/>
        <w:autoSpaceDE/>
        <w:autoSpaceDN/>
        <w:bidi w:val="0"/>
        <w:adjustRightInd/>
        <w:snapToGrid/>
        <w:spacing w:before="313" w:beforeLines="100" w:line="500" w:lineRule="exact"/>
        <w:jc w:val="center"/>
        <w:textAlignment w:val="auto"/>
        <w:outlineLvl w:val="1"/>
        <w:rPr>
          <w:rFonts w:hint="eastAsia" w:ascii="宋体" w:hAnsi="宋体" w:eastAsia="宋体" w:cs="宋体"/>
          <w:b/>
          <w:bCs/>
          <w:color w:val="auto"/>
          <w:sz w:val="28"/>
          <w:highlight w:val="none"/>
        </w:rPr>
      </w:pPr>
      <w:bookmarkStart w:id="52" w:name="_Toc18173"/>
      <w:bookmarkStart w:id="53" w:name="_Toc24005"/>
      <w:r>
        <w:rPr>
          <w:rFonts w:hint="eastAsia" w:ascii="宋体" w:hAnsi="宋体" w:eastAsia="宋体" w:cs="宋体"/>
          <w:b/>
          <w:bCs/>
          <w:color w:val="auto"/>
          <w:sz w:val="28"/>
          <w:highlight w:val="none"/>
        </w:rPr>
        <w:t>五、开标、评标和定标</w:t>
      </w:r>
      <w:bookmarkEnd w:id="52"/>
      <w:bookmarkEnd w:id="53"/>
    </w:p>
    <w:p w14:paraId="066918F9">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开标</w:t>
      </w:r>
    </w:p>
    <w:p w14:paraId="4366EFD4">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 开标的时间和地点</w:t>
      </w:r>
    </w:p>
    <w:p w14:paraId="5776DF3D">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.1.1</w:t>
      </w:r>
      <w:r>
        <w:rPr>
          <w:rFonts w:hint="eastAsia" w:ascii="宋体" w:hAnsi="宋体" w:cs="宋体"/>
          <w:color w:val="auto"/>
          <w:szCs w:val="21"/>
          <w:highlight w:val="none"/>
        </w:rPr>
        <w:t>招标人在“招标公告”规定的投标截止时间前（开标时间）和地点</w:t>
      </w:r>
      <w:r>
        <w:rPr>
          <w:color w:val="auto"/>
          <w:highlight w:val="none"/>
        </w:rPr>
        <w:t>通过</w:t>
      </w:r>
      <w:r>
        <w:rPr>
          <w:rFonts w:hint="eastAsia"/>
          <w:color w:val="auto"/>
          <w:highlight w:val="none"/>
          <w:lang w:val="en-US" w:eastAsia="zh-CN"/>
        </w:rPr>
        <w:t>新点电子交易平台</w:t>
      </w:r>
      <w:r>
        <w:rPr>
          <w:color w:val="auto"/>
          <w:highlight w:val="none"/>
        </w:rPr>
        <w:t>公开开标</w:t>
      </w:r>
      <w:r>
        <w:rPr>
          <w:rFonts w:hint="eastAsia" w:ascii="宋体" w:hAnsi="宋体" w:eastAsia="宋体" w:cs="宋体"/>
          <w:color w:val="auto"/>
          <w:sz w:val="21"/>
          <w:szCs w:val="21"/>
          <w:highlight w:val="none"/>
        </w:rPr>
        <w:t>。</w:t>
      </w:r>
    </w:p>
    <w:p w14:paraId="1CEDA917">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.2 参与开标的相关部门：招标人等。</w:t>
      </w:r>
    </w:p>
    <w:p w14:paraId="1AB92E7B">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开标程序</w:t>
      </w:r>
    </w:p>
    <w:p w14:paraId="52832887">
      <w:pPr>
        <w:wordWrap w:val="0"/>
        <w:spacing w:line="440" w:lineRule="exact"/>
        <w:ind w:right="-155" w:rightChars="-74" w:firstLine="210" w:firstLineChars="100"/>
        <w:jc w:val="left"/>
        <w:rPr>
          <w:rFonts w:hint="eastAsia" w:ascii="宋体"/>
          <w:color w:val="auto"/>
          <w:szCs w:val="21"/>
          <w:highlight w:val="none"/>
        </w:rPr>
      </w:pPr>
      <w:r>
        <w:rPr>
          <w:rFonts w:hint="eastAsia" w:ascii="宋体"/>
          <w:color w:val="auto"/>
          <w:szCs w:val="21"/>
          <w:highlight w:val="none"/>
          <w:lang w:val="en-US" w:eastAsia="zh-CN"/>
        </w:rPr>
        <w:t xml:space="preserve">开标会议由采购代理机构主持。 </w:t>
      </w:r>
    </w:p>
    <w:p w14:paraId="04855B42">
      <w:pPr>
        <w:wordWrap w:val="0"/>
        <w:spacing w:line="440" w:lineRule="exact"/>
        <w:ind w:right="-155" w:rightChars="-74" w:firstLine="210" w:firstLineChars="100"/>
        <w:jc w:val="left"/>
        <w:rPr>
          <w:rFonts w:hint="eastAsia" w:ascii="宋体"/>
          <w:color w:val="auto"/>
          <w:szCs w:val="21"/>
          <w:highlight w:val="none"/>
          <w:lang w:val="en-US" w:eastAsia="zh-CN"/>
        </w:rPr>
      </w:pPr>
      <w:r>
        <w:rPr>
          <w:rFonts w:hint="eastAsia" w:ascii="宋体"/>
          <w:color w:val="auto"/>
          <w:szCs w:val="21"/>
          <w:highlight w:val="none"/>
          <w:lang w:val="en-US" w:eastAsia="zh-CN"/>
        </w:rPr>
        <w:t>（1）公布在投标截止时间前通过新点电子交易平台完成投标文件递交的投标人名称；</w:t>
      </w:r>
    </w:p>
    <w:p w14:paraId="7F3D1C47">
      <w:pPr>
        <w:wordWrap w:val="0"/>
        <w:spacing w:line="440" w:lineRule="exact"/>
        <w:ind w:right="-155" w:rightChars="-74" w:firstLine="210" w:firstLineChars="100"/>
        <w:jc w:val="left"/>
        <w:rPr>
          <w:rFonts w:hint="eastAsia" w:ascii="宋体"/>
          <w:color w:val="auto"/>
          <w:szCs w:val="21"/>
          <w:highlight w:val="none"/>
          <w:lang w:val="en-US" w:eastAsia="zh-CN"/>
        </w:rPr>
      </w:pPr>
      <w:r>
        <w:rPr>
          <w:rFonts w:hint="eastAsia" w:ascii="宋体"/>
          <w:color w:val="auto"/>
          <w:szCs w:val="21"/>
          <w:highlight w:val="none"/>
          <w:lang w:val="en-US" w:eastAsia="zh-CN"/>
        </w:rPr>
        <w:t>（2）投标人在投标截止时间后在投标人须知前附表规定的解密时间内完成投标文件的解密工作；</w:t>
      </w:r>
    </w:p>
    <w:p w14:paraId="160BAA64">
      <w:pPr>
        <w:wordWrap w:val="0"/>
        <w:spacing w:line="440" w:lineRule="exact"/>
        <w:ind w:right="-155" w:rightChars="-74" w:firstLine="210" w:firstLineChars="100"/>
        <w:jc w:val="left"/>
        <w:rPr>
          <w:rFonts w:hint="eastAsia" w:ascii="宋体"/>
          <w:color w:val="auto"/>
          <w:szCs w:val="21"/>
          <w:highlight w:val="none"/>
          <w:lang w:val="en-US" w:eastAsia="zh-CN"/>
        </w:rPr>
      </w:pPr>
      <w:r>
        <w:rPr>
          <w:rFonts w:hint="eastAsia" w:ascii="宋体"/>
          <w:color w:val="auto"/>
          <w:szCs w:val="21"/>
          <w:highlight w:val="none"/>
          <w:lang w:val="en-US" w:eastAsia="zh-CN"/>
        </w:rPr>
        <w:t>（3）招标人或招标代理机构完成解密工作，导入并读取所有成功解密的投标文件；</w:t>
      </w:r>
    </w:p>
    <w:p w14:paraId="223FEB96">
      <w:pPr>
        <w:wordWrap w:val="0"/>
        <w:spacing w:line="440" w:lineRule="exact"/>
        <w:ind w:right="-155" w:rightChars="-74" w:firstLine="210" w:firstLineChars="100"/>
        <w:jc w:val="left"/>
        <w:rPr>
          <w:rFonts w:hint="eastAsia" w:ascii="宋体"/>
          <w:color w:val="auto"/>
          <w:szCs w:val="21"/>
          <w:highlight w:val="none"/>
          <w:lang w:val="en-US" w:eastAsia="zh-CN"/>
        </w:rPr>
      </w:pPr>
      <w:r>
        <w:rPr>
          <w:rFonts w:hint="eastAsia" w:ascii="宋体"/>
          <w:color w:val="auto"/>
          <w:szCs w:val="21"/>
          <w:highlight w:val="none"/>
          <w:lang w:val="en-US" w:eastAsia="zh-CN"/>
        </w:rPr>
        <w:t>（4）按投标人须知前附表规定公布投标人名称、投标报价等内容；</w:t>
      </w:r>
    </w:p>
    <w:p w14:paraId="6CDC20D3">
      <w:pPr>
        <w:wordWrap w:val="0"/>
        <w:spacing w:line="440" w:lineRule="exact"/>
        <w:ind w:right="-155" w:rightChars="-74" w:firstLine="210" w:firstLineChars="100"/>
        <w:jc w:val="left"/>
        <w:rPr>
          <w:rFonts w:hint="eastAsia" w:ascii="宋体"/>
          <w:color w:val="auto"/>
          <w:szCs w:val="21"/>
          <w:highlight w:val="none"/>
          <w:lang w:val="en-US" w:eastAsia="zh-CN"/>
        </w:rPr>
      </w:pPr>
      <w:r>
        <w:rPr>
          <w:rFonts w:hint="eastAsia" w:ascii="宋体"/>
          <w:color w:val="auto"/>
          <w:szCs w:val="21"/>
          <w:highlight w:val="none"/>
          <w:lang w:val="en-US" w:eastAsia="zh-CN"/>
        </w:rPr>
        <w:t xml:space="preserve">（5）开标结束。 </w:t>
      </w:r>
    </w:p>
    <w:p w14:paraId="10B86A20">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25.4</w:t>
      </w:r>
      <w:r>
        <w:rPr>
          <w:rFonts w:hint="eastAsia" w:ascii="宋体" w:hAnsi="宋体" w:eastAsia="宋体" w:cs="宋体"/>
          <w:color w:val="auto"/>
          <w:sz w:val="21"/>
          <w:szCs w:val="21"/>
          <w:highlight w:val="none"/>
        </w:rPr>
        <w:t>开标异议</w:t>
      </w:r>
    </w:p>
    <w:p w14:paraId="742AB9AD">
      <w:pPr>
        <w:pStyle w:val="2"/>
        <w:rPr>
          <w:rFonts w:hint="default" w:ascii="宋体" w:hAnsi="Times New Roman" w:eastAsia="宋体" w:cs="Times New Roman"/>
          <w:color w:val="auto"/>
          <w:kern w:val="2"/>
          <w:sz w:val="21"/>
          <w:szCs w:val="21"/>
          <w:highlight w:val="none"/>
          <w:lang w:val="en-US" w:eastAsia="zh-CN" w:bidi="ar-SA"/>
        </w:rPr>
      </w:pPr>
      <w:r>
        <w:rPr>
          <w:rFonts w:hint="eastAsia" w:ascii="宋体" w:hAnsi="Times New Roman" w:eastAsia="宋体" w:cs="Times New Roman"/>
          <w:color w:val="auto"/>
          <w:kern w:val="2"/>
          <w:sz w:val="21"/>
          <w:szCs w:val="21"/>
          <w:highlight w:val="none"/>
          <w:lang w:val="en-US" w:eastAsia="zh-CN" w:bidi="ar-SA"/>
        </w:rPr>
        <w:t>投标人对开标有异议的，应当在开标过程中提出，招标人在开标过程中作出答复，并制作记录。异议与答复应通过新点电子交易平台进行。</w:t>
      </w:r>
    </w:p>
    <w:p w14:paraId="5F39FAB5">
      <w:pPr>
        <w:spacing w:line="440" w:lineRule="exact"/>
        <w:jc w:val="left"/>
        <w:rPr>
          <w:rFonts w:hint="eastAsia" w:ascii="宋体"/>
          <w:b/>
          <w:color w:val="auto"/>
          <w:szCs w:val="21"/>
          <w:highlight w:val="none"/>
        </w:rPr>
      </w:pPr>
      <w:r>
        <w:rPr>
          <w:rFonts w:hint="eastAsia" w:ascii="宋体" w:hAnsi="宋体" w:cs="宋体"/>
          <w:color w:val="auto"/>
          <w:sz w:val="21"/>
          <w:szCs w:val="21"/>
          <w:highlight w:val="none"/>
          <w:lang w:val="en-US" w:eastAsia="zh-CN"/>
        </w:rPr>
        <w:t>26.</w:t>
      </w:r>
      <w:r>
        <w:rPr>
          <w:rFonts w:hint="eastAsia" w:ascii="宋体"/>
          <w:b/>
          <w:color w:val="auto"/>
          <w:szCs w:val="21"/>
          <w:highlight w:val="none"/>
          <w:lang w:val="en-US" w:eastAsia="zh-CN"/>
        </w:rPr>
        <w:t xml:space="preserve">评标委员会 </w:t>
      </w:r>
    </w:p>
    <w:p w14:paraId="614AC1B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 评标委员会的组成</w:t>
      </w:r>
    </w:p>
    <w:p w14:paraId="34BBFEB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.1.1评标由</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人依法组建的评标委员会负责。</w:t>
      </w:r>
    </w:p>
    <w:p w14:paraId="6BFAB9B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.1.2评标委员会负责人依法推荐或确定。</w:t>
      </w:r>
    </w:p>
    <w:p w14:paraId="516CBD5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.2 评标委员会成员名单在中标结果确定前应当保密</w:t>
      </w:r>
      <w:r>
        <w:rPr>
          <w:rFonts w:hint="eastAsia" w:ascii="宋体" w:hAnsi="宋体" w:eastAsia="宋体" w:cs="宋体"/>
          <w:color w:val="auto"/>
          <w:szCs w:val="21"/>
          <w:highlight w:val="none"/>
          <w:lang w:eastAsia="zh-CN"/>
        </w:rPr>
        <w:t>。</w:t>
      </w:r>
    </w:p>
    <w:p w14:paraId="34B9A83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 xml:space="preserve">3 </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授权评标委员会对投标人资格进行审查。</w:t>
      </w:r>
    </w:p>
    <w:p w14:paraId="694DE14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.4 评标委员会应当向</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提出书面评标报告，并抄送有关行政监督部门。评标报告应当如实记载以下内容：</w:t>
      </w:r>
    </w:p>
    <w:p w14:paraId="362811A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（1）基本情况和数据表；</w:t>
      </w:r>
    </w:p>
    <w:p w14:paraId="1D23577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（2）评标委员会成员名单；</w:t>
      </w:r>
    </w:p>
    <w:p w14:paraId="31A7EEF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（3）开标记录；</w:t>
      </w:r>
    </w:p>
    <w:p w14:paraId="0D99B7E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（4）符合要求的投标人一览表；</w:t>
      </w:r>
    </w:p>
    <w:p w14:paraId="0F8B767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（5）无效情况说明；</w:t>
      </w:r>
    </w:p>
    <w:p w14:paraId="4FC8D2B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（6）评标标准、评标方法或者评标因素一览表；</w:t>
      </w:r>
    </w:p>
    <w:p w14:paraId="792874D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（7）经评审的价格或者评分比较一览表；</w:t>
      </w:r>
    </w:p>
    <w:p w14:paraId="33EDF46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（8）投标人串标、围标等违规行为的确认报告；</w:t>
      </w:r>
    </w:p>
    <w:p w14:paraId="378AB27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（9）经评审的投标人排序；</w:t>
      </w:r>
    </w:p>
    <w:p w14:paraId="4B027C5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（10）推荐的中标候选人名单；</w:t>
      </w:r>
    </w:p>
    <w:p w14:paraId="59D25F2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（11）澄清、说明、补正事项纪要。</w:t>
      </w:r>
    </w:p>
    <w:p w14:paraId="4331CA60">
      <w:pPr>
        <w:spacing w:line="440" w:lineRule="exact"/>
        <w:ind w:firstLine="205" w:firstLineChars="98"/>
        <w:jc w:val="left"/>
        <w:rPr>
          <w:rFonts w:hint="eastAsia" w:ascii="宋体"/>
          <w:b w:val="0"/>
          <w:bCs/>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6.5</w:t>
      </w:r>
      <w:r>
        <w:rPr>
          <w:rFonts w:hint="eastAsia" w:ascii="宋体" w:hAnsi="宋体" w:eastAsia="宋体" w:cs="宋体"/>
          <w:color w:val="auto"/>
          <w:szCs w:val="21"/>
          <w:highlight w:val="none"/>
        </w:rPr>
        <w:t>评标委员会应自觉接受有关监督管理部门的现场监督，评标委员会成员与评标活动有关的工作人员和监督人员不得向他人透露对投标文件的评审和比较、中标候选人的推荐以及与评标有关的其他情况。投标文件及与评标有关的资料应当保密</w:t>
      </w:r>
      <w:r>
        <w:rPr>
          <w:rFonts w:hint="eastAsia" w:ascii="宋体"/>
          <w:b w:val="0"/>
          <w:bCs/>
          <w:color w:val="auto"/>
          <w:szCs w:val="21"/>
          <w:highlight w:val="none"/>
          <w:lang w:val="en-US" w:eastAsia="zh-CN"/>
        </w:rPr>
        <w:t xml:space="preserve">。 </w:t>
      </w:r>
    </w:p>
    <w:p w14:paraId="256E6BE5">
      <w:pPr>
        <w:spacing w:line="440" w:lineRule="exact"/>
        <w:jc w:val="left"/>
        <w:rPr>
          <w:rFonts w:hint="eastAsia" w:ascii="宋体"/>
          <w:b/>
          <w:color w:val="auto"/>
          <w:szCs w:val="21"/>
          <w:highlight w:val="none"/>
        </w:rPr>
      </w:pPr>
      <w:r>
        <w:rPr>
          <w:rFonts w:hint="eastAsia" w:ascii="宋体"/>
          <w:b/>
          <w:color w:val="auto"/>
          <w:szCs w:val="21"/>
          <w:highlight w:val="none"/>
          <w:lang w:val="en-US" w:eastAsia="zh-CN"/>
        </w:rPr>
        <w:t xml:space="preserve">27. 评标 </w:t>
      </w:r>
    </w:p>
    <w:p w14:paraId="3113249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27.1  评标准备工作</w:t>
      </w:r>
    </w:p>
    <w:p w14:paraId="7BDC760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27.1.1阅读由招标人或招标代理单位编写的招标项目情况的说明材料；</w:t>
      </w:r>
    </w:p>
    <w:p w14:paraId="001C443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27.1.2阅读、研究招标文件和相关评标资料，获取评标所需要的重要信息和数据；</w:t>
      </w:r>
    </w:p>
    <w:p w14:paraId="299648D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27.1.3熟悉招标文件规定的评标方法及在评标过程中需要考虑的相关因素；</w:t>
      </w:r>
    </w:p>
    <w:p w14:paraId="169461A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27.1.4核对评标工作用表。</w:t>
      </w:r>
    </w:p>
    <w:p w14:paraId="6D87DD6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27.2  评标办法</w:t>
      </w:r>
    </w:p>
    <w:p w14:paraId="4ABF6CE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27.2.1评标委员会按照第二章“评标办法”规定的方法、评审因素、标准和程序对投标文件进行评审。第二章“评标办法”没有规定的方法、评审因素和标准，不作为评标依据。</w:t>
      </w:r>
    </w:p>
    <w:p w14:paraId="5E75C0D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27.3评标原则：</w:t>
      </w:r>
    </w:p>
    <w:p w14:paraId="27CFAFC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遵循公平、公正、科学和择优的原则。</w:t>
      </w:r>
    </w:p>
    <w:p w14:paraId="4E4A2BF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27.4 投标文件的澄清</w:t>
      </w:r>
    </w:p>
    <w:p w14:paraId="2A215DB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27.4.1 在评标过程中，评标委员会认为需要，可要求投标人对投标文件中的有关问题进行澄清或提供补充说明及有关资料，投标人应做出答复，答复将视为投标文件的组成部分，答复中不得变更价格、服务期、自报质量等实质性内容。</w:t>
      </w:r>
      <w:r>
        <w:rPr>
          <w:rFonts w:hint="eastAsia" w:ascii="宋体" w:hAnsi="宋体" w:eastAsia="宋体" w:cs="宋体"/>
          <w:b/>
          <w:bCs/>
          <w:color w:val="auto"/>
          <w:szCs w:val="21"/>
          <w:highlight w:val="none"/>
          <w:lang w:val="en-US" w:eastAsia="zh-CN"/>
        </w:rPr>
        <w:t>本项目采用远程开标，具体操作方法详见服务指南&gt;交易须知&gt;开标大厅远程解密、质疑(异议)及回复以及评标过程中询标流程操作手册。</w:t>
      </w:r>
    </w:p>
    <w:p w14:paraId="196EDBA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27.4.2投标截止时间后，投标人对投标报价或其它实质性内容修正的函件和增加的任何优惠条件，一律不得作为评标、定标的依据。</w:t>
      </w:r>
    </w:p>
    <w:p w14:paraId="379380B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27.4.3 招标人不接受投标人主动提出的澄清。</w:t>
      </w:r>
    </w:p>
    <w:p w14:paraId="06F0B09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27.5评审意见分歧的处理办法</w:t>
      </w:r>
    </w:p>
    <w:p w14:paraId="69F124A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（1）评标委员会应当对投标人提供的报告、证明材料及详细说明认真研究。对存在意见分歧的，可采用投票方式表决决定（按多数评委意见为准）；</w:t>
      </w:r>
    </w:p>
    <w:p w14:paraId="6DE5331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（2）招标投标当事人对评标结果提出质疑或者投诉，</w:t>
      </w:r>
      <w:r>
        <w:rPr>
          <w:rFonts w:hint="eastAsia" w:ascii="宋体" w:hAnsi="宋体" w:cs="宋体"/>
          <w:color w:val="auto"/>
          <w:szCs w:val="21"/>
          <w:highlight w:val="none"/>
          <w:lang w:val="en-US" w:eastAsia="zh-CN"/>
        </w:rPr>
        <w:t>招标人</w:t>
      </w:r>
      <w:r>
        <w:rPr>
          <w:rFonts w:hint="eastAsia" w:ascii="宋体" w:hAnsi="宋体" w:eastAsia="宋体" w:cs="宋体"/>
          <w:color w:val="auto"/>
          <w:szCs w:val="21"/>
          <w:highlight w:val="none"/>
          <w:lang w:val="en-US" w:eastAsia="zh-CN"/>
        </w:rPr>
        <w:t>认为需要重新进行评标的，评标委员会成员应当按照要求重新评标。</w:t>
      </w:r>
    </w:p>
    <w:p w14:paraId="630F06F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27.6评标报告的签署</w:t>
      </w:r>
    </w:p>
    <w:p w14:paraId="2A2F608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27.6.1 评标委员会应当编制书面评标报告,所有成员应签字确认。对评标结论持有异议的评标委员会成员可以书面方式阐述其不同意见和理由。评标委员会成员拒绝在评标报告上签字且不陈述其不同意见和理由的，视为同意评标结论。</w:t>
      </w:r>
    </w:p>
    <w:p w14:paraId="13A9682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27.7评标过程的保密</w:t>
      </w:r>
    </w:p>
    <w:p w14:paraId="4E822EA3">
      <w:pPr>
        <w:spacing w:line="440" w:lineRule="exact"/>
        <w:ind w:firstLine="205" w:firstLineChars="98"/>
        <w:jc w:val="left"/>
        <w:rPr>
          <w:rFonts w:hint="eastAsia" w:ascii="宋体" w:hAnsi="Times New Roman" w:eastAsia="宋体" w:cs="Times New Roman"/>
          <w:b w:val="0"/>
          <w:bCs/>
          <w:color w:val="auto"/>
          <w:szCs w:val="21"/>
          <w:highlight w:val="none"/>
          <w:lang w:val="en-US" w:eastAsia="zh-CN"/>
        </w:rPr>
      </w:pPr>
      <w:r>
        <w:rPr>
          <w:rFonts w:hint="eastAsia" w:ascii="宋体" w:hAnsi="宋体" w:eastAsia="宋体" w:cs="宋体"/>
          <w:color w:val="auto"/>
          <w:szCs w:val="21"/>
          <w:highlight w:val="none"/>
          <w:lang w:val="en-US" w:eastAsia="zh-CN"/>
        </w:rPr>
        <w:t> 评标委员会成员和与评标活动有关的工作人员不得透露对投标文件的评审和比较、中标候选人的推荐情况以及与评标有关的其他情况</w:t>
      </w:r>
      <w:r>
        <w:rPr>
          <w:rFonts w:hint="eastAsia" w:ascii="宋体" w:hAnsi="Times New Roman" w:eastAsia="宋体" w:cs="Times New Roman"/>
          <w:b w:val="0"/>
          <w:bCs/>
          <w:color w:val="auto"/>
          <w:szCs w:val="21"/>
          <w:highlight w:val="none"/>
          <w:lang w:val="en-US" w:eastAsia="zh-CN"/>
        </w:rPr>
        <w:t xml:space="preserve">。 </w:t>
      </w:r>
    </w:p>
    <w:p w14:paraId="67425CE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27.8评标结果公告</w:t>
      </w:r>
    </w:p>
    <w:p w14:paraId="002C3227">
      <w:pPr>
        <w:spacing w:line="440" w:lineRule="exact"/>
        <w:ind w:firstLine="422" w:firstLineChars="200"/>
        <w:jc w:val="left"/>
        <w:rPr>
          <w:rFonts w:hint="eastAsia" w:ascii="宋体" w:hAnsi="Times New Roman" w:eastAsia="宋体" w:cs="Times New Roman"/>
          <w:b w:val="0"/>
          <w:bCs/>
          <w:color w:val="auto"/>
          <w:szCs w:val="21"/>
          <w:highlight w:val="none"/>
          <w:lang w:val="en-US" w:eastAsia="zh-CN"/>
        </w:rPr>
      </w:pPr>
      <w:r>
        <w:rPr>
          <w:rFonts w:hint="eastAsia" w:ascii="宋体" w:hAnsi="宋体" w:eastAsia="宋体" w:cs="宋体"/>
          <w:b/>
          <w:bCs/>
          <w:color w:val="auto"/>
          <w:szCs w:val="21"/>
          <w:highlight w:val="none"/>
          <w:lang w:val="en-US" w:eastAsia="zh-CN"/>
        </w:rPr>
        <w:t>招标人应将中标人的情况在滁州市城投工程咨询管理有限公司（https://www.czctgczx.com/）、滁州市重点工程建设管理处（http://zdc.chuzhou.gov.cn/）等网站上予以公告，公告期为3日</w:t>
      </w:r>
      <w:r>
        <w:rPr>
          <w:rFonts w:hint="eastAsia" w:ascii="宋体" w:hAnsi="Times New Roman" w:eastAsia="宋体" w:cs="Times New Roman"/>
          <w:b w:val="0"/>
          <w:bCs/>
          <w:color w:val="auto"/>
          <w:szCs w:val="21"/>
          <w:highlight w:val="none"/>
          <w:lang w:val="en-US" w:eastAsia="zh-CN"/>
        </w:rPr>
        <w:t xml:space="preserve">。 </w:t>
      </w:r>
    </w:p>
    <w:p w14:paraId="7B732A4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w:t>
      </w:r>
      <w:r>
        <w:rPr>
          <w:rFonts w:hint="eastAsia" w:ascii="宋体" w:hAnsi="宋体" w:eastAsia="宋体" w:cs="宋体"/>
          <w:b/>
          <w:color w:val="auto"/>
          <w:szCs w:val="21"/>
          <w:highlight w:val="none"/>
          <w:lang w:val="en-US" w:eastAsia="zh-CN"/>
        </w:rPr>
        <w:t>8</w:t>
      </w:r>
      <w:r>
        <w:rPr>
          <w:rFonts w:hint="eastAsia" w:ascii="宋体" w:hAnsi="宋体" w:eastAsia="宋体" w:cs="宋体"/>
          <w:b/>
          <w:color w:val="auto"/>
          <w:szCs w:val="21"/>
          <w:highlight w:val="none"/>
        </w:rPr>
        <w:t>. 定标</w:t>
      </w:r>
    </w:p>
    <w:p w14:paraId="7CBC244B">
      <w:pPr>
        <w:pStyle w:val="1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.1 中标人的确定</w:t>
      </w:r>
    </w:p>
    <w:p w14:paraId="312012EC">
      <w:pPr>
        <w:pStyle w:val="1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.1.1除投标人须知前附表规定评标委员会直接确定中标人外，</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人依据评标委员会推荐的中标候选人确定中标人，评标委员会推荐中标候选人的人数见投标人须知前附表。</w:t>
      </w:r>
    </w:p>
    <w:p w14:paraId="7A869D92">
      <w:pPr>
        <w:pStyle w:val="18"/>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28</w:t>
      </w:r>
      <w:r>
        <w:rPr>
          <w:rFonts w:hint="eastAsia" w:ascii="宋体" w:hAnsi="宋体" w:eastAsia="宋体" w:cs="宋体"/>
          <w:color w:val="auto"/>
          <w:szCs w:val="21"/>
          <w:highlight w:val="none"/>
        </w:rPr>
        <w:t>.1.2中标人确定后，</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应将中标信息在</w:t>
      </w:r>
      <w:r>
        <w:rPr>
          <w:rFonts w:hint="eastAsia" w:ascii="宋体" w:hAnsi="宋体" w:eastAsia="宋体" w:cs="宋体"/>
          <w:color w:val="auto"/>
          <w:szCs w:val="21"/>
          <w:highlight w:val="none"/>
          <w:lang w:val="en-US" w:eastAsia="zh-CN"/>
        </w:rPr>
        <w:t>滁州市城投工程咨询管理有限公司（https://www.czctgczx.com/）、滁州市重点工程建设管理处（http://zdc.chuzhou.gov.cn/）等</w:t>
      </w:r>
      <w:r>
        <w:rPr>
          <w:rFonts w:hint="eastAsia" w:ascii="宋体" w:hAnsi="宋体" w:eastAsia="宋体" w:cs="宋体"/>
          <w:color w:val="auto"/>
          <w:szCs w:val="21"/>
          <w:highlight w:val="none"/>
        </w:rPr>
        <w:t>网站上公告。</w:t>
      </w:r>
    </w:p>
    <w:p w14:paraId="5604CD8A">
      <w:pPr>
        <w:pStyle w:val="1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 中标通知书</w:t>
      </w:r>
    </w:p>
    <w:p w14:paraId="240A53A8">
      <w:pPr>
        <w:pStyle w:val="1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.2.1</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人或</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代理机构应在中标人确定之日起2个工作日内，向中标人发出中标通知书。</w:t>
      </w:r>
    </w:p>
    <w:p w14:paraId="6292799B">
      <w:pPr>
        <w:pStyle w:val="1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.2.2中标通知书须加盖</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代理机构公章后，方可发出。</w:t>
      </w:r>
    </w:p>
    <w:p w14:paraId="13613C4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29</w:t>
      </w:r>
      <w:r>
        <w:rPr>
          <w:rFonts w:hint="eastAsia" w:ascii="宋体" w:hAnsi="宋体" w:eastAsia="宋体" w:cs="宋体"/>
          <w:b/>
          <w:color w:val="auto"/>
          <w:szCs w:val="21"/>
          <w:highlight w:val="none"/>
        </w:rPr>
        <w:t>. 开评标异常情况处理</w:t>
      </w:r>
    </w:p>
    <w:p w14:paraId="5C9BE4A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lang w:val="en-US" w:eastAsia="zh-CN"/>
        </w:rPr>
        <w:t>29</w:t>
      </w:r>
      <w:r>
        <w:rPr>
          <w:rFonts w:hint="eastAsia" w:ascii="宋体" w:hAnsi="宋体" w:eastAsia="宋体" w:cs="宋体"/>
          <w:color w:val="auto"/>
          <w:kern w:val="10"/>
          <w:szCs w:val="21"/>
          <w:highlight w:val="none"/>
        </w:rPr>
        <w:t xml:space="preserve">.1重新招标 </w:t>
      </w:r>
    </w:p>
    <w:p w14:paraId="446F54D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有下列情形之一的，</w:t>
      </w:r>
      <w:r>
        <w:rPr>
          <w:rFonts w:hint="eastAsia" w:ascii="宋体" w:hAnsi="宋体" w:eastAsia="宋体" w:cs="宋体"/>
          <w:color w:val="auto"/>
          <w:kern w:val="10"/>
          <w:szCs w:val="21"/>
          <w:highlight w:val="none"/>
          <w:lang w:eastAsia="zh-CN"/>
        </w:rPr>
        <w:t>招标人</w:t>
      </w:r>
      <w:r>
        <w:rPr>
          <w:rFonts w:hint="eastAsia" w:ascii="宋体" w:hAnsi="宋体" w:eastAsia="宋体" w:cs="宋体"/>
          <w:color w:val="auto"/>
          <w:kern w:val="10"/>
          <w:szCs w:val="21"/>
          <w:highlight w:val="none"/>
        </w:rPr>
        <w:t>将重新招标：</w:t>
      </w:r>
    </w:p>
    <w:p w14:paraId="3E17D152">
      <w:pPr>
        <w:adjustRightInd w:val="0"/>
        <w:snapToGrid w:val="0"/>
        <w:spacing w:line="460" w:lineRule="exact"/>
        <w:ind w:firstLine="420" w:firstLineChars="200"/>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 xml:space="preserve">(1)投标截止时间止，投标人少于三个的； </w:t>
      </w:r>
    </w:p>
    <w:p w14:paraId="556D50B6">
      <w:pPr>
        <w:adjustRightInd w:val="0"/>
        <w:snapToGrid w:val="0"/>
        <w:spacing w:line="460" w:lineRule="exact"/>
        <w:ind w:firstLine="420" w:firstLineChars="200"/>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(2)经评标委员会评审后否决所有投标的；</w:t>
      </w:r>
    </w:p>
    <w:p w14:paraId="750F8A2C">
      <w:pPr>
        <w:adjustRightInd w:val="0"/>
        <w:snapToGrid w:val="0"/>
        <w:spacing w:line="460" w:lineRule="exact"/>
        <w:ind w:firstLine="420" w:firstLineChars="200"/>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(3)出现影响采购公正的违法、违规行为的；</w:t>
      </w:r>
    </w:p>
    <w:p w14:paraId="02A4A144">
      <w:pPr>
        <w:adjustRightInd w:val="0"/>
        <w:snapToGrid w:val="0"/>
        <w:spacing w:line="460" w:lineRule="exact"/>
        <w:ind w:firstLine="420" w:firstLineChars="200"/>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(4)投标人的报价均脱离实际且无充分证据的；</w:t>
      </w:r>
    </w:p>
    <w:p w14:paraId="4C565AB0">
      <w:pPr>
        <w:adjustRightInd w:val="0"/>
        <w:snapToGrid w:val="0"/>
        <w:spacing w:line="460" w:lineRule="exact"/>
        <w:ind w:firstLine="420" w:firstLineChars="200"/>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(5)因重大变故，采购任务取消的。</w:t>
      </w:r>
    </w:p>
    <w:p w14:paraId="44A10C6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lang w:val="en-US" w:eastAsia="zh-CN"/>
        </w:rPr>
        <w:t>29</w:t>
      </w:r>
      <w:r>
        <w:rPr>
          <w:rFonts w:hint="eastAsia" w:ascii="宋体" w:hAnsi="宋体" w:eastAsia="宋体" w:cs="宋体"/>
          <w:color w:val="auto"/>
          <w:kern w:val="10"/>
          <w:szCs w:val="21"/>
          <w:highlight w:val="none"/>
        </w:rPr>
        <w:t>.2变更采购方式</w:t>
      </w:r>
    </w:p>
    <w:p w14:paraId="7295FCC4">
      <w:pPr>
        <w:spacing w:line="440" w:lineRule="exact"/>
        <w:ind w:firstLine="625" w:firstLineChars="298"/>
        <w:jc w:val="left"/>
        <w:rPr>
          <w:rFonts w:hint="eastAsia" w:ascii="宋体" w:hAnsi="Times New Roman" w:eastAsia="宋体" w:cs="Times New Roman"/>
          <w:b w:val="0"/>
          <w:bCs/>
          <w:color w:val="auto"/>
          <w:szCs w:val="21"/>
          <w:highlight w:val="none"/>
          <w:lang w:val="en-US" w:eastAsia="zh-CN"/>
        </w:rPr>
      </w:pPr>
      <w:r>
        <w:rPr>
          <w:rFonts w:hint="eastAsia" w:ascii="宋体" w:hAnsi="Times New Roman" w:eastAsia="宋体" w:cs="Times New Roman"/>
          <w:b w:val="0"/>
          <w:bCs/>
          <w:color w:val="auto"/>
          <w:szCs w:val="21"/>
          <w:highlight w:val="none"/>
          <w:lang w:val="en-US" w:eastAsia="zh-CN"/>
        </w:rPr>
        <w:t xml:space="preserve">/。 </w:t>
      </w:r>
    </w:p>
    <w:p w14:paraId="6CB16242">
      <w:pPr>
        <w:keepNext w:val="0"/>
        <w:keepLines w:val="0"/>
        <w:pageBreakBefore w:val="0"/>
        <w:widowControl w:val="0"/>
        <w:kinsoku/>
        <w:wordWrap/>
        <w:overflowPunct/>
        <w:topLinePunct w:val="0"/>
        <w:autoSpaceDE/>
        <w:autoSpaceDN/>
        <w:bidi w:val="0"/>
        <w:adjustRightInd/>
        <w:snapToGrid/>
        <w:spacing w:before="313" w:beforeLines="100" w:line="500" w:lineRule="exact"/>
        <w:jc w:val="center"/>
        <w:textAlignment w:val="auto"/>
        <w:outlineLvl w:val="1"/>
        <w:rPr>
          <w:rFonts w:hint="eastAsia" w:ascii="宋体" w:hAnsi="宋体" w:eastAsia="宋体" w:cs="宋体"/>
          <w:b/>
          <w:bCs/>
          <w:color w:val="auto"/>
          <w:sz w:val="28"/>
          <w:highlight w:val="none"/>
        </w:rPr>
      </w:pPr>
      <w:bookmarkStart w:id="54" w:name="_Toc21491"/>
      <w:bookmarkStart w:id="55" w:name="_Toc22926"/>
      <w:r>
        <w:rPr>
          <w:rFonts w:hint="eastAsia" w:ascii="宋体" w:hAnsi="宋体" w:eastAsia="宋体" w:cs="宋体"/>
          <w:b/>
          <w:bCs/>
          <w:color w:val="auto"/>
          <w:sz w:val="28"/>
          <w:highlight w:val="none"/>
        </w:rPr>
        <w:t>六、合同的授予</w:t>
      </w:r>
      <w:bookmarkEnd w:id="54"/>
      <w:bookmarkEnd w:id="55"/>
    </w:p>
    <w:p w14:paraId="2EDC141E">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.合同授予标准</w:t>
      </w:r>
    </w:p>
    <w:p w14:paraId="282F2584">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b/>
          <w:bCs/>
          <w:color w:val="auto"/>
          <w:sz w:val="21"/>
          <w:szCs w:val="21"/>
          <w:highlight w:val="none"/>
        </w:rPr>
      </w:pP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.1本招标工程的合同授予按本须知第</w:t>
      </w:r>
      <w:r>
        <w:rPr>
          <w:rFonts w:hint="eastAsia" w:ascii="宋体" w:hAnsi="宋体" w:eastAsia="宋体" w:cs="宋体"/>
          <w:color w:val="auto"/>
          <w:sz w:val="21"/>
          <w:szCs w:val="21"/>
          <w:highlight w:val="none"/>
          <w:lang w:val="en-US" w:eastAsia="zh-CN"/>
        </w:rPr>
        <w:t>28</w:t>
      </w:r>
      <w:r>
        <w:rPr>
          <w:rFonts w:hint="eastAsia" w:ascii="宋体" w:hAnsi="宋体" w:eastAsia="宋体" w:cs="宋体"/>
          <w:color w:val="auto"/>
          <w:sz w:val="21"/>
          <w:szCs w:val="21"/>
          <w:highlight w:val="none"/>
        </w:rPr>
        <w:t>条规定所确定的中标人。</w:t>
      </w:r>
    </w:p>
    <w:p w14:paraId="3811C16F">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rPr>
        <w:t>.合同协议书的签订</w:t>
      </w:r>
    </w:p>
    <w:p w14:paraId="65ADE3E6">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rPr>
        <w:t>.1中标通知书发放后3</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日内，按照招标文件和中标人的投标文件订立书面合同。招标人和中标人不得再行订立背离合同实质性内容的其他协议。</w:t>
      </w:r>
    </w:p>
    <w:p w14:paraId="433C1E40">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中标人如不按本</w:t>
      </w:r>
      <w:r>
        <w:rPr>
          <w:rFonts w:hint="eastAsia" w:ascii="宋体" w:hAnsi="宋体" w:cs="宋体"/>
          <w:color w:val="auto"/>
          <w:sz w:val="21"/>
          <w:szCs w:val="21"/>
          <w:highlight w:val="none"/>
          <w:lang w:eastAsia="zh-CN"/>
        </w:rPr>
        <w:t>投标人须知</w:t>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28</w:t>
      </w:r>
      <w:r>
        <w:rPr>
          <w:rFonts w:hint="eastAsia" w:ascii="宋体" w:hAnsi="宋体" w:eastAsia="宋体" w:cs="宋体"/>
          <w:color w:val="auto"/>
          <w:sz w:val="21"/>
          <w:szCs w:val="21"/>
          <w:highlight w:val="none"/>
        </w:rPr>
        <w:t>条的规定与招标人订立合同，则招标人将取消其中标资格，给招标人造成的损失超过投标担保数额的，还应当对超过部分予以赔偿，同时依法承担相应法律责任。</w:t>
      </w:r>
    </w:p>
    <w:p w14:paraId="6CA53D95">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highlight w:val="none"/>
          <w:lang w:val="en-US" w:eastAsia="zh-CN"/>
        </w:rPr>
      </w:pP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中标人应当按照合同约定履行义务，完成中标项目的实施，不得将中标项目转让（转包）给他人。</w:t>
      </w:r>
      <w:r>
        <w:rPr>
          <w:rFonts w:hint="eastAsia" w:ascii="宋体" w:hAnsi="宋体" w:eastAsia="宋体" w:cs="宋体"/>
          <w:color w:val="auto"/>
          <w:highlight w:val="none"/>
          <w:lang w:val="en-US" w:eastAsia="zh-CN"/>
        </w:rPr>
        <w:t xml:space="preserve"> </w:t>
      </w:r>
      <w:bookmarkStart w:id="56" w:name="_Toc3222"/>
      <w:bookmarkStart w:id="57" w:name="_Toc31589_WPSOffice_Level1"/>
      <w:r>
        <w:rPr>
          <w:rFonts w:hint="eastAsia" w:ascii="宋体" w:hAnsi="宋体" w:eastAsia="宋体" w:cs="宋体"/>
          <w:color w:val="auto"/>
          <w:highlight w:val="none"/>
          <w:lang w:val="en-US" w:eastAsia="zh-CN"/>
        </w:rPr>
        <w:t xml:space="preserve"> </w:t>
      </w:r>
    </w:p>
    <w:p w14:paraId="1A0FFB64">
      <w:pPr>
        <w:keepNext w:val="0"/>
        <w:keepLines w:val="0"/>
        <w:pageBreakBefore w:val="0"/>
        <w:widowControl w:val="0"/>
        <w:kinsoku/>
        <w:wordWrap/>
        <w:overflowPunct/>
        <w:topLinePunct w:val="0"/>
        <w:autoSpaceDE/>
        <w:autoSpaceDN/>
        <w:bidi w:val="0"/>
        <w:adjustRightInd/>
        <w:snapToGrid/>
        <w:spacing w:before="313" w:beforeLines="100" w:line="500" w:lineRule="exact"/>
        <w:jc w:val="center"/>
        <w:textAlignment w:val="auto"/>
        <w:outlineLvl w:val="1"/>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七</w:t>
      </w:r>
      <w:r>
        <w:rPr>
          <w:rFonts w:hint="eastAsia" w:ascii="宋体" w:hAnsi="宋体" w:eastAsia="宋体" w:cs="宋体"/>
          <w:b/>
          <w:bCs/>
          <w:color w:val="auto"/>
          <w:sz w:val="28"/>
          <w:highlight w:val="none"/>
          <w:lang w:eastAsia="zh-CN"/>
        </w:rPr>
        <w:t>、</w:t>
      </w:r>
      <w:r>
        <w:rPr>
          <w:rFonts w:hint="eastAsia" w:ascii="宋体" w:hAnsi="宋体" w:eastAsia="宋体" w:cs="宋体"/>
          <w:b/>
          <w:bCs/>
          <w:color w:val="auto"/>
          <w:sz w:val="28"/>
          <w:highlight w:val="none"/>
        </w:rPr>
        <w:t>纪律和监督</w:t>
      </w:r>
    </w:p>
    <w:p w14:paraId="4D39E8B8">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32</w:t>
      </w:r>
      <w:r>
        <w:rPr>
          <w:rFonts w:hint="eastAsia" w:ascii="宋体" w:hAnsi="宋体" w:eastAsia="宋体" w:cs="宋体"/>
          <w:b/>
          <w:color w:val="auto"/>
          <w:sz w:val="21"/>
          <w:szCs w:val="21"/>
          <w:highlight w:val="none"/>
        </w:rPr>
        <w:t>. 对</w:t>
      </w:r>
      <w:r>
        <w:rPr>
          <w:rFonts w:hint="eastAsia" w:ascii="宋体" w:hAnsi="宋体" w:eastAsia="宋体" w:cs="宋体"/>
          <w:b/>
          <w:color w:val="auto"/>
          <w:sz w:val="21"/>
          <w:szCs w:val="21"/>
          <w:highlight w:val="none"/>
          <w:lang w:val="en-US" w:eastAsia="zh-CN"/>
        </w:rPr>
        <w:t>招标</w:t>
      </w:r>
      <w:r>
        <w:rPr>
          <w:rFonts w:hint="eastAsia" w:ascii="宋体" w:hAnsi="宋体" w:eastAsia="宋体" w:cs="宋体"/>
          <w:b/>
          <w:color w:val="auto"/>
          <w:sz w:val="21"/>
          <w:szCs w:val="21"/>
          <w:highlight w:val="none"/>
        </w:rPr>
        <w:t xml:space="preserve">人的纪律要求 </w:t>
      </w:r>
    </w:p>
    <w:p w14:paraId="4F26488C">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kern w:val="10"/>
          <w:sz w:val="21"/>
          <w:szCs w:val="21"/>
          <w:highlight w:val="none"/>
        </w:rPr>
      </w:pPr>
      <w:r>
        <w:rPr>
          <w:rFonts w:hint="eastAsia" w:ascii="宋体" w:hAnsi="宋体" w:eastAsia="宋体" w:cs="宋体"/>
          <w:color w:val="auto"/>
          <w:kern w:val="10"/>
          <w:sz w:val="21"/>
          <w:szCs w:val="21"/>
          <w:highlight w:val="none"/>
        </w:rPr>
        <w:t>3</w:t>
      </w:r>
      <w:r>
        <w:rPr>
          <w:rFonts w:hint="eastAsia" w:ascii="宋体" w:hAnsi="宋体" w:eastAsia="宋体" w:cs="宋体"/>
          <w:color w:val="auto"/>
          <w:kern w:val="10"/>
          <w:sz w:val="21"/>
          <w:szCs w:val="21"/>
          <w:highlight w:val="none"/>
          <w:lang w:val="en-US" w:eastAsia="zh-CN"/>
        </w:rPr>
        <w:t>2</w:t>
      </w:r>
      <w:r>
        <w:rPr>
          <w:rFonts w:hint="eastAsia" w:ascii="宋体" w:hAnsi="宋体" w:eastAsia="宋体" w:cs="宋体"/>
          <w:color w:val="auto"/>
          <w:kern w:val="10"/>
          <w:sz w:val="21"/>
          <w:szCs w:val="21"/>
          <w:highlight w:val="none"/>
        </w:rPr>
        <w:t>.1</w:t>
      </w:r>
      <w:r>
        <w:rPr>
          <w:rFonts w:hint="eastAsia" w:ascii="宋体" w:hAnsi="宋体" w:eastAsia="宋体" w:cs="宋体"/>
          <w:color w:val="auto"/>
          <w:kern w:val="10"/>
          <w:sz w:val="21"/>
          <w:szCs w:val="21"/>
          <w:highlight w:val="none"/>
          <w:lang w:val="en-US" w:eastAsia="zh-CN"/>
        </w:rPr>
        <w:t>招标</w:t>
      </w:r>
      <w:r>
        <w:rPr>
          <w:rFonts w:hint="eastAsia" w:ascii="宋体" w:hAnsi="宋体" w:eastAsia="宋体" w:cs="宋体"/>
          <w:color w:val="auto"/>
          <w:kern w:val="10"/>
          <w:sz w:val="21"/>
          <w:szCs w:val="21"/>
          <w:highlight w:val="none"/>
        </w:rPr>
        <w:t xml:space="preserve">人不得泄漏招标投标活动中应当保密的情况和资料，不得与投标人串通损害国家利益，社会公共利益或者他人合法权益。 </w:t>
      </w:r>
    </w:p>
    <w:p w14:paraId="5551F485">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 xml:space="preserve">. 对投标人的纪律要求 </w:t>
      </w:r>
    </w:p>
    <w:p w14:paraId="7504D9C8">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kern w:val="10"/>
          <w:sz w:val="21"/>
          <w:szCs w:val="21"/>
          <w:highlight w:val="none"/>
        </w:rPr>
      </w:pPr>
      <w:r>
        <w:rPr>
          <w:rFonts w:hint="eastAsia" w:ascii="宋体" w:hAnsi="宋体" w:eastAsia="宋体" w:cs="宋体"/>
          <w:color w:val="auto"/>
          <w:kern w:val="10"/>
          <w:sz w:val="21"/>
          <w:szCs w:val="21"/>
          <w:highlight w:val="none"/>
        </w:rPr>
        <w:t>3</w:t>
      </w:r>
      <w:r>
        <w:rPr>
          <w:rFonts w:hint="eastAsia" w:ascii="宋体" w:hAnsi="宋体" w:eastAsia="宋体" w:cs="宋体"/>
          <w:color w:val="auto"/>
          <w:kern w:val="10"/>
          <w:sz w:val="21"/>
          <w:szCs w:val="21"/>
          <w:highlight w:val="none"/>
          <w:lang w:val="en-US" w:eastAsia="zh-CN"/>
        </w:rPr>
        <w:t>3</w:t>
      </w:r>
      <w:r>
        <w:rPr>
          <w:rFonts w:hint="eastAsia" w:ascii="宋体" w:hAnsi="宋体" w:eastAsia="宋体" w:cs="宋体"/>
          <w:color w:val="auto"/>
          <w:kern w:val="10"/>
          <w:sz w:val="21"/>
          <w:szCs w:val="21"/>
          <w:highlight w:val="none"/>
        </w:rPr>
        <w:t>.1投标人不得相互串通投标或者与</w:t>
      </w:r>
      <w:r>
        <w:rPr>
          <w:rFonts w:hint="eastAsia" w:ascii="宋体" w:hAnsi="宋体" w:eastAsia="宋体" w:cs="宋体"/>
          <w:color w:val="auto"/>
          <w:kern w:val="10"/>
          <w:sz w:val="21"/>
          <w:szCs w:val="21"/>
          <w:highlight w:val="none"/>
          <w:lang w:val="en-US" w:eastAsia="zh-CN"/>
        </w:rPr>
        <w:t>招标</w:t>
      </w:r>
      <w:r>
        <w:rPr>
          <w:rFonts w:hint="eastAsia" w:ascii="宋体" w:hAnsi="宋体" w:eastAsia="宋体" w:cs="宋体"/>
          <w:color w:val="auto"/>
          <w:kern w:val="10"/>
          <w:sz w:val="21"/>
          <w:szCs w:val="21"/>
          <w:highlight w:val="none"/>
        </w:rPr>
        <w:t>人串通投标，不得向</w:t>
      </w:r>
      <w:r>
        <w:rPr>
          <w:rFonts w:hint="eastAsia" w:ascii="宋体" w:hAnsi="宋体" w:eastAsia="宋体" w:cs="宋体"/>
          <w:color w:val="auto"/>
          <w:kern w:val="10"/>
          <w:sz w:val="21"/>
          <w:szCs w:val="21"/>
          <w:highlight w:val="none"/>
          <w:lang w:val="en-US" w:eastAsia="zh-CN"/>
        </w:rPr>
        <w:t>招标</w:t>
      </w:r>
      <w:r>
        <w:rPr>
          <w:rFonts w:hint="eastAsia" w:ascii="宋体" w:hAnsi="宋体" w:eastAsia="宋体" w:cs="宋体"/>
          <w:color w:val="auto"/>
          <w:kern w:val="10"/>
          <w:sz w:val="21"/>
          <w:szCs w:val="21"/>
          <w:highlight w:val="none"/>
        </w:rPr>
        <w:t>人或者评标委员会成员行贿谋取中标，不得以他人名义投标或者以其他方式弄虚作假骗取中标；投标人不得以任何方式干扰、影响评标工作。</w:t>
      </w:r>
    </w:p>
    <w:p w14:paraId="7BDEB768">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 xml:space="preserve">. 对评标委员会成员的纪律要求 </w:t>
      </w:r>
    </w:p>
    <w:p w14:paraId="6CB3C107">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kern w:val="10"/>
          <w:sz w:val="21"/>
          <w:szCs w:val="21"/>
          <w:highlight w:val="none"/>
        </w:rPr>
      </w:pPr>
      <w:r>
        <w:rPr>
          <w:rFonts w:hint="eastAsia" w:ascii="宋体" w:hAnsi="宋体" w:eastAsia="宋体" w:cs="宋体"/>
          <w:color w:val="auto"/>
          <w:kern w:val="10"/>
          <w:sz w:val="21"/>
          <w:szCs w:val="21"/>
          <w:highlight w:val="none"/>
        </w:rPr>
        <w:t>3</w:t>
      </w:r>
      <w:r>
        <w:rPr>
          <w:rFonts w:hint="eastAsia" w:ascii="宋体" w:hAnsi="宋体" w:eastAsia="宋体" w:cs="宋体"/>
          <w:color w:val="auto"/>
          <w:kern w:val="10"/>
          <w:sz w:val="21"/>
          <w:szCs w:val="21"/>
          <w:highlight w:val="none"/>
          <w:lang w:val="en-US" w:eastAsia="zh-CN"/>
        </w:rPr>
        <w:t>4</w:t>
      </w:r>
      <w:r>
        <w:rPr>
          <w:rFonts w:hint="eastAsia" w:ascii="宋体" w:hAnsi="宋体" w:eastAsia="宋体" w:cs="宋体"/>
          <w:color w:val="auto"/>
          <w:kern w:val="10"/>
          <w:sz w:val="21"/>
          <w:szCs w:val="21"/>
          <w:highlight w:val="none"/>
        </w:rPr>
        <w:t>.1评标委员会成员不得收受他人的财物或者其他好处，不得向他人透漏对投标文件的评审和比较、中标候选人的推荐情况以及评标有关的其他情况。</w:t>
      </w:r>
    </w:p>
    <w:p w14:paraId="03E470D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kern w:val="10"/>
          <w:sz w:val="21"/>
          <w:szCs w:val="21"/>
          <w:highlight w:val="none"/>
        </w:rPr>
      </w:pPr>
      <w:r>
        <w:rPr>
          <w:rFonts w:hint="eastAsia" w:ascii="宋体" w:hAnsi="宋体" w:eastAsia="宋体" w:cs="宋体"/>
          <w:color w:val="auto"/>
          <w:kern w:val="10"/>
          <w:sz w:val="21"/>
          <w:szCs w:val="21"/>
          <w:highlight w:val="none"/>
        </w:rPr>
        <w:t>3</w:t>
      </w:r>
      <w:r>
        <w:rPr>
          <w:rFonts w:hint="eastAsia" w:ascii="宋体" w:hAnsi="宋体" w:eastAsia="宋体" w:cs="宋体"/>
          <w:color w:val="auto"/>
          <w:kern w:val="10"/>
          <w:sz w:val="21"/>
          <w:szCs w:val="21"/>
          <w:highlight w:val="none"/>
          <w:lang w:val="en-US" w:eastAsia="zh-CN"/>
        </w:rPr>
        <w:t>4</w:t>
      </w:r>
      <w:r>
        <w:rPr>
          <w:rFonts w:hint="eastAsia" w:ascii="宋体" w:hAnsi="宋体" w:eastAsia="宋体" w:cs="宋体"/>
          <w:color w:val="auto"/>
          <w:kern w:val="10"/>
          <w:sz w:val="21"/>
          <w:szCs w:val="21"/>
          <w:highlight w:val="none"/>
        </w:rPr>
        <w:t>.2在评标活动中，评标委员会成员不得擅离职守，影响评标程序正常进行，不得使用第</w:t>
      </w:r>
      <w:r>
        <w:rPr>
          <w:rFonts w:hint="eastAsia" w:ascii="宋体" w:hAnsi="宋体" w:cs="宋体"/>
          <w:color w:val="auto"/>
          <w:kern w:val="10"/>
          <w:sz w:val="21"/>
          <w:szCs w:val="21"/>
          <w:highlight w:val="none"/>
          <w:lang w:eastAsia="zh-CN"/>
        </w:rPr>
        <w:t>二</w:t>
      </w:r>
      <w:r>
        <w:rPr>
          <w:rFonts w:hint="eastAsia" w:ascii="宋体" w:hAnsi="宋体" w:eastAsia="宋体" w:cs="宋体"/>
          <w:color w:val="auto"/>
          <w:kern w:val="10"/>
          <w:sz w:val="21"/>
          <w:szCs w:val="21"/>
          <w:highlight w:val="none"/>
        </w:rPr>
        <w:t xml:space="preserve">章“评标办法”没有规定的评审因素和标准进行评标。 </w:t>
      </w:r>
    </w:p>
    <w:p w14:paraId="72153F7E">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35</w:t>
      </w:r>
      <w:r>
        <w:rPr>
          <w:rFonts w:hint="eastAsia" w:ascii="宋体" w:hAnsi="宋体" w:eastAsia="宋体" w:cs="宋体"/>
          <w:b/>
          <w:color w:val="auto"/>
          <w:sz w:val="21"/>
          <w:szCs w:val="21"/>
          <w:highlight w:val="none"/>
        </w:rPr>
        <w:t xml:space="preserve">. 对与评标活动有关的工作人员的纪律要求 </w:t>
      </w:r>
    </w:p>
    <w:p w14:paraId="27E68A89">
      <w:pPr>
        <w:adjustRightInd w:val="0"/>
        <w:snapToGrid w:val="0"/>
        <w:spacing w:line="440" w:lineRule="exact"/>
        <w:rPr>
          <w:rFonts w:hint="eastAsia" w:ascii="宋体"/>
          <w:color w:val="auto"/>
          <w:kern w:val="10"/>
          <w:szCs w:val="21"/>
          <w:highlight w:val="none"/>
        </w:rPr>
      </w:pPr>
      <w:r>
        <w:rPr>
          <w:rFonts w:hint="eastAsia" w:ascii="宋体" w:hAnsi="宋体" w:eastAsia="宋体" w:cs="宋体"/>
          <w:color w:val="auto"/>
          <w:kern w:val="10"/>
          <w:sz w:val="21"/>
          <w:szCs w:val="21"/>
          <w:highlight w:val="none"/>
          <w:lang w:val="en-US" w:eastAsia="zh-CN"/>
        </w:rPr>
        <w:t>35.1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r>
        <w:rPr>
          <w:rFonts w:hint="eastAsia" w:ascii="宋体"/>
          <w:color w:val="auto"/>
          <w:kern w:val="10"/>
          <w:szCs w:val="21"/>
          <w:highlight w:val="none"/>
        </w:rPr>
        <w:t>。</w:t>
      </w:r>
    </w:p>
    <w:p w14:paraId="5F5F9D3C">
      <w:pPr>
        <w:keepNext w:val="0"/>
        <w:keepLines w:val="0"/>
        <w:pageBreakBefore w:val="0"/>
        <w:widowControl w:val="0"/>
        <w:kinsoku/>
        <w:wordWrap/>
        <w:overflowPunct/>
        <w:topLinePunct w:val="0"/>
        <w:autoSpaceDE/>
        <w:autoSpaceDN/>
        <w:bidi w:val="0"/>
        <w:adjustRightInd/>
        <w:snapToGrid/>
        <w:spacing w:before="313" w:beforeLines="100" w:line="500" w:lineRule="exact"/>
        <w:jc w:val="center"/>
        <w:textAlignment w:val="auto"/>
        <w:outlineLvl w:val="1"/>
        <w:rPr>
          <w:rFonts w:hint="eastAsia" w:ascii="宋体" w:hAnsi="宋体" w:eastAsia="宋体" w:cs="宋体"/>
          <w:b/>
          <w:bCs/>
          <w:color w:val="auto"/>
          <w:sz w:val="28"/>
          <w:highlight w:val="none"/>
        </w:rPr>
      </w:pPr>
      <w:bookmarkStart w:id="58" w:name="_Toc449028875"/>
      <w:r>
        <w:rPr>
          <w:rFonts w:hint="eastAsia" w:ascii="宋体" w:hAnsi="宋体" w:eastAsia="宋体" w:cs="宋体"/>
          <w:b/>
          <w:bCs/>
          <w:color w:val="auto"/>
          <w:sz w:val="28"/>
          <w:highlight w:val="none"/>
          <w:lang w:val="en-US" w:eastAsia="zh-CN"/>
        </w:rPr>
        <w:t>八、</w:t>
      </w:r>
      <w:r>
        <w:rPr>
          <w:rFonts w:hint="eastAsia" w:ascii="宋体" w:hAnsi="宋体" w:eastAsia="宋体" w:cs="宋体"/>
          <w:b/>
          <w:bCs/>
          <w:color w:val="auto"/>
          <w:sz w:val="28"/>
          <w:highlight w:val="none"/>
        </w:rPr>
        <w:t>质疑</w:t>
      </w:r>
      <w:bookmarkEnd w:id="58"/>
    </w:p>
    <w:p w14:paraId="1CD4C1C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36</w:t>
      </w:r>
      <w:r>
        <w:rPr>
          <w:rFonts w:hint="eastAsia" w:ascii="宋体" w:hAnsi="宋体" w:eastAsia="宋体" w:cs="宋体"/>
          <w:b/>
          <w:color w:val="auto"/>
          <w:sz w:val="21"/>
          <w:szCs w:val="21"/>
          <w:highlight w:val="none"/>
        </w:rPr>
        <w:t>. 询问、质疑</w:t>
      </w:r>
    </w:p>
    <w:p w14:paraId="2E4B5FF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36.1 投标人对招标活动事项有疑问的，可以向招标人提出询问，招标人将在三日内作出答复，但答复的内容不涉及商业秘密。</w:t>
      </w:r>
    </w:p>
    <w:p w14:paraId="0294DB2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36.2 </w:t>
      </w:r>
      <w:r>
        <w:rPr>
          <w:rFonts w:hint="eastAsia" w:ascii="宋体" w:hAnsi="宋体" w:eastAsia="宋体" w:cs="宋体"/>
          <w:color w:val="auto"/>
          <w:sz w:val="21"/>
          <w:szCs w:val="21"/>
          <w:highlight w:val="none"/>
        </w:rPr>
        <w:t>投标人和其他利害关系人认为本次招标活动违反法律、法规和规章规定的，有权向有关行政监督部门投诉。投诉应当有明确的请求和必要的证明材料。</w:t>
      </w:r>
    </w:p>
    <w:p w14:paraId="4AC960A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36.3</w:t>
      </w:r>
      <w:r>
        <w:rPr>
          <w:rFonts w:hint="eastAsia" w:ascii="宋体" w:hAnsi="宋体" w:eastAsia="宋体" w:cs="宋体"/>
          <w:color w:val="auto"/>
          <w:sz w:val="21"/>
          <w:szCs w:val="21"/>
          <w:highlight w:val="none"/>
        </w:rPr>
        <w:t>投标人或其他利害关系人对评标结果有异议的，应在公示期间提出。招标人将在收到异议之日起3日内作出答复；作出答复前，将暂停招标投标活动。</w:t>
      </w:r>
      <w:r>
        <w:rPr>
          <w:rFonts w:hint="eastAsia" w:ascii="宋体" w:hAnsi="宋体" w:eastAsia="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rPr>
        <w:t>一份质疑（异议）函只能针对一个项目提出质疑（异议），且针对同一招标采购程序环节的质疑（异议）应当一次性提出</w:t>
      </w:r>
      <w:r>
        <w:rPr>
          <w:rFonts w:hint="eastAsia" w:ascii="宋体" w:hAnsi="宋体" w:eastAsia="宋体" w:cs="宋体"/>
          <w:b/>
          <w:bCs/>
          <w:color w:val="auto"/>
          <w:sz w:val="21"/>
          <w:szCs w:val="21"/>
          <w:highlight w:val="none"/>
          <w:lang w:eastAsia="zh-CN"/>
        </w:rPr>
        <w:t>。</w:t>
      </w:r>
    </w:p>
    <w:p w14:paraId="358F522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36.4参与投标的投标人对中标公告提出的质疑，负有举证的责任。投标人提出质疑应当提交质疑函和必要的证明材料。质疑函应当包括下列内容：</w:t>
      </w:r>
    </w:p>
    <w:p w14:paraId="1CBAEEF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（一）投标人的姓名或者名称、地址、邮编、联系人及联系电话；</w:t>
      </w:r>
    </w:p>
    <w:p w14:paraId="7763497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（二）质疑项目的名称、编号；</w:t>
      </w:r>
    </w:p>
    <w:p w14:paraId="2B5293B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（三）具体、明确的质疑事项和与质疑事项相关的请求；</w:t>
      </w:r>
    </w:p>
    <w:p w14:paraId="0CC942E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（四）事实依据；</w:t>
      </w:r>
    </w:p>
    <w:p w14:paraId="0F584D0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（五）必要的法律依据；</w:t>
      </w:r>
    </w:p>
    <w:p w14:paraId="615070B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（六）提出质疑的日期。</w:t>
      </w:r>
    </w:p>
    <w:p w14:paraId="07F11C0E">
      <w:pPr>
        <w:keepNext w:val="0"/>
        <w:keepLines w:val="0"/>
        <w:pageBreakBefore w:val="0"/>
        <w:widowControl w:val="0"/>
        <w:kinsoku/>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投标人为自然人的，应当由本人签字；投标人为法人或者其他组织的，应当由法定代表人、主要负责人，或者其授权代表签字或者盖章，并加盖公章。</w:t>
      </w:r>
    </w:p>
    <w:p w14:paraId="26A452B3">
      <w:pPr>
        <w:keepNext w:val="0"/>
        <w:keepLines w:val="0"/>
        <w:pageBreakBefore w:val="0"/>
        <w:widowControl w:val="0"/>
        <w:kinsoku/>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36.5</w:t>
      </w:r>
      <w:r>
        <w:rPr>
          <w:rFonts w:hint="eastAsia" w:ascii="宋体" w:hAnsi="宋体" w:eastAsia="宋体" w:cs="宋体"/>
          <w:color w:val="auto"/>
          <w:kern w:val="10"/>
          <w:sz w:val="21"/>
          <w:szCs w:val="21"/>
          <w:highlight w:val="none"/>
          <w:lang w:eastAsia="zh-CN"/>
        </w:rPr>
        <w:t>招标人</w:t>
      </w:r>
      <w:r>
        <w:rPr>
          <w:rFonts w:hint="eastAsia" w:ascii="宋体" w:hAnsi="宋体" w:eastAsia="宋体" w:cs="宋体"/>
          <w:color w:val="auto"/>
          <w:kern w:val="10"/>
          <w:sz w:val="21"/>
          <w:szCs w:val="21"/>
          <w:highlight w:val="none"/>
        </w:rPr>
        <w:t>或</w:t>
      </w:r>
      <w:r>
        <w:rPr>
          <w:rFonts w:hint="eastAsia" w:ascii="宋体" w:hAnsi="宋体" w:eastAsia="宋体" w:cs="宋体"/>
          <w:color w:val="auto"/>
          <w:kern w:val="10"/>
          <w:sz w:val="21"/>
          <w:szCs w:val="21"/>
          <w:highlight w:val="none"/>
          <w:lang w:eastAsia="zh-CN"/>
        </w:rPr>
        <w:t>招标代理机构</w:t>
      </w:r>
      <w:r>
        <w:rPr>
          <w:rFonts w:hint="eastAsia" w:ascii="宋体" w:hAnsi="宋体" w:eastAsia="宋体" w:cs="宋体"/>
          <w:color w:val="auto"/>
          <w:kern w:val="10"/>
          <w:sz w:val="21"/>
          <w:szCs w:val="21"/>
          <w:highlight w:val="none"/>
        </w:rPr>
        <w:t>在收到投标人的质疑函后，将审查质疑函的格式、内容以及所附的证明文件是否符合要求。如不符合，说明原因退回投标人；如符合要求，则接受该质疑函并向投标人出具受理证明</w:t>
      </w:r>
      <w:r>
        <w:rPr>
          <w:rFonts w:hint="eastAsia" w:ascii="宋体" w:hAnsi="宋体" w:eastAsia="宋体" w:cs="宋体"/>
          <w:color w:val="auto"/>
          <w:sz w:val="21"/>
          <w:szCs w:val="21"/>
          <w:highlight w:val="none"/>
          <w:lang w:val="en-US" w:eastAsia="zh-CN"/>
        </w:rPr>
        <w:t>。</w:t>
      </w:r>
    </w:p>
    <w:p w14:paraId="65F1D038">
      <w:pPr>
        <w:keepNext w:val="0"/>
        <w:keepLines w:val="0"/>
        <w:pageBreakBefore w:val="0"/>
        <w:widowControl w:val="0"/>
        <w:kinsoku/>
        <w:overflowPunct/>
        <w:topLinePunct w:val="0"/>
        <w:autoSpaceDE/>
        <w:autoSpaceDN/>
        <w:bidi w:val="0"/>
        <w:adjustRightInd/>
        <w:snapToGrid/>
        <w:spacing w:line="440" w:lineRule="exact"/>
        <w:jc w:val="left"/>
        <w:textAlignment w:val="auto"/>
        <w:rPr>
          <w:rFonts w:hint="eastAsia" w:ascii="宋体" w:hAnsi="宋体" w:eastAsia="宋体" w:cs="宋体"/>
          <w:color w:val="auto"/>
          <w:kern w:val="10"/>
          <w:sz w:val="21"/>
          <w:szCs w:val="21"/>
          <w:highlight w:val="none"/>
        </w:rPr>
      </w:pPr>
      <w:r>
        <w:rPr>
          <w:rFonts w:hint="eastAsia" w:ascii="宋体" w:hAnsi="宋体" w:eastAsia="宋体" w:cs="宋体"/>
          <w:color w:val="auto"/>
          <w:sz w:val="21"/>
          <w:szCs w:val="21"/>
          <w:highlight w:val="none"/>
          <w:lang w:val="en-US" w:eastAsia="zh-CN"/>
        </w:rPr>
        <w:t>36.6处理质疑的时间，从实际接受投标人质疑函的时间开始计算</w:t>
      </w:r>
      <w:r>
        <w:rPr>
          <w:rFonts w:hint="eastAsia" w:ascii="宋体" w:hAnsi="宋体" w:eastAsia="宋体" w:cs="宋体"/>
          <w:color w:val="auto"/>
          <w:kern w:val="10"/>
          <w:sz w:val="21"/>
          <w:szCs w:val="21"/>
          <w:highlight w:val="none"/>
        </w:rPr>
        <w:t>。</w:t>
      </w:r>
    </w:p>
    <w:p w14:paraId="2DFD0EC6">
      <w:pPr>
        <w:pStyle w:val="6"/>
        <w:spacing w:before="0" w:after="0"/>
        <w:rPr>
          <w:rFonts w:hint="eastAsia" w:ascii="宋体" w:hAnsi="宋体" w:eastAsia="宋体" w:cs="宋体"/>
          <w:color w:val="auto"/>
          <w:highlight w:val="none"/>
          <w:lang w:val="en-US" w:eastAsia="zh-CN"/>
        </w:rPr>
      </w:pPr>
    </w:p>
    <w:p w14:paraId="32EDDA19">
      <w:pPr>
        <w:pStyle w:val="6"/>
        <w:keepNext/>
        <w:keepLines/>
        <w:pageBreakBefore/>
        <w:widowControl w:val="0"/>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lang w:val="en-US" w:eastAsia="zh-CN"/>
        </w:rPr>
      </w:pPr>
      <w:bookmarkStart w:id="59" w:name="_Toc21844"/>
      <w:bookmarkStart w:id="60" w:name="_Toc13234"/>
      <w:r>
        <w:rPr>
          <w:rFonts w:hint="eastAsia" w:ascii="宋体" w:hAnsi="宋体" w:eastAsia="宋体" w:cs="宋体"/>
          <w:color w:val="auto"/>
          <w:highlight w:val="none"/>
          <w:lang w:val="en-US" w:eastAsia="zh-CN"/>
        </w:rPr>
        <w:t>第二章 评标办法</w:t>
      </w:r>
      <w:bookmarkEnd w:id="59"/>
      <w:bookmarkEnd w:id="60"/>
    </w:p>
    <w:p w14:paraId="4E420EF5">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1"/>
        <w:rPr>
          <w:rFonts w:hint="eastAsia" w:ascii="宋体" w:hAnsi="宋体" w:eastAsia="宋体" w:cs="宋体"/>
          <w:b/>
          <w:bCs/>
          <w:color w:val="auto"/>
          <w:sz w:val="24"/>
          <w:szCs w:val="24"/>
          <w:highlight w:val="none"/>
          <w:lang w:val="en-US" w:eastAsia="zh-CN"/>
        </w:rPr>
      </w:pPr>
      <w:bookmarkStart w:id="61" w:name="_Toc14912"/>
      <w:r>
        <w:rPr>
          <w:rFonts w:hint="eastAsia" w:ascii="宋体" w:hAnsi="宋体" w:eastAsia="宋体" w:cs="宋体"/>
          <w:b/>
          <w:bCs/>
          <w:color w:val="auto"/>
          <w:sz w:val="24"/>
          <w:szCs w:val="24"/>
          <w:highlight w:val="none"/>
          <w:lang w:val="en-US" w:eastAsia="zh-CN"/>
        </w:rPr>
        <w:t>一、总则</w:t>
      </w:r>
      <w:bookmarkEnd w:id="61"/>
    </w:p>
    <w:p w14:paraId="068C5033">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 本次评标采用综合评估法</w:t>
      </w:r>
    </w:p>
    <w:p w14:paraId="64AB08B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1.1综合评</w:t>
      </w:r>
      <w:r>
        <w:rPr>
          <w:rFonts w:hint="eastAsia" w:ascii="宋体" w:hAnsi="宋体" w:cs="宋体"/>
          <w:color w:val="auto"/>
          <w:sz w:val="21"/>
          <w:szCs w:val="21"/>
          <w:highlight w:val="none"/>
          <w:lang w:val="en-US" w:eastAsia="zh-CN"/>
        </w:rPr>
        <w:t>估</w:t>
      </w:r>
      <w:r>
        <w:rPr>
          <w:rFonts w:hint="eastAsia" w:ascii="宋体" w:hAnsi="宋体" w:eastAsia="宋体" w:cs="宋体"/>
          <w:color w:val="auto"/>
          <w:sz w:val="21"/>
          <w:szCs w:val="21"/>
          <w:highlight w:val="none"/>
          <w:lang w:val="en-US" w:eastAsia="zh-CN"/>
        </w:rPr>
        <w:t>法，评标委员会按照本章规定的评分标准进行打分，</w:t>
      </w:r>
      <w:r>
        <w:rPr>
          <w:rFonts w:hint="eastAsia" w:ascii="宋体" w:hAnsi="宋体" w:cs="宋体"/>
          <w:b/>
          <w:bCs/>
          <w:color w:val="auto"/>
          <w:szCs w:val="21"/>
          <w:highlight w:val="none"/>
        </w:rPr>
        <w:t>并按总得分由高到低顺序推荐</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名中标候选人，并标明排序</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但投标报价低于其成本的除外</w:t>
      </w:r>
      <w:r>
        <w:rPr>
          <w:rFonts w:hint="eastAsia" w:ascii="宋体" w:hAnsi="宋体" w:eastAsia="宋体" w:cs="宋体"/>
          <w:color w:val="auto"/>
          <w:sz w:val="21"/>
          <w:szCs w:val="21"/>
          <w:highlight w:val="none"/>
          <w:lang w:val="en-US" w:eastAsia="zh-CN"/>
        </w:rPr>
        <w:t>。得分最高的为第一中标候选人，第二高的为第二中标候选人。</w:t>
      </w:r>
      <w:r>
        <w:rPr>
          <w:rFonts w:hint="eastAsia" w:ascii="宋体" w:hAnsi="宋体" w:eastAsia="宋体" w:cs="宋体"/>
          <w:b/>
          <w:bCs/>
          <w:color w:val="auto"/>
          <w:sz w:val="21"/>
          <w:szCs w:val="21"/>
          <w:highlight w:val="none"/>
        </w:rPr>
        <w:t>如总得分相等，以投标报价低的优先，投标报价仍相等，由评标委员会或招标人随机抽取确定排名，不得并列</w:t>
      </w:r>
      <w:r>
        <w:rPr>
          <w:rFonts w:hint="eastAsia" w:ascii="宋体" w:hAnsi="宋体" w:eastAsia="宋体" w:cs="宋体"/>
          <w:color w:val="auto"/>
          <w:sz w:val="21"/>
          <w:szCs w:val="21"/>
          <w:highlight w:val="none"/>
        </w:rPr>
        <w:t>。</w:t>
      </w:r>
    </w:p>
    <w:p w14:paraId="403526C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2．评标程序</w:t>
      </w:r>
    </w:p>
    <w:p w14:paraId="59C70429">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先对投标人报价</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以投标文件投标函中填写报价为准</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按计算标准计算得分，得分按照从高到低进行排序（如总得分相等，以投标报价低的优先，投标报价仍相等，由招标人</w:t>
      </w:r>
      <w:r>
        <w:rPr>
          <w:rFonts w:hint="eastAsia" w:ascii="宋体" w:hAnsi="宋体" w:eastAsia="宋体" w:cs="宋体"/>
          <w:b/>
          <w:bCs/>
          <w:color w:val="auto"/>
          <w:sz w:val="21"/>
          <w:szCs w:val="21"/>
          <w:highlight w:val="none"/>
          <w:lang w:val="en-US" w:eastAsia="zh-CN"/>
        </w:rPr>
        <w:t>或评标委员会</w:t>
      </w:r>
      <w:r>
        <w:rPr>
          <w:rFonts w:hint="eastAsia" w:ascii="宋体" w:hAnsi="宋体" w:eastAsia="宋体" w:cs="宋体"/>
          <w:b/>
          <w:bCs/>
          <w:color w:val="auto"/>
          <w:sz w:val="21"/>
          <w:szCs w:val="21"/>
          <w:highlight w:val="none"/>
        </w:rPr>
        <w:t>随机抽取确定排名，不得并列）。对排序前</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名的投标人投标文件进行评审并确定中标候选人。若排序前</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名的投标人</w:t>
      </w:r>
      <w:r>
        <w:rPr>
          <w:rFonts w:hint="eastAsia" w:ascii="宋体" w:hAnsi="宋体" w:cs="宋体"/>
          <w:b/>
          <w:bCs/>
          <w:color w:val="auto"/>
          <w:sz w:val="21"/>
          <w:szCs w:val="21"/>
          <w:highlight w:val="none"/>
          <w:lang w:val="en-US" w:eastAsia="zh-CN"/>
        </w:rPr>
        <w:t>投标</w:t>
      </w:r>
      <w:r>
        <w:rPr>
          <w:rFonts w:hint="eastAsia" w:ascii="宋体" w:hAnsi="宋体" w:eastAsia="宋体" w:cs="宋体"/>
          <w:b/>
          <w:bCs/>
          <w:color w:val="auto"/>
          <w:sz w:val="21"/>
          <w:szCs w:val="21"/>
          <w:highlight w:val="none"/>
        </w:rPr>
        <w:t>文件评审不通过，则按得分排序递补至</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家投标人进行</w:t>
      </w:r>
      <w:r>
        <w:rPr>
          <w:rFonts w:hint="eastAsia" w:ascii="宋体" w:hAnsi="宋体" w:cs="宋体"/>
          <w:b/>
          <w:bCs/>
          <w:color w:val="auto"/>
          <w:sz w:val="21"/>
          <w:szCs w:val="21"/>
          <w:highlight w:val="none"/>
          <w:lang w:val="en-US" w:eastAsia="zh-CN"/>
        </w:rPr>
        <w:t>投标文件</w:t>
      </w:r>
      <w:r>
        <w:rPr>
          <w:rFonts w:hint="eastAsia" w:ascii="宋体" w:hAnsi="宋体" w:eastAsia="宋体" w:cs="宋体"/>
          <w:b/>
          <w:bCs/>
          <w:color w:val="auto"/>
          <w:sz w:val="21"/>
          <w:szCs w:val="21"/>
          <w:highlight w:val="none"/>
        </w:rPr>
        <w:t>评审</w:t>
      </w:r>
      <w:r>
        <w:rPr>
          <w:rFonts w:hint="eastAsia" w:ascii="宋体" w:hAnsi="宋体" w:eastAsia="宋体" w:cs="宋体"/>
          <w:b/>
          <w:bCs/>
          <w:color w:val="auto"/>
          <w:sz w:val="21"/>
          <w:szCs w:val="21"/>
          <w:highlight w:val="none"/>
          <w:lang w:eastAsia="zh-CN"/>
        </w:rPr>
        <w:t>。</w:t>
      </w:r>
    </w:p>
    <w:p w14:paraId="591D37D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2.1投标文件的初审</w:t>
      </w:r>
    </w:p>
    <w:p w14:paraId="29ADB92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2.1.1资格性检查。依据法律法规和</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的规定，对投标文件中的资格证明</w:t>
      </w:r>
      <w:r>
        <w:rPr>
          <w:rFonts w:hint="eastAsia" w:ascii="宋体" w:hAnsi="宋体" w:eastAsia="宋体" w:cs="宋体"/>
          <w:color w:val="auto"/>
          <w:sz w:val="21"/>
          <w:szCs w:val="21"/>
          <w:highlight w:val="none"/>
          <w:lang w:val="en-US" w:eastAsia="zh-CN"/>
        </w:rPr>
        <w:t>材料</w:t>
      </w:r>
      <w:r>
        <w:rPr>
          <w:rFonts w:hint="eastAsia" w:ascii="宋体" w:hAnsi="宋体" w:eastAsia="宋体" w:cs="宋体"/>
          <w:color w:val="auto"/>
          <w:sz w:val="21"/>
          <w:szCs w:val="21"/>
          <w:highlight w:val="none"/>
        </w:rPr>
        <w:t>等进行审查，以确定投标人是否具备投标资格。</w:t>
      </w:r>
    </w:p>
    <w:p w14:paraId="0B195F5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2.1.2符合性检查。依据</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的规定，从投标文件的有效性、完整性和对</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的响应程度进行审查，以确定投标人是否对</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的实质性要求作出响应。</w:t>
      </w:r>
    </w:p>
    <w:p w14:paraId="7593A8C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2.2投标文件的澄清</w:t>
      </w:r>
    </w:p>
    <w:p w14:paraId="11B3623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在评标过程中，评标委员会认为需要，可要求投标单位对投标文件中的有关问题进行澄清或提供补充说明及有关资料，投标单位应做出书面答复。书面答复中不得变更价格、供货（服务）期、自报质量等实质性内容。</w:t>
      </w:r>
    </w:p>
    <w:p w14:paraId="0684D5D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书面答复须经投标单位法定代理人或其授权委托代理人的签字或印鉴，签字或盖印鉴的书面答复将视为投标文件的组成部分。投标截止时间后，投标人对投标报价或其它实质性内容修正的函件和增加的任何优惠条件，一律不得作为评标、定标的依据。</w:t>
      </w:r>
    </w:p>
    <w:p w14:paraId="79CAB15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bCs/>
          <w:color w:val="auto"/>
          <w:kern w:val="0"/>
          <w:sz w:val="21"/>
          <w:szCs w:val="21"/>
          <w:highlight w:val="none"/>
          <w:lang w:eastAsia="zh-CN"/>
        </w:rPr>
      </w:pPr>
      <w:r>
        <w:rPr>
          <w:rFonts w:hint="eastAsia" w:ascii="宋体" w:hAnsi="宋体" w:eastAsia="宋体" w:cs="宋体"/>
          <w:color w:val="auto"/>
          <w:sz w:val="21"/>
          <w:szCs w:val="21"/>
          <w:highlight w:val="none"/>
        </w:rPr>
        <w:t>2.2.3  招标人不接受投标单位主动提出的澄清。</w:t>
      </w:r>
    </w:p>
    <w:p w14:paraId="34335270">
      <w:pPr>
        <w:keepNext w:val="0"/>
        <w:keepLines w:val="0"/>
        <w:pageBreakBefore w:val="0"/>
        <w:widowControl w:val="0"/>
        <w:kinsoku/>
        <w:wordWrap/>
        <w:overflowPunct/>
        <w:topLinePunct w:val="0"/>
        <w:autoSpaceDE/>
        <w:autoSpaceDN/>
        <w:bidi w:val="0"/>
        <w:adjustRightInd/>
        <w:snapToGrid/>
        <w:spacing w:before="313" w:beforeLines="100"/>
        <w:jc w:val="center"/>
        <w:textAlignment w:val="auto"/>
        <w:outlineLvl w:val="1"/>
        <w:rPr>
          <w:rFonts w:hint="eastAsia" w:ascii="宋体"/>
          <w:b/>
          <w:color w:val="auto"/>
          <w:sz w:val="28"/>
          <w:szCs w:val="28"/>
          <w:highlight w:val="none"/>
        </w:rPr>
      </w:pPr>
      <w:bookmarkStart w:id="62" w:name="_Toc449028878"/>
      <w:bookmarkStart w:id="63" w:name="_Toc58430318"/>
      <w:bookmarkStart w:id="64" w:name="_Toc29779"/>
      <w:r>
        <w:rPr>
          <w:rFonts w:hint="eastAsia" w:ascii="宋体"/>
          <w:b/>
          <w:color w:val="auto"/>
          <w:sz w:val="28"/>
          <w:szCs w:val="28"/>
          <w:highlight w:val="none"/>
        </w:rPr>
        <w:t>二、投标文件初审</w:t>
      </w:r>
      <w:bookmarkEnd w:id="62"/>
      <w:bookmarkEnd w:id="63"/>
    </w:p>
    <w:p w14:paraId="60FE3D0D">
      <w:pPr>
        <w:ind w:firstLine="310" w:firstLineChars="147"/>
        <w:rPr>
          <w:rFonts w:hint="eastAsia" w:ascii="宋体"/>
          <w:b/>
          <w:color w:val="auto"/>
          <w:szCs w:val="21"/>
          <w:highlight w:val="none"/>
        </w:rPr>
      </w:pPr>
      <w:r>
        <w:rPr>
          <w:rFonts w:hint="eastAsia" w:ascii="宋体"/>
          <w:b/>
          <w:color w:val="auto"/>
          <w:szCs w:val="21"/>
          <w:highlight w:val="none"/>
        </w:rPr>
        <w:t>3.资格性审查:</w:t>
      </w:r>
    </w:p>
    <w:p w14:paraId="31119948">
      <w:pPr>
        <w:spacing w:line="400" w:lineRule="exact"/>
        <w:ind w:firstLine="308" w:firstLineChars="147"/>
        <w:rPr>
          <w:rFonts w:hint="eastAsia"/>
          <w:color w:val="auto"/>
          <w:szCs w:val="21"/>
          <w:highlight w:val="none"/>
        </w:rPr>
      </w:pPr>
      <w:r>
        <w:rPr>
          <w:rFonts w:hint="eastAsia" w:ascii="宋体"/>
          <w:color w:val="auto"/>
          <w:szCs w:val="21"/>
          <w:highlight w:val="none"/>
        </w:rPr>
        <w:t>3.1</w:t>
      </w:r>
      <w:r>
        <w:rPr>
          <w:rFonts w:hint="eastAsia"/>
          <w:color w:val="auto"/>
          <w:szCs w:val="21"/>
          <w:highlight w:val="none"/>
        </w:rPr>
        <w:t>评审细则</w:t>
      </w:r>
    </w:p>
    <w:tbl>
      <w:tblPr>
        <w:tblStyle w:val="45"/>
        <w:tblW w:w="100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235"/>
        <w:gridCol w:w="5296"/>
        <w:gridCol w:w="2757"/>
      </w:tblGrid>
      <w:tr w14:paraId="1697F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25" w:type="dxa"/>
            <w:noWrap w:val="0"/>
            <w:vAlign w:val="center"/>
          </w:tcPr>
          <w:p w14:paraId="7CC68F38">
            <w:pPr>
              <w:spacing w:line="320" w:lineRule="exact"/>
              <w:jc w:val="center"/>
              <w:rPr>
                <w:rFonts w:hint="eastAsia"/>
                <w:color w:val="auto"/>
                <w:highlight w:val="none"/>
              </w:rPr>
            </w:pPr>
            <w:r>
              <w:rPr>
                <w:rFonts w:hint="eastAsia" w:ascii="黑体" w:eastAsia="黑体" w:cs="黑体"/>
                <w:b/>
                <w:bCs/>
                <w:color w:val="auto"/>
                <w:szCs w:val="21"/>
                <w:highlight w:val="none"/>
              </w:rPr>
              <w:t>序号</w:t>
            </w:r>
          </w:p>
        </w:tc>
        <w:tc>
          <w:tcPr>
            <w:tcW w:w="6531" w:type="dxa"/>
            <w:gridSpan w:val="2"/>
            <w:noWrap w:val="0"/>
            <w:vAlign w:val="center"/>
          </w:tcPr>
          <w:p w14:paraId="7F5E48E7">
            <w:pPr>
              <w:spacing w:line="320" w:lineRule="exact"/>
              <w:jc w:val="center"/>
              <w:rPr>
                <w:rFonts w:hint="eastAsia"/>
                <w:color w:val="auto"/>
                <w:highlight w:val="none"/>
              </w:rPr>
            </w:pPr>
            <w:r>
              <w:rPr>
                <w:rFonts w:hint="eastAsia" w:ascii="宋体" w:hAnsi="宋体"/>
                <w:color w:val="auto"/>
                <w:szCs w:val="21"/>
                <w:highlight w:val="none"/>
              </w:rPr>
              <w:t>评审因素</w:t>
            </w:r>
          </w:p>
        </w:tc>
        <w:tc>
          <w:tcPr>
            <w:tcW w:w="2757" w:type="dxa"/>
            <w:noWrap w:val="0"/>
            <w:vAlign w:val="center"/>
          </w:tcPr>
          <w:p w14:paraId="52F81DF4">
            <w:pPr>
              <w:spacing w:line="320" w:lineRule="exact"/>
              <w:jc w:val="center"/>
              <w:rPr>
                <w:rFonts w:hint="eastAsia"/>
                <w:color w:val="auto"/>
                <w:highlight w:val="none"/>
              </w:rPr>
            </w:pPr>
            <w:r>
              <w:rPr>
                <w:rFonts w:hint="eastAsia" w:ascii="宋体" w:hAnsi="宋体"/>
                <w:color w:val="auto"/>
                <w:szCs w:val="21"/>
                <w:highlight w:val="none"/>
              </w:rPr>
              <w:t>评审标准</w:t>
            </w:r>
          </w:p>
        </w:tc>
      </w:tr>
      <w:tr w14:paraId="5D788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25" w:type="dxa"/>
            <w:noWrap w:val="0"/>
            <w:vAlign w:val="center"/>
          </w:tcPr>
          <w:p w14:paraId="0B9A4B5D">
            <w:pPr>
              <w:spacing w:line="32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1235" w:type="dxa"/>
            <w:noWrap w:val="0"/>
            <w:vAlign w:val="center"/>
          </w:tcPr>
          <w:p w14:paraId="3034F54A">
            <w:pPr>
              <w:spacing w:line="320" w:lineRule="exact"/>
              <w:jc w:val="center"/>
              <w:rPr>
                <w:rFonts w:hint="eastAsia" w:ascii="宋体" w:hAnsi="宋体"/>
                <w:color w:val="auto"/>
                <w:szCs w:val="21"/>
                <w:highlight w:val="none"/>
              </w:rPr>
            </w:pPr>
            <w:r>
              <w:rPr>
                <w:rFonts w:hint="eastAsia" w:ascii="宋体"/>
                <w:color w:val="auto"/>
                <w:szCs w:val="21"/>
                <w:highlight w:val="none"/>
              </w:rPr>
              <w:t>重要要求</w:t>
            </w:r>
          </w:p>
        </w:tc>
        <w:tc>
          <w:tcPr>
            <w:tcW w:w="5296" w:type="dxa"/>
            <w:noWrap w:val="0"/>
            <w:vAlign w:val="center"/>
          </w:tcPr>
          <w:p w14:paraId="79A3823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zCs w:val="21"/>
                <w:highlight w:val="none"/>
              </w:rPr>
            </w:pPr>
            <w:r>
              <w:rPr>
                <w:rFonts w:hint="eastAsia"/>
                <w:color w:val="auto"/>
                <w:highlight w:val="none"/>
              </w:rPr>
              <w:t>（1）法定代表人身份证明和本人有效身份证(或法定代表人授权委托书和委托代理人有效身份证)</w:t>
            </w:r>
          </w:p>
        </w:tc>
        <w:tc>
          <w:tcPr>
            <w:tcW w:w="2757" w:type="dxa"/>
            <w:noWrap w:val="0"/>
            <w:vAlign w:val="center"/>
          </w:tcPr>
          <w:p w14:paraId="2714234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olor w:val="auto"/>
                <w:szCs w:val="21"/>
                <w:highlight w:val="none"/>
              </w:rPr>
            </w:pPr>
            <w:r>
              <w:rPr>
                <w:rFonts w:hint="eastAsia"/>
                <w:color w:val="auto"/>
                <w:highlight w:val="none"/>
              </w:rPr>
              <w:t>检验电子标书。</w:t>
            </w:r>
          </w:p>
        </w:tc>
      </w:tr>
      <w:tr w14:paraId="206B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25" w:type="dxa"/>
            <w:vMerge w:val="restart"/>
            <w:noWrap w:val="0"/>
            <w:vAlign w:val="center"/>
          </w:tcPr>
          <w:p w14:paraId="399706DB">
            <w:pPr>
              <w:spacing w:line="320" w:lineRule="exact"/>
              <w:jc w:val="center"/>
              <w:rPr>
                <w:rFonts w:hint="eastAsia" w:ascii="宋体" w:hAnsi="宋体"/>
                <w:color w:val="auto"/>
                <w:szCs w:val="21"/>
                <w:highlight w:val="none"/>
              </w:rPr>
            </w:pPr>
            <w:r>
              <w:rPr>
                <w:rFonts w:hint="eastAsia" w:ascii="宋体" w:hAnsi="宋体"/>
                <w:color w:val="auto"/>
                <w:szCs w:val="21"/>
                <w:highlight w:val="none"/>
              </w:rPr>
              <w:t>2</w:t>
            </w:r>
          </w:p>
        </w:tc>
        <w:tc>
          <w:tcPr>
            <w:tcW w:w="1235" w:type="dxa"/>
            <w:vMerge w:val="restart"/>
            <w:noWrap w:val="0"/>
            <w:vAlign w:val="center"/>
          </w:tcPr>
          <w:p w14:paraId="5C913C04">
            <w:pPr>
              <w:spacing w:line="320" w:lineRule="exact"/>
              <w:rPr>
                <w:rFonts w:hint="eastAsia" w:ascii="宋体" w:hAnsi="宋体"/>
                <w:color w:val="auto"/>
                <w:szCs w:val="21"/>
                <w:highlight w:val="none"/>
              </w:rPr>
            </w:pPr>
            <w:r>
              <w:rPr>
                <w:rFonts w:hint="eastAsia" w:ascii="宋体" w:hAnsi="宋体"/>
                <w:color w:val="auto"/>
                <w:szCs w:val="21"/>
                <w:highlight w:val="none"/>
              </w:rPr>
              <w:t>投标人应符合的基本资格条件</w:t>
            </w:r>
          </w:p>
        </w:tc>
        <w:tc>
          <w:tcPr>
            <w:tcW w:w="5296" w:type="dxa"/>
            <w:noWrap w:val="0"/>
            <w:vAlign w:val="center"/>
          </w:tcPr>
          <w:p w14:paraId="3C024E8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）具有为本项目提供相应服务的能力</w:t>
            </w:r>
          </w:p>
        </w:tc>
        <w:tc>
          <w:tcPr>
            <w:tcW w:w="2757" w:type="dxa"/>
            <w:noWrap w:val="0"/>
            <w:vAlign w:val="center"/>
          </w:tcPr>
          <w:p w14:paraId="607FD99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zCs w:val="21"/>
                <w:highlight w:val="none"/>
              </w:rPr>
            </w:pPr>
            <w:r>
              <w:rPr>
                <w:rFonts w:hint="eastAsia" w:ascii="宋体"/>
                <w:b/>
                <w:color w:val="auto"/>
                <w:szCs w:val="21"/>
                <w:highlight w:val="none"/>
              </w:rPr>
              <w:t>评审核验电子标书中的下列证书、证明材料：</w:t>
            </w:r>
          </w:p>
          <w:p w14:paraId="734641F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olor w:val="auto"/>
                <w:szCs w:val="21"/>
                <w:highlight w:val="none"/>
              </w:rPr>
            </w:pPr>
            <w:r>
              <w:rPr>
                <w:rFonts w:hint="eastAsia"/>
                <w:color w:val="auto"/>
                <w:highlight w:val="none"/>
              </w:rPr>
              <w:t>投标人有效的营业执照、税务登记证、组</w:t>
            </w:r>
            <w:r>
              <w:rPr>
                <w:rFonts w:hint="eastAsia" w:ascii="Times New Roman" w:hAnsi="Times New Roman" w:eastAsia="宋体" w:cs="Times New Roman"/>
                <w:color w:val="auto"/>
                <w:highlight w:val="none"/>
              </w:rPr>
              <w:t>织机构码证（或“三证合一证书”）</w:t>
            </w:r>
            <w:r>
              <w:rPr>
                <w:rFonts w:hint="eastAsia" w:ascii="Times New Roman" w:hAnsi="Times New Roman" w:eastAsia="宋体" w:cs="Times New Roman"/>
                <w:color w:val="auto"/>
                <w:highlight w:val="none"/>
                <w:lang w:val="en-US" w:eastAsia="zh-CN"/>
              </w:rPr>
              <w:t>或事业单位法人证书</w:t>
            </w:r>
          </w:p>
        </w:tc>
      </w:tr>
      <w:tr w14:paraId="7F074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5" w:type="dxa"/>
            <w:vMerge w:val="continue"/>
            <w:noWrap w:val="0"/>
            <w:vAlign w:val="center"/>
          </w:tcPr>
          <w:p w14:paraId="21878E8D">
            <w:pPr>
              <w:spacing w:line="320" w:lineRule="exact"/>
              <w:jc w:val="center"/>
              <w:rPr>
                <w:rFonts w:hint="eastAsia" w:ascii="宋体" w:hAnsi="宋体"/>
                <w:color w:val="auto"/>
                <w:szCs w:val="21"/>
                <w:highlight w:val="none"/>
              </w:rPr>
            </w:pPr>
          </w:p>
        </w:tc>
        <w:tc>
          <w:tcPr>
            <w:tcW w:w="1235" w:type="dxa"/>
            <w:vMerge w:val="continue"/>
            <w:noWrap w:val="0"/>
            <w:vAlign w:val="center"/>
          </w:tcPr>
          <w:p w14:paraId="7227E239">
            <w:pPr>
              <w:spacing w:line="320" w:lineRule="exact"/>
              <w:rPr>
                <w:rFonts w:hint="eastAsia" w:ascii="宋体" w:hAnsi="宋体"/>
                <w:color w:val="auto"/>
                <w:szCs w:val="21"/>
                <w:highlight w:val="none"/>
              </w:rPr>
            </w:pPr>
          </w:p>
        </w:tc>
        <w:tc>
          <w:tcPr>
            <w:tcW w:w="5296" w:type="dxa"/>
            <w:noWrap w:val="0"/>
            <w:vAlign w:val="center"/>
          </w:tcPr>
          <w:p w14:paraId="4520121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cs="宋体"/>
                <w:b/>
                <w:color w:val="auto"/>
                <w:szCs w:val="21"/>
                <w:highlight w:val="none"/>
              </w:rPr>
            </w:pPr>
            <w:r>
              <w:rPr>
                <w:rFonts w:hint="eastAsia"/>
                <w:color w:val="auto"/>
                <w:highlight w:val="none"/>
              </w:rPr>
              <w:t>（3）</w:t>
            </w:r>
            <w:r>
              <w:rPr>
                <w:rFonts w:hint="eastAsia" w:ascii="宋体" w:hAnsi="宋体" w:eastAsia="宋体" w:cs="宋体"/>
                <w:color w:val="auto"/>
                <w:sz w:val="21"/>
                <w:szCs w:val="21"/>
                <w:highlight w:val="none"/>
              </w:rPr>
              <w:t>拟派项目负责人证书</w:t>
            </w:r>
          </w:p>
        </w:tc>
        <w:tc>
          <w:tcPr>
            <w:tcW w:w="2757" w:type="dxa"/>
            <w:noWrap w:val="0"/>
            <w:vAlign w:val="center"/>
          </w:tcPr>
          <w:p w14:paraId="2E0E8AE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b/>
                <w:color w:val="auto"/>
                <w:szCs w:val="21"/>
                <w:highlight w:val="none"/>
              </w:rPr>
            </w:pPr>
            <w:r>
              <w:rPr>
                <w:rFonts w:hint="eastAsia"/>
                <w:color w:val="auto"/>
                <w:highlight w:val="none"/>
              </w:rPr>
              <w:t>检验电子标书</w:t>
            </w:r>
          </w:p>
        </w:tc>
      </w:tr>
      <w:tr w14:paraId="5B8A9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8" w:hRule="atLeast"/>
        </w:trPr>
        <w:tc>
          <w:tcPr>
            <w:tcW w:w="725" w:type="dxa"/>
            <w:vMerge w:val="continue"/>
            <w:noWrap w:val="0"/>
            <w:vAlign w:val="center"/>
          </w:tcPr>
          <w:p w14:paraId="3DD7B0EC">
            <w:pPr>
              <w:spacing w:line="320" w:lineRule="exact"/>
              <w:jc w:val="center"/>
              <w:rPr>
                <w:rFonts w:hint="eastAsia" w:ascii="宋体" w:hAnsi="宋体"/>
                <w:color w:val="auto"/>
                <w:szCs w:val="21"/>
                <w:highlight w:val="none"/>
              </w:rPr>
            </w:pPr>
          </w:p>
        </w:tc>
        <w:tc>
          <w:tcPr>
            <w:tcW w:w="1235" w:type="dxa"/>
            <w:vMerge w:val="continue"/>
            <w:noWrap w:val="0"/>
            <w:vAlign w:val="center"/>
          </w:tcPr>
          <w:p w14:paraId="2744FACC">
            <w:pPr>
              <w:spacing w:line="320" w:lineRule="exact"/>
              <w:rPr>
                <w:rFonts w:hint="eastAsia" w:ascii="宋体" w:hAnsi="宋体"/>
                <w:color w:val="auto"/>
                <w:szCs w:val="21"/>
                <w:highlight w:val="none"/>
              </w:rPr>
            </w:pPr>
          </w:p>
        </w:tc>
        <w:tc>
          <w:tcPr>
            <w:tcW w:w="5296" w:type="dxa"/>
            <w:noWrap w:val="0"/>
            <w:vAlign w:val="center"/>
          </w:tcPr>
          <w:p w14:paraId="69BC9D2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color w:val="auto"/>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项目人员配备表</w:t>
            </w:r>
          </w:p>
        </w:tc>
        <w:tc>
          <w:tcPr>
            <w:tcW w:w="2757" w:type="dxa"/>
            <w:noWrap w:val="0"/>
            <w:vAlign w:val="center"/>
          </w:tcPr>
          <w:p w14:paraId="68DD7B7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color w:val="auto"/>
                <w:highlight w:val="none"/>
              </w:rPr>
            </w:pPr>
            <w:r>
              <w:rPr>
                <w:rFonts w:hint="eastAsia"/>
                <w:color w:val="auto"/>
                <w:highlight w:val="none"/>
              </w:rPr>
              <w:t>格式见附件，检验电子标书</w:t>
            </w:r>
          </w:p>
        </w:tc>
      </w:tr>
      <w:tr w14:paraId="4FBF7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5" w:type="dxa"/>
            <w:vMerge w:val="continue"/>
            <w:noWrap w:val="0"/>
            <w:vAlign w:val="center"/>
          </w:tcPr>
          <w:p w14:paraId="3546C486">
            <w:pPr>
              <w:spacing w:line="320" w:lineRule="exact"/>
              <w:jc w:val="center"/>
              <w:rPr>
                <w:rFonts w:hint="eastAsia" w:ascii="宋体" w:hAnsi="宋体"/>
                <w:color w:val="auto"/>
                <w:szCs w:val="21"/>
                <w:highlight w:val="none"/>
              </w:rPr>
            </w:pPr>
          </w:p>
        </w:tc>
        <w:tc>
          <w:tcPr>
            <w:tcW w:w="1235" w:type="dxa"/>
            <w:vMerge w:val="continue"/>
            <w:noWrap w:val="0"/>
            <w:vAlign w:val="center"/>
          </w:tcPr>
          <w:p w14:paraId="7B141123">
            <w:pPr>
              <w:spacing w:line="320" w:lineRule="exact"/>
              <w:rPr>
                <w:rFonts w:hint="eastAsia" w:ascii="宋体" w:hAnsi="宋体"/>
                <w:color w:val="auto"/>
                <w:szCs w:val="21"/>
                <w:highlight w:val="none"/>
              </w:rPr>
            </w:pPr>
          </w:p>
        </w:tc>
        <w:tc>
          <w:tcPr>
            <w:tcW w:w="5296" w:type="dxa"/>
            <w:noWrap w:val="0"/>
            <w:vAlign w:val="center"/>
          </w:tcPr>
          <w:p w14:paraId="6F4CA72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color w:val="auto"/>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项目组其他成员（不含项目负责人）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不少于2名且具有在本单位注册的二级及以上造价工程师（土木建筑工程专业至少1名、安装工程专业至少1名）</w:t>
            </w:r>
          </w:p>
        </w:tc>
        <w:tc>
          <w:tcPr>
            <w:tcW w:w="2757" w:type="dxa"/>
            <w:noWrap w:val="0"/>
            <w:vAlign w:val="center"/>
          </w:tcPr>
          <w:p w14:paraId="551EAE5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color w:val="auto"/>
                <w:highlight w:val="none"/>
              </w:rPr>
            </w:pPr>
            <w:r>
              <w:rPr>
                <w:rFonts w:hint="eastAsia"/>
                <w:color w:val="auto"/>
                <w:highlight w:val="none"/>
              </w:rPr>
              <w:t>检验电子标书</w:t>
            </w:r>
          </w:p>
        </w:tc>
      </w:tr>
      <w:tr w14:paraId="5EF37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5" w:type="dxa"/>
            <w:vMerge w:val="continue"/>
            <w:noWrap w:val="0"/>
            <w:vAlign w:val="center"/>
          </w:tcPr>
          <w:p w14:paraId="13D42F0B">
            <w:pPr>
              <w:spacing w:line="320" w:lineRule="exact"/>
              <w:jc w:val="center"/>
              <w:rPr>
                <w:rFonts w:hint="eastAsia" w:ascii="宋体" w:hAnsi="宋体"/>
                <w:color w:val="auto"/>
                <w:szCs w:val="21"/>
                <w:highlight w:val="none"/>
              </w:rPr>
            </w:pPr>
          </w:p>
        </w:tc>
        <w:tc>
          <w:tcPr>
            <w:tcW w:w="1235" w:type="dxa"/>
            <w:vMerge w:val="continue"/>
            <w:noWrap w:val="0"/>
            <w:vAlign w:val="center"/>
          </w:tcPr>
          <w:p w14:paraId="63886723">
            <w:pPr>
              <w:spacing w:line="320" w:lineRule="exact"/>
              <w:rPr>
                <w:rFonts w:hint="eastAsia" w:ascii="宋体" w:hAnsi="宋体"/>
                <w:color w:val="auto"/>
                <w:szCs w:val="21"/>
                <w:highlight w:val="none"/>
              </w:rPr>
            </w:pPr>
          </w:p>
        </w:tc>
        <w:tc>
          <w:tcPr>
            <w:tcW w:w="5296" w:type="dxa"/>
            <w:noWrap w:val="0"/>
            <w:vAlign w:val="center"/>
          </w:tcPr>
          <w:p w14:paraId="2A2A922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color w:val="auto"/>
                <w:highlight w:val="none"/>
              </w:rPr>
            </w:pPr>
            <w:r>
              <w:rPr>
                <w:rFonts w:hint="eastAsia"/>
                <w:color w:val="auto"/>
                <w:highlight w:val="none"/>
                <w:lang w:eastAsia="zh-CN"/>
              </w:rPr>
              <w:t>（</w:t>
            </w:r>
            <w:r>
              <w:rPr>
                <w:rFonts w:hint="eastAsia"/>
                <w:color w:val="auto"/>
                <w:highlight w:val="none"/>
                <w:lang w:val="en-US" w:eastAsia="zh-CN"/>
              </w:rPr>
              <w:t>6</w:t>
            </w:r>
            <w:r>
              <w:rPr>
                <w:rFonts w:hint="eastAsia"/>
                <w:color w:val="auto"/>
                <w:highlight w:val="none"/>
                <w:lang w:eastAsia="zh-CN"/>
              </w:rPr>
              <w:t>）</w:t>
            </w:r>
            <w:r>
              <w:rPr>
                <w:rFonts w:hint="eastAsia" w:ascii="宋体" w:hAnsi="宋体" w:cs="宋体"/>
                <w:color w:val="auto"/>
                <w:sz w:val="21"/>
                <w:szCs w:val="21"/>
                <w:highlight w:val="none"/>
                <w:lang w:val="en-US" w:eastAsia="zh-CN"/>
              </w:rPr>
              <w:t>投标人须提供法定代表人（或委托代理人）及拟派的上述项目负责人和项目组成员须持有社保部门出具的本单位为其缴纳的投标前近三个月的养老保险证明</w:t>
            </w:r>
            <w:r>
              <w:rPr>
                <w:rFonts w:hint="eastAsia" w:ascii="宋体" w:hAnsi="宋体" w:eastAsia="宋体" w:cs="宋体"/>
                <w:color w:val="auto"/>
                <w:sz w:val="21"/>
                <w:szCs w:val="21"/>
                <w:highlight w:val="none"/>
                <w:lang w:val="en-US" w:eastAsia="zh-CN"/>
              </w:rPr>
              <w:t>材料；投标人是事业单位的，须其主管部门出具证明（证明文件两个月内有效）；注：若投标人拟派的项目负责人为已退休人员，须同时提供①退休证</w:t>
            </w:r>
            <w:r>
              <w:rPr>
                <w:rFonts w:hint="eastAsia" w:ascii="宋体" w:hAnsi="宋体" w:cs="宋体"/>
                <w:color w:val="auto"/>
                <w:sz w:val="21"/>
                <w:szCs w:val="21"/>
                <w:highlight w:val="none"/>
                <w:lang w:val="en-US" w:eastAsia="zh-CN"/>
              </w:rPr>
              <w:t>明材料；②与投标人签订的返聘劳动合同；③项目负责人社保卡所在银行出具的退休工资流水；④银行出具的工资流水和返聘单位出具的工资表（加盖返聘单位公章，现聘用单位（投标人）所发工资）。</w:t>
            </w:r>
          </w:p>
        </w:tc>
        <w:tc>
          <w:tcPr>
            <w:tcW w:w="2757" w:type="dxa"/>
            <w:noWrap w:val="0"/>
            <w:vAlign w:val="center"/>
          </w:tcPr>
          <w:p w14:paraId="48FC561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color w:val="auto"/>
                <w:highlight w:val="none"/>
              </w:rPr>
            </w:pPr>
            <w:r>
              <w:rPr>
                <w:rFonts w:hint="eastAsia"/>
                <w:color w:val="auto"/>
                <w:highlight w:val="none"/>
              </w:rPr>
              <w:t>检验电子标书</w:t>
            </w:r>
          </w:p>
        </w:tc>
      </w:tr>
      <w:tr w14:paraId="646EF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25" w:type="dxa"/>
            <w:vMerge w:val="continue"/>
            <w:noWrap w:val="0"/>
            <w:vAlign w:val="center"/>
          </w:tcPr>
          <w:p w14:paraId="1E9B2A14">
            <w:pPr>
              <w:spacing w:line="320" w:lineRule="exact"/>
              <w:jc w:val="center"/>
              <w:rPr>
                <w:rFonts w:hint="eastAsia" w:ascii="宋体" w:hAnsi="宋体"/>
                <w:color w:val="auto"/>
                <w:szCs w:val="21"/>
                <w:highlight w:val="none"/>
              </w:rPr>
            </w:pPr>
          </w:p>
        </w:tc>
        <w:tc>
          <w:tcPr>
            <w:tcW w:w="1235" w:type="dxa"/>
            <w:vMerge w:val="continue"/>
            <w:noWrap w:val="0"/>
            <w:vAlign w:val="center"/>
          </w:tcPr>
          <w:p w14:paraId="2546461F">
            <w:pPr>
              <w:spacing w:line="320" w:lineRule="exact"/>
              <w:rPr>
                <w:rFonts w:hint="eastAsia" w:ascii="宋体" w:hAnsi="宋体"/>
                <w:color w:val="auto"/>
                <w:szCs w:val="21"/>
                <w:highlight w:val="none"/>
              </w:rPr>
            </w:pPr>
          </w:p>
        </w:tc>
        <w:tc>
          <w:tcPr>
            <w:tcW w:w="5296" w:type="dxa"/>
            <w:noWrap w:val="0"/>
            <w:vAlign w:val="center"/>
          </w:tcPr>
          <w:p w14:paraId="202375E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color w:val="auto"/>
                <w:highlight w:val="none"/>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）投标函</w:t>
            </w:r>
          </w:p>
        </w:tc>
        <w:tc>
          <w:tcPr>
            <w:tcW w:w="2757" w:type="dxa"/>
            <w:noWrap w:val="0"/>
            <w:vAlign w:val="center"/>
          </w:tcPr>
          <w:p w14:paraId="3BC905C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color w:val="auto"/>
                <w:highlight w:val="none"/>
              </w:rPr>
            </w:pPr>
            <w:r>
              <w:rPr>
                <w:rFonts w:hint="eastAsia"/>
                <w:color w:val="auto"/>
                <w:highlight w:val="none"/>
              </w:rPr>
              <w:t>格式见附件，检验电子标书</w:t>
            </w:r>
          </w:p>
        </w:tc>
      </w:tr>
    </w:tbl>
    <w:p w14:paraId="609AB6C5">
      <w:pPr>
        <w:spacing w:line="400" w:lineRule="exact"/>
        <w:rPr>
          <w:rFonts w:hint="eastAsia" w:ascii="宋体" w:hAnsi="宋体"/>
          <w:b/>
          <w:color w:val="auto"/>
          <w:szCs w:val="21"/>
          <w:highlight w:val="none"/>
        </w:rPr>
      </w:pPr>
      <w:r>
        <w:rPr>
          <w:rFonts w:hint="eastAsia" w:ascii="宋体"/>
          <w:b/>
          <w:color w:val="auto"/>
          <w:szCs w:val="21"/>
          <w:highlight w:val="none"/>
          <w:lang w:val="en-US" w:eastAsia="zh-CN"/>
        </w:rPr>
        <w:t xml:space="preserve">3.2 </w:t>
      </w:r>
      <w:r>
        <w:rPr>
          <w:rFonts w:hint="eastAsia" w:ascii="宋体" w:hAnsi="宋体"/>
          <w:b/>
          <w:color w:val="auto"/>
          <w:szCs w:val="21"/>
          <w:highlight w:val="none"/>
        </w:rPr>
        <w:t>如评标专家在检验电子投标文件过程中，如果由于投标人自身原因导致评标专家无法查看并检验电子投标文件中相关资料的，否决其投标。即使投标人将原件携带至现场的，同样按否决投标处理。</w:t>
      </w:r>
    </w:p>
    <w:p w14:paraId="5DB09720">
      <w:pPr>
        <w:spacing w:line="440" w:lineRule="exact"/>
        <w:rPr>
          <w:rFonts w:hint="eastAsia" w:ascii="宋体"/>
          <w:b/>
          <w:color w:val="auto"/>
          <w:szCs w:val="21"/>
          <w:highlight w:val="none"/>
          <w:lang w:val="en-US" w:eastAsia="zh-CN"/>
        </w:rPr>
      </w:pPr>
      <w:r>
        <w:rPr>
          <w:rFonts w:hint="eastAsia" w:ascii="宋体" w:hAnsi="宋体"/>
          <w:b/>
          <w:color w:val="auto"/>
          <w:szCs w:val="21"/>
          <w:highlight w:val="none"/>
        </w:rPr>
        <w:t>3.</w:t>
      </w:r>
      <w:r>
        <w:rPr>
          <w:rFonts w:hint="eastAsia" w:ascii="宋体" w:hAnsi="宋体"/>
          <w:b/>
          <w:color w:val="auto"/>
          <w:szCs w:val="21"/>
          <w:highlight w:val="none"/>
          <w:lang w:val="en-US" w:eastAsia="zh-CN"/>
        </w:rPr>
        <w:t>3</w:t>
      </w:r>
      <w:r>
        <w:rPr>
          <w:rFonts w:hint="eastAsia" w:ascii="宋体" w:hAnsi="宋体"/>
          <w:b/>
          <w:color w:val="auto"/>
          <w:szCs w:val="21"/>
          <w:highlight w:val="none"/>
        </w:rPr>
        <w:t>招标文件中资格审查及评标细则中涉及到的投标人需要提供企业的相关证书扫描件，如企业的资格证书、营业执照（或三证合一的有效证件）等可以提供公证件扫描件，公证件扫描件的效力等同于原件扫描件。交易活动资格审查和评标环节中，凡是要求提供相关证书或证明原件扫描件的，投标企业均可以提供带官方二维码的相关证书（证明）复印件扫描件替代原件扫描件，但投标企业自行承担复印件扫描件二维码不清晰，无法扫描，可能导致资格审查不通过的后果</w:t>
      </w:r>
      <w:r>
        <w:rPr>
          <w:rFonts w:hint="eastAsia" w:ascii="宋体"/>
          <w:b/>
          <w:color w:val="auto"/>
          <w:szCs w:val="21"/>
          <w:highlight w:val="none"/>
          <w:lang w:val="en-US" w:eastAsia="zh-CN"/>
        </w:rPr>
        <w:t xml:space="preserve">。 </w:t>
      </w:r>
    </w:p>
    <w:p w14:paraId="5EC66DB5">
      <w:pPr>
        <w:spacing w:line="440" w:lineRule="exact"/>
        <w:rPr>
          <w:rFonts w:hint="eastAsia"/>
        </w:rPr>
      </w:pPr>
      <w:r>
        <w:rPr>
          <w:rFonts w:hint="eastAsia" w:ascii="宋体" w:hAnsi="宋体"/>
          <w:b/>
          <w:color w:val="auto"/>
          <w:sz w:val="24"/>
          <w:szCs w:val="24"/>
          <w:highlight w:val="none"/>
          <w:lang w:val="en-US" w:eastAsia="zh-CN"/>
        </w:rPr>
        <w:t>3.4</w:t>
      </w:r>
      <w:r>
        <w:rPr>
          <w:rFonts w:hint="eastAsia" w:ascii="宋体" w:hAnsi="宋体"/>
          <w:b/>
          <w:color w:val="auto"/>
          <w:sz w:val="24"/>
          <w:szCs w:val="24"/>
          <w:highlight w:val="none"/>
        </w:rPr>
        <w:t>投标人拟委任</w:t>
      </w:r>
      <w:r>
        <w:rPr>
          <w:rFonts w:hint="eastAsia" w:ascii="宋体" w:hAnsi="宋体"/>
          <w:b/>
          <w:color w:val="auto"/>
          <w:sz w:val="24"/>
          <w:szCs w:val="24"/>
          <w:highlight w:val="none"/>
          <w:lang w:val="en-US" w:eastAsia="zh-CN"/>
        </w:rPr>
        <w:t>项目团队人员</w:t>
      </w:r>
      <w:r>
        <w:rPr>
          <w:rFonts w:hint="eastAsia" w:ascii="宋体" w:hAnsi="宋体"/>
          <w:b/>
          <w:color w:val="auto"/>
          <w:sz w:val="24"/>
          <w:szCs w:val="24"/>
          <w:highlight w:val="none"/>
        </w:rPr>
        <w:t>为注册</w:t>
      </w:r>
      <w:r>
        <w:rPr>
          <w:rFonts w:hint="eastAsia" w:ascii="宋体" w:hAnsi="宋体"/>
          <w:b/>
          <w:color w:val="auto"/>
          <w:sz w:val="24"/>
          <w:szCs w:val="24"/>
          <w:highlight w:val="none"/>
          <w:lang w:val="en-US" w:eastAsia="zh-CN"/>
        </w:rPr>
        <w:t>造价师</w:t>
      </w:r>
      <w:r>
        <w:rPr>
          <w:rFonts w:hint="eastAsia" w:ascii="宋体" w:hAnsi="宋体"/>
          <w:b/>
          <w:color w:val="auto"/>
          <w:sz w:val="24"/>
          <w:szCs w:val="24"/>
          <w:highlight w:val="none"/>
        </w:rPr>
        <w:t>（含一级、二级）的，打印电子证书后，应在个人签名处手写本人签名，未手写签名或与签名图像笔迹不一致的，该电子证书无效。</w:t>
      </w:r>
    </w:p>
    <w:p w14:paraId="3E11B30C">
      <w:pPr>
        <w:spacing w:line="440" w:lineRule="exact"/>
        <w:ind w:firstLine="310" w:firstLineChars="147"/>
        <w:rPr>
          <w:rFonts w:hint="eastAsia" w:ascii="宋体"/>
          <w:b/>
          <w:color w:val="auto"/>
          <w:szCs w:val="21"/>
          <w:highlight w:val="none"/>
        </w:rPr>
      </w:pPr>
      <w:r>
        <w:rPr>
          <w:rFonts w:hint="eastAsia" w:ascii="宋体"/>
          <w:b/>
          <w:color w:val="auto"/>
          <w:szCs w:val="21"/>
          <w:highlight w:val="none"/>
        </w:rPr>
        <w:t>4.符合性审查</w:t>
      </w:r>
    </w:p>
    <w:p w14:paraId="52B4741C">
      <w:pPr>
        <w:spacing w:line="440" w:lineRule="exact"/>
        <w:ind w:firstLine="315" w:firstLineChars="150"/>
        <w:rPr>
          <w:rFonts w:hint="eastAsia" w:ascii="宋体"/>
          <w:color w:val="auto"/>
          <w:szCs w:val="21"/>
          <w:highlight w:val="none"/>
        </w:rPr>
      </w:pPr>
      <w:r>
        <w:rPr>
          <w:rFonts w:hint="eastAsia" w:ascii="宋体"/>
          <w:color w:val="auto"/>
          <w:szCs w:val="21"/>
          <w:highlight w:val="none"/>
        </w:rPr>
        <w:t>4．1评审细则</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04"/>
        <w:gridCol w:w="2931"/>
        <w:gridCol w:w="5101"/>
      </w:tblGrid>
      <w:tr w14:paraId="21C10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31" w:type="dxa"/>
            <w:noWrap w:val="0"/>
            <w:vAlign w:val="center"/>
          </w:tcPr>
          <w:p w14:paraId="44B6CA4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eastAsia="黑体" w:cs="黑体"/>
                <w:b/>
                <w:bCs/>
                <w:color w:val="auto"/>
                <w:szCs w:val="21"/>
                <w:highlight w:val="none"/>
              </w:rPr>
            </w:pPr>
            <w:r>
              <w:rPr>
                <w:rFonts w:hint="eastAsia" w:ascii="黑体" w:eastAsia="黑体" w:cs="黑体"/>
                <w:b/>
                <w:bCs/>
                <w:color w:val="auto"/>
                <w:szCs w:val="21"/>
                <w:highlight w:val="none"/>
              </w:rPr>
              <w:t>序号</w:t>
            </w:r>
          </w:p>
        </w:tc>
        <w:tc>
          <w:tcPr>
            <w:tcW w:w="4135" w:type="dxa"/>
            <w:gridSpan w:val="2"/>
            <w:noWrap w:val="0"/>
            <w:vAlign w:val="center"/>
          </w:tcPr>
          <w:p w14:paraId="39163DA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eastAsia="黑体" w:cs="黑体"/>
                <w:b/>
                <w:bCs/>
                <w:color w:val="auto"/>
                <w:szCs w:val="21"/>
                <w:highlight w:val="none"/>
              </w:rPr>
            </w:pPr>
            <w:r>
              <w:rPr>
                <w:rFonts w:hint="eastAsia" w:ascii="黑体" w:eastAsia="黑体" w:cs="黑体"/>
                <w:b/>
                <w:bCs/>
                <w:color w:val="auto"/>
                <w:szCs w:val="21"/>
                <w:highlight w:val="none"/>
              </w:rPr>
              <w:t>审查因素</w:t>
            </w:r>
          </w:p>
        </w:tc>
        <w:tc>
          <w:tcPr>
            <w:tcW w:w="5101" w:type="dxa"/>
            <w:noWrap w:val="0"/>
            <w:vAlign w:val="center"/>
          </w:tcPr>
          <w:p w14:paraId="40130CA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eastAsia="黑体" w:cs="黑体"/>
                <w:b/>
                <w:bCs/>
                <w:color w:val="auto"/>
                <w:szCs w:val="21"/>
                <w:highlight w:val="none"/>
              </w:rPr>
            </w:pPr>
            <w:r>
              <w:rPr>
                <w:rFonts w:hint="eastAsia" w:ascii="黑体" w:eastAsia="黑体" w:cs="黑体"/>
                <w:b/>
                <w:bCs/>
                <w:color w:val="auto"/>
                <w:szCs w:val="21"/>
                <w:highlight w:val="none"/>
              </w:rPr>
              <w:t>审查内容</w:t>
            </w:r>
          </w:p>
        </w:tc>
      </w:tr>
      <w:tr w14:paraId="69728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731" w:type="dxa"/>
            <w:vMerge w:val="restart"/>
            <w:noWrap w:val="0"/>
            <w:vAlign w:val="center"/>
          </w:tcPr>
          <w:p w14:paraId="5E30E1A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color w:val="auto"/>
                <w:szCs w:val="21"/>
                <w:highlight w:val="none"/>
              </w:rPr>
            </w:pPr>
            <w:r>
              <w:rPr>
                <w:rFonts w:hint="eastAsia" w:ascii="宋体"/>
                <w:color w:val="auto"/>
                <w:szCs w:val="21"/>
                <w:highlight w:val="none"/>
              </w:rPr>
              <w:t>1</w:t>
            </w:r>
          </w:p>
        </w:tc>
        <w:tc>
          <w:tcPr>
            <w:tcW w:w="1204" w:type="dxa"/>
            <w:vMerge w:val="restart"/>
            <w:noWrap w:val="0"/>
            <w:vAlign w:val="center"/>
          </w:tcPr>
          <w:p w14:paraId="14328F5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s="仿宋_GB2312"/>
                <w:color w:val="auto"/>
                <w:szCs w:val="21"/>
                <w:highlight w:val="none"/>
                <w:lang w:val="zh-CN"/>
              </w:rPr>
            </w:pPr>
            <w:r>
              <w:rPr>
                <w:rFonts w:hint="eastAsia" w:ascii="宋体" w:cs="仿宋_GB2312"/>
                <w:color w:val="auto"/>
                <w:szCs w:val="21"/>
                <w:highlight w:val="none"/>
                <w:lang w:val="zh-CN"/>
              </w:rPr>
              <w:t>投标文件的有效性</w:t>
            </w:r>
          </w:p>
        </w:tc>
        <w:tc>
          <w:tcPr>
            <w:tcW w:w="2931" w:type="dxa"/>
            <w:noWrap w:val="0"/>
            <w:vAlign w:val="center"/>
          </w:tcPr>
          <w:p w14:paraId="0151183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s="仿宋_GB2312"/>
                <w:color w:val="auto"/>
                <w:szCs w:val="21"/>
                <w:highlight w:val="none"/>
                <w:lang w:val="zh-CN"/>
              </w:rPr>
            </w:pPr>
            <w:r>
              <w:rPr>
                <w:rFonts w:hint="eastAsia" w:ascii="宋体" w:cs="仿宋_GB2312"/>
                <w:color w:val="auto"/>
                <w:szCs w:val="21"/>
                <w:highlight w:val="none"/>
                <w:lang w:val="zh-CN"/>
              </w:rPr>
              <w:t>（1）投标文件签署</w:t>
            </w:r>
          </w:p>
        </w:tc>
        <w:tc>
          <w:tcPr>
            <w:tcW w:w="5101" w:type="dxa"/>
            <w:noWrap w:val="0"/>
            <w:vAlign w:val="center"/>
          </w:tcPr>
          <w:p w14:paraId="1DA41EB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s="仿宋_GB2312"/>
                <w:color w:val="auto"/>
                <w:szCs w:val="21"/>
                <w:highlight w:val="none"/>
                <w:lang w:val="zh-CN"/>
              </w:rPr>
            </w:pPr>
            <w:r>
              <w:rPr>
                <w:rFonts w:hint="eastAsia" w:ascii="宋体" w:cs="仿宋_GB2312"/>
                <w:color w:val="auto"/>
                <w:szCs w:val="21"/>
                <w:highlight w:val="none"/>
                <w:lang w:val="zh-CN"/>
              </w:rPr>
              <w:t>签字、盖章符合要求。</w:t>
            </w:r>
          </w:p>
        </w:tc>
      </w:tr>
      <w:tr w14:paraId="553F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731" w:type="dxa"/>
            <w:vMerge w:val="continue"/>
            <w:noWrap w:val="0"/>
            <w:vAlign w:val="center"/>
          </w:tcPr>
          <w:p w14:paraId="7905205E">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rPr>
            </w:pPr>
          </w:p>
        </w:tc>
        <w:tc>
          <w:tcPr>
            <w:tcW w:w="1204" w:type="dxa"/>
            <w:vMerge w:val="continue"/>
            <w:noWrap w:val="0"/>
            <w:vAlign w:val="center"/>
          </w:tcPr>
          <w:p w14:paraId="0C50280C">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rPr>
            </w:pPr>
          </w:p>
        </w:tc>
        <w:tc>
          <w:tcPr>
            <w:tcW w:w="2931" w:type="dxa"/>
            <w:noWrap w:val="0"/>
            <w:vAlign w:val="center"/>
          </w:tcPr>
          <w:p w14:paraId="3A2D0D4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s="仿宋_GB2312"/>
                <w:color w:val="auto"/>
                <w:szCs w:val="21"/>
                <w:highlight w:val="none"/>
                <w:lang w:val="zh-CN"/>
              </w:rPr>
            </w:pPr>
            <w:r>
              <w:rPr>
                <w:rFonts w:hint="eastAsia" w:ascii="宋体" w:cs="仿宋_GB2312"/>
                <w:color w:val="auto"/>
                <w:szCs w:val="21"/>
                <w:highlight w:val="none"/>
                <w:lang w:val="zh-CN"/>
              </w:rPr>
              <w:t>（2）投标方案</w:t>
            </w:r>
          </w:p>
        </w:tc>
        <w:tc>
          <w:tcPr>
            <w:tcW w:w="5101" w:type="dxa"/>
            <w:noWrap w:val="0"/>
            <w:vAlign w:val="center"/>
          </w:tcPr>
          <w:p w14:paraId="4924086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s="宋体"/>
                <w:color w:val="auto"/>
                <w:szCs w:val="21"/>
                <w:highlight w:val="none"/>
              </w:rPr>
            </w:pPr>
            <w:r>
              <w:rPr>
                <w:rFonts w:hint="eastAsia" w:ascii="宋体" w:hAnsi="宋体" w:cs="仿宋_GB2312"/>
                <w:color w:val="auto"/>
                <w:szCs w:val="21"/>
                <w:highlight w:val="none"/>
                <w:lang w:val="zh-CN"/>
              </w:rPr>
              <w:t>每个分包只能有一个方案投标。</w:t>
            </w:r>
          </w:p>
        </w:tc>
      </w:tr>
      <w:tr w14:paraId="3DA8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731" w:type="dxa"/>
            <w:vMerge w:val="continue"/>
            <w:noWrap w:val="0"/>
            <w:vAlign w:val="center"/>
          </w:tcPr>
          <w:p w14:paraId="3B748B3B">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rPr>
            </w:pPr>
          </w:p>
        </w:tc>
        <w:tc>
          <w:tcPr>
            <w:tcW w:w="1204" w:type="dxa"/>
            <w:vMerge w:val="continue"/>
            <w:noWrap w:val="0"/>
            <w:vAlign w:val="center"/>
          </w:tcPr>
          <w:p w14:paraId="58AA67A8">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rPr>
            </w:pPr>
          </w:p>
        </w:tc>
        <w:tc>
          <w:tcPr>
            <w:tcW w:w="2931" w:type="dxa"/>
            <w:noWrap w:val="0"/>
            <w:vAlign w:val="center"/>
          </w:tcPr>
          <w:p w14:paraId="16A8D7B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s="仿宋_GB2312"/>
                <w:color w:val="auto"/>
                <w:szCs w:val="21"/>
                <w:highlight w:val="none"/>
                <w:lang w:val="zh-CN"/>
              </w:rPr>
            </w:pPr>
            <w:r>
              <w:rPr>
                <w:rFonts w:hint="eastAsia" w:ascii="宋体"/>
                <w:color w:val="auto"/>
                <w:szCs w:val="21"/>
                <w:highlight w:val="none"/>
              </w:rPr>
              <w:t>（3）报价唯一</w:t>
            </w:r>
          </w:p>
        </w:tc>
        <w:tc>
          <w:tcPr>
            <w:tcW w:w="5101" w:type="dxa"/>
            <w:noWrap w:val="0"/>
            <w:vAlign w:val="center"/>
          </w:tcPr>
          <w:p w14:paraId="5B76B05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s="宋体"/>
                <w:color w:val="auto"/>
                <w:szCs w:val="21"/>
                <w:highlight w:val="none"/>
              </w:rPr>
            </w:pPr>
            <w:r>
              <w:rPr>
                <w:rFonts w:hint="eastAsia" w:ascii="宋体" w:cs="仿宋_GB2312"/>
                <w:color w:val="auto"/>
                <w:szCs w:val="21"/>
                <w:highlight w:val="none"/>
                <w:lang w:val="zh-CN"/>
              </w:rPr>
              <w:t>只能在限价范围内报价，</w:t>
            </w:r>
            <w:r>
              <w:rPr>
                <w:rFonts w:hint="eastAsia" w:ascii="宋体"/>
                <w:color w:val="auto"/>
                <w:szCs w:val="21"/>
                <w:highlight w:val="none"/>
              </w:rPr>
              <w:t>只能有一个有效报价，不得提交选择性报价。</w:t>
            </w:r>
          </w:p>
        </w:tc>
      </w:tr>
      <w:tr w14:paraId="6D9BF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31" w:type="dxa"/>
            <w:vMerge w:val="continue"/>
            <w:noWrap w:val="0"/>
            <w:vAlign w:val="center"/>
          </w:tcPr>
          <w:p w14:paraId="5BB5A752">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rPr>
            </w:pPr>
          </w:p>
        </w:tc>
        <w:tc>
          <w:tcPr>
            <w:tcW w:w="1204" w:type="dxa"/>
            <w:vMerge w:val="continue"/>
            <w:noWrap w:val="0"/>
            <w:vAlign w:val="center"/>
          </w:tcPr>
          <w:p w14:paraId="3D464BDC">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rPr>
            </w:pPr>
          </w:p>
        </w:tc>
        <w:tc>
          <w:tcPr>
            <w:tcW w:w="2931" w:type="dxa"/>
            <w:noWrap w:val="0"/>
            <w:vAlign w:val="center"/>
          </w:tcPr>
          <w:p w14:paraId="1570C2C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olor w:val="auto"/>
                <w:szCs w:val="21"/>
                <w:highlight w:val="none"/>
              </w:rPr>
            </w:pPr>
            <w:r>
              <w:rPr>
                <w:rFonts w:hint="eastAsia" w:ascii="宋体"/>
                <w:color w:val="auto"/>
                <w:szCs w:val="21"/>
                <w:highlight w:val="none"/>
              </w:rPr>
              <w:t xml:space="preserve"> (4) 投标文件的有效期</w:t>
            </w:r>
          </w:p>
        </w:tc>
        <w:tc>
          <w:tcPr>
            <w:tcW w:w="5101" w:type="dxa"/>
            <w:noWrap w:val="0"/>
            <w:vAlign w:val="center"/>
          </w:tcPr>
          <w:p w14:paraId="0A10476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s="仿宋_GB2312"/>
                <w:color w:val="auto"/>
                <w:szCs w:val="21"/>
                <w:highlight w:val="none"/>
                <w:lang w:val="zh-CN"/>
              </w:rPr>
            </w:pPr>
            <w:r>
              <w:rPr>
                <w:rFonts w:hint="eastAsia" w:ascii="宋体" w:cs="仿宋_GB2312"/>
                <w:color w:val="auto"/>
                <w:szCs w:val="21"/>
                <w:highlight w:val="none"/>
                <w:lang w:val="zh-CN"/>
              </w:rPr>
              <w:t>完全响应。</w:t>
            </w:r>
          </w:p>
        </w:tc>
      </w:tr>
      <w:tr w14:paraId="4B6B4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731" w:type="dxa"/>
            <w:vMerge w:val="restart"/>
            <w:noWrap w:val="0"/>
            <w:vAlign w:val="center"/>
          </w:tcPr>
          <w:p w14:paraId="4503882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color w:val="auto"/>
                <w:szCs w:val="21"/>
                <w:highlight w:val="none"/>
              </w:rPr>
            </w:pPr>
            <w:r>
              <w:rPr>
                <w:rFonts w:hint="eastAsia" w:ascii="宋体"/>
                <w:color w:val="auto"/>
                <w:szCs w:val="21"/>
                <w:highlight w:val="none"/>
              </w:rPr>
              <w:t>2</w:t>
            </w:r>
          </w:p>
        </w:tc>
        <w:tc>
          <w:tcPr>
            <w:tcW w:w="1204" w:type="dxa"/>
            <w:vMerge w:val="restart"/>
            <w:noWrap w:val="0"/>
            <w:vAlign w:val="center"/>
          </w:tcPr>
          <w:p w14:paraId="7F32534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s="仿宋_GB2312"/>
                <w:color w:val="auto"/>
                <w:szCs w:val="21"/>
                <w:highlight w:val="none"/>
                <w:lang w:val="zh-CN"/>
              </w:rPr>
            </w:pPr>
            <w:r>
              <w:rPr>
                <w:rFonts w:hint="eastAsia" w:ascii="宋体" w:cs="仿宋_GB2312"/>
                <w:color w:val="auto"/>
                <w:szCs w:val="21"/>
                <w:highlight w:val="none"/>
                <w:lang w:val="zh-CN"/>
              </w:rPr>
              <w:t>投标文件的完整性</w:t>
            </w:r>
          </w:p>
        </w:tc>
        <w:tc>
          <w:tcPr>
            <w:tcW w:w="2931" w:type="dxa"/>
            <w:noWrap w:val="0"/>
            <w:vAlign w:val="center"/>
          </w:tcPr>
          <w:p w14:paraId="5EF20D3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s="宋体"/>
                <w:color w:val="auto"/>
                <w:szCs w:val="21"/>
                <w:highlight w:val="none"/>
              </w:rPr>
            </w:pPr>
            <w:r>
              <w:rPr>
                <w:rFonts w:hint="eastAsia" w:ascii="宋体" w:cs="仿宋_GB2312"/>
                <w:color w:val="auto"/>
                <w:szCs w:val="21"/>
                <w:highlight w:val="none"/>
                <w:lang w:val="zh-CN"/>
              </w:rPr>
              <w:t>（5）投标文件份数</w:t>
            </w:r>
          </w:p>
        </w:tc>
        <w:tc>
          <w:tcPr>
            <w:tcW w:w="5101" w:type="dxa"/>
            <w:noWrap w:val="0"/>
            <w:vAlign w:val="center"/>
          </w:tcPr>
          <w:p w14:paraId="0504A0B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s="宋体"/>
                <w:color w:val="auto"/>
                <w:szCs w:val="21"/>
                <w:highlight w:val="none"/>
              </w:rPr>
            </w:pPr>
            <w:r>
              <w:rPr>
                <w:rFonts w:hint="eastAsia" w:ascii="宋体" w:hAnsi="宋体" w:cs="宋体"/>
                <w:color w:val="auto"/>
                <w:szCs w:val="21"/>
                <w:highlight w:val="none"/>
              </w:rPr>
              <w:t>网上递交的电子投标文件：一份</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w:t>
            </w:r>
          </w:p>
        </w:tc>
      </w:tr>
      <w:tr w14:paraId="2B6B6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31" w:type="dxa"/>
            <w:vMerge w:val="continue"/>
            <w:noWrap w:val="0"/>
            <w:vAlign w:val="center"/>
          </w:tcPr>
          <w:p w14:paraId="54C11AB6">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rPr>
            </w:pPr>
          </w:p>
        </w:tc>
        <w:tc>
          <w:tcPr>
            <w:tcW w:w="1204" w:type="dxa"/>
            <w:vMerge w:val="continue"/>
            <w:noWrap w:val="0"/>
            <w:vAlign w:val="center"/>
          </w:tcPr>
          <w:p w14:paraId="068F4ED8">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rPr>
            </w:pPr>
          </w:p>
        </w:tc>
        <w:tc>
          <w:tcPr>
            <w:tcW w:w="2931" w:type="dxa"/>
            <w:noWrap w:val="0"/>
            <w:vAlign w:val="center"/>
          </w:tcPr>
          <w:p w14:paraId="5F71AFE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s="仿宋_GB2312"/>
                <w:color w:val="auto"/>
                <w:szCs w:val="21"/>
                <w:highlight w:val="none"/>
                <w:lang w:val="zh-CN"/>
              </w:rPr>
            </w:pPr>
            <w:r>
              <w:rPr>
                <w:rFonts w:hint="eastAsia" w:ascii="宋体" w:cs="仿宋_GB2312"/>
                <w:color w:val="auto"/>
                <w:szCs w:val="21"/>
                <w:highlight w:val="none"/>
                <w:lang w:val="zh-CN"/>
              </w:rPr>
              <w:t>（6）投标文件形式内容</w:t>
            </w:r>
          </w:p>
        </w:tc>
        <w:tc>
          <w:tcPr>
            <w:tcW w:w="5101" w:type="dxa"/>
            <w:noWrap w:val="0"/>
            <w:vAlign w:val="center"/>
          </w:tcPr>
          <w:p w14:paraId="253308E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s="仿宋_GB2312"/>
                <w:color w:val="auto"/>
                <w:szCs w:val="21"/>
                <w:highlight w:val="none"/>
                <w:lang w:val="zh-CN"/>
              </w:rPr>
            </w:pPr>
            <w:r>
              <w:rPr>
                <w:rFonts w:hint="eastAsia" w:ascii="宋体" w:cs="仿宋_GB2312"/>
                <w:color w:val="auto"/>
                <w:szCs w:val="21"/>
                <w:highlight w:val="none"/>
                <w:lang w:val="zh-CN"/>
              </w:rPr>
              <w:t>投标文件内容清晰、齐全无遗漏。</w:t>
            </w:r>
          </w:p>
        </w:tc>
      </w:tr>
      <w:tr w14:paraId="713D4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1" w:type="dxa"/>
            <w:vMerge w:val="restart"/>
            <w:noWrap w:val="0"/>
            <w:vAlign w:val="center"/>
          </w:tcPr>
          <w:p w14:paraId="390BF16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color w:val="auto"/>
                <w:szCs w:val="21"/>
                <w:highlight w:val="none"/>
              </w:rPr>
            </w:pPr>
            <w:r>
              <w:rPr>
                <w:rFonts w:hint="eastAsia" w:ascii="宋体"/>
                <w:color w:val="auto"/>
                <w:szCs w:val="21"/>
                <w:highlight w:val="none"/>
              </w:rPr>
              <w:t>3</w:t>
            </w:r>
          </w:p>
        </w:tc>
        <w:tc>
          <w:tcPr>
            <w:tcW w:w="1204" w:type="dxa"/>
            <w:vMerge w:val="restart"/>
            <w:noWrap w:val="0"/>
            <w:vAlign w:val="center"/>
          </w:tcPr>
          <w:p w14:paraId="7CDB237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cs="仿宋_GB2312"/>
                <w:color w:val="auto"/>
                <w:szCs w:val="21"/>
                <w:highlight w:val="none"/>
                <w:lang w:val="zh-CN"/>
              </w:rPr>
            </w:pPr>
            <w:r>
              <w:rPr>
                <w:rFonts w:hint="eastAsia" w:ascii="宋体" w:cs="仿宋_GB2312"/>
                <w:color w:val="auto"/>
                <w:szCs w:val="21"/>
                <w:highlight w:val="none"/>
                <w:lang w:val="zh-CN"/>
              </w:rPr>
              <w:t>投标文件的响应程度</w:t>
            </w:r>
          </w:p>
        </w:tc>
        <w:tc>
          <w:tcPr>
            <w:tcW w:w="2931" w:type="dxa"/>
            <w:noWrap w:val="0"/>
            <w:vAlign w:val="center"/>
          </w:tcPr>
          <w:p w14:paraId="76621B3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s="仿宋_GB2312"/>
                <w:color w:val="auto"/>
                <w:szCs w:val="21"/>
                <w:highlight w:val="none"/>
                <w:lang w:val="zh-CN"/>
              </w:rPr>
            </w:pPr>
            <w:r>
              <w:rPr>
                <w:rFonts w:hint="eastAsia" w:ascii="宋体" w:cs="仿宋_GB2312"/>
                <w:color w:val="auto"/>
                <w:szCs w:val="21"/>
                <w:highlight w:val="none"/>
                <w:lang w:val="zh-CN"/>
              </w:rPr>
              <w:t>（7）采购需求响应程度</w:t>
            </w:r>
          </w:p>
        </w:tc>
        <w:tc>
          <w:tcPr>
            <w:tcW w:w="5101" w:type="dxa"/>
            <w:noWrap w:val="0"/>
            <w:vAlign w:val="center"/>
          </w:tcPr>
          <w:p w14:paraId="3CC7D23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s="仿宋_GB2312"/>
                <w:color w:val="auto"/>
                <w:szCs w:val="21"/>
                <w:highlight w:val="none"/>
                <w:lang w:val="zh-CN"/>
              </w:rPr>
            </w:pPr>
            <w:r>
              <w:rPr>
                <w:rFonts w:hint="eastAsia" w:ascii="宋体" w:cs="仿宋_GB2312"/>
                <w:color w:val="auto"/>
                <w:szCs w:val="21"/>
                <w:highlight w:val="none"/>
                <w:lang w:val="zh-CN"/>
              </w:rPr>
              <w:t>最大限度地满足招标文件要求。</w:t>
            </w:r>
          </w:p>
        </w:tc>
      </w:tr>
      <w:tr w14:paraId="7B437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731" w:type="dxa"/>
            <w:vMerge w:val="continue"/>
            <w:noWrap w:val="0"/>
            <w:vAlign w:val="center"/>
          </w:tcPr>
          <w:p w14:paraId="7E2F7823">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rPr>
            </w:pPr>
          </w:p>
        </w:tc>
        <w:tc>
          <w:tcPr>
            <w:tcW w:w="1204" w:type="dxa"/>
            <w:vMerge w:val="continue"/>
            <w:noWrap w:val="0"/>
            <w:vAlign w:val="center"/>
          </w:tcPr>
          <w:p w14:paraId="3B6CA584">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rPr>
            </w:pPr>
          </w:p>
        </w:tc>
        <w:tc>
          <w:tcPr>
            <w:tcW w:w="2931" w:type="dxa"/>
            <w:noWrap w:val="0"/>
            <w:vAlign w:val="center"/>
          </w:tcPr>
          <w:p w14:paraId="0D9E24C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s="仿宋_GB2312"/>
                <w:color w:val="auto"/>
                <w:szCs w:val="21"/>
                <w:highlight w:val="none"/>
                <w:lang w:val="zh-CN"/>
              </w:rPr>
            </w:pPr>
            <w:r>
              <w:rPr>
                <w:rFonts w:hint="eastAsia" w:ascii="宋体" w:cs="仿宋_GB2312"/>
                <w:color w:val="auto"/>
                <w:szCs w:val="21"/>
                <w:highlight w:val="none"/>
                <w:lang w:val="zh-CN"/>
              </w:rPr>
              <w:t>（8）商务条款响应程度（包括不限于业绩、服务期、售后服务、技术培训等）</w:t>
            </w:r>
          </w:p>
        </w:tc>
        <w:tc>
          <w:tcPr>
            <w:tcW w:w="5101" w:type="dxa"/>
            <w:noWrap w:val="0"/>
            <w:vAlign w:val="center"/>
          </w:tcPr>
          <w:p w14:paraId="1DE6E43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s="仿宋_GB2312"/>
                <w:color w:val="auto"/>
                <w:szCs w:val="21"/>
                <w:highlight w:val="none"/>
                <w:lang w:val="zh-CN"/>
              </w:rPr>
            </w:pPr>
            <w:r>
              <w:rPr>
                <w:rFonts w:hint="eastAsia" w:ascii="宋体" w:cs="仿宋_GB2312"/>
                <w:color w:val="auto"/>
                <w:szCs w:val="21"/>
                <w:highlight w:val="none"/>
                <w:lang w:val="zh-CN"/>
              </w:rPr>
              <w:t>响应招标文件要求。</w:t>
            </w:r>
          </w:p>
        </w:tc>
      </w:tr>
    </w:tbl>
    <w:p w14:paraId="63A9902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color w:val="auto"/>
          <w:szCs w:val="21"/>
          <w:highlight w:val="none"/>
        </w:rPr>
      </w:pPr>
      <w:r>
        <w:rPr>
          <w:rFonts w:hint="eastAsia" w:ascii="宋体"/>
          <w:color w:val="auto"/>
          <w:szCs w:val="21"/>
          <w:highlight w:val="none"/>
        </w:rPr>
        <w:t>4.2资格审查及评分细则中涉及的有关证明材料及相关证书，电子投标文件中须按招标文件要求上传</w:t>
      </w:r>
      <w:r>
        <w:rPr>
          <w:rFonts w:hint="eastAsia" w:ascii="宋体" w:hAnsi="宋体"/>
          <w:b/>
          <w:color w:val="auto"/>
          <w:szCs w:val="21"/>
          <w:highlight w:val="none"/>
        </w:rPr>
        <w:t>扫描件</w:t>
      </w:r>
      <w:r>
        <w:rPr>
          <w:rFonts w:hint="eastAsia" w:ascii="宋体"/>
          <w:color w:val="auto"/>
          <w:szCs w:val="21"/>
          <w:highlight w:val="none"/>
        </w:rPr>
        <w:t>，以供审查。</w:t>
      </w:r>
    </w:p>
    <w:p w14:paraId="7F46A05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color w:val="auto"/>
          <w:szCs w:val="21"/>
          <w:highlight w:val="none"/>
        </w:rPr>
      </w:pPr>
      <w:r>
        <w:rPr>
          <w:rFonts w:hint="eastAsia" w:ascii="宋体"/>
          <w:color w:val="auto"/>
          <w:szCs w:val="21"/>
          <w:highlight w:val="none"/>
        </w:rPr>
        <w:t>4.3．评标委员会判定投标文件的响应性只根据投标文件本身的内容，而不寻求外部的证据，但投标有不真实不正确的内容时除外。</w:t>
      </w:r>
    </w:p>
    <w:p w14:paraId="12E29A7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bCs/>
          <w:color w:val="auto"/>
          <w:sz w:val="24"/>
          <w:szCs w:val="24"/>
          <w:highlight w:val="none"/>
        </w:rPr>
      </w:pPr>
      <w:r>
        <w:rPr>
          <w:rFonts w:hint="eastAsia" w:ascii="宋体"/>
          <w:color w:val="auto"/>
          <w:szCs w:val="21"/>
          <w:highlight w:val="none"/>
        </w:rPr>
        <w:t>4.4如果投标文件实质上没有响应招标文件的要求，评标委员会将予以拒绝，投标人不得通过修正或撤销不符合要求的偏离或保留，而使其投标成为实质上响应的投标。</w:t>
      </w:r>
    </w:p>
    <w:p w14:paraId="7D924252">
      <w:pPr>
        <w:keepNext w:val="0"/>
        <w:keepLines w:val="0"/>
        <w:pageBreakBefore w:val="0"/>
        <w:widowControl w:val="0"/>
        <w:kinsoku/>
        <w:wordWrap/>
        <w:overflowPunct/>
        <w:topLinePunct w:val="0"/>
        <w:autoSpaceDE/>
        <w:autoSpaceDN/>
        <w:bidi w:val="0"/>
        <w:adjustRightInd/>
        <w:snapToGrid/>
        <w:spacing w:before="313" w:beforeLines="100" w:line="440" w:lineRule="exact"/>
        <w:jc w:val="center"/>
        <w:textAlignment w:val="auto"/>
        <w:outlineLvl w:val="1"/>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投标文件的澄清和补正</w:t>
      </w:r>
      <w:bookmarkEnd w:id="64"/>
    </w:p>
    <w:p w14:paraId="4E35044F">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评审阶段，评委可能会要求有关投标人就其投标书中含义不明确、同类问题表述不一致或者有明显文字和计算错误的内容进行澄清。</w:t>
      </w:r>
      <w:r>
        <w:rPr>
          <w:rFonts w:hint="eastAsia" w:ascii="宋体" w:hAnsi="宋体" w:eastAsia="宋体" w:cs="宋体"/>
          <w:b/>
          <w:bCs/>
          <w:color w:val="auto"/>
          <w:sz w:val="21"/>
          <w:szCs w:val="21"/>
          <w:highlight w:val="none"/>
        </w:rPr>
        <w:t>如因投标人未参加开标导致开评标过程中无法澄清、说明或补正的，视同投标人放弃该权利。</w:t>
      </w:r>
    </w:p>
    <w:p w14:paraId="33FDDA61">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投标人的澄清</w:t>
      </w:r>
    </w:p>
    <w:p w14:paraId="267F1FA5">
      <w:pPr>
        <w:keepNext w:val="0"/>
        <w:keepLines w:val="0"/>
        <w:pageBreakBefore w:val="0"/>
        <w:widowControl w:val="0"/>
        <w:kinsoku/>
        <w:wordWrap/>
        <w:overflowPunct/>
        <w:topLinePunct w:val="0"/>
        <w:autoSpaceDE/>
        <w:autoSpaceDN/>
        <w:bidi w:val="0"/>
        <w:adjustRightInd/>
        <w:snapToGrid/>
        <w:spacing w:line="440" w:lineRule="exact"/>
        <w:ind w:firstLine="527" w:firstLineChars="250"/>
        <w:textAlignment w:val="auto"/>
        <w:rPr>
          <w:rFonts w:hint="eastAsia" w:ascii="宋体" w:hAnsi="宋体" w:eastAsia="宋体" w:cs="宋体"/>
          <w:color w:val="auto"/>
          <w:sz w:val="21"/>
          <w:szCs w:val="21"/>
          <w:highlight w:val="none"/>
        </w:rPr>
      </w:pPr>
      <w:r>
        <w:rPr>
          <w:rFonts w:hint="eastAsia" w:ascii="宋体" w:hAnsi="宋体" w:cs="宋体"/>
          <w:b/>
          <w:bCs/>
          <w:color w:val="auto"/>
          <w:szCs w:val="21"/>
          <w:highlight w:val="none"/>
          <w:lang w:val="en-US" w:eastAsia="zh-CN"/>
        </w:rPr>
        <w:t>本项目采用远程开标，具体操作方法详见服务指南&gt;交易须知&gt;开标大厅远程解密、质疑(异议)及回复以及评标过程中询标流程操作手册</w:t>
      </w:r>
      <w:r>
        <w:rPr>
          <w:rFonts w:hint="eastAsia" w:ascii="宋体" w:hAnsi="宋体" w:cs="宋体"/>
          <w:b/>
          <w:bCs/>
          <w:color w:val="auto"/>
          <w:szCs w:val="21"/>
          <w:highlight w:val="none"/>
        </w:rPr>
        <w:t>。</w:t>
      </w:r>
    </w:p>
    <w:p w14:paraId="23841C5D">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评委会修正错误的原则：</w:t>
      </w:r>
    </w:p>
    <w:p w14:paraId="1053594E">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如果数字表示的金额和用文字表示的金额不一致时，以文字表示的金额为准</w:t>
      </w:r>
      <w:r>
        <w:rPr>
          <w:rFonts w:hint="eastAsia" w:ascii="宋体" w:hAnsi="宋体" w:eastAsia="宋体" w:cs="宋体"/>
          <w:color w:val="auto"/>
          <w:sz w:val="21"/>
          <w:szCs w:val="21"/>
          <w:highlight w:val="none"/>
          <w:lang w:eastAsia="zh-CN"/>
        </w:rPr>
        <w:t>。</w:t>
      </w:r>
    </w:p>
    <w:p w14:paraId="2973CB46">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如果单价与数量的乘积和总价不一致，以单价为准，修正总价；当单价小数点有明显的错位时，评委会将以总价为准，并修正其单价；投标的数量与招标的数量不一致时，以招标数量为准。</w:t>
      </w:r>
    </w:p>
    <w:p w14:paraId="1138E099">
      <w:pPr>
        <w:keepNext w:val="0"/>
        <w:keepLines w:val="0"/>
        <w:pageBreakBefore w:val="0"/>
        <w:widowControl w:val="0"/>
        <w:kinsoku/>
        <w:wordWrap/>
        <w:overflowPunct/>
        <w:topLinePunct w:val="0"/>
        <w:autoSpaceDE/>
        <w:autoSpaceDN/>
        <w:bidi w:val="0"/>
        <w:adjustRightInd/>
        <w:snapToGrid/>
        <w:spacing w:line="440" w:lineRule="exact"/>
        <w:ind w:firstLine="403" w:firstLineChars="192"/>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评委会将按上述修正错误的方法调整投标文件中的投标报价，调整后的价格应对投标人具有约束力。无论投标人是接受或是拒绝调整后的价格，都应当由法定代表人（或委托代理人）签字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签章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予以确认。投标人拒绝对投标文件出现的错漏按上述原则进行修正、澄清、说明，评标委员会应当否决其投标。</w:t>
      </w:r>
    </w:p>
    <w:p w14:paraId="111B32F8">
      <w:pPr>
        <w:rPr>
          <w:rFonts w:hint="eastAsia" w:ascii="宋体" w:hAnsi="宋体" w:cs="宋体"/>
          <w:b/>
          <w:bCs/>
          <w:color w:val="auto"/>
          <w:sz w:val="24"/>
          <w:szCs w:val="24"/>
          <w:highlight w:val="none"/>
          <w:lang w:val="en-US" w:eastAsia="zh-CN"/>
        </w:rPr>
      </w:pPr>
      <w:bookmarkStart w:id="65" w:name="_Toc30419"/>
    </w:p>
    <w:p w14:paraId="49A6CEAA">
      <w:pPr>
        <w:keepNext w:val="0"/>
        <w:keepLines w:val="0"/>
        <w:pageBreakBefore w:val="0"/>
        <w:widowControl w:val="0"/>
        <w:kinsoku/>
        <w:wordWrap/>
        <w:overflowPunct/>
        <w:topLinePunct w:val="0"/>
        <w:autoSpaceDE/>
        <w:autoSpaceDN/>
        <w:bidi w:val="0"/>
        <w:adjustRightInd/>
        <w:snapToGrid/>
        <w:spacing w:before="313" w:beforeLines="100" w:line="440" w:lineRule="exact"/>
        <w:jc w:val="center"/>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四、投标报价评分细则</w:t>
      </w:r>
      <w:bookmarkEnd w:id="65"/>
    </w:p>
    <w:tbl>
      <w:tblPr>
        <w:tblStyle w:val="45"/>
        <w:tblW w:w="966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49"/>
        <w:gridCol w:w="1842"/>
        <w:gridCol w:w="6067"/>
      </w:tblGrid>
      <w:tr w14:paraId="5A1E1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758" w:type="dxa"/>
            <w:gridSpan w:val="2"/>
            <w:vAlign w:val="center"/>
          </w:tcPr>
          <w:p w14:paraId="1460956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评审项</w:t>
            </w:r>
          </w:p>
        </w:tc>
        <w:tc>
          <w:tcPr>
            <w:tcW w:w="1842" w:type="dxa"/>
            <w:vAlign w:val="center"/>
          </w:tcPr>
          <w:p w14:paraId="2E66EDB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评审因素</w:t>
            </w:r>
          </w:p>
        </w:tc>
        <w:tc>
          <w:tcPr>
            <w:tcW w:w="6067" w:type="dxa"/>
            <w:vAlign w:val="center"/>
          </w:tcPr>
          <w:p w14:paraId="22D39B9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评审标准</w:t>
            </w:r>
          </w:p>
        </w:tc>
      </w:tr>
      <w:tr w14:paraId="5FC80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09" w:type="dxa"/>
            <w:vMerge w:val="restart"/>
            <w:vAlign w:val="center"/>
          </w:tcPr>
          <w:p w14:paraId="46BB242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49" w:type="dxa"/>
            <w:vMerge w:val="restart"/>
            <w:vAlign w:val="center"/>
          </w:tcPr>
          <w:p w14:paraId="4F9826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形式评审标准</w:t>
            </w:r>
          </w:p>
        </w:tc>
        <w:tc>
          <w:tcPr>
            <w:tcW w:w="1842" w:type="dxa"/>
            <w:vAlign w:val="center"/>
          </w:tcPr>
          <w:p w14:paraId="2BBC262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投标函签字盖章</w:t>
            </w:r>
          </w:p>
        </w:tc>
        <w:tc>
          <w:tcPr>
            <w:tcW w:w="6067" w:type="dxa"/>
            <w:vAlign w:val="center"/>
          </w:tcPr>
          <w:p w14:paraId="4DD0365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须按格式文件要求签字或盖章，否则经评委会一致认定</w:t>
            </w:r>
            <w:r>
              <w:rPr>
                <w:rFonts w:hint="eastAsia" w:ascii="宋体" w:hAnsi="宋体" w:eastAsia="宋体" w:cs="宋体"/>
                <w:color w:val="auto"/>
                <w:sz w:val="21"/>
                <w:szCs w:val="21"/>
                <w:highlight w:val="none"/>
                <w:lang w:val="en-US" w:eastAsia="zh-CN"/>
              </w:rPr>
              <w:t>后</w:t>
            </w:r>
            <w:r>
              <w:rPr>
                <w:rFonts w:hint="eastAsia" w:ascii="宋体" w:hAnsi="宋体" w:eastAsia="宋体" w:cs="宋体"/>
                <w:color w:val="auto"/>
                <w:sz w:val="21"/>
                <w:szCs w:val="21"/>
                <w:highlight w:val="none"/>
              </w:rPr>
              <w:t>, 按照无效投标处理。</w:t>
            </w:r>
          </w:p>
        </w:tc>
      </w:tr>
      <w:tr w14:paraId="2A662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09" w:type="dxa"/>
            <w:vMerge w:val="continue"/>
            <w:vAlign w:val="center"/>
          </w:tcPr>
          <w:p w14:paraId="68D41E7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p>
        </w:tc>
        <w:tc>
          <w:tcPr>
            <w:tcW w:w="1049" w:type="dxa"/>
            <w:vMerge w:val="continue"/>
            <w:vAlign w:val="center"/>
          </w:tcPr>
          <w:p w14:paraId="5EB6DDC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p>
        </w:tc>
        <w:tc>
          <w:tcPr>
            <w:tcW w:w="1842" w:type="dxa"/>
            <w:vAlign w:val="center"/>
          </w:tcPr>
          <w:p w14:paraId="35F2077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投标文件格式</w:t>
            </w:r>
          </w:p>
        </w:tc>
        <w:tc>
          <w:tcPr>
            <w:tcW w:w="6067" w:type="dxa"/>
            <w:vAlign w:val="center"/>
          </w:tcPr>
          <w:p w14:paraId="2DA2E22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符合“投标文件格式”的要求，否则经评委会一致认定</w:t>
            </w:r>
            <w:r>
              <w:rPr>
                <w:rFonts w:hint="eastAsia" w:ascii="宋体" w:hAnsi="宋体" w:eastAsia="宋体" w:cs="宋体"/>
                <w:color w:val="auto"/>
                <w:sz w:val="21"/>
                <w:szCs w:val="21"/>
                <w:highlight w:val="none"/>
                <w:lang w:val="en-US" w:eastAsia="zh-CN"/>
              </w:rPr>
              <w:t>后</w:t>
            </w:r>
            <w:r>
              <w:rPr>
                <w:rFonts w:hint="eastAsia" w:ascii="宋体" w:hAnsi="宋体" w:eastAsia="宋体" w:cs="宋体"/>
                <w:color w:val="auto"/>
                <w:sz w:val="21"/>
                <w:szCs w:val="21"/>
                <w:highlight w:val="none"/>
              </w:rPr>
              <w:t>,按照无效投标处理.</w:t>
            </w:r>
          </w:p>
        </w:tc>
      </w:tr>
      <w:tr w14:paraId="0D485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09" w:type="dxa"/>
            <w:vMerge w:val="continue"/>
            <w:vAlign w:val="center"/>
          </w:tcPr>
          <w:p w14:paraId="0F6B766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p>
        </w:tc>
        <w:tc>
          <w:tcPr>
            <w:tcW w:w="1049" w:type="dxa"/>
            <w:vMerge w:val="continue"/>
            <w:vAlign w:val="center"/>
          </w:tcPr>
          <w:p w14:paraId="2D64B55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p>
        </w:tc>
        <w:tc>
          <w:tcPr>
            <w:tcW w:w="1842" w:type="dxa"/>
            <w:vAlign w:val="center"/>
          </w:tcPr>
          <w:p w14:paraId="369A3E7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报价唯一</w:t>
            </w:r>
          </w:p>
        </w:tc>
        <w:tc>
          <w:tcPr>
            <w:tcW w:w="6067" w:type="dxa"/>
            <w:vAlign w:val="center"/>
          </w:tcPr>
          <w:p w14:paraId="0E620C5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只能有一个报价，否则按无效标处理</w:t>
            </w:r>
          </w:p>
        </w:tc>
      </w:tr>
      <w:tr w14:paraId="506B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09" w:type="dxa"/>
            <w:vMerge w:val="continue"/>
            <w:vAlign w:val="center"/>
          </w:tcPr>
          <w:p w14:paraId="37040A3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p>
        </w:tc>
        <w:tc>
          <w:tcPr>
            <w:tcW w:w="1049" w:type="dxa"/>
            <w:vMerge w:val="continue"/>
            <w:vAlign w:val="center"/>
          </w:tcPr>
          <w:p w14:paraId="025AADE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p>
        </w:tc>
        <w:tc>
          <w:tcPr>
            <w:tcW w:w="1842" w:type="dxa"/>
            <w:vAlign w:val="center"/>
          </w:tcPr>
          <w:p w14:paraId="7CFA880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投标函的报价</w:t>
            </w:r>
          </w:p>
        </w:tc>
        <w:tc>
          <w:tcPr>
            <w:tcW w:w="6067" w:type="dxa"/>
            <w:vAlign w:val="center"/>
          </w:tcPr>
          <w:p w14:paraId="7E1DB2D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不高于最高限价</w:t>
            </w:r>
          </w:p>
        </w:tc>
      </w:tr>
      <w:tr w14:paraId="78A9E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09" w:type="dxa"/>
            <w:vAlign w:val="center"/>
          </w:tcPr>
          <w:p w14:paraId="69CF0CD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049" w:type="dxa"/>
            <w:vAlign w:val="center"/>
          </w:tcPr>
          <w:p w14:paraId="038F436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投标报价评分</w:t>
            </w:r>
          </w:p>
          <w:p w14:paraId="4F8F846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分）</w:t>
            </w:r>
          </w:p>
        </w:tc>
        <w:tc>
          <w:tcPr>
            <w:tcW w:w="7909" w:type="dxa"/>
            <w:gridSpan w:val="2"/>
            <w:vAlign w:val="center"/>
          </w:tcPr>
          <w:p w14:paraId="6A0149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eastAsia="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招标人设置投标报价最高限价</w:t>
            </w:r>
            <w:r>
              <w:rPr>
                <w:rFonts w:hint="eastAsia" w:ascii="宋体" w:hAnsi="宋体" w:cs="宋体"/>
                <w:color w:val="auto"/>
                <w:sz w:val="21"/>
                <w:szCs w:val="21"/>
                <w:highlight w:val="none"/>
                <w:lang w:val="en-US" w:eastAsia="zh-CN"/>
              </w:rPr>
              <w:t>为《收费标准》计算费用的40%（报价均保留两位小数，小数点后第三位将四舍五入进行修正）</w:t>
            </w:r>
            <w:r>
              <w:rPr>
                <w:rFonts w:hint="eastAsia" w:ascii="宋体" w:hAnsi="宋体" w:cs="宋体"/>
                <w:color w:val="auto"/>
                <w:sz w:val="21"/>
                <w:szCs w:val="21"/>
                <w:highlight w:val="none"/>
              </w:rPr>
              <w:t>，各投标人有效报价不得高于最高限价，否则，其投标文件按无效标处理。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投标报价不可以填报0或负数，否则按无效标处理</w:t>
            </w:r>
            <w:r>
              <w:rPr>
                <w:rFonts w:hint="eastAsia" w:ascii="宋体" w:hAnsi="宋体" w:cs="宋体"/>
                <w:color w:val="auto"/>
                <w:sz w:val="21"/>
                <w:szCs w:val="21"/>
                <w:highlight w:val="none"/>
                <w:lang w:eastAsia="zh-CN"/>
              </w:rPr>
              <w:t>）</w:t>
            </w:r>
          </w:p>
          <w:p w14:paraId="489FCF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color w:val="auto"/>
                <w:sz w:val="21"/>
                <w:szCs w:val="21"/>
                <w:highlight w:val="none"/>
              </w:rPr>
            </w:pPr>
            <w:r>
              <w:rPr>
                <w:rFonts w:hint="eastAsia" w:ascii="宋体"/>
                <w:color w:val="auto"/>
                <w:sz w:val="21"/>
                <w:szCs w:val="21"/>
                <w:highlight w:val="none"/>
              </w:rPr>
              <w:t>（2）评标基准值=所有有效投标人</w:t>
            </w:r>
            <w:r>
              <w:rPr>
                <w:rFonts w:hint="eastAsia" w:ascii="宋体"/>
                <w:color w:val="auto"/>
                <w:sz w:val="21"/>
                <w:szCs w:val="21"/>
                <w:highlight w:val="none"/>
                <w:lang w:val="en-US" w:eastAsia="zh-CN"/>
              </w:rPr>
              <w:t>投标</w:t>
            </w:r>
            <w:r>
              <w:rPr>
                <w:rFonts w:hint="eastAsia" w:ascii="宋体"/>
                <w:color w:val="auto"/>
                <w:sz w:val="21"/>
                <w:szCs w:val="21"/>
                <w:highlight w:val="none"/>
              </w:rPr>
              <w:t>报价的算术平均值（小数点后保留两位小数，小数点后第三位四舍五入）。</w:t>
            </w:r>
          </w:p>
          <w:p w14:paraId="68E18B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color w:val="auto"/>
                <w:sz w:val="21"/>
                <w:szCs w:val="21"/>
                <w:highlight w:val="none"/>
              </w:rPr>
            </w:pPr>
            <w:r>
              <w:rPr>
                <w:rFonts w:hint="eastAsia" w:ascii="宋体"/>
                <w:color w:val="auto"/>
                <w:sz w:val="21"/>
                <w:szCs w:val="21"/>
                <w:highlight w:val="none"/>
              </w:rPr>
              <w:t>（3）</w:t>
            </w:r>
            <w:r>
              <w:rPr>
                <w:rFonts w:hint="eastAsia" w:ascii="宋体"/>
                <w:color w:val="auto"/>
                <w:sz w:val="21"/>
                <w:szCs w:val="21"/>
                <w:highlight w:val="none"/>
                <w:lang w:val="en-US" w:eastAsia="zh-CN"/>
              </w:rPr>
              <w:t>计算报价偏差率</w:t>
            </w:r>
          </w:p>
          <w:p w14:paraId="13DC7E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color w:val="auto"/>
                <w:sz w:val="21"/>
                <w:szCs w:val="21"/>
                <w:highlight w:val="none"/>
              </w:rPr>
            </w:pPr>
            <w:r>
              <w:rPr>
                <w:rFonts w:hint="eastAsia" w:ascii="宋体"/>
                <w:color w:val="auto"/>
                <w:sz w:val="21"/>
                <w:szCs w:val="21"/>
                <w:highlight w:val="none"/>
                <w:lang w:val="en-US" w:eastAsia="zh-CN"/>
              </w:rPr>
              <w:t>①偏差率=|（投标报价-评标基准价）/评标基准价|×100%</w:t>
            </w:r>
          </w:p>
          <w:p w14:paraId="38EB46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color w:val="auto"/>
                <w:sz w:val="21"/>
                <w:szCs w:val="21"/>
                <w:highlight w:val="none"/>
              </w:rPr>
            </w:pPr>
            <w:r>
              <w:rPr>
                <w:rFonts w:hint="eastAsia" w:ascii="宋体"/>
                <w:color w:val="auto"/>
                <w:sz w:val="21"/>
                <w:szCs w:val="21"/>
                <w:highlight w:val="none"/>
                <w:lang w:val="en-US" w:eastAsia="zh-CN"/>
              </w:rPr>
              <w:t>（4）计算报价得分</w:t>
            </w:r>
          </w:p>
          <w:p w14:paraId="452F0B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color w:val="auto"/>
                <w:sz w:val="21"/>
                <w:szCs w:val="21"/>
                <w:highlight w:val="none"/>
              </w:rPr>
            </w:pPr>
            <w:r>
              <w:rPr>
                <w:rFonts w:hint="eastAsia" w:ascii="宋体"/>
                <w:color w:val="auto"/>
                <w:sz w:val="21"/>
                <w:szCs w:val="21"/>
                <w:highlight w:val="none"/>
                <w:lang w:val="en-US" w:eastAsia="zh-CN"/>
              </w:rPr>
              <w:t>①投标报价等于评标基准价的得满分。</w:t>
            </w:r>
          </w:p>
          <w:p w14:paraId="6813A5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color w:val="auto"/>
                <w:sz w:val="21"/>
                <w:szCs w:val="21"/>
                <w:highlight w:val="none"/>
              </w:rPr>
            </w:pPr>
            <w:r>
              <w:rPr>
                <w:rFonts w:hint="eastAsia" w:ascii="宋体"/>
                <w:color w:val="auto"/>
                <w:sz w:val="21"/>
                <w:szCs w:val="21"/>
                <w:highlight w:val="none"/>
                <w:lang w:val="en-US" w:eastAsia="zh-CN"/>
              </w:rPr>
              <w:t>②投标报价高于评标基准价的，投标报价得分=报价满分值-偏差率×100×1</w:t>
            </w:r>
          </w:p>
          <w:p w14:paraId="2D3C30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color w:val="auto"/>
                <w:sz w:val="21"/>
                <w:szCs w:val="21"/>
                <w:highlight w:val="none"/>
              </w:rPr>
            </w:pPr>
            <w:r>
              <w:rPr>
                <w:rFonts w:hint="eastAsia" w:ascii="宋体"/>
                <w:color w:val="auto"/>
                <w:sz w:val="21"/>
                <w:szCs w:val="21"/>
                <w:highlight w:val="none"/>
                <w:lang w:val="en-US" w:eastAsia="zh-CN"/>
              </w:rPr>
              <w:t>③投标报价低于评标基准价的，投标报价得分=报价满分值-偏差率×100×0.5</w:t>
            </w:r>
            <w:r>
              <w:rPr>
                <w:rFonts w:hint="eastAsia" w:ascii="宋体"/>
                <w:color w:val="auto"/>
                <w:sz w:val="21"/>
                <w:szCs w:val="21"/>
                <w:highlight w:val="none"/>
              </w:rPr>
              <w:t>。</w:t>
            </w:r>
          </w:p>
          <w:p w14:paraId="4CD4631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olor w:val="auto"/>
                <w:sz w:val="21"/>
                <w:szCs w:val="21"/>
                <w:highlight w:val="none"/>
              </w:rPr>
            </w:pPr>
            <w:r>
              <w:rPr>
                <w:rFonts w:hint="eastAsia" w:ascii="宋体"/>
                <w:color w:val="auto"/>
                <w:sz w:val="21"/>
                <w:szCs w:val="21"/>
                <w:highlight w:val="none"/>
              </w:rPr>
              <w:t>注：计算过程中，评标基准值、偏差率、报价得分均保留两位小数，小数点后第三位四舍五入。</w:t>
            </w:r>
          </w:p>
          <w:p w14:paraId="6C860AB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highlight w:val="none"/>
              </w:rPr>
            </w:pPr>
            <w:r>
              <w:rPr>
                <w:rFonts w:hint="eastAsia" w:ascii="宋体"/>
                <w:color w:val="auto"/>
                <w:sz w:val="21"/>
                <w:szCs w:val="21"/>
                <w:highlight w:val="none"/>
              </w:rPr>
              <w:t>本项分值由评标委员会计算。</w:t>
            </w:r>
          </w:p>
        </w:tc>
      </w:tr>
    </w:tbl>
    <w:p w14:paraId="1DD67D2D">
      <w:pPr>
        <w:keepNext w:val="0"/>
        <w:keepLines w:val="0"/>
        <w:pageBreakBefore w:val="0"/>
        <w:widowControl w:val="0"/>
        <w:kinsoku/>
        <w:wordWrap/>
        <w:overflowPunct/>
        <w:topLinePunct w:val="0"/>
        <w:autoSpaceDE/>
        <w:autoSpaceDN/>
        <w:bidi w:val="0"/>
        <w:adjustRightInd/>
        <w:snapToGrid/>
        <w:spacing w:before="313" w:beforeLines="100" w:line="360" w:lineRule="exact"/>
        <w:jc w:val="center"/>
        <w:textAlignment w:val="auto"/>
        <w:outlineLvl w:val="1"/>
        <w:rPr>
          <w:rFonts w:hint="eastAsia" w:ascii="宋体" w:hAnsi="宋体" w:eastAsia="宋体" w:cs="宋体"/>
          <w:b/>
          <w:bCs/>
          <w:color w:val="auto"/>
          <w:sz w:val="24"/>
          <w:szCs w:val="24"/>
          <w:highlight w:val="none"/>
        </w:rPr>
      </w:pPr>
      <w:bookmarkStart w:id="66" w:name="_Toc20318"/>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推荐中标候选人</w:t>
      </w:r>
      <w:bookmarkEnd w:id="66"/>
    </w:p>
    <w:p w14:paraId="1BD855F9">
      <w:pPr>
        <w:pStyle w:val="2"/>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8.评标委员会</w:t>
      </w:r>
      <w:r>
        <w:rPr>
          <w:rFonts w:hint="eastAsia" w:ascii="宋体" w:hAnsi="宋体" w:eastAsia="宋体" w:cs="宋体"/>
          <w:color w:val="auto"/>
          <w:sz w:val="21"/>
          <w:szCs w:val="21"/>
          <w:highlight w:val="none"/>
          <w:lang w:val="en-US" w:eastAsia="zh-CN"/>
        </w:rPr>
        <w:t>先</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val="en-US" w:eastAsia="zh-CN"/>
        </w:rPr>
        <w:t>投标报价不高于投标限价的</w:t>
      </w:r>
      <w:r>
        <w:rPr>
          <w:rFonts w:hint="eastAsia" w:ascii="宋体" w:hAnsi="宋体" w:eastAsia="宋体" w:cs="宋体"/>
          <w:color w:val="auto"/>
          <w:sz w:val="21"/>
          <w:szCs w:val="21"/>
          <w:highlight w:val="none"/>
        </w:rPr>
        <w:t>投标人报价按计算标准计算得分，得分按照从高到低进行排序（如总得分相等，以投标报价低的优先，投标报价仍相等，由招标人</w:t>
      </w:r>
      <w:r>
        <w:rPr>
          <w:rFonts w:hint="eastAsia" w:ascii="宋体" w:hAnsi="宋体" w:eastAsia="宋体" w:cs="宋体"/>
          <w:color w:val="auto"/>
          <w:sz w:val="21"/>
          <w:szCs w:val="21"/>
          <w:highlight w:val="none"/>
          <w:lang w:val="en-US" w:eastAsia="zh-CN"/>
        </w:rPr>
        <w:t>或评标委员会</w:t>
      </w:r>
      <w:r>
        <w:rPr>
          <w:rFonts w:hint="eastAsia" w:ascii="宋体" w:hAnsi="宋体" w:eastAsia="宋体" w:cs="宋体"/>
          <w:color w:val="auto"/>
          <w:sz w:val="21"/>
          <w:szCs w:val="21"/>
          <w:highlight w:val="none"/>
        </w:rPr>
        <w:t>随机抽取确定排名，不得并列）。对排序前</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名的投标人</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文件进行评审并确定中标候选人。若排序前</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名的投标人</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文件评审不通过，则按得分排序递补至</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家投标人进行</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文件评审。</w:t>
      </w:r>
    </w:p>
    <w:p w14:paraId="2D219C1B">
      <w:pPr>
        <w:keepNext w:val="0"/>
        <w:keepLines w:val="0"/>
        <w:pageBreakBefore w:val="0"/>
        <w:widowControl w:val="0"/>
        <w:kinsoku/>
        <w:wordWrap/>
        <w:overflowPunct/>
        <w:topLinePunct w:val="0"/>
        <w:autoSpaceDE/>
        <w:autoSpaceDN/>
        <w:bidi w:val="0"/>
        <w:adjustRightInd/>
        <w:snapToGrid w:val="0"/>
        <w:spacing w:line="440" w:lineRule="exact"/>
        <w:ind w:right="0" w:rightChars="0" w:firstLine="570"/>
        <w:textAlignment w:val="auto"/>
        <w:rPr>
          <w:rFonts w:hint="eastAsia" w:ascii="宋体"/>
          <w:b/>
          <w:color w:val="auto"/>
          <w:szCs w:val="21"/>
          <w:highlight w:val="none"/>
        </w:rPr>
      </w:pPr>
      <w:r>
        <w:rPr>
          <w:rFonts w:hint="eastAsia" w:ascii="宋体"/>
          <w:b/>
          <w:color w:val="auto"/>
          <w:szCs w:val="21"/>
          <w:highlight w:val="none"/>
          <w:lang w:val="en-US" w:eastAsia="zh-CN"/>
        </w:rPr>
        <w:t>9.</w:t>
      </w:r>
      <w:r>
        <w:rPr>
          <w:rFonts w:hint="eastAsia" w:ascii="宋体" w:hAnsi="宋体"/>
          <w:b/>
          <w:color w:val="auto"/>
          <w:sz w:val="24"/>
          <w:highlight w:val="none"/>
        </w:rPr>
        <w:t xml:space="preserve"> </w:t>
      </w:r>
      <w:r>
        <w:rPr>
          <w:rFonts w:hint="eastAsia" w:ascii="宋体"/>
          <w:b/>
          <w:color w:val="auto"/>
          <w:szCs w:val="21"/>
          <w:highlight w:val="none"/>
        </w:rPr>
        <w:t>无效投标条款</w:t>
      </w:r>
    </w:p>
    <w:p w14:paraId="4C4B7412">
      <w:pPr>
        <w:keepNext w:val="0"/>
        <w:keepLines w:val="0"/>
        <w:pageBreakBefore w:val="0"/>
        <w:widowControl w:val="0"/>
        <w:kinsoku/>
        <w:wordWrap/>
        <w:overflowPunct/>
        <w:topLinePunct w:val="0"/>
        <w:autoSpaceDE/>
        <w:autoSpaceDN/>
        <w:bidi w:val="0"/>
        <w:adjustRightInd/>
        <w:snapToGrid w:val="0"/>
        <w:spacing w:line="440" w:lineRule="exact"/>
        <w:ind w:right="0" w:rightChars="0" w:firstLine="525" w:firstLineChars="250"/>
        <w:textAlignment w:val="auto"/>
        <w:rPr>
          <w:rFonts w:hint="eastAsia" w:ascii="宋体" w:cs="宋体"/>
          <w:color w:val="auto"/>
          <w:szCs w:val="21"/>
          <w:highlight w:val="none"/>
        </w:rPr>
      </w:pPr>
      <w:r>
        <w:rPr>
          <w:rFonts w:hint="eastAsia" w:ascii="宋体" w:cs="宋体"/>
          <w:color w:val="auto"/>
          <w:szCs w:val="21"/>
          <w:highlight w:val="none"/>
          <w:lang w:val="en-US" w:eastAsia="zh-CN"/>
        </w:rPr>
        <w:t>9</w:t>
      </w:r>
      <w:r>
        <w:rPr>
          <w:rFonts w:hint="eastAsia" w:ascii="宋体" w:cs="宋体"/>
          <w:color w:val="auto"/>
          <w:szCs w:val="21"/>
          <w:highlight w:val="none"/>
        </w:rPr>
        <w:t>.1投标文件有下列情形之一的,其投标文件拒收:</w:t>
      </w:r>
    </w:p>
    <w:p w14:paraId="27A02168">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textAlignment w:val="auto"/>
        <w:rPr>
          <w:rFonts w:hint="eastAsia" w:ascii="宋体" w:hAnsi="宋体" w:cs="宋体"/>
          <w:b/>
          <w:bCs/>
          <w:color w:val="auto"/>
          <w:szCs w:val="21"/>
          <w:highlight w:val="none"/>
        </w:rPr>
      </w:pPr>
      <w:r>
        <w:rPr>
          <w:rFonts w:hint="eastAsia" w:ascii="宋体" w:cs="宋体"/>
          <w:color w:val="auto"/>
          <w:szCs w:val="21"/>
          <w:highlight w:val="none"/>
        </w:rPr>
        <w:t xml:space="preserve"> </w:t>
      </w:r>
      <w:r>
        <w:rPr>
          <w:rFonts w:hint="eastAsia" w:ascii="宋体" w:hAnsi="宋体" w:cs="宋体"/>
          <w:b/>
          <w:bCs/>
          <w:color w:val="auto"/>
          <w:szCs w:val="21"/>
          <w:highlight w:val="none"/>
        </w:rPr>
        <w:t>(1) 未在</w:t>
      </w:r>
      <w:r>
        <w:rPr>
          <w:rFonts w:hint="eastAsia" w:ascii="宋体" w:hAnsi="宋体" w:cs="宋体"/>
          <w:b/>
          <w:bCs/>
          <w:color w:val="auto"/>
          <w:szCs w:val="21"/>
          <w:highlight w:val="none"/>
          <w:lang w:val="en-US" w:eastAsia="zh-CN"/>
        </w:rPr>
        <w:t>投</w:t>
      </w:r>
      <w:r>
        <w:rPr>
          <w:rFonts w:hint="eastAsia" w:ascii="宋体" w:hAnsi="宋体" w:cs="宋体"/>
          <w:b/>
          <w:bCs/>
          <w:color w:val="auto"/>
          <w:szCs w:val="21"/>
          <w:highlight w:val="none"/>
        </w:rPr>
        <w:t>标截止时间前通过网上招标投标系统递交有效电子投标文件的，开标系统不予接收，投标将被拒绝。</w:t>
      </w:r>
    </w:p>
    <w:p w14:paraId="257D62F8">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（2）投标企业接到远程解密指令后，须在规定时间内解密。因投标人自身原因导致投标文件在规定时间内未能解密、解密失败或解密超时，投标文件无效；解密时间</w:t>
      </w:r>
      <w:r>
        <w:rPr>
          <w:rFonts w:hint="eastAsia" w:ascii="宋体" w:hAnsi="宋体" w:cs="宋体"/>
          <w:b/>
          <w:bCs/>
          <w:color w:val="auto"/>
          <w:szCs w:val="21"/>
          <w:highlight w:val="none"/>
          <w:lang w:val="en-US" w:eastAsia="zh-CN"/>
        </w:rPr>
        <w:t>须在招标文件规定时间内</w:t>
      </w:r>
      <w:r>
        <w:rPr>
          <w:rFonts w:hint="eastAsia" w:ascii="宋体" w:hAnsi="宋体" w:cs="宋体"/>
          <w:b/>
          <w:bCs/>
          <w:color w:val="auto"/>
          <w:szCs w:val="21"/>
          <w:highlight w:val="none"/>
        </w:rPr>
        <w:t>，否则投标文件将被拒绝。</w:t>
      </w:r>
    </w:p>
    <w:p w14:paraId="60948C98">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.2投标人有下列情形之一的,资格审查后其投标作无效投标处理：</w:t>
      </w:r>
    </w:p>
    <w:p w14:paraId="5560F39C">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）投标人为本项目提供招标代理服务的；</w:t>
      </w:r>
    </w:p>
    <w:p w14:paraId="439C100A">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）投标人与在本项目代理机构存在相互任职或工作的；</w:t>
      </w:r>
    </w:p>
    <w:p w14:paraId="09E30463">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）评标专家无法查看并检验电子投标文件中相关资料的；</w:t>
      </w:r>
    </w:p>
    <w:p w14:paraId="3C99BAF6">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）联合体投标未提交联合体协议的；</w:t>
      </w:r>
    </w:p>
    <w:p w14:paraId="16A15BB6">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）被暂停营业的；</w:t>
      </w:r>
    </w:p>
    <w:p w14:paraId="348F6436">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）被暂停或取消投标资格的；</w:t>
      </w:r>
    </w:p>
    <w:p w14:paraId="6F19C305">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）财产被接管或冻结的；</w:t>
      </w:r>
    </w:p>
    <w:p w14:paraId="6F3BA6BB">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）投标人单位负责人为同一人或者存在控股、管理关系的不同单位的；</w:t>
      </w:r>
    </w:p>
    <w:p w14:paraId="2B286FDB">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）保证金不按第</w:t>
      </w:r>
      <w:r>
        <w:rPr>
          <w:rFonts w:hint="eastAsia" w:ascii="宋体" w:hAnsi="宋体" w:cs="宋体"/>
          <w:color w:val="auto"/>
          <w:szCs w:val="21"/>
          <w:highlight w:val="none"/>
          <w:lang w:val="en-US" w:eastAsia="zh-CN"/>
        </w:rPr>
        <w:t>一</w:t>
      </w:r>
      <w:r>
        <w:rPr>
          <w:rFonts w:hint="eastAsia" w:ascii="宋体" w:hAnsi="宋体" w:cs="宋体"/>
          <w:color w:val="auto"/>
          <w:szCs w:val="21"/>
          <w:highlight w:val="none"/>
        </w:rPr>
        <w:t>章“投标人须知”及其前附表要求提交投标保证金的；</w:t>
      </w:r>
    </w:p>
    <w:p w14:paraId="27D6A744">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）投标人申请开具电子保函 MAC 地址一致的；</w:t>
      </w:r>
    </w:p>
    <w:p w14:paraId="430169FB">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）投标人基本资格条件和特定资格条件中有一项及以上不符合要求的；</w:t>
      </w:r>
    </w:p>
    <w:p w14:paraId="1C6FAF83">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开标时查询投标文件制作机器码、文件创建标识码及造价软件加密锁号。若存在投标文件制作机器码或创建标识码或造价软件加密锁号信息与其他投标人雷同的，投标无效、进行信用信息披露，行政监管部门将依据线索依法查处；</w:t>
      </w:r>
    </w:p>
    <w:p w14:paraId="47FA9328">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）其它情形，经评标委员会委提出按无效投标处理；</w:t>
      </w:r>
    </w:p>
    <w:p w14:paraId="1D9C701F">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）投标人投标MAC地址或投标人联系人或联系电话相同的，由评标委员会否决其投标，并进一步调查；</w:t>
      </w:r>
    </w:p>
    <w:p w14:paraId="4416314A">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）投标人单方面出现其他投标人材料的；</w:t>
      </w:r>
    </w:p>
    <w:p w14:paraId="45E4C8BD">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16</w:t>
      </w:r>
      <w:r>
        <w:rPr>
          <w:rFonts w:hint="eastAsia" w:ascii="宋体" w:hAnsi="宋体" w:cs="宋体"/>
          <w:color w:val="auto"/>
          <w:szCs w:val="21"/>
          <w:highlight w:val="none"/>
        </w:rPr>
        <w:t>）招标文件规定的其它无效投标情形。</w:t>
      </w:r>
    </w:p>
    <w:p w14:paraId="56DF6123">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.3 投标人有下列情形之一的,符合性审查后其投标按无效投标处理：</w:t>
      </w:r>
    </w:p>
    <w:p w14:paraId="79D7196A">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）投标文件签字、盖章不全，经评标委员会一致认定对开评标内容有实质性影响的；</w:t>
      </w:r>
    </w:p>
    <w:p w14:paraId="71D14C6F">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）未按规定的格式填写</w:t>
      </w:r>
      <w:r>
        <w:rPr>
          <w:rFonts w:hint="eastAsia" w:ascii="宋体" w:hAnsi="宋体" w:cs="宋体"/>
          <w:color w:val="auto"/>
          <w:szCs w:val="21"/>
          <w:highlight w:val="none"/>
          <w:lang w:val="en-US" w:eastAsia="zh-CN"/>
        </w:rPr>
        <w:t>导致</w:t>
      </w:r>
      <w:r>
        <w:rPr>
          <w:rFonts w:hint="eastAsia" w:ascii="宋体" w:hAnsi="宋体" w:cs="宋体"/>
          <w:color w:val="auto"/>
          <w:szCs w:val="21"/>
          <w:highlight w:val="none"/>
        </w:rPr>
        <w:t>实质性内容不全</w:t>
      </w:r>
      <w:r>
        <w:rPr>
          <w:rFonts w:hint="eastAsia" w:ascii="宋体" w:hAnsi="宋体" w:cs="宋体"/>
          <w:color w:val="auto"/>
          <w:szCs w:val="21"/>
          <w:highlight w:val="none"/>
          <w:lang w:val="en-US" w:eastAsia="zh-CN"/>
        </w:rPr>
        <w:t>以及实质上不响应，</w:t>
      </w:r>
      <w:r>
        <w:rPr>
          <w:rFonts w:hint="eastAsia" w:ascii="宋体" w:hAnsi="宋体" w:cs="宋体"/>
          <w:color w:val="auto"/>
          <w:szCs w:val="21"/>
          <w:highlight w:val="none"/>
        </w:rPr>
        <w:t>或</w:t>
      </w:r>
      <w:r>
        <w:rPr>
          <w:rFonts w:hint="eastAsia" w:ascii="宋体" w:hAnsi="宋体" w:cs="宋体"/>
          <w:color w:val="auto"/>
          <w:szCs w:val="21"/>
          <w:highlight w:val="none"/>
          <w:lang w:val="en-US" w:eastAsia="zh-CN"/>
        </w:rPr>
        <w:t>者</w:t>
      </w:r>
      <w:r>
        <w:rPr>
          <w:rFonts w:hint="eastAsia" w:ascii="宋体" w:hAnsi="宋体" w:cs="宋体"/>
          <w:color w:val="auto"/>
          <w:szCs w:val="21"/>
          <w:highlight w:val="none"/>
        </w:rPr>
        <w:t>关键字迹模糊、无法辨认；</w:t>
      </w:r>
    </w:p>
    <w:p w14:paraId="66318CA2">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）同一投标人提交两个以上不同的投标文件或者投标报价，但招标文件规定提交备选方案的除外；</w:t>
      </w:r>
    </w:p>
    <w:p w14:paraId="7CC49093">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）投标文件没有对招标文件的实质性要求和条件作出响应;</w:t>
      </w:r>
    </w:p>
    <w:p w14:paraId="0C4016D3">
      <w:pPr>
        <w:keepNext w:val="0"/>
        <w:keepLines w:val="0"/>
        <w:pageBreakBefore w:val="0"/>
        <w:widowControl w:val="0"/>
        <w:kinsoku/>
        <w:wordWrap/>
        <w:overflowPunct/>
        <w:topLinePunct w:val="0"/>
        <w:autoSpaceDE/>
        <w:autoSpaceDN/>
        <w:bidi w:val="0"/>
        <w:adjustRightInd/>
        <w:spacing w:line="440" w:lineRule="exact"/>
        <w:ind w:right="0" w:rightChars="0" w:firstLine="420" w:firstLineChars="200"/>
        <w:jc w:val="left"/>
        <w:textAlignment w:val="auto"/>
        <w:rPr>
          <w:rFonts w:hint="eastAsia" w:ascii="宋体" w:hAnsi="宋体" w:cs="宋体"/>
          <w:b/>
          <w:bCs/>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）投标报价超出规定的投标限价或公布的采购预算的或投标人的投标报价各项单价高于招标文件给定的单价最高限价；</w:t>
      </w:r>
    </w:p>
    <w:p w14:paraId="651ECF07">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）不按评标委员会要求澄清、说明或补正的，或者评标委员会根据招标文件的规定对招标文件的计算错误进行修正后，投标人不接受修正的投标报价的。</w:t>
      </w:r>
    </w:p>
    <w:p w14:paraId="55085D86">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（7）其它情形，经评标委员会委提出按无效投标处理；</w:t>
      </w:r>
    </w:p>
    <w:p w14:paraId="46FF0A7C">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（8）投标文件含有招标人不能接受的附加条件的;</w:t>
      </w:r>
    </w:p>
    <w:p w14:paraId="280CABC2">
      <w:pPr>
        <w:keepNext w:val="0"/>
        <w:keepLines w:val="0"/>
        <w:pageBreakBefore w:val="0"/>
        <w:widowControl w:val="0"/>
        <w:tabs>
          <w:tab w:val="left" w:pos="1123"/>
        </w:tabs>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（9）招标文件规定的其它无效投标情形。</w:t>
      </w:r>
    </w:p>
    <w:p w14:paraId="5C181207">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.4 投标人有下列情形之一的, 详细评审后其投标按无效投标处理：</w:t>
      </w:r>
    </w:p>
    <w:p w14:paraId="33F20186">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）投标产品不符合必须强制执行的国家标准的；</w:t>
      </w:r>
    </w:p>
    <w:p w14:paraId="089679DE">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）投标人有串通投标、弄虚作假、行贿等违法行为；</w:t>
      </w:r>
    </w:p>
    <w:p w14:paraId="67F9813B">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）投标文件含有违反国家法律、法规的内容，或附有招标人不能接受的条件的；</w:t>
      </w:r>
    </w:p>
    <w:p w14:paraId="154B8023">
      <w:pPr>
        <w:keepNext w:val="0"/>
        <w:keepLines w:val="0"/>
        <w:pageBreakBefore w:val="0"/>
        <w:widowControl w:val="0"/>
        <w:kinsoku/>
        <w:wordWrap/>
        <w:overflowPunct/>
        <w:topLinePunct w:val="0"/>
        <w:autoSpaceDE/>
        <w:autoSpaceDN/>
        <w:bidi w:val="0"/>
        <w:adjustRightInd/>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）报价明显低于其他投标人，且不能证明报价合理性的投标无效；</w:t>
      </w:r>
    </w:p>
    <w:p w14:paraId="65F25D2A">
      <w:pPr>
        <w:keepNext w:val="0"/>
        <w:keepLines w:val="0"/>
        <w:pageBreakBefore w:val="0"/>
        <w:widowControl w:val="0"/>
        <w:kinsoku/>
        <w:wordWrap/>
        <w:overflowPunct/>
        <w:topLinePunct w:val="0"/>
        <w:autoSpaceDE/>
        <w:autoSpaceDN/>
        <w:bidi w:val="0"/>
        <w:adjustRightInd/>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）拒不确认评标委员会评审修正的投标无效；</w:t>
      </w:r>
    </w:p>
    <w:p w14:paraId="76381DE8">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）其它情形，经评标委员会委提出按无效投标处理的；</w:t>
      </w:r>
    </w:p>
    <w:p w14:paraId="095585C1">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）招标文件规定的其它无效投标情形。</w:t>
      </w:r>
    </w:p>
    <w:p w14:paraId="1825D070">
      <w:pPr>
        <w:rPr>
          <w:rFonts w:hint="eastAsia"/>
          <w:color w:val="auto"/>
          <w:highlight w:val="none"/>
        </w:rPr>
      </w:pPr>
    </w:p>
    <w:p w14:paraId="79D4181F">
      <w:pPr>
        <w:pStyle w:val="6"/>
        <w:keepNext/>
        <w:keepLines/>
        <w:pageBreakBefore/>
        <w:widowControl w:val="0"/>
        <w:kinsoku/>
        <w:wordWrap/>
        <w:overflowPunct/>
        <w:topLinePunct w:val="0"/>
        <w:autoSpaceDE/>
        <w:autoSpaceDN/>
        <w:bidi w:val="0"/>
        <w:adjustRightInd/>
        <w:snapToGrid/>
        <w:spacing w:before="0" w:after="0"/>
        <w:textAlignment w:val="auto"/>
        <w:rPr>
          <w:rFonts w:hint="eastAsia" w:ascii="宋体" w:hAnsi="宋体" w:eastAsia="宋体" w:cs="宋体"/>
          <w:color w:val="auto"/>
          <w:sz w:val="44"/>
          <w:szCs w:val="44"/>
          <w:highlight w:val="none"/>
          <w:lang w:val="en-US" w:eastAsia="zh-CN"/>
        </w:rPr>
      </w:pPr>
      <w:bookmarkStart w:id="67" w:name="_Toc29967"/>
      <w:bookmarkStart w:id="68" w:name="_Toc3848"/>
      <w:r>
        <w:rPr>
          <w:rFonts w:hint="eastAsia" w:ascii="宋体" w:hAnsi="宋体" w:eastAsia="宋体" w:cs="宋体"/>
          <w:color w:val="auto"/>
          <w:sz w:val="44"/>
          <w:szCs w:val="44"/>
          <w:highlight w:val="none"/>
          <w:lang w:val="en-US" w:eastAsia="zh-CN"/>
        </w:rPr>
        <w:t>第三章 合同条款</w:t>
      </w:r>
      <w:bookmarkEnd w:id="56"/>
      <w:bookmarkEnd w:id="57"/>
      <w:bookmarkEnd w:id="67"/>
      <w:bookmarkEnd w:id="68"/>
    </w:p>
    <w:p w14:paraId="209DF1AC">
      <w:pPr>
        <w:rPr>
          <w:rFonts w:hint="eastAsia" w:ascii="宋体" w:hAnsi="宋体" w:eastAsia="宋体" w:cs="宋体"/>
          <w:color w:val="auto"/>
          <w:highlight w:val="none"/>
        </w:rPr>
      </w:pPr>
    </w:p>
    <w:p w14:paraId="56AEB650">
      <w:pPr>
        <w:keepNext w:val="0"/>
        <w:keepLines w:val="0"/>
        <w:widowControl w:val="0"/>
        <w:suppressLineNumbers w:val="0"/>
        <w:spacing w:before="304" w:beforeLines="100" w:beforeAutospacing="0" w:after="304" w:afterLines="100" w:afterAutospacing="0" w:line="400" w:lineRule="exact"/>
        <w:ind w:left="0" w:right="0"/>
        <w:jc w:val="center"/>
        <w:outlineLvl w:val="1"/>
        <w:rPr>
          <w:rFonts w:hint="default" w:ascii="汉仪大黑简" w:hAnsi="汉仪大黑简" w:eastAsia="汉仪大黑简" w:cs="汉仪大黑简"/>
          <w:b w:val="0"/>
          <w:color w:val="auto"/>
          <w:kern w:val="2"/>
          <w:sz w:val="28"/>
          <w:szCs w:val="28"/>
          <w:highlight w:val="none"/>
        </w:rPr>
      </w:pPr>
      <w:r>
        <w:rPr>
          <w:rFonts w:hint="default" w:ascii="汉仪大黑简" w:hAnsi="汉仪大黑简" w:eastAsia="汉仪大黑简" w:cs="汉仪大黑简"/>
          <w:b w:val="0"/>
          <w:color w:val="auto"/>
          <w:kern w:val="2"/>
          <w:sz w:val="28"/>
          <w:szCs w:val="28"/>
          <w:highlight w:val="none"/>
          <w:lang w:val="en-US" w:eastAsia="zh-CN" w:bidi="ar"/>
        </w:rPr>
        <w:t>安徽省建设工程造价咨询合同（ＷＦ－2014－05）</w:t>
      </w:r>
    </w:p>
    <w:p w14:paraId="7AB5CC3E">
      <w:pPr>
        <w:keepNext w:val="0"/>
        <w:keepLines w:val="0"/>
        <w:widowControl w:val="0"/>
        <w:suppressLineNumbers w:val="0"/>
        <w:spacing w:before="153" w:beforeLines="50" w:beforeAutospacing="0" w:after="153" w:afterLines="50" w:afterAutospacing="0" w:line="400" w:lineRule="exact"/>
        <w:ind w:left="0" w:right="0"/>
        <w:jc w:val="center"/>
        <w:outlineLvl w:val="2"/>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第一部分  合同协议书</w:t>
      </w:r>
    </w:p>
    <w:p w14:paraId="194B8410">
      <w:pPr>
        <w:keepNext w:val="0"/>
        <w:keepLines w:val="0"/>
        <w:widowControl w:val="0"/>
        <w:suppressLineNumbers w:val="0"/>
        <w:adjustRightInd w:val="0"/>
        <w:snapToGrid w:val="0"/>
        <w:spacing w:before="153" w:beforeLines="50" w:beforeAutospacing="0" w:after="0" w:afterAutospacing="0"/>
        <w:ind w:left="0" w:right="0"/>
        <w:jc w:val="left"/>
        <w:rPr>
          <w:rFonts w:hint="default" w:ascii="宋体" w:hAnsi="宋体" w:eastAsia="宋体" w:cs="宋体"/>
          <w:b w:val="0"/>
          <w:color w:val="auto"/>
          <w:kern w:val="2"/>
          <w:sz w:val="24"/>
          <w:szCs w:val="24"/>
          <w:highlight w:val="none"/>
          <w:lang w:val="en-US"/>
        </w:rPr>
      </w:pPr>
      <w:r>
        <w:rPr>
          <w:rFonts w:hint="eastAsia" w:ascii="宋体" w:hAnsi="宋体" w:eastAsia="宋体" w:cs="宋体"/>
          <w:b w:val="0"/>
          <w:color w:val="auto"/>
          <w:kern w:val="2"/>
          <w:sz w:val="24"/>
          <w:szCs w:val="24"/>
          <w:highlight w:val="none"/>
          <w:lang w:val="en-US" w:eastAsia="zh-CN" w:bidi="ar"/>
        </w:rPr>
        <w:t>委托人（全称）：</w:t>
      </w:r>
      <w:r>
        <w:rPr>
          <w:rFonts w:hint="eastAsia" w:ascii="宋体" w:hAnsi="宋体" w:eastAsia="宋体" w:cs="宋体"/>
          <w:b w:val="0"/>
          <w:color w:val="auto"/>
          <w:kern w:val="2"/>
          <w:sz w:val="24"/>
          <w:szCs w:val="24"/>
          <w:highlight w:val="none"/>
          <w:u w:val="single"/>
          <w:lang w:val="en-US" w:eastAsia="zh-CN" w:bidi="ar"/>
        </w:rPr>
        <w:t xml:space="preserve">滁州市重点工程建设管理处      </w:t>
      </w:r>
      <w:r>
        <w:rPr>
          <w:rFonts w:hint="eastAsia" w:ascii="宋体" w:hAnsi="宋体" w:cs="宋体"/>
          <w:b w:val="0"/>
          <w:color w:val="auto"/>
          <w:kern w:val="2"/>
          <w:sz w:val="24"/>
          <w:szCs w:val="24"/>
          <w:highlight w:val="none"/>
          <w:u w:val="single"/>
          <w:lang w:val="en-US" w:eastAsia="zh-CN" w:bidi="ar"/>
        </w:rPr>
        <w:t xml:space="preserve">                             </w:t>
      </w:r>
    </w:p>
    <w:p w14:paraId="36D2A725">
      <w:pPr>
        <w:keepNext w:val="0"/>
        <w:keepLines w:val="0"/>
        <w:widowControl w:val="0"/>
        <w:suppressLineNumbers w:val="0"/>
        <w:adjustRightInd w:val="0"/>
        <w:snapToGrid w:val="0"/>
        <w:spacing w:before="153" w:beforeLines="50" w:beforeAutospacing="0" w:after="0" w:afterAutospacing="0"/>
        <w:ind w:left="0" w:right="0"/>
        <w:jc w:val="left"/>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受托人（全称）：</w:t>
      </w:r>
      <w:r>
        <w:rPr>
          <w:rFonts w:hint="eastAsia" w:ascii="宋体" w:hAnsi="宋体" w:eastAsia="宋体" w:cs="宋体"/>
          <w:b w:val="0"/>
          <w:color w:val="auto"/>
          <w:kern w:val="2"/>
          <w:sz w:val="24"/>
          <w:szCs w:val="24"/>
          <w:highlight w:val="none"/>
          <w:u w:val="single"/>
          <w:lang w:val="en-US" w:eastAsia="zh-CN" w:bidi="ar"/>
        </w:rPr>
        <w:t xml:space="preserve"> </w:t>
      </w:r>
      <w:r>
        <w:rPr>
          <w:rFonts w:hint="eastAsia" w:ascii="宋体" w:hAnsi="宋体" w:cs="宋体"/>
          <w:b w:val="0"/>
          <w:color w:val="auto"/>
          <w:kern w:val="2"/>
          <w:sz w:val="24"/>
          <w:szCs w:val="24"/>
          <w:highlight w:val="none"/>
          <w:u w:val="single"/>
          <w:lang w:val="en-US" w:eastAsia="zh-CN" w:bidi="ar"/>
        </w:rPr>
        <w:t xml:space="preserve"> </w:t>
      </w:r>
      <w:r>
        <w:rPr>
          <w:rFonts w:hint="eastAsia" w:ascii="宋体" w:hAnsi="宋体" w:eastAsia="宋体" w:cs="宋体"/>
          <w:b w:val="0"/>
          <w:color w:val="auto"/>
          <w:kern w:val="2"/>
          <w:sz w:val="24"/>
          <w:szCs w:val="24"/>
          <w:highlight w:val="none"/>
          <w:u w:val="single"/>
          <w:lang w:val="en-US" w:eastAsia="zh-CN" w:bidi="ar"/>
        </w:rPr>
        <w:t xml:space="preserve">                                </w:t>
      </w:r>
    </w:p>
    <w:p w14:paraId="327F24FF">
      <w:pPr>
        <w:keepNext w:val="0"/>
        <w:keepLines w:val="0"/>
        <w:widowControl w:val="0"/>
        <w:suppressLineNumbers w:val="0"/>
        <w:spacing w:before="0" w:beforeAutospacing="0" w:after="0" w:afterAutospacing="0"/>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根据《中华人民共和国民法典》及有关法律规定，遵循平等、自愿、公平和诚实信用的原则，双方就</w:t>
      </w:r>
      <w:r>
        <w:rPr>
          <w:rFonts w:hint="eastAsia" w:ascii="宋体" w:hAnsi="宋体" w:cs="宋体"/>
          <w:color w:val="auto"/>
          <w:kern w:val="2"/>
          <w:sz w:val="24"/>
          <w:szCs w:val="24"/>
          <w:highlight w:val="none"/>
          <w:u w:val="single"/>
          <w:lang w:val="en-US" w:eastAsia="zh-CN" w:bidi="ar"/>
        </w:rPr>
        <w:t xml:space="preserve"> 滁州市老城区排涝综合整治工程-城西干渠（凤谯路-会峰路）改造工程工程量清单及最高投标限价编制服务项目</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及有关事项协商一致，共同达成如下协议：</w:t>
      </w:r>
    </w:p>
    <w:p w14:paraId="42A3C45F">
      <w:pPr>
        <w:keepNext w:val="0"/>
        <w:keepLines w:val="0"/>
        <w:widowControl w:val="0"/>
        <w:suppressLineNumbers w:val="0"/>
        <w:spacing w:before="153" w:beforeLines="50" w:beforeAutospacing="0" w:after="153" w:afterLines="50" w:afterAutospacing="0" w:line="400" w:lineRule="exact"/>
        <w:ind w:left="0" w:right="0" w:firstLine="0" w:firstLineChars="0"/>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一、工程概况</w:t>
      </w:r>
    </w:p>
    <w:p w14:paraId="134E39D6">
      <w:pPr>
        <w:keepNext w:val="0"/>
        <w:keepLines w:val="0"/>
        <w:widowControl w:val="0"/>
        <w:suppressLineNumbers w:val="0"/>
        <w:spacing w:before="153" w:beforeLines="50" w:beforeAutospacing="0" w:after="0" w:afterAutospacing="0" w:line="400" w:lineRule="exact"/>
        <w:ind w:left="0" w:right="0" w:firstLine="470" w:firstLineChars="196"/>
        <w:jc w:val="left"/>
        <w:rPr>
          <w:rFonts w:hint="eastAsia" w:ascii="宋体" w:hAnsi="宋体" w:eastAsia="宋体" w:cs="宋体"/>
          <w:color w:val="auto"/>
          <w:kern w:val="2"/>
          <w:sz w:val="24"/>
          <w:szCs w:val="24"/>
          <w:highlight w:val="none"/>
          <w:u w:val="single"/>
          <w:lang w:val="en-US" w:eastAsia="zh-CN" w:bidi="ar"/>
        </w:rPr>
      </w:pPr>
      <w:r>
        <w:rPr>
          <w:rFonts w:hint="eastAsia" w:ascii="宋体" w:hAnsi="宋体" w:eastAsia="宋体" w:cs="宋体"/>
          <w:color w:val="auto"/>
          <w:kern w:val="2"/>
          <w:sz w:val="24"/>
          <w:szCs w:val="24"/>
          <w:highlight w:val="none"/>
          <w:lang w:val="en-US" w:eastAsia="zh-CN" w:bidi="ar"/>
        </w:rPr>
        <w:t xml:space="preserve">1. </w:t>
      </w:r>
      <w:r>
        <w:rPr>
          <w:rFonts w:hint="eastAsia" w:ascii="宋体" w:hAnsi="宋体" w:eastAsia="宋体" w:cs="宋体"/>
          <w:bCs w:val="0"/>
          <w:color w:val="auto"/>
          <w:kern w:val="2"/>
          <w:sz w:val="24"/>
          <w:szCs w:val="24"/>
          <w:highlight w:val="none"/>
          <w:lang w:val="en-US" w:eastAsia="zh-CN" w:bidi="ar"/>
        </w:rPr>
        <w:t>工程名称</w:t>
      </w: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u w:val="single"/>
          <w:lang w:val="en-US" w:eastAsia="zh-CN" w:bidi="ar"/>
        </w:rPr>
        <w:t xml:space="preserve"> 滁州市老城区排涝综合整治工程-城西干渠（凤谯路-会峰路）改造工程工程量清单及最高投标限价编制服务项目</w:t>
      </w:r>
    </w:p>
    <w:p w14:paraId="1A00E67E">
      <w:pPr>
        <w:keepNext w:val="0"/>
        <w:keepLines w:val="0"/>
        <w:widowControl w:val="0"/>
        <w:suppressLineNumbers w:val="0"/>
        <w:spacing w:before="153" w:beforeLines="50" w:beforeAutospacing="0" w:after="0" w:afterAutospacing="0" w:line="400" w:lineRule="exact"/>
        <w:ind w:left="0" w:right="0" w:firstLine="470" w:firstLineChars="196"/>
        <w:jc w:val="left"/>
        <w:rPr>
          <w:rFonts w:hint="eastAsia" w:ascii="宋体" w:hAnsi="宋体" w:eastAsia="宋体" w:cs="宋体"/>
          <w:bCs w:val="0"/>
          <w:color w:val="auto"/>
          <w:kern w:val="2"/>
          <w:sz w:val="24"/>
          <w:szCs w:val="24"/>
          <w:highlight w:val="none"/>
        </w:rPr>
      </w:pPr>
      <w:r>
        <w:rPr>
          <w:rFonts w:hint="eastAsia" w:ascii="宋体" w:hAnsi="宋体" w:eastAsia="宋体" w:cs="宋体"/>
          <w:color w:val="auto"/>
          <w:kern w:val="2"/>
          <w:sz w:val="24"/>
          <w:szCs w:val="24"/>
          <w:highlight w:val="none"/>
          <w:u w:val="none"/>
          <w:lang w:val="en-US" w:eastAsia="zh-CN" w:bidi="ar"/>
        </w:rPr>
        <w:t>2. 工程地点：</w:t>
      </w:r>
      <w:r>
        <w:rPr>
          <w:rFonts w:hint="eastAsia" w:ascii="宋体" w:hAnsi="宋体" w:cs="宋体"/>
          <w:color w:val="auto"/>
          <w:kern w:val="2"/>
          <w:sz w:val="24"/>
          <w:szCs w:val="24"/>
          <w:highlight w:val="none"/>
          <w:u w:val="single"/>
          <w:lang w:val="en-US" w:eastAsia="zh-CN" w:bidi="ar"/>
        </w:rPr>
        <w:t>滁州市</w:t>
      </w:r>
    </w:p>
    <w:p w14:paraId="6C925AB0">
      <w:pPr>
        <w:keepNext w:val="0"/>
        <w:keepLines w:val="0"/>
        <w:widowControl w:val="0"/>
        <w:suppressLineNumbers w:val="0"/>
        <w:spacing w:before="153" w:beforeLines="50" w:beforeAutospacing="0" w:after="0" w:afterAutospacing="0" w:line="400" w:lineRule="exact"/>
        <w:ind w:left="0" w:right="0" w:firstLine="470" w:firstLineChars="196"/>
        <w:jc w:val="left"/>
        <w:rPr>
          <w:rFonts w:hint="eastAsia" w:ascii="宋体" w:hAnsi="宋体" w:eastAsia="宋体" w:cs="宋体"/>
          <w:bCs w:val="0"/>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3. </w:t>
      </w:r>
      <w:r>
        <w:rPr>
          <w:rFonts w:hint="eastAsia" w:ascii="宋体" w:hAnsi="宋体" w:eastAsia="宋体" w:cs="宋体"/>
          <w:bCs w:val="0"/>
          <w:color w:val="auto"/>
          <w:kern w:val="2"/>
          <w:sz w:val="24"/>
          <w:szCs w:val="24"/>
          <w:highlight w:val="none"/>
          <w:lang w:val="en-US" w:eastAsia="zh-CN" w:bidi="ar"/>
        </w:rPr>
        <w:t>工程规模：</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bCs w:val="0"/>
          <w:color w:val="auto"/>
          <w:kern w:val="2"/>
          <w:sz w:val="24"/>
          <w:szCs w:val="24"/>
          <w:highlight w:val="none"/>
          <w:lang w:val="en-US" w:eastAsia="zh-CN" w:bidi="ar"/>
        </w:rPr>
        <w:t>。</w:t>
      </w:r>
    </w:p>
    <w:p w14:paraId="5C509E69">
      <w:pPr>
        <w:keepNext w:val="0"/>
        <w:keepLines w:val="0"/>
        <w:widowControl w:val="0"/>
        <w:suppressLineNumbers w:val="0"/>
        <w:spacing w:before="153" w:beforeLines="50" w:beforeAutospacing="0" w:after="153" w:afterLines="50" w:afterAutospacing="0" w:line="400" w:lineRule="exact"/>
        <w:ind w:left="0" w:right="0" w:firstLine="0" w:firstLineChars="0"/>
        <w:jc w:val="left"/>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二、咨询业务范围</w:t>
      </w:r>
    </w:p>
    <w:p w14:paraId="626B6536">
      <w:pPr>
        <w:pStyle w:val="2"/>
        <w:rPr>
          <w:rFonts w:hint="eastAsia"/>
        </w:rPr>
      </w:pPr>
      <w:r>
        <w:rPr>
          <w:rFonts w:hint="eastAsia" w:ascii="宋体" w:hAnsi="宋体" w:eastAsia="宋体" w:cs="宋体"/>
          <w:color w:val="auto"/>
          <w:kern w:val="2"/>
          <w:sz w:val="24"/>
          <w:szCs w:val="24"/>
          <w:highlight w:val="none"/>
          <w:u w:val="single"/>
          <w:lang w:val="en-US" w:eastAsia="zh-CN" w:bidi="ar"/>
        </w:rPr>
        <w:t>滁州市老城区排涝综合整治工程-城西干渠（凤谯路-会峰路）改造工程工程量清单及最高投标限价编制服务</w:t>
      </w:r>
    </w:p>
    <w:p w14:paraId="1AA78558">
      <w:pPr>
        <w:keepNext w:val="0"/>
        <w:keepLines w:val="0"/>
        <w:widowControl w:val="0"/>
        <w:suppressLineNumbers w:val="0"/>
        <w:spacing w:before="153" w:beforeLines="50" w:beforeAutospacing="0" w:after="153" w:afterLines="50" w:afterAutospacing="0" w:line="400" w:lineRule="exact"/>
        <w:ind w:left="0" w:right="0" w:firstLine="0" w:firstLineChars="0"/>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三、咨询期限</w:t>
      </w:r>
    </w:p>
    <w:p w14:paraId="6401B200">
      <w:pPr>
        <w:keepNext w:val="0"/>
        <w:keepLines w:val="0"/>
        <w:widowControl w:val="0"/>
        <w:suppressLineNumbers w:val="0"/>
        <w:spacing w:before="153" w:beforeLines="50" w:beforeAutospacing="0" w:after="0" w:afterAutospacing="0" w:line="400" w:lineRule="exact"/>
        <w:ind w:left="0" w:right="0" w:firstLine="470" w:firstLineChars="196"/>
        <w:jc w:val="left"/>
        <w:rPr>
          <w:rFonts w:hint="eastAsia" w:ascii="宋体" w:hAnsi="宋体" w:eastAsia="宋体" w:cs="宋体"/>
          <w:bCs w:val="0"/>
          <w:color w:val="auto"/>
          <w:kern w:val="2"/>
          <w:sz w:val="24"/>
          <w:szCs w:val="24"/>
          <w:highlight w:val="none"/>
          <w:lang w:val="en-US" w:eastAsia="zh-CN" w:bidi="ar"/>
        </w:rPr>
      </w:pPr>
      <w:r>
        <w:rPr>
          <w:rFonts w:hint="eastAsia" w:ascii="宋体" w:hAnsi="宋体" w:eastAsia="宋体" w:cs="宋体"/>
          <w:bCs w:val="0"/>
          <w:color w:val="auto"/>
          <w:kern w:val="2"/>
          <w:sz w:val="24"/>
          <w:szCs w:val="24"/>
          <w:highlight w:val="none"/>
          <w:lang w:val="en-US" w:eastAsia="zh-CN" w:bidi="ar"/>
        </w:rPr>
        <w:t>领取图纸之日起</w:t>
      </w:r>
      <w:r>
        <w:rPr>
          <w:rFonts w:hint="eastAsia" w:ascii="宋体" w:hAnsi="宋体" w:cs="宋体"/>
          <w:bCs w:val="0"/>
          <w:color w:val="auto"/>
          <w:kern w:val="2"/>
          <w:sz w:val="24"/>
          <w:szCs w:val="24"/>
          <w:highlight w:val="none"/>
          <w:u w:val="single"/>
          <w:lang w:val="en-US" w:eastAsia="zh-CN" w:bidi="ar"/>
        </w:rPr>
        <w:t xml:space="preserve">    </w:t>
      </w:r>
      <w:r>
        <w:rPr>
          <w:rFonts w:hint="eastAsia" w:ascii="宋体" w:hAnsi="宋体" w:eastAsia="宋体" w:cs="宋体"/>
          <w:bCs w:val="0"/>
          <w:color w:val="auto"/>
          <w:kern w:val="2"/>
          <w:sz w:val="24"/>
          <w:szCs w:val="24"/>
          <w:highlight w:val="none"/>
          <w:lang w:val="en-US" w:eastAsia="zh-CN" w:bidi="ar"/>
        </w:rPr>
        <w:t>日内完成工程量清单和最高投标限价的编制工作。</w:t>
      </w:r>
    </w:p>
    <w:p w14:paraId="289A565A">
      <w:pPr>
        <w:keepNext w:val="0"/>
        <w:keepLines w:val="0"/>
        <w:widowControl w:val="0"/>
        <w:suppressLineNumbers w:val="0"/>
        <w:spacing w:before="153" w:beforeLines="50" w:beforeAutospacing="0" w:after="0" w:afterAutospacing="0" w:line="400" w:lineRule="exact"/>
        <w:ind w:left="0" w:right="0" w:firstLine="470" w:firstLineChars="196"/>
        <w:jc w:val="left"/>
        <w:rPr>
          <w:rFonts w:hint="eastAsia" w:ascii="宋体" w:hAnsi="宋体" w:eastAsia="宋体" w:cs="宋体"/>
          <w:bCs w:val="0"/>
          <w:color w:val="auto"/>
          <w:kern w:val="2"/>
          <w:sz w:val="24"/>
          <w:szCs w:val="24"/>
          <w:highlight w:val="none"/>
        </w:rPr>
      </w:pPr>
      <w:r>
        <w:rPr>
          <w:rFonts w:hint="eastAsia" w:ascii="宋体" w:hAnsi="宋体" w:eastAsia="宋体" w:cs="宋体"/>
          <w:bCs w:val="0"/>
          <w:color w:val="auto"/>
          <w:kern w:val="2"/>
          <w:sz w:val="24"/>
          <w:szCs w:val="24"/>
          <w:highlight w:val="none"/>
          <w:lang w:val="en-US" w:eastAsia="zh-CN" w:bidi="ar"/>
        </w:rPr>
        <w:t>计划开始日期：</w:t>
      </w:r>
      <w:r>
        <w:rPr>
          <w:rFonts w:hint="eastAsia" w:ascii="宋体" w:hAnsi="宋体" w:eastAsia="宋体" w:cs="宋体"/>
          <w:bCs w:val="0"/>
          <w:color w:val="auto"/>
          <w:kern w:val="2"/>
          <w:sz w:val="24"/>
          <w:szCs w:val="24"/>
          <w:highlight w:val="none"/>
          <w:u w:val="single"/>
          <w:lang w:val="en-US" w:eastAsia="zh-CN" w:bidi="ar"/>
        </w:rPr>
        <w:t xml:space="preserve">      </w:t>
      </w:r>
      <w:r>
        <w:rPr>
          <w:rFonts w:hint="eastAsia" w:ascii="宋体" w:hAnsi="宋体" w:eastAsia="宋体" w:cs="宋体"/>
          <w:bCs w:val="0"/>
          <w:color w:val="auto"/>
          <w:kern w:val="2"/>
          <w:sz w:val="24"/>
          <w:szCs w:val="24"/>
          <w:highlight w:val="none"/>
          <w:lang w:val="en-US" w:eastAsia="zh-CN" w:bidi="ar"/>
        </w:rPr>
        <w:t>年</w:t>
      </w:r>
      <w:r>
        <w:rPr>
          <w:rFonts w:hint="eastAsia" w:ascii="宋体" w:hAnsi="宋体" w:eastAsia="宋体" w:cs="宋体"/>
          <w:bCs w:val="0"/>
          <w:color w:val="auto"/>
          <w:kern w:val="2"/>
          <w:sz w:val="24"/>
          <w:szCs w:val="24"/>
          <w:highlight w:val="none"/>
          <w:u w:val="single"/>
          <w:lang w:val="en-US" w:eastAsia="zh-CN" w:bidi="ar"/>
        </w:rPr>
        <w:t xml:space="preserve">     </w:t>
      </w:r>
      <w:r>
        <w:rPr>
          <w:rFonts w:hint="eastAsia" w:ascii="宋体" w:hAnsi="宋体" w:eastAsia="宋体" w:cs="宋体"/>
          <w:bCs w:val="0"/>
          <w:color w:val="auto"/>
          <w:kern w:val="2"/>
          <w:sz w:val="24"/>
          <w:szCs w:val="24"/>
          <w:highlight w:val="none"/>
          <w:lang w:val="en-US" w:eastAsia="zh-CN" w:bidi="ar"/>
        </w:rPr>
        <w:t>月</w:t>
      </w:r>
      <w:r>
        <w:rPr>
          <w:rFonts w:hint="eastAsia" w:ascii="宋体" w:hAnsi="宋体" w:eastAsia="宋体" w:cs="宋体"/>
          <w:bCs w:val="0"/>
          <w:color w:val="auto"/>
          <w:kern w:val="2"/>
          <w:sz w:val="24"/>
          <w:szCs w:val="24"/>
          <w:highlight w:val="none"/>
          <w:u w:val="single"/>
          <w:lang w:val="en-US" w:eastAsia="zh-CN" w:bidi="ar"/>
        </w:rPr>
        <w:t xml:space="preserve">     </w:t>
      </w:r>
      <w:r>
        <w:rPr>
          <w:rFonts w:hint="eastAsia" w:ascii="宋体" w:hAnsi="宋体" w:eastAsia="宋体" w:cs="宋体"/>
          <w:bCs w:val="0"/>
          <w:color w:val="auto"/>
          <w:kern w:val="2"/>
          <w:sz w:val="24"/>
          <w:szCs w:val="24"/>
          <w:highlight w:val="none"/>
          <w:lang w:val="en-US" w:eastAsia="zh-CN" w:bidi="ar"/>
        </w:rPr>
        <w:t>日。</w:t>
      </w:r>
    </w:p>
    <w:p w14:paraId="4E80AC94">
      <w:pPr>
        <w:keepNext w:val="0"/>
        <w:keepLines w:val="0"/>
        <w:widowControl w:val="0"/>
        <w:suppressLineNumbers w:val="0"/>
        <w:spacing w:before="153" w:beforeLines="50" w:beforeAutospacing="0" w:after="0" w:afterAutospacing="0" w:line="400" w:lineRule="exact"/>
        <w:ind w:left="0" w:right="0" w:firstLine="470" w:firstLineChars="196"/>
        <w:jc w:val="left"/>
        <w:rPr>
          <w:rFonts w:hint="eastAsia" w:ascii="宋体" w:hAnsi="宋体" w:eastAsia="宋体" w:cs="宋体"/>
          <w:bCs w:val="0"/>
          <w:color w:val="auto"/>
          <w:kern w:val="2"/>
          <w:sz w:val="24"/>
          <w:szCs w:val="24"/>
          <w:highlight w:val="none"/>
        </w:rPr>
      </w:pPr>
      <w:r>
        <w:rPr>
          <w:rFonts w:hint="eastAsia" w:ascii="宋体" w:hAnsi="宋体" w:eastAsia="宋体" w:cs="宋体"/>
          <w:bCs w:val="0"/>
          <w:color w:val="auto"/>
          <w:kern w:val="2"/>
          <w:sz w:val="24"/>
          <w:szCs w:val="24"/>
          <w:highlight w:val="none"/>
          <w:lang w:val="en-US" w:eastAsia="zh-CN" w:bidi="ar"/>
        </w:rPr>
        <w:t>计划结束日期：</w:t>
      </w:r>
      <w:r>
        <w:rPr>
          <w:rFonts w:hint="eastAsia" w:ascii="宋体" w:hAnsi="宋体" w:eastAsia="宋体" w:cs="宋体"/>
          <w:bCs w:val="0"/>
          <w:color w:val="auto"/>
          <w:kern w:val="2"/>
          <w:sz w:val="24"/>
          <w:szCs w:val="24"/>
          <w:highlight w:val="none"/>
          <w:u w:val="single"/>
          <w:lang w:val="en-US" w:eastAsia="zh-CN" w:bidi="ar"/>
        </w:rPr>
        <w:t xml:space="preserve">      </w:t>
      </w:r>
      <w:r>
        <w:rPr>
          <w:rFonts w:hint="eastAsia" w:ascii="宋体" w:hAnsi="宋体" w:eastAsia="宋体" w:cs="宋体"/>
          <w:bCs w:val="0"/>
          <w:color w:val="auto"/>
          <w:kern w:val="2"/>
          <w:sz w:val="24"/>
          <w:szCs w:val="24"/>
          <w:highlight w:val="none"/>
          <w:lang w:val="en-US" w:eastAsia="zh-CN" w:bidi="ar"/>
        </w:rPr>
        <w:t>年</w:t>
      </w:r>
      <w:r>
        <w:rPr>
          <w:rFonts w:hint="eastAsia" w:ascii="宋体" w:hAnsi="宋体" w:eastAsia="宋体" w:cs="宋体"/>
          <w:bCs w:val="0"/>
          <w:color w:val="auto"/>
          <w:kern w:val="2"/>
          <w:sz w:val="24"/>
          <w:szCs w:val="24"/>
          <w:highlight w:val="none"/>
          <w:u w:val="single"/>
          <w:lang w:val="en-US" w:eastAsia="zh-CN" w:bidi="ar"/>
        </w:rPr>
        <w:t xml:space="preserve">     </w:t>
      </w:r>
      <w:r>
        <w:rPr>
          <w:rFonts w:hint="eastAsia" w:ascii="宋体" w:hAnsi="宋体" w:eastAsia="宋体" w:cs="宋体"/>
          <w:bCs w:val="0"/>
          <w:color w:val="auto"/>
          <w:kern w:val="2"/>
          <w:sz w:val="24"/>
          <w:szCs w:val="24"/>
          <w:highlight w:val="none"/>
          <w:lang w:val="en-US" w:eastAsia="zh-CN" w:bidi="ar"/>
        </w:rPr>
        <w:t>月</w:t>
      </w:r>
      <w:r>
        <w:rPr>
          <w:rFonts w:hint="eastAsia" w:ascii="宋体" w:hAnsi="宋体" w:eastAsia="宋体" w:cs="宋体"/>
          <w:bCs w:val="0"/>
          <w:color w:val="auto"/>
          <w:kern w:val="2"/>
          <w:sz w:val="24"/>
          <w:szCs w:val="24"/>
          <w:highlight w:val="none"/>
          <w:u w:val="single"/>
          <w:lang w:val="en-US" w:eastAsia="zh-CN" w:bidi="ar"/>
        </w:rPr>
        <w:t xml:space="preserve">     </w:t>
      </w:r>
      <w:r>
        <w:rPr>
          <w:rFonts w:hint="eastAsia" w:ascii="宋体" w:hAnsi="宋体" w:eastAsia="宋体" w:cs="宋体"/>
          <w:bCs w:val="0"/>
          <w:color w:val="auto"/>
          <w:kern w:val="2"/>
          <w:sz w:val="24"/>
          <w:szCs w:val="24"/>
          <w:highlight w:val="none"/>
          <w:lang w:val="en-US" w:eastAsia="zh-CN" w:bidi="ar"/>
        </w:rPr>
        <w:t>日。</w:t>
      </w:r>
    </w:p>
    <w:p w14:paraId="2C225949">
      <w:pPr>
        <w:keepNext w:val="0"/>
        <w:keepLines w:val="0"/>
        <w:widowControl w:val="0"/>
        <w:suppressLineNumbers w:val="0"/>
        <w:spacing w:before="153" w:beforeLines="50" w:beforeAutospacing="0" w:after="153" w:afterLines="50" w:afterAutospacing="0" w:line="400" w:lineRule="exact"/>
        <w:ind w:left="0" w:right="0" w:firstLine="0" w:firstLineChars="0"/>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四、质量标准</w:t>
      </w:r>
    </w:p>
    <w:p w14:paraId="13EF0579">
      <w:pPr>
        <w:keepNext w:val="0"/>
        <w:keepLines w:val="0"/>
        <w:widowControl w:val="0"/>
        <w:suppressLineNumbers w:val="0"/>
        <w:spacing w:before="153" w:beforeLines="50" w:beforeAutospacing="0" w:after="0" w:afterAutospacing="0" w:line="400" w:lineRule="exact"/>
        <w:ind w:left="0" w:right="0" w:firstLine="470" w:firstLineChars="196"/>
        <w:jc w:val="left"/>
        <w:rPr>
          <w:rFonts w:hint="eastAsia" w:ascii="宋体" w:hAnsi="宋体" w:eastAsia="宋体" w:cs="宋体"/>
          <w:bCs w:val="0"/>
          <w:color w:val="auto"/>
          <w:kern w:val="2"/>
          <w:sz w:val="24"/>
          <w:szCs w:val="24"/>
          <w:highlight w:val="none"/>
          <w:lang w:val="en-US" w:eastAsia="zh-CN" w:bidi="ar"/>
        </w:rPr>
      </w:pPr>
      <w:r>
        <w:rPr>
          <w:rFonts w:hint="eastAsia" w:ascii="宋体" w:hAnsi="宋体" w:eastAsia="宋体" w:cs="宋体"/>
          <w:bCs w:val="0"/>
          <w:color w:val="auto"/>
          <w:kern w:val="2"/>
          <w:sz w:val="24"/>
          <w:szCs w:val="24"/>
          <w:highlight w:val="none"/>
          <w:lang w:val="en-US" w:eastAsia="zh-CN" w:bidi="ar"/>
        </w:rPr>
        <w:t>符合《建设工程造价咨询成果文件质量标准》（CECA/GCF2012）</w:t>
      </w:r>
      <w:r>
        <w:rPr>
          <w:rFonts w:hint="eastAsia" w:ascii="宋体" w:hAnsi="宋体" w:cs="宋体"/>
          <w:bCs w:val="0"/>
          <w:color w:val="auto"/>
          <w:kern w:val="2"/>
          <w:sz w:val="24"/>
          <w:szCs w:val="24"/>
          <w:highlight w:val="none"/>
          <w:lang w:val="en-US" w:eastAsia="zh-CN" w:bidi="ar"/>
        </w:rPr>
        <w:t>。</w:t>
      </w:r>
    </w:p>
    <w:p w14:paraId="1904926D">
      <w:pPr>
        <w:keepNext w:val="0"/>
        <w:keepLines w:val="0"/>
        <w:widowControl w:val="0"/>
        <w:suppressLineNumbers w:val="0"/>
        <w:spacing w:before="153" w:beforeLines="50" w:beforeAutospacing="0" w:after="153" w:afterLines="50" w:afterAutospacing="0" w:line="400" w:lineRule="exact"/>
        <w:ind w:left="0" w:right="0" w:firstLine="0" w:firstLineChars="0"/>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 xml:space="preserve">五、咨询酬金 </w:t>
      </w:r>
    </w:p>
    <w:p w14:paraId="7C0BA4C0">
      <w:pPr>
        <w:keepNext w:val="0"/>
        <w:keepLines w:val="0"/>
        <w:widowControl w:val="0"/>
        <w:suppressLineNumbers w:val="0"/>
        <w:spacing w:before="153" w:beforeLines="50" w:beforeAutospacing="0" w:after="0" w:afterAutospacing="0" w:line="400" w:lineRule="exact"/>
        <w:ind w:left="0" w:right="0" w:firstLine="482" w:firstLineChars="200"/>
        <w:jc w:val="left"/>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支付方式：施工招标完成后支付至合同价款的80%，工程竣工验收后支付合同价款的剩余费用（计算基数以施工中标价减去暂列金额、暂估价为准）。如项目因故调整未招标，则以最高投标限价乘以30%施工下浮率为计费基数结算编制费用。（注：发包人在政府资金调度会批准且发票送达后完成支付）</w:t>
      </w:r>
      <w:r>
        <w:rPr>
          <w:rFonts w:hint="eastAsia" w:ascii="宋体" w:hAnsi="宋体" w:cs="宋体"/>
          <w:b/>
          <w:bCs/>
          <w:color w:val="auto"/>
          <w:kern w:val="0"/>
          <w:sz w:val="21"/>
          <w:szCs w:val="21"/>
          <w:highlight w:val="none"/>
          <w:lang w:val="en-US" w:eastAsia="zh-CN"/>
        </w:rPr>
        <w:t>。</w:t>
      </w:r>
    </w:p>
    <w:p w14:paraId="33B1DA54">
      <w:pPr>
        <w:keepNext w:val="0"/>
        <w:keepLines w:val="0"/>
        <w:widowControl w:val="0"/>
        <w:suppressLineNumbers w:val="0"/>
        <w:spacing w:before="153" w:beforeLines="50" w:beforeAutospacing="0" w:after="0" w:afterAutospacing="0" w:line="400" w:lineRule="exact"/>
        <w:ind w:left="0" w:right="0" w:firstLine="720" w:firstLineChars="3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费率，《收费标准》计算费用的</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w:t>
      </w:r>
    </w:p>
    <w:p w14:paraId="52F1067C">
      <w:pPr>
        <w:keepNext w:val="0"/>
        <w:keepLines w:val="0"/>
        <w:widowControl w:val="0"/>
        <w:suppressLineNumbers w:val="0"/>
        <w:spacing w:before="153" w:beforeLines="50" w:beforeAutospacing="0" w:after="153" w:afterLines="50" w:afterAutospacing="0" w:line="400" w:lineRule="exact"/>
        <w:ind w:left="0" w:right="0" w:firstLine="0" w:firstLineChars="0"/>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六、履约保证金</w:t>
      </w:r>
    </w:p>
    <w:p w14:paraId="101246B9">
      <w:pPr>
        <w:keepNext w:val="0"/>
        <w:keepLines w:val="0"/>
        <w:widowControl w:val="0"/>
        <w:suppressLineNumbers w:val="0"/>
        <w:spacing w:before="153" w:beforeLines="50" w:beforeAutospacing="0" w:after="0" w:afterAutospacing="0" w:line="400" w:lineRule="exact"/>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cs="宋体"/>
          <w:b w:val="0"/>
          <w:bCs w:val="0"/>
          <w:color w:val="auto"/>
          <w:kern w:val="2"/>
          <w:sz w:val="24"/>
          <w:szCs w:val="24"/>
          <w:highlight w:val="none"/>
          <w:lang w:val="en-US" w:eastAsia="zh-CN" w:bidi="ar"/>
        </w:rPr>
        <w:t xml:space="preserve"> 本项目不需要缴纳履约保证金</w:t>
      </w:r>
      <w:r>
        <w:rPr>
          <w:rFonts w:hint="eastAsia" w:ascii="宋体" w:hAnsi="宋体" w:eastAsia="宋体" w:cs="宋体"/>
          <w:b w:val="0"/>
          <w:bCs w:val="0"/>
          <w:color w:val="auto"/>
          <w:kern w:val="2"/>
          <w:sz w:val="24"/>
          <w:szCs w:val="24"/>
          <w:highlight w:val="none"/>
          <w:lang w:val="en-US" w:eastAsia="zh-CN" w:bidi="ar"/>
        </w:rPr>
        <w:t>。</w:t>
      </w:r>
    </w:p>
    <w:p w14:paraId="4BC33C13">
      <w:pPr>
        <w:keepNext w:val="0"/>
        <w:keepLines w:val="0"/>
        <w:widowControl w:val="0"/>
        <w:suppressLineNumbers w:val="0"/>
        <w:spacing w:before="153" w:beforeLines="50" w:beforeAutospacing="0" w:after="153" w:afterLines="50" w:afterAutospacing="0" w:line="400" w:lineRule="exact"/>
        <w:ind w:left="0" w:right="0" w:firstLine="0" w:firstLineChars="0"/>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七、合同文件构成</w:t>
      </w:r>
    </w:p>
    <w:p w14:paraId="07333214">
      <w:pPr>
        <w:keepNext w:val="0"/>
        <w:keepLines w:val="0"/>
        <w:widowControl w:val="0"/>
        <w:suppressLineNumbers w:val="0"/>
        <w:spacing w:before="153" w:beforeLines="50" w:beforeAutospacing="0" w:after="0" w:afterAutospacing="0" w:line="400" w:lineRule="exact"/>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本协议书与下列文件一起构成造价咨询合同文件：</w:t>
      </w:r>
    </w:p>
    <w:p w14:paraId="3F7BBCE8">
      <w:pPr>
        <w:keepNext w:val="0"/>
        <w:keepLines w:val="0"/>
        <w:widowControl w:val="0"/>
        <w:suppressLineNumbers w:val="0"/>
        <w:spacing w:before="153" w:beforeLines="50" w:beforeAutospacing="0" w:after="0" w:afterAutospacing="0" w:line="400" w:lineRule="exact"/>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中标通知书（如果有）；</w:t>
      </w:r>
    </w:p>
    <w:p w14:paraId="1FD89047">
      <w:pPr>
        <w:keepNext w:val="0"/>
        <w:keepLines w:val="0"/>
        <w:widowControl w:val="0"/>
        <w:suppressLineNumbers w:val="0"/>
        <w:spacing w:before="153" w:beforeLines="50" w:beforeAutospacing="0" w:after="0" w:afterAutospacing="0" w:line="400" w:lineRule="exact"/>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 xml:space="preserve">投标函及其附录（如果有）； </w:t>
      </w:r>
    </w:p>
    <w:p w14:paraId="24C7818D">
      <w:pPr>
        <w:keepNext w:val="0"/>
        <w:keepLines w:val="0"/>
        <w:widowControl w:val="0"/>
        <w:suppressLineNumbers w:val="0"/>
        <w:spacing w:before="153" w:beforeLines="50" w:beforeAutospacing="0" w:after="0" w:afterAutospacing="0" w:line="400" w:lineRule="exact"/>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通用合同条款；</w:t>
      </w:r>
    </w:p>
    <w:p w14:paraId="28C1E91A">
      <w:pPr>
        <w:keepNext w:val="0"/>
        <w:keepLines w:val="0"/>
        <w:widowControl w:val="0"/>
        <w:suppressLineNumbers w:val="0"/>
        <w:spacing w:before="153" w:beforeLines="50" w:beforeAutospacing="0" w:after="0" w:afterAutospacing="0" w:line="400" w:lineRule="exact"/>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2"/>
          <w:sz w:val="24"/>
          <w:szCs w:val="24"/>
          <w:highlight w:val="none"/>
          <w:lang w:val="en-US" w:eastAsia="zh-CN" w:bidi="ar"/>
        </w:rPr>
        <w:t>专用合同条款。</w:t>
      </w:r>
    </w:p>
    <w:p w14:paraId="71D2D786">
      <w:pPr>
        <w:keepNext w:val="0"/>
        <w:keepLines w:val="0"/>
        <w:widowControl w:val="0"/>
        <w:suppressLineNumbers w:val="0"/>
        <w:autoSpaceDE w:val="0"/>
        <w:autoSpaceDN w:val="0"/>
        <w:adjustRightInd w:val="0"/>
        <w:spacing w:before="153" w:beforeLines="50" w:beforeAutospacing="0" w:after="0" w:afterAutospacing="0" w:line="400" w:lineRule="exact"/>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在合同订立及履行过程中形成的与合同有关的文件均构成合同文件组成部分。</w:t>
      </w:r>
    </w:p>
    <w:p w14:paraId="5D0709BB">
      <w:pPr>
        <w:keepNext w:val="0"/>
        <w:keepLines w:val="0"/>
        <w:widowControl w:val="0"/>
        <w:suppressLineNumbers w:val="0"/>
        <w:spacing w:before="153" w:beforeLines="50" w:beforeAutospacing="0" w:after="0" w:afterAutospacing="0" w:line="400" w:lineRule="exact"/>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上述各项合同文件包括合同当事人就该项合同文件所作出的补充和修改，属于同一类内容的文件，应以最新签署的为准。</w:t>
      </w:r>
    </w:p>
    <w:p w14:paraId="0BA532BA">
      <w:pPr>
        <w:keepNext w:val="0"/>
        <w:keepLines w:val="0"/>
        <w:widowControl w:val="0"/>
        <w:suppressLineNumbers w:val="0"/>
        <w:spacing w:before="153" w:beforeLines="50" w:beforeAutospacing="0" w:after="153" w:afterLines="50" w:afterAutospacing="0" w:line="400" w:lineRule="exact"/>
        <w:ind w:left="0" w:right="0" w:firstLine="0" w:firstLineChars="0"/>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八、词语含义</w:t>
      </w:r>
    </w:p>
    <w:p w14:paraId="4E57E903">
      <w:pPr>
        <w:keepNext w:val="0"/>
        <w:keepLines w:val="0"/>
        <w:widowControl w:val="0"/>
        <w:suppressLineNumbers w:val="0"/>
        <w:spacing w:before="0" w:beforeAutospacing="0" w:after="0" w:afterAutospacing="0" w:line="400" w:lineRule="exact"/>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本协议书中词语含义与第二部分通用合同条款中赋予的含义相同。</w:t>
      </w:r>
    </w:p>
    <w:p w14:paraId="1D2889F7">
      <w:pPr>
        <w:keepNext w:val="0"/>
        <w:keepLines w:val="0"/>
        <w:widowControl w:val="0"/>
        <w:suppressLineNumbers w:val="0"/>
        <w:spacing w:before="153" w:beforeLines="50" w:beforeAutospacing="0" w:after="153" w:afterLines="50" w:afterAutospacing="0" w:line="400" w:lineRule="exact"/>
        <w:ind w:left="0" w:right="0" w:firstLine="0" w:firstLineChars="0"/>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九、本合同于</w:t>
      </w:r>
      <w:r>
        <w:rPr>
          <w:rFonts w:hint="eastAsia" w:ascii="宋体" w:hAnsi="宋体" w:eastAsia="宋体" w:cs="宋体"/>
          <w:b/>
          <w:bCs/>
          <w:color w:val="auto"/>
          <w:kern w:val="2"/>
          <w:sz w:val="24"/>
          <w:szCs w:val="24"/>
          <w:highlight w:val="none"/>
          <w:u w:val="single"/>
          <w:lang w:val="en-US" w:eastAsia="zh-CN" w:bidi="ar"/>
        </w:rPr>
        <w:t xml:space="preserve">  2025 </w:t>
      </w:r>
      <w:r>
        <w:rPr>
          <w:rFonts w:hint="eastAsia" w:ascii="宋体" w:hAnsi="宋体" w:eastAsia="宋体" w:cs="宋体"/>
          <w:b/>
          <w:bCs/>
          <w:color w:val="auto"/>
          <w:kern w:val="2"/>
          <w:sz w:val="24"/>
          <w:szCs w:val="24"/>
          <w:highlight w:val="none"/>
          <w:lang w:val="en-US" w:eastAsia="zh-CN" w:bidi="ar"/>
        </w:rPr>
        <w:t>年</w:t>
      </w:r>
      <w:r>
        <w:rPr>
          <w:rFonts w:hint="eastAsia" w:ascii="宋体" w:hAnsi="宋体" w:eastAsia="宋体" w:cs="宋体"/>
          <w:b/>
          <w:bCs/>
          <w:color w:val="auto"/>
          <w:kern w:val="2"/>
          <w:sz w:val="24"/>
          <w:szCs w:val="24"/>
          <w:highlight w:val="none"/>
          <w:u w:val="single"/>
          <w:lang w:val="en-US" w:eastAsia="zh-CN" w:bidi="ar"/>
        </w:rPr>
        <w:t xml:space="preserve">       </w:t>
      </w:r>
      <w:r>
        <w:rPr>
          <w:rFonts w:hint="eastAsia" w:ascii="宋体" w:hAnsi="宋体" w:eastAsia="宋体" w:cs="宋体"/>
          <w:b/>
          <w:bCs/>
          <w:color w:val="auto"/>
          <w:kern w:val="2"/>
          <w:sz w:val="24"/>
          <w:szCs w:val="24"/>
          <w:highlight w:val="none"/>
          <w:lang w:val="en-US" w:eastAsia="zh-CN" w:bidi="ar"/>
        </w:rPr>
        <w:t>月</w:t>
      </w:r>
      <w:r>
        <w:rPr>
          <w:rFonts w:hint="eastAsia" w:ascii="宋体" w:hAnsi="宋体" w:eastAsia="宋体" w:cs="宋体"/>
          <w:b/>
          <w:bCs/>
          <w:color w:val="auto"/>
          <w:kern w:val="2"/>
          <w:sz w:val="24"/>
          <w:szCs w:val="24"/>
          <w:highlight w:val="none"/>
          <w:u w:val="single"/>
          <w:lang w:val="en-US" w:eastAsia="zh-CN" w:bidi="ar"/>
        </w:rPr>
        <w:t xml:space="preserve">      </w:t>
      </w:r>
      <w:r>
        <w:rPr>
          <w:rFonts w:hint="eastAsia" w:ascii="宋体" w:hAnsi="宋体" w:eastAsia="宋体" w:cs="宋体"/>
          <w:b/>
          <w:bCs/>
          <w:color w:val="auto"/>
          <w:kern w:val="2"/>
          <w:sz w:val="24"/>
          <w:szCs w:val="24"/>
          <w:highlight w:val="none"/>
          <w:lang w:val="en-US" w:eastAsia="zh-CN" w:bidi="ar"/>
        </w:rPr>
        <w:t>日签订。</w:t>
      </w:r>
    </w:p>
    <w:p w14:paraId="6B99552A">
      <w:pPr>
        <w:keepNext w:val="0"/>
        <w:keepLines w:val="0"/>
        <w:widowControl w:val="0"/>
        <w:suppressLineNumbers w:val="0"/>
        <w:spacing w:before="153" w:beforeLines="50" w:beforeAutospacing="0" w:after="153" w:afterLines="50" w:afterAutospacing="0" w:line="400" w:lineRule="exact"/>
        <w:ind w:left="0" w:right="0" w:firstLine="0" w:firstLineChars="0"/>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十、签订地点</w:t>
      </w:r>
    </w:p>
    <w:p w14:paraId="66167F8C">
      <w:pPr>
        <w:keepNext w:val="0"/>
        <w:keepLines w:val="0"/>
        <w:widowControl w:val="0"/>
        <w:suppressLineNumbers w:val="0"/>
        <w:spacing w:before="0" w:beforeAutospacing="0" w:after="0" w:afterAutospacing="0" w:line="400" w:lineRule="exact"/>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bCs w:val="0"/>
          <w:color w:val="auto"/>
          <w:kern w:val="2"/>
          <w:sz w:val="24"/>
          <w:szCs w:val="24"/>
          <w:highlight w:val="none"/>
          <w:lang w:val="en-US" w:eastAsia="zh-CN" w:bidi="ar"/>
        </w:rPr>
        <w:t>本合同在</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b w:val="0"/>
          <w:color w:val="auto"/>
          <w:kern w:val="2"/>
          <w:sz w:val="24"/>
          <w:szCs w:val="24"/>
          <w:highlight w:val="none"/>
          <w:u w:val="single"/>
          <w:lang w:val="en-US" w:eastAsia="zh-CN" w:bidi="ar"/>
        </w:rPr>
        <w:t>滁州市重点工程建设管理处</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签订。</w:t>
      </w:r>
    </w:p>
    <w:p w14:paraId="67D7BFB1">
      <w:pPr>
        <w:keepNext w:val="0"/>
        <w:keepLines w:val="0"/>
        <w:widowControl w:val="0"/>
        <w:suppressLineNumbers w:val="0"/>
        <w:spacing w:before="153" w:beforeLines="50" w:beforeAutospacing="0" w:after="153" w:afterLines="50" w:afterAutospacing="0" w:line="400" w:lineRule="exact"/>
        <w:ind w:left="0" w:right="0" w:firstLine="0" w:firstLineChars="0"/>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十一、补充协议</w:t>
      </w:r>
    </w:p>
    <w:p w14:paraId="1B5F58A3">
      <w:pPr>
        <w:keepNext w:val="0"/>
        <w:keepLines w:val="0"/>
        <w:widowControl w:val="0"/>
        <w:suppressLineNumbers w:val="0"/>
        <w:spacing w:before="0" w:beforeAutospacing="0" w:after="0" w:afterAutospacing="0" w:line="400" w:lineRule="exact"/>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合同未尽事宜，合同当事人另行签订补充协议，补充协议是合同的组成部分。</w:t>
      </w:r>
    </w:p>
    <w:p w14:paraId="72CEDC5D">
      <w:pPr>
        <w:keepNext w:val="0"/>
        <w:keepLines w:val="0"/>
        <w:widowControl w:val="0"/>
        <w:suppressLineNumbers w:val="0"/>
        <w:spacing w:before="153" w:beforeLines="50" w:beforeAutospacing="0" w:after="153" w:afterLines="50" w:afterAutospacing="0" w:line="400" w:lineRule="exact"/>
        <w:ind w:left="0" w:right="0" w:firstLine="0" w:firstLineChars="0"/>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十二、合同生效</w:t>
      </w:r>
    </w:p>
    <w:p w14:paraId="79969C36">
      <w:pPr>
        <w:keepNext w:val="0"/>
        <w:keepLines w:val="0"/>
        <w:widowControl w:val="0"/>
        <w:suppressLineNumbers w:val="0"/>
        <w:spacing w:before="0" w:beforeAutospacing="0" w:after="0" w:afterAutospacing="0" w:line="400" w:lineRule="exact"/>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本合同自</w:t>
      </w:r>
      <w:r>
        <w:rPr>
          <w:rFonts w:hint="eastAsia" w:ascii="宋体" w:hAnsi="宋体" w:cs="宋体"/>
          <w:color w:val="auto"/>
          <w:kern w:val="2"/>
          <w:sz w:val="24"/>
          <w:szCs w:val="24"/>
          <w:highlight w:val="none"/>
          <w:u w:val="single"/>
          <w:lang w:val="en-US" w:eastAsia="zh-CN" w:bidi="ar"/>
        </w:rPr>
        <w:t>甲乙双方盖章后</w:t>
      </w:r>
      <w:r>
        <w:rPr>
          <w:rFonts w:hint="eastAsia" w:ascii="宋体" w:hAnsi="宋体" w:eastAsia="宋体" w:cs="宋体"/>
          <w:color w:val="auto"/>
          <w:kern w:val="2"/>
          <w:sz w:val="24"/>
          <w:szCs w:val="24"/>
          <w:highlight w:val="none"/>
          <w:lang w:val="en-US" w:eastAsia="zh-CN" w:bidi="ar"/>
        </w:rPr>
        <w:t>生效。</w:t>
      </w:r>
    </w:p>
    <w:p w14:paraId="59EFB852">
      <w:pPr>
        <w:keepNext w:val="0"/>
        <w:keepLines w:val="0"/>
        <w:widowControl w:val="0"/>
        <w:suppressLineNumbers w:val="0"/>
        <w:spacing w:before="153" w:beforeLines="50" w:beforeAutospacing="0" w:after="153" w:afterLines="50" w:afterAutospacing="0" w:line="400" w:lineRule="exact"/>
        <w:ind w:left="0" w:right="0" w:firstLine="0" w:firstLineChars="0"/>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十三、合同份数</w:t>
      </w:r>
    </w:p>
    <w:p w14:paraId="41400542">
      <w:pPr>
        <w:keepNext w:val="0"/>
        <w:keepLines w:val="0"/>
        <w:widowControl w:val="0"/>
        <w:suppressLineNumbers w:val="0"/>
        <w:spacing w:before="0" w:beforeAutospacing="0" w:after="0" w:afterAutospacing="0" w:line="400" w:lineRule="exact"/>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本合同一式</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cs="宋体"/>
          <w:color w:val="auto"/>
          <w:kern w:val="2"/>
          <w:sz w:val="24"/>
          <w:szCs w:val="24"/>
          <w:highlight w:val="none"/>
          <w:u w:val="single"/>
          <w:lang w:val="en-US" w:eastAsia="zh-CN" w:bidi="ar"/>
        </w:rPr>
        <w:t>4</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份，均具有同等法律效力，委托人</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cs="宋体"/>
          <w:color w:val="auto"/>
          <w:kern w:val="2"/>
          <w:sz w:val="24"/>
          <w:szCs w:val="24"/>
          <w:highlight w:val="none"/>
          <w:u w:val="single"/>
          <w:lang w:val="en-US" w:eastAsia="zh-CN" w:bidi="ar"/>
        </w:rPr>
        <w:t>2</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份，受托人</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cs="宋体"/>
          <w:color w:val="auto"/>
          <w:kern w:val="2"/>
          <w:sz w:val="24"/>
          <w:szCs w:val="24"/>
          <w:highlight w:val="none"/>
          <w:u w:val="single"/>
          <w:lang w:val="en-US" w:eastAsia="zh-CN" w:bidi="ar"/>
        </w:rPr>
        <w:t>2</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份。</w:t>
      </w:r>
    </w:p>
    <w:p w14:paraId="49CAF0B0">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bCs w:val="0"/>
          <w:color w:val="auto"/>
          <w:kern w:val="2"/>
          <w:sz w:val="24"/>
          <w:szCs w:val="24"/>
          <w:highlight w:val="none"/>
        </w:rPr>
      </w:pPr>
      <w:r>
        <w:rPr>
          <w:rFonts w:hint="eastAsia" w:ascii="宋体" w:hAnsi="宋体" w:eastAsia="宋体" w:cs="宋体"/>
          <w:bCs w:val="0"/>
          <w:color w:val="auto"/>
          <w:kern w:val="2"/>
          <w:sz w:val="24"/>
          <w:szCs w:val="24"/>
          <w:highlight w:val="none"/>
          <w:lang w:val="en-US" w:eastAsia="zh-CN" w:bidi="ar"/>
        </w:rPr>
        <w:t xml:space="preserve"> </w:t>
      </w:r>
    </w:p>
    <w:p w14:paraId="21B6AE35">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委托人：  （公章）                       受托人：  （公章）</w:t>
      </w:r>
    </w:p>
    <w:p w14:paraId="18DF228A">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2467ED1C">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1041C981">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法定代表人或其委托代理人：              法定代表人或其委托代理人：</w:t>
      </w:r>
    </w:p>
    <w:p w14:paraId="3DA36BDD">
      <w:pPr>
        <w:keepNext w:val="0"/>
        <w:keepLines w:val="0"/>
        <w:widowControl w:val="0"/>
        <w:suppressLineNumbers w:val="0"/>
        <w:spacing w:before="0" w:beforeAutospacing="0" w:after="0" w:afterAutospacing="0" w:line="400" w:lineRule="exact"/>
        <w:ind w:left="0" w:right="0" w:firstLine="960" w:firstLineChars="4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（签字）                               （签字）</w:t>
      </w:r>
    </w:p>
    <w:p w14:paraId="11D3B82E">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4DAF36E1">
      <w:pPr>
        <w:keepNext w:val="0"/>
        <w:keepLines w:val="0"/>
        <w:widowControl w:val="0"/>
        <w:suppressLineNumbers w:val="0"/>
        <w:spacing w:before="153" w:beforeLines="50" w:beforeAutospacing="0" w:after="0" w:afterAutospacing="0" w:line="40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地    址：            </w:t>
      </w:r>
      <w:r>
        <w:rPr>
          <w:rFonts w:hint="eastAsia" w:ascii="宋体" w:hAnsi="宋体" w:cs="宋体"/>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地    址：</w:t>
      </w:r>
      <w:r>
        <w:rPr>
          <w:rFonts w:hint="eastAsia" w:ascii="宋体" w:hAnsi="宋体" w:eastAsia="宋体" w:cs="宋体"/>
          <w:color w:val="auto"/>
          <w:kern w:val="2"/>
          <w:sz w:val="24"/>
          <w:szCs w:val="24"/>
          <w:highlight w:val="none"/>
          <w:u w:val="single"/>
          <w:lang w:val="en-US" w:eastAsia="zh-CN" w:bidi="ar"/>
        </w:rPr>
        <w:t xml:space="preserve">              </w:t>
      </w:r>
    </w:p>
    <w:p w14:paraId="721B2EFA">
      <w:pPr>
        <w:keepNext w:val="0"/>
        <w:keepLines w:val="0"/>
        <w:widowControl w:val="0"/>
        <w:suppressLineNumbers w:val="0"/>
        <w:spacing w:before="153" w:beforeLines="50" w:beforeAutospacing="0" w:after="0" w:afterAutospacing="0" w:line="40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邮政编码：          </w:t>
      </w:r>
      <w:r>
        <w:rPr>
          <w:rFonts w:hint="eastAsia" w:ascii="宋体" w:hAnsi="宋体" w:cs="宋体"/>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邮政编码：</w:t>
      </w:r>
      <w:r>
        <w:rPr>
          <w:rFonts w:hint="eastAsia" w:ascii="宋体" w:hAnsi="宋体" w:eastAsia="宋体" w:cs="宋体"/>
          <w:color w:val="auto"/>
          <w:kern w:val="2"/>
          <w:sz w:val="24"/>
          <w:szCs w:val="24"/>
          <w:highlight w:val="none"/>
          <w:u w:val="single"/>
          <w:lang w:val="en-US" w:eastAsia="zh-CN" w:bidi="ar"/>
        </w:rPr>
        <w:t xml:space="preserve">                  </w:t>
      </w:r>
    </w:p>
    <w:p w14:paraId="3871A81A">
      <w:pPr>
        <w:keepNext w:val="0"/>
        <w:keepLines w:val="0"/>
        <w:widowControl w:val="0"/>
        <w:suppressLineNumbers w:val="0"/>
        <w:spacing w:before="153" w:beforeLines="50" w:beforeAutospacing="0" w:after="0" w:afterAutospacing="0" w:line="40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电    话：           </w:t>
      </w:r>
      <w:r>
        <w:rPr>
          <w:rFonts w:hint="eastAsia" w:ascii="宋体" w:hAnsi="宋体" w:cs="宋体"/>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电    话：</w:t>
      </w:r>
      <w:r>
        <w:rPr>
          <w:rFonts w:hint="eastAsia" w:ascii="宋体" w:hAnsi="宋体" w:eastAsia="宋体" w:cs="宋体"/>
          <w:color w:val="auto"/>
          <w:kern w:val="2"/>
          <w:sz w:val="24"/>
          <w:szCs w:val="24"/>
          <w:highlight w:val="none"/>
          <w:u w:val="single"/>
          <w:lang w:val="en-US" w:eastAsia="zh-CN" w:bidi="ar"/>
        </w:rPr>
        <w:t xml:space="preserve">                  </w:t>
      </w:r>
    </w:p>
    <w:p w14:paraId="7D273E4E">
      <w:pPr>
        <w:keepNext w:val="0"/>
        <w:keepLines w:val="0"/>
        <w:widowControl w:val="0"/>
        <w:suppressLineNumbers w:val="0"/>
        <w:spacing w:before="153" w:beforeLines="50" w:beforeAutospacing="0" w:after="0" w:afterAutospacing="0" w:line="40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传    真：          </w:t>
      </w:r>
      <w:r>
        <w:rPr>
          <w:rFonts w:hint="eastAsia" w:ascii="宋体" w:hAnsi="宋体" w:cs="宋体"/>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传    真：</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 xml:space="preserve"> </w:t>
      </w:r>
    </w:p>
    <w:p w14:paraId="4744CC72">
      <w:pPr>
        <w:keepNext w:val="0"/>
        <w:keepLines w:val="0"/>
        <w:widowControl w:val="0"/>
        <w:suppressLineNumbers w:val="0"/>
        <w:spacing w:before="153" w:beforeLines="50" w:beforeAutospacing="0" w:after="0" w:afterAutospacing="0" w:line="40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电子信箱：           </w:t>
      </w:r>
      <w:r>
        <w:rPr>
          <w:rFonts w:hint="eastAsia" w:ascii="宋体" w:hAnsi="宋体" w:cs="宋体"/>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电子信箱：</w:t>
      </w:r>
      <w:r>
        <w:rPr>
          <w:rFonts w:hint="eastAsia" w:ascii="宋体" w:hAnsi="宋体" w:eastAsia="宋体" w:cs="宋体"/>
          <w:color w:val="auto"/>
          <w:kern w:val="2"/>
          <w:sz w:val="24"/>
          <w:szCs w:val="24"/>
          <w:highlight w:val="none"/>
          <w:u w:val="single"/>
          <w:lang w:val="en-US" w:eastAsia="zh-CN" w:bidi="ar"/>
        </w:rPr>
        <w:t xml:space="preserve">                  </w:t>
      </w:r>
    </w:p>
    <w:p w14:paraId="3D797514">
      <w:pPr>
        <w:keepNext w:val="0"/>
        <w:keepLines w:val="0"/>
        <w:widowControl w:val="0"/>
        <w:suppressLineNumbers w:val="0"/>
        <w:spacing w:before="153" w:beforeLines="50" w:beforeAutospacing="0" w:after="0" w:afterAutospacing="0" w:line="400" w:lineRule="exact"/>
        <w:ind w:left="0" w:right="0"/>
        <w:jc w:val="left"/>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 xml:space="preserve">开户银行：            </w:t>
      </w:r>
      <w:r>
        <w:rPr>
          <w:rFonts w:hint="eastAsia" w:ascii="宋体" w:hAnsi="宋体" w:cs="宋体"/>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开户银行：</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 xml:space="preserve"> </w:t>
      </w:r>
    </w:p>
    <w:p w14:paraId="6A030194">
      <w:pPr>
        <w:keepNext w:val="0"/>
        <w:keepLines w:val="0"/>
        <w:widowControl w:val="0"/>
        <w:suppressLineNumbers w:val="0"/>
        <w:spacing w:before="153" w:beforeLines="50" w:beforeAutospacing="0" w:after="0" w:afterAutospacing="0" w:line="40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账    号：            </w:t>
      </w:r>
      <w:r>
        <w:rPr>
          <w:rFonts w:hint="eastAsia" w:ascii="宋体" w:hAnsi="宋体" w:cs="宋体"/>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账    号：</w:t>
      </w:r>
      <w:r>
        <w:rPr>
          <w:rFonts w:hint="eastAsia" w:ascii="宋体" w:hAnsi="宋体" w:eastAsia="宋体" w:cs="宋体"/>
          <w:color w:val="auto"/>
          <w:kern w:val="2"/>
          <w:sz w:val="24"/>
          <w:szCs w:val="24"/>
          <w:highlight w:val="none"/>
          <w:u w:val="single"/>
          <w:lang w:val="en-US" w:eastAsia="zh-CN" w:bidi="ar"/>
        </w:rPr>
        <w:t xml:space="preserve">                                    </w:t>
      </w:r>
    </w:p>
    <w:p w14:paraId="5F41C83F">
      <w:pPr>
        <w:keepNext w:val="0"/>
        <w:keepLines w:val="0"/>
        <w:widowControl w:val="0"/>
        <w:suppressLineNumbers w:val="0"/>
        <w:spacing w:before="0" w:beforeLines="50" w:beforeAutospacing="0" w:after="0" w:afterLines="30" w:afterAutospacing="0" w:line="40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6EA0F145">
      <w:pPr>
        <w:keepNext w:val="0"/>
        <w:keepLines w:val="0"/>
        <w:widowControl w:val="0"/>
        <w:suppressLineNumbers w:val="0"/>
        <w:spacing w:before="0" w:beforeLines="50" w:beforeAutospacing="0" w:after="0" w:afterLines="30" w:afterAutospacing="0" w:line="40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46122110">
      <w:pPr>
        <w:keepNext w:val="0"/>
        <w:keepLines w:val="0"/>
        <w:widowControl w:val="0"/>
        <w:suppressLineNumbers w:val="0"/>
        <w:spacing w:before="153" w:beforeLines="50" w:beforeAutospacing="0" w:after="153" w:afterLines="50" w:afterAutospacing="0" w:line="400" w:lineRule="exact"/>
        <w:ind w:left="0" w:right="0" w:firstLine="0" w:firstLineChars="0"/>
        <w:jc w:val="center"/>
        <w:outlineLvl w:val="2"/>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br w:type="page"/>
      </w:r>
      <w:r>
        <w:rPr>
          <w:rFonts w:hint="eastAsia" w:ascii="宋体" w:hAnsi="宋体" w:eastAsia="宋体" w:cs="宋体"/>
          <w:b/>
          <w:bCs/>
          <w:color w:val="auto"/>
          <w:kern w:val="2"/>
          <w:sz w:val="24"/>
          <w:szCs w:val="24"/>
          <w:highlight w:val="none"/>
          <w:lang w:val="en-US" w:eastAsia="zh-CN" w:bidi="ar"/>
        </w:rPr>
        <w:t>第二部分  通用合同条款</w:t>
      </w:r>
    </w:p>
    <w:p w14:paraId="385F8643">
      <w:pPr>
        <w:pStyle w:val="7"/>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w:t>
      </w:r>
      <w:bookmarkStart w:id="69" w:name="_Toc303538973"/>
      <w:bookmarkEnd w:id="69"/>
      <w:bookmarkStart w:id="70" w:name="_Toc303538976"/>
      <w:bookmarkEnd w:id="70"/>
      <w:bookmarkStart w:id="71" w:name="_Toc303538974"/>
      <w:bookmarkEnd w:id="71"/>
      <w:bookmarkStart w:id="72" w:name="_Toc303538975"/>
      <w:bookmarkEnd w:id="72"/>
      <w:bookmarkStart w:id="73" w:name="_Toc303538972"/>
      <w:bookmarkEnd w:id="73"/>
      <w:bookmarkStart w:id="74" w:name="_Toc296503027"/>
      <w:bookmarkStart w:id="75" w:name="_Toc296346528"/>
      <w:r>
        <w:rPr>
          <w:rFonts w:hint="eastAsia" w:ascii="宋体" w:hAnsi="宋体" w:eastAsia="宋体" w:cs="宋体"/>
          <w:b w:val="0"/>
          <w:color w:val="auto"/>
          <w:sz w:val="24"/>
          <w:szCs w:val="24"/>
          <w:highlight w:val="none"/>
        </w:rPr>
        <w:t xml:space="preserve"> 一般约定</w:t>
      </w:r>
      <w:bookmarkEnd w:id="74"/>
      <w:bookmarkEnd w:id="75"/>
    </w:p>
    <w:p w14:paraId="5D7E60A2">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76" w:name="_Toc296503028"/>
      <w:bookmarkStart w:id="77" w:name="_Toc337558728"/>
      <w:bookmarkStart w:id="78" w:name="_Toc296346529"/>
      <w:bookmarkStart w:id="79" w:name="_Toc407261895"/>
      <w:r>
        <w:rPr>
          <w:rFonts w:hint="eastAsia" w:ascii="宋体" w:hAnsi="宋体" w:eastAsia="宋体" w:cs="宋体"/>
          <w:color w:val="auto"/>
          <w:sz w:val="24"/>
          <w:szCs w:val="24"/>
          <w:highlight w:val="none"/>
        </w:rPr>
        <w:t>1.1 词语定义</w:t>
      </w:r>
      <w:bookmarkEnd w:id="76"/>
      <w:bookmarkEnd w:id="77"/>
      <w:bookmarkEnd w:id="78"/>
      <w:r>
        <w:rPr>
          <w:rFonts w:hint="eastAsia" w:ascii="宋体" w:hAnsi="宋体" w:eastAsia="宋体" w:cs="宋体"/>
          <w:color w:val="auto"/>
          <w:sz w:val="24"/>
          <w:szCs w:val="24"/>
          <w:highlight w:val="none"/>
        </w:rPr>
        <w:t>与解释</w:t>
      </w:r>
      <w:bookmarkEnd w:id="79"/>
    </w:p>
    <w:p w14:paraId="395FD1BB">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合同协议书、通用合同条款、专用合同条款中的下列词语具有本款所赋予的含义：</w:t>
      </w:r>
    </w:p>
    <w:p w14:paraId="532D195C">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委托人：是指与咨询人签订合同协议书的当事人及取得该当事人资格的合法继承人。</w:t>
      </w:r>
    </w:p>
    <w:p w14:paraId="27BF3507">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咨询人：是指与委托人签订合同协议书的，具有相应工程造价咨询资质的当事人及取得该当事人资格的合法继承人。</w:t>
      </w:r>
    </w:p>
    <w:p w14:paraId="428A9922">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第三人：是指除委托人、咨询人以外与本咨询业务有关的当事人。</w:t>
      </w:r>
    </w:p>
    <w:p w14:paraId="5FC40E5E">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 工程造价咨询：是指咨询人接受委托人的委托，运用工程造价的专业技能，为建设项目决策、设计、交易、实施、结算等各个阶段工程计价和工程造价管理提供的有偿服务。</w:t>
      </w:r>
    </w:p>
    <w:p w14:paraId="75033091">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1.1.5 工程造价咨询成果文件：是指咨询人在承担工程造价咨询业务时，为委托人出具的具有法律责任，反映各阶段工程造价确定与控制成果的文件。包括：投资估算书、设计概算书、施工图预算书、竣工结算书、工程量清单、招标控制价、工程计量与支付、工程索赔、工程造价鉴定意见书等文件。 </w:t>
      </w:r>
    </w:p>
    <w:p w14:paraId="7D767B28">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 综合误差率：是指工程造价咨询成果文件中审查出的编制错误的累计金额与最终修正后造价总额的比率。</w:t>
      </w:r>
    </w:p>
    <w:p w14:paraId="02D2D987">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 酬金：是指咨询人履行本合同义务，委托人按照本合同约定给付咨询人的金额。</w:t>
      </w:r>
    </w:p>
    <w:p w14:paraId="33E9AA81">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1.1.8 费用：是指不包含在酬金之内应由委托人承担的经济支出。</w:t>
      </w:r>
    </w:p>
    <w:p w14:paraId="4BCDB7A9">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1.1.9 书面形式：是指合同书、信件和数据电文等可以有形地表现所载内容的形式。</w:t>
      </w:r>
    </w:p>
    <w:p w14:paraId="2A15078B">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80" w:name="_Toc337558729"/>
      <w:bookmarkStart w:id="81" w:name="_Toc407261896"/>
      <w:bookmarkStart w:id="82" w:name="_Toc296503029"/>
      <w:bookmarkStart w:id="83" w:name="_Toc296346530"/>
      <w:r>
        <w:rPr>
          <w:rFonts w:hint="eastAsia" w:ascii="宋体" w:hAnsi="宋体" w:eastAsia="宋体" w:cs="宋体"/>
          <w:color w:val="auto"/>
          <w:sz w:val="24"/>
          <w:szCs w:val="24"/>
          <w:highlight w:val="none"/>
        </w:rPr>
        <w:t>1.2 语言文字</w:t>
      </w:r>
      <w:bookmarkEnd w:id="80"/>
      <w:bookmarkEnd w:id="81"/>
      <w:bookmarkEnd w:id="82"/>
      <w:bookmarkEnd w:id="83"/>
    </w:p>
    <w:p w14:paraId="4E312DA2">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合同以中国的汉语简体文字编写、解释和说明。合同当事人在专用合同条款中约定使用两种以上语言时，汉语为优先解释和说明合同的语言。</w:t>
      </w:r>
    </w:p>
    <w:p w14:paraId="6908C663">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84" w:name="_Toc407261897"/>
      <w:bookmarkStart w:id="85" w:name="_Toc296503030"/>
      <w:bookmarkStart w:id="86" w:name="_Toc337558730"/>
      <w:bookmarkStart w:id="87" w:name="_Toc296346531"/>
      <w:r>
        <w:rPr>
          <w:rFonts w:hint="eastAsia" w:ascii="宋体" w:hAnsi="宋体" w:eastAsia="宋体" w:cs="宋体"/>
          <w:color w:val="auto"/>
          <w:sz w:val="24"/>
          <w:szCs w:val="24"/>
          <w:highlight w:val="none"/>
        </w:rPr>
        <w:t>1.3 法律</w:t>
      </w:r>
      <w:bookmarkEnd w:id="84"/>
      <w:bookmarkEnd w:id="85"/>
      <w:bookmarkEnd w:id="86"/>
      <w:bookmarkEnd w:id="87"/>
    </w:p>
    <w:p w14:paraId="6791C57D">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合同所称法律是指中华人民共和国法律、行政法规、部门规章，以及本省地方性法规、规章等。</w:t>
      </w:r>
    </w:p>
    <w:p w14:paraId="02542A9C">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合同当事人可以在专用合同条款中约定合同适用的其他规范性文件。</w:t>
      </w:r>
    </w:p>
    <w:p w14:paraId="31771BEF">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88" w:name="_Toc407261898"/>
      <w:r>
        <w:rPr>
          <w:rFonts w:hint="eastAsia" w:ascii="宋体" w:hAnsi="宋体" w:eastAsia="宋体" w:cs="宋体"/>
          <w:color w:val="auto"/>
          <w:sz w:val="24"/>
          <w:szCs w:val="24"/>
          <w:highlight w:val="none"/>
        </w:rPr>
        <w:t>1.4 标准和规范</w:t>
      </w:r>
      <w:bookmarkEnd w:id="88"/>
    </w:p>
    <w:p w14:paraId="41EAAE8E">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适用于工程造价咨询的国家标准、行业标准、本省地方性标准，以及相应的规范、规程等，合同当事人有特别要求的，应在专用合同条款中约定。</w:t>
      </w:r>
    </w:p>
    <w:p w14:paraId="3EAD1B04">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89" w:name="_Toc407261899"/>
      <w:r>
        <w:rPr>
          <w:rFonts w:hint="eastAsia" w:ascii="宋体" w:hAnsi="宋体" w:eastAsia="宋体" w:cs="宋体"/>
          <w:color w:val="auto"/>
          <w:sz w:val="24"/>
          <w:szCs w:val="24"/>
          <w:highlight w:val="none"/>
        </w:rPr>
        <w:t>1</w:t>
      </w:r>
      <w:bookmarkStart w:id="90" w:name="_Toc296503031"/>
      <w:bookmarkStart w:id="91" w:name="_Toc296346532"/>
      <w:bookmarkStart w:id="92" w:name="_Toc337558731"/>
      <w:r>
        <w:rPr>
          <w:rFonts w:hint="eastAsia" w:ascii="宋体" w:hAnsi="宋体" w:eastAsia="宋体" w:cs="宋体"/>
          <w:color w:val="auto"/>
          <w:sz w:val="24"/>
          <w:szCs w:val="24"/>
          <w:highlight w:val="none"/>
        </w:rPr>
        <w:t>.5 合同文件的优先顺序</w:t>
      </w:r>
      <w:bookmarkEnd w:id="89"/>
    </w:p>
    <w:bookmarkEnd w:id="90"/>
    <w:bookmarkEnd w:id="91"/>
    <w:bookmarkEnd w:id="92"/>
    <w:p w14:paraId="6E6A915C">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组成合同的各项文件应互相解释，互为说明。除专用合同条款另有约定外，解释合同文件的优先顺序如下：</w:t>
      </w:r>
    </w:p>
    <w:p w14:paraId="7CC96615">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合同协议书；</w:t>
      </w:r>
    </w:p>
    <w:p w14:paraId="7DAEBE84">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rPr>
        <w:t>中标通知书（如果有）；</w:t>
      </w:r>
    </w:p>
    <w:p w14:paraId="5E7DA526">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sz w:val="24"/>
          <w:szCs w:val="24"/>
          <w:highlight w:val="none"/>
        </w:rPr>
        <w:t>投标函及其附录（如果有）；</w:t>
      </w:r>
    </w:p>
    <w:p w14:paraId="2278D031">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sz w:val="24"/>
          <w:szCs w:val="24"/>
          <w:highlight w:val="none"/>
        </w:rPr>
        <w:t>专用合同条款；</w:t>
      </w:r>
    </w:p>
    <w:p w14:paraId="279A61C4">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sz w:val="24"/>
          <w:szCs w:val="24"/>
          <w:highlight w:val="none"/>
        </w:rPr>
        <w:t>通用合同条款。</w:t>
      </w:r>
    </w:p>
    <w:p w14:paraId="2683A238">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上述各项合同文件包括合同当事人就该项合同文件所作出的补充和修改，属于同一类内容的文件，应以最新签署的为准。</w:t>
      </w:r>
    </w:p>
    <w:p w14:paraId="13B7793B">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在合同订立及履行过程中形成的与合同有关的文件均构成合同文件组成部分，并根据其性质确定优先解释顺序。</w:t>
      </w:r>
    </w:p>
    <w:p w14:paraId="174DC12F">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93" w:name="_Toc351203502"/>
      <w:bookmarkStart w:id="94" w:name="_Toc407261900"/>
      <w:r>
        <w:rPr>
          <w:rFonts w:hint="eastAsia" w:ascii="宋体" w:hAnsi="宋体" w:eastAsia="宋体" w:cs="宋体"/>
          <w:color w:val="auto"/>
          <w:sz w:val="24"/>
          <w:szCs w:val="24"/>
          <w:highlight w:val="none"/>
        </w:rPr>
        <w:t>1</w:t>
      </w:r>
      <w:bookmarkStart w:id="95" w:name="_Toc296503033"/>
      <w:bookmarkStart w:id="96" w:name="_Toc337558733"/>
      <w:bookmarkStart w:id="97" w:name="_Toc296346534"/>
      <w:r>
        <w:rPr>
          <w:rFonts w:hint="eastAsia" w:ascii="宋体" w:hAnsi="宋体" w:eastAsia="宋体" w:cs="宋体"/>
          <w:color w:val="auto"/>
          <w:sz w:val="24"/>
          <w:szCs w:val="24"/>
          <w:highlight w:val="none"/>
        </w:rPr>
        <w:t>.6 联络</w:t>
      </w:r>
      <w:bookmarkEnd w:id="93"/>
      <w:bookmarkEnd w:id="94"/>
    </w:p>
    <w:bookmarkEnd w:id="95"/>
    <w:bookmarkEnd w:id="96"/>
    <w:bookmarkEnd w:id="97"/>
    <w:p w14:paraId="2C01C3B8">
      <w:pPr>
        <w:pageBreakBefore w:val="0"/>
        <w:widowControl w:val="0"/>
        <w:kinsoku/>
        <w:wordWrap/>
        <w:overflowPunct/>
        <w:topLinePunct w:val="0"/>
        <w:autoSpaceDE w:val="0"/>
        <w:autoSpaceDN w:val="0"/>
        <w:bidi w:val="0"/>
        <w:adjustRightInd w:val="0"/>
        <w:snapToGrid/>
        <w:spacing w:beforeLines="0" w:afterLines="0" w:line="49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1.6.1</w:t>
      </w:r>
      <w:r>
        <w:rPr>
          <w:rFonts w:hint="eastAsia" w:ascii="宋体" w:hAnsi="宋体" w:eastAsia="宋体" w:cs="宋体"/>
          <w:color w:val="auto"/>
          <w:kern w:val="0"/>
          <w:sz w:val="24"/>
          <w:szCs w:val="24"/>
          <w:highlight w:val="none"/>
        </w:rPr>
        <w:t xml:space="preserve"> 与合同有关的通知、批准、证明、证书、指示、指令、要求、请求、同意、意见、确定和决定等，均应采用书面形式，并应在合同约定的期限内送达接收人和送达地点。</w:t>
      </w:r>
    </w:p>
    <w:p w14:paraId="02F8FF25">
      <w:pPr>
        <w:pageBreakBefore w:val="0"/>
        <w:widowControl w:val="0"/>
        <w:kinsoku/>
        <w:wordWrap/>
        <w:overflowPunct/>
        <w:topLinePunct w:val="0"/>
        <w:autoSpaceDE w:val="0"/>
        <w:autoSpaceDN w:val="0"/>
        <w:bidi w:val="0"/>
        <w:adjustRightInd w:val="0"/>
        <w:snapToGrid/>
        <w:spacing w:beforeLines="0" w:afterLines="0" w:line="49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1.6.2</w:t>
      </w:r>
      <w:r>
        <w:rPr>
          <w:rFonts w:hint="eastAsia" w:ascii="宋体" w:hAnsi="宋体" w:eastAsia="宋体" w:cs="宋体"/>
          <w:color w:val="auto"/>
          <w:kern w:val="0"/>
          <w:sz w:val="24"/>
          <w:szCs w:val="24"/>
          <w:highlight w:val="none"/>
        </w:rPr>
        <w:t xml:space="preserve"> 委托人和咨询人应在专用合同条款中约定各自的送达接收人、送达地点、电子邮箱。任何一方合同当事人指定的接收人或送达地点或电子邮箱发生变动的，应提前3天以书面形式通知对方。</w:t>
      </w:r>
    </w:p>
    <w:p w14:paraId="3698C77A">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w:t>
      </w:r>
      <w:r>
        <w:rPr>
          <w:rFonts w:hint="eastAsia" w:ascii="宋体" w:hAnsi="宋体" w:eastAsia="宋体" w:cs="宋体"/>
          <w:color w:val="auto"/>
          <w:kern w:val="0"/>
          <w:sz w:val="24"/>
          <w:szCs w:val="24"/>
          <w:highlight w:val="none"/>
        </w:rPr>
        <w:t xml:space="preserve"> 委托人和咨询人应当及时签收另一方送达至送达地点和指定接收人的来往信函。拒不签收的，由此增加的费用和延误的咨询期限由拒绝接收一方承担。</w:t>
      </w:r>
    </w:p>
    <w:p w14:paraId="32E775AB">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98" w:name="_Toc407261901"/>
      <w:r>
        <w:rPr>
          <w:rFonts w:hint="eastAsia" w:ascii="宋体" w:hAnsi="宋体" w:eastAsia="宋体" w:cs="宋体"/>
          <w:color w:val="auto"/>
          <w:sz w:val="24"/>
          <w:szCs w:val="24"/>
          <w:highlight w:val="none"/>
        </w:rPr>
        <w:t>1.7 守法诚信</w:t>
      </w:r>
      <w:bookmarkEnd w:id="98"/>
    </w:p>
    <w:p w14:paraId="2E6A758C">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咨询人从事工程造价咨询活动，应当遵循独立、客观、公正、诚实信用的原则，不得损害社会公共利益和他人的合法权益。除委托人书面同意外，咨询人及其工程造价专业人员不得从与实施工程造价咨询业务有关的第三人处获得任何经济利益。</w:t>
      </w:r>
    </w:p>
    <w:p w14:paraId="11579F95">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99" w:name="_Toc407261902"/>
      <w:r>
        <w:rPr>
          <w:rFonts w:hint="eastAsia" w:ascii="宋体" w:hAnsi="宋体" w:eastAsia="宋体" w:cs="宋体"/>
          <w:color w:val="auto"/>
          <w:sz w:val="24"/>
          <w:szCs w:val="24"/>
          <w:highlight w:val="none"/>
        </w:rPr>
        <w:t>1.8 保密</w:t>
      </w:r>
      <w:bookmarkEnd w:id="99"/>
    </w:p>
    <w:p w14:paraId="6241F62A">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双方不得泄露对方申明的保密资料，亦不得泄露与实施工程造价咨询业务有关的第三人所提供的保密资料，保密事项在专用合同条款中约定。</w:t>
      </w:r>
    </w:p>
    <w:p w14:paraId="694C5CBA">
      <w:pPr>
        <w:pStyle w:val="7"/>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b w:val="0"/>
          <w:color w:val="auto"/>
          <w:sz w:val="24"/>
          <w:szCs w:val="24"/>
          <w:highlight w:val="none"/>
        </w:rPr>
      </w:pPr>
      <w:bookmarkStart w:id="100" w:name="_Toc407261903"/>
      <w:r>
        <w:rPr>
          <w:rFonts w:hint="eastAsia" w:ascii="宋体" w:hAnsi="宋体" w:eastAsia="宋体" w:cs="宋体"/>
          <w:b w:val="0"/>
          <w:color w:val="auto"/>
          <w:sz w:val="24"/>
          <w:szCs w:val="24"/>
          <w:highlight w:val="none"/>
        </w:rPr>
        <w:t>2. 委托人</w:t>
      </w:r>
      <w:bookmarkEnd w:id="100"/>
    </w:p>
    <w:p w14:paraId="2D03D2F5">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01" w:name="_Toc407261904"/>
      <w:r>
        <w:rPr>
          <w:rFonts w:hint="eastAsia" w:ascii="宋体" w:hAnsi="宋体" w:eastAsia="宋体" w:cs="宋体"/>
          <w:color w:val="auto"/>
          <w:sz w:val="24"/>
          <w:szCs w:val="24"/>
          <w:highlight w:val="none"/>
        </w:rPr>
        <w:t>2.1 委托人代表</w:t>
      </w:r>
      <w:bookmarkEnd w:id="101"/>
    </w:p>
    <w:p w14:paraId="46B2CA5B">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应授权一名熟悉工程情况的代表，负责与咨询人联系。委托人应在专用合同条款中明确委托人代表的姓名、职务、联系方式及授权范围等事项。委托人代表经委托人授权后代表委托人履行合同。委托人更换委托人代表的，应提前7天书面通知咨询人。</w:t>
      </w:r>
    </w:p>
    <w:p w14:paraId="4741398B">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02" w:name="_Toc407261905"/>
      <w:r>
        <w:rPr>
          <w:rFonts w:hint="eastAsia" w:ascii="宋体" w:hAnsi="宋体" w:eastAsia="宋体" w:cs="宋体"/>
          <w:color w:val="auto"/>
          <w:sz w:val="24"/>
          <w:szCs w:val="24"/>
          <w:highlight w:val="none"/>
        </w:rPr>
        <w:t>2.2 提供资料</w:t>
      </w:r>
      <w:bookmarkEnd w:id="102"/>
    </w:p>
    <w:p w14:paraId="107BAF50">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委托人向咨询人提供的工程造价咨询所需要的资料名称及提供时间在专用合同条款中约定，委托人对其提供资料的真实性、准确性和完整性负责。</w:t>
      </w:r>
    </w:p>
    <w:p w14:paraId="2C1FA171">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履行过程中，咨询人需要委托人和第三人提供工程造价咨询所需要的最新资料的，除专用合同条款另有约定外，委托人应尽其努力在相应咨询工作开展前的合理期限内提供，合理期限应以不影响咨询人的正常咨询工作为限。</w:t>
      </w:r>
    </w:p>
    <w:p w14:paraId="0DF71EEB">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委托人未能按合同约定及时向咨询人提供咨询资料的，由委托人承担由此增加的费用和延误的咨询期限。</w:t>
      </w:r>
    </w:p>
    <w:p w14:paraId="0EAFFD49">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03" w:name="_Toc407261906"/>
      <w:r>
        <w:rPr>
          <w:rFonts w:hint="eastAsia" w:ascii="宋体" w:hAnsi="宋体" w:eastAsia="宋体" w:cs="宋体"/>
          <w:color w:val="auto"/>
          <w:sz w:val="24"/>
          <w:szCs w:val="24"/>
          <w:highlight w:val="none"/>
        </w:rPr>
        <w:t>2.3 提供工作条件</w:t>
      </w:r>
      <w:bookmarkEnd w:id="103"/>
    </w:p>
    <w:p w14:paraId="08AAB197">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 委托人应负责与本工程造价咨询业务有关的第三人的协调，为咨询人履行本合同提供必要的外部条件。</w:t>
      </w:r>
    </w:p>
    <w:p w14:paraId="7A6F5C86">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 咨询人接受委托实施施工阶段全过程造价管理咨询工作的，委托人应当在施工现场为咨询人提供必要的办公用房、办公家具，供咨询人使用。</w:t>
      </w:r>
    </w:p>
    <w:p w14:paraId="54DCBE20">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04" w:name="_Toc407261907"/>
      <w:r>
        <w:rPr>
          <w:rFonts w:hint="eastAsia" w:ascii="宋体" w:hAnsi="宋体" w:eastAsia="宋体" w:cs="宋体"/>
          <w:color w:val="auto"/>
          <w:sz w:val="24"/>
          <w:szCs w:val="24"/>
          <w:highlight w:val="none"/>
        </w:rPr>
        <w:t>2.4 答复</w:t>
      </w:r>
      <w:bookmarkEnd w:id="104"/>
    </w:p>
    <w:p w14:paraId="445933F2">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 委托人应在专用合同条款约定的时间内，对咨询人以书面形式提交并要求作出决定的事宜，给予书面答复。委托人逾期未答复，影响咨询工作正常开展的，由委托人承担由此增加的费用和延误的咨询期限。</w:t>
      </w:r>
    </w:p>
    <w:p w14:paraId="62A4A731">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 除专用合同条款另有约定外，对咨询人以书面形式提交并要求第三人作出决定的事宜，由委托人送达第三人，第三人在合理期限内未答复，影响咨询工作正常开展的，由委托人承担由此增加的费用和延误的咨询期限。</w:t>
      </w:r>
    </w:p>
    <w:p w14:paraId="446F50A4">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05" w:name="_Toc407261908"/>
      <w:r>
        <w:rPr>
          <w:rFonts w:hint="eastAsia" w:ascii="宋体" w:hAnsi="宋体" w:eastAsia="宋体" w:cs="宋体"/>
          <w:color w:val="auto"/>
          <w:sz w:val="24"/>
          <w:szCs w:val="24"/>
          <w:highlight w:val="none"/>
        </w:rPr>
        <w:t>2.5 支付酬金</w:t>
      </w:r>
      <w:bookmarkEnd w:id="105"/>
    </w:p>
    <w:p w14:paraId="2D0F44D8">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委托人应按合同约定，向咨询人支付酬金。</w:t>
      </w:r>
    </w:p>
    <w:p w14:paraId="67B1CA5F">
      <w:pPr>
        <w:pStyle w:val="7"/>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b w:val="0"/>
          <w:color w:val="auto"/>
          <w:sz w:val="24"/>
          <w:szCs w:val="24"/>
          <w:highlight w:val="none"/>
        </w:rPr>
      </w:pPr>
      <w:bookmarkStart w:id="106" w:name="_Toc407261909"/>
      <w:r>
        <w:rPr>
          <w:rFonts w:hint="eastAsia" w:ascii="宋体" w:hAnsi="宋体" w:eastAsia="宋体" w:cs="宋体"/>
          <w:b w:val="0"/>
          <w:color w:val="auto"/>
          <w:sz w:val="24"/>
          <w:szCs w:val="24"/>
          <w:highlight w:val="none"/>
        </w:rPr>
        <w:t>3. 咨询人</w:t>
      </w:r>
      <w:bookmarkEnd w:id="106"/>
    </w:p>
    <w:p w14:paraId="5BC3E55C">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07" w:name="_Toc407261910"/>
      <w:bookmarkStart w:id="108" w:name="_Toc384137544"/>
      <w:bookmarkStart w:id="109" w:name="_Toc389602818"/>
      <w:bookmarkStart w:id="110" w:name="_Toc384026373"/>
      <w:bookmarkStart w:id="111" w:name="_Toc383940899"/>
      <w:bookmarkStart w:id="112" w:name="_Toc389663475"/>
      <w:r>
        <w:rPr>
          <w:rFonts w:hint="eastAsia" w:ascii="宋体" w:hAnsi="宋体" w:eastAsia="宋体" w:cs="宋体"/>
          <w:color w:val="auto"/>
          <w:sz w:val="24"/>
          <w:szCs w:val="24"/>
          <w:highlight w:val="none"/>
        </w:rPr>
        <w:t>3.1 咨询人的一般义务</w:t>
      </w:r>
      <w:bookmarkEnd w:id="107"/>
      <w:bookmarkEnd w:id="108"/>
      <w:bookmarkEnd w:id="109"/>
      <w:bookmarkEnd w:id="110"/>
      <w:bookmarkEnd w:id="111"/>
      <w:bookmarkEnd w:id="112"/>
    </w:p>
    <w:p w14:paraId="7CC9FD8C">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 向委托人提供与工程造价咨询业务有关的资料，包括工程造价咨询企业资质证书、承担本合同咨询业务的工程造价专业人员任命文件、工程造价咨询实施方案等。</w:t>
      </w:r>
    </w:p>
    <w:p w14:paraId="60EA332B">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 踏勘现场，了解情况，收集、整理工程造价咨询项目有关的基础资料和编制依据，进行有效性、合规性核对，保证工程计价基础资料和编制依据的全面性、真实性和有效性。</w:t>
      </w:r>
    </w:p>
    <w:p w14:paraId="3F9D11A5">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3.1.3 按照咨询合同约定的工作范围和内容，编制、审核、审定工程造价咨询成果文件，并在专用合同条款约定的时间内，向委托人提交符合国家、行业规定及合同约定的工程造价咨询成果文件。</w:t>
      </w:r>
    </w:p>
    <w:p w14:paraId="5ADA7A16">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3.1.4 组织咨询服务回访，听取委托人对服务质量的评价意见，及时进行总结，提出相应的改进措施。</w:t>
      </w:r>
    </w:p>
    <w:p w14:paraId="1D22E718">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3.1.5 收集工程造价咨询业务中形成的工程造价咨询过程文件和工程造价咨询成果文件，整理立卷后建立档案。</w:t>
      </w:r>
    </w:p>
    <w:p w14:paraId="10E5CFCD">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13" w:name="_Toc407261911"/>
      <w:r>
        <w:rPr>
          <w:rFonts w:hint="eastAsia" w:ascii="宋体" w:hAnsi="宋体" w:eastAsia="宋体" w:cs="宋体"/>
          <w:color w:val="auto"/>
          <w:sz w:val="24"/>
          <w:szCs w:val="24"/>
          <w:highlight w:val="none"/>
        </w:rPr>
        <w:t>3.2 项目负责人</w:t>
      </w:r>
      <w:bookmarkEnd w:id="113"/>
    </w:p>
    <w:p w14:paraId="721770BA">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应是咨询人正式聘用，并取得造价工程师注册证书的人员。咨询人应在专用合同条款中明确其任命的咨询项目负责人的姓名、身份证号、注册执业证书编号、联系方式及授权范围等事项，项目负责人经咨询人授权后代表咨询人履行合同。</w:t>
      </w:r>
    </w:p>
    <w:p w14:paraId="45CACA3C">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14" w:name="_Toc383940901"/>
      <w:bookmarkStart w:id="115" w:name="_Toc407261912"/>
      <w:bookmarkStart w:id="116" w:name="_Toc384137546"/>
      <w:bookmarkStart w:id="117" w:name="_Toc389663477"/>
      <w:bookmarkStart w:id="118" w:name="_Toc384026375"/>
      <w:bookmarkStart w:id="119" w:name="_Toc389602820"/>
      <w:r>
        <w:rPr>
          <w:rFonts w:hint="eastAsia" w:ascii="宋体" w:hAnsi="宋体" w:eastAsia="宋体" w:cs="宋体"/>
          <w:color w:val="auto"/>
          <w:sz w:val="24"/>
          <w:szCs w:val="24"/>
          <w:highlight w:val="none"/>
        </w:rPr>
        <w:t>3.3 工程造价专业人员</w:t>
      </w:r>
      <w:bookmarkEnd w:id="114"/>
      <w:bookmarkEnd w:id="115"/>
      <w:bookmarkEnd w:id="116"/>
      <w:bookmarkEnd w:id="117"/>
      <w:bookmarkEnd w:id="118"/>
      <w:bookmarkEnd w:id="119"/>
    </w:p>
    <w:p w14:paraId="04027485">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除专用合同条款另有约定外，咨询人应当在本合同签订后的7天内，提交任命的承担本合同咨询业务的工程造价专业人员注册证书和资格证书，以及为工程造价专业人员缴纳的社会保险有效证明，供委托人核验。咨询人违反约定的，应按照专用合同条款的约定，承担违约责任。</w:t>
      </w:r>
    </w:p>
    <w:p w14:paraId="6FD3E871">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 在合同履行过程中，工程造价专业人员应保持相对稳定，以保证咨询工作正常进行。咨询人更换工程造价专业人员时，应提前7天书面通知委托人，并征得委托人书面同意。未经委托人书面同意，咨询人不得擅自更换工程造价专业人员。咨询人擅自更换工程造价专业人员的，应按照专用合同条款的约定，承担违约责任。</w:t>
      </w:r>
    </w:p>
    <w:p w14:paraId="58E6F6C7">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咨询人承担施工阶段全过程造价管理咨询业务的，应安排工程造价专业人员进驻施工现场，且每月在施工现场时间不得少于专用合同条款约定的天数。工程造价专业人员</w:t>
      </w:r>
      <w:r>
        <w:rPr>
          <w:rFonts w:hint="eastAsia" w:ascii="宋体" w:hAnsi="宋体" w:eastAsia="宋体" w:cs="宋体"/>
          <w:color w:val="auto"/>
          <w:kern w:val="0"/>
          <w:sz w:val="24"/>
          <w:szCs w:val="24"/>
          <w:highlight w:val="none"/>
        </w:rPr>
        <w:t>确需离开施工现场时，应征得委托人同意。</w:t>
      </w:r>
      <w:r>
        <w:rPr>
          <w:rFonts w:hint="eastAsia" w:ascii="宋体" w:hAnsi="宋体" w:eastAsia="宋体" w:cs="宋体"/>
          <w:color w:val="auto"/>
          <w:sz w:val="24"/>
          <w:szCs w:val="24"/>
          <w:highlight w:val="none"/>
        </w:rPr>
        <w:t>咨询人违反约定的，应按照专用合同条款的约定，承担违约责任。</w:t>
      </w:r>
    </w:p>
    <w:p w14:paraId="658A082A">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 委托人要求咨询人撤换不能按照合同约定履行职责及义务的工程造价专业人员的，咨询人应当撤换。咨询人无正当理由拒绝撤换的，应按照专用合同条款的约定，承担违约责任。</w:t>
      </w:r>
    </w:p>
    <w:p w14:paraId="571FB304">
      <w:pPr>
        <w:pStyle w:val="7"/>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b w:val="0"/>
          <w:color w:val="auto"/>
          <w:sz w:val="24"/>
          <w:szCs w:val="24"/>
          <w:highlight w:val="none"/>
        </w:rPr>
      </w:pPr>
      <w:bookmarkStart w:id="120" w:name="_Toc407261913"/>
      <w:r>
        <w:rPr>
          <w:rFonts w:hint="eastAsia" w:ascii="宋体" w:hAnsi="宋体" w:eastAsia="宋体" w:cs="宋体"/>
          <w:b w:val="0"/>
          <w:color w:val="auto"/>
          <w:sz w:val="24"/>
          <w:szCs w:val="24"/>
          <w:highlight w:val="none"/>
        </w:rPr>
        <w:t>4. 咨询业务范围和工作内容</w:t>
      </w:r>
      <w:bookmarkEnd w:id="120"/>
    </w:p>
    <w:p w14:paraId="23536F88">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21" w:name="_Toc407261914"/>
      <w:r>
        <w:rPr>
          <w:rFonts w:hint="eastAsia" w:ascii="宋体" w:hAnsi="宋体" w:eastAsia="宋体" w:cs="宋体"/>
          <w:color w:val="auto"/>
          <w:sz w:val="24"/>
          <w:szCs w:val="24"/>
          <w:highlight w:val="none"/>
        </w:rPr>
        <w:t>4.1 咨询业务范围</w:t>
      </w:r>
      <w:bookmarkEnd w:id="121"/>
    </w:p>
    <w:p w14:paraId="2557AC40">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合同当事人应在合同协议书中约定选择下列工程造价咨询业务中的一项或数项业务，并可在合同协议书中约定其他工程造价咨询业务。</w:t>
      </w:r>
    </w:p>
    <w:p w14:paraId="53E6864F">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投资估算的编制或审核；</w:t>
      </w:r>
    </w:p>
    <w:p w14:paraId="7F29459E">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rPr>
        <w:t>设计概算的编制或审核；</w:t>
      </w:r>
    </w:p>
    <w:p w14:paraId="57ABE16B">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sz w:val="24"/>
          <w:szCs w:val="24"/>
          <w:highlight w:val="none"/>
        </w:rPr>
        <w:t>施工图预算的编制或审核；</w:t>
      </w:r>
    </w:p>
    <w:p w14:paraId="47A45057">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sz w:val="24"/>
          <w:szCs w:val="24"/>
          <w:highlight w:val="none"/>
        </w:rPr>
        <w:t>工程量清单的编制或审核；</w:t>
      </w:r>
    </w:p>
    <w:p w14:paraId="21136C58">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sz w:val="24"/>
          <w:szCs w:val="24"/>
          <w:highlight w:val="none"/>
        </w:rPr>
        <w:t>招标控制价的编制或审核；</w:t>
      </w:r>
    </w:p>
    <w:p w14:paraId="58C4852F">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w:t>
      </w:r>
      <w:r>
        <w:rPr>
          <w:rFonts w:hint="eastAsia" w:ascii="宋体" w:hAnsi="宋体" w:eastAsia="宋体" w:cs="宋体"/>
          <w:color w:val="auto"/>
          <w:sz w:val="24"/>
          <w:szCs w:val="24"/>
          <w:highlight w:val="none"/>
        </w:rPr>
        <w:t>投标报价的编制；</w:t>
      </w:r>
    </w:p>
    <w:p w14:paraId="55BEC680">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（7）</w:t>
      </w:r>
      <w:r>
        <w:rPr>
          <w:rFonts w:hint="eastAsia" w:ascii="宋体" w:hAnsi="宋体" w:eastAsia="宋体" w:cs="宋体"/>
          <w:color w:val="auto"/>
          <w:sz w:val="24"/>
          <w:szCs w:val="24"/>
          <w:highlight w:val="none"/>
        </w:rPr>
        <w:t>工程结算的编制或审核；</w:t>
      </w:r>
    </w:p>
    <w:p w14:paraId="2F807101">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（8）</w:t>
      </w:r>
      <w:r>
        <w:rPr>
          <w:rFonts w:hint="eastAsia" w:ascii="宋体" w:hAnsi="宋体" w:eastAsia="宋体" w:cs="宋体"/>
          <w:color w:val="auto"/>
          <w:sz w:val="24"/>
          <w:szCs w:val="24"/>
          <w:highlight w:val="none"/>
        </w:rPr>
        <w:t>竣工决算的编制或审核；</w:t>
      </w:r>
    </w:p>
    <w:p w14:paraId="3CFEEA09">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（9）</w:t>
      </w:r>
      <w:r>
        <w:rPr>
          <w:rFonts w:hint="eastAsia" w:ascii="宋体" w:hAnsi="宋体" w:eastAsia="宋体" w:cs="宋体"/>
          <w:color w:val="auto"/>
          <w:sz w:val="24"/>
          <w:szCs w:val="24"/>
          <w:highlight w:val="none"/>
        </w:rPr>
        <w:t>施工阶段全过程造价管理咨询；</w:t>
      </w:r>
    </w:p>
    <w:p w14:paraId="7C7330C6">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（10）</w:t>
      </w:r>
      <w:r>
        <w:rPr>
          <w:rFonts w:hint="eastAsia" w:ascii="宋体" w:hAnsi="宋体" w:eastAsia="宋体" w:cs="宋体"/>
          <w:color w:val="auto"/>
          <w:sz w:val="24"/>
          <w:szCs w:val="24"/>
          <w:highlight w:val="none"/>
        </w:rPr>
        <w:t>工程造价鉴定。</w:t>
      </w:r>
    </w:p>
    <w:p w14:paraId="0A14E9AD">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22" w:name="_Toc407261915"/>
      <w:r>
        <w:rPr>
          <w:rFonts w:hint="eastAsia" w:ascii="宋体" w:hAnsi="宋体" w:eastAsia="宋体" w:cs="宋体"/>
          <w:color w:val="auto"/>
          <w:sz w:val="24"/>
          <w:szCs w:val="24"/>
          <w:highlight w:val="none"/>
        </w:rPr>
        <w:t>4.2 咨询工作内容</w:t>
      </w:r>
      <w:bookmarkEnd w:id="122"/>
    </w:p>
    <w:p w14:paraId="6ACE02FE">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工程造价咨询工作内容，由合同当事人在专用合同条款中约定。</w:t>
      </w:r>
    </w:p>
    <w:p w14:paraId="1483C58F">
      <w:pPr>
        <w:pStyle w:val="7"/>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b w:val="0"/>
          <w:color w:val="auto"/>
          <w:sz w:val="24"/>
          <w:szCs w:val="24"/>
          <w:highlight w:val="none"/>
        </w:rPr>
      </w:pPr>
      <w:bookmarkStart w:id="123" w:name="_Toc407261916"/>
      <w:bookmarkStart w:id="124" w:name="_Toc296503073"/>
      <w:bookmarkStart w:id="125" w:name="_Toc296346574"/>
      <w:bookmarkStart w:id="126" w:name="_Toc337558772"/>
      <w:r>
        <w:rPr>
          <w:rFonts w:hint="eastAsia" w:ascii="宋体" w:hAnsi="宋体" w:eastAsia="宋体" w:cs="宋体"/>
          <w:b w:val="0"/>
          <w:color w:val="auto"/>
          <w:sz w:val="24"/>
          <w:szCs w:val="24"/>
          <w:highlight w:val="none"/>
        </w:rPr>
        <w:t>5. 咨询期限</w:t>
      </w:r>
      <w:bookmarkEnd w:id="123"/>
    </w:p>
    <w:bookmarkEnd w:id="124"/>
    <w:bookmarkEnd w:id="125"/>
    <w:bookmarkEnd w:id="126"/>
    <w:p w14:paraId="2981F154">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27" w:name="_Toc407261917"/>
      <w:r>
        <w:rPr>
          <w:rFonts w:hint="eastAsia" w:ascii="宋体" w:hAnsi="宋体" w:eastAsia="宋体" w:cs="宋体"/>
          <w:color w:val="auto"/>
          <w:sz w:val="24"/>
          <w:szCs w:val="24"/>
          <w:highlight w:val="none"/>
        </w:rPr>
        <w:t>5.1 咨询期限开始</w:t>
      </w:r>
      <w:bookmarkEnd w:id="127"/>
    </w:p>
    <w:p w14:paraId="27304E5F">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咨询人应按照合同约定的时间开展咨询工作，因委托人提供咨询资料延后等原因，导致咨询工作未能按照计划开始日期开展的，咨询开始日期和结束日期相应顺延。</w:t>
      </w:r>
    </w:p>
    <w:p w14:paraId="5B5A4FD5">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28" w:name="_Toc407261918"/>
      <w:r>
        <w:rPr>
          <w:rFonts w:hint="eastAsia" w:ascii="宋体" w:hAnsi="宋体" w:eastAsia="宋体" w:cs="宋体"/>
          <w:color w:val="auto"/>
          <w:sz w:val="24"/>
          <w:szCs w:val="24"/>
          <w:highlight w:val="none"/>
        </w:rPr>
        <w:t>5.2 咨询期限延误</w:t>
      </w:r>
      <w:bookmarkEnd w:id="128"/>
    </w:p>
    <w:p w14:paraId="5C787410">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5.2.1 因委托人原因导致咨询期限延误</w:t>
      </w:r>
    </w:p>
    <w:p w14:paraId="11242D55">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在合同履行过程中，因下列情况导致咨询期限延误和费用增加的，由委托人承担由此延误的期限和增加的费用：</w:t>
      </w:r>
    </w:p>
    <w:p w14:paraId="2DEAFA8F">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委托人未能按合同约定向咨询人提供工程造价咨询所需要的资料或所提供咨询资料不符合合同约定的；</w:t>
      </w:r>
    </w:p>
    <w:p w14:paraId="627CC03C">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rPr>
        <w:t>委托人未能按合同约定提供咨询工作条件，影响咨询工作正常开展的；</w:t>
      </w:r>
    </w:p>
    <w:p w14:paraId="5D8F0701">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sz w:val="24"/>
          <w:szCs w:val="24"/>
          <w:highlight w:val="none"/>
        </w:rPr>
        <w:t>委托人未能在合理期限内对咨询人以书面形式提交并要求作出决定的事宜，给予书面答复，影响咨询工作正常开展的；</w:t>
      </w:r>
    </w:p>
    <w:p w14:paraId="000D2C88">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sz w:val="24"/>
          <w:szCs w:val="24"/>
          <w:highlight w:val="none"/>
        </w:rPr>
        <w:t>委托人未能按合同约定分段支付酬金的；</w:t>
      </w:r>
    </w:p>
    <w:p w14:paraId="7E486A6F">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sz w:val="24"/>
          <w:szCs w:val="24"/>
          <w:highlight w:val="none"/>
        </w:rPr>
        <w:t>工程暂停施工或工期延误，影响咨询工作正常开展的；</w:t>
      </w:r>
    </w:p>
    <w:p w14:paraId="1A316C7A">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w:t>
      </w:r>
      <w:r>
        <w:rPr>
          <w:rFonts w:hint="eastAsia" w:ascii="宋体" w:hAnsi="宋体" w:eastAsia="宋体" w:cs="宋体"/>
          <w:color w:val="auto"/>
          <w:sz w:val="24"/>
          <w:szCs w:val="24"/>
          <w:highlight w:val="none"/>
        </w:rPr>
        <w:t>专用合同条款中约定的其他情形。</w:t>
      </w:r>
    </w:p>
    <w:p w14:paraId="055D127F">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5.2.2 因咨询人原因导致咨询期限延误</w:t>
      </w:r>
    </w:p>
    <w:p w14:paraId="46044C5B">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bookmarkStart w:id="129" w:name="_Toc296346577"/>
      <w:bookmarkStart w:id="130" w:name="_Toc296503076"/>
      <w:r>
        <w:rPr>
          <w:rFonts w:hint="eastAsia" w:ascii="宋体" w:hAnsi="宋体" w:eastAsia="宋体" w:cs="宋体"/>
          <w:color w:val="auto"/>
          <w:sz w:val="24"/>
          <w:szCs w:val="24"/>
          <w:highlight w:val="none"/>
        </w:rPr>
        <w:t>因</w:t>
      </w:r>
      <w:bookmarkEnd w:id="129"/>
      <w:bookmarkEnd w:id="130"/>
      <w:r>
        <w:rPr>
          <w:rFonts w:hint="eastAsia" w:ascii="宋体" w:hAnsi="宋体" w:eastAsia="宋体" w:cs="宋体"/>
          <w:color w:val="auto"/>
          <w:sz w:val="24"/>
          <w:szCs w:val="24"/>
          <w:highlight w:val="none"/>
        </w:rPr>
        <w:t>咨询人原因造成咨询期限延误的，咨询人应承担由此给委托人造成的损失，合同双方可在专用合同条款中约定逾期完成咨询业务违约金的计算方法和逾期完成咨询业务违约金的上限。咨询人支付逾期完成咨询业务违约金后，不免除咨询人继续完成咨询业务的义务。</w:t>
      </w:r>
    </w:p>
    <w:p w14:paraId="6E407815">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5.2.3 因第三人原因导致咨询期限延误</w:t>
      </w:r>
    </w:p>
    <w:p w14:paraId="01565FC4">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在合同履行过程中，因下列情况导致咨询期限延误和费用增加的，由委托人承担由此延误的期限和增加的费用：</w:t>
      </w:r>
    </w:p>
    <w:p w14:paraId="7D2B0A70">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第三人未能在合理期限内提供工程造价咨询所需要的资料或所提供咨询资料不符合合同约定的；</w:t>
      </w:r>
    </w:p>
    <w:p w14:paraId="28F73EA9">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rPr>
        <w:t>第三人未能在合理期限内对咨询人以书面形式提交并要求作出决定的事宜，给予书面答复，影响咨询工作正常开展的；</w:t>
      </w:r>
    </w:p>
    <w:p w14:paraId="4E72757D">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sz w:val="24"/>
          <w:szCs w:val="24"/>
          <w:highlight w:val="none"/>
        </w:rPr>
        <w:t>专用合同条款中约定的其他情形。</w:t>
      </w:r>
    </w:p>
    <w:p w14:paraId="715EA473">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31" w:name="_Toc407261919"/>
      <w:r>
        <w:rPr>
          <w:rFonts w:hint="eastAsia" w:ascii="宋体" w:hAnsi="宋体" w:eastAsia="宋体" w:cs="宋体"/>
          <w:color w:val="auto"/>
          <w:sz w:val="24"/>
          <w:szCs w:val="24"/>
          <w:highlight w:val="none"/>
        </w:rPr>
        <w:t>5.3 工程造价咨询成果文件交付期限</w:t>
      </w:r>
      <w:bookmarkEnd w:id="131"/>
    </w:p>
    <w:p w14:paraId="7E0D7475">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5.3.1 咨询人应在合同约定的期限内完成咨询工作，并按专用合同条款约定的份数,向委托人提交工程造价咨询成果文件。除专用合同条款另有约定外，委托人应在收到咨询人提交的工程造价咨询成果文件后14天内完成确认。委托人对工程造价咨询成果文件有异议的，咨询人应进行复核；经复核确实存在误差的，咨询人应修正，并提交修正后的工程造价咨询成果文件。委托人逾期未确认也未提出修改意见的, 工程造价咨询成果文件视为已被认可。</w:t>
      </w:r>
    </w:p>
    <w:p w14:paraId="30C57B15">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5.3.2 在施工阶段全过程造价管理咨询工作中，因咨询人原因未能在合理的期限内完成工程计量与支付、合同价款调整等文件编制或审核，给委托人造成损失的，应按照专用合同条款的约定，承担违约责任。</w:t>
      </w:r>
    </w:p>
    <w:p w14:paraId="589645F1">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5.3.3 咨询人提交的工程造价咨询成果文件需要第三人共同确认的，确因特殊原因不能共同签署时，咨询人应单独出具工程造价咨询成果文件，并承担相应法律责任。</w:t>
      </w:r>
    </w:p>
    <w:p w14:paraId="6C9AE3C2">
      <w:pPr>
        <w:pStyle w:val="7"/>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b w:val="0"/>
          <w:color w:val="auto"/>
          <w:sz w:val="24"/>
          <w:szCs w:val="24"/>
          <w:highlight w:val="none"/>
        </w:rPr>
      </w:pPr>
      <w:bookmarkStart w:id="132" w:name="_Toc407261920"/>
      <w:r>
        <w:rPr>
          <w:rFonts w:hint="eastAsia" w:ascii="宋体" w:hAnsi="宋体" w:eastAsia="宋体" w:cs="宋体"/>
          <w:b w:val="0"/>
          <w:color w:val="auto"/>
          <w:sz w:val="24"/>
          <w:szCs w:val="24"/>
          <w:highlight w:val="none"/>
        </w:rPr>
        <w:t>6. 咨询质量</w:t>
      </w:r>
      <w:bookmarkEnd w:id="132"/>
    </w:p>
    <w:p w14:paraId="69DEB050">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33" w:name="_Toc407261921"/>
      <w:r>
        <w:rPr>
          <w:rFonts w:hint="eastAsia" w:ascii="宋体" w:hAnsi="宋体" w:eastAsia="宋体" w:cs="宋体"/>
          <w:color w:val="auto"/>
          <w:sz w:val="24"/>
          <w:szCs w:val="24"/>
          <w:highlight w:val="none"/>
        </w:rPr>
        <w:t>6.1 质量要求</w:t>
      </w:r>
      <w:bookmarkEnd w:id="133"/>
    </w:p>
    <w:p w14:paraId="60E65E04">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bookmarkStart w:id="134" w:name="_Toc337558760"/>
      <w:r>
        <w:rPr>
          <w:rFonts w:hint="eastAsia" w:ascii="宋体" w:hAnsi="宋体" w:eastAsia="宋体" w:cs="宋体"/>
          <w:color w:val="auto"/>
          <w:sz w:val="24"/>
          <w:szCs w:val="24"/>
          <w:highlight w:val="none"/>
        </w:rPr>
        <w:t>咨询人出具的工程造价咨询成果文件质量应符合现行国家或行业工程计价有关规定、标准、规范的要求。</w:t>
      </w:r>
    </w:p>
    <w:p w14:paraId="4BE13DB8">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委托人要求的工程造价咨询成果文件质量标准高于现行国家或行业标准的，应在专用合同条款中约定具体的质量标准，并相应增加咨询酬金。</w:t>
      </w:r>
    </w:p>
    <w:p w14:paraId="4BED239A">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35" w:name="_Toc407261922"/>
      <w:r>
        <w:rPr>
          <w:rFonts w:hint="eastAsia" w:ascii="宋体" w:hAnsi="宋体" w:eastAsia="宋体" w:cs="宋体"/>
          <w:color w:val="auto"/>
          <w:sz w:val="24"/>
          <w:szCs w:val="24"/>
          <w:highlight w:val="none"/>
        </w:rPr>
        <w:t>6.2 质量保证措施</w:t>
      </w:r>
      <w:bookmarkEnd w:id="135"/>
    </w:p>
    <w:bookmarkEnd w:id="134"/>
    <w:p w14:paraId="138AED55">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咨询人应建立相应的质量管理体系，并通过计划管理、流程控制保证工程造价咨询成果文件质量。</w:t>
      </w:r>
    </w:p>
    <w:p w14:paraId="478233E2">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36" w:name="_Toc407261923"/>
      <w:r>
        <w:rPr>
          <w:rFonts w:hint="eastAsia" w:ascii="宋体" w:hAnsi="宋体" w:eastAsia="宋体" w:cs="宋体"/>
          <w:color w:val="auto"/>
          <w:sz w:val="24"/>
          <w:szCs w:val="24"/>
          <w:highlight w:val="none"/>
        </w:rPr>
        <w:t>6.3 质量不合格处理</w:t>
      </w:r>
      <w:bookmarkEnd w:id="136"/>
    </w:p>
    <w:p w14:paraId="6CBD580A">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咨询人原因造成工程造价咨询成果文件质量未达到合同约定标准的，委托人有权要求咨询人采取补救措施，直至达到本合同要求的质量标准，并可根据工程造价咨询成果文件综合误差率相应减少咨询酬金。委托人已支付全部酬金的，有权要求咨询人退还相应减少的酬金。减少酬金计算方法在专用合同条款中约定。</w:t>
      </w:r>
    </w:p>
    <w:p w14:paraId="57FBAA72">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因咨询人原因造成工程造价咨询成果文件质量未达到合同约定标准给委托人造成损失的，咨询人应承担违约责任，合同双方可在专用合同条款中约定因质量不合格产生的损失赔偿额的计算方法。</w:t>
      </w:r>
    </w:p>
    <w:p w14:paraId="363AD1FF">
      <w:pPr>
        <w:pStyle w:val="7"/>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b w:val="0"/>
          <w:color w:val="auto"/>
          <w:sz w:val="24"/>
          <w:szCs w:val="24"/>
          <w:highlight w:val="none"/>
        </w:rPr>
      </w:pPr>
      <w:bookmarkStart w:id="137" w:name="_Toc407261924"/>
      <w:r>
        <w:rPr>
          <w:rFonts w:hint="eastAsia" w:ascii="宋体" w:hAnsi="宋体" w:eastAsia="宋体" w:cs="宋体"/>
          <w:b w:val="0"/>
          <w:color w:val="auto"/>
          <w:sz w:val="24"/>
          <w:szCs w:val="24"/>
          <w:highlight w:val="none"/>
        </w:rPr>
        <w:t>7. 咨询酬金</w:t>
      </w:r>
      <w:bookmarkEnd w:id="137"/>
    </w:p>
    <w:p w14:paraId="1B67AD8E">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38" w:name="_Toc407261925"/>
      <w:r>
        <w:rPr>
          <w:rFonts w:hint="eastAsia" w:ascii="宋体" w:hAnsi="宋体" w:eastAsia="宋体" w:cs="宋体"/>
          <w:color w:val="auto"/>
          <w:sz w:val="24"/>
          <w:szCs w:val="24"/>
          <w:highlight w:val="none"/>
        </w:rPr>
        <w:t>7.1 酬金计算方式</w:t>
      </w:r>
      <w:bookmarkEnd w:id="138"/>
    </w:p>
    <w:p w14:paraId="7FCFFD7D">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除专用合同条款另有约定外，合同当事人应在</w:t>
      </w:r>
      <w:r>
        <w:rPr>
          <w:rFonts w:hint="eastAsia" w:ascii="宋体" w:hAnsi="宋体" w:eastAsia="宋体" w:cs="宋体"/>
          <w:color w:val="auto"/>
          <w:kern w:val="0"/>
          <w:sz w:val="24"/>
          <w:szCs w:val="24"/>
          <w:highlight w:val="none"/>
        </w:rPr>
        <w:t>合同协议书或</w:t>
      </w:r>
      <w:r>
        <w:rPr>
          <w:rFonts w:hint="eastAsia" w:ascii="宋体" w:hAnsi="宋体" w:eastAsia="宋体" w:cs="宋体"/>
          <w:color w:val="auto"/>
          <w:sz w:val="24"/>
          <w:szCs w:val="24"/>
          <w:highlight w:val="none"/>
        </w:rPr>
        <w:t>专用合同条款</w:t>
      </w:r>
      <w:r>
        <w:rPr>
          <w:rFonts w:hint="eastAsia" w:ascii="宋体" w:hAnsi="宋体" w:eastAsia="宋体" w:cs="宋体"/>
          <w:color w:val="auto"/>
          <w:kern w:val="0"/>
          <w:sz w:val="24"/>
          <w:szCs w:val="24"/>
          <w:highlight w:val="none"/>
        </w:rPr>
        <w:t>中选择下列</w:t>
      </w:r>
      <w:r>
        <w:rPr>
          <w:rFonts w:hint="eastAsia" w:ascii="宋体" w:hAnsi="宋体" w:eastAsia="宋体" w:cs="宋体"/>
          <w:color w:val="auto"/>
          <w:sz w:val="24"/>
          <w:szCs w:val="24"/>
          <w:highlight w:val="none"/>
        </w:rPr>
        <w:t>酬金计算方式之一：</w:t>
      </w:r>
    </w:p>
    <w:p w14:paraId="5950AA46">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7.1.1 固定酬金</w:t>
      </w:r>
    </w:p>
    <w:p w14:paraId="55421EEF">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合同当事人在合同协议书中约定咨询酬金金额。</w:t>
      </w:r>
    </w:p>
    <w:p w14:paraId="6965F917">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7.1.2 基本酬金加绩效酬金</w:t>
      </w:r>
    </w:p>
    <w:p w14:paraId="0B1A3E07">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合同当事人可以在专用合同条款中约定按以下计算方式确定委托人支付给咨询人的基本酬金和绩效酬金金额：</w:t>
      </w:r>
    </w:p>
    <w:p w14:paraId="137C65D9">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以咨询人编审的工程造价咨询成果文件总价为基数，乘以专用合同条款约定的基本酬金比例，计算确定基本酬金金额。</w:t>
      </w:r>
    </w:p>
    <w:p w14:paraId="5CE3B751">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（2）委托人除支付咨询人基本酬金外，如咨询人审核的工程造价成果文件有审减（增）额的，可以审减（增）额为基数，乘以专用合同条款约定的绩效酬金比例，计算确定绩效酬金金额。</w:t>
      </w:r>
    </w:p>
    <w:p w14:paraId="2EC9DF46">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39" w:name="_Toc407261926"/>
      <w:r>
        <w:rPr>
          <w:rFonts w:hint="eastAsia" w:ascii="宋体" w:hAnsi="宋体" w:eastAsia="宋体" w:cs="宋体"/>
          <w:color w:val="auto"/>
          <w:sz w:val="24"/>
          <w:szCs w:val="24"/>
          <w:highlight w:val="none"/>
        </w:rPr>
        <w:t>7.2 预付酬金</w:t>
      </w:r>
      <w:bookmarkEnd w:id="139"/>
    </w:p>
    <w:p w14:paraId="789CF8C1">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咨询合同期限超过6个月的咨询业务，委托人应预付咨询人酬金，预付酬金的支付比例或金额、支付期限在专用合同条款中约定。预付酬金应用于支付承担本合同咨询业务的工程造价专业人员工资。委托人逾期支付预付酬金的，应按照专用合同条款的约定，承担违约责任。</w:t>
      </w:r>
    </w:p>
    <w:p w14:paraId="66620634">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40" w:name="_Toc407261927"/>
      <w:r>
        <w:rPr>
          <w:rFonts w:hint="eastAsia" w:ascii="宋体" w:hAnsi="宋体" w:eastAsia="宋体" w:cs="宋体"/>
          <w:color w:val="auto"/>
          <w:sz w:val="24"/>
          <w:szCs w:val="24"/>
          <w:highlight w:val="none"/>
        </w:rPr>
        <w:t>7.3 酬金分段结算与支付</w:t>
      </w:r>
      <w:bookmarkEnd w:id="140"/>
    </w:p>
    <w:p w14:paraId="04252587">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7.3.1合同当事人应在</w:t>
      </w:r>
      <w:r>
        <w:rPr>
          <w:rFonts w:hint="eastAsia" w:ascii="宋体" w:hAnsi="宋体" w:eastAsia="宋体" w:cs="宋体"/>
          <w:color w:val="auto"/>
          <w:kern w:val="0"/>
          <w:sz w:val="24"/>
          <w:szCs w:val="24"/>
          <w:highlight w:val="none"/>
        </w:rPr>
        <w:t>专用合同条款中约定</w:t>
      </w:r>
      <w:r>
        <w:rPr>
          <w:rFonts w:hint="eastAsia" w:ascii="宋体" w:hAnsi="宋体" w:eastAsia="宋体" w:cs="宋体"/>
          <w:color w:val="auto"/>
          <w:sz w:val="24"/>
          <w:szCs w:val="24"/>
          <w:highlight w:val="none"/>
        </w:rPr>
        <w:t>酬金分段结算与支付的比例或金额。咨询人应</w:t>
      </w:r>
      <w:r>
        <w:rPr>
          <w:rFonts w:hint="eastAsia" w:ascii="宋体" w:hAnsi="宋体" w:eastAsia="宋体" w:cs="宋体"/>
          <w:color w:val="auto"/>
          <w:kern w:val="0"/>
          <w:sz w:val="24"/>
          <w:szCs w:val="24"/>
          <w:highlight w:val="none"/>
        </w:rPr>
        <w:t>按照专用合同条款约定的</w:t>
      </w:r>
      <w:r>
        <w:rPr>
          <w:rFonts w:hint="eastAsia" w:ascii="宋体" w:hAnsi="宋体" w:eastAsia="宋体" w:cs="宋体"/>
          <w:color w:val="auto"/>
          <w:sz w:val="24"/>
          <w:szCs w:val="24"/>
          <w:highlight w:val="none"/>
        </w:rPr>
        <w:t>期限或咨询业务进度节点向委托人提交酬金分段结算与支付申请书。</w:t>
      </w:r>
    </w:p>
    <w:p w14:paraId="4B517137">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7.3.2 </w:t>
      </w:r>
      <w:r>
        <w:rPr>
          <w:rFonts w:hint="eastAsia" w:ascii="宋体" w:hAnsi="宋体" w:eastAsia="宋体" w:cs="宋体"/>
          <w:color w:val="auto"/>
          <w:kern w:val="0"/>
          <w:sz w:val="24"/>
          <w:szCs w:val="24"/>
          <w:highlight w:val="none"/>
        </w:rPr>
        <w:t>除专用合同条款另有约定外，</w:t>
      </w:r>
      <w:r>
        <w:rPr>
          <w:rFonts w:hint="eastAsia" w:ascii="宋体" w:hAnsi="宋体" w:eastAsia="宋体" w:cs="宋体"/>
          <w:color w:val="auto"/>
          <w:sz w:val="24"/>
          <w:szCs w:val="24"/>
          <w:highlight w:val="none"/>
        </w:rPr>
        <w:t>委托人应自收到咨询人提交的酬金分段结算与支付申请书之日起14天内审核确认，</w:t>
      </w:r>
      <w:r>
        <w:rPr>
          <w:rFonts w:hint="eastAsia" w:ascii="宋体" w:hAnsi="宋体" w:eastAsia="宋体" w:cs="宋体"/>
          <w:color w:val="auto"/>
          <w:kern w:val="0"/>
          <w:sz w:val="24"/>
          <w:szCs w:val="24"/>
          <w:highlight w:val="none"/>
        </w:rPr>
        <w:t>并完成</w:t>
      </w:r>
      <w:r>
        <w:rPr>
          <w:rFonts w:hint="eastAsia" w:ascii="宋体" w:hAnsi="宋体" w:eastAsia="宋体" w:cs="宋体"/>
          <w:color w:val="auto"/>
          <w:sz w:val="24"/>
          <w:szCs w:val="24"/>
          <w:highlight w:val="none"/>
        </w:rPr>
        <w:t>支付。委托人逾期支付的，按照中国人民银行发布的同期同类贷款基准利率支付违约金。</w:t>
      </w:r>
    </w:p>
    <w:p w14:paraId="20BC20F0">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41" w:name="_Toc407261928"/>
      <w:r>
        <w:rPr>
          <w:rFonts w:hint="eastAsia" w:ascii="宋体" w:hAnsi="宋体" w:eastAsia="宋体" w:cs="宋体"/>
          <w:color w:val="auto"/>
          <w:sz w:val="24"/>
          <w:szCs w:val="24"/>
          <w:highlight w:val="none"/>
        </w:rPr>
        <w:t>7.4 酬金结清与支付</w:t>
      </w:r>
      <w:bookmarkEnd w:id="141"/>
    </w:p>
    <w:p w14:paraId="6F3FCFFC">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7.4.1 除专用合同条款另有约定外，咨询人应自提交的工程造价咨询成果文件经委托人确认后14天内，向委托人提交酬金结清与支付申请书。</w:t>
      </w:r>
    </w:p>
    <w:p w14:paraId="3F103977">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7.4.2 除专用合同条款另有约定外，委托人应自收到咨询人提交的酬金结清与支付申请书之日起14天内审核确认，委托人逾期未审核确认也未提出异议的, 酬金结清与支付申请视为已被认可。</w:t>
      </w:r>
    </w:p>
    <w:p w14:paraId="1C22874A">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7.4.3 除专用合同条款另有约定外，委托人应自审核确认酬金结清与支付申请书之日起14天内</w:t>
      </w:r>
      <w:r>
        <w:rPr>
          <w:rFonts w:hint="eastAsia" w:ascii="宋体" w:hAnsi="宋体" w:eastAsia="宋体" w:cs="宋体"/>
          <w:color w:val="auto"/>
          <w:kern w:val="0"/>
          <w:sz w:val="24"/>
          <w:szCs w:val="24"/>
          <w:highlight w:val="none"/>
        </w:rPr>
        <w:t>将结清未支付的</w:t>
      </w:r>
      <w:r>
        <w:rPr>
          <w:rFonts w:hint="eastAsia" w:ascii="宋体" w:hAnsi="宋体" w:eastAsia="宋体" w:cs="宋体"/>
          <w:color w:val="auto"/>
          <w:sz w:val="24"/>
          <w:szCs w:val="24"/>
          <w:highlight w:val="none"/>
        </w:rPr>
        <w:t>酬金</w:t>
      </w:r>
      <w:r>
        <w:rPr>
          <w:rFonts w:hint="eastAsia" w:ascii="宋体" w:hAnsi="宋体" w:eastAsia="宋体" w:cs="宋体"/>
          <w:color w:val="auto"/>
          <w:kern w:val="0"/>
          <w:sz w:val="24"/>
          <w:szCs w:val="24"/>
          <w:highlight w:val="none"/>
        </w:rPr>
        <w:t>一次性支付给咨询人</w:t>
      </w:r>
      <w:r>
        <w:rPr>
          <w:rFonts w:hint="eastAsia" w:ascii="宋体" w:hAnsi="宋体" w:eastAsia="宋体" w:cs="宋体"/>
          <w:color w:val="auto"/>
          <w:sz w:val="24"/>
          <w:szCs w:val="24"/>
          <w:highlight w:val="none"/>
        </w:rPr>
        <w:t>。委托人逾期支付的，按照中国人民银行发布的同期同类贷款基准利率支付违约金。</w:t>
      </w:r>
    </w:p>
    <w:p w14:paraId="02B3136A">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7.4.4 委托人对咨询人提交的酬金结清与支付申请书有异议时，应当在收到咨询人提交的酬金结清与支付申请书后14天内，以书面形式向咨询人发出异议通知。无异议部分的款项应按期支付，有异议部分的款项按照第10条〔争议解决〕的约定处理。</w:t>
      </w:r>
    </w:p>
    <w:p w14:paraId="3307A889">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42" w:name="_Toc407261929"/>
      <w:r>
        <w:rPr>
          <w:rFonts w:hint="eastAsia" w:ascii="宋体" w:hAnsi="宋体" w:eastAsia="宋体" w:cs="宋体"/>
          <w:color w:val="auto"/>
          <w:sz w:val="24"/>
          <w:szCs w:val="24"/>
          <w:highlight w:val="none"/>
        </w:rPr>
        <w:t>7.5 费用支付</w:t>
      </w:r>
      <w:bookmarkEnd w:id="142"/>
    </w:p>
    <w:p w14:paraId="7C6C6BDF">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因工程建设需要，由咨询人配合委托人组织的外出询价、考察以及聘请相关专家等发生的费用由委托人支付。</w:t>
      </w:r>
    </w:p>
    <w:p w14:paraId="3277FC1F">
      <w:pPr>
        <w:pStyle w:val="7"/>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b w:val="0"/>
          <w:color w:val="auto"/>
          <w:sz w:val="24"/>
          <w:szCs w:val="24"/>
          <w:highlight w:val="none"/>
        </w:rPr>
      </w:pPr>
      <w:bookmarkStart w:id="143" w:name="_Toc407261930"/>
      <w:r>
        <w:rPr>
          <w:rFonts w:hint="eastAsia" w:ascii="宋体" w:hAnsi="宋体" w:eastAsia="宋体" w:cs="宋体"/>
          <w:b w:val="0"/>
          <w:color w:val="auto"/>
          <w:sz w:val="24"/>
          <w:szCs w:val="24"/>
          <w:highlight w:val="none"/>
        </w:rPr>
        <w:t>8. 变更</w:t>
      </w:r>
      <w:bookmarkEnd w:id="143"/>
    </w:p>
    <w:p w14:paraId="1278C6A7">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44" w:name="_Toc407261931"/>
      <w:bookmarkStart w:id="145" w:name="_Toc296346585"/>
      <w:bookmarkStart w:id="146" w:name="_Toc337558788"/>
      <w:bookmarkStart w:id="147" w:name="_Toc296503084"/>
      <w:r>
        <w:rPr>
          <w:rFonts w:hint="eastAsia" w:ascii="宋体" w:hAnsi="宋体" w:eastAsia="宋体" w:cs="宋体"/>
          <w:color w:val="auto"/>
          <w:sz w:val="24"/>
          <w:szCs w:val="24"/>
          <w:highlight w:val="none"/>
        </w:rPr>
        <w:t>8.1 变更的范围</w:t>
      </w:r>
      <w:bookmarkEnd w:id="144"/>
    </w:p>
    <w:bookmarkEnd w:id="145"/>
    <w:bookmarkEnd w:id="146"/>
    <w:bookmarkEnd w:id="147"/>
    <w:p w14:paraId="4D0BBFEF">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合同履行过程中发生以下情形的，应按照本条约定进行变更：</w:t>
      </w:r>
    </w:p>
    <w:p w14:paraId="4E6E8A3D">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扩大或缩小工程规模的；</w:t>
      </w:r>
    </w:p>
    <w:p w14:paraId="71846218">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rPr>
        <w:t>增加或减少咨询业务范围和工作内容的；</w:t>
      </w:r>
    </w:p>
    <w:p w14:paraId="7598817F">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sz w:val="24"/>
          <w:szCs w:val="24"/>
          <w:highlight w:val="none"/>
        </w:rPr>
        <w:t>提高或降低咨询质量标准的；</w:t>
      </w:r>
    </w:p>
    <w:p w14:paraId="6A9FEBAE">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sz w:val="24"/>
          <w:szCs w:val="24"/>
          <w:highlight w:val="none"/>
        </w:rPr>
        <w:t>专用合同条款中约定的其他情形。</w:t>
      </w:r>
    </w:p>
    <w:p w14:paraId="19E34800">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48" w:name="_Toc407261932"/>
      <w:r>
        <w:rPr>
          <w:rFonts w:hint="eastAsia" w:ascii="宋体" w:hAnsi="宋体" w:eastAsia="宋体" w:cs="宋体"/>
          <w:color w:val="auto"/>
          <w:sz w:val="24"/>
          <w:szCs w:val="24"/>
          <w:highlight w:val="none"/>
        </w:rPr>
        <w:t>8.2 变更引起的咨询酬金和期限调整</w:t>
      </w:r>
      <w:bookmarkEnd w:id="148"/>
    </w:p>
    <w:p w14:paraId="0DC5B228">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8.2.1 变更引起的咨询酬金和期限调整，由咨询人根据变更导致咨询工作量变化大小，与委托人协商后</w:t>
      </w:r>
      <w:r>
        <w:rPr>
          <w:rFonts w:hint="eastAsia" w:ascii="宋体" w:hAnsi="宋体" w:eastAsia="宋体" w:cs="宋体"/>
          <w:color w:val="auto"/>
          <w:kern w:val="0"/>
          <w:sz w:val="24"/>
          <w:szCs w:val="24"/>
          <w:highlight w:val="none"/>
        </w:rPr>
        <w:t>做可共同接受的修改。</w:t>
      </w:r>
      <w:r>
        <w:rPr>
          <w:rFonts w:hint="eastAsia" w:ascii="宋体" w:hAnsi="宋体" w:eastAsia="宋体" w:cs="宋体"/>
          <w:color w:val="auto"/>
          <w:sz w:val="24"/>
          <w:szCs w:val="24"/>
          <w:highlight w:val="none"/>
        </w:rPr>
        <w:t>合同当事人也可在专用合同条款中约定变更引起的咨询酬金和期限调整的计算方法。</w:t>
      </w:r>
    </w:p>
    <w:p w14:paraId="46A61497">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8.2.2 咨询人应在收到委托人下达的变更指示后14天内，向委托人提交变更引起的咨询酬金和期限调整申请。委托人应在咨询人提交申请后14天内审批完毕。委托人逾期未完成审批或未提出异议的，视为认可咨询人提交的变更申请。</w:t>
      </w:r>
    </w:p>
    <w:p w14:paraId="300A0735">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49" w:name="_Toc407261933"/>
      <w:r>
        <w:rPr>
          <w:rFonts w:hint="eastAsia" w:ascii="宋体" w:hAnsi="宋体" w:eastAsia="宋体" w:cs="宋体"/>
          <w:color w:val="auto"/>
          <w:sz w:val="24"/>
          <w:szCs w:val="24"/>
          <w:highlight w:val="none"/>
        </w:rPr>
        <w:t>8.3 咨询人的合理化建议</w:t>
      </w:r>
      <w:bookmarkEnd w:id="149"/>
    </w:p>
    <w:p w14:paraId="219DC0A5">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咨询人可以向委托人提出合理化建议并说明实施该建议对工程造价和工期的影响。</w:t>
      </w:r>
    </w:p>
    <w:p w14:paraId="33453010">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理化建议降低了工程造价或者提高了工程经济效益，使委托人受益的，委托人可对咨询人给予奖励。除专用合同条款另有约定外，合理化建议的奖励金额，以合理化建议给委托人带来的受益额为基数，乘以专用合同条款约定的奖励金额的比率计算确定。</w:t>
      </w:r>
    </w:p>
    <w:p w14:paraId="5BBDE499">
      <w:pPr>
        <w:pStyle w:val="7"/>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b w:val="0"/>
          <w:color w:val="auto"/>
          <w:sz w:val="24"/>
          <w:szCs w:val="24"/>
          <w:highlight w:val="none"/>
        </w:rPr>
      </w:pPr>
      <w:bookmarkStart w:id="150" w:name="_Toc407261934"/>
      <w:r>
        <w:rPr>
          <w:rFonts w:hint="eastAsia" w:ascii="宋体" w:hAnsi="宋体" w:eastAsia="宋体" w:cs="宋体"/>
          <w:b w:val="0"/>
          <w:color w:val="auto"/>
          <w:sz w:val="24"/>
          <w:szCs w:val="24"/>
          <w:highlight w:val="none"/>
        </w:rPr>
        <w:t>9. 违约</w:t>
      </w:r>
      <w:bookmarkEnd w:id="150"/>
    </w:p>
    <w:p w14:paraId="197595C3">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51" w:name="_Toc407261935"/>
      <w:r>
        <w:rPr>
          <w:rFonts w:hint="eastAsia" w:ascii="宋体" w:hAnsi="宋体" w:eastAsia="宋体" w:cs="宋体"/>
          <w:color w:val="auto"/>
          <w:sz w:val="24"/>
          <w:szCs w:val="24"/>
          <w:highlight w:val="none"/>
        </w:rPr>
        <w:t>9.1 委托人违约</w:t>
      </w:r>
      <w:bookmarkEnd w:id="151"/>
    </w:p>
    <w:p w14:paraId="3A6D4EEF">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未能按照合同约定履行合同义务的，咨询人可向委托人发出通知，要求委托人采取有效措施纠正违约行为。委托人应承担因其违约给咨询人增加的费用和延误的咨询期限，并按专用合同条款的约定承担违约责任。</w:t>
      </w:r>
    </w:p>
    <w:p w14:paraId="7CD23944">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委托人收到咨询人通知后56天内仍不纠正其违约行为且影响咨询工作正常开展的，咨询人有权解除合同。委托人应在解除合同后28天内按专用合同条款的约定完成已完咨询业务酬金结算和付款。合同当事人未能就解除合同后的结清达成一致的，按照第10条〔争议解决〕的约定处理。</w:t>
      </w:r>
    </w:p>
    <w:p w14:paraId="7799D071">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52" w:name="_Toc407261936"/>
      <w:r>
        <w:rPr>
          <w:rFonts w:hint="eastAsia" w:ascii="宋体" w:hAnsi="宋体" w:eastAsia="宋体" w:cs="宋体"/>
          <w:color w:val="auto"/>
          <w:sz w:val="24"/>
          <w:szCs w:val="24"/>
          <w:highlight w:val="none"/>
        </w:rPr>
        <w:t>9.2 咨询人违约</w:t>
      </w:r>
      <w:bookmarkEnd w:id="152"/>
    </w:p>
    <w:p w14:paraId="2E091FBB">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咨询人未能按照合同约定履行合同义务的，委托人可向咨询人发出整改通知，要求其在指定的合理期限内改正。咨询人应承担因其违约行为而增加的费用和延误的咨询期限，并按专用合同条款的约定承担违约责任。</w:t>
      </w:r>
    </w:p>
    <w:p w14:paraId="1A222431">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委托人发出整改通知后，咨询人在指定的合理期限内仍不纠正违约行为，委托人有权解除合同。合同当事人应在解除合同后28天内按专用合同条款的约定完成已完咨询业务酬金结算和付款。合同当事人未能就解除合同后的结清达成一致的，按照第10条〔争议解决〕的约定处理。</w:t>
      </w:r>
    </w:p>
    <w:p w14:paraId="356E53DF">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53" w:name="_Toc407261937"/>
      <w:r>
        <w:rPr>
          <w:rFonts w:hint="eastAsia" w:ascii="宋体" w:hAnsi="宋体" w:eastAsia="宋体" w:cs="宋体"/>
          <w:color w:val="auto"/>
          <w:sz w:val="24"/>
          <w:szCs w:val="24"/>
          <w:highlight w:val="none"/>
        </w:rPr>
        <w:t>9.3 第三人造成的违约</w:t>
      </w:r>
      <w:bookmarkEnd w:id="153"/>
    </w:p>
    <w:p w14:paraId="580478E5">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在合同履行过程中，一方当事人因第三人的原因造成违约的，应当向对方当事人承担违约责任。一方当事人和第三人之间的纠纷，依照法律规定或者按照约定解决。</w:t>
      </w:r>
    </w:p>
    <w:p w14:paraId="2BD279B3">
      <w:pPr>
        <w:pStyle w:val="7"/>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b w:val="0"/>
          <w:color w:val="auto"/>
          <w:sz w:val="24"/>
          <w:szCs w:val="24"/>
          <w:highlight w:val="none"/>
        </w:rPr>
      </w:pPr>
      <w:bookmarkStart w:id="154" w:name="_Toc407261938"/>
      <w:r>
        <w:rPr>
          <w:rFonts w:hint="eastAsia" w:ascii="宋体" w:hAnsi="宋体" w:eastAsia="宋体" w:cs="宋体"/>
          <w:b w:val="0"/>
          <w:color w:val="auto"/>
          <w:sz w:val="24"/>
          <w:szCs w:val="24"/>
          <w:highlight w:val="none"/>
        </w:rPr>
        <w:t>10. 争议解决</w:t>
      </w:r>
      <w:bookmarkEnd w:id="154"/>
    </w:p>
    <w:p w14:paraId="33ADFD4B">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55" w:name="_Toc407261939"/>
      <w:bookmarkStart w:id="156" w:name="_Toc337558841"/>
      <w:bookmarkStart w:id="157" w:name="_Toc296346648"/>
      <w:bookmarkStart w:id="158" w:name="_Toc296503147"/>
      <w:r>
        <w:rPr>
          <w:rFonts w:hint="eastAsia" w:ascii="宋体" w:hAnsi="宋体" w:eastAsia="宋体" w:cs="宋体"/>
          <w:color w:val="auto"/>
          <w:sz w:val="24"/>
          <w:szCs w:val="24"/>
          <w:highlight w:val="none"/>
        </w:rPr>
        <w:t>10.1 和解</w:t>
      </w:r>
      <w:bookmarkEnd w:id="155"/>
    </w:p>
    <w:bookmarkEnd w:id="156"/>
    <w:bookmarkEnd w:id="157"/>
    <w:bookmarkEnd w:id="158"/>
    <w:p w14:paraId="0E59C43D">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合同当事人可以就争议自行和解，自行和解达成协议的经双方签字并盖章后作为合同补充文件，双方均应遵照执行。</w:t>
      </w:r>
    </w:p>
    <w:p w14:paraId="1F5FA979">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59" w:name="_Toc407261940"/>
      <w:r>
        <w:rPr>
          <w:rFonts w:hint="eastAsia" w:ascii="宋体" w:hAnsi="宋体" w:eastAsia="宋体" w:cs="宋体"/>
          <w:color w:val="auto"/>
          <w:sz w:val="24"/>
          <w:szCs w:val="24"/>
          <w:highlight w:val="none"/>
        </w:rPr>
        <w:t>10</w:t>
      </w:r>
      <w:bookmarkStart w:id="160" w:name="_Toc337558842"/>
      <w:bookmarkStart w:id="161" w:name="_Toc296346649"/>
      <w:bookmarkStart w:id="162" w:name="_Toc296503148"/>
      <w:r>
        <w:rPr>
          <w:rFonts w:hint="eastAsia" w:ascii="宋体" w:hAnsi="宋体" w:eastAsia="宋体" w:cs="宋体"/>
          <w:color w:val="auto"/>
          <w:sz w:val="24"/>
          <w:szCs w:val="24"/>
          <w:highlight w:val="none"/>
        </w:rPr>
        <w:t>.2 调解</w:t>
      </w:r>
      <w:bookmarkEnd w:id="159"/>
    </w:p>
    <w:bookmarkEnd w:id="160"/>
    <w:bookmarkEnd w:id="161"/>
    <w:bookmarkEnd w:id="162"/>
    <w:p w14:paraId="1D2951F9">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合同当事人可以就争议请求工程造价管理部门、行业协会或其他第三方进行调解，调解达成协议的，经双方签字并盖章后作为合同补充文件，双方均应遵照执行。</w:t>
      </w:r>
    </w:p>
    <w:p w14:paraId="4E467CD3">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63" w:name="_Toc407261941"/>
      <w:r>
        <w:rPr>
          <w:rFonts w:hint="eastAsia" w:ascii="宋体" w:hAnsi="宋体" w:eastAsia="宋体" w:cs="宋体"/>
          <w:color w:val="auto"/>
          <w:sz w:val="24"/>
          <w:szCs w:val="24"/>
          <w:highlight w:val="none"/>
        </w:rPr>
        <w:t>10.3 仲裁或诉讼</w:t>
      </w:r>
      <w:bookmarkEnd w:id="163"/>
    </w:p>
    <w:p w14:paraId="56E6C94A">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因合同及合同有关事项产生的争议，合同当事人可以在专用合同条款中约定下列任意一种方式解决争议：</w:t>
      </w:r>
    </w:p>
    <w:p w14:paraId="0C90D772">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向约定的仲裁委员会申请仲裁；</w:t>
      </w:r>
    </w:p>
    <w:p w14:paraId="7ECD2612">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rPr>
        <w:t>向有管辖权的人民法院起诉。</w:t>
      </w:r>
    </w:p>
    <w:p w14:paraId="0AA77228">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64" w:name="_Toc407261942"/>
      <w:r>
        <w:rPr>
          <w:rFonts w:hint="eastAsia" w:ascii="宋体" w:hAnsi="宋体" w:eastAsia="宋体" w:cs="宋体"/>
          <w:color w:val="auto"/>
          <w:sz w:val="24"/>
          <w:szCs w:val="24"/>
          <w:highlight w:val="none"/>
        </w:rPr>
        <w:t>10.4 争议解决条款效力</w:t>
      </w:r>
      <w:bookmarkEnd w:id="164"/>
    </w:p>
    <w:p w14:paraId="1E2892ED">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b/>
          <w:color w:val="auto"/>
          <w:kern w:val="44"/>
          <w:sz w:val="24"/>
          <w:szCs w:val="24"/>
          <w:highlight w:val="none"/>
        </w:rPr>
      </w:pPr>
      <w:r>
        <w:rPr>
          <w:rFonts w:hint="eastAsia" w:ascii="宋体" w:hAnsi="宋体" w:eastAsia="宋体" w:cs="宋体"/>
          <w:color w:val="auto"/>
          <w:sz w:val="24"/>
          <w:szCs w:val="24"/>
          <w:highlight w:val="none"/>
        </w:rPr>
        <w:t>合同有关争议解决的条款独立存在，合同的变更、解除、终止、无效或者被撤销均不影响其效力。</w:t>
      </w:r>
    </w:p>
    <w:p w14:paraId="26AFC29D">
      <w:pPr>
        <w:keepNext w:val="0"/>
        <w:keepLines w:val="0"/>
        <w:widowControl w:val="0"/>
        <w:suppressLineNumbers w:val="0"/>
        <w:spacing w:before="153" w:beforeLines="50" w:beforeAutospacing="0" w:after="153" w:afterLines="50" w:afterAutospacing="0" w:line="400" w:lineRule="exact"/>
        <w:ind w:left="0" w:right="0"/>
        <w:jc w:val="center"/>
        <w:outlineLvl w:val="2"/>
        <w:rPr>
          <w:rFonts w:hint="eastAsia" w:ascii="宋体" w:hAnsi="宋体" w:eastAsia="宋体" w:cs="宋体"/>
          <w:b/>
          <w:bCs/>
          <w:color w:val="auto"/>
          <w:kern w:val="2"/>
          <w:sz w:val="24"/>
          <w:szCs w:val="24"/>
          <w:highlight w:val="none"/>
          <w:lang w:val="en-US" w:eastAsia="zh-CN" w:bidi="ar"/>
        </w:rPr>
      </w:pPr>
    </w:p>
    <w:p w14:paraId="0D9FC191">
      <w:pPr>
        <w:keepNext w:val="0"/>
        <w:keepLines w:val="0"/>
        <w:widowControl w:val="0"/>
        <w:suppressLineNumbers w:val="0"/>
        <w:spacing w:before="153" w:beforeLines="50" w:beforeAutospacing="0" w:after="153" w:afterLines="50" w:afterAutospacing="0" w:line="400" w:lineRule="exact"/>
        <w:ind w:left="0" w:right="0"/>
        <w:jc w:val="center"/>
        <w:outlineLvl w:val="2"/>
        <w:rPr>
          <w:rFonts w:hint="eastAsia" w:ascii="宋体" w:hAnsi="宋体" w:eastAsia="宋体" w:cs="宋体"/>
          <w:b/>
          <w:bCs/>
          <w:color w:val="auto"/>
          <w:kern w:val="2"/>
          <w:sz w:val="24"/>
          <w:szCs w:val="24"/>
          <w:highlight w:val="none"/>
          <w:lang w:val="en-US" w:eastAsia="zh-CN" w:bidi="ar"/>
        </w:rPr>
      </w:pPr>
    </w:p>
    <w:p w14:paraId="17925F4B">
      <w:pPr>
        <w:keepNext w:val="0"/>
        <w:keepLines w:val="0"/>
        <w:widowControl w:val="0"/>
        <w:suppressLineNumbers w:val="0"/>
        <w:spacing w:before="153" w:beforeLines="50" w:beforeAutospacing="0" w:after="153" w:afterLines="50" w:afterAutospacing="0" w:line="400" w:lineRule="exact"/>
        <w:ind w:left="0" w:right="0"/>
        <w:jc w:val="center"/>
        <w:outlineLvl w:val="2"/>
        <w:rPr>
          <w:rFonts w:hint="eastAsia" w:ascii="宋体" w:hAnsi="宋体" w:eastAsia="宋体" w:cs="宋体"/>
          <w:b/>
          <w:bCs/>
          <w:color w:val="auto"/>
          <w:kern w:val="2"/>
          <w:sz w:val="24"/>
          <w:szCs w:val="24"/>
          <w:highlight w:val="none"/>
          <w:lang w:val="en-US" w:eastAsia="zh-CN" w:bidi="ar"/>
        </w:rPr>
      </w:pPr>
    </w:p>
    <w:p w14:paraId="12EF6366">
      <w:pPr>
        <w:keepNext w:val="0"/>
        <w:keepLines w:val="0"/>
        <w:widowControl w:val="0"/>
        <w:suppressLineNumbers w:val="0"/>
        <w:spacing w:before="153" w:beforeLines="50" w:beforeAutospacing="0" w:after="153" w:afterLines="50" w:afterAutospacing="0" w:line="400" w:lineRule="exact"/>
        <w:ind w:left="0" w:right="0"/>
        <w:jc w:val="center"/>
        <w:outlineLvl w:val="2"/>
        <w:rPr>
          <w:rFonts w:hint="eastAsia" w:ascii="宋体" w:hAnsi="宋体" w:eastAsia="宋体" w:cs="宋体"/>
          <w:b/>
          <w:bCs/>
          <w:color w:val="auto"/>
          <w:kern w:val="2"/>
          <w:sz w:val="24"/>
          <w:szCs w:val="24"/>
          <w:highlight w:val="none"/>
          <w:lang w:val="en-US" w:eastAsia="zh-CN" w:bidi="ar"/>
        </w:rPr>
      </w:pPr>
    </w:p>
    <w:p w14:paraId="7D1A9BA1">
      <w:pPr>
        <w:keepNext w:val="0"/>
        <w:keepLines w:val="0"/>
        <w:widowControl w:val="0"/>
        <w:suppressLineNumbers w:val="0"/>
        <w:spacing w:before="153" w:beforeLines="50" w:beforeAutospacing="0" w:after="153" w:afterLines="50" w:afterAutospacing="0" w:line="400" w:lineRule="exact"/>
        <w:ind w:left="0" w:right="0"/>
        <w:jc w:val="center"/>
        <w:outlineLvl w:val="2"/>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第三部分  专用合同条款</w:t>
      </w:r>
    </w:p>
    <w:p w14:paraId="24D2E458">
      <w:pPr>
        <w:keepNext w:val="0"/>
        <w:keepLines w:val="0"/>
        <w:widowControl w:val="0"/>
        <w:suppressLineNumbers w:val="0"/>
        <w:spacing w:before="153" w:beforeLines="50" w:beforeAutospacing="0" w:after="153" w:afterLines="50" w:afterAutospacing="0" w:line="400" w:lineRule="exact"/>
        <w:ind w:left="0" w:right="0"/>
        <w:jc w:val="both"/>
        <w:outlineLvl w:val="2"/>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 xml:space="preserve"> </w:t>
      </w:r>
    </w:p>
    <w:p w14:paraId="4D7C18E4">
      <w:pPr>
        <w:pStyle w:val="7"/>
        <w:pageBreakBefore w:val="0"/>
        <w:kinsoku/>
        <w:wordWrap/>
        <w:overflowPunct/>
        <w:topLinePunct w:val="0"/>
        <w:bidi w:val="0"/>
        <w:snapToGrid/>
        <w:spacing w:beforeLines="0" w:afterLines="0" w:line="500" w:lineRule="exac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w:t>
      </w:r>
      <w:bookmarkStart w:id="165" w:name="_Toc292559361"/>
      <w:bookmarkStart w:id="166" w:name="_Toc296503156"/>
      <w:bookmarkStart w:id="167" w:name="_Toc296890984"/>
      <w:bookmarkStart w:id="168" w:name="_Toc296891196"/>
      <w:bookmarkStart w:id="169" w:name="_Toc297048342"/>
      <w:bookmarkStart w:id="170" w:name="_Toc296346657"/>
      <w:bookmarkStart w:id="171" w:name="_Toc296944495"/>
      <w:bookmarkStart w:id="172" w:name="_Toc292559866"/>
      <w:bookmarkStart w:id="173" w:name="_Toc296347155"/>
      <w:bookmarkStart w:id="174" w:name="_Toc297120456"/>
      <w:r>
        <w:rPr>
          <w:rFonts w:hint="eastAsia" w:ascii="宋体" w:hAnsi="宋体" w:eastAsia="宋体" w:cs="宋体"/>
          <w:b w:val="0"/>
          <w:color w:val="auto"/>
          <w:sz w:val="24"/>
          <w:szCs w:val="24"/>
          <w:highlight w:val="none"/>
        </w:rPr>
        <w:t>. 一般约定</w:t>
      </w:r>
    </w:p>
    <w:bookmarkEnd w:id="165"/>
    <w:bookmarkEnd w:id="166"/>
    <w:bookmarkEnd w:id="167"/>
    <w:bookmarkEnd w:id="168"/>
    <w:bookmarkEnd w:id="169"/>
    <w:bookmarkEnd w:id="170"/>
    <w:bookmarkEnd w:id="171"/>
    <w:bookmarkEnd w:id="172"/>
    <w:bookmarkEnd w:id="173"/>
    <w:bookmarkEnd w:id="174"/>
    <w:p w14:paraId="24D257D3">
      <w:pPr>
        <w:pageBreakBefore w:val="0"/>
        <w:kinsoku/>
        <w:wordWrap/>
        <w:overflowPunct/>
        <w:topLinePunct w:val="0"/>
        <w:bidi w:val="0"/>
        <w:snapToGrid/>
        <w:spacing w:beforeLines="0" w:afterLines="0"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1.3法律</w:t>
      </w:r>
    </w:p>
    <w:p w14:paraId="30861F06">
      <w:pPr>
        <w:pageBreakBefore w:val="0"/>
        <w:kinsoku/>
        <w:wordWrap/>
        <w:overflowPunct/>
        <w:topLinePunct w:val="0"/>
        <w:autoSpaceDE w:val="0"/>
        <w:autoSpaceDN w:val="0"/>
        <w:bidi w:val="0"/>
        <w:adjustRightInd w:val="0"/>
        <w:snapToGrid/>
        <w:spacing w:beforeLines="0" w:afterLines="0" w:line="500" w:lineRule="exact"/>
        <w:ind w:left="596" w:leftChars="28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适用于合同的其他规范性文件：</w:t>
      </w:r>
      <w:r>
        <w:rPr>
          <w:rFonts w:hint="eastAsia" w:ascii="宋体" w:hAnsi="宋体" w:eastAsia="宋体" w:cs="宋体"/>
          <w:color w:val="auto"/>
          <w:sz w:val="24"/>
          <w:szCs w:val="24"/>
          <w:highlight w:val="none"/>
          <w:u w:val="single"/>
        </w:rPr>
        <w:t xml:space="preserve">/　　　　　　　 </w:t>
      </w:r>
    </w:p>
    <w:p w14:paraId="437C5DF6">
      <w:pPr>
        <w:pageBreakBefore w:val="0"/>
        <w:kinsoku/>
        <w:wordWrap/>
        <w:overflowPunct/>
        <w:topLinePunct w:val="0"/>
        <w:bidi w:val="0"/>
        <w:snapToGrid/>
        <w:spacing w:beforeLines="0" w:afterLines="0"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 标准和规范</w:t>
      </w:r>
    </w:p>
    <w:p w14:paraId="3A27C48C">
      <w:pPr>
        <w:pageBreakBefore w:val="0"/>
        <w:kinsoku/>
        <w:wordWrap/>
        <w:overflowPunct/>
        <w:topLinePunct w:val="0"/>
        <w:bidi w:val="0"/>
        <w:snapToGrid/>
        <w:spacing w:beforeLines="0" w:afterLines="0" w:line="500" w:lineRule="exact"/>
        <w:ind w:left="596" w:leftChars="28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适用于工程造价咨询的标准规范包括：</w:t>
      </w:r>
      <w:r>
        <w:rPr>
          <w:rFonts w:hint="eastAsia" w:ascii="宋体" w:hAnsi="宋体" w:eastAsia="宋体" w:cs="宋体"/>
          <w:color w:val="auto"/>
          <w:sz w:val="24"/>
          <w:szCs w:val="24"/>
          <w:highlight w:val="none"/>
          <w:u w:val="single"/>
        </w:rPr>
        <w:t>现行行业工程计价有关规程、标准等</w:t>
      </w:r>
      <w:r>
        <w:rPr>
          <w:rFonts w:hint="eastAsia" w:ascii="宋体" w:hAnsi="宋体" w:eastAsia="宋体" w:cs="宋体"/>
          <w:color w:val="auto"/>
          <w:sz w:val="24"/>
          <w:szCs w:val="24"/>
          <w:highlight w:val="none"/>
        </w:rPr>
        <w:t>。</w:t>
      </w:r>
    </w:p>
    <w:p w14:paraId="16D17E8E">
      <w:pPr>
        <w:pageBreakBefore w:val="0"/>
        <w:kinsoku/>
        <w:wordWrap/>
        <w:overflowPunct/>
        <w:topLinePunct w:val="0"/>
        <w:bidi w:val="0"/>
        <w:snapToGrid/>
        <w:spacing w:beforeLines="0" w:afterLines="0"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 合同文件的优先顺序</w:t>
      </w:r>
    </w:p>
    <w:p w14:paraId="535E5AEC">
      <w:pPr>
        <w:pageBreakBefore w:val="0"/>
        <w:kinsoku/>
        <w:wordWrap/>
        <w:overflowPunct/>
        <w:topLinePunct w:val="0"/>
        <w:bidi w:val="0"/>
        <w:snapToGrid/>
        <w:spacing w:beforeLines="0" w:afterLines="0"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合同文件组成及优先顺序为：</w:t>
      </w:r>
      <w:r>
        <w:rPr>
          <w:rFonts w:hint="eastAsia" w:ascii="宋体" w:hAnsi="宋体" w:eastAsia="宋体" w:cs="宋体"/>
          <w:color w:val="auto"/>
          <w:sz w:val="24"/>
          <w:szCs w:val="24"/>
          <w:highlight w:val="none"/>
          <w:u w:val="single"/>
        </w:rPr>
        <w:t>执行通用合同条款</w:t>
      </w:r>
      <w:r>
        <w:rPr>
          <w:rFonts w:hint="eastAsia" w:ascii="宋体" w:hAnsi="宋体" w:eastAsia="宋体" w:cs="宋体"/>
          <w:color w:val="auto"/>
          <w:sz w:val="24"/>
          <w:szCs w:val="24"/>
          <w:highlight w:val="none"/>
        </w:rPr>
        <w:t>。</w:t>
      </w:r>
    </w:p>
    <w:p w14:paraId="1D4DBF75">
      <w:pPr>
        <w:pageBreakBefore w:val="0"/>
        <w:kinsoku/>
        <w:wordWrap/>
        <w:overflowPunct/>
        <w:topLinePunct w:val="0"/>
        <w:bidi w:val="0"/>
        <w:snapToGrid/>
        <w:spacing w:beforeLines="0" w:afterLines="0"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 联络</w:t>
      </w:r>
    </w:p>
    <w:p w14:paraId="35FA633C">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1.6.1</w:t>
      </w:r>
      <w:r>
        <w:rPr>
          <w:rFonts w:hint="eastAsia" w:ascii="宋体" w:hAnsi="宋体" w:eastAsia="宋体" w:cs="宋体"/>
          <w:color w:val="auto"/>
          <w:kern w:val="0"/>
          <w:sz w:val="24"/>
          <w:szCs w:val="24"/>
          <w:highlight w:val="none"/>
        </w:rPr>
        <w:t>委托人和咨询人应当在</w:t>
      </w:r>
      <w:r>
        <w:rPr>
          <w:rFonts w:hint="eastAsia" w:ascii="宋体" w:hAnsi="宋体" w:eastAsia="宋体" w:cs="宋体"/>
          <w:color w:val="auto"/>
          <w:sz w:val="24"/>
          <w:szCs w:val="24"/>
          <w:highlight w:val="none"/>
          <w:u w:val="single"/>
        </w:rPr>
        <w:t xml:space="preserve">3  </w:t>
      </w:r>
      <w:r>
        <w:rPr>
          <w:rFonts w:hint="eastAsia" w:ascii="宋体" w:hAnsi="宋体" w:eastAsia="宋体" w:cs="宋体"/>
          <w:color w:val="auto"/>
          <w:kern w:val="0"/>
          <w:sz w:val="24"/>
          <w:szCs w:val="24"/>
          <w:highlight w:val="none"/>
        </w:rPr>
        <w:t>天内将与合同有关的通知、批准、证明、证书、指示、指令、要求、请求、同意、意见、确定和决定等书面函件送达对方当事人。</w:t>
      </w:r>
    </w:p>
    <w:p w14:paraId="765401E0">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1.6.2</w:t>
      </w:r>
      <w:r>
        <w:rPr>
          <w:rFonts w:hint="eastAsia" w:ascii="宋体" w:hAnsi="宋体" w:eastAsia="宋体" w:cs="宋体"/>
          <w:color w:val="auto"/>
          <w:kern w:val="0"/>
          <w:sz w:val="24"/>
          <w:szCs w:val="24"/>
          <w:highlight w:val="none"/>
        </w:rPr>
        <w:t xml:space="preserve"> 委托人接收文件的地点：</w:t>
      </w:r>
      <w:r>
        <w:rPr>
          <w:rFonts w:hint="eastAsia" w:ascii="宋体" w:hAnsi="宋体" w:eastAsia="宋体" w:cs="宋体"/>
          <w:color w:val="auto"/>
          <w:kern w:val="0"/>
          <w:sz w:val="24"/>
          <w:szCs w:val="24"/>
          <w:highlight w:val="none"/>
          <w:u w:val="single"/>
        </w:rPr>
        <w:t xml:space="preserve">滁州市重点工程建设管理处 </w:t>
      </w:r>
      <w:r>
        <w:rPr>
          <w:rFonts w:hint="eastAsia" w:ascii="宋体" w:hAnsi="宋体" w:eastAsia="宋体" w:cs="宋体"/>
          <w:color w:val="auto"/>
          <w:kern w:val="0"/>
          <w:sz w:val="24"/>
          <w:szCs w:val="24"/>
          <w:highlight w:val="none"/>
        </w:rPr>
        <w:t>；</w:t>
      </w:r>
    </w:p>
    <w:p w14:paraId="2DC521C8">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委托人指定的接收人为：</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7A0C956A">
      <w:pPr>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委托人指定的电子邮箱：</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4B843771">
      <w:pPr>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咨询人接收文件的地点：</w:t>
      </w:r>
      <w:r>
        <w:rPr>
          <w:rFonts w:hint="eastAsia" w:ascii="宋体" w:hAnsi="宋体" w:eastAsia="宋体" w:cs="宋体"/>
          <w:color w:val="auto"/>
          <w:sz w:val="24"/>
          <w:szCs w:val="24"/>
          <w:highlight w:val="none"/>
          <w:u w:val="single"/>
        </w:rPr>
        <w:t>　　　　　　　　　　　 　　</w:t>
      </w:r>
      <w:r>
        <w:rPr>
          <w:rFonts w:hint="eastAsia" w:ascii="宋体" w:hAnsi="宋体" w:eastAsia="宋体" w:cs="宋体"/>
          <w:color w:val="auto"/>
          <w:kern w:val="0"/>
          <w:sz w:val="24"/>
          <w:szCs w:val="24"/>
          <w:highlight w:val="none"/>
        </w:rPr>
        <w:t>；</w:t>
      </w:r>
    </w:p>
    <w:p w14:paraId="68B3C2D5">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咨询人指定的接收人为：</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7B660490">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咨询</w:t>
      </w:r>
      <w:r>
        <w:rPr>
          <w:rFonts w:hint="eastAsia" w:ascii="宋体" w:hAnsi="宋体" w:eastAsia="宋体" w:cs="宋体"/>
          <w:color w:val="auto"/>
          <w:sz w:val="24"/>
          <w:szCs w:val="24"/>
          <w:highlight w:val="none"/>
        </w:rPr>
        <w:t>人</w:t>
      </w:r>
      <w:r>
        <w:rPr>
          <w:rFonts w:hint="eastAsia" w:ascii="宋体" w:hAnsi="宋体" w:eastAsia="宋体" w:cs="宋体"/>
          <w:color w:val="auto"/>
          <w:kern w:val="0"/>
          <w:sz w:val="24"/>
          <w:szCs w:val="24"/>
          <w:highlight w:val="none"/>
        </w:rPr>
        <w:t>指定的电子邮箱：</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3CE7A081">
      <w:pPr>
        <w:pStyle w:val="7"/>
        <w:pageBreakBefore w:val="0"/>
        <w:kinsoku/>
        <w:wordWrap/>
        <w:overflowPunct/>
        <w:topLinePunct w:val="0"/>
        <w:bidi w:val="0"/>
        <w:snapToGrid/>
        <w:spacing w:beforeLines="0" w:afterLines="0" w:line="500" w:lineRule="exact"/>
        <w:textAlignment w:val="auto"/>
        <w:rPr>
          <w:rFonts w:hint="eastAsia" w:ascii="宋体" w:hAnsi="宋体" w:eastAsia="宋体" w:cs="宋体"/>
          <w:b w:val="0"/>
          <w:color w:val="auto"/>
          <w:sz w:val="24"/>
          <w:szCs w:val="24"/>
          <w:highlight w:val="none"/>
        </w:rPr>
      </w:pPr>
      <w:bookmarkStart w:id="175" w:name="_Toc407261945"/>
      <w:bookmarkStart w:id="176" w:name="_Toc351203634"/>
      <w:r>
        <w:rPr>
          <w:rFonts w:hint="eastAsia" w:ascii="宋体" w:hAnsi="宋体" w:eastAsia="宋体" w:cs="宋体"/>
          <w:b w:val="0"/>
          <w:color w:val="auto"/>
          <w:sz w:val="24"/>
          <w:szCs w:val="24"/>
          <w:highlight w:val="none"/>
        </w:rPr>
        <w:t>2</w:t>
      </w:r>
      <w:bookmarkStart w:id="177" w:name="_Toc292559362"/>
      <w:bookmarkStart w:id="178" w:name="_Toc296944496"/>
      <w:bookmarkStart w:id="179" w:name="_Toc297048343"/>
      <w:bookmarkStart w:id="180" w:name="_Toc296346658"/>
      <w:bookmarkStart w:id="181" w:name="_Toc296890985"/>
      <w:bookmarkStart w:id="182" w:name="_Toc296503157"/>
      <w:bookmarkStart w:id="183" w:name="_Toc296347156"/>
      <w:bookmarkStart w:id="184" w:name="_Toc297120457"/>
      <w:bookmarkStart w:id="185" w:name="_Toc296891197"/>
      <w:bookmarkStart w:id="186" w:name="_Toc292559867"/>
      <w:r>
        <w:rPr>
          <w:rFonts w:hint="eastAsia" w:ascii="宋体" w:hAnsi="宋体" w:eastAsia="宋体" w:cs="宋体"/>
          <w:b w:val="0"/>
          <w:color w:val="auto"/>
          <w:sz w:val="24"/>
          <w:szCs w:val="24"/>
          <w:highlight w:val="none"/>
        </w:rPr>
        <w:t>. 委托人</w:t>
      </w:r>
      <w:bookmarkEnd w:id="175"/>
      <w:bookmarkEnd w:id="176"/>
    </w:p>
    <w:bookmarkEnd w:id="177"/>
    <w:bookmarkEnd w:id="178"/>
    <w:bookmarkEnd w:id="179"/>
    <w:bookmarkEnd w:id="180"/>
    <w:bookmarkEnd w:id="181"/>
    <w:bookmarkEnd w:id="182"/>
    <w:bookmarkEnd w:id="183"/>
    <w:bookmarkEnd w:id="184"/>
    <w:bookmarkEnd w:id="185"/>
    <w:bookmarkEnd w:id="186"/>
    <w:p w14:paraId="3D175435">
      <w:pPr>
        <w:pageBreakBefore w:val="0"/>
        <w:kinsoku/>
        <w:wordWrap/>
        <w:overflowPunct/>
        <w:topLinePunct w:val="0"/>
        <w:bidi w:val="0"/>
        <w:snapToGrid/>
        <w:spacing w:beforeLines="0" w:afterLines="0"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 委托人代表</w:t>
      </w:r>
    </w:p>
    <w:p w14:paraId="42E41286">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662ED26C">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528D4CCA">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0ADBF0AB">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      </w:t>
      </w:r>
      <w:r>
        <w:rPr>
          <w:rFonts w:hint="eastAsia" w:ascii="宋体" w:hAnsi="宋体" w:eastAsia="宋体" w:cs="宋体"/>
          <w:color w:val="auto"/>
          <w:sz w:val="24"/>
          <w:szCs w:val="24"/>
          <w:highlight w:val="none"/>
        </w:rPr>
        <w:t>；</w:t>
      </w:r>
    </w:p>
    <w:p w14:paraId="2E2A1DE2">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12B93E86">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滁州市重点工程建设管理处                 </w:t>
      </w:r>
      <w:r>
        <w:rPr>
          <w:rFonts w:hint="eastAsia" w:ascii="宋体" w:hAnsi="宋体" w:eastAsia="宋体" w:cs="宋体"/>
          <w:color w:val="auto"/>
          <w:sz w:val="24"/>
          <w:szCs w:val="24"/>
          <w:highlight w:val="none"/>
        </w:rPr>
        <w:t>。</w:t>
      </w:r>
    </w:p>
    <w:p w14:paraId="09AC2C99">
      <w:pPr>
        <w:pageBreakBefore w:val="0"/>
        <w:kinsoku/>
        <w:wordWrap/>
        <w:overflowPunct/>
        <w:topLinePunct w:val="0"/>
        <w:bidi w:val="0"/>
        <w:snapToGrid/>
        <w:spacing w:beforeLines="0" w:afterLines="0"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委托人对委托人代表的授权范围如下</w:t>
      </w:r>
      <w:r>
        <w:rPr>
          <w:rFonts w:hint="eastAsia" w:ascii="宋体" w:hAnsi="宋体" w:eastAsia="宋体" w:cs="宋体"/>
          <w:color w:val="auto"/>
          <w:sz w:val="24"/>
          <w:szCs w:val="24"/>
          <w:highlight w:val="none"/>
          <w:u w:val="single"/>
        </w:rPr>
        <w:t>负责本工程工程量清单和最高投标限价编制及资料收集、提供、协调、沟通、确认、备案等相关事宜</w:t>
      </w:r>
      <w:r>
        <w:rPr>
          <w:rFonts w:hint="eastAsia" w:ascii="宋体" w:hAnsi="宋体" w:eastAsia="宋体" w:cs="宋体"/>
          <w:color w:val="auto"/>
          <w:sz w:val="24"/>
          <w:szCs w:val="24"/>
          <w:highlight w:val="none"/>
        </w:rPr>
        <w:t>。</w:t>
      </w:r>
    </w:p>
    <w:p w14:paraId="4D51A0EB">
      <w:pPr>
        <w:pageBreakBefore w:val="0"/>
        <w:kinsoku/>
        <w:wordWrap/>
        <w:overflowPunct/>
        <w:topLinePunct w:val="0"/>
        <w:bidi w:val="0"/>
        <w:snapToGrid/>
        <w:spacing w:beforeLines="0" w:afterLines="0"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 提供资料</w:t>
      </w:r>
    </w:p>
    <w:p w14:paraId="2405FDF3">
      <w:pPr>
        <w:pageBreakBefore w:val="0"/>
        <w:kinsoku/>
        <w:wordWrap/>
        <w:overflowPunct/>
        <w:topLinePunct w:val="0"/>
        <w:bidi w:val="0"/>
        <w:snapToGrid/>
        <w:spacing w:beforeLines="0" w:afterLines="0"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委托人向咨询人提供的资料包括：</w:t>
      </w:r>
      <w:r>
        <w:rPr>
          <w:rFonts w:hint="eastAsia" w:ascii="宋体" w:hAnsi="宋体" w:eastAsia="宋体" w:cs="宋体"/>
          <w:color w:val="auto"/>
          <w:sz w:val="24"/>
          <w:szCs w:val="24"/>
          <w:highlight w:val="none"/>
          <w:u w:val="single"/>
        </w:rPr>
        <w:t xml:space="preserve">本工程招标文件、图审后的设计图纸、设计答疑等 </w:t>
      </w:r>
      <w:r>
        <w:rPr>
          <w:rFonts w:hint="eastAsia" w:ascii="宋体" w:hAnsi="宋体" w:eastAsia="宋体" w:cs="宋体"/>
          <w:color w:val="auto"/>
          <w:sz w:val="24"/>
          <w:szCs w:val="24"/>
          <w:highlight w:val="none"/>
        </w:rPr>
        <w:t>。</w:t>
      </w:r>
    </w:p>
    <w:p w14:paraId="482DF0AD">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委托人向咨询人提供资料的期限为：</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w:t>
      </w:r>
    </w:p>
    <w:p w14:paraId="6E803C84">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关于委托人向咨询人提供资料的特别约定：</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sz w:val="24"/>
          <w:szCs w:val="24"/>
          <w:highlight w:val="none"/>
        </w:rPr>
        <w:t>。</w:t>
      </w:r>
    </w:p>
    <w:p w14:paraId="7A42879B">
      <w:pPr>
        <w:pageBreakBefore w:val="0"/>
        <w:kinsoku/>
        <w:wordWrap/>
        <w:overflowPunct/>
        <w:topLinePunct w:val="0"/>
        <w:bidi w:val="0"/>
        <w:snapToGrid/>
        <w:spacing w:beforeLines="0" w:afterLines="0"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2.4 答复</w:t>
      </w:r>
    </w:p>
    <w:p w14:paraId="3A95E6B1">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 委托人对咨询人以书面形式提交并要求作出决定事宜的答复期限为：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2BDF97D">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 关于咨询人以书面形式提交并要求第三人作出决定的事宜，由委托人送达第三人的特别约定：</w:t>
      </w:r>
      <w:r>
        <w:rPr>
          <w:rFonts w:hint="eastAsia" w:ascii="宋体" w:hAnsi="宋体" w:eastAsia="宋体" w:cs="宋体"/>
          <w:color w:val="auto"/>
          <w:sz w:val="24"/>
          <w:szCs w:val="24"/>
          <w:highlight w:val="none"/>
          <w:u w:val="single"/>
        </w:rPr>
        <w:t xml:space="preserve">   执行合同通用条款   </w:t>
      </w:r>
      <w:r>
        <w:rPr>
          <w:rFonts w:hint="eastAsia" w:ascii="宋体" w:hAnsi="宋体" w:eastAsia="宋体" w:cs="宋体"/>
          <w:color w:val="auto"/>
          <w:sz w:val="24"/>
          <w:szCs w:val="24"/>
          <w:highlight w:val="none"/>
        </w:rPr>
        <w:t>。</w:t>
      </w:r>
    </w:p>
    <w:p w14:paraId="1E156C26">
      <w:pPr>
        <w:pStyle w:val="7"/>
        <w:pageBreakBefore w:val="0"/>
        <w:kinsoku/>
        <w:wordWrap/>
        <w:overflowPunct/>
        <w:topLinePunct w:val="0"/>
        <w:bidi w:val="0"/>
        <w:snapToGrid/>
        <w:spacing w:beforeLines="0" w:afterLines="0" w:line="500" w:lineRule="exact"/>
        <w:textAlignment w:val="auto"/>
        <w:rPr>
          <w:rFonts w:hint="eastAsia" w:ascii="宋体" w:hAnsi="宋体" w:eastAsia="宋体" w:cs="宋体"/>
          <w:b w:val="0"/>
          <w:color w:val="auto"/>
          <w:sz w:val="24"/>
          <w:szCs w:val="24"/>
          <w:highlight w:val="none"/>
        </w:rPr>
      </w:pPr>
      <w:bookmarkStart w:id="187" w:name="_Toc407261946"/>
      <w:r>
        <w:rPr>
          <w:rFonts w:hint="eastAsia" w:ascii="宋体" w:hAnsi="宋体" w:eastAsia="宋体" w:cs="宋体"/>
          <w:b w:val="0"/>
          <w:color w:val="auto"/>
          <w:sz w:val="24"/>
          <w:szCs w:val="24"/>
          <w:highlight w:val="none"/>
        </w:rPr>
        <w:t>3. 咨询人</w:t>
      </w:r>
      <w:bookmarkEnd w:id="187"/>
    </w:p>
    <w:p w14:paraId="03408163">
      <w:pPr>
        <w:pageBreakBefore w:val="0"/>
        <w:kinsoku/>
        <w:wordWrap/>
        <w:overflowPunct/>
        <w:topLinePunct w:val="0"/>
        <w:bidi w:val="0"/>
        <w:snapToGrid/>
        <w:spacing w:beforeLines="0" w:afterLines="0"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3.2 项目负责人</w:t>
      </w:r>
    </w:p>
    <w:p w14:paraId="6594DFE6">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w:t>
      </w:r>
    </w:p>
    <w:p w14:paraId="4CAADC5F">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3232B6F2">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造价工程师注册证书号：</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3E1ACAEF">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04B8E6BA">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4C9F100E">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60233AC9">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咨询人对项目负责人的授权范围如下：</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6D9BC1FA">
      <w:pPr>
        <w:pageBreakBefore w:val="0"/>
        <w:kinsoku/>
        <w:wordWrap/>
        <w:overflowPunct/>
        <w:topLinePunct w:val="0"/>
        <w:bidi w:val="0"/>
        <w:snapToGrid/>
        <w:spacing w:beforeLines="0" w:afterLines="0"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3.3 工程造价专业人员</w:t>
      </w:r>
    </w:p>
    <w:p w14:paraId="47B27067">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咨询人提交工程造价专业人员任命文件及其注册证书或资格证书的期限：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74E056C">
      <w:pPr>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咨询人未提交</w:t>
      </w:r>
      <w:r>
        <w:rPr>
          <w:rFonts w:hint="eastAsia" w:ascii="宋体" w:hAnsi="宋体" w:eastAsia="宋体" w:cs="宋体"/>
          <w:color w:val="auto"/>
          <w:sz w:val="24"/>
          <w:szCs w:val="24"/>
          <w:highlight w:val="none"/>
        </w:rPr>
        <w:t>为工程造价专业人员缴纳的社会保险有效证明</w:t>
      </w:r>
      <w:r>
        <w:rPr>
          <w:rFonts w:hint="eastAsia" w:ascii="宋体" w:hAnsi="宋体" w:eastAsia="宋体" w:cs="宋体"/>
          <w:color w:val="auto"/>
          <w:kern w:val="0"/>
          <w:sz w:val="24"/>
          <w:szCs w:val="24"/>
          <w:highlight w:val="none"/>
        </w:rPr>
        <w:t>的违约责任：</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3C5266C3">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3.3.2 咨询人擅自更换工程造价专业人员的违约责任：</w:t>
      </w:r>
      <w:r>
        <w:rPr>
          <w:rFonts w:hint="eastAsia" w:ascii="宋体" w:hAnsi="宋体" w:eastAsia="宋体" w:cs="宋体"/>
          <w:color w:val="auto"/>
          <w:sz w:val="24"/>
          <w:szCs w:val="24"/>
          <w:highlight w:val="none"/>
          <w:u w:val="single"/>
        </w:rPr>
        <w:t xml:space="preserve">   /</w:t>
      </w:r>
    </w:p>
    <w:p w14:paraId="1CF21815">
      <w:pPr>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咨询人安排的工程造价专业人员</w:t>
      </w:r>
      <w:r>
        <w:rPr>
          <w:rFonts w:hint="eastAsia" w:ascii="宋体" w:hAnsi="宋体" w:eastAsia="宋体" w:cs="宋体"/>
          <w:color w:val="auto"/>
          <w:kern w:val="0"/>
          <w:sz w:val="24"/>
          <w:szCs w:val="24"/>
          <w:highlight w:val="none"/>
        </w:rPr>
        <w:t>每月在施工现场的时间要求：</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61F23B4">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工程造价专业人员</w:t>
      </w:r>
      <w:r>
        <w:rPr>
          <w:rFonts w:hint="eastAsia" w:ascii="宋体" w:hAnsi="宋体" w:eastAsia="宋体" w:cs="宋体"/>
          <w:color w:val="auto"/>
          <w:kern w:val="0"/>
          <w:sz w:val="24"/>
          <w:szCs w:val="24"/>
          <w:highlight w:val="none"/>
        </w:rPr>
        <w:t>未经批准，擅自离开施工现场的违约责任：</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1F98F67D">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 咨询人无正当理由拒绝撤换工程造价专业人员的违约责任：</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w:t>
      </w:r>
    </w:p>
    <w:p w14:paraId="592FE5A7">
      <w:pPr>
        <w:pStyle w:val="7"/>
        <w:pageBreakBefore w:val="0"/>
        <w:kinsoku/>
        <w:wordWrap/>
        <w:overflowPunct/>
        <w:topLinePunct w:val="0"/>
        <w:bidi w:val="0"/>
        <w:snapToGrid/>
        <w:spacing w:beforeLines="0" w:afterLines="0" w:line="500" w:lineRule="exact"/>
        <w:textAlignment w:val="auto"/>
        <w:rPr>
          <w:rFonts w:hint="eastAsia" w:ascii="宋体" w:hAnsi="宋体" w:eastAsia="宋体" w:cs="宋体"/>
          <w:b w:val="0"/>
          <w:color w:val="auto"/>
          <w:sz w:val="24"/>
          <w:szCs w:val="24"/>
          <w:highlight w:val="none"/>
        </w:rPr>
      </w:pPr>
      <w:bookmarkStart w:id="188" w:name="_Toc407261947"/>
      <w:r>
        <w:rPr>
          <w:rFonts w:hint="eastAsia" w:ascii="宋体" w:hAnsi="宋体" w:eastAsia="宋体" w:cs="宋体"/>
          <w:b w:val="0"/>
          <w:color w:val="auto"/>
          <w:sz w:val="24"/>
          <w:szCs w:val="24"/>
          <w:highlight w:val="none"/>
        </w:rPr>
        <w:t>4. 咨询业务范围和工作内容</w:t>
      </w:r>
      <w:bookmarkEnd w:id="188"/>
    </w:p>
    <w:p w14:paraId="7E046E5A">
      <w:pPr>
        <w:pageBreakBefore w:val="0"/>
        <w:kinsoku/>
        <w:wordWrap/>
        <w:overflowPunct/>
        <w:topLinePunct w:val="0"/>
        <w:bidi w:val="0"/>
        <w:snapToGrid/>
        <w:spacing w:beforeLines="0" w:afterLines="0"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 咨询工作内容</w:t>
      </w:r>
    </w:p>
    <w:p w14:paraId="5375C0D8">
      <w:pPr>
        <w:pageBreakBefore w:val="0"/>
        <w:kinsoku/>
        <w:wordWrap/>
        <w:overflowPunct/>
        <w:topLinePunct w:val="0"/>
        <w:bidi w:val="0"/>
        <w:snapToGrid/>
        <w:spacing w:beforeLines="0" w:afterLines="0" w:line="500" w:lineRule="exact"/>
        <w:ind w:left="596" w:leftChars="284"/>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工程造价咨询工作内容包括：</w:t>
      </w:r>
      <w:r>
        <w:rPr>
          <w:rFonts w:hint="eastAsia" w:ascii="宋体" w:hAnsi="宋体" w:eastAsia="宋体" w:cs="宋体"/>
          <w:color w:val="auto"/>
          <w:sz w:val="24"/>
          <w:szCs w:val="24"/>
          <w:highlight w:val="none"/>
          <w:u w:val="single"/>
        </w:rPr>
        <w:t>工程量清单和最高投标限价编制</w:t>
      </w:r>
      <w:r>
        <w:rPr>
          <w:rFonts w:hint="eastAsia" w:ascii="宋体" w:hAnsi="宋体" w:eastAsia="宋体" w:cs="宋体"/>
          <w:color w:val="auto"/>
          <w:sz w:val="24"/>
          <w:szCs w:val="24"/>
          <w:highlight w:val="none"/>
        </w:rPr>
        <w:t>。</w:t>
      </w:r>
    </w:p>
    <w:p w14:paraId="6CBCF98F">
      <w:pPr>
        <w:pageBreakBefore w:val="0"/>
        <w:kinsoku/>
        <w:wordWrap/>
        <w:overflowPunct/>
        <w:topLinePunct w:val="0"/>
        <w:bidi w:val="0"/>
        <w:snapToGrid/>
        <w:spacing w:beforeLines="0" w:afterLines="0"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5.2 咨询期限延误</w:t>
      </w:r>
    </w:p>
    <w:p w14:paraId="1BE9B58D">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5.2.1 因委托人原因导致咨询期限延误</w:t>
      </w:r>
    </w:p>
    <w:p w14:paraId="64D8AF88">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w:t>
      </w:r>
      <w:r>
        <w:rPr>
          <w:rFonts w:hint="eastAsia" w:ascii="宋体" w:hAnsi="宋体" w:eastAsia="宋体" w:cs="宋体"/>
          <w:color w:val="auto"/>
          <w:sz w:val="24"/>
          <w:szCs w:val="24"/>
          <w:highlight w:val="none"/>
        </w:rPr>
        <w:t>因委托人原因导致咨询期限延误的其他情形：</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1F1D5F0">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bookmarkStart w:id="189" w:name="_Toc303539127"/>
      <w:bookmarkStart w:id="190" w:name="_Toc297123518"/>
      <w:bookmarkStart w:id="191" w:name="_Toc297216177"/>
      <w:bookmarkStart w:id="192" w:name="_Toc304295548"/>
      <w:bookmarkStart w:id="193" w:name="_Toc300934970"/>
      <w:r>
        <w:rPr>
          <w:rFonts w:hint="eastAsia" w:ascii="宋体" w:hAnsi="宋体" w:eastAsia="宋体" w:cs="宋体"/>
          <w:color w:val="auto"/>
          <w:sz w:val="24"/>
          <w:szCs w:val="24"/>
          <w:highlight w:val="none"/>
        </w:rPr>
        <w:t>5.2.2 因咨询人原因导致咨询期限延误</w:t>
      </w:r>
    </w:p>
    <w:p w14:paraId="5A5B6B08">
      <w:pPr>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w:t>
      </w:r>
      <w:bookmarkStart w:id="194" w:name="_Toc312678013"/>
      <w:bookmarkStart w:id="195" w:name="_Toc312677487"/>
      <w:bookmarkStart w:id="196" w:name="_Toc318581170"/>
      <w:r>
        <w:rPr>
          <w:rFonts w:hint="eastAsia" w:ascii="宋体" w:hAnsi="宋体" w:eastAsia="宋体" w:cs="宋体"/>
          <w:color w:val="auto"/>
          <w:sz w:val="24"/>
          <w:szCs w:val="24"/>
          <w:highlight w:val="none"/>
        </w:rPr>
        <w:t>咨询人原因造成咨询期限延误，逾期完成咨询业务违约金的计算方法为：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bookmarkEnd w:id="189"/>
      <w:bookmarkEnd w:id="190"/>
      <w:bookmarkEnd w:id="191"/>
      <w:bookmarkEnd w:id="192"/>
      <w:bookmarkEnd w:id="193"/>
      <w:bookmarkEnd w:id="194"/>
      <w:bookmarkEnd w:id="195"/>
    </w:p>
    <w:bookmarkEnd w:id="196"/>
    <w:p w14:paraId="4F6AB632">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因咨询人原因造成咨询期限延误，</w:t>
      </w:r>
      <w:bookmarkStart w:id="197" w:name="_Toc318581171"/>
      <w:bookmarkStart w:id="198" w:name="_Toc312678014"/>
      <w:r>
        <w:rPr>
          <w:rFonts w:hint="eastAsia" w:ascii="宋体" w:hAnsi="宋体" w:eastAsia="宋体" w:cs="宋体"/>
          <w:color w:val="auto"/>
          <w:sz w:val="24"/>
          <w:szCs w:val="24"/>
          <w:highlight w:val="none"/>
        </w:rPr>
        <w:t>逾期完成咨询业务违约金的上限：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bookmarkEnd w:id="197"/>
    <w:bookmarkEnd w:id="198"/>
    <w:p w14:paraId="3B253D35">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5.2.3 因第三人原因导致咨询期限延误</w:t>
      </w:r>
    </w:p>
    <w:p w14:paraId="361D0A6B">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sz w:val="24"/>
          <w:szCs w:val="24"/>
          <w:highlight w:val="none"/>
        </w:rPr>
        <w:t>因第三人原因导致咨询期限延误的其他情形：</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493D84B5">
      <w:pPr>
        <w:pageBreakBefore w:val="0"/>
        <w:kinsoku/>
        <w:wordWrap/>
        <w:overflowPunct/>
        <w:topLinePunct w:val="0"/>
        <w:bidi w:val="0"/>
        <w:snapToGrid/>
        <w:spacing w:beforeLines="0" w:afterLines="0" w:line="500" w:lineRule="exact"/>
        <w:ind w:firstLine="241" w:firstLineChars="1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5.3 工程造价咨询成果文件交付期限</w:t>
      </w:r>
    </w:p>
    <w:p w14:paraId="056E0501">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5.3.1咨询人向委托人提交工程造价咨询成果文件的份数</w:t>
      </w:r>
      <w:r>
        <w:rPr>
          <w:rFonts w:hint="eastAsia" w:ascii="宋体" w:hAnsi="宋体" w:eastAsia="宋体" w:cs="宋体"/>
          <w:color w:val="auto"/>
          <w:sz w:val="24"/>
          <w:szCs w:val="24"/>
          <w:highlight w:val="none"/>
          <w:u w:val="single"/>
        </w:rPr>
        <w:t xml:space="preserve">各捌份 </w:t>
      </w:r>
      <w:r>
        <w:rPr>
          <w:rFonts w:hint="eastAsia" w:ascii="宋体" w:hAnsi="宋体" w:eastAsia="宋体" w:cs="宋体"/>
          <w:color w:val="auto"/>
          <w:sz w:val="24"/>
          <w:szCs w:val="24"/>
          <w:highlight w:val="none"/>
        </w:rPr>
        <w:t>。</w:t>
      </w:r>
    </w:p>
    <w:p w14:paraId="0D451DE8">
      <w:pPr>
        <w:keepNext w:val="0"/>
        <w:keepLines w:val="0"/>
        <w:pageBreakBefore w:val="0"/>
        <w:widowControl w:val="0"/>
        <w:kinsoku/>
        <w:wordWrap w:val="0"/>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委托人在收到咨询人提交的工程造价咨询成果文件后确认或提出修改意见的期限：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C1F1C4C">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5.3.2因咨询人原因未能在合理的期限内完成工程计量与支付、合同价款调整等文件编制或审核，给委托人造成损失的违约责任</w:t>
      </w:r>
      <w:r>
        <w:rPr>
          <w:rFonts w:hint="eastAsia" w:ascii="宋体" w:hAnsi="宋体" w:eastAsia="宋体" w:cs="宋体"/>
          <w:color w:val="auto"/>
          <w:sz w:val="24"/>
          <w:szCs w:val="24"/>
          <w:highlight w:val="none"/>
          <w:u w:val="single"/>
        </w:rPr>
        <w:t xml:space="preserve">  /   </w:t>
      </w:r>
    </w:p>
    <w:p w14:paraId="2F7E7544">
      <w:pPr>
        <w:pStyle w:val="7"/>
        <w:pageBreakBefore w:val="0"/>
        <w:kinsoku/>
        <w:wordWrap/>
        <w:overflowPunct/>
        <w:topLinePunct w:val="0"/>
        <w:bidi w:val="0"/>
        <w:snapToGrid/>
        <w:spacing w:beforeLines="0" w:afterLines="0" w:line="500" w:lineRule="exact"/>
        <w:textAlignment w:val="auto"/>
        <w:rPr>
          <w:rFonts w:hint="eastAsia" w:ascii="宋体" w:hAnsi="宋体" w:eastAsia="宋体" w:cs="宋体"/>
          <w:b w:val="0"/>
          <w:color w:val="auto"/>
          <w:sz w:val="24"/>
          <w:szCs w:val="24"/>
          <w:highlight w:val="none"/>
        </w:rPr>
      </w:pPr>
      <w:bookmarkStart w:id="199" w:name="_Toc407261949"/>
      <w:r>
        <w:rPr>
          <w:rFonts w:hint="eastAsia" w:ascii="宋体" w:hAnsi="宋体" w:eastAsia="宋体" w:cs="宋体"/>
          <w:b w:val="0"/>
          <w:color w:val="auto"/>
          <w:sz w:val="24"/>
          <w:szCs w:val="24"/>
          <w:highlight w:val="none"/>
        </w:rPr>
        <w:t>6. 咨询质量</w:t>
      </w:r>
      <w:bookmarkEnd w:id="199"/>
    </w:p>
    <w:p w14:paraId="6B48E0F4">
      <w:pPr>
        <w:pageBreakBefore w:val="0"/>
        <w:kinsoku/>
        <w:wordWrap/>
        <w:overflowPunct/>
        <w:topLinePunct w:val="0"/>
        <w:bidi w:val="0"/>
        <w:snapToGrid/>
        <w:spacing w:beforeLines="0" w:afterLines="0"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6.1 质量要求</w:t>
      </w:r>
    </w:p>
    <w:p w14:paraId="1DDFBF61">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工程造价咨询成果文件质量标准：</w:t>
      </w:r>
      <w:r>
        <w:rPr>
          <w:rFonts w:hint="eastAsia" w:ascii="宋体" w:hAnsi="宋体" w:eastAsia="宋体" w:cs="宋体"/>
          <w:color w:val="auto"/>
          <w:sz w:val="24"/>
          <w:szCs w:val="24"/>
          <w:highlight w:val="none"/>
          <w:u w:val="single"/>
        </w:rPr>
        <w:t xml:space="preserve">《建设工程造价咨询成果文件质量标准》（CECA/GCF2012） </w:t>
      </w:r>
      <w:r>
        <w:rPr>
          <w:rFonts w:hint="eastAsia" w:ascii="宋体" w:hAnsi="宋体" w:eastAsia="宋体" w:cs="宋体"/>
          <w:color w:val="auto"/>
          <w:sz w:val="24"/>
          <w:szCs w:val="24"/>
          <w:highlight w:val="none"/>
        </w:rPr>
        <w:t>。</w:t>
      </w:r>
    </w:p>
    <w:p w14:paraId="5EDAE144">
      <w:pPr>
        <w:pageBreakBefore w:val="0"/>
        <w:kinsoku/>
        <w:wordWrap/>
        <w:overflowPunct/>
        <w:topLinePunct w:val="0"/>
        <w:bidi w:val="0"/>
        <w:snapToGrid/>
        <w:spacing w:beforeLines="0" w:afterLines="0"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6.3 质量不合格处理</w:t>
      </w:r>
    </w:p>
    <w:p w14:paraId="5B776680">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因咨询人原因造成工程造价咨询成果文件质量未达到合同约定标准，委托人相应减少咨询酬金的计算方法为：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B13E0D7">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因咨询人原因造成工程造价咨询成果文件质量不合格产生的损失赔偿额的计算方法为：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84F4C65">
      <w:pPr>
        <w:pStyle w:val="7"/>
        <w:pageBreakBefore w:val="0"/>
        <w:kinsoku/>
        <w:wordWrap/>
        <w:overflowPunct/>
        <w:topLinePunct w:val="0"/>
        <w:bidi w:val="0"/>
        <w:snapToGrid/>
        <w:spacing w:beforeLines="0" w:afterLines="0" w:line="500" w:lineRule="exact"/>
        <w:textAlignment w:val="auto"/>
        <w:rPr>
          <w:rFonts w:hint="eastAsia" w:ascii="宋体" w:hAnsi="宋体" w:eastAsia="宋体" w:cs="宋体"/>
          <w:b w:val="0"/>
          <w:color w:val="auto"/>
          <w:sz w:val="24"/>
          <w:szCs w:val="24"/>
          <w:highlight w:val="none"/>
        </w:rPr>
      </w:pPr>
      <w:bookmarkStart w:id="200" w:name="_Toc407261950"/>
      <w:r>
        <w:rPr>
          <w:rFonts w:hint="eastAsia" w:ascii="宋体" w:hAnsi="宋体" w:eastAsia="宋体" w:cs="宋体"/>
          <w:b w:val="0"/>
          <w:color w:val="auto"/>
          <w:sz w:val="24"/>
          <w:szCs w:val="24"/>
          <w:highlight w:val="none"/>
        </w:rPr>
        <w:t>7. 咨询酬金</w:t>
      </w:r>
      <w:bookmarkEnd w:id="200"/>
    </w:p>
    <w:p w14:paraId="060930ED">
      <w:pPr>
        <w:pageBreakBefore w:val="0"/>
        <w:kinsoku/>
        <w:wordWrap/>
        <w:overflowPunct/>
        <w:topLinePunct w:val="0"/>
        <w:bidi w:val="0"/>
        <w:snapToGrid/>
        <w:spacing w:beforeLines="0" w:afterLines="0"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7.1 酬金计算方式</w:t>
      </w:r>
    </w:p>
    <w:p w14:paraId="55D944F3">
      <w:pPr>
        <w:pageBreakBefore w:val="0"/>
        <w:widowControl/>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咨询酬金其他计算方式：</w:t>
      </w:r>
      <w:r>
        <w:rPr>
          <w:rFonts w:hint="eastAsia" w:ascii="宋体" w:hAnsi="宋体" w:eastAsia="宋体" w:cs="宋体"/>
          <w:color w:val="auto"/>
          <w:sz w:val="24"/>
          <w:szCs w:val="24"/>
          <w:highlight w:val="none"/>
          <w:u w:val="single"/>
        </w:rPr>
        <w:t xml:space="preserve">  工程量清单和最高投标限价编制费用=【施工中标价-（暂列金+暂估价）】*相应费率*</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%。请款时暂列金和暂估价均需扣除相应税金。</w:t>
      </w:r>
    </w:p>
    <w:p w14:paraId="53F46146">
      <w:pPr>
        <w:pageBreakBefore w:val="0"/>
        <w:kinsoku/>
        <w:wordWrap/>
        <w:overflowPunct/>
        <w:topLinePunct w:val="0"/>
        <w:bidi w:val="0"/>
        <w:snapToGrid/>
        <w:spacing w:beforeLines="0" w:afterLines="0"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7.1.2 基本酬金加绩效酬金</w:t>
      </w:r>
    </w:p>
    <w:p w14:paraId="05F2147A">
      <w:pPr>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基本酬金比率：</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15B8CC3E">
      <w:pPr>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rPr>
        <w:t>绩效酬金比率：</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B50F17F">
      <w:pPr>
        <w:pageBreakBefore w:val="0"/>
        <w:kinsoku/>
        <w:wordWrap/>
        <w:overflowPunct/>
        <w:topLinePunct w:val="0"/>
        <w:bidi w:val="0"/>
        <w:snapToGrid/>
        <w:spacing w:beforeLines="0" w:afterLines="0" w:line="50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7.2 预付酬金</w:t>
      </w:r>
    </w:p>
    <w:p w14:paraId="37BC6010">
      <w:pPr>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预付酬金支付比例或金额：</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2511CFF3">
      <w:pPr>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预付酬金支付期限：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1492EA9C">
      <w:pPr>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委托人逾期支付预付酬金的违约金的计算方式：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1B262837">
      <w:pPr>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7.3.1 酬金分段结算与支付的比例或金额：</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18372EB6">
      <w:pPr>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咨询人提交酬金分段结算与支付申请书的期限：</w:t>
      </w:r>
      <w:r>
        <w:rPr>
          <w:rFonts w:hint="eastAsia" w:ascii="宋体" w:hAnsi="宋体" w:eastAsia="宋体" w:cs="宋体"/>
          <w:color w:val="auto"/>
          <w:sz w:val="24"/>
          <w:szCs w:val="24"/>
          <w:highlight w:val="none"/>
          <w:u w:val="single"/>
        </w:rPr>
        <w:t xml:space="preserve">             </w:t>
      </w:r>
    </w:p>
    <w:p w14:paraId="065B957E">
      <w:pPr>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7.3.2 委托人审核确认酬金分段结算与支付申请书并完成酬金支付的期限：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301408A">
      <w:pPr>
        <w:pageBreakBefore w:val="0"/>
        <w:kinsoku/>
        <w:wordWrap/>
        <w:overflowPunct/>
        <w:topLinePunct w:val="0"/>
        <w:bidi w:val="0"/>
        <w:snapToGrid/>
        <w:spacing w:beforeLines="0" w:afterLines="0" w:line="50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7.4 酬金结清与支付</w:t>
      </w:r>
    </w:p>
    <w:p w14:paraId="3930F33A">
      <w:pPr>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7.4.1 咨询人提交酬金结清与支付申请书的期限：</w:t>
      </w:r>
      <w:r>
        <w:rPr>
          <w:rFonts w:hint="eastAsia" w:ascii="宋体" w:hAnsi="宋体" w:eastAsia="宋体" w:cs="宋体"/>
          <w:color w:val="auto"/>
          <w:sz w:val="24"/>
          <w:szCs w:val="24"/>
          <w:highlight w:val="none"/>
          <w:u w:val="single"/>
        </w:rPr>
        <w:t xml:space="preserve">     /      </w:t>
      </w:r>
    </w:p>
    <w:p w14:paraId="71ABC833">
      <w:pPr>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7.4.2 委托人审核确认酬金结清与支付申请书的期限：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51C21B49">
      <w:pPr>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7.4.3 委托人完成酬金支付的期限：</w:t>
      </w:r>
      <w:r>
        <w:rPr>
          <w:rFonts w:hint="eastAsia" w:ascii="宋体" w:hAnsi="宋体" w:eastAsia="宋体" w:cs="宋体"/>
          <w:color w:val="auto"/>
          <w:sz w:val="24"/>
          <w:szCs w:val="24"/>
          <w:highlight w:val="none"/>
          <w:u w:val="single"/>
        </w:rPr>
        <w:t xml:space="preserve">  最终出具编制报告后一次性付清合同价款。若出具多个报告的，最终汇总按一个总价进行请款。</w:t>
      </w:r>
    </w:p>
    <w:p w14:paraId="1F3E764A">
      <w:pPr>
        <w:pStyle w:val="7"/>
        <w:pageBreakBefore w:val="0"/>
        <w:kinsoku/>
        <w:wordWrap/>
        <w:overflowPunct/>
        <w:topLinePunct w:val="0"/>
        <w:bidi w:val="0"/>
        <w:snapToGrid/>
        <w:spacing w:beforeLines="0" w:afterLines="0" w:line="500" w:lineRule="exact"/>
        <w:jc w:val="left"/>
        <w:textAlignment w:val="auto"/>
        <w:rPr>
          <w:rFonts w:hint="eastAsia" w:ascii="宋体" w:hAnsi="宋体" w:eastAsia="宋体" w:cs="宋体"/>
          <w:b w:val="0"/>
          <w:color w:val="auto"/>
          <w:sz w:val="24"/>
          <w:szCs w:val="24"/>
          <w:highlight w:val="none"/>
        </w:rPr>
      </w:pPr>
      <w:bookmarkStart w:id="201" w:name="_Toc407261951"/>
      <w:r>
        <w:rPr>
          <w:rFonts w:hint="eastAsia" w:ascii="宋体" w:hAnsi="宋体" w:eastAsia="宋体" w:cs="宋体"/>
          <w:b w:val="0"/>
          <w:color w:val="auto"/>
          <w:sz w:val="24"/>
          <w:szCs w:val="24"/>
          <w:highlight w:val="none"/>
        </w:rPr>
        <w:t>8. 变更</w:t>
      </w:r>
      <w:bookmarkEnd w:id="201"/>
    </w:p>
    <w:p w14:paraId="48E36EF4">
      <w:pPr>
        <w:pageBreakBefore w:val="0"/>
        <w:kinsoku/>
        <w:wordWrap/>
        <w:overflowPunct/>
        <w:topLinePunct w:val="0"/>
        <w:bidi w:val="0"/>
        <w:snapToGrid/>
        <w:spacing w:beforeLines="0" w:afterLines="0" w:line="50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8.1 变更的范围</w:t>
      </w:r>
    </w:p>
    <w:p w14:paraId="0C5319ED">
      <w:pPr>
        <w:pageBreakBefore w:val="0"/>
        <w:kinsoku/>
        <w:wordWrap/>
        <w:overflowPunct/>
        <w:topLinePunct w:val="0"/>
        <w:bidi w:val="0"/>
        <w:snapToGrid/>
        <w:spacing w:beforeLines="0" w:afterLines="0" w:line="500" w:lineRule="exact"/>
        <w:ind w:firstLine="6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sz w:val="24"/>
          <w:szCs w:val="24"/>
          <w:highlight w:val="none"/>
        </w:rPr>
        <w:t>变更的其他情形：</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CD1FE97">
      <w:pPr>
        <w:pageBreakBefore w:val="0"/>
        <w:kinsoku/>
        <w:wordWrap/>
        <w:overflowPunct/>
        <w:topLinePunct w:val="0"/>
        <w:bidi w:val="0"/>
        <w:snapToGrid/>
        <w:spacing w:beforeLines="0" w:afterLines="0" w:line="50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8.2 变更引起的咨询酬金和期限调整</w:t>
      </w:r>
    </w:p>
    <w:p w14:paraId="3B6206B9">
      <w:pPr>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8.2.1 变更引起咨询酬金调整的计算方法: </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354504C7">
      <w:pPr>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变更引起咨询期限调整的计算方法: </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192D4F04">
      <w:pPr>
        <w:pageBreakBefore w:val="0"/>
        <w:kinsoku/>
        <w:wordWrap/>
        <w:overflowPunct/>
        <w:topLinePunct w:val="0"/>
        <w:bidi w:val="0"/>
        <w:snapToGrid/>
        <w:spacing w:beforeLines="0" w:afterLines="0" w:line="50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8.3 咨询人的合理化建议</w:t>
      </w:r>
    </w:p>
    <w:p w14:paraId="2C03DF07">
      <w:pPr>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合理化建议奖励金额的比率：</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356A9B4C">
      <w:pPr>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合理化建议奖励的其他计算方法：</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27E3C65">
      <w:pPr>
        <w:pStyle w:val="7"/>
        <w:pageBreakBefore w:val="0"/>
        <w:kinsoku/>
        <w:wordWrap/>
        <w:overflowPunct/>
        <w:topLinePunct w:val="0"/>
        <w:bidi w:val="0"/>
        <w:snapToGrid/>
        <w:spacing w:beforeLines="0" w:afterLines="0" w:line="500" w:lineRule="exact"/>
        <w:jc w:val="left"/>
        <w:textAlignment w:val="auto"/>
        <w:rPr>
          <w:rFonts w:hint="eastAsia" w:ascii="宋体" w:hAnsi="宋体" w:eastAsia="宋体" w:cs="宋体"/>
          <w:b w:val="0"/>
          <w:color w:val="auto"/>
          <w:sz w:val="24"/>
          <w:szCs w:val="24"/>
          <w:highlight w:val="none"/>
        </w:rPr>
      </w:pPr>
      <w:bookmarkStart w:id="202" w:name="_Toc407261952"/>
      <w:r>
        <w:rPr>
          <w:rFonts w:hint="eastAsia" w:ascii="宋体" w:hAnsi="宋体" w:eastAsia="宋体" w:cs="宋体"/>
          <w:b w:val="0"/>
          <w:color w:val="auto"/>
          <w:sz w:val="24"/>
          <w:szCs w:val="24"/>
          <w:highlight w:val="none"/>
        </w:rPr>
        <w:t>9. 违约</w:t>
      </w:r>
      <w:bookmarkEnd w:id="202"/>
    </w:p>
    <w:p w14:paraId="2375D91B">
      <w:pPr>
        <w:pageBreakBefore w:val="0"/>
        <w:kinsoku/>
        <w:wordWrap/>
        <w:overflowPunct/>
        <w:topLinePunct w:val="0"/>
        <w:bidi w:val="0"/>
        <w:snapToGrid/>
        <w:spacing w:beforeLines="0" w:afterLines="0" w:line="50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9.1 委托人违约</w:t>
      </w:r>
    </w:p>
    <w:p w14:paraId="7C199F35">
      <w:pPr>
        <w:pageBreakBefore w:val="0"/>
        <w:kinsoku/>
        <w:wordWrap/>
        <w:overflowPunct/>
        <w:topLinePunct w:val="0"/>
        <w:bidi w:val="0"/>
        <w:snapToGrid/>
        <w:spacing w:before="120" w:beforeLines="0" w:after="120" w:afterLines="0"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关于委托人违约解除合同的特别约定：</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w:t>
      </w:r>
    </w:p>
    <w:p w14:paraId="0A08B45D">
      <w:pPr>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因委托人违约解除合同的，关于已完咨询业务酬金结算和付款的约定：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FBD27A1">
      <w:pPr>
        <w:pageBreakBefore w:val="0"/>
        <w:kinsoku/>
        <w:wordWrap/>
        <w:overflowPunct/>
        <w:topLinePunct w:val="0"/>
        <w:bidi w:val="0"/>
        <w:snapToGrid/>
        <w:spacing w:beforeLines="0" w:afterLines="0" w:line="50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9.2 咨询人违约</w:t>
      </w:r>
    </w:p>
    <w:p w14:paraId="5695465D">
      <w:pPr>
        <w:pageBreakBefore w:val="0"/>
        <w:kinsoku/>
        <w:wordWrap/>
        <w:overflowPunct/>
        <w:topLinePunct w:val="0"/>
        <w:bidi w:val="0"/>
        <w:snapToGrid/>
        <w:spacing w:before="120" w:beforeLines="0" w:after="120" w:afterLines="0"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关于咨询人违约解除合同的特别约定：</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w:t>
      </w:r>
    </w:p>
    <w:p w14:paraId="0BE96EC7">
      <w:pPr>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因咨询人违约解除合同的，关于已完咨询业务酬金结算和付款的约定：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53FE0CEC">
      <w:pPr>
        <w:pStyle w:val="7"/>
        <w:pageBreakBefore w:val="0"/>
        <w:kinsoku/>
        <w:wordWrap/>
        <w:overflowPunct/>
        <w:topLinePunct w:val="0"/>
        <w:bidi w:val="0"/>
        <w:snapToGrid/>
        <w:spacing w:beforeLines="0" w:afterLines="0" w:line="500" w:lineRule="exact"/>
        <w:jc w:val="left"/>
        <w:textAlignment w:val="auto"/>
        <w:rPr>
          <w:rFonts w:hint="eastAsia" w:ascii="宋体" w:hAnsi="宋体" w:eastAsia="宋体" w:cs="宋体"/>
          <w:b w:val="0"/>
          <w:color w:val="auto"/>
          <w:sz w:val="24"/>
          <w:szCs w:val="24"/>
          <w:highlight w:val="none"/>
        </w:rPr>
      </w:pPr>
      <w:bookmarkStart w:id="203" w:name="_Toc407261953"/>
      <w:r>
        <w:rPr>
          <w:rFonts w:hint="eastAsia" w:ascii="宋体" w:hAnsi="宋体" w:eastAsia="宋体" w:cs="宋体"/>
          <w:b w:val="0"/>
          <w:color w:val="auto"/>
          <w:sz w:val="24"/>
          <w:szCs w:val="24"/>
          <w:highlight w:val="none"/>
        </w:rPr>
        <w:t>10. 争议解决</w:t>
      </w:r>
      <w:bookmarkEnd w:id="203"/>
    </w:p>
    <w:p w14:paraId="1EB6CFA4">
      <w:pPr>
        <w:pageBreakBefore w:val="0"/>
        <w:kinsoku/>
        <w:wordWrap/>
        <w:overflowPunct/>
        <w:topLinePunct w:val="0"/>
        <w:bidi w:val="0"/>
        <w:snapToGrid/>
        <w:spacing w:beforeLines="0" w:afterLines="0" w:line="50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10.3 仲裁或诉讼</w:t>
      </w:r>
    </w:p>
    <w:p w14:paraId="0D952F42">
      <w:pPr>
        <w:pageBreakBefore w:val="0"/>
        <w:kinsoku/>
        <w:wordWrap/>
        <w:overflowPunct/>
        <w:topLinePunct w:val="0"/>
        <w:bidi w:val="0"/>
        <w:snapToGrid/>
        <w:spacing w:beforeLines="0" w:after="120" w:afterLines="0"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因合同及合同有关事项发生的争议，按下列第</w:t>
      </w:r>
      <w:r>
        <w:rPr>
          <w:rFonts w:hint="eastAsia" w:ascii="宋体" w:hAnsi="宋体" w:eastAsia="宋体" w:cs="宋体"/>
          <w:color w:val="auto"/>
          <w:sz w:val="24"/>
          <w:szCs w:val="24"/>
          <w:highlight w:val="none"/>
          <w:u w:val="single"/>
        </w:rPr>
        <w:t xml:space="preserve"> （1） </w:t>
      </w:r>
      <w:r>
        <w:rPr>
          <w:rFonts w:hint="eastAsia" w:ascii="宋体" w:hAnsi="宋体" w:eastAsia="宋体" w:cs="宋体"/>
          <w:color w:val="auto"/>
          <w:sz w:val="24"/>
          <w:szCs w:val="24"/>
          <w:highlight w:val="none"/>
        </w:rPr>
        <w:t>种方式解决：</w:t>
      </w:r>
    </w:p>
    <w:p w14:paraId="6E284143">
      <w:pPr>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u w:val="single"/>
        </w:rPr>
        <w:t xml:space="preserve">     滁州市        </w:t>
      </w:r>
      <w:r>
        <w:rPr>
          <w:rFonts w:hint="eastAsia" w:ascii="宋体" w:hAnsi="宋体" w:eastAsia="宋体" w:cs="宋体"/>
          <w:color w:val="auto"/>
          <w:sz w:val="24"/>
          <w:szCs w:val="24"/>
          <w:highlight w:val="none"/>
        </w:rPr>
        <w:t>仲裁委员会申请仲裁；</w:t>
      </w:r>
    </w:p>
    <w:p w14:paraId="2BDC9261">
      <w:pPr>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人民法院起诉。</w:t>
      </w:r>
    </w:p>
    <w:p w14:paraId="2EAD87E6">
      <w:pPr>
        <w:pStyle w:val="7"/>
        <w:pageBreakBefore w:val="0"/>
        <w:kinsoku/>
        <w:wordWrap/>
        <w:overflowPunct/>
        <w:topLinePunct w:val="0"/>
        <w:bidi w:val="0"/>
        <w:snapToGrid/>
        <w:spacing w:beforeLines="0" w:afterLines="0" w:line="500" w:lineRule="exact"/>
        <w:jc w:val="left"/>
        <w:textAlignment w:val="auto"/>
        <w:rPr>
          <w:rFonts w:hint="eastAsia" w:ascii="宋体" w:hAnsi="宋体" w:eastAsia="宋体" w:cs="宋体"/>
          <w:b w:val="0"/>
          <w:color w:val="auto"/>
          <w:sz w:val="24"/>
          <w:szCs w:val="24"/>
          <w:highlight w:val="none"/>
        </w:rPr>
      </w:pPr>
      <w:bookmarkStart w:id="204" w:name="_Toc407261954"/>
      <w:r>
        <w:rPr>
          <w:rFonts w:hint="eastAsia" w:ascii="宋体" w:hAnsi="宋体" w:eastAsia="宋体" w:cs="宋体"/>
          <w:b w:val="0"/>
          <w:color w:val="auto"/>
          <w:sz w:val="24"/>
          <w:szCs w:val="24"/>
          <w:highlight w:val="none"/>
        </w:rPr>
        <w:t>11. 补充条款</w:t>
      </w:r>
      <w:bookmarkEnd w:id="204"/>
    </w:p>
    <w:p w14:paraId="27653C1A">
      <w:pPr>
        <w:pageBreakBefore w:val="0"/>
        <w:widowControl/>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1、严格执行《工程量清单及最高限价编制管理办法》规定。</w:t>
      </w:r>
    </w:p>
    <w:p w14:paraId="22C08F2A">
      <w:pPr>
        <w:pageBreakBefore w:val="0"/>
        <w:widowControl/>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2、咨询人须为本项目预留足够人员并驻场服务，确保服务质量及不耽误项目建设进度。咨询人中标后须按照委托人要求及时完成工程量清单及最高限价编制，并积极配合委托人开展工程的招投标工作。</w:t>
      </w:r>
    </w:p>
    <w:p w14:paraId="6B6E25C9">
      <w:pPr>
        <w:pageBreakBefore w:val="0"/>
        <w:widowControl/>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3、工程量清单最高投标限价编制及复核过程中，咨询人应与委托人充分及时沟通，及时踏勘项目现场，以使清单项目特征描述尽可能详尽,满足委托人要求。</w:t>
      </w:r>
    </w:p>
    <w:p w14:paraId="3D509947">
      <w:pPr>
        <w:pageBreakBefore w:val="0"/>
        <w:widowControl/>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4、当完成工程量清单及最高投标限价编制及复核时，投标人根据自己的工作经验向委托人提出有关造价及工作管理等方面的建议性意见。</w:t>
      </w:r>
    </w:p>
    <w:p w14:paraId="375773E6">
      <w:pPr>
        <w:pageBreakBefore w:val="0"/>
        <w:widowControl/>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工程量清单最高投标限价编制严格按照国家、省、市及行业主管部门规定的最新计价规范、办法、政策性调整及现行定额计算，材料价格按滁州市工程造价信息最新一期，对没有的价格参见本市级部分的价格或通过市场询价确定，提供主要材料和设备询价单，咨询品牌不应少于3家。</w:t>
      </w:r>
    </w:p>
    <w:p w14:paraId="0FF70E13">
      <w:pPr>
        <w:pageBreakBefore w:val="0"/>
        <w:widowControl/>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6、委托人安排的其他合理事项，咨询人应予以配合完成；咨询人有错、漏项的必须及时配合补充编制、复审。否则业主有权上报有关主管部门给予处罚。</w:t>
      </w:r>
    </w:p>
    <w:p w14:paraId="6656E90D">
      <w:pPr>
        <w:pageBreakBefore w:val="0"/>
        <w:widowControl/>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7、根据委托人安排，通知中标单位项目负责人及编制人员到场开会，如有一次不到场，每一次处以5000元违约金。</w:t>
      </w:r>
    </w:p>
    <w:p w14:paraId="24A9BE75">
      <w:pPr>
        <w:pageBreakBefore w:val="0"/>
        <w:widowControl/>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8、本项目在实施过程中可能存在减少（或增加）楼层导致的编制工作量减少（或增加）时，咨询人须无条件配合工作。</w:t>
      </w:r>
    </w:p>
    <w:p w14:paraId="4ED96A5F">
      <w:pPr>
        <w:pageBreakBefore w:val="0"/>
        <w:kinsoku/>
        <w:wordWrap/>
        <w:overflowPunct/>
        <w:topLinePunct w:val="0"/>
        <w:bidi w:val="0"/>
        <w:snapToGrid/>
        <w:spacing w:beforeLines="0" w:afterLines="0" w:line="500" w:lineRule="exact"/>
        <w:textAlignment w:val="auto"/>
        <w:rPr>
          <w:rFonts w:hint="eastAsia" w:ascii="仿宋_GB2312" w:hAnsi="仿宋_GB2312" w:eastAsia="仿宋_GB2312" w:cs="仿宋_GB2312"/>
          <w:color w:val="auto"/>
          <w:sz w:val="30"/>
          <w:szCs w:val="30"/>
          <w:highlight w:val="none"/>
        </w:rPr>
      </w:pPr>
    </w:p>
    <w:p w14:paraId="16A994B5">
      <w:pPr>
        <w:pStyle w:val="2"/>
        <w:pageBreakBefore w:val="0"/>
        <w:kinsoku/>
        <w:wordWrap/>
        <w:overflowPunct/>
        <w:topLinePunct w:val="0"/>
        <w:bidi w:val="0"/>
        <w:snapToGrid/>
        <w:spacing w:beforeLines="0" w:afterLines="0" w:line="500" w:lineRule="exact"/>
        <w:textAlignment w:val="auto"/>
        <w:rPr>
          <w:rFonts w:hint="eastAsia" w:ascii="仿宋_GB2312" w:hAnsi="仿宋_GB2312" w:eastAsia="仿宋_GB2312" w:cs="仿宋_GB2312"/>
          <w:color w:val="auto"/>
          <w:sz w:val="30"/>
          <w:szCs w:val="30"/>
          <w:highlight w:val="none"/>
        </w:rPr>
      </w:pPr>
    </w:p>
    <w:p w14:paraId="4B8F5127">
      <w:pPr>
        <w:pageBreakBefore w:val="0"/>
        <w:kinsoku/>
        <w:wordWrap/>
        <w:overflowPunct/>
        <w:topLinePunct w:val="0"/>
        <w:bidi w:val="0"/>
        <w:snapToGrid/>
        <w:spacing w:beforeLines="0" w:afterLines="0" w:line="500" w:lineRule="exact"/>
        <w:textAlignment w:val="auto"/>
        <w:rPr>
          <w:rFonts w:hint="eastAsia" w:ascii="仿宋_GB2312" w:hAnsi="仿宋_GB2312" w:eastAsia="仿宋_GB2312" w:cs="仿宋_GB2312"/>
          <w:color w:val="auto"/>
          <w:sz w:val="30"/>
          <w:szCs w:val="30"/>
          <w:highlight w:val="none"/>
        </w:rPr>
      </w:pPr>
    </w:p>
    <w:p w14:paraId="069C594A">
      <w:pPr>
        <w:pStyle w:val="2"/>
        <w:spacing w:beforeLines="0" w:afterLines="0"/>
        <w:rPr>
          <w:rFonts w:hint="eastAsia" w:ascii="仿宋_GB2312" w:hAnsi="仿宋_GB2312" w:eastAsia="仿宋_GB2312" w:cs="仿宋_GB2312"/>
          <w:color w:val="auto"/>
          <w:sz w:val="30"/>
          <w:szCs w:val="30"/>
          <w:highlight w:val="none"/>
        </w:rPr>
      </w:pPr>
    </w:p>
    <w:p w14:paraId="3042E0E6">
      <w:pPr>
        <w:spacing w:beforeLines="0" w:afterLines="0"/>
        <w:rPr>
          <w:rFonts w:hint="eastAsia" w:ascii="仿宋_GB2312" w:hAnsi="仿宋_GB2312" w:eastAsia="仿宋_GB2312" w:cs="仿宋_GB2312"/>
          <w:color w:val="auto"/>
          <w:sz w:val="30"/>
          <w:szCs w:val="30"/>
          <w:highlight w:val="none"/>
        </w:rPr>
      </w:pPr>
    </w:p>
    <w:p w14:paraId="5E14DB9E">
      <w:pPr>
        <w:keepNext w:val="0"/>
        <w:keepLines w:val="0"/>
        <w:widowControl w:val="0"/>
        <w:suppressLineNumbers w:val="0"/>
        <w:spacing w:before="0" w:beforeAutospacing="0" w:after="0" w:afterAutospacing="0"/>
        <w:ind w:left="0" w:right="0"/>
        <w:jc w:val="both"/>
        <w:rPr>
          <w:color w:val="auto"/>
          <w:highlight w:val="none"/>
        </w:rPr>
      </w:pPr>
    </w:p>
    <w:p w14:paraId="2AD51CAA">
      <w:pPr>
        <w:pStyle w:val="6"/>
        <w:spacing w:before="0" w:after="0"/>
        <w:rPr>
          <w:rFonts w:hint="eastAsia" w:ascii="宋体" w:hAnsi="宋体" w:eastAsia="宋体" w:cs="宋体"/>
          <w:color w:val="auto"/>
          <w:highlight w:val="none"/>
          <w:lang w:val="en-US" w:eastAsia="zh-CN"/>
        </w:rPr>
      </w:pPr>
    </w:p>
    <w:p w14:paraId="7232AAD7">
      <w:pPr>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rPr>
        <w:br w:type="page"/>
      </w:r>
    </w:p>
    <w:p w14:paraId="57D3D26B">
      <w:pPr>
        <w:pStyle w:val="2"/>
        <w:widowControl/>
        <w:rPr>
          <w:rFonts w:hint="eastAsia" w:ascii="宋体" w:hAnsi="宋体" w:eastAsia="宋体" w:cs="宋体"/>
          <w:b/>
          <w:bCs/>
          <w:color w:val="auto"/>
          <w:kern w:val="2"/>
          <w:sz w:val="28"/>
          <w:szCs w:val="28"/>
          <w:highlight w:val="none"/>
        </w:rPr>
        <w:sectPr>
          <w:footerReference r:id="rId6" w:type="default"/>
          <w:pgSz w:w="12242" w:h="15842"/>
          <w:pgMar w:top="935" w:right="1106" w:bottom="936" w:left="1259" w:header="680" w:footer="680" w:gutter="0"/>
          <w:pgNumType w:fmt="decimal" w:start="3"/>
          <w:cols w:space="0" w:num="1"/>
          <w:docGrid w:type="lines" w:linePitch="318" w:charSpace="0"/>
        </w:sectPr>
      </w:pPr>
    </w:p>
    <w:p w14:paraId="46711F55">
      <w:pPr>
        <w:pStyle w:val="2"/>
        <w:widowControl/>
        <w:jc w:val="both"/>
        <w:rPr>
          <w:rFonts w:hint="default" w:ascii="宋体" w:hAnsi="宋体" w:eastAsia="宋体" w:cs="宋体"/>
          <w:b/>
          <w:bCs/>
          <w:color w:val="auto"/>
          <w:kern w:val="2"/>
          <w:sz w:val="28"/>
          <w:szCs w:val="28"/>
          <w:highlight w:val="none"/>
          <w:lang w:val="en-US" w:eastAsia="zh-CN"/>
        </w:rPr>
      </w:pPr>
      <w:r>
        <w:rPr>
          <w:rFonts w:hint="eastAsia" w:ascii="宋体" w:hAnsi="宋体" w:eastAsia="宋体" w:cs="宋体"/>
          <w:b/>
          <w:bCs/>
          <w:color w:val="auto"/>
          <w:kern w:val="2"/>
          <w:sz w:val="28"/>
          <w:szCs w:val="28"/>
          <w:highlight w:val="none"/>
        </w:rPr>
        <w:t>附表</w:t>
      </w:r>
      <w:r>
        <w:rPr>
          <w:rFonts w:hint="eastAsia" w:ascii="宋体" w:hAnsi="宋体" w:cs="宋体"/>
          <w:b/>
          <w:bCs/>
          <w:color w:val="auto"/>
          <w:kern w:val="2"/>
          <w:sz w:val="28"/>
          <w:szCs w:val="28"/>
          <w:highlight w:val="none"/>
          <w:lang w:val="en-US" w:eastAsia="zh-CN"/>
        </w:rPr>
        <w:t xml:space="preserve">                                            《收费标准》</w:t>
      </w:r>
    </w:p>
    <w:p w14:paraId="013BB05F">
      <w:pPr>
        <w:jc w:val="right"/>
        <w:rPr>
          <w:rFonts w:hint="default"/>
          <w:color w:val="auto"/>
          <w:highlight w:val="none"/>
        </w:rPr>
      </w:pPr>
      <w:r>
        <w:rPr>
          <w:rFonts w:hint="default"/>
          <w:color w:val="auto"/>
          <w:highlight w:val="none"/>
          <w:lang w:val="en-US" w:eastAsia="zh-CN"/>
        </w:rPr>
        <w:t>费率：‰</w:t>
      </w:r>
    </w:p>
    <w:tbl>
      <w:tblPr>
        <w:tblStyle w:val="45"/>
        <w:tblW w:w="14038" w:type="dxa"/>
        <w:tblInd w:w="1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716"/>
        <w:gridCol w:w="448"/>
        <w:gridCol w:w="1683"/>
        <w:gridCol w:w="755"/>
        <w:gridCol w:w="630"/>
        <w:gridCol w:w="1115"/>
        <w:gridCol w:w="558"/>
        <w:gridCol w:w="537"/>
        <w:gridCol w:w="60"/>
        <w:gridCol w:w="478"/>
        <w:gridCol w:w="72"/>
        <w:gridCol w:w="466"/>
        <w:gridCol w:w="46"/>
        <w:gridCol w:w="492"/>
        <w:gridCol w:w="510"/>
        <w:gridCol w:w="28"/>
        <w:gridCol w:w="516"/>
        <w:gridCol w:w="18"/>
        <w:gridCol w:w="3"/>
        <w:gridCol w:w="681"/>
        <w:gridCol w:w="4226"/>
      </w:tblGrid>
      <w:tr w14:paraId="66B34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atLeast"/>
        </w:trPr>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376EC2">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序号</w:t>
            </w:r>
          </w:p>
        </w:tc>
        <w:tc>
          <w:tcPr>
            <w:tcW w:w="21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9A6ED4">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咨询项目</w:t>
            </w:r>
          </w:p>
        </w:tc>
        <w:tc>
          <w:tcPr>
            <w:tcW w:w="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570186">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收费</w:t>
            </w:r>
          </w:p>
          <w:p w14:paraId="237D983A">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基础</w:t>
            </w:r>
          </w:p>
        </w:tc>
        <w:tc>
          <w:tcPr>
            <w:tcW w:w="17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F25356">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工程类型</w:t>
            </w:r>
          </w:p>
        </w:tc>
        <w:tc>
          <w:tcPr>
            <w:tcW w:w="4465"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60793A8D">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单位工程金额(万元)</w:t>
            </w:r>
          </w:p>
        </w:tc>
        <w:tc>
          <w:tcPr>
            <w:tcW w:w="4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288064">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服务内容</w:t>
            </w:r>
          </w:p>
        </w:tc>
      </w:tr>
      <w:tr w14:paraId="4EFF4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atLeast"/>
        </w:trPr>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BA87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1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F4EAE">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E705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7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D9FC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6E95F">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100</w:t>
            </w:r>
          </w:p>
          <w:p w14:paraId="5CAD5823">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以内</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586AB1">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200</w:t>
            </w:r>
          </w:p>
          <w:p w14:paraId="624F6E79">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以内</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72AD4F">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500</w:t>
            </w:r>
          </w:p>
          <w:p w14:paraId="58D014C1">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以内</w:t>
            </w:r>
          </w:p>
        </w:tc>
        <w:tc>
          <w:tcPr>
            <w:tcW w:w="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14C3AA">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1000</w:t>
            </w:r>
          </w:p>
          <w:p w14:paraId="4A0C8301">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以内</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0E3AB">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2000</w:t>
            </w:r>
          </w:p>
          <w:p w14:paraId="50296C99">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以内</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345D9">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5000</w:t>
            </w:r>
          </w:p>
          <w:p w14:paraId="18ADEBF5">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以内</w:t>
            </w:r>
          </w:p>
        </w:tc>
        <w:tc>
          <w:tcPr>
            <w:tcW w:w="5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3B73DE">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10000</w:t>
            </w:r>
          </w:p>
          <w:p w14:paraId="42508A22">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以内</w:t>
            </w:r>
          </w:p>
        </w:tc>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3D1748">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10000</w:t>
            </w:r>
          </w:p>
          <w:p w14:paraId="60648E64">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以上</w:t>
            </w:r>
          </w:p>
        </w:tc>
        <w:tc>
          <w:tcPr>
            <w:tcW w:w="4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9DF0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7EC51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C2E1">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一</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C214AD">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可行性项目投资估算</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34CE">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估算价</w:t>
            </w:r>
          </w:p>
        </w:tc>
        <w:tc>
          <w:tcPr>
            <w:tcW w:w="1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A03058">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166D1">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BE1702">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236977">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1.7</w:t>
            </w:r>
          </w:p>
        </w:tc>
        <w:tc>
          <w:tcPr>
            <w:tcW w:w="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B97D42">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1.5</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9A15">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1.3</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D6AC">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1.1</w:t>
            </w:r>
          </w:p>
        </w:tc>
        <w:tc>
          <w:tcPr>
            <w:tcW w:w="5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D5E84C">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0.9</w:t>
            </w:r>
          </w:p>
        </w:tc>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206855">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0.7</w:t>
            </w:r>
          </w:p>
        </w:tc>
        <w:tc>
          <w:tcPr>
            <w:tcW w:w="4226" w:type="dxa"/>
            <w:vMerge w:val="restart"/>
            <w:tcBorders>
              <w:top w:val="nil"/>
              <w:left w:val="single" w:color="000000" w:sz="4" w:space="0"/>
              <w:bottom w:val="single" w:color="000000" w:sz="4" w:space="0"/>
              <w:right w:val="single" w:color="000000" w:sz="4" w:space="0"/>
            </w:tcBorders>
            <w:shd w:val="clear" w:color="auto" w:fill="auto"/>
            <w:vAlign w:val="center"/>
          </w:tcPr>
          <w:p w14:paraId="04FB2A5D">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调查、收集资料，完成和出具投资估算或可行性经济评价报告</w:t>
            </w:r>
          </w:p>
        </w:tc>
      </w:tr>
      <w:tr w14:paraId="516BF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4"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4E5B">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二</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9F80C9">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项目经济评价</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C3599">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估算价</w:t>
            </w:r>
          </w:p>
        </w:tc>
        <w:tc>
          <w:tcPr>
            <w:tcW w:w="1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01BBE4">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0A19">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793B2D">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8D8CB9">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1.8</w:t>
            </w:r>
          </w:p>
        </w:tc>
        <w:tc>
          <w:tcPr>
            <w:tcW w:w="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826220">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1.6</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0E64">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1.4</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44781">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1.2</w:t>
            </w:r>
          </w:p>
        </w:tc>
        <w:tc>
          <w:tcPr>
            <w:tcW w:w="5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311E10">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w:t>
            </w:r>
          </w:p>
        </w:tc>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A087D4">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0.8</w:t>
            </w:r>
          </w:p>
        </w:tc>
        <w:tc>
          <w:tcPr>
            <w:tcW w:w="4226" w:type="dxa"/>
            <w:vMerge w:val="continue"/>
            <w:tcBorders>
              <w:top w:val="nil"/>
              <w:left w:val="single" w:color="000000" w:sz="4" w:space="0"/>
              <w:bottom w:val="single" w:color="000000" w:sz="4" w:space="0"/>
              <w:right w:val="single" w:color="000000" w:sz="4" w:space="0"/>
            </w:tcBorders>
            <w:shd w:val="clear" w:color="auto" w:fill="auto"/>
            <w:vAlign w:val="center"/>
          </w:tcPr>
          <w:p w14:paraId="21C26366">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5BF51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4"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23EF">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三</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ED1B35">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工程项目设计概算</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9B46">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概算价</w:t>
            </w:r>
          </w:p>
        </w:tc>
        <w:tc>
          <w:tcPr>
            <w:tcW w:w="1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DC6B38">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37ED">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64CB05">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7CE786">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w:t>
            </w:r>
          </w:p>
        </w:tc>
        <w:tc>
          <w:tcPr>
            <w:tcW w:w="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56A8ED">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1.8</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10E0">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1.6</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C0227">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1.4</w:t>
            </w:r>
          </w:p>
        </w:tc>
        <w:tc>
          <w:tcPr>
            <w:tcW w:w="5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BE01B5">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1.2</w:t>
            </w:r>
          </w:p>
        </w:tc>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736BCF">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w:t>
            </w:r>
          </w:p>
        </w:tc>
        <w:tc>
          <w:tcPr>
            <w:tcW w:w="4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C9D2">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收集资料，根据初步设计图计算或复核工程量进行工料分析，出具工程概算书或审核报告</w:t>
            </w:r>
          </w:p>
        </w:tc>
      </w:tr>
      <w:tr w14:paraId="4A03D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4" w:hRule="atLeast"/>
        </w:trPr>
        <w:tc>
          <w:tcPr>
            <w:tcW w:w="716" w:type="dxa"/>
            <w:vMerge w:val="restart"/>
            <w:tcBorders>
              <w:top w:val="nil"/>
              <w:left w:val="single" w:color="000000" w:sz="4" w:space="0"/>
              <w:bottom w:val="single" w:color="000000" w:sz="4" w:space="0"/>
              <w:right w:val="single" w:color="000000" w:sz="4" w:space="0"/>
            </w:tcBorders>
            <w:shd w:val="clear" w:color="auto" w:fill="auto"/>
            <w:vAlign w:val="center"/>
          </w:tcPr>
          <w:p w14:paraId="270545F0">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四</w:t>
            </w:r>
          </w:p>
        </w:tc>
        <w:tc>
          <w:tcPr>
            <w:tcW w:w="448" w:type="dxa"/>
            <w:vMerge w:val="restart"/>
            <w:tcBorders>
              <w:top w:val="nil"/>
              <w:left w:val="single" w:color="000000" w:sz="4" w:space="0"/>
              <w:bottom w:val="single" w:color="000000" w:sz="4" w:space="0"/>
              <w:right w:val="single" w:color="000000" w:sz="4" w:space="0"/>
            </w:tcBorders>
            <w:shd w:val="clear" w:color="auto" w:fill="auto"/>
            <w:vAlign w:val="center"/>
          </w:tcPr>
          <w:p w14:paraId="2CD042F2">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定</w:t>
            </w:r>
          </w:p>
          <w:p w14:paraId="5EF3BCE4">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额</w:t>
            </w:r>
          </w:p>
          <w:p w14:paraId="347082EF">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计</w:t>
            </w:r>
          </w:p>
          <w:p w14:paraId="04502019">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价</w:t>
            </w:r>
          </w:p>
        </w:tc>
        <w:tc>
          <w:tcPr>
            <w:tcW w:w="1683" w:type="dxa"/>
            <w:vMerge w:val="restart"/>
            <w:tcBorders>
              <w:top w:val="nil"/>
              <w:left w:val="single" w:color="000000" w:sz="4" w:space="0"/>
              <w:bottom w:val="single" w:color="000000" w:sz="4" w:space="0"/>
              <w:right w:val="single" w:color="000000" w:sz="4" w:space="0"/>
            </w:tcBorders>
            <w:shd w:val="clear" w:color="auto" w:fill="auto"/>
            <w:vAlign w:val="center"/>
          </w:tcPr>
          <w:p w14:paraId="6C1FB714">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工程预算、结算、标底编制</w:t>
            </w:r>
          </w:p>
        </w:tc>
        <w:tc>
          <w:tcPr>
            <w:tcW w:w="755" w:type="dxa"/>
            <w:vMerge w:val="restart"/>
            <w:tcBorders>
              <w:top w:val="nil"/>
              <w:left w:val="single" w:color="000000" w:sz="4" w:space="0"/>
              <w:bottom w:val="single" w:color="000000" w:sz="4" w:space="0"/>
              <w:right w:val="single" w:color="000000" w:sz="4" w:space="0"/>
            </w:tcBorders>
            <w:shd w:val="clear" w:color="auto" w:fill="auto"/>
            <w:vAlign w:val="center"/>
          </w:tcPr>
          <w:p w14:paraId="44D430A7">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工程造价</w:t>
            </w:r>
          </w:p>
        </w:tc>
        <w:tc>
          <w:tcPr>
            <w:tcW w:w="1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46CA3C">
            <w:pPr>
              <w:keepNext w:val="0"/>
              <w:keepLines w:val="0"/>
              <w:widowControl w:val="0"/>
              <w:suppressLineNumbers w:val="0"/>
              <w:adjustRightInd w:val="0"/>
              <w:snapToGrid w:val="0"/>
              <w:spacing w:before="0" w:beforeAutospacing="0" w:after="0" w:afterAutospacing="0"/>
              <w:ind w:left="0" w:right="0" w:firstLine="720" w:firstLineChars="400"/>
              <w:jc w:val="both"/>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建筑工程</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4ACD">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4</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974766">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3.6</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C48F12">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3.2</w:t>
            </w:r>
          </w:p>
        </w:tc>
        <w:tc>
          <w:tcPr>
            <w:tcW w:w="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1F3AEC">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2.8</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476E">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2.5</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836E">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2.3</w:t>
            </w:r>
          </w:p>
        </w:tc>
        <w:tc>
          <w:tcPr>
            <w:tcW w:w="5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EAB991">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2.1</w:t>
            </w:r>
          </w:p>
        </w:tc>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DC1E4C">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1.9</w:t>
            </w:r>
          </w:p>
        </w:tc>
        <w:tc>
          <w:tcPr>
            <w:tcW w:w="4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E9DB9B">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收集资料，根据施工图或施工技术规范计算工程量，进行工料分析，</w:t>
            </w:r>
          </w:p>
          <w:p w14:paraId="6AB9CE62">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完成计价，出具工程概算书或工程结算书</w:t>
            </w:r>
          </w:p>
        </w:tc>
      </w:tr>
      <w:tr w14:paraId="11D12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716" w:type="dxa"/>
            <w:vMerge w:val="continue"/>
            <w:tcBorders>
              <w:top w:val="nil"/>
              <w:left w:val="single" w:color="000000" w:sz="4" w:space="0"/>
              <w:bottom w:val="single" w:color="000000" w:sz="4" w:space="0"/>
              <w:right w:val="single" w:color="000000" w:sz="4" w:space="0"/>
            </w:tcBorders>
            <w:shd w:val="clear" w:color="auto" w:fill="auto"/>
            <w:vAlign w:val="center"/>
          </w:tcPr>
          <w:p w14:paraId="401C364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448" w:type="dxa"/>
            <w:vMerge w:val="continue"/>
            <w:tcBorders>
              <w:top w:val="nil"/>
              <w:left w:val="single" w:color="000000" w:sz="4" w:space="0"/>
              <w:bottom w:val="single" w:color="000000" w:sz="4" w:space="0"/>
              <w:right w:val="single" w:color="000000" w:sz="4" w:space="0"/>
            </w:tcBorders>
            <w:shd w:val="clear" w:color="auto" w:fill="auto"/>
            <w:vAlign w:val="center"/>
          </w:tcPr>
          <w:p w14:paraId="674A87A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683" w:type="dxa"/>
            <w:vMerge w:val="continue"/>
            <w:tcBorders>
              <w:top w:val="nil"/>
              <w:left w:val="single" w:color="000000" w:sz="4" w:space="0"/>
              <w:bottom w:val="single" w:color="000000" w:sz="4" w:space="0"/>
              <w:right w:val="single" w:color="000000" w:sz="4" w:space="0"/>
            </w:tcBorders>
            <w:shd w:val="clear" w:color="auto" w:fill="auto"/>
            <w:vAlign w:val="center"/>
          </w:tcPr>
          <w:p w14:paraId="0516870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55" w:type="dxa"/>
            <w:vMerge w:val="continue"/>
            <w:tcBorders>
              <w:top w:val="nil"/>
              <w:left w:val="single" w:color="000000" w:sz="4" w:space="0"/>
              <w:bottom w:val="single" w:color="000000" w:sz="4" w:space="0"/>
              <w:right w:val="single" w:color="000000" w:sz="4" w:space="0"/>
            </w:tcBorders>
            <w:shd w:val="clear" w:color="auto" w:fill="auto"/>
            <w:vAlign w:val="center"/>
          </w:tcPr>
          <w:p w14:paraId="15412AC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5DAA7F">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安装工程</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8146F">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4.2</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C7908D">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3.8</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44735E">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3.3</w:t>
            </w:r>
          </w:p>
        </w:tc>
        <w:tc>
          <w:tcPr>
            <w:tcW w:w="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6111B7">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3.0</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42856">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2.6</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81C30">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2.4</w:t>
            </w:r>
          </w:p>
        </w:tc>
        <w:tc>
          <w:tcPr>
            <w:tcW w:w="5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A877BC">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2.2</w:t>
            </w:r>
          </w:p>
        </w:tc>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47B36F">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2.0</w:t>
            </w:r>
          </w:p>
        </w:tc>
        <w:tc>
          <w:tcPr>
            <w:tcW w:w="4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71E0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6E055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4" w:hRule="atLeast"/>
        </w:trPr>
        <w:tc>
          <w:tcPr>
            <w:tcW w:w="716" w:type="dxa"/>
            <w:vMerge w:val="restart"/>
            <w:tcBorders>
              <w:top w:val="nil"/>
              <w:left w:val="single" w:color="000000" w:sz="4" w:space="0"/>
              <w:bottom w:val="single" w:color="000000" w:sz="4" w:space="0"/>
              <w:right w:val="single" w:color="000000" w:sz="4" w:space="0"/>
            </w:tcBorders>
            <w:shd w:val="clear" w:color="auto" w:fill="auto"/>
            <w:vAlign w:val="center"/>
          </w:tcPr>
          <w:p w14:paraId="690761EF">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五</w:t>
            </w:r>
          </w:p>
        </w:tc>
        <w:tc>
          <w:tcPr>
            <w:tcW w:w="448" w:type="dxa"/>
            <w:vMerge w:val="continue"/>
            <w:tcBorders>
              <w:top w:val="nil"/>
              <w:left w:val="single" w:color="000000" w:sz="4" w:space="0"/>
              <w:bottom w:val="single" w:color="000000" w:sz="4" w:space="0"/>
              <w:right w:val="single" w:color="000000" w:sz="4" w:space="0"/>
            </w:tcBorders>
            <w:shd w:val="clear" w:color="auto" w:fill="auto"/>
            <w:vAlign w:val="center"/>
          </w:tcPr>
          <w:p w14:paraId="2F0C5FE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683" w:type="dxa"/>
            <w:vMerge w:val="restart"/>
            <w:tcBorders>
              <w:top w:val="nil"/>
              <w:left w:val="single" w:color="000000" w:sz="4" w:space="0"/>
              <w:bottom w:val="single" w:color="000000" w:sz="4" w:space="0"/>
              <w:right w:val="single" w:color="000000" w:sz="4" w:space="0"/>
            </w:tcBorders>
            <w:shd w:val="clear" w:color="auto" w:fill="auto"/>
            <w:vAlign w:val="center"/>
          </w:tcPr>
          <w:p w14:paraId="5FB48B49">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工程预算、结算、标底审核</w:t>
            </w:r>
          </w:p>
        </w:tc>
        <w:tc>
          <w:tcPr>
            <w:tcW w:w="755" w:type="dxa"/>
            <w:vMerge w:val="restart"/>
            <w:tcBorders>
              <w:top w:val="nil"/>
              <w:left w:val="single" w:color="000000" w:sz="4" w:space="0"/>
              <w:bottom w:val="single" w:color="000000" w:sz="4" w:space="0"/>
              <w:right w:val="single" w:color="000000" w:sz="4" w:space="0"/>
            </w:tcBorders>
            <w:shd w:val="clear" w:color="auto" w:fill="auto"/>
            <w:vAlign w:val="center"/>
          </w:tcPr>
          <w:p w14:paraId="629EE904">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工程造价</w:t>
            </w:r>
          </w:p>
        </w:tc>
        <w:tc>
          <w:tcPr>
            <w:tcW w:w="630" w:type="dxa"/>
            <w:vMerge w:val="restart"/>
            <w:tcBorders>
              <w:top w:val="nil"/>
              <w:left w:val="single" w:color="000000" w:sz="4" w:space="0"/>
              <w:bottom w:val="single" w:color="000000" w:sz="4" w:space="0"/>
              <w:right w:val="single" w:color="000000" w:sz="4" w:space="0"/>
            </w:tcBorders>
            <w:shd w:val="clear" w:color="auto" w:fill="auto"/>
            <w:vAlign w:val="center"/>
          </w:tcPr>
          <w:p w14:paraId="5F60EF0A">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w:t>
            </w:r>
          </w:p>
          <w:p w14:paraId="476C2451">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基本收费</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459F">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建筑工程</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F01D">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3.0</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1BB80B">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2.6</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96931A">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2.1</w:t>
            </w:r>
          </w:p>
        </w:tc>
        <w:tc>
          <w:tcPr>
            <w:tcW w:w="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B08081">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1.6</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444E3">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1.4</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809B">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1.2</w:t>
            </w:r>
          </w:p>
        </w:tc>
        <w:tc>
          <w:tcPr>
            <w:tcW w:w="5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366C10">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1.0</w:t>
            </w:r>
          </w:p>
        </w:tc>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A4B8FE">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0.9</w:t>
            </w:r>
          </w:p>
        </w:tc>
        <w:tc>
          <w:tcPr>
            <w:tcW w:w="4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3B31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4290E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716" w:type="dxa"/>
            <w:vMerge w:val="continue"/>
            <w:tcBorders>
              <w:top w:val="nil"/>
              <w:left w:val="single" w:color="000000" w:sz="4" w:space="0"/>
              <w:bottom w:val="single" w:color="000000" w:sz="4" w:space="0"/>
              <w:right w:val="single" w:color="000000" w:sz="4" w:space="0"/>
            </w:tcBorders>
            <w:shd w:val="clear" w:color="auto" w:fill="auto"/>
            <w:vAlign w:val="center"/>
          </w:tcPr>
          <w:p w14:paraId="197674B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448" w:type="dxa"/>
            <w:vMerge w:val="continue"/>
            <w:tcBorders>
              <w:top w:val="nil"/>
              <w:left w:val="single" w:color="000000" w:sz="4" w:space="0"/>
              <w:bottom w:val="single" w:color="000000" w:sz="4" w:space="0"/>
              <w:right w:val="single" w:color="000000" w:sz="4" w:space="0"/>
            </w:tcBorders>
            <w:shd w:val="clear" w:color="auto" w:fill="auto"/>
            <w:vAlign w:val="center"/>
          </w:tcPr>
          <w:p w14:paraId="03F079E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683" w:type="dxa"/>
            <w:vMerge w:val="continue"/>
            <w:tcBorders>
              <w:top w:val="nil"/>
              <w:left w:val="single" w:color="000000" w:sz="4" w:space="0"/>
              <w:bottom w:val="single" w:color="000000" w:sz="4" w:space="0"/>
              <w:right w:val="single" w:color="000000" w:sz="4" w:space="0"/>
            </w:tcBorders>
            <w:shd w:val="clear" w:color="auto" w:fill="auto"/>
            <w:vAlign w:val="center"/>
          </w:tcPr>
          <w:p w14:paraId="04C0DA5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55" w:type="dxa"/>
            <w:vMerge w:val="continue"/>
            <w:tcBorders>
              <w:top w:val="nil"/>
              <w:left w:val="single" w:color="000000" w:sz="4" w:space="0"/>
              <w:bottom w:val="single" w:color="000000" w:sz="4" w:space="0"/>
              <w:right w:val="single" w:color="000000" w:sz="4" w:space="0"/>
            </w:tcBorders>
            <w:shd w:val="clear" w:color="auto" w:fill="auto"/>
            <w:vAlign w:val="center"/>
          </w:tcPr>
          <w:p w14:paraId="5EFEB0A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630" w:type="dxa"/>
            <w:vMerge w:val="continue"/>
            <w:tcBorders>
              <w:top w:val="nil"/>
              <w:left w:val="single" w:color="000000" w:sz="4" w:space="0"/>
              <w:bottom w:val="single" w:color="000000" w:sz="4" w:space="0"/>
              <w:right w:val="single" w:color="000000" w:sz="4" w:space="0"/>
            </w:tcBorders>
            <w:shd w:val="clear" w:color="auto" w:fill="auto"/>
            <w:vAlign w:val="center"/>
          </w:tcPr>
          <w:p w14:paraId="5636957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4B66">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安装工程</w:t>
            </w:r>
          </w:p>
        </w:tc>
        <w:tc>
          <w:tcPr>
            <w:tcW w:w="558" w:type="dxa"/>
            <w:tcBorders>
              <w:top w:val="single" w:color="000000" w:sz="4" w:space="0"/>
              <w:left w:val="single" w:color="000000" w:sz="4" w:space="0"/>
              <w:bottom w:val="nil"/>
              <w:right w:val="single" w:color="000000" w:sz="4" w:space="0"/>
            </w:tcBorders>
            <w:shd w:val="clear" w:color="auto" w:fill="auto"/>
            <w:vAlign w:val="center"/>
          </w:tcPr>
          <w:p w14:paraId="14E9A94F">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3.2</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2F0D19">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2.8</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ECF993">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2.3</w:t>
            </w:r>
          </w:p>
        </w:tc>
        <w:tc>
          <w:tcPr>
            <w:tcW w:w="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2511E3">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1.8</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8111">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1.6</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24667">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1.4</w:t>
            </w:r>
          </w:p>
        </w:tc>
        <w:tc>
          <w:tcPr>
            <w:tcW w:w="5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15E2F8">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1.2</w:t>
            </w:r>
          </w:p>
        </w:tc>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591DAC">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1.0</w:t>
            </w:r>
          </w:p>
        </w:tc>
        <w:tc>
          <w:tcPr>
            <w:tcW w:w="4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0A14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19911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cantSplit/>
          <w:trHeight w:val="340" w:hRule="atLeast"/>
        </w:trPr>
        <w:tc>
          <w:tcPr>
            <w:tcW w:w="716" w:type="dxa"/>
            <w:vMerge w:val="continue"/>
            <w:tcBorders>
              <w:top w:val="nil"/>
              <w:left w:val="single" w:color="000000" w:sz="4" w:space="0"/>
              <w:bottom w:val="single" w:color="000000" w:sz="4" w:space="0"/>
              <w:right w:val="single" w:color="000000" w:sz="4" w:space="0"/>
            </w:tcBorders>
            <w:shd w:val="clear" w:color="auto" w:fill="auto"/>
            <w:vAlign w:val="center"/>
          </w:tcPr>
          <w:p w14:paraId="6097521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448" w:type="dxa"/>
            <w:vMerge w:val="continue"/>
            <w:tcBorders>
              <w:top w:val="nil"/>
              <w:left w:val="single" w:color="000000" w:sz="4" w:space="0"/>
              <w:bottom w:val="single" w:color="000000" w:sz="4" w:space="0"/>
              <w:right w:val="single" w:color="000000" w:sz="4" w:space="0"/>
            </w:tcBorders>
            <w:shd w:val="clear" w:color="auto" w:fill="auto"/>
            <w:vAlign w:val="center"/>
          </w:tcPr>
          <w:p w14:paraId="7C0972F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683" w:type="dxa"/>
            <w:vMerge w:val="continue"/>
            <w:tcBorders>
              <w:top w:val="nil"/>
              <w:left w:val="single" w:color="000000" w:sz="4" w:space="0"/>
              <w:bottom w:val="single" w:color="000000" w:sz="4" w:space="0"/>
              <w:right w:val="single" w:color="000000" w:sz="4" w:space="0"/>
            </w:tcBorders>
            <w:shd w:val="clear" w:color="auto" w:fill="auto"/>
            <w:vAlign w:val="center"/>
          </w:tcPr>
          <w:p w14:paraId="43231D4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55" w:type="dxa"/>
            <w:vMerge w:val="continue"/>
            <w:tcBorders>
              <w:top w:val="nil"/>
              <w:left w:val="single" w:color="000000" w:sz="4" w:space="0"/>
              <w:bottom w:val="single" w:color="000000" w:sz="4" w:space="0"/>
              <w:right w:val="single" w:color="000000" w:sz="4" w:space="0"/>
            </w:tcBorders>
            <w:shd w:val="clear" w:color="auto" w:fill="auto"/>
            <w:vAlign w:val="center"/>
          </w:tcPr>
          <w:p w14:paraId="7696197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47E3F5">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(2)审核增减额</w:t>
            </w:r>
          </w:p>
        </w:tc>
        <w:tc>
          <w:tcPr>
            <w:tcW w:w="4465"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37767B08">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5%</w:t>
            </w:r>
          </w:p>
        </w:tc>
        <w:tc>
          <w:tcPr>
            <w:tcW w:w="4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DE74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15072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cantSplit/>
          <w:trHeight w:val="284" w:hRule="atLeast"/>
        </w:trPr>
        <w:tc>
          <w:tcPr>
            <w:tcW w:w="716" w:type="dxa"/>
            <w:vMerge w:val="restart"/>
            <w:tcBorders>
              <w:top w:val="nil"/>
              <w:left w:val="single" w:color="000000" w:sz="4" w:space="0"/>
              <w:bottom w:val="single" w:color="000000" w:sz="4" w:space="0"/>
              <w:right w:val="single" w:color="000000" w:sz="4" w:space="0"/>
            </w:tcBorders>
            <w:shd w:val="clear" w:color="auto" w:fill="auto"/>
            <w:vAlign w:val="center"/>
          </w:tcPr>
          <w:p w14:paraId="6283DFF6">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六</w:t>
            </w:r>
          </w:p>
        </w:tc>
        <w:tc>
          <w:tcPr>
            <w:tcW w:w="448" w:type="dxa"/>
            <w:vMerge w:val="restart"/>
            <w:tcBorders>
              <w:top w:val="nil"/>
              <w:left w:val="single" w:color="000000" w:sz="4" w:space="0"/>
              <w:bottom w:val="single" w:color="000000" w:sz="4" w:space="0"/>
              <w:right w:val="single" w:color="000000" w:sz="4" w:space="0"/>
            </w:tcBorders>
            <w:shd w:val="clear" w:color="auto" w:fill="auto"/>
            <w:vAlign w:val="center"/>
          </w:tcPr>
          <w:p w14:paraId="5FA3A735">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清</w:t>
            </w:r>
          </w:p>
          <w:p w14:paraId="52223D1D">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单</w:t>
            </w:r>
          </w:p>
          <w:p w14:paraId="32DFD841">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计</w:t>
            </w:r>
          </w:p>
          <w:p w14:paraId="7A094E3A">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价</w:t>
            </w:r>
          </w:p>
        </w:tc>
        <w:tc>
          <w:tcPr>
            <w:tcW w:w="1683" w:type="dxa"/>
            <w:vMerge w:val="restart"/>
            <w:tcBorders>
              <w:top w:val="nil"/>
              <w:left w:val="single" w:color="000000" w:sz="4" w:space="0"/>
              <w:bottom w:val="single" w:color="000000" w:sz="4" w:space="0"/>
              <w:right w:val="single" w:color="000000" w:sz="4" w:space="0"/>
            </w:tcBorders>
            <w:shd w:val="clear" w:color="auto" w:fill="auto"/>
            <w:vAlign w:val="center"/>
          </w:tcPr>
          <w:p w14:paraId="235BC550">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工程量清单编制</w:t>
            </w:r>
          </w:p>
        </w:tc>
        <w:tc>
          <w:tcPr>
            <w:tcW w:w="755" w:type="dxa"/>
            <w:vMerge w:val="restart"/>
            <w:tcBorders>
              <w:top w:val="nil"/>
              <w:left w:val="single" w:color="000000" w:sz="4" w:space="0"/>
              <w:bottom w:val="single" w:color="000000" w:sz="4" w:space="0"/>
              <w:right w:val="single" w:color="000000" w:sz="4" w:space="0"/>
            </w:tcBorders>
            <w:shd w:val="clear" w:color="auto" w:fill="auto"/>
            <w:vAlign w:val="center"/>
          </w:tcPr>
          <w:p w14:paraId="7AB41259">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中标价</w:t>
            </w:r>
          </w:p>
        </w:tc>
        <w:tc>
          <w:tcPr>
            <w:tcW w:w="1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C4513F">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建筑工程</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AC13">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4.8</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9ED0A1">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4.3</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81D701">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3.8</w:t>
            </w:r>
          </w:p>
        </w:tc>
        <w:tc>
          <w:tcPr>
            <w:tcW w:w="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C99208">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3.4</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6C23">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3.0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C2AA">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2.8</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1B9B89">
            <w:pPr>
              <w:keepNext w:val="0"/>
              <w:keepLines w:val="0"/>
              <w:widowControl w:val="0"/>
              <w:suppressLineNumbers w:val="0"/>
              <w:adjustRightInd w:val="0"/>
              <w:snapToGrid w:val="0"/>
              <w:spacing w:before="0" w:beforeAutospacing="0" w:after="0" w:afterAutospacing="0"/>
              <w:ind w:left="270" w:right="0" w:hanging="270" w:hangingChars="15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2.5</w:t>
            </w:r>
          </w:p>
        </w:tc>
        <w:tc>
          <w:tcPr>
            <w:tcW w:w="7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802DB2">
            <w:pPr>
              <w:keepNext w:val="0"/>
              <w:keepLines w:val="0"/>
              <w:widowControl w:val="0"/>
              <w:suppressLineNumbers w:val="0"/>
              <w:adjustRightInd w:val="0"/>
              <w:snapToGrid w:val="0"/>
              <w:spacing w:before="0" w:beforeAutospacing="0" w:after="0" w:afterAutospacing="0"/>
              <w:ind w:left="270" w:right="0" w:hanging="270" w:hangingChars="15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2.3</w:t>
            </w:r>
          </w:p>
        </w:tc>
        <w:tc>
          <w:tcPr>
            <w:tcW w:w="4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11EEE2">
            <w:pPr>
              <w:keepNext w:val="0"/>
              <w:keepLines w:val="0"/>
              <w:widowControl w:val="0"/>
              <w:suppressLineNumbers w:val="0"/>
              <w:snapToGrid w:val="0"/>
              <w:spacing w:before="0" w:beforeAutospacing="0" w:after="0" w:afterAutospacing="0"/>
              <w:ind w:left="0" w:right="0"/>
              <w:jc w:val="both"/>
              <w:rPr>
                <w:rFonts w:hint="eastAsia" w:ascii="Times New Roman" w:hAnsi="Times New Roman" w:eastAsia="宋体" w:cs="Times New Roman"/>
                <w:color w:val="auto"/>
                <w:kern w:val="2"/>
                <w:sz w:val="18"/>
                <w:szCs w:val="18"/>
                <w:highlight w:val="none"/>
              </w:rPr>
            </w:pPr>
            <w:r>
              <w:rPr>
                <w:rFonts w:hint="default" w:ascii="Times New Roman" w:hAnsi="Times New Roman" w:eastAsia="宋体" w:cs="Times New Roman"/>
                <w:color w:val="auto"/>
                <w:kern w:val="2"/>
                <w:sz w:val="18"/>
                <w:szCs w:val="18"/>
                <w:highlight w:val="none"/>
                <w:lang w:val="en-US" w:eastAsia="zh-CN" w:bidi="ar"/>
              </w:rPr>
              <w:t>1</w:t>
            </w:r>
            <w:r>
              <w:rPr>
                <w:rFonts w:hint="eastAsia" w:ascii="宋体" w:hAnsi="宋体" w:eastAsia="宋体" w:cs="宋体"/>
                <w:color w:val="auto"/>
                <w:kern w:val="2"/>
                <w:sz w:val="18"/>
                <w:szCs w:val="18"/>
                <w:highlight w:val="none"/>
                <w:lang w:val="en-US" w:eastAsia="zh-CN" w:bidi="ar"/>
              </w:rPr>
              <w:t>、工程量清单编制。根据“计价规范”及施工图编制拟建工程的分部分项项目、措施项目、项目编码、项目名称、单位和数量明细清单；</w:t>
            </w:r>
          </w:p>
          <w:p w14:paraId="37F336CD">
            <w:pPr>
              <w:keepNext w:val="0"/>
              <w:keepLines w:val="0"/>
              <w:widowControl w:val="0"/>
              <w:suppressLineNumbers w:val="0"/>
              <w:snapToGrid w:val="0"/>
              <w:spacing w:before="0" w:beforeAutospacing="0" w:after="0" w:afterAutospacing="0"/>
              <w:ind w:left="0" w:right="0"/>
              <w:jc w:val="both"/>
              <w:rPr>
                <w:rFonts w:hint="eastAsia" w:ascii="Times New Roman" w:hAnsi="Times New Roman" w:eastAsia="宋体" w:cs="Times New Roman"/>
                <w:color w:val="auto"/>
                <w:kern w:val="2"/>
                <w:sz w:val="18"/>
                <w:szCs w:val="18"/>
                <w:highlight w:val="none"/>
              </w:rPr>
            </w:pPr>
            <w:r>
              <w:rPr>
                <w:rFonts w:hint="default" w:ascii="Times New Roman" w:hAnsi="Times New Roman" w:eastAsia="宋体" w:cs="Times New Roman"/>
                <w:color w:val="auto"/>
                <w:kern w:val="2"/>
                <w:sz w:val="18"/>
                <w:szCs w:val="18"/>
                <w:highlight w:val="none"/>
                <w:lang w:val="en-US" w:eastAsia="zh-CN" w:bidi="ar"/>
              </w:rPr>
              <w:t>2</w:t>
            </w:r>
            <w:r>
              <w:rPr>
                <w:rFonts w:hint="eastAsia" w:ascii="宋体" w:hAnsi="宋体" w:eastAsia="宋体" w:cs="宋体"/>
                <w:color w:val="auto"/>
                <w:kern w:val="2"/>
                <w:sz w:val="18"/>
                <w:szCs w:val="18"/>
                <w:highlight w:val="none"/>
                <w:lang w:val="en-US" w:eastAsia="zh-CN" w:bidi="ar"/>
              </w:rPr>
              <w:t>、控制价</w:t>
            </w:r>
            <w:r>
              <w:rPr>
                <w:rFonts w:hint="default" w:ascii="Times New Roman" w:hAnsi="Times New Roman" w:eastAsia="宋体" w:cs="Times New Roman"/>
                <w:color w:val="auto"/>
                <w:kern w:val="2"/>
                <w:sz w:val="18"/>
                <w:szCs w:val="18"/>
                <w:highlight w:val="none"/>
                <w:lang w:val="en-US" w:eastAsia="zh-CN" w:bidi="ar"/>
              </w:rPr>
              <w:t>(</w:t>
            </w:r>
            <w:r>
              <w:rPr>
                <w:rFonts w:hint="eastAsia" w:ascii="宋体" w:hAnsi="宋体" w:eastAsia="宋体" w:cs="宋体"/>
                <w:color w:val="auto"/>
                <w:kern w:val="2"/>
                <w:sz w:val="18"/>
                <w:szCs w:val="18"/>
                <w:highlight w:val="none"/>
                <w:lang w:val="en-US" w:eastAsia="zh-CN" w:bidi="ar"/>
              </w:rPr>
              <w:t>标底价</w:t>
            </w:r>
            <w:r>
              <w:rPr>
                <w:rFonts w:hint="default" w:ascii="Times New Roman" w:hAnsi="Times New Roman" w:eastAsia="宋体" w:cs="Times New Roman"/>
                <w:color w:val="auto"/>
                <w:kern w:val="2"/>
                <w:sz w:val="18"/>
                <w:szCs w:val="18"/>
                <w:highlight w:val="none"/>
                <w:lang w:val="en-US" w:eastAsia="zh-CN" w:bidi="ar"/>
              </w:rPr>
              <w:t>)</w:t>
            </w:r>
            <w:r>
              <w:rPr>
                <w:rFonts w:hint="eastAsia" w:ascii="宋体" w:hAnsi="宋体" w:eastAsia="宋体" w:cs="宋体"/>
                <w:color w:val="auto"/>
                <w:kern w:val="2"/>
                <w:sz w:val="18"/>
                <w:szCs w:val="18"/>
                <w:highlight w:val="none"/>
                <w:lang w:val="en-US" w:eastAsia="zh-CN" w:bidi="ar"/>
              </w:rPr>
              <w:t>应根据招标文件及提供的工程量清单，进行分部分项综合单价分析、措施项目分析，各项合价、总价等，完成工程量清单所需的全部费用；</w:t>
            </w:r>
          </w:p>
          <w:p w14:paraId="297B0AD6">
            <w:pPr>
              <w:keepNext w:val="0"/>
              <w:keepLines w:val="0"/>
              <w:widowControl w:val="0"/>
              <w:suppressLineNumbers w:val="0"/>
              <w:snapToGrid w:val="0"/>
              <w:spacing w:before="0" w:beforeAutospacing="0" w:after="0" w:afterAutospacing="0"/>
              <w:ind w:left="0" w:right="0"/>
              <w:jc w:val="both"/>
              <w:rPr>
                <w:rFonts w:hint="eastAsia" w:ascii="Times New Roman" w:hAnsi="Times New Roman" w:eastAsia="宋体" w:cs="Times New Roman"/>
                <w:color w:val="auto"/>
                <w:kern w:val="2"/>
                <w:sz w:val="18"/>
                <w:szCs w:val="18"/>
                <w:highlight w:val="none"/>
              </w:rPr>
            </w:pPr>
            <w:r>
              <w:rPr>
                <w:rFonts w:hint="default" w:ascii="Times New Roman" w:hAnsi="Times New Roman" w:eastAsia="宋体" w:cs="Times New Roman"/>
                <w:color w:val="auto"/>
                <w:kern w:val="2"/>
                <w:sz w:val="18"/>
                <w:szCs w:val="18"/>
                <w:highlight w:val="none"/>
                <w:lang w:val="en-US" w:eastAsia="zh-CN" w:bidi="ar"/>
              </w:rPr>
              <w:t>3</w:t>
            </w:r>
            <w:r>
              <w:rPr>
                <w:rFonts w:hint="eastAsia" w:ascii="宋体" w:hAnsi="宋体" w:eastAsia="宋体" w:cs="宋体"/>
                <w:color w:val="auto"/>
                <w:kern w:val="2"/>
                <w:sz w:val="18"/>
                <w:szCs w:val="18"/>
                <w:highlight w:val="none"/>
                <w:lang w:val="en-US" w:eastAsia="zh-CN" w:bidi="ar"/>
              </w:rPr>
              <w:t>、工程结算编制，根据合同条款及投标报价、工程实施过程是发生的设计变更、现场签证、设备的价格变化及建筑经济政策的变化行编制；</w:t>
            </w:r>
          </w:p>
          <w:p w14:paraId="08362421">
            <w:pPr>
              <w:keepNext w:val="0"/>
              <w:keepLines w:val="0"/>
              <w:widowControl w:val="0"/>
              <w:suppressLineNumbers w:val="0"/>
              <w:snapToGrid w:val="0"/>
              <w:spacing w:before="0" w:beforeAutospacing="0" w:after="0" w:afterAutospacing="0"/>
              <w:ind w:left="0" w:right="0"/>
              <w:jc w:val="both"/>
              <w:rPr>
                <w:rFonts w:hint="eastAsia"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18"/>
                <w:szCs w:val="18"/>
                <w:highlight w:val="none"/>
                <w:lang w:val="en-US" w:eastAsia="zh-CN" w:bidi="ar"/>
              </w:rPr>
              <w:t>4</w:t>
            </w:r>
            <w:r>
              <w:rPr>
                <w:rFonts w:hint="eastAsia" w:ascii="宋体" w:hAnsi="宋体" w:eastAsia="宋体" w:cs="宋体"/>
                <w:color w:val="auto"/>
                <w:kern w:val="2"/>
                <w:sz w:val="18"/>
                <w:szCs w:val="18"/>
                <w:highlight w:val="none"/>
                <w:lang w:val="en-US" w:eastAsia="zh-CN" w:bidi="ar"/>
              </w:rPr>
              <w:t>、工程结算审核，可提供的工程结算资料，特别是综合单价的分析、设计变更及经济签证进行真实性、合理性审核；</w:t>
            </w:r>
          </w:p>
        </w:tc>
      </w:tr>
      <w:tr w14:paraId="1EC64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cantSplit/>
          <w:trHeight w:val="284" w:hRule="atLeast"/>
        </w:trPr>
        <w:tc>
          <w:tcPr>
            <w:tcW w:w="716" w:type="dxa"/>
            <w:vMerge w:val="continue"/>
            <w:tcBorders>
              <w:top w:val="nil"/>
              <w:left w:val="single" w:color="000000" w:sz="4" w:space="0"/>
              <w:bottom w:val="single" w:color="000000" w:sz="4" w:space="0"/>
              <w:right w:val="single" w:color="000000" w:sz="4" w:space="0"/>
            </w:tcBorders>
            <w:shd w:val="clear" w:color="auto" w:fill="auto"/>
            <w:vAlign w:val="center"/>
          </w:tcPr>
          <w:p w14:paraId="06488FD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448" w:type="dxa"/>
            <w:vMerge w:val="continue"/>
            <w:tcBorders>
              <w:top w:val="nil"/>
              <w:left w:val="single" w:color="000000" w:sz="4" w:space="0"/>
              <w:bottom w:val="single" w:color="000000" w:sz="4" w:space="0"/>
              <w:right w:val="single" w:color="000000" w:sz="4" w:space="0"/>
            </w:tcBorders>
            <w:shd w:val="clear" w:color="auto" w:fill="auto"/>
            <w:vAlign w:val="center"/>
          </w:tcPr>
          <w:p w14:paraId="5B738B5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683" w:type="dxa"/>
            <w:vMerge w:val="continue"/>
            <w:tcBorders>
              <w:top w:val="nil"/>
              <w:left w:val="single" w:color="000000" w:sz="4" w:space="0"/>
              <w:bottom w:val="single" w:color="000000" w:sz="4" w:space="0"/>
              <w:right w:val="single" w:color="000000" w:sz="4" w:space="0"/>
            </w:tcBorders>
            <w:shd w:val="clear" w:color="auto" w:fill="auto"/>
            <w:vAlign w:val="center"/>
          </w:tcPr>
          <w:p w14:paraId="219FDBD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55" w:type="dxa"/>
            <w:vMerge w:val="continue"/>
            <w:tcBorders>
              <w:top w:val="nil"/>
              <w:left w:val="single" w:color="000000" w:sz="4" w:space="0"/>
              <w:bottom w:val="single" w:color="000000" w:sz="4" w:space="0"/>
              <w:right w:val="single" w:color="000000" w:sz="4" w:space="0"/>
            </w:tcBorders>
            <w:shd w:val="clear" w:color="auto" w:fill="auto"/>
            <w:vAlign w:val="center"/>
          </w:tcPr>
          <w:p w14:paraId="5D6F4B1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3AE188">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安装工程</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3CC8">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5.0</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6CDB59">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4.6</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36A847">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4.0</w:t>
            </w:r>
          </w:p>
        </w:tc>
        <w:tc>
          <w:tcPr>
            <w:tcW w:w="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2B4574">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3.6</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281DA">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3.1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B0B4D">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2.9</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B5A81">
            <w:pPr>
              <w:keepNext w:val="0"/>
              <w:keepLines w:val="0"/>
              <w:widowControl w:val="0"/>
              <w:suppressLineNumbers w:val="0"/>
              <w:adjustRightInd w:val="0"/>
              <w:snapToGrid w:val="0"/>
              <w:spacing w:before="0" w:beforeAutospacing="0" w:after="0" w:afterAutospacing="0"/>
              <w:ind w:left="270" w:right="0" w:hanging="270" w:hangingChars="15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2.6</w:t>
            </w:r>
          </w:p>
        </w:tc>
        <w:tc>
          <w:tcPr>
            <w:tcW w:w="7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149591">
            <w:pPr>
              <w:keepNext w:val="0"/>
              <w:keepLines w:val="0"/>
              <w:widowControl w:val="0"/>
              <w:suppressLineNumbers w:val="0"/>
              <w:adjustRightInd w:val="0"/>
              <w:snapToGrid w:val="0"/>
              <w:spacing w:before="0" w:beforeAutospacing="0" w:after="0" w:afterAutospacing="0"/>
              <w:ind w:left="270" w:right="0" w:hanging="270" w:hangingChars="15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2.4</w:t>
            </w:r>
          </w:p>
        </w:tc>
        <w:tc>
          <w:tcPr>
            <w:tcW w:w="4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4CE4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2FC4D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84" w:hRule="atLeast"/>
        </w:trPr>
        <w:tc>
          <w:tcPr>
            <w:tcW w:w="716" w:type="dxa"/>
            <w:vMerge w:val="continue"/>
            <w:tcBorders>
              <w:top w:val="nil"/>
              <w:left w:val="single" w:color="000000" w:sz="4" w:space="0"/>
              <w:bottom w:val="single" w:color="000000" w:sz="4" w:space="0"/>
              <w:right w:val="single" w:color="000000" w:sz="4" w:space="0"/>
            </w:tcBorders>
            <w:shd w:val="clear" w:color="auto" w:fill="auto"/>
            <w:vAlign w:val="center"/>
          </w:tcPr>
          <w:p w14:paraId="08A48F4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448" w:type="dxa"/>
            <w:vMerge w:val="continue"/>
            <w:tcBorders>
              <w:top w:val="nil"/>
              <w:left w:val="single" w:color="000000" w:sz="4" w:space="0"/>
              <w:bottom w:val="single" w:color="000000" w:sz="4" w:space="0"/>
              <w:right w:val="single" w:color="000000" w:sz="4" w:space="0"/>
            </w:tcBorders>
            <w:shd w:val="clear" w:color="auto" w:fill="auto"/>
            <w:vAlign w:val="center"/>
          </w:tcPr>
          <w:p w14:paraId="2685AB8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683" w:type="dxa"/>
            <w:vMerge w:val="restart"/>
            <w:tcBorders>
              <w:top w:val="nil"/>
              <w:left w:val="single" w:color="000000" w:sz="4" w:space="0"/>
              <w:bottom w:val="single" w:color="000000" w:sz="4" w:space="0"/>
              <w:right w:val="single" w:color="000000" w:sz="4" w:space="0"/>
            </w:tcBorders>
            <w:shd w:val="clear" w:color="auto" w:fill="auto"/>
            <w:vAlign w:val="center"/>
          </w:tcPr>
          <w:p w14:paraId="54448499">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控制价(标底价)</w:t>
            </w:r>
          </w:p>
        </w:tc>
        <w:tc>
          <w:tcPr>
            <w:tcW w:w="755" w:type="dxa"/>
            <w:vMerge w:val="restart"/>
            <w:tcBorders>
              <w:top w:val="nil"/>
              <w:left w:val="single" w:color="000000" w:sz="4" w:space="0"/>
              <w:bottom w:val="single" w:color="000000" w:sz="4" w:space="0"/>
              <w:right w:val="single" w:color="000000" w:sz="4" w:space="0"/>
            </w:tcBorders>
            <w:shd w:val="clear" w:color="auto" w:fill="auto"/>
            <w:vAlign w:val="center"/>
          </w:tcPr>
          <w:p w14:paraId="2D75E771">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中标价</w:t>
            </w:r>
          </w:p>
        </w:tc>
        <w:tc>
          <w:tcPr>
            <w:tcW w:w="1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645A30">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建筑工程</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71B2">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2.0</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6D7A4A">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1.8</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8E06B1">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1.6</w:t>
            </w:r>
          </w:p>
        </w:tc>
        <w:tc>
          <w:tcPr>
            <w:tcW w:w="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6D4A4F">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1.4</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4ED6">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1.3</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AB79">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1.2</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9DCB43">
            <w:pPr>
              <w:keepNext w:val="0"/>
              <w:keepLines w:val="0"/>
              <w:widowControl w:val="0"/>
              <w:suppressLineNumbers w:val="0"/>
              <w:adjustRightInd w:val="0"/>
              <w:snapToGrid w:val="0"/>
              <w:spacing w:before="0" w:beforeAutospacing="0" w:after="0" w:afterAutospacing="0"/>
              <w:ind w:left="270" w:right="0" w:hanging="270" w:hangingChars="15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1.1</w:t>
            </w:r>
          </w:p>
        </w:tc>
        <w:tc>
          <w:tcPr>
            <w:tcW w:w="7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108430">
            <w:pPr>
              <w:keepNext w:val="0"/>
              <w:keepLines w:val="0"/>
              <w:widowControl w:val="0"/>
              <w:suppressLineNumbers w:val="0"/>
              <w:adjustRightInd w:val="0"/>
              <w:snapToGrid w:val="0"/>
              <w:spacing w:before="0" w:beforeAutospacing="0" w:after="0" w:afterAutospacing="0"/>
              <w:ind w:left="270" w:right="0" w:hanging="270" w:hangingChars="15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1.0</w:t>
            </w:r>
          </w:p>
        </w:tc>
        <w:tc>
          <w:tcPr>
            <w:tcW w:w="4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B350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094D9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84" w:hRule="atLeast"/>
        </w:trPr>
        <w:tc>
          <w:tcPr>
            <w:tcW w:w="716" w:type="dxa"/>
            <w:vMerge w:val="continue"/>
            <w:tcBorders>
              <w:top w:val="nil"/>
              <w:left w:val="single" w:color="000000" w:sz="4" w:space="0"/>
              <w:bottom w:val="single" w:color="000000" w:sz="4" w:space="0"/>
              <w:right w:val="single" w:color="000000" w:sz="4" w:space="0"/>
            </w:tcBorders>
            <w:shd w:val="clear" w:color="auto" w:fill="auto"/>
            <w:vAlign w:val="center"/>
          </w:tcPr>
          <w:p w14:paraId="6F87BB9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448" w:type="dxa"/>
            <w:vMerge w:val="continue"/>
            <w:tcBorders>
              <w:top w:val="nil"/>
              <w:left w:val="single" w:color="000000" w:sz="4" w:space="0"/>
              <w:bottom w:val="single" w:color="000000" w:sz="4" w:space="0"/>
              <w:right w:val="single" w:color="000000" w:sz="4" w:space="0"/>
            </w:tcBorders>
            <w:shd w:val="clear" w:color="auto" w:fill="auto"/>
            <w:vAlign w:val="center"/>
          </w:tcPr>
          <w:p w14:paraId="5279CF2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683" w:type="dxa"/>
            <w:vMerge w:val="continue"/>
            <w:tcBorders>
              <w:top w:val="nil"/>
              <w:left w:val="single" w:color="000000" w:sz="4" w:space="0"/>
              <w:bottom w:val="single" w:color="000000" w:sz="4" w:space="0"/>
              <w:right w:val="single" w:color="000000" w:sz="4" w:space="0"/>
            </w:tcBorders>
            <w:shd w:val="clear" w:color="auto" w:fill="auto"/>
            <w:vAlign w:val="center"/>
          </w:tcPr>
          <w:p w14:paraId="1ADD5DC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55" w:type="dxa"/>
            <w:vMerge w:val="continue"/>
            <w:tcBorders>
              <w:top w:val="nil"/>
              <w:left w:val="single" w:color="000000" w:sz="4" w:space="0"/>
              <w:bottom w:val="single" w:color="000000" w:sz="4" w:space="0"/>
              <w:right w:val="single" w:color="000000" w:sz="4" w:space="0"/>
            </w:tcBorders>
            <w:shd w:val="clear" w:color="auto" w:fill="auto"/>
            <w:vAlign w:val="center"/>
          </w:tcPr>
          <w:p w14:paraId="5A06E71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BE6403">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安装工程</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C4DE9">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2.1</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3DED7A">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1.9</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B22F8D">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1.7</w:t>
            </w:r>
          </w:p>
        </w:tc>
        <w:tc>
          <w:tcPr>
            <w:tcW w:w="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BC4F06">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1.6</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78C7">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1.4</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14F5">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1.3</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8F74F9">
            <w:pPr>
              <w:keepNext w:val="0"/>
              <w:keepLines w:val="0"/>
              <w:widowControl w:val="0"/>
              <w:suppressLineNumbers w:val="0"/>
              <w:adjustRightInd w:val="0"/>
              <w:snapToGrid w:val="0"/>
              <w:spacing w:before="0" w:beforeAutospacing="0" w:after="0" w:afterAutospacing="0"/>
              <w:ind w:left="270" w:right="0" w:hanging="270" w:hangingChars="15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1.2</w:t>
            </w:r>
          </w:p>
        </w:tc>
        <w:tc>
          <w:tcPr>
            <w:tcW w:w="7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3406BB">
            <w:pPr>
              <w:keepNext w:val="0"/>
              <w:keepLines w:val="0"/>
              <w:widowControl w:val="0"/>
              <w:suppressLineNumbers w:val="0"/>
              <w:adjustRightInd w:val="0"/>
              <w:snapToGrid w:val="0"/>
              <w:spacing w:before="0" w:beforeAutospacing="0" w:after="0" w:afterAutospacing="0"/>
              <w:ind w:left="270" w:right="0" w:hanging="270" w:hangingChars="15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1.1</w:t>
            </w:r>
          </w:p>
        </w:tc>
        <w:tc>
          <w:tcPr>
            <w:tcW w:w="4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B181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75795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84" w:hRule="atLeast"/>
        </w:trPr>
        <w:tc>
          <w:tcPr>
            <w:tcW w:w="716" w:type="dxa"/>
            <w:vMerge w:val="continue"/>
            <w:tcBorders>
              <w:top w:val="nil"/>
              <w:left w:val="single" w:color="000000" w:sz="4" w:space="0"/>
              <w:bottom w:val="single" w:color="000000" w:sz="4" w:space="0"/>
              <w:right w:val="single" w:color="000000" w:sz="4" w:space="0"/>
            </w:tcBorders>
            <w:shd w:val="clear" w:color="auto" w:fill="auto"/>
            <w:vAlign w:val="center"/>
          </w:tcPr>
          <w:p w14:paraId="42AEBF6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448" w:type="dxa"/>
            <w:vMerge w:val="continue"/>
            <w:tcBorders>
              <w:top w:val="nil"/>
              <w:left w:val="single" w:color="000000" w:sz="4" w:space="0"/>
              <w:bottom w:val="single" w:color="000000" w:sz="4" w:space="0"/>
              <w:right w:val="single" w:color="000000" w:sz="4" w:space="0"/>
            </w:tcBorders>
            <w:shd w:val="clear" w:color="auto" w:fill="auto"/>
            <w:vAlign w:val="center"/>
          </w:tcPr>
          <w:p w14:paraId="6ECDC87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683" w:type="dxa"/>
            <w:vMerge w:val="restart"/>
            <w:tcBorders>
              <w:top w:val="nil"/>
              <w:left w:val="single" w:color="000000" w:sz="4" w:space="0"/>
              <w:bottom w:val="single" w:color="000000" w:sz="4" w:space="0"/>
              <w:right w:val="single" w:color="000000" w:sz="4" w:space="0"/>
            </w:tcBorders>
            <w:shd w:val="clear" w:color="auto" w:fill="auto"/>
            <w:vAlign w:val="center"/>
          </w:tcPr>
          <w:p w14:paraId="1293CECB">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工程结算编制</w:t>
            </w:r>
          </w:p>
        </w:tc>
        <w:tc>
          <w:tcPr>
            <w:tcW w:w="755" w:type="dxa"/>
            <w:vMerge w:val="restart"/>
            <w:tcBorders>
              <w:top w:val="nil"/>
              <w:left w:val="single" w:color="000000" w:sz="4" w:space="0"/>
              <w:bottom w:val="single" w:color="000000" w:sz="4" w:space="0"/>
              <w:right w:val="single" w:color="000000" w:sz="4" w:space="0"/>
            </w:tcBorders>
            <w:shd w:val="clear" w:color="auto" w:fill="auto"/>
            <w:vAlign w:val="center"/>
          </w:tcPr>
          <w:p w14:paraId="668A8914">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工程造价</w:t>
            </w:r>
          </w:p>
        </w:tc>
        <w:tc>
          <w:tcPr>
            <w:tcW w:w="1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A433FC">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建筑工程</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C2C5">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3.0</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CC88F3">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2.6</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D56251">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2.1</w:t>
            </w:r>
          </w:p>
        </w:tc>
        <w:tc>
          <w:tcPr>
            <w:tcW w:w="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D2A1D0">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1.6</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C65D">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1.4</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40E9">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1.2</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130F95">
            <w:pPr>
              <w:keepNext w:val="0"/>
              <w:keepLines w:val="0"/>
              <w:widowControl w:val="0"/>
              <w:suppressLineNumbers w:val="0"/>
              <w:adjustRightInd w:val="0"/>
              <w:snapToGrid w:val="0"/>
              <w:spacing w:before="0" w:beforeAutospacing="0" w:after="0" w:afterAutospacing="0"/>
              <w:ind w:left="270" w:right="0" w:hanging="270" w:hangingChars="15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1.0</w:t>
            </w:r>
          </w:p>
        </w:tc>
        <w:tc>
          <w:tcPr>
            <w:tcW w:w="7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01327B">
            <w:pPr>
              <w:keepNext w:val="0"/>
              <w:keepLines w:val="0"/>
              <w:widowControl w:val="0"/>
              <w:suppressLineNumbers w:val="0"/>
              <w:adjustRightInd w:val="0"/>
              <w:snapToGrid w:val="0"/>
              <w:spacing w:before="0" w:beforeAutospacing="0" w:after="0" w:afterAutospacing="0"/>
              <w:ind w:left="270" w:right="0" w:hanging="270" w:hangingChars="15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0.9</w:t>
            </w:r>
          </w:p>
        </w:tc>
        <w:tc>
          <w:tcPr>
            <w:tcW w:w="4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9873F">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0D991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84" w:hRule="atLeast"/>
        </w:trPr>
        <w:tc>
          <w:tcPr>
            <w:tcW w:w="716" w:type="dxa"/>
            <w:vMerge w:val="continue"/>
            <w:tcBorders>
              <w:top w:val="nil"/>
              <w:left w:val="single" w:color="000000" w:sz="4" w:space="0"/>
              <w:bottom w:val="single" w:color="000000" w:sz="4" w:space="0"/>
              <w:right w:val="single" w:color="000000" w:sz="4" w:space="0"/>
            </w:tcBorders>
            <w:shd w:val="clear" w:color="auto" w:fill="auto"/>
            <w:vAlign w:val="center"/>
          </w:tcPr>
          <w:p w14:paraId="08BE5B9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448" w:type="dxa"/>
            <w:vMerge w:val="continue"/>
            <w:tcBorders>
              <w:top w:val="nil"/>
              <w:left w:val="single" w:color="000000" w:sz="4" w:space="0"/>
              <w:bottom w:val="single" w:color="000000" w:sz="4" w:space="0"/>
              <w:right w:val="single" w:color="000000" w:sz="4" w:space="0"/>
            </w:tcBorders>
            <w:shd w:val="clear" w:color="auto" w:fill="auto"/>
            <w:vAlign w:val="center"/>
          </w:tcPr>
          <w:p w14:paraId="5429DC3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683" w:type="dxa"/>
            <w:vMerge w:val="continue"/>
            <w:tcBorders>
              <w:top w:val="nil"/>
              <w:left w:val="single" w:color="000000" w:sz="4" w:space="0"/>
              <w:bottom w:val="single" w:color="000000" w:sz="4" w:space="0"/>
              <w:right w:val="single" w:color="000000" w:sz="4" w:space="0"/>
            </w:tcBorders>
            <w:shd w:val="clear" w:color="auto" w:fill="auto"/>
            <w:vAlign w:val="center"/>
          </w:tcPr>
          <w:p w14:paraId="1710068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55" w:type="dxa"/>
            <w:vMerge w:val="continue"/>
            <w:tcBorders>
              <w:top w:val="nil"/>
              <w:left w:val="single" w:color="000000" w:sz="4" w:space="0"/>
              <w:bottom w:val="single" w:color="000000" w:sz="4" w:space="0"/>
              <w:right w:val="single" w:color="000000" w:sz="4" w:space="0"/>
            </w:tcBorders>
            <w:shd w:val="clear" w:color="auto" w:fill="auto"/>
            <w:vAlign w:val="center"/>
          </w:tcPr>
          <w:p w14:paraId="6DF84D4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D2B975">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安装工程</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BABA0">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3.2</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98FC25">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2.8</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79FA98">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2.3</w:t>
            </w:r>
          </w:p>
        </w:tc>
        <w:tc>
          <w:tcPr>
            <w:tcW w:w="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6A5436">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1.8</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8E0DB">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1.6</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EAB8">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1.4</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35E1D6">
            <w:pPr>
              <w:keepNext w:val="0"/>
              <w:keepLines w:val="0"/>
              <w:widowControl w:val="0"/>
              <w:suppressLineNumbers w:val="0"/>
              <w:adjustRightInd w:val="0"/>
              <w:snapToGrid w:val="0"/>
              <w:spacing w:before="0" w:beforeAutospacing="0" w:after="0" w:afterAutospacing="0"/>
              <w:ind w:left="270" w:right="0" w:hanging="270" w:hangingChars="15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1.2</w:t>
            </w:r>
          </w:p>
        </w:tc>
        <w:tc>
          <w:tcPr>
            <w:tcW w:w="7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D17932">
            <w:pPr>
              <w:keepNext w:val="0"/>
              <w:keepLines w:val="0"/>
              <w:widowControl w:val="0"/>
              <w:suppressLineNumbers w:val="0"/>
              <w:adjustRightInd w:val="0"/>
              <w:snapToGrid w:val="0"/>
              <w:spacing w:before="0" w:beforeAutospacing="0" w:after="0" w:afterAutospacing="0"/>
              <w:ind w:left="270" w:right="0" w:hanging="270" w:hangingChars="15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1.0</w:t>
            </w:r>
          </w:p>
        </w:tc>
        <w:tc>
          <w:tcPr>
            <w:tcW w:w="4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6E04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704AB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84" w:hRule="atLeast"/>
        </w:trPr>
        <w:tc>
          <w:tcPr>
            <w:tcW w:w="716" w:type="dxa"/>
            <w:vMerge w:val="continue"/>
            <w:tcBorders>
              <w:top w:val="nil"/>
              <w:left w:val="single" w:color="000000" w:sz="4" w:space="0"/>
              <w:bottom w:val="single" w:color="000000" w:sz="4" w:space="0"/>
              <w:right w:val="single" w:color="000000" w:sz="4" w:space="0"/>
            </w:tcBorders>
            <w:shd w:val="clear" w:color="auto" w:fill="auto"/>
            <w:vAlign w:val="center"/>
          </w:tcPr>
          <w:p w14:paraId="6927085E">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448" w:type="dxa"/>
            <w:vMerge w:val="continue"/>
            <w:tcBorders>
              <w:top w:val="nil"/>
              <w:left w:val="single" w:color="000000" w:sz="4" w:space="0"/>
              <w:bottom w:val="single" w:color="000000" w:sz="4" w:space="0"/>
              <w:right w:val="single" w:color="000000" w:sz="4" w:space="0"/>
            </w:tcBorders>
            <w:shd w:val="clear" w:color="auto" w:fill="auto"/>
            <w:vAlign w:val="center"/>
          </w:tcPr>
          <w:p w14:paraId="2AC926CF">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683" w:type="dxa"/>
            <w:vMerge w:val="restart"/>
            <w:tcBorders>
              <w:top w:val="nil"/>
              <w:left w:val="single" w:color="000000" w:sz="4" w:space="0"/>
              <w:bottom w:val="single" w:color="000000" w:sz="4" w:space="0"/>
              <w:right w:val="single" w:color="000000" w:sz="4" w:space="0"/>
            </w:tcBorders>
            <w:shd w:val="clear" w:color="auto" w:fill="auto"/>
            <w:vAlign w:val="center"/>
          </w:tcPr>
          <w:p w14:paraId="7785662B">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工程量清单</w:t>
            </w:r>
          </w:p>
          <w:p w14:paraId="666B65DB">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结算审核</w:t>
            </w:r>
          </w:p>
        </w:tc>
        <w:tc>
          <w:tcPr>
            <w:tcW w:w="755" w:type="dxa"/>
            <w:vMerge w:val="restart"/>
            <w:tcBorders>
              <w:top w:val="nil"/>
              <w:left w:val="single" w:color="000000" w:sz="4" w:space="0"/>
              <w:bottom w:val="single" w:color="000000" w:sz="4" w:space="0"/>
              <w:right w:val="single" w:color="000000" w:sz="4" w:space="0"/>
            </w:tcBorders>
            <w:shd w:val="clear" w:color="auto" w:fill="auto"/>
            <w:vAlign w:val="center"/>
          </w:tcPr>
          <w:p w14:paraId="214C60F6">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送审工程</w:t>
            </w:r>
          </w:p>
          <w:p w14:paraId="477FB496">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造价</w:t>
            </w:r>
          </w:p>
        </w:tc>
        <w:tc>
          <w:tcPr>
            <w:tcW w:w="630" w:type="dxa"/>
            <w:vMerge w:val="restart"/>
            <w:tcBorders>
              <w:top w:val="nil"/>
              <w:left w:val="single" w:color="000000" w:sz="4" w:space="0"/>
              <w:bottom w:val="single" w:color="000000" w:sz="4" w:space="0"/>
              <w:right w:val="single" w:color="000000" w:sz="4" w:space="0"/>
            </w:tcBorders>
            <w:shd w:val="clear" w:color="auto" w:fill="auto"/>
            <w:vAlign w:val="center"/>
          </w:tcPr>
          <w:p w14:paraId="11AAFF39">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(1)基本收费</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6923">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建筑工程</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66F7">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3.4</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CB110E">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3.1</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B3E319">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2.7</w:t>
            </w:r>
          </w:p>
        </w:tc>
        <w:tc>
          <w:tcPr>
            <w:tcW w:w="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F42868">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2.4</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9877">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6D1C">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1.9</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2CF24B">
            <w:pPr>
              <w:keepNext w:val="0"/>
              <w:keepLines w:val="0"/>
              <w:widowControl w:val="0"/>
              <w:suppressLineNumbers w:val="0"/>
              <w:adjustRightInd w:val="0"/>
              <w:snapToGrid w:val="0"/>
              <w:spacing w:before="0" w:beforeAutospacing="0" w:after="0" w:afterAutospacing="0"/>
              <w:ind w:left="270" w:right="0" w:hanging="270" w:hangingChars="15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1.8</w:t>
            </w:r>
          </w:p>
        </w:tc>
        <w:tc>
          <w:tcPr>
            <w:tcW w:w="7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EBDD49">
            <w:pPr>
              <w:keepNext w:val="0"/>
              <w:keepLines w:val="0"/>
              <w:widowControl w:val="0"/>
              <w:suppressLineNumbers w:val="0"/>
              <w:adjustRightInd w:val="0"/>
              <w:snapToGrid w:val="0"/>
              <w:spacing w:before="0" w:beforeAutospacing="0" w:after="0" w:afterAutospacing="0"/>
              <w:ind w:left="270" w:right="0" w:hanging="270" w:hangingChars="15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1.6</w:t>
            </w:r>
          </w:p>
        </w:tc>
        <w:tc>
          <w:tcPr>
            <w:tcW w:w="4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15D4F">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0E4A2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84" w:hRule="atLeast"/>
        </w:trPr>
        <w:tc>
          <w:tcPr>
            <w:tcW w:w="716" w:type="dxa"/>
            <w:vMerge w:val="continue"/>
            <w:tcBorders>
              <w:top w:val="nil"/>
              <w:left w:val="single" w:color="000000" w:sz="4" w:space="0"/>
              <w:bottom w:val="single" w:color="000000" w:sz="4" w:space="0"/>
              <w:right w:val="single" w:color="000000" w:sz="4" w:space="0"/>
            </w:tcBorders>
            <w:shd w:val="clear" w:color="auto" w:fill="auto"/>
            <w:vAlign w:val="center"/>
          </w:tcPr>
          <w:p w14:paraId="55AEB19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448" w:type="dxa"/>
            <w:vMerge w:val="continue"/>
            <w:tcBorders>
              <w:top w:val="nil"/>
              <w:left w:val="single" w:color="000000" w:sz="4" w:space="0"/>
              <w:bottom w:val="single" w:color="000000" w:sz="4" w:space="0"/>
              <w:right w:val="single" w:color="000000" w:sz="4" w:space="0"/>
            </w:tcBorders>
            <w:shd w:val="clear" w:color="auto" w:fill="auto"/>
            <w:vAlign w:val="center"/>
          </w:tcPr>
          <w:p w14:paraId="7C2B74D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683" w:type="dxa"/>
            <w:vMerge w:val="continue"/>
            <w:tcBorders>
              <w:top w:val="nil"/>
              <w:left w:val="single" w:color="000000" w:sz="4" w:space="0"/>
              <w:bottom w:val="single" w:color="000000" w:sz="4" w:space="0"/>
              <w:right w:val="single" w:color="000000" w:sz="4" w:space="0"/>
            </w:tcBorders>
            <w:shd w:val="clear" w:color="auto" w:fill="auto"/>
            <w:vAlign w:val="center"/>
          </w:tcPr>
          <w:p w14:paraId="6FB5F93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55" w:type="dxa"/>
            <w:vMerge w:val="continue"/>
            <w:tcBorders>
              <w:top w:val="nil"/>
              <w:left w:val="single" w:color="000000" w:sz="4" w:space="0"/>
              <w:bottom w:val="single" w:color="000000" w:sz="4" w:space="0"/>
              <w:right w:val="single" w:color="000000" w:sz="4" w:space="0"/>
            </w:tcBorders>
            <w:shd w:val="clear" w:color="auto" w:fill="auto"/>
            <w:vAlign w:val="center"/>
          </w:tcPr>
          <w:p w14:paraId="5F26966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630" w:type="dxa"/>
            <w:vMerge w:val="continue"/>
            <w:tcBorders>
              <w:top w:val="nil"/>
              <w:left w:val="single" w:color="000000" w:sz="4" w:space="0"/>
              <w:bottom w:val="single" w:color="000000" w:sz="4" w:space="0"/>
              <w:right w:val="single" w:color="000000" w:sz="4" w:space="0"/>
            </w:tcBorders>
            <w:shd w:val="clear" w:color="auto" w:fill="auto"/>
            <w:vAlign w:val="center"/>
          </w:tcPr>
          <w:p w14:paraId="4E023B9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3CD9D">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安装工程</w:t>
            </w:r>
          </w:p>
        </w:tc>
        <w:tc>
          <w:tcPr>
            <w:tcW w:w="558" w:type="dxa"/>
            <w:tcBorders>
              <w:top w:val="single" w:color="000000" w:sz="4" w:space="0"/>
              <w:left w:val="single" w:color="000000" w:sz="4" w:space="0"/>
              <w:bottom w:val="nil"/>
              <w:right w:val="single" w:color="000000" w:sz="4" w:space="0"/>
            </w:tcBorders>
            <w:shd w:val="clear" w:color="auto" w:fill="auto"/>
            <w:vAlign w:val="center"/>
          </w:tcPr>
          <w:p w14:paraId="5E7D348F">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3.6</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17C188">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3.2</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1BD5BA">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2.8</w:t>
            </w:r>
          </w:p>
        </w:tc>
        <w:tc>
          <w:tcPr>
            <w:tcW w:w="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BA7232">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2.6</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1E91">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2.3</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4B2D6">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2.1</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1776C7">
            <w:pPr>
              <w:keepNext w:val="0"/>
              <w:keepLines w:val="0"/>
              <w:widowControl w:val="0"/>
              <w:suppressLineNumbers w:val="0"/>
              <w:adjustRightInd w:val="0"/>
              <w:snapToGrid w:val="0"/>
              <w:spacing w:before="0" w:beforeAutospacing="0" w:after="0" w:afterAutospacing="0"/>
              <w:ind w:left="270" w:right="0" w:hanging="270" w:hangingChars="15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1.9</w:t>
            </w:r>
          </w:p>
        </w:tc>
        <w:tc>
          <w:tcPr>
            <w:tcW w:w="7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1B8E33">
            <w:pPr>
              <w:keepNext w:val="0"/>
              <w:keepLines w:val="0"/>
              <w:widowControl w:val="0"/>
              <w:suppressLineNumbers w:val="0"/>
              <w:adjustRightInd w:val="0"/>
              <w:snapToGrid w:val="0"/>
              <w:spacing w:before="0" w:beforeAutospacing="0" w:after="0" w:afterAutospacing="0"/>
              <w:ind w:left="270" w:right="0" w:hanging="270" w:hangingChars="15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1.8</w:t>
            </w:r>
          </w:p>
        </w:tc>
        <w:tc>
          <w:tcPr>
            <w:tcW w:w="4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AC17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174F5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cantSplit/>
          <w:trHeight w:val="340" w:hRule="atLeast"/>
        </w:trPr>
        <w:tc>
          <w:tcPr>
            <w:tcW w:w="716" w:type="dxa"/>
            <w:vMerge w:val="continue"/>
            <w:tcBorders>
              <w:top w:val="nil"/>
              <w:left w:val="single" w:color="000000" w:sz="4" w:space="0"/>
              <w:bottom w:val="single" w:color="000000" w:sz="4" w:space="0"/>
              <w:right w:val="single" w:color="000000" w:sz="4" w:space="0"/>
            </w:tcBorders>
            <w:shd w:val="clear" w:color="auto" w:fill="auto"/>
            <w:vAlign w:val="center"/>
          </w:tcPr>
          <w:p w14:paraId="345C9EC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448" w:type="dxa"/>
            <w:vMerge w:val="continue"/>
            <w:tcBorders>
              <w:top w:val="nil"/>
              <w:left w:val="single" w:color="000000" w:sz="4" w:space="0"/>
              <w:bottom w:val="single" w:color="000000" w:sz="4" w:space="0"/>
              <w:right w:val="single" w:color="000000" w:sz="4" w:space="0"/>
            </w:tcBorders>
            <w:shd w:val="clear" w:color="auto" w:fill="auto"/>
            <w:vAlign w:val="center"/>
          </w:tcPr>
          <w:p w14:paraId="282DDA4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683" w:type="dxa"/>
            <w:vMerge w:val="continue"/>
            <w:tcBorders>
              <w:top w:val="nil"/>
              <w:left w:val="single" w:color="000000" w:sz="4" w:space="0"/>
              <w:bottom w:val="single" w:color="000000" w:sz="4" w:space="0"/>
              <w:right w:val="single" w:color="000000" w:sz="4" w:space="0"/>
            </w:tcBorders>
            <w:shd w:val="clear" w:color="auto" w:fill="auto"/>
            <w:vAlign w:val="center"/>
          </w:tcPr>
          <w:p w14:paraId="2005B45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55" w:type="dxa"/>
            <w:vMerge w:val="continue"/>
            <w:tcBorders>
              <w:top w:val="nil"/>
              <w:left w:val="single" w:color="000000" w:sz="4" w:space="0"/>
              <w:bottom w:val="single" w:color="000000" w:sz="4" w:space="0"/>
              <w:right w:val="single" w:color="000000" w:sz="4" w:space="0"/>
            </w:tcBorders>
            <w:shd w:val="clear" w:color="auto" w:fill="auto"/>
            <w:vAlign w:val="center"/>
          </w:tcPr>
          <w:p w14:paraId="4F3FAE1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743617">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(2)审核增减额</w:t>
            </w:r>
          </w:p>
        </w:tc>
        <w:tc>
          <w:tcPr>
            <w:tcW w:w="4465"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69CD2D0B">
            <w:pPr>
              <w:keepNext w:val="0"/>
              <w:keepLines w:val="0"/>
              <w:widowControl w:val="0"/>
              <w:suppressLineNumbers w:val="0"/>
              <w:adjustRightInd w:val="0"/>
              <w:snapToGrid w:val="0"/>
              <w:spacing w:before="0" w:beforeAutospacing="0" w:after="0" w:afterAutospacing="0"/>
              <w:ind w:left="270" w:right="0" w:hanging="270" w:hangingChars="15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5%</w:t>
            </w:r>
          </w:p>
        </w:tc>
        <w:tc>
          <w:tcPr>
            <w:tcW w:w="4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BB4D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6545C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trPr>
        <w:tc>
          <w:tcPr>
            <w:tcW w:w="716" w:type="dxa"/>
            <w:vMerge w:val="restart"/>
            <w:tcBorders>
              <w:top w:val="nil"/>
              <w:left w:val="single" w:color="000000" w:sz="4" w:space="0"/>
              <w:bottom w:val="single" w:color="000000" w:sz="4" w:space="0"/>
              <w:right w:val="single" w:color="000000" w:sz="4" w:space="0"/>
            </w:tcBorders>
            <w:shd w:val="clear" w:color="auto" w:fill="auto"/>
            <w:vAlign w:val="center"/>
          </w:tcPr>
          <w:p w14:paraId="61F36E94">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七</w:t>
            </w:r>
          </w:p>
        </w:tc>
        <w:tc>
          <w:tcPr>
            <w:tcW w:w="2131"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5224A089">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施工阶段全过程工程</w:t>
            </w:r>
          </w:p>
          <w:p w14:paraId="407EE1BB">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造价控制</w:t>
            </w:r>
          </w:p>
        </w:tc>
        <w:tc>
          <w:tcPr>
            <w:tcW w:w="755" w:type="dxa"/>
            <w:vMerge w:val="restart"/>
            <w:tcBorders>
              <w:top w:val="nil"/>
              <w:left w:val="single" w:color="000000" w:sz="4" w:space="0"/>
              <w:bottom w:val="single" w:color="000000" w:sz="4" w:space="0"/>
              <w:right w:val="single" w:color="000000" w:sz="4" w:space="0"/>
            </w:tcBorders>
            <w:shd w:val="clear" w:color="auto" w:fill="auto"/>
            <w:vAlign w:val="center"/>
          </w:tcPr>
          <w:p w14:paraId="5336AB1B">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工程造价</w:t>
            </w:r>
          </w:p>
        </w:tc>
        <w:tc>
          <w:tcPr>
            <w:tcW w:w="1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56A17A">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建筑工程</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30C058">
            <w:pPr>
              <w:keepNext w:val="0"/>
              <w:keepLines w:val="0"/>
              <w:widowControl w:val="0"/>
              <w:suppressLineNumbers w:val="0"/>
              <w:adjustRightInd w:val="0"/>
              <w:snapToGrid w:val="0"/>
              <w:spacing w:before="0" w:beforeAutospacing="0" w:after="0" w:afterAutospacing="0"/>
              <w:ind w:left="-16" w:leftChars="-51" w:right="0" w:hanging="91" w:hangingChars="51"/>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面议</w:t>
            </w:r>
          </w:p>
        </w:tc>
        <w:tc>
          <w:tcPr>
            <w:tcW w:w="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1AF860">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10</w:t>
            </w:r>
          </w:p>
        </w:tc>
        <w:tc>
          <w:tcPr>
            <w:tcW w:w="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272F8A">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9</w:t>
            </w:r>
          </w:p>
        </w:tc>
        <w:tc>
          <w:tcPr>
            <w:tcW w:w="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377713">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8</w:t>
            </w:r>
          </w:p>
        </w:tc>
        <w:tc>
          <w:tcPr>
            <w:tcW w:w="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54C314">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7</w:t>
            </w:r>
          </w:p>
        </w:tc>
        <w:tc>
          <w:tcPr>
            <w:tcW w:w="5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B57A87">
            <w:pPr>
              <w:keepNext w:val="0"/>
              <w:keepLines w:val="0"/>
              <w:widowControl w:val="0"/>
              <w:suppressLineNumbers w:val="0"/>
              <w:adjustRightInd w:val="0"/>
              <w:snapToGrid w:val="0"/>
              <w:spacing w:before="0" w:beforeAutospacing="0" w:after="0" w:afterAutospacing="0"/>
              <w:ind w:left="270" w:right="0" w:hanging="270" w:hangingChars="15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6</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5F33">
            <w:pPr>
              <w:keepNext w:val="0"/>
              <w:keepLines w:val="0"/>
              <w:widowControl w:val="0"/>
              <w:suppressLineNumbers w:val="0"/>
              <w:adjustRightInd w:val="0"/>
              <w:snapToGrid w:val="0"/>
              <w:spacing w:before="0" w:beforeAutospacing="0" w:after="0" w:afterAutospacing="0"/>
              <w:ind w:left="270" w:right="0" w:hanging="270" w:hangingChars="15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 xml:space="preserve">5 </w:t>
            </w:r>
          </w:p>
        </w:tc>
        <w:tc>
          <w:tcPr>
            <w:tcW w:w="4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461826">
            <w:pPr>
              <w:keepNext w:val="0"/>
              <w:keepLines w:val="0"/>
              <w:widowControl w:val="0"/>
              <w:suppressLineNumbers w:val="0"/>
              <w:snapToGrid w:val="0"/>
              <w:spacing w:before="0" w:beforeAutospacing="0" w:after="0" w:afterAutospacing="0"/>
              <w:ind w:left="0" w:right="0"/>
              <w:jc w:val="both"/>
              <w:rPr>
                <w:rFonts w:hint="eastAsia" w:ascii="Times New Roman" w:hAnsi="Times New Roman" w:eastAsia="宋体" w:cs="Times New Roman"/>
                <w:color w:val="auto"/>
                <w:kern w:val="2"/>
                <w:sz w:val="18"/>
                <w:szCs w:val="18"/>
                <w:highlight w:val="none"/>
              </w:rPr>
            </w:pPr>
            <w:r>
              <w:rPr>
                <w:rFonts w:hint="default" w:ascii="Times New Roman" w:hAnsi="Times New Roman" w:eastAsia="宋体" w:cs="Times New Roman"/>
                <w:color w:val="auto"/>
                <w:kern w:val="2"/>
                <w:sz w:val="18"/>
                <w:szCs w:val="18"/>
                <w:highlight w:val="none"/>
                <w:lang w:val="en-US" w:eastAsia="zh-CN" w:bidi="ar"/>
              </w:rPr>
              <w:t>1</w:t>
            </w:r>
            <w:r>
              <w:rPr>
                <w:rFonts w:hint="eastAsia" w:ascii="宋体" w:hAnsi="宋体" w:eastAsia="宋体" w:cs="宋体"/>
                <w:color w:val="auto"/>
                <w:kern w:val="2"/>
                <w:sz w:val="18"/>
                <w:szCs w:val="18"/>
                <w:highlight w:val="none"/>
                <w:lang w:val="en-US" w:eastAsia="zh-CN" w:bidi="ar"/>
              </w:rPr>
              <w:t>、根据施工承包合同价、进度计划，编制工程用款计划书；</w:t>
            </w:r>
            <w:r>
              <w:rPr>
                <w:rFonts w:hint="default" w:ascii="Times New Roman" w:hAnsi="Times New Roman" w:eastAsia="宋体" w:cs="Times New Roman"/>
                <w:color w:val="auto"/>
                <w:kern w:val="2"/>
                <w:sz w:val="18"/>
                <w:szCs w:val="18"/>
                <w:highlight w:val="none"/>
                <w:lang w:val="en-US" w:eastAsia="zh-CN" w:bidi="ar"/>
              </w:rPr>
              <w:t>2</w:t>
            </w:r>
            <w:r>
              <w:rPr>
                <w:rFonts w:hint="eastAsia" w:ascii="宋体" w:hAnsi="宋体" w:eastAsia="宋体" w:cs="宋体"/>
                <w:color w:val="auto"/>
                <w:kern w:val="2"/>
                <w:sz w:val="18"/>
                <w:szCs w:val="18"/>
                <w:highlight w:val="none"/>
                <w:lang w:val="en-US" w:eastAsia="zh-CN" w:bidi="ar"/>
              </w:rPr>
              <w:t>、参与工程造价控制的有关会议；</w:t>
            </w:r>
            <w:r>
              <w:rPr>
                <w:rFonts w:hint="default" w:ascii="Times New Roman" w:hAnsi="Times New Roman" w:eastAsia="宋体" w:cs="Times New Roman"/>
                <w:color w:val="auto"/>
                <w:kern w:val="2"/>
                <w:sz w:val="18"/>
                <w:szCs w:val="18"/>
                <w:highlight w:val="none"/>
                <w:lang w:val="en-US" w:eastAsia="zh-CN" w:bidi="ar"/>
              </w:rPr>
              <w:t>3</w:t>
            </w:r>
            <w:r>
              <w:rPr>
                <w:rFonts w:hint="eastAsia" w:ascii="宋体" w:hAnsi="宋体" w:eastAsia="宋体" w:cs="宋体"/>
                <w:color w:val="auto"/>
                <w:kern w:val="2"/>
                <w:sz w:val="18"/>
                <w:szCs w:val="18"/>
                <w:highlight w:val="none"/>
                <w:lang w:val="en-US" w:eastAsia="zh-CN" w:bidi="ar"/>
              </w:rPr>
              <w:t>、负责对施工单位上报的已完成工作量月报进行审核，提供当月付款建议书；</w:t>
            </w:r>
            <w:r>
              <w:rPr>
                <w:rFonts w:hint="default" w:ascii="Times New Roman" w:hAnsi="Times New Roman" w:eastAsia="宋体" w:cs="Times New Roman"/>
                <w:color w:val="auto"/>
                <w:kern w:val="2"/>
                <w:sz w:val="18"/>
                <w:szCs w:val="18"/>
                <w:highlight w:val="none"/>
                <w:lang w:val="en-US" w:eastAsia="zh-CN" w:bidi="ar"/>
              </w:rPr>
              <w:t>4</w:t>
            </w:r>
            <w:r>
              <w:rPr>
                <w:rFonts w:hint="eastAsia" w:ascii="宋体" w:hAnsi="宋体" w:eastAsia="宋体" w:cs="宋体"/>
                <w:color w:val="auto"/>
                <w:kern w:val="2"/>
                <w:sz w:val="18"/>
                <w:szCs w:val="18"/>
                <w:highlight w:val="none"/>
                <w:lang w:val="en-US" w:eastAsia="zh-CN" w:bidi="ar"/>
              </w:rPr>
              <w:t>、承、发包双方提出索赔时，为委托方提供咨询意见；</w:t>
            </w:r>
            <w:r>
              <w:rPr>
                <w:rFonts w:hint="default" w:ascii="Times New Roman" w:hAnsi="Times New Roman" w:eastAsia="宋体" w:cs="Times New Roman"/>
                <w:color w:val="auto"/>
                <w:kern w:val="2"/>
                <w:sz w:val="18"/>
                <w:szCs w:val="18"/>
                <w:highlight w:val="none"/>
                <w:lang w:val="en-US" w:eastAsia="zh-CN" w:bidi="ar"/>
              </w:rPr>
              <w:t>5</w:t>
            </w:r>
            <w:r>
              <w:rPr>
                <w:rFonts w:hint="eastAsia" w:ascii="宋体" w:hAnsi="宋体" w:eastAsia="宋体" w:cs="宋体"/>
                <w:color w:val="auto"/>
                <w:kern w:val="2"/>
                <w:sz w:val="18"/>
                <w:szCs w:val="18"/>
                <w:highlight w:val="none"/>
                <w:lang w:val="en-US" w:eastAsia="zh-CN" w:bidi="ar"/>
              </w:rPr>
              <w:t>、协助业主及时审核设计变更、现场签证等发生的费用，调整造价控制目标；</w:t>
            </w:r>
            <w:r>
              <w:rPr>
                <w:rFonts w:hint="default" w:ascii="Times New Roman" w:hAnsi="Times New Roman" w:eastAsia="宋体" w:cs="Times New Roman"/>
                <w:color w:val="auto"/>
                <w:kern w:val="2"/>
                <w:sz w:val="18"/>
                <w:szCs w:val="18"/>
                <w:highlight w:val="none"/>
                <w:lang w:val="en-US" w:eastAsia="zh-CN" w:bidi="ar"/>
              </w:rPr>
              <w:t>6</w:t>
            </w:r>
            <w:r>
              <w:rPr>
                <w:rFonts w:hint="eastAsia" w:ascii="宋体" w:hAnsi="宋体" w:eastAsia="宋体" w:cs="宋体"/>
                <w:color w:val="auto"/>
                <w:kern w:val="2"/>
                <w:sz w:val="18"/>
                <w:szCs w:val="18"/>
                <w:highlight w:val="none"/>
                <w:lang w:val="en-US" w:eastAsia="zh-CN" w:bidi="ar"/>
              </w:rPr>
              <w:t>、及时核定分阶段完工的分部工程结算，提供完整结算报告</w:t>
            </w:r>
          </w:p>
        </w:tc>
      </w:tr>
      <w:tr w14:paraId="61776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trPr>
        <w:tc>
          <w:tcPr>
            <w:tcW w:w="716" w:type="dxa"/>
            <w:vMerge w:val="continue"/>
            <w:tcBorders>
              <w:top w:val="nil"/>
              <w:left w:val="single" w:color="000000" w:sz="4" w:space="0"/>
              <w:bottom w:val="single" w:color="000000" w:sz="4" w:space="0"/>
              <w:right w:val="single" w:color="000000" w:sz="4" w:space="0"/>
            </w:tcBorders>
            <w:shd w:val="clear" w:color="auto" w:fill="auto"/>
            <w:vAlign w:val="center"/>
          </w:tcPr>
          <w:p w14:paraId="18CD1BD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131"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1701E81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55" w:type="dxa"/>
            <w:vMerge w:val="continue"/>
            <w:tcBorders>
              <w:top w:val="nil"/>
              <w:left w:val="single" w:color="000000" w:sz="4" w:space="0"/>
              <w:bottom w:val="single" w:color="000000" w:sz="4" w:space="0"/>
              <w:right w:val="single" w:color="000000" w:sz="4" w:space="0"/>
            </w:tcBorders>
            <w:shd w:val="clear" w:color="auto" w:fill="auto"/>
            <w:vAlign w:val="center"/>
          </w:tcPr>
          <w:p w14:paraId="1001BF0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EFC2BF">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安装工程</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0CF131">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面议</w:t>
            </w:r>
          </w:p>
        </w:tc>
        <w:tc>
          <w:tcPr>
            <w:tcW w:w="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6FAACB">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11</w:t>
            </w:r>
          </w:p>
        </w:tc>
        <w:tc>
          <w:tcPr>
            <w:tcW w:w="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8E90B5">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10</w:t>
            </w:r>
          </w:p>
        </w:tc>
        <w:tc>
          <w:tcPr>
            <w:tcW w:w="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81D174">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9</w:t>
            </w:r>
          </w:p>
        </w:tc>
        <w:tc>
          <w:tcPr>
            <w:tcW w:w="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4B2E7A">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8</w:t>
            </w:r>
          </w:p>
        </w:tc>
        <w:tc>
          <w:tcPr>
            <w:tcW w:w="5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4B3BE1">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7</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0069">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6</w:t>
            </w:r>
          </w:p>
        </w:tc>
        <w:tc>
          <w:tcPr>
            <w:tcW w:w="4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D81D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63172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43"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862B">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八</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A9CEE8">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钢筋及预埋件计算</w:t>
            </w:r>
          </w:p>
        </w:tc>
        <w:tc>
          <w:tcPr>
            <w:tcW w:w="2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8A00EC">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p>
        </w:tc>
        <w:tc>
          <w:tcPr>
            <w:tcW w:w="4465"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17212142">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10元/吨</w:t>
            </w:r>
          </w:p>
        </w:tc>
        <w:tc>
          <w:tcPr>
            <w:tcW w:w="4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EF5B">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p>
        </w:tc>
      </w:tr>
      <w:tr w14:paraId="6A060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2A6D">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九</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F81A62">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工程经济纠纷案件鉴证</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B626A">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涉案金额</w:t>
            </w:r>
          </w:p>
        </w:tc>
        <w:tc>
          <w:tcPr>
            <w:tcW w:w="1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85C09B">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p>
        </w:tc>
        <w:tc>
          <w:tcPr>
            <w:tcW w:w="4465"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33CCDEB5">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按涉案金额的10%～3%计算</w:t>
            </w:r>
          </w:p>
        </w:tc>
        <w:tc>
          <w:tcPr>
            <w:tcW w:w="4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8DEC">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调查取证，最终做出具体工程造价鉴证结论报告等工作</w:t>
            </w:r>
          </w:p>
        </w:tc>
      </w:tr>
      <w:tr w14:paraId="0A142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2234">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十</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CBCF24">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计时收费</w:t>
            </w:r>
          </w:p>
        </w:tc>
        <w:tc>
          <w:tcPr>
            <w:tcW w:w="6965"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2A26C990">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注册造价师为：200元/人小时  造价员为：160元/人小时</w:t>
            </w:r>
          </w:p>
        </w:tc>
        <w:tc>
          <w:tcPr>
            <w:tcW w:w="4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9ECF">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p>
        </w:tc>
      </w:tr>
    </w:tbl>
    <w:p w14:paraId="3FF15654">
      <w:pPr>
        <w:keepNext w:val="0"/>
        <w:keepLines w:val="0"/>
        <w:pageBreakBefore w:val="0"/>
        <w:widowControl/>
        <w:kinsoku/>
        <w:wordWrap/>
        <w:overflowPunct/>
        <w:topLinePunct w:val="0"/>
        <w:autoSpaceDE/>
        <w:autoSpaceDN/>
        <w:bidi w:val="0"/>
        <w:adjustRightInd/>
        <w:snapToGrid/>
        <w:spacing w:before="0" w:beforeAutospacing="0" w:after="0" w:afterAutospacing="0"/>
        <w:ind w:firstLine="360" w:firstLineChars="200"/>
        <w:jc w:val="both"/>
        <w:textAlignment w:val="auto"/>
        <w:rPr>
          <w:rFonts w:hint="eastAsia" w:ascii="宋体" w:hAnsi="宋体" w:eastAsia="宋体" w:cs="宋体"/>
          <w:b w:val="0"/>
          <w:bCs w:val="0"/>
          <w:color w:val="auto"/>
          <w:kern w:val="44"/>
          <w:sz w:val="18"/>
          <w:szCs w:val="18"/>
          <w:highlight w:val="none"/>
        </w:rPr>
      </w:pPr>
      <w:r>
        <w:rPr>
          <w:rFonts w:hint="eastAsia" w:ascii="宋体" w:hAnsi="宋体" w:eastAsia="宋体" w:cs="宋体"/>
          <w:b w:val="0"/>
          <w:bCs w:val="0"/>
          <w:color w:val="auto"/>
          <w:kern w:val="44"/>
          <w:sz w:val="18"/>
          <w:szCs w:val="18"/>
          <w:highlight w:val="none"/>
          <w:lang w:val="en-US" w:eastAsia="zh-CN"/>
        </w:rPr>
        <w:t>注：1、表中“工程预算、结算、标底审核”和“工程量清单结算审核”项目的计费方式为（1）+（2）。其中审增额向施工单位收取咨询费，审减额向建设单位收取咨询费。凡工程审减率超过10%的，其超过部分咨询费用由施工单位承担，无审核增减额的，按基本收费收取。咨询服务费一律由委托单位支付。</w:t>
      </w:r>
    </w:p>
    <w:p w14:paraId="28B192BD">
      <w:pPr>
        <w:keepNext w:val="0"/>
        <w:keepLines w:val="0"/>
        <w:pageBreakBefore w:val="0"/>
        <w:widowControl/>
        <w:kinsoku/>
        <w:wordWrap/>
        <w:overflowPunct/>
        <w:topLinePunct w:val="0"/>
        <w:autoSpaceDE/>
        <w:autoSpaceDN/>
        <w:bidi w:val="0"/>
        <w:adjustRightInd/>
        <w:snapToGrid/>
        <w:spacing w:before="0" w:beforeAutospacing="0" w:after="0" w:afterAutospacing="0"/>
        <w:ind w:firstLine="360" w:firstLineChars="200"/>
        <w:jc w:val="both"/>
        <w:textAlignment w:val="auto"/>
        <w:rPr>
          <w:rFonts w:hint="eastAsia" w:ascii="宋体" w:hAnsi="宋体" w:eastAsia="宋体" w:cs="宋体"/>
          <w:b w:val="0"/>
          <w:bCs w:val="0"/>
          <w:color w:val="auto"/>
          <w:kern w:val="44"/>
          <w:sz w:val="18"/>
          <w:szCs w:val="18"/>
          <w:highlight w:val="none"/>
        </w:rPr>
      </w:pPr>
      <w:r>
        <w:rPr>
          <w:rFonts w:hint="eastAsia" w:ascii="宋体" w:hAnsi="宋体" w:eastAsia="宋体" w:cs="宋体"/>
          <w:b w:val="0"/>
          <w:bCs w:val="0"/>
          <w:color w:val="auto"/>
          <w:kern w:val="44"/>
          <w:sz w:val="18"/>
          <w:szCs w:val="18"/>
          <w:highlight w:val="none"/>
          <w:lang w:val="en-US" w:eastAsia="zh-CN"/>
        </w:rPr>
        <w:t>2、按基本收费标准不足1000元的，按1000元计费，计时收费按耗用工时计费。</w:t>
      </w:r>
    </w:p>
    <w:p w14:paraId="340AE047">
      <w:pPr>
        <w:keepNext w:val="0"/>
        <w:keepLines w:val="0"/>
        <w:pageBreakBefore w:val="0"/>
        <w:widowControl/>
        <w:kinsoku/>
        <w:wordWrap/>
        <w:overflowPunct/>
        <w:topLinePunct w:val="0"/>
        <w:autoSpaceDE/>
        <w:autoSpaceDN/>
        <w:bidi w:val="0"/>
        <w:adjustRightInd/>
        <w:snapToGrid/>
        <w:spacing w:before="0" w:beforeAutospacing="0" w:after="0" w:afterAutospacing="0"/>
        <w:ind w:firstLine="360" w:firstLineChars="200"/>
        <w:jc w:val="both"/>
        <w:textAlignment w:val="auto"/>
        <w:rPr>
          <w:rFonts w:hint="eastAsia" w:ascii="宋体" w:hAnsi="宋体" w:eastAsia="宋体" w:cs="宋体"/>
          <w:b w:val="0"/>
          <w:bCs w:val="0"/>
          <w:color w:val="auto"/>
          <w:kern w:val="44"/>
          <w:sz w:val="18"/>
          <w:szCs w:val="18"/>
          <w:highlight w:val="none"/>
        </w:rPr>
      </w:pPr>
      <w:r>
        <w:rPr>
          <w:rFonts w:hint="eastAsia" w:ascii="宋体" w:hAnsi="宋体" w:eastAsia="宋体" w:cs="宋体"/>
          <w:b w:val="0"/>
          <w:bCs w:val="0"/>
          <w:color w:val="auto"/>
          <w:kern w:val="44"/>
          <w:sz w:val="18"/>
          <w:szCs w:val="18"/>
          <w:highlight w:val="none"/>
          <w:lang w:val="en-US" w:eastAsia="zh-CN"/>
        </w:rPr>
        <w:t>3、计费基数以单位工程金额计算；合同包干加签证项目，包干价部分应计入计费基数。</w:t>
      </w:r>
    </w:p>
    <w:p w14:paraId="5DDAA62E">
      <w:pPr>
        <w:keepNext w:val="0"/>
        <w:keepLines w:val="0"/>
        <w:pageBreakBefore w:val="0"/>
        <w:widowControl/>
        <w:kinsoku/>
        <w:wordWrap/>
        <w:overflowPunct/>
        <w:topLinePunct w:val="0"/>
        <w:autoSpaceDE/>
        <w:autoSpaceDN/>
        <w:bidi w:val="0"/>
        <w:adjustRightInd/>
        <w:snapToGrid/>
        <w:spacing w:before="0" w:beforeAutospacing="0" w:after="0" w:afterAutospacing="0"/>
        <w:ind w:firstLine="360" w:firstLineChars="200"/>
        <w:jc w:val="both"/>
        <w:textAlignment w:val="auto"/>
        <w:rPr>
          <w:rFonts w:hint="eastAsia" w:ascii="宋体" w:hAnsi="宋体" w:eastAsia="宋体" w:cs="宋体"/>
          <w:b w:val="0"/>
          <w:bCs w:val="0"/>
          <w:color w:val="auto"/>
          <w:kern w:val="44"/>
          <w:sz w:val="18"/>
          <w:szCs w:val="18"/>
          <w:highlight w:val="none"/>
        </w:rPr>
      </w:pPr>
      <w:r>
        <w:rPr>
          <w:rFonts w:hint="eastAsia" w:ascii="宋体" w:hAnsi="宋体" w:eastAsia="宋体" w:cs="宋体"/>
          <w:b w:val="0"/>
          <w:bCs w:val="0"/>
          <w:color w:val="auto"/>
          <w:kern w:val="44"/>
          <w:sz w:val="18"/>
          <w:szCs w:val="18"/>
          <w:highlight w:val="none"/>
          <w:lang w:val="en-US" w:eastAsia="zh-CN"/>
        </w:rPr>
        <w:t>4、复审是指工程造价咨询单位接受委托，对经承、发包双方确认的工程造价成果文件进行再次审核，其收费率可在初审基础上啬20%。初资审核金额以承包方提交工程造价为准。</w:t>
      </w:r>
    </w:p>
    <w:p w14:paraId="5EB5F822">
      <w:pPr>
        <w:keepNext w:val="0"/>
        <w:keepLines w:val="0"/>
        <w:pageBreakBefore w:val="0"/>
        <w:widowControl/>
        <w:kinsoku/>
        <w:wordWrap/>
        <w:overflowPunct/>
        <w:topLinePunct w:val="0"/>
        <w:autoSpaceDE/>
        <w:autoSpaceDN/>
        <w:bidi w:val="0"/>
        <w:adjustRightInd/>
        <w:snapToGrid/>
        <w:spacing w:before="0" w:beforeAutospacing="0" w:after="0" w:afterAutospacing="0"/>
        <w:ind w:firstLine="360" w:firstLineChars="200"/>
        <w:jc w:val="both"/>
        <w:textAlignment w:val="auto"/>
        <w:rPr>
          <w:rFonts w:hint="eastAsia" w:ascii="宋体" w:hAnsi="宋体" w:eastAsia="宋体" w:cs="宋体"/>
          <w:b w:val="0"/>
          <w:bCs w:val="0"/>
          <w:color w:val="auto"/>
          <w:kern w:val="44"/>
          <w:sz w:val="18"/>
          <w:szCs w:val="18"/>
          <w:highlight w:val="none"/>
        </w:rPr>
      </w:pPr>
      <w:r>
        <w:rPr>
          <w:rFonts w:hint="eastAsia" w:ascii="宋体" w:hAnsi="宋体" w:eastAsia="宋体" w:cs="宋体"/>
          <w:b w:val="0"/>
          <w:bCs w:val="0"/>
          <w:color w:val="auto"/>
          <w:kern w:val="44"/>
          <w:sz w:val="18"/>
          <w:szCs w:val="18"/>
          <w:highlight w:val="none"/>
          <w:lang w:val="en-US" w:eastAsia="zh-CN"/>
        </w:rPr>
        <w:t>5、安装工程主材按规定都应列入造价，标底要求不列的，可以扣除但不得减少编制费用。</w:t>
      </w:r>
    </w:p>
    <w:p w14:paraId="12A5E8A3">
      <w:pPr>
        <w:keepNext w:val="0"/>
        <w:keepLines w:val="0"/>
        <w:pageBreakBefore w:val="0"/>
        <w:widowControl/>
        <w:kinsoku/>
        <w:wordWrap/>
        <w:overflowPunct/>
        <w:topLinePunct w:val="0"/>
        <w:autoSpaceDE/>
        <w:autoSpaceDN/>
        <w:bidi w:val="0"/>
        <w:adjustRightInd/>
        <w:snapToGrid/>
        <w:spacing w:before="0" w:beforeAutospacing="0" w:after="0" w:afterAutospacing="0"/>
        <w:ind w:firstLine="360" w:firstLineChars="200"/>
        <w:jc w:val="both"/>
        <w:textAlignment w:val="auto"/>
        <w:rPr>
          <w:rFonts w:hint="eastAsia" w:ascii="宋体" w:hAnsi="宋体" w:eastAsia="宋体" w:cs="宋体"/>
          <w:b w:val="0"/>
          <w:bCs w:val="0"/>
          <w:color w:val="auto"/>
          <w:kern w:val="44"/>
          <w:sz w:val="18"/>
          <w:szCs w:val="18"/>
          <w:highlight w:val="none"/>
          <w:lang w:val="en-US" w:eastAsia="zh-CN"/>
        </w:rPr>
      </w:pPr>
      <w:r>
        <w:rPr>
          <w:rFonts w:hint="eastAsia" w:ascii="宋体" w:hAnsi="宋体" w:eastAsia="宋体" w:cs="宋体"/>
          <w:b w:val="0"/>
          <w:bCs w:val="0"/>
          <w:color w:val="auto"/>
          <w:kern w:val="44"/>
          <w:sz w:val="18"/>
          <w:szCs w:val="18"/>
          <w:highlight w:val="none"/>
          <w:lang w:val="en-US" w:eastAsia="zh-CN"/>
        </w:rPr>
        <w:t>6、本收费标准中的“建筑工程”适用建筑工程及配套的装饰工程、安装工程；市政工程等。“安装工程”适用单独安装工程、装饰工程（含二次装饰装修）；房屋修缮；园林绿化及仿古建筑工程等。</w:t>
      </w:r>
    </w:p>
    <w:p w14:paraId="195207B9">
      <w:pPr>
        <w:spacing w:before="0" w:beforeAutospacing="0" w:after="0" w:afterAutospacing="0"/>
        <w:jc w:val="both"/>
        <w:rPr>
          <w:rFonts w:hint="eastAsia" w:ascii="宋体" w:hAnsi="宋体" w:eastAsia="宋体" w:cs="宋体"/>
          <w:b w:val="0"/>
          <w:bCs w:val="0"/>
          <w:color w:val="auto"/>
          <w:kern w:val="44"/>
          <w:sz w:val="18"/>
          <w:szCs w:val="18"/>
          <w:highlight w:val="none"/>
          <w:lang w:val="en-US" w:eastAsia="zh-CN"/>
        </w:rPr>
      </w:pPr>
    </w:p>
    <w:p w14:paraId="0219B457">
      <w:pPr>
        <w:spacing w:before="0" w:beforeAutospacing="0" w:after="0" w:afterAutospacing="0"/>
        <w:jc w:val="both"/>
        <w:rPr>
          <w:rFonts w:hint="eastAsia" w:ascii="宋体" w:hAnsi="宋体" w:eastAsia="宋体" w:cs="宋体"/>
          <w:b w:val="0"/>
          <w:bCs w:val="0"/>
          <w:color w:val="auto"/>
          <w:kern w:val="44"/>
          <w:sz w:val="18"/>
          <w:szCs w:val="18"/>
          <w:highlight w:val="none"/>
          <w:lang w:val="en-US" w:eastAsia="zh-CN"/>
        </w:rPr>
      </w:pPr>
    </w:p>
    <w:p w14:paraId="671426D6">
      <w:pPr>
        <w:spacing w:before="0" w:beforeAutospacing="0" w:after="0" w:afterAutospacing="0"/>
        <w:jc w:val="both"/>
        <w:rPr>
          <w:rFonts w:hint="eastAsia" w:ascii="宋体" w:hAnsi="宋体" w:eastAsia="宋体" w:cs="宋体"/>
          <w:b w:val="0"/>
          <w:bCs w:val="0"/>
          <w:color w:val="auto"/>
          <w:kern w:val="44"/>
          <w:sz w:val="18"/>
          <w:szCs w:val="18"/>
          <w:highlight w:val="none"/>
          <w:lang w:val="en-US" w:eastAsia="zh-CN"/>
        </w:rPr>
      </w:pPr>
    </w:p>
    <w:p w14:paraId="2AA1313D">
      <w:pPr>
        <w:spacing w:before="0" w:beforeAutospacing="0" w:after="0" w:afterAutospacing="0"/>
        <w:jc w:val="both"/>
        <w:rPr>
          <w:rFonts w:hint="eastAsia" w:ascii="宋体" w:hAnsi="宋体" w:eastAsia="宋体" w:cs="宋体"/>
          <w:b w:val="0"/>
          <w:bCs w:val="0"/>
          <w:color w:val="auto"/>
          <w:kern w:val="44"/>
          <w:sz w:val="18"/>
          <w:szCs w:val="18"/>
          <w:highlight w:val="none"/>
          <w:lang w:val="en-US" w:eastAsia="zh-CN"/>
        </w:rPr>
      </w:pPr>
    </w:p>
    <w:p w14:paraId="7CA0D4B1">
      <w:pPr>
        <w:spacing w:before="0" w:beforeAutospacing="0" w:after="0" w:afterAutospacing="0"/>
        <w:jc w:val="both"/>
        <w:rPr>
          <w:rFonts w:hint="eastAsia" w:ascii="宋体" w:hAnsi="宋体" w:eastAsia="宋体" w:cs="宋体"/>
          <w:b w:val="0"/>
          <w:bCs w:val="0"/>
          <w:color w:val="auto"/>
          <w:kern w:val="44"/>
          <w:sz w:val="18"/>
          <w:szCs w:val="18"/>
          <w:highlight w:val="none"/>
          <w:lang w:val="en-US" w:eastAsia="zh-CN"/>
        </w:rPr>
      </w:pPr>
    </w:p>
    <w:p w14:paraId="197972F7">
      <w:pPr>
        <w:spacing w:before="0" w:beforeAutospacing="0" w:after="0" w:afterAutospacing="0"/>
        <w:jc w:val="both"/>
        <w:rPr>
          <w:rFonts w:hint="eastAsia" w:ascii="宋体" w:hAnsi="宋体" w:eastAsia="宋体" w:cs="宋体"/>
          <w:b w:val="0"/>
          <w:bCs w:val="0"/>
          <w:color w:val="auto"/>
          <w:kern w:val="44"/>
          <w:sz w:val="18"/>
          <w:szCs w:val="18"/>
          <w:highlight w:val="none"/>
        </w:rPr>
        <w:sectPr>
          <w:pgSz w:w="15840" w:h="12240" w:orient="landscape"/>
          <w:pgMar w:top="1259" w:right="935" w:bottom="1106" w:left="936" w:header="680" w:footer="680" w:gutter="0"/>
          <w:pgNumType w:fmt="decimal"/>
          <w:cols w:space="0" w:num="1"/>
          <w:rtlGutter w:val="0"/>
          <w:docGrid w:type="lines" w:linePitch="318" w:charSpace="0"/>
        </w:sectPr>
      </w:pPr>
    </w:p>
    <w:p w14:paraId="6BCD3E8E">
      <w:pPr>
        <w:pStyle w:val="6"/>
        <w:keepNext/>
        <w:keepLines/>
        <w:pageBreakBefore/>
        <w:widowControl w:val="0"/>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lang w:val="en-US" w:eastAsia="zh-CN"/>
        </w:rPr>
      </w:pPr>
      <w:bookmarkStart w:id="205" w:name="_Toc1482"/>
      <w:bookmarkStart w:id="206" w:name="_Toc30675"/>
      <w:r>
        <w:rPr>
          <w:rFonts w:hint="eastAsia" w:ascii="宋体" w:hAnsi="宋体" w:eastAsia="宋体" w:cs="宋体"/>
          <w:color w:val="auto"/>
          <w:highlight w:val="none"/>
          <w:lang w:val="en-US" w:eastAsia="zh-CN"/>
        </w:rPr>
        <w:t>第四章 投标文件格式</w:t>
      </w:r>
      <w:bookmarkEnd w:id="205"/>
      <w:bookmarkEnd w:id="206"/>
    </w:p>
    <w:p w14:paraId="2AC451A3">
      <w:pPr>
        <w:jc w:val="center"/>
        <w:rPr>
          <w:rFonts w:hint="eastAsia" w:ascii="宋体" w:hAnsi="宋体" w:eastAsia="宋体" w:cs="宋体"/>
          <w:color w:val="auto"/>
          <w:sz w:val="28"/>
          <w:szCs w:val="28"/>
          <w:highlight w:val="none"/>
          <w:u w:val="single"/>
        </w:rPr>
      </w:pPr>
    </w:p>
    <w:p w14:paraId="16B002C1">
      <w:pPr>
        <w:jc w:val="center"/>
        <w:rPr>
          <w:rFonts w:hint="eastAsia" w:ascii="宋体" w:hAnsi="宋体" w:eastAsia="宋体" w:cs="宋体"/>
          <w:color w:val="auto"/>
          <w:sz w:val="20"/>
          <w:szCs w:val="20"/>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（项目名称）</w:t>
      </w:r>
    </w:p>
    <w:p w14:paraId="2BF899C5">
      <w:pPr>
        <w:jc w:val="center"/>
        <w:rPr>
          <w:rFonts w:hint="eastAsia" w:ascii="宋体" w:hAnsi="宋体" w:eastAsia="宋体" w:cs="宋体"/>
          <w:color w:val="auto"/>
          <w:sz w:val="20"/>
          <w:szCs w:val="20"/>
          <w:highlight w:val="none"/>
        </w:rPr>
      </w:pPr>
    </w:p>
    <w:p w14:paraId="5984FAB0">
      <w:pPr>
        <w:jc w:val="center"/>
        <w:rPr>
          <w:rFonts w:hint="eastAsia" w:ascii="宋体" w:hAnsi="宋体" w:eastAsia="宋体" w:cs="宋体"/>
          <w:color w:val="auto"/>
          <w:sz w:val="20"/>
          <w:szCs w:val="20"/>
          <w:highlight w:val="none"/>
        </w:rPr>
      </w:pPr>
    </w:p>
    <w:p w14:paraId="774E9746">
      <w:pPr>
        <w:jc w:val="center"/>
        <w:rPr>
          <w:rFonts w:hint="eastAsia" w:ascii="宋体" w:hAnsi="宋体" w:eastAsia="宋体" w:cs="宋体"/>
          <w:color w:val="auto"/>
          <w:sz w:val="20"/>
          <w:szCs w:val="20"/>
          <w:highlight w:val="none"/>
        </w:rPr>
      </w:pPr>
    </w:p>
    <w:p w14:paraId="530D7441">
      <w:pPr>
        <w:rPr>
          <w:rFonts w:hint="eastAsia" w:ascii="宋体" w:hAnsi="宋体" w:eastAsia="宋体" w:cs="宋体"/>
          <w:color w:val="auto"/>
          <w:sz w:val="20"/>
          <w:szCs w:val="20"/>
          <w:highlight w:val="none"/>
        </w:rPr>
      </w:pPr>
    </w:p>
    <w:p w14:paraId="00D858C3">
      <w:pPr>
        <w:jc w:val="center"/>
        <w:rPr>
          <w:rFonts w:hint="eastAsia" w:ascii="宋体" w:hAnsi="宋体" w:eastAsia="宋体" w:cs="宋体"/>
          <w:color w:val="auto"/>
          <w:sz w:val="44"/>
          <w:szCs w:val="44"/>
          <w:highlight w:val="none"/>
          <w:lang w:val="en-US" w:eastAsia="zh-CN"/>
        </w:rPr>
      </w:pPr>
      <w:r>
        <w:rPr>
          <w:rFonts w:hint="eastAsia" w:ascii="宋体" w:hAnsi="宋体" w:eastAsia="宋体" w:cs="宋体"/>
          <w:color w:val="auto"/>
          <w:sz w:val="44"/>
          <w:szCs w:val="44"/>
          <w:highlight w:val="none"/>
          <w:lang w:val="en-US" w:eastAsia="zh-CN"/>
        </w:rPr>
        <w:t>投标文件</w:t>
      </w:r>
    </w:p>
    <w:p w14:paraId="28867CFF">
      <w:pPr>
        <w:ind w:firstLine="2880" w:firstLineChars="900"/>
        <w:jc w:val="both"/>
        <w:rPr>
          <w:rFonts w:hint="eastAsia" w:ascii="宋体" w:hAnsi="宋体" w:eastAsia="宋体" w:cs="宋体"/>
          <w:color w:val="auto"/>
          <w:sz w:val="32"/>
          <w:highlight w:val="none"/>
          <w:u w:val="none"/>
          <w:lang w:val="en-US" w:eastAsia="zh-CN"/>
        </w:rPr>
      </w:pPr>
    </w:p>
    <w:p w14:paraId="3D29AF2E">
      <w:pPr>
        <w:ind w:firstLine="2880" w:firstLineChars="900"/>
        <w:jc w:val="both"/>
        <w:rPr>
          <w:rFonts w:hint="default" w:ascii="宋体" w:hAnsi="宋体" w:eastAsia="宋体" w:cs="宋体"/>
          <w:color w:val="auto"/>
          <w:sz w:val="44"/>
          <w:szCs w:val="44"/>
          <w:highlight w:val="none"/>
          <w:u w:val="single"/>
          <w:lang w:val="en-US"/>
        </w:rPr>
      </w:pPr>
      <w:r>
        <w:rPr>
          <w:rFonts w:hint="eastAsia" w:ascii="宋体" w:hAnsi="宋体" w:eastAsia="宋体" w:cs="宋体"/>
          <w:color w:val="auto"/>
          <w:sz w:val="32"/>
          <w:highlight w:val="none"/>
          <w:u w:val="none"/>
          <w:lang w:val="en-US" w:eastAsia="zh-CN"/>
        </w:rPr>
        <w:t>项目编号：</w:t>
      </w:r>
      <w:r>
        <w:rPr>
          <w:rFonts w:hint="eastAsia" w:ascii="宋体" w:hAnsi="宋体" w:cs="宋体"/>
          <w:color w:val="auto"/>
          <w:sz w:val="32"/>
          <w:highlight w:val="none"/>
          <w:u w:val="none"/>
          <w:lang w:val="en-US" w:eastAsia="zh-CN"/>
        </w:rPr>
        <w:t xml:space="preserve">          </w:t>
      </w:r>
    </w:p>
    <w:p w14:paraId="0366733A">
      <w:pPr>
        <w:rPr>
          <w:rFonts w:hint="eastAsia" w:ascii="宋体" w:hAnsi="宋体" w:eastAsia="宋体" w:cs="宋体"/>
          <w:color w:val="auto"/>
          <w:sz w:val="28"/>
          <w:szCs w:val="28"/>
          <w:highlight w:val="none"/>
        </w:rPr>
      </w:pPr>
    </w:p>
    <w:p w14:paraId="51E6DC1B">
      <w:pPr>
        <w:rPr>
          <w:rFonts w:hint="eastAsia" w:ascii="宋体" w:hAnsi="宋体" w:eastAsia="宋体" w:cs="宋体"/>
          <w:color w:val="auto"/>
          <w:sz w:val="28"/>
          <w:szCs w:val="28"/>
          <w:highlight w:val="none"/>
        </w:rPr>
      </w:pPr>
    </w:p>
    <w:p w14:paraId="2A26D9A6">
      <w:pPr>
        <w:rPr>
          <w:rFonts w:hint="eastAsia" w:ascii="宋体" w:hAnsi="宋体" w:eastAsia="宋体" w:cs="宋体"/>
          <w:color w:val="auto"/>
          <w:sz w:val="28"/>
          <w:szCs w:val="28"/>
          <w:highlight w:val="none"/>
        </w:rPr>
      </w:pPr>
    </w:p>
    <w:p w14:paraId="740AB8F5">
      <w:pPr>
        <w:rPr>
          <w:rFonts w:hint="eastAsia" w:ascii="宋体" w:hAnsi="宋体" w:eastAsia="宋体" w:cs="宋体"/>
          <w:color w:val="auto"/>
          <w:sz w:val="28"/>
          <w:szCs w:val="28"/>
          <w:highlight w:val="none"/>
        </w:rPr>
      </w:pPr>
    </w:p>
    <w:p w14:paraId="178B625A">
      <w:pPr>
        <w:rPr>
          <w:rFonts w:hint="eastAsia" w:ascii="宋体" w:hAnsi="宋体" w:eastAsia="宋体" w:cs="宋体"/>
          <w:color w:val="auto"/>
          <w:sz w:val="28"/>
          <w:szCs w:val="28"/>
          <w:highlight w:val="none"/>
        </w:rPr>
      </w:pPr>
    </w:p>
    <w:p w14:paraId="053334BB">
      <w:pPr>
        <w:rPr>
          <w:rFonts w:hint="eastAsia" w:ascii="宋体" w:hAnsi="宋体" w:eastAsia="宋体" w:cs="宋体"/>
          <w:color w:val="auto"/>
          <w:sz w:val="28"/>
          <w:szCs w:val="28"/>
          <w:highlight w:val="none"/>
        </w:rPr>
      </w:pPr>
    </w:p>
    <w:p w14:paraId="4DB35F7F">
      <w:pPr>
        <w:rPr>
          <w:rFonts w:hint="eastAsia" w:ascii="宋体" w:hAnsi="宋体" w:eastAsia="宋体" w:cs="宋体"/>
          <w:color w:val="auto"/>
          <w:sz w:val="28"/>
          <w:szCs w:val="28"/>
          <w:highlight w:val="none"/>
        </w:rPr>
      </w:pPr>
    </w:p>
    <w:p w14:paraId="7EB0B0BD">
      <w:pPr>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r>
        <w:rPr>
          <w:rFonts w:hint="eastAsia" w:ascii="宋体"/>
          <w:color w:val="auto"/>
          <w:sz w:val="28"/>
          <w:szCs w:val="28"/>
          <w:highlight w:val="none"/>
        </w:rPr>
        <w:t>签章</w:t>
      </w:r>
      <w:r>
        <w:rPr>
          <w:rFonts w:hint="eastAsia" w:ascii="宋体" w:hAnsi="宋体" w:eastAsia="宋体" w:cs="宋体"/>
          <w:color w:val="auto"/>
          <w:sz w:val="28"/>
          <w:szCs w:val="28"/>
          <w:highlight w:val="none"/>
        </w:rPr>
        <w:t>）</w:t>
      </w:r>
    </w:p>
    <w:p w14:paraId="699EC1E5">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val="en-US" w:eastAsia="zh-CN"/>
        </w:rPr>
        <w:t>或委托代理人</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r>
        <w:rPr>
          <w:rFonts w:hint="eastAsia" w:ascii="宋体"/>
          <w:color w:val="auto"/>
          <w:sz w:val="28"/>
          <w:szCs w:val="28"/>
          <w:highlight w:val="none"/>
        </w:rPr>
        <w:t>签章</w:t>
      </w:r>
      <w:r>
        <w:rPr>
          <w:rFonts w:hint="eastAsia" w:ascii="宋体" w:hAnsi="宋体" w:eastAsia="宋体" w:cs="宋体"/>
          <w:color w:val="auto"/>
          <w:sz w:val="28"/>
          <w:szCs w:val="28"/>
          <w:highlight w:val="none"/>
        </w:rPr>
        <w:t>）</w:t>
      </w:r>
    </w:p>
    <w:p w14:paraId="4D73F479">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6FC52725">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6C9FDD6">
      <w:pPr>
        <w:spacing w:line="480" w:lineRule="auto"/>
        <w:ind w:right="980" w:firstLine="602" w:firstLineChars="200"/>
        <w:jc w:val="center"/>
        <w:rPr>
          <w:rFonts w:hint="eastAsia"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目录</w:t>
      </w:r>
    </w:p>
    <w:p w14:paraId="5A830589">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（1）法定代表人身份证明文件和本人有效身份证(或法定代表人授权委托书和委托代理人有效身份证)；</w:t>
      </w:r>
    </w:p>
    <w:p w14:paraId="34D4B750">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（2）企业法人营业执照；</w:t>
      </w:r>
      <w:r>
        <w:rPr>
          <w:rFonts w:hint="eastAsia" w:ascii="宋体" w:hAnsi="宋体" w:cs="宋体"/>
          <w:color w:val="auto"/>
          <w:sz w:val="21"/>
          <w:szCs w:val="21"/>
          <w:highlight w:val="none"/>
          <w:lang w:val="en-US" w:eastAsia="zh-CN"/>
        </w:rPr>
        <w:t xml:space="preserve"> </w:t>
      </w:r>
    </w:p>
    <w:p w14:paraId="0BFA71A9">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（3）拟派项目负责人</w:t>
      </w:r>
      <w:r>
        <w:rPr>
          <w:rFonts w:hint="eastAsia" w:ascii="宋体" w:hAnsi="宋体" w:eastAsia="宋体" w:cs="宋体"/>
          <w:color w:val="auto"/>
          <w:sz w:val="21"/>
          <w:szCs w:val="21"/>
          <w:highlight w:val="none"/>
          <w:lang w:val="en-US" w:eastAsia="zh-CN"/>
        </w:rPr>
        <w:t>身份证和</w:t>
      </w:r>
      <w:r>
        <w:rPr>
          <w:rFonts w:hint="eastAsia" w:ascii="宋体" w:hAnsi="宋体" w:eastAsia="宋体" w:cs="宋体"/>
          <w:color w:val="auto"/>
          <w:sz w:val="21"/>
          <w:szCs w:val="21"/>
          <w:highlight w:val="none"/>
        </w:rPr>
        <w:t>注册造价师证书且</w:t>
      </w:r>
      <w:r>
        <w:rPr>
          <w:rFonts w:hint="eastAsia" w:ascii="宋体" w:hAnsi="宋体" w:eastAsia="宋体" w:cs="宋体"/>
          <w:color w:val="auto"/>
          <w:sz w:val="21"/>
          <w:szCs w:val="21"/>
          <w:highlight w:val="none"/>
          <w:lang w:val="en-US" w:eastAsia="zh-CN"/>
        </w:rPr>
        <w:t>证明</w:t>
      </w:r>
      <w:r>
        <w:rPr>
          <w:rFonts w:hint="eastAsia" w:ascii="宋体" w:hAnsi="宋体" w:eastAsia="宋体" w:cs="宋体"/>
          <w:color w:val="auto"/>
          <w:sz w:val="21"/>
          <w:szCs w:val="21"/>
          <w:highlight w:val="none"/>
        </w:rPr>
        <w:t>专业为土木建筑工程</w:t>
      </w:r>
      <w:r>
        <w:rPr>
          <w:rFonts w:hint="eastAsia" w:ascii="宋体" w:hAnsi="宋体" w:eastAsia="宋体" w:cs="宋体"/>
          <w:color w:val="auto"/>
          <w:sz w:val="21"/>
          <w:szCs w:val="21"/>
          <w:highlight w:val="none"/>
          <w:lang w:val="en-US" w:eastAsia="zh-CN"/>
        </w:rPr>
        <w:t>的证明材料</w:t>
      </w:r>
      <w:r>
        <w:rPr>
          <w:rFonts w:hint="eastAsia" w:ascii="宋体" w:hAnsi="宋体" w:cs="宋体"/>
          <w:color w:val="auto"/>
          <w:sz w:val="21"/>
          <w:szCs w:val="21"/>
          <w:highlight w:val="none"/>
          <w:lang w:val="en-US" w:eastAsia="zh-CN"/>
        </w:rPr>
        <w:t xml:space="preserve">； </w:t>
      </w:r>
    </w:p>
    <w:p w14:paraId="66EDBA7E">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val="en-US" w:eastAsia="zh-CN"/>
        </w:rPr>
        <w:t>项目人员配备表；（格式见附件）</w:t>
      </w:r>
    </w:p>
    <w:p w14:paraId="23986759">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项目组其他成员（不含项目负责人）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项目组其他成员（不含项目负责人）要求：</w:t>
      </w:r>
      <w:r>
        <w:rPr>
          <w:rFonts w:hint="eastAsia" w:ascii="宋体" w:hAnsi="宋体" w:eastAsia="宋体" w:cs="宋体"/>
          <w:color w:val="auto"/>
          <w:kern w:val="0"/>
          <w:sz w:val="21"/>
          <w:szCs w:val="21"/>
          <w:highlight w:val="none"/>
          <w:lang w:val="en-US" w:eastAsia="zh-CN"/>
        </w:rPr>
        <w:t>不少于2名且具有在本单位注册的二级及以上造价工程师（土木建筑工程专业至少1名、安装工程专业至少1名）</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注册</w:t>
      </w:r>
      <w:r>
        <w:rPr>
          <w:rFonts w:hint="eastAsia" w:ascii="宋体" w:hAnsi="宋体" w:eastAsia="宋体" w:cs="宋体"/>
          <w:color w:val="auto"/>
          <w:sz w:val="21"/>
          <w:szCs w:val="21"/>
          <w:highlight w:val="none"/>
        </w:rPr>
        <w:t>证书且证明专业为土木建筑工程</w:t>
      </w:r>
      <w:r>
        <w:rPr>
          <w:rFonts w:hint="eastAsia" w:ascii="宋体" w:hAnsi="宋体" w:cs="宋体"/>
          <w:color w:val="auto"/>
          <w:sz w:val="21"/>
          <w:szCs w:val="21"/>
          <w:highlight w:val="none"/>
          <w:lang w:val="en-US" w:eastAsia="zh-CN"/>
        </w:rPr>
        <w:t>专业或安装工程专业</w:t>
      </w:r>
      <w:r>
        <w:rPr>
          <w:rFonts w:hint="eastAsia" w:ascii="宋体" w:hAnsi="宋体" w:eastAsia="宋体" w:cs="宋体"/>
          <w:color w:val="auto"/>
          <w:sz w:val="21"/>
          <w:szCs w:val="21"/>
          <w:highlight w:val="none"/>
        </w:rPr>
        <w:t>的证明材料 ；</w:t>
      </w:r>
      <w:r>
        <w:rPr>
          <w:rFonts w:hint="eastAsia" w:ascii="宋体" w:hAnsi="宋体" w:cs="宋体"/>
          <w:color w:val="auto"/>
          <w:sz w:val="21"/>
          <w:szCs w:val="21"/>
          <w:highlight w:val="none"/>
          <w:lang w:val="en-US" w:eastAsia="zh-CN"/>
        </w:rPr>
        <w:t xml:space="preserve"> </w:t>
      </w:r>
    </w:p>
    <w:p w14:paraId="291A7267">
      <w:pPr>
        <w:keepNext w:val="0"/>
        <w:keepLines w:val="0"/>
        <w:pageBreakBefore w:val="0"/>
        <w:widowControl w:val="0"/>
        <w:kinsoku/>
        <w:wordWrap/>
        <w:overflowPunct/>
        <w:topLinePunct w:val="0"/>
        <w:autoSpaceDE/>
        <w:autoSpaceDN/>
        <w:bidi w:val="0"/>
        <w:spacing w:line="500" w:lineRule="exac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（6）投标人须提供法定代表人（或委托代理人）及拟派的上述项目负责人和项目组成员须持有社保部门出具的本单位为其缴纳的投标前近三个月的养老保险证明</w:t>
      </w:r>
      <w:r>
        <w:rPr>
          <w:rFonts w:hint="eastAsia" w:ascii="宋体" w:hAnsi="宋体" w:eastAsia="宋体" w:cs="宋体"/>
          <w:color w:val="auto"/>
          <w:sz w:val="21"/>
          <w:szCs w:val="21"/>
          <w:highlight w:val="none"/>
          <w:lang w:val="en-US" w:eastAsia="zh-CN"/>
        </w:rPr>
        <w:t>材料；投标人是事业单位的，须其主管部门出具证明（证明文件两个月内有效）；注：若投标人拟派的项目负责人为已退休人员，须同时提供①退休证</w:t>
      </w:r>
      <w:r>
        <w:rPr>
          <w:rFonts w:hint="eastAsia" w:ascii="宋体" w:hAnsi="宋体" w:cs="宋体"/>
          <w:color w:val="auto"/>
          <w:sz w:val="21"/>
          <w:szCs w:val="21"/>
          <w:highlight w:val="none"/>
          <w:lang w:val="en-US" w:eastAsia="zh-CN"/>
        </w:rPr>
        <w:t>明材料；②与投标人签订的返聘劳动合同；③项目负责人社保卡所在银行出具的退休工资流水；④银行出具的工资流水和返聘单位出具的工资表（加盖返聘单位公章，现聘用单位（投标人）所发工资）。</w:t>
      </w:r>
    </w:p>
    <w:p w14:paraId="33B894EE">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（7）投标函；</w:t>
      </w:r>
    </w:p>
    <w:p w14:paraId="29FEEBDA">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r>
        <w:rPr>
          <w:rFonts w:hint="eastAsia" w:ascii="宋体" w:hAnsi="宋体" w:cs="宋体"/>
          <w:color w:val="auto"/>
          <w:sz w:val="21"/>
          <w:szCs w:val="21"/>
          <w:highlight w:val="none"/>
          <w:lang w:val="en-US" w:eastAsia="zh-CN"/>
        </w:rPr>
        <w:t>投标人认为需要提供的其他材料。</w:t>
      </w:r>
    </w:p>
    <w:p w14:paraId="0CC44DA1">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0AF3D236">
      <w:pPr>
        <w:jc w:val="center"/>
        <w:rPr>
          <w:rFonts w:hint="eastAsia" w:ascii="宋体" w:hAnsi="宋体" w:eastAsia="宋体" w:cs="宋体"/>
          <w:color w:val="auto"/>
          <w:sz w:val="32"/>
          <w:szCs w:val="32"/>
          <w:highlight w:val="none"/>
        </w:rPr>
      </w:pPr>
      <w:r>
        <w:rPr>
          <w:rFonts w:hint="eastAsia" w:ascii="宋体" w:hAnsi="宋体" w:eastAsia="宋体" w:cs="宋体"/>
          <w:b/>
          <w:color w:val="auto"/>
          <w:sz w:val="28"/>
          <w:szCs w:val="28"/>
          <w:highlight w:val="none"/>
        </w:rPr>
        <w:t>法定代表人身份证明或授权委托书</w:t>
      </w:r>
    </w:p>
    <w:p w14:paraId="0E2F3567">
      <w:pPr>
        <w:pStyle w:val="145"/>
        <w:spacing w:beforeLines="100" w:afterLines="100" w:line="480" w:lineRule="exact"/>
        <w:ind w:firstLine="180" w:firstLineChars="75"/>
        <w:rPr>
          <w:rFonts w:hint="eastAsia" w:ascii="宋体" w:hAnsi="宋体" w:eastAsia="宋体" w:cs="宋体"/>
          <w:b/>
          <w:color w:val="auto"/>
          <w:sz w:val="24"/>
          <w:szCs w:val="24"/>
          <w:highlight w:val="none"/>
        </w:rPr>
      </w:pPr>
      <w:bookmarkStart w:id="207" w:name="OLE_LINK13"/>
      <w:r>
        <w:rPr>
          <w:rFonts w:hint="eastAsia" w:ascii="宋体" w:hAnsi="宋体" w:eastAsia="宋体" w:cs="宋体"/>
          <w:color w:val="auto"/>
          <w:sz w:val="24"/>
          <w:szCs w:val="24"/>
          <w:highlight w:val="none"/>
        </w:rPr>
        <w:t>1、法定代表人身份证明</w:t>
      </w:r>
    </w:p>
    <w:p w14:paraId="41F8C1B0">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700D46D">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单位性质：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04F28CA">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B6CFE56">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B928DCD">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438176A">
      <w:pPr>
        <w:spacing w:line="480" w:lineRule="exact"/>
        <w:ind w:firstLine="1440"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240"/>
          <w:sz w:val="24"/>
          <w:szCs w:val="24"/>
          <w:highlight w:val="none"/>
        </w:rPr>
        <w:t>姓</w:t>
      </w: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_</w:t>
      </w:r>
    </w:p>
    <w:p w14:paraId="6C8CAD9F">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（投标人名称）的法定代表人。</w:t>
      </w:r>
    </w:p>
    <w:p w14:paraId="3DACF58B">
      <w:pPr>
        <w:spacing w:line="48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09F19DA4">
      <w:pPr>
        <w:spacing w:line="360" w:lineRule="auto"/>
        <w:ind w:firstLine="3480" w:firstLineChars="1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（签章）</w:t>
      </w:r>
    </w:p>
    <w:p w14:paraId="71183CC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bookmarkEnd w:id="207"/>
    <w:p w14:paraId="24F496D8">
      <w:pPr>
        <w:rPr>
          <w:rFonts w:hint="eastAsia" w:ascii="宋体" w:hAnsi="宋体" w:eastAsia="宋体" w:cs="宋体"/>
          <w:color w:val="auto"/>
          <w:sz w:val="24"/>
          <w:szCs w:val="24"/>
          <w:highlight w:val="none"/>
        </w:rPr>
      </w:pPr>
    </w:p>
    <w:p w14:paraId="1102F2AB">
      <w:pPr>
        <w:spacing w:line="4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2、授权委托书</w:t>
      </w:r>
    </w:p>
    <w:p w14:paraId="0864FD2B">
      <w:pPr>
        <w:spacing w:line="480" w:lineRule="auto"/>
        <w:ind w:left="239" w:leftChars="114"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本授权委托书声明：我</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（姓名）</w:t>
      </w:r>
      <w:r>
        <w:rPr>
          <w:rFonts w:hint="eastAsia" w:ascii="宋体" w:hAnsi="宋体" w:eastAsia="宋体" w:cs="宋体"/>
          <w:color w:val="auto"/>
          <w:sz w:val="24"/>
          <w:szCs w:val="24"/>
          <w:highlight w:val="none"/>
        </w:rPr>
        <w:t>系</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（投标人名称）</w:t>
      </w:r>
      <w:r>
        <w:rPr>
          <w:rFonts w:hint="eastAsia" w:ascii="宋体" w:hAnsi="宋体" w:eastAsia="宋体" w:cs="宋体"/>
          <w:color w:val="auto"/>
          <w:sz w:val="24"/>
          <w:szCs w:val="24"/>
          <w:highlight w:val="none"/>
        </w:rPr>
        <w:t>的法定代表人，现授权委托</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（姓名）</w:t>
      </w:r>
      <w:r>
        <w:rPr>
          <w:rFonts w:hint="eastAsia" w:ascii="宋体" w:hAnsi="宋体" w:eastAsia="宋体" w:cs="宋体"/>
          <w:color w:val="auto"/>
          <w:sz w:val="24"/>
          <w:szCs w:val="24"/>
          <w:highlight w:val="none"/>
        </w:rPr>
        <w:t>为我公司法定代表人授权委托代理人，参加</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招标人</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工程的投标活动。代理人在投标、开标、评标、合同谈判过程中所签署的一切文件和处理与之有关的一切事务，我均予以承认。</w:t>
      </w:r>
    </w:p>
    <w:p w14:paraId="3D2F7968">
      <w:pPr>
        <w:spacing w:line="480" w:lineRule="auto"/>
        <w:ind w:firstLine="480" w:firstLineChars="200"/>
        <w:rPr>
          <w:rFonts w:hint="eastAsia" w:ascii="宋体" w:hAnsi="宋体" w:eastAsia="宋体" w:cs="宋体"/>
          <w:color w:val="auto"/>
          <w:sz w:val="24"/>
          <w:szCs w:val="24"/>
          <w:highlight w:val="none"/>
        </w:rPr>
      </w:pPr>
      <w:r>
        <w:rPr>
          <w:rFonts w:hint="eastAsia" w:ascii="宋体"/>
          <w:color w:val="auto"/>
          <w:sz w:val="24"/>
          <w:highlight w:val="none"/>
        </w:rPr>
        <w:t>委托期限：</w:t>
      </w:r>
      <w:r>
        <w:rPr>
          <w:rFonts w:hint="eastAsia" w:ascii="宋体"/>
          <w:color w:val="auto"/>
          <w:sz w:val="24"/>
          <w:highlight w:val="none"/>
          <w:u w:val="single"/>
        </w:rPr>
        <w:t xml:space="preserve">                         </w:t>
      </w:r>
      <w:r>
        <w:rPr>
          <w:rFonts w:hint="eastAsia" w:ascii="宋体"/>
          <w:color w:val="auto"/>
          <w:sz w:val="24"/>
          <w:highlight w:val="none"/>
          <w:lang w:eastAsia="zh-CN"/>
        </w:rPr>
        <w:t>。</w:t>
      </w:r>
    </w:p>
    <w:p w14:paraId="5186FBCB">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代理人无转委托权，特此委托。</w:t>
      </w:r>
    </w:p>
    <w:p w14:paraId="7ECF78C8">
      <w:pPr>
        <w:spacing w:line="480" w:lineRule="exact"/>
        <w:ind w:firstLine="480" w:firstLineChars="200"/>
        <w:rPr>
          <w:rFonts w:hint="eastAsia" w:ascii="宋体"/>
          <w:color w:val="auto"/>
          <w:sz w:val="24"/>
          <w:highlight w:val="none"/>
        </w:rPr>
      </w:pPr>
      <w:r>
        <w:rPr>
          <w:rFonts w:hint="eastAsia" w:ascii="宋体" w:hAnsi="宋体" w:eastAsia="宋体" w:cs="宋体"/>
          <w:color w:val="auto"/>
          <w:sz w:val="24"/>
          <w:szCs w:val="24"/>
          <w:highlight w:val="none"/>
        </w:rPr>
        <w:t>附：</w:t>
      </w:r>
      <w:r>
        <w:rPr>
          <w:rFonts w:hint="eastAsia" w:ascii="宋体"/>
          <w:color w:val="auto"/>
          <w:sz w:val="24"/>
          <w:highlight w:val="none"/>
        </w:rPr>
        <w:t>授权委托人有效身份证及法定代表人有效身份证</w:t>
      </w:r>
    </w:p>
    <w:p w14:paraId="54CB3CE1">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color w:val="auto"/>
          <w:sz w:val="24"/>
          <w:highlight w:val="none"/>
        </w:rPr>
        <w:t xml:space="preserve">                                    </w:t>
      </w:r>
      <w:r>
        <w:rPr>
          <w:rFonts w:hint="eastAsia" w:ascii="宋体" w:hAnsi="Times New Roman" w:eastAsia="宋体" w:cs="Times New Roman"/>
          <w:color w:val="auto"/>
          <w:sz w:val="24"/>
          <w:highlight w:val="none"/>
        </w:rPr>
        <w:t xml:space="preserve"> 投标人：             （签章）</w:t>
      </w:r>
    </w:p>
    <w:p w14:paraId="2B8D027D">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法定代表人（身份证号码）：             （</w:t>
      </w:r>
      <w:r>
        <w:rPr>
          <w:rFonts w:hint="eastAsia" w:ascii="宋体" w:cs="Times New Roman"/>
          <w:color w:val="auto"/>
          <w:sz w:val="24"/>
          <w:highlight w:val="none"/>
          <w:lang w:val="en-US" w:eastAsia="zh-CN"/>
        </w:rPr>
        <w:t>签字或盖章</w:t>
      </w:r>
      <w:r>
        <w:rPr>
          <w:rFonts w:hint="eastAsia" w:ascii="宋体" w:hAnsi="Times New Roman" w:eastAsia="宋体" w:cs="Times New Roman"/>
          <w:color w:val="auto"/>
          <w:sz w:val="24"/>
          <w:highlight w:val="none"/>
        </w:rPr>
        <w:t>）</w:t>
      </w:r>
    </w:p>
    <w:p w14:paraId="133159AC">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 xml:space="preserve">              年    月    日</w:t>
      </w:r>
    </w:p>
    <w:p w14:paraId="10F35531">
      <w:pPr>
        <w:spacing w:line="480" w:lineRule="auto"/>
        <w:ind w:right="980" w:firstLine="482" w:firstLineChars="200"/>
        <w:jc w:val="center"/>
        <w:rPr>
          <w:rFonts w:hint="eastAsia" w:ascii="宋体" w:hAnsi="宋体" w:eastAsia="宋体" w:cs="宋体"/>
          <w:b/>
          <w:bCs/>
          <w:color w:val="auto"/>
          <w:kern w:val="0"/>
          <w:sz w:val="24"/>
          <w:szCs w:val="24"/>
          <w:highlight w:val="none"/>
        </w:rPr>
      </w:pPr>
    </w:p>
    <w:p w14:paraId="4C192855">
      <w:pPr>
        <w:rPr>
          <w:rFonts w:hint="eastAsia" w:ascii="宋体" w:hAnsi="宋体" w:eastAsia="宋体" w:cs="宋体"/>
          <w:b/>
          <w:color w:val="auto"/>
          <w:sz w:val="28"/>
          <w:szCs w:val="28"/>
          <w:highlight w:val="none"/>
        </w:rPr>
      </w:pPr>
      <w:r>
        <w:rPr>
          <w:rFonts w:hint="eastAsia" w:ascii="宋体" w:hAnsi="宋体" w:eastAsia="宋体" w:cs="宋体"/>
          <w:b/>
          <w:bCs/>
          <w:color w:val="auto"/>
          <w:kern w:val="0"/>
          <w:sz w:val="30"/>
          <w:szCs w:val="30"/>
          <w:highlight w:val="none"/>
        </w:rPr>
        <w:br w:type="page"/>
      </w:r>
    </w:p>
    <w:p w14:paraId="21FDDC94">
      <w:pPr>
        <w:pStyle w:val="42"/>
        <w:keepNext w:val="0"/>
        <w:keepLines w:val="0"/>
        <w:pageBreakBefore w:val="0"/>
        <w:kinsoku/>
        <w:wordWrap/>
        <w:overflowPunct/>
        <w:topLinePunct w:val="0"/>
        <w:autoSpaceDE/>
        <w:autoSpaceDN/>
        <w:bidi w:val="0"/>
        <w:snapToGrid w:val="0"/>
        <w:spacing w:before="0" w:beforeAutospacing="0" w:after="0" w:afterAutospacing="0" w:line="500" w:lineRule="exact"/>
        <w:jc w:val="center"/>
        <w:textAlignment w:val="auto"/>
        <w:rPr>
          <w:rFonts w:hint="default" w:ascii="宋体" w:hAnsi="宋体" w:eastAsia="宋体" w:cs="宋体"/>
          <w:b/>
          <w:color w:val="auto"/>
          <w:kern w:val="2"/>
          <w:sz w:val="28"/>
          <w:szCs w:val="28"/>
          <w:highlight w:val="none"/>
          <w:lang w:val="en-US" w:eastAsia="zh-CN" w:bidi="ar-SA"/>
        </w:rPr>
      </w:pPr>
      <w:r>
        <w:rPr>
          <w:rFonts w:hint="default" w:ascii="宋体" w:hAnsi="宋体" w:eastAsia="宋体" w:cs="宋体"/>
          <w:b/>
          <w:color w:val="auto"/>
          <w:kern w:val="2"/>
          <w:sz w:val="28"/>
          <w:szCs w:val="28"/>
          <w:highlight w:val="none"/>
          <w:lang w:val="en-US" w:eastAsia="zh-CN" w:bidi="ar-SA"/>
        </w:rPr>
        <w:t>项目人员配备表</w:t>
      </w:r>
    </w:p>
    <w:tbl>
      <w:tblPr>
        <w:tblStyle w:val="46"/>
        <w:tblW w:w="9352" w:type="dxa"/>
        <w:tblInd w:w="1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782"/>
        <w:gridCol w:w="792"/>
        <w:gridCol w:w="1454"/>
        <w:gridCol w:w="2355"/>
        <w:gridCol w:w="1183"/>
        <w:gridCol w:w="1292"/>
      </w:tblGrid>
      <w:tr w14:paraId="4F161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noWrap w:val="0"/>
            <w:vAlign w:val="center"/>
          </w:tcPr>
          <w:p w14:paraId="39F5E912">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岗位</w:t>
            </w:r>
          </w:p>
        </w:tc>
        <w:tc>
          <w:tcPr>
            <w:tcW w:w="782" w:type="dxa"/>
            <w:noWrap w:val="0"/>
            <w:vAlign w:val="center"/>
          </w:tcPr>
          <w:p w14:paraId="299851A4">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姓名</w:t>
            </w:r>
          </w:p>
        </w:tc>
        <w:tc>
          <w:tcPr>
            <w:tcW w:w="792" w:type="dxa"/>
            <w:noWrap w:val="0"/>
            <w:vAlign w:val="center"/>
          </w:tcPr>
          <w:p w14:paraId="11BFADFC">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性别</w:t>
            </w:r>
          </w:p>
        </w:tc>
        <w:tc>
          <w:tcPr>
            <w:tcW w:w="1454" w:type="dxa"/>
            <w:noWrap w:val="0"/>
            <w:vAlign w:val="center"/>
          </w:tcPr>
          <w:p w14:paraId="7B59E80B">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身份证号码</w:t>
            </w:r>
          </w:p>
        </w:tc>
        <w:tc>
          <w:tcPr>
            <w:tcW w:w="2355" w:type="dxa"/>
            <w:noWrap w:val="0"/>
            <w:vAlign w:val="center"/>
          </w:tcPr>
          <w:p w14:paraId="50D228AB">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注册证书资格等级</w:t>
            </w:r>
          </w:p>
        </w:tc>
        <w:tc>
          <w:tcPr>
            <w:tcW w:w="1183" w:type="dxa"/>
            <w:noWrap w:val="0"/>
            <w:vAlign w:val="top"/>
          </w:tcPr>
          <w:p w14:paraId="2402AD70">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证书编号</w:t>
            </w:r>
          </w:p>
        </w:tc>
        <w:tc>
          <w:tcPr>
            <w:tcW w:w="1292" w:type="dxa"/>
            <w:noWrap w:val="0"/>
            <w:vAlign w:val="center"/>
          </w:tcPr>
          <w:p w14:paraId="5C4A99C1">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联系电话</w:t>
            </w:r>
          </w:p>
        </w:tc>
      </w:tr>
      <w:tr w14:paraId="7599A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noWrap w:val="0"/>
            <w:vAlign w:val="top"/>
          </w:tcPr>
          <w:p w14:paraId="7DAD8EAD">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项目负责人</w:t>
            </w:r>
          </w:p>
        </w:tc>
        <w:tc>
          <w:tcPr>
            <w:tcW w:w="782" w:type="dxa"/>
            <w:noWrap w:val="0"/>
            <w:vAlign w:val="top"/>
          </w:tcPr>
          <w:p w14:paraId="04B14B9B">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792" w:type="dxa"/>
            <w:noWrap w:val="0"/>
            <w:vAlign w:val="top"/>
          </w:tcPr>
          <w:p w14:paraId="04357312">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454" w:type="dxa"/>
            <w:noWrap w:val="0"/>
            <w:vAlign w:val="top"/>
          </w:tcPr>
          <w:p w14:paraId="2B389EA6">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2355" w:type="dxa"/>
            <w:noWrap w:val="0"/>
            <w:vAlign w:val="top"/>
          </w:tcPr>
          <w:p w14:paraId="4CE83D5F">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183" w:type="dxa"/>
            <w:noWrap w:val="0"/>
            <w:vAlign w:val="top"/>
          </w:tcPr>
          <w:p w14:paraId="508E0B94">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292" w:type="dxa"/>
            <w:noWrap w:val="0"/>
            <w:vAlign w:val="top"/>
          </w:tcPr>
          <w:p w14:paraId="0E359D28">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r>
      <w:tr w14:paraId="5B22A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noWrap w:val="0"/>
            <w:vAlign w:val="top"/>
          </w:tcPr>
          <w:p w14:paraId="6499511B">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项目组成员</w:t>
            </w:r>
          </w:p>
        </w:tc>
        <w:tc>
          <w:tcPr>
            <w:tcW w:w="782" w:type="dxa"/>
            <w:noWrap w:val="0"/>
            <w:vAlign w:val="top"/>
          </w:tcPr>
          <w:p w14:paraId="68959EE2">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792" w:type="dxa"/>
            <w:noWrap w:val="0"/>
            <w:vAlign w:val="top"/>
          </w:tcPr>
          <w:p w14:paraId="3E41E0CB">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454" w:type="dxa"/>
            <w:noWrap w:val="0"/>
            <w:vAlign w:val="top"/>
          </w:tcPr>
          <w:p w14:paraId="014F463F">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2355" w:type="dxa"/>
            <w:noWrap w:val="0"/>
            <w:vAlign w:val="top"/>
          </w:tcPr>
          <w:p w14:paraId="3861A870">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183" w:type="dxa"/>
            <w:noWrap w:val="0"/>
            <w:vAlign w:val="top"/>
          </w:tcPr>
          <w:p w14:paraId="5C1F9386">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292" w:type="dxa"/>
            <w:noWrap w:val="0"/>
            <w:vAlign w:val="top"/>
          </w:tcPr>
          <w:p w14:paraId="0239EAA9">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r>
      <w:tr w14:paraId="1FEC8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noWrap w:val="0"/>
            <w:vAlign w:val="top"/>
          </w:tcPr>
          <w:p w14:paraId="626281E7">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r>
              <w:rPr>
                <w:rFonts w:hint="eastAsia" w:ascii="宋体" w:hAnsi="宋体" w:eastAsia="宋体" w:cs="宋体"/>
                <w:color w:val="auto"/>
                <w:sz w:val="24"/>
                <w:szCs w:val="24"/>
                <w:highlight w:val="none"/>
                <w:lang w:val="en-US" w:eastAsia="zh-CN"/>
              </w:rPr>
              <w:t>项目组成员</w:t>
            </w:r>
          </w:p>
        </w:tc>
        <w:tc>
          <w:tcPr>
            <w:tcW w:w="782" w:type="dxa"/>
            <w:noWrap w:val="0"/>
            <w:vAlign w:val="top"/>
          </w:tcPr>
          <w:p w14:paraId="7C9B9D84">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792" w:type="dxa"/>
            <w:noWrap w:val="0"/>
            <w:vAlign w:val="top"/>
          </w:tcPr>
          <w:p w14:paraId="113C41BE">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454" w:type="dxa"/>
            <w:noWrap w:val="0"/>
            <w:vAlign w:val="top"/>
          </w:tcPr>
          <w:p w14:paraId="7E8F5D67">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2355" w:type="dxa"/>
            <w:noWrap w:val="0"/>
            <w:vAlign w:val="top"/>
          </w:tcPr>
          <w:p w14:paraId="523DE6F0">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183" w:type="dxa"/>
            <w:noWrap w:val="0"/>
            <w:vAlign w:val="top"/>
          </w:tcPr>
          <w:p w14:paraId="614F96D6">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292" w:type="dxa"/>
            <w:noWrap w:val="0"/>
            <w:vAlign w:val="top"/>
          </w:tcPr>
          <w:p w14:paraId="2489B64C">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r>
      <w:tr w14:paraId="67029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noWrap w:val="0"/>
            <w:vAlign w:val="top"/>
          </w:tcPr>
          <w:p w14:paraId="49CD33A1">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782" w:type="dxa"/>
            <w:noWrap w:val="0"/>
            <w:vAlign w:val="top"/>
          </w:tcPr>
          <w:p w14:paraId="46BBC33E">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792" w:type="dxa"/>
            <w:noWrap w:val="0"/>
            <w:vAlign w:val="top"/>
          </w:tcPr>
          <w:p w14:paraId="32E16400">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454" w:type="dxa"/>
            <w:noWrap w:val="0"/>
            <w:vAlign w:val="top"/>
          </w:tcPr>
          <w:p w14:paraId="23E1BBC6">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2355" w:type="dxa"/>
            <w:noWrap w:val="0"/>
            <w:vAlign w:val="top"/>
          </w:tcPr>
          <w:p w14:paraId="17498B77">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183" w:type="dxa"/>
            <w:noWrap w:val="0"/>
            <w:vAlign w:val="top"/>
          </w:tcPr>
          <w:p w14:paraId="0B5DA3D2">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292" w:type="dxa"/>
            <w:noWrap w:val="0"/>
            <w:vAlign w:val="top"/>
          </w:tcPr>
          <w:p w14:paraId="75F0B417">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r>
    </w:tbl>
    <w:p w14:paraId="6D79D3F9">
      <w:pPr>
        <w:jc w:val="center"/>
        <w:rPr>
          <w:rFonts w:hint="eastAsia" w:ascii="宋体" w:hAnsi="宋体" w:eastAsia="宋体" w:cs="宋体"/>
          <w:color w:val="auto"/>
          <w:sz w:val="28"/>
          <w:szCs w:val="28"/>
          <w:highlight w:val="none"/>
          <w:u w:val="single"/>
        </w:rPr>
      </w:pPr>
    </w:p>
    <w:p w14:paraId="01683548">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 xml:space="preserve"> 投标人：             （签章）</w:t>
      </w:r>
    </w:p>
    <w:p w14:paraId="2538AB65">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法定代表人或其委托代理人：             （</w:t>
      </w:r>
      <w:r>
        <w:rPr>
          <w:rFonts w:hint="eastAsia" w:ascii="宋体" w:cs="Times New Roman"/>
          <w:color w:val="auto"/>
          <w:sz w:val="24"/>
          <w:highlight w:val="none"/>
          <w:lang w:val="en-US" w:eastAsia="zh-CN"/>
        </w:rPr>
        <w:t>签字或盖章</w:t>
      </w:r>
      <w:r>
        <w:rPr>
          <w:rFonts w:hint="eastAsia" w:ascii="宋体" w:hAnsi="Times New Roman" w:eastAsia="宋体" w:cs="Times New Roman"/>
          <w:color w:val="auto"/>
          <w:sz w:val="24"/>
          <w:highlight w:val="none"/>
        </w:rPr>
        <w:t>）</w:t>
      </w:r>
    </w:p>
    <w:p w14:paraId="1407EB75">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 xml:space="preserve">              年    月    日</w:t>
      </w:r>
    </w:p>
    <w:p w14:paraId="30963256">
      <w:pPr>
        <w:jc w:val="center"/>
        <w:rPr>
          <w:rFonts w:hint="eastAsia" w:ascii="宋体" w:hAnsi="宋体" w:eastAsia="宋体" w:cs="宋体"/>
          <w:b/>
          <w:bCs/>
          <w:color w:val="auto"/>
          <w:sz w:val="28"/>
          <w:szCs w:val="28"/>
          <w:highlight w:val="none"/>
        </w:rPr>
      </w:pPr>
    </w:p>
    <w:p w14:paraId="7774A8B9">
      <w:pPr>
        <w:pStyle w:val="2"/>
        <w:rPr>
          <w:rFonts w:hint="eastAsia"/>
          <w:color w:val="auto"/>
          <w:highlight w:val="none"/>
        </w:rPr>
      </w:pPr>
    </w:p>
    <w:p w14:paraId="14A4BCCA">
      <w:pPr>
        <w:jc w:val="center"/>
        <w:rPr>
          <w:rFonts w:hint="eastAsia" w:ascii="宋体" w:hAnsi="宋体" w:eastAsia="宋体" w:cs="宋体"/>
          <w:b/>
          <w:bCs/>
          <w:color w:val="auto"/>
          <w:sz w:val="28"/>
          <w:szCs w:val="28"/>
          <w:highlight w:val="none"/>
        </w:rPr>
      </w:pPr>
    </w:p>
    <w:p w14:paraId="3CCC12D7">
      <w:pPr>
        <w:jc w:val="center"/>
        <w:rPr>
          <w:rFonts w:hint="eastAsia" w:ascii="宋体" w:hAnsi="宋体" w:eastAsia="宋体" w:cs="宋体"/>
          <w:b/>
          <w:bCs/>
          <w:color w:val="auto"/>
          <w:sz w:val="28"/>
          <w:szCs w:val="28"/>
          <w:highlight w:val="none"/>
        </w:rPr>
      </w:pPr>
    </w:p>
    <w:p w14:paraId="5E9002FF">
      <w:pPr>
        <w:jc w:val="center"/>
        <w:rPr>
          <w:rFonts w:hint="eastAsia" w:ascii="宋体" w:hAnsi="宋体" w:eastAsia="宋体" w:cs="宋体"/>
          <w:b/>
          <w:bCs/>
          <w:color w:val="auto"/>
          <w:sz w:val="28"/>
          <w:szCs w:val="28"/>
          <w:highlight w:val="none"/>
        </w:rPr>
      </w:pPr>
    </w:p>
    <w:p w14:paraId="5443CE27">
      <w:pPr>
        <w:jc w:val="center"/>
        <w:rPr>
          <w:rFonts w:hint="eastAsia" w:ascii="宋体" w:hAnsi="宋体" w:eastAsia="宋体" w:cs="宋体"/>
          <w:b/>
          <w:bCs/>
          <w:color w:val="auto"/>
          <w:sz w:val="28"/>
          <w:szCs w:val="28"/>
          <w:highlight w:val="none"/>
        </w:rPr>
      </w:pPr>
    </w:p>
    <w:p w14:paraId="57A6ABA6">
      <w:pPr>
        <w:jc w:val="center"/>
        <w:rPr>
          <w:rFonts w:hint="eastAsia" w:ascii="宋体" w:hAnsi="宋体" w:eastAsia="宋体" w:cs="宋体"/>
          <w:b/>
          <w:bCs/>
          <w:color w:val="auto"/>
          <w:sz w:val="28"/>
          <w:szCs w:val="28"/>
          <w:highlight w:val="none"/>
        </w:rPr>
      </w:pPr>
    </w:p>
    <w:p w14:paraId="41257297">
      <w:pPr>
        <w:jc w:val="center"/>
        <w:rPr>
          <w:rFonts w:hint="eastAsia" w:ascii="宋体" w:hAnsi="宋体" w:eastAsia="宋体" w:cs="宋体"/>
          <w:b/>
          <w:bCs/>
          <w:color w:val="auto"/>
          <w:sz w:val="28"/>
          <w:szCs w:val="28"/>
          <w:highlight w:val="none"/>
        </w:rPr>
      </w:pPr>
    </w:p>
    <w:p w14:paraId="22AD1574">
      <w:pPr>
        <w:jc w:val="center"/>
        <w:rPr>
          <w:rFonts w:hint="eastAsia" w:ascii="宋体" w:hAnsi="宋体" w:eastAsia="宋体" w:cs="宋体"/>
          <w:b/>
          <w:bCs/>
          <w:color w:val="auto"/>
          <w:sz w:val="28"/>
          <w:szCs w:val="28"/>
          <w:highlight w:val="none"/>
        </w:rPr>
      </w:pPr>
    </w:p>
    <w:p w14:paraId="54964737">
      <w:pPr>
        <w:jc w:val="center"/>
        <w:rPr>
          <w:rFonts w:hint="eastAsia" w:ascii="宋体" w:hAnsi="宋体" w:eastAsia="宋体" w:cs="宋体"/>
          <w:b/>
          <w:bCs/>
          <w:color w:val="auto"/>
          <w:sz w:val="28"/>
          <w:szCs w:val="28"/>
          <w:highlight w:val="none"/>
        </w:rPr>
      </w:pPr>
    </w:p>
    <w:p w14:paraId="6B9E4E6B">
      <w:pPr>
        <w:jc w:val="center"/>
        <w:rPr>
          <w:rFonts w:hint="eastAsia" w:ascii="宋体" w:hAnsi="宋体" w:eastAsia="宋体" w:cs="宋体"/>
          <w:b/>
          <w:bCs/>
          <w:color w:val="auto"/>
          <w:sz w:val="28"/>
          <w:szCs w:val="28"/>
          <w:highlight w:val="none"/>
        </w:rPr>
      </w:pPr>
    </w:p>
    <w:p w14:paraId="2FB0BF2A">
      <w:pPr>
        <w:jc w:val="center"/>
        <w:rPr>
          <w:rFonts w:hint="eastAsia" w:ascii="宋体" w:hAnsi="宋体" w:eastAsia="宋体" w:cs="宋体"/>
          <w:b/>
          <w:bCs/>
          <w:color w:val="auto"/>
          <w:sz w:val="28"/>
          <w:szCs w:val="28"/>
          <w:highlight w:val="none"/>
        </w:rPr>
      </w:pPr>
    </w:p>
    <w:p w14:paraId="2908FF31">
      <w:pPr>
        <w:jc w:val="center"/>
        <w:rPr>
          <w:rFonts w:hint="eastAsia" w:ascii="宋体" w:hAnsi="宋体" w:eastAsia="宋体" w:cs="宋体"/>
          <w:b/>
          <w:bCs/>
          <w:color w:val="auto"/>
          <w:sz w:val="28"/>
          <w:szCs w:val="28"/>
          <w:highlight w:val="none"/>
        </w:rPr>
      </w:pPr>
    </w:p>
    <w:p w14:paraId="19883A24">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投 标 函</w:t>
      </w:r>
    </w:p>
    <w:p w14:paraId="462CCDB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color w:val="auto"/>
          <w:szCs w:val="21"/>
          <w:highlight w:val="none"/>
        </w:rPr>
      </w:pPr>
      <w:r>
        <w:rPr>
          <w:rFonts w:hint="eastAsia" w:ascii="宋体"/>
          <w:color w:val="auto"/>
          <w:szCs w:val="21"/>
          <w:highlight w:val="none"/>
        </w:rPr>
        <w:t>致：</w:t>
      </w:r>
      <w:r>
        <w:rPr>
          <w:rFonts w:hint="eastAsia" w:ascii="宋体"/>
          <w:color w:val="auto"/>
          <w:szCs w:val="21"/>
          <w:highlight w:val="none"/>
          <w:u w:val="single"/>
        </w:rPr>
        <w:t xml:space="preserve">      </w:t>
      </w:r>
      <w:r>
        <w:rPr>
          <w:rFonts w:hint="eastAsia" w:ascii="宋体"/>
          <w:color w:val="auto"/>
          <w:szCs w:val="21"/>
          <w:highlight w:val="none"/>
          <w:u w:val="single"/>
          <w:lang w:val="en-US" w:eastAsia="zh-CN"/>
        </w:rPr>
        <w:t xml:space="preserve">      </w:t>
      </w:r>
      <w:r>
        <w:rPr>
          <w:rFonts w:hint="eastAsia" w:ascii="宋体"/>
          <w:color w:val="auto"/>
          <w:szCs w:val="21"/>
          <w:highlight w:val="none"/>
          <w:u w:val="single"/>
        </w:rPr>
        <w:t xml:space="preserve"> (</w:t>
      </w:r>
      <w:r>
        <w:rPr>
          <w:rFonts w:hint="eastAsia" w:ascii="宋体"/>
          <w:color w:val="auto"/>
          <w:szCs w:val="21"/>
          <w:highlight w:val="none"/>
          <w:u w:val="single"/>
          <w:lang w:val="en-US" w:eastAsia="zh-CN"/>
        </w:rPr>
        <w:t>招标</w:t>
      </w:r>
      <w:r>
        <w:rPr>
          <w:rFonts w:hint="eastAsia" w:ascii="宋体"/>
          <w:color w:val="auto"/>
          <w:szCs w:val="21"/>
          <w:highlight w:val="none"/>
          <w:u w:val="single"/>
        </w:rPr>
        <w:t xml:space="preserve">人)       </w:t>
      </w:r>
      <w:r>
        <w:rPr>
          <w:rFonts w:hint="eastAsia" w:ascii="宋体"/>
          <w:color w:val="auto"/>
          <w:szCs w:val="21"/>
          <w:highlight w:val="none"/>
        </w:rPr>
        <w:t xml:space="preserve"> </w:t>
      </w:r>
    </w:p>
    <w:p w14:paraId="27BAC3BA">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color w:val="auto"/>
          <w:szCs w:val="21"/>
          <w:highlight w:val="none"/>
        </w:rPr>
      </w:pPr>
      <w:r>
        <w:rPr>
          <w:rFonts w:hint="eastAsia" w:ascii="宋体"/>
          <w:color w:val="auto"/>
          <w:szCs w:val="21"/>
          <w:highlight w:val="none"/>
        </w:rPr>
        <w:t>1.我们决定参加贵单位组织的“</w:t>
      </w:r>
      <w:r>
        <w:rPr>
          <w:rFonts w:hint="eastAsia" w:ascii="宋体"/>
          <w:color w:val="auto"/>
          <w:szCs w:val="21"/>
          <w:highlight w:val="none"/>
          <w:u w:val="single"/>
        </w:rPr>
        <w:t xml:space="preserve"> （项目名称</w:t>
      </w:r>
      <w:r>
        <w:rPr>
          <w:rFonts w:hint="eastAsia" w:ascii="宋体"/>
          <w:color w:val="auto"/>
          <w:szCs w:val="21"/>
          <w:highlight w:val="none"/>
          <w:u w:val="single"/>
          <w:lang w:eastAsia="zh-CN"/>
        </w:rPr>
        <w:t>、</w:t>
      </w:r>
      <w:r>
        <w:rPr>
          <w:rFonts w:hint="eastAsia" w:ascii="宋体"/>
          <w:color w:val="auto"/>
          <w:szCs w:val="21"/>
          <w:highlight w:val="none"/>
          <w:u w:val="single"/>
          <w:lang w:val="en-US" w:eastAsia="zh-CN"/>
        </w:rPr>
        <w:t>项目编号</w:t>
      </w:r>
      <w:r>
        <w:rPr>
          <w:rFonts w:hint="eastAsia" w:ascii="宋体"/>
          <w:color w:val="auto"/>
          <w:szCs w:val="21"/>
          <w:highlight w:val="none"/>
          <w:u w:val="single"/>
        </w:rPr>
        <w:t xml:space="preserve">） </w:t>
      </w:r>
      <w:r>
        <w:rPr>
          <w:rFonts w:hint="eastAsia" w:ascii="宋体"/>
          <w:color w:val="auto"/>
          <w:szCs w:val="21"/>
          <w:highlight w:val="none"/>
          <w:u w:val="single"/>
          <w:lang w:val="en-US" w:eastAsia="zh-CN"/>
        </w:rPr>
        <w:t xml:space="preserve">           </w:t>
      </w:r>
      <w:r>
        <w:rPr>
          <w:rFonts w:hint="eastAsia" w:ascii="宋体"/>
          <w:color w:val="auto"/>
          <w:szCs w:val="21"/>
          <w:highlight w:val="none"/>
          <w:u w:val="single"/>
        </w:rPr>
        <w:t xml:space="preserve">   </w:t>
      </w:r>
      <w:r>
        <w:rPr>
          <w:rFonts w:hint="eastAsia" w:ascii="宋体"/>
          <w:color w:val="auto"/>
          <w:szCs w:val="21"/>
          <w:highlight w:val="none"/>
        </w:rPr>
        <w:t>”的</w:t>
      </w:r>
      <w:r>
        <w:rPr>
          <w:rFonts w:hint="eastAsia" w:ascii="宋体"/>
          <w:color w:val="auto"/>
          <w:szCs w:val="21"/>
          <w:highlight w:val="none"/>
          <w:lang w:val="en-US" w:eastAsia="zh-CN"/>
        </w:rPr>
        <w:t>招标</w:t>
      </w:r>
      <w:r>
        <w:rPr>
          <w:rFonts w:hint="eastAsia" w:ascii="宋体"/>
          <w:color w:val="auto"/>
          <w:szCs w:val="21"/>
          <w:highlight w:val="none"/>
        </w:rPr>
        <w:t xml:space="preserve">。我方授权 </w:t>
      </w:r>
      <w:r>
        <w:rPr>
          <w:rFonts w:hint="eastAsia" w:ascii="宋体"/>
          <w:color w:val="auto"/>
          <w:szCs w:val="21"/>
          <w:highlight w:val="none"/>
          <w:u w:val="single"/>
        </w:rPr>
        <w:t xml:space="preserve">              </w:t>
      </w:r>
      <w:r>
        <w:rPr>
          <w:rFonts w:hint="eastAsia" w:ascii="宋体"/>
          <w:color w:val="auto"/>
          <w:szCs w:val="21"/>
          <w:highlight w:val="none"/>
        </w:rPr>
        <w:t>(姓名和职务)代表我方</w:t>
      </w:r>
      <w:r>
        <w:rPr>
          <w:rFonts w:hint="eastAsia" w:ascii="宋体"/>
          <w:color w:val="auto"/>
          <w:szCs w:val="21"/>
          <w:highlight w:val="none"/>
          <w:u w:val="single"/>
        </w:rPr>
        <w:t xml:space="preserve">               </w:t>
      </w:r>
      <w:r>
        <w:rPr>
          <w:rFonts w:hint="eastAsia" w:ascii="宋体"/>
          <w:color w:val="auto"/>
          <w:szCs w:val="21"/>
          <w:highlight w:val="none"/>
        </w:rPr>
        <w:t>（投标人的名称）全权处理本项目投标的有关事宜。</w:t>
      </w:r>
    </w:p>
    <w:p w14:paraId="247D7B96">
      <w:pPr>
        <w:keepNext w:val="0"/>
        <w:keepLines w:val="0"/>
        <w:pageBreakBefore w:val="0"/>
        <w:widowControl w:val="0"/>
        <w:suppressLineNumbers w:val="0"/>
        <w:kinsoku/>
        <w:wordWrap/>
        <w:overflowPunct/>
        <w:topLinePunct w:val="0"/>
        <w:autoSpaceDE/>
        <w:autoSpaceDN/>
        <w:bidi w:val="0"/>
        <w:adjustRightInd/>
        <w:snapToGrid/>
        <w:spacing w:before="153" w:beforeLines="50" w:beforeAutospacing="0" w:after="0" w:afterAutospacing="0" w:line="560" w:lineRule="exact"/>
        <w:ind w:left="0" w:right="0" w:firstLine="411" w:firstLineChars="196"/>
        <w:jc w:val="left"/>
        <w:textAlignment w:val="auto"/>
        <w:rPr>
          <w:rFonts w:hint="eastAsia" w:ascii="宋体" w:hAnsi="Times New Roman" w:eastAsia="宋体" w:cs="Times New Roman"/>
          <w:color w:val="auto"/>
          <w:szCs w:val="21"/>
          <w:highlight w:val="none"/>
          <w:lang w:val="en-US" w:eastAsia="zh-CN"/>
        </w:rPr>
      </w:pPr>
      <w:r>
        <w:rPr>
          <w:rFonts w:hint="eastAsia" w:ascii="宋体"/>
          <w:color w:val="auto"/>
          <w:szCs w:val="21"/>
          <w:highlight w:val="none"/>
        </w:rPr>
        <w:t>2.我方愿意按照招标文件规定的各项要求，向</w:t>
      </w:r>
      <w:r>
        <w:rPr>
          <w:rFonts w:hint="eastAsia" w:ascii="宋体"/>
          <w:color w:val="auto"/>
          <w:szCs w:val="21"/>
          <w:highlight w:val="none"/>
          <w:lang w:val="en-US" w:eastAsia="zh-CN"/>
        </w:rPr>
        <w:t>招标</w:t>
      </w:r>
      <w:r>
        <w:rPr>
          <w:rFonts w:hint="eastAsia" w:ascii="宋体"/>
          <w:color w:val="auto"/>
          <w:szCs w:val="21"/>
          <w:highlight w:val="none"/>
        </w:rPr>
        <w:t>人提供</w:t>
      </w:r>
      <w:r>
        <w:rPr>
          <w:rFonts w:hint="eastAsia" w:ascii="宋体"/>
          <w:color w:val="auto"/>
          <w:szCs w:val="21"/>
          <w:highlight w:val="none"/>
          <w:lang w:val="en-US" w:eastAsia="zh-CN"/>
        </w:rPr>
        <w:t>本</w:t>
      </w:r>
      <w:r>
        <w:rPr>
          <w:rFonts w:hint="eastAsia" w:ascii="宋体"/>
          <w:color w:val="auto"/>
          <w:szCs w:val="21"/>
          <w:highlight w:val="none"/>
        </w:rPr>
        <w:t>项目的服务，我方报价为</w:t>
      </w:r>
      <w:r>
        <w:rPr>
          <w:rFonts w:hint="eastAsia" w:ascii="宋体"/>
          <w:b/>
          <w:bCs/>
          <w:color w:val="auto"/>
          <w:szCs w:val="21"/>
          <w:highlight w:val="none"/>
          <w:lang w:val="en-US" w:eastAsia="zh-CN"/>
        </w:rPr>
        <w:t>《收费标准》的</w:t>
      </w:r>
      <w:r>
        <w:rPr>
          <w:rFonts w:hint="eastAsia" w:ascii="宋体"/>
          <w:b/>
          <w:bCs/>
          <w:color w:val="auto"/>
          <w:sz w:val="30"/>
          <w:szCs w:val="30"/>
          <w:highlight w:val="none"/>
          <w:u w:val="single"/>
        </w:rPr>
        <w:t xml:space="preserve">   </w:t>
      </w:r>
      <w:r>
        <w:rPr>
          <w:rFonts w:hint="eastAsia" w:ascii="宋体"/>
          <w:b/>
          <w:bCs/>
          <w:color w:val="auto"/>
          <w:sz w:val="30"/>
          <w:szCs w:val="30"/>
          <w:highlight w:val="none"/>
          <w:u w:val="single"/>
          <w:lang w:val="en-US" w:eastAsia="zh-CN"/>
        </w:rPr>
        <w:t xml:space="preserve">  </w:t>
      </w:r>
      <w:r>
        <w:rPr>
          <w:rFonts w:hint="eastAsia" w:ascii="宋体"/>
          <w:b/>
          <w:bCs/>
          <w:color w:val="auto"/>
          <w:sz w:val="30"/>
          <w:szCs w:val="30"/>
          <w:highlight w:val="none"/>
          <w:u w:val="single"/>
        </w:rPr>
        <w:t xml:space="preserve">   </w:t>
      </w:r>
      <w:r>
        <w:rPr>
          <w:rFonts w:hint="eastAsia" w:ascii="宋体"/>
          <w:b/>
          <w:bCs/>
          <w:color w:val="auto"/>
          <w:sz w:val="30"/>
          <w:szCs w:val="30"/>
          <w:highlight w:val="none"/>
          <w:lang w:val="en-US" w:eastAsia="zh-CN"/>
        </w:rPr>
        <w:t>％</w:t>
      </w:r>
      <w:r>
        <w:rPr>
          <w:rFonts w:hint="eastAsia" w:ascii="宋体"/>
          <w:b/>
          <w:bCs/>
          <w:color w:val="auto"/>
          <w:szCs w:val="21"/>
          <w:highlight w:val="none"/>
          <w:lang w:val="en-US" w:eastAsia="zh-CN"/>
        </w:rPr>
        <w:t>计算编制服务费（小数点后保留2位）</w:t>
      </w:r>
      <w:r>
        <w:rPr>
          <w:rFonts w:hint="eastAsia" w:ascii="宋体"/>
          <w:b/>
          <w:bCs/>
          <w:color w:val="auto"/>
          <w:szCs w:val="21"/>
          <w:highlight w:val="none"/>
        </w:rPr>
        <w:t>。</w:t>
      </w:r>
      <w:r>
        <w:rPr>
          <w:rFonts w:hint="eastAsia" w:ascii="宋体"/>
          <w:color w:val="auto"/>
          <w:szCs w:val="21"/>
          <w:highlight w:val="none"/>
        </w:rPr>
        <w:t>项目负责人为</w:t>
      </w:r>
      <w:r>
        <w:rPr>
          <w:rFonts w:hint="eastAsia" w:ascii="宋体"/>
          <w:color w:val="auto"/>
          <w:szCs w:val="21"/>
          <w:highlight w:val="none"/>
          <w:u w:val="single"/>
        </w:rPr>
        <w:t xml:space="preserve">       </w:t>
      </w:r>
      <w:r>
        <w:rPr>
          <w:rFonts w:hint="eastAsia" w:ascii="宋体"/>
          <w:color w:val="auto"/>
          <w:szCs w:val="21"/>
          <w:highlight w:val="none"/>
        </w:rPr>
        <w:t>，</w:t>
      </w:r>
      <w:r>
        <w:rPr>
          <w:rFonts w:hint="eastAsia" w:ascii="宋体" w:hAnsi="Times New Roman" w:eastAsia="宋体" w:cs="Times New Roman"/>
          <w:color w:val="auto"/>
          <w:szCs w:val="21"/>
          <w:highlight w:val="none"/>
        </w:rPr>
        <w:t>服务期：</w:t>
      </w:r>
      <w:r>
        <w:rPr>
          <w:rFonts w:hint="eastAsia" w:ascii="宋体" w:hAnsi="Times New Roman" w:eastAsia="宋体" w:cs="Times New Roman"/>
          <w:color w:val="auto"/>
          <w:szCs w:val="21"/>
          <w:highlight w:val="none"/>
          <w:lang w:val="en-US" w:eastAsia="zh-CN"/>
        </w:rPr>
        <w:t>领取图纸之日起</w:t>
      </w:r>
      <w:r>
        <w:rPr>
          <w:rFonts w:hint="eastAsia" w:ascii="宋体" w:cs="Times New Roman"/>
          <w:color w:val="auto"/>
          <w:szCs w:val="21"/>
          <w:highlight w:val="none"/>
          <w:u w:val="single"/>
          <w:lang w:val="en-US" w:eastAsia="zh-CN"/>
        </w:rPr>
        <w:t xml:space="preserve">          </w:t>
      </w:r>
      <w:r>
        <w:rPr>
          <w:rFonts w:hint="eastAsia" w:ascii="宋体" w:hAnsi="Times New Roman" w:eastAsia="宋体" w:cs="Times New Roman"/>
          <w:color w:val="auto"/>
          <w:szCs w:val="21"/>
          <w:highlight w:val="none"/>
          <w:lang w:val="en-US" w:eastAsia="zh-CN"/>
        </w:rPr>
        <w:t>日内完成工程量清单和最高投标限价的编制工作。</w:t>
      </w:r>
    </w:p>
    <w:p w14:paraId="4BC742CB">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3.本项目投标有效期为</w:t>
      </w:r>
      <w:r>
        <w:rPr>
          <w:rFonts w:hint="eastAsia" w:ascii="宋体" w:hAnsi="Times New Roman" w:eastAsia="宋体" w:cs="Times New Roman"/>
          <w:color w:val="auto"/>
          <w:szCs w:val="21"/>
          <w:highlight w:val="none"/>
          <w:u w:val="single"/>
        </w:rPr>
        <w:t xml:space="preserve">  </w:t>
      </w:r>
      <w:r>
        <w:rPr>
          <w:rFonts w:hint="eastAsia" w:ascii="宋体" w:cs="Times New Roman"/>
          <w:color w:val="auto"/>
          <w:szCs w:val="21"/>
          <w:highlight w:val="none"/>
          <w:u w:val="single"/>
          <w:lang w:val="en-US" w:eastAsia="zh-CN"/>
        </w:rPr>
        <w:t xml:space="preserve"> 60 </w:t>
      </w:r>
      <w:r>
        <w:rPr>
          <w:rFonts w:hint="eastAsia" w:ascii="宋体" w:hAnsi="Times New Roman" w:eastAsia="宋体" w:cs="Times New Roman"/>
          <w:color w:val="auto"/>
          <w:szCs w:val="21"/>
          <w:highlight w:val="none"/>
          <w:u w:val="single"/>
        </w:rPr>
        <w:t xml:space="preserve"> </w:t>
      </w:r>
      <w:r>
        <w:rPr>
          <w:rFonts w:hint="eastAsia" w:ascii="宋体" w:hAnsi="Times New Roman" w:eastAsia="宋体" w:cs="Times New Roman"/>
          <w:color w:val="auto"/>
          <w:szCs w:val="21"/>
          <w:highlight w:val="none"/>
        </w:rPr>
        <w:t xml:space="preserve"> 日历天（从投标截止之日算起）。</w:t>
      </w:r>
    </w:p>
    <w:p w14:paraId="5F326992">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color w:val="auto"/>
          <w:szCs w:val="21"/>
          <w:highlight w:val="none"/>
        </w:rPr>
      </w:pPr>
      <w:r>
        <w:rPr>
          <w:rFonts w:hint="eastAsia" w:ascii="宋体"/>
          <w:color w:val="auto"/>
          <w:szCs w:val="21"/>
          <w:highlight w:val="none"/>
        </w:rPr>
        <w:t>4.一旦我方成为合同签字人，我方将严格履行合同规定的责任和义务。</w:t>
      </w:r>
    </w:p>
    <w:p w14:paraId="204B7EC7">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color w:val="auto"/>
          <w:szCs w:val="21"/>
          <w:highlight w:val="none"/>
        </w:rPr>
      </w:pPr>
      <w:r>
        <w:rPr>
          <w:rFonts w:hint="eastAsia" w:ascii="宋体"/>
          <w:color w:val="auto"/>
          <w:szCs w:val="21"/>
          <w:highlight w:val="none"/>
          <w:lang w:val="en-US" w:eastAsia="zh-CN"/>
        </w:rPr>
        <w:t>5</w:t>
      </w:r>
      <w:r>
        <w:rPr>
          <w:rFonts w:hint="eastAsia" w:ascii="宋体"/>
          <w:color w:val="auto"/>
          <w:szCs w:val="21"/>
          <w:highlight w:val="none"/>
        </w:rPr>
        <w:t>.若我方中标，愿意为本项目提交的纸质投标文件一式</w:t>
      </w:r>
      <w:r>
        <w:rPr>
          <w:rFonts w:hint="eastAsia" w:ascii="宋体"/>
          <w:color w:val="auto"/>
          <w:szCs w:val="21"/>
          <w:highlight w:val="none"/>
          <w:lang w:val="en-US" w:eastAsia="zh-CN"/>
        </w:rPr>
        <w:t>二</w:t>
      </w:r>
      <w:r>
        <w:rPr>
          <w:rFonts w:hint="eastAsia" w:ascii="宋体"/>
          <w:color w:val="auto"/>
          <w:szCs w:val="21"/>
          <w:highlight w:val="none"/>
        </w:rPr>
        <w:t>份，其中正本一份、副本</w:t>
      </w:r>
      <w:r>
        <w:rPr>
          <w:rFonts w:hint="eastAsia" w:ascii="宋体"/>
          <w:color w:val="auto"/>
          <w:szCs w:val="21"/>
          <w:highlight w:val="none"/>
          <w:lang w:val="en-US" w:eastAsia="zh-CN"/>
        </w:rPr>
        <w:t>一</w:t>
      </w:r>
      <w:r>
        <w:rPr>
          <w:rFonts w:hint="eastAsia" w:ascii="宋体"/>
          <w:color w:val="auto"/>
          <w:szCs w:val="21"/>
          <w:highlight w:val="none"/>
        </w:rPr>
        <w:t>份。</w:t>
      </w:r>
    </w:p>
    <w:p w14:paraId="52593B24">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color w:val="auto"/>
          <w:szCs w:val="21"/>
          <w:highlight w:val="none"/>
        </w:rPr>
      </w:pPr>
      <w:r>
        <w:rPr>
          <w:rFonts w:hint="eastAsia" w:ascii="宋体"/>
          <w:color w:val="auto"/>
          <w:szCs w:val="21"/>
          <w:highlight w:val="none"/>
          <w:lang w:val="en-US" w:eastAsia="zh-CN"/>
        </w:rPr>
        <w:t>6</w:t>
      </w:r>
      <w:r>
        <w:rPr>
          <w:rFonts w:hint="eastAsia" w:ascii="宋体"/>
          <w:color w:val="auto"/>
          <w:szCs w:val="21"/>
          <w:highlight w:val="none"/>
        </w:rPr>
        <w:t>.我方愿意提供可能另外要求的、与采购投标有关的文件资料，并保证我方已提供和将要提供的文件是真实的、准确的。</w:t>
      </w:r>
    </w:p>
    <w:p w14:paraId="12403E31">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color w:val="auto"/>
          <w:szCs w:val="21"/>
          <w:highlight w:val="none"/>
        </w:rPr>
      </w:pPr>
      <w:r>
        <w:rPr>
          <w:rFonts w:hint="eastAsia" w:ascii="宋体"/>
          <w:color w:val="auto"/>
          <w:szCs w:val="21"/>
          <w:highlight w:val="none"/>
        </w:rPr>
        <w:t>8.我单位提供如下通讯地址：</w:t>
      </w:r>
      <w:r>
        <w:rPr>
          <w:rFonts w:hint="eastAsia" w:ascii="宋体"/>
          <w:color w:val="auto"/>
          <w:szCs w:val="21"/>
          <w:highlight w:val="none"/>
          <w:u w:val="single"/>
        </w:rPr>
        <w:t xml:space="preserve">                电子邮箱（地址）</w:t>
      </w:r>
      <w:r>
        <w:rPr>
          <w:rFonts w:hint="eastAsia" w:ascii="宋体"/>
          <w:color w:val="auto"/>
          <w:szCs w:val="21"/>
          <w:highlight w:val="none"/>
        </w:rPr>
        <w:t>，确认本项目相关法律文书均通过提供的以上地址送达，相关文书只要发送至以上电子邮箱（地址）即视为送达，投标人愿意承担一切法律后果。</w:t>
      </w:r>
    </w:p>
    <w:p w14:paraId="00DF6C2E">
      <w:pPr>
        <w:pStyle w:val="2"/>
        <w:spacing w:line="360" w:lineRule="auto"/>
        <w:rPr>
          <w:rFonts w:hint="eastAsia" w:ascii="宋体" w:hAnsi="宋体" w:eastAsia="宋体" w:cs="宋体"/>
          <w:color w:val="auto"/>
          <w:szCs w:val="21"/>
          <w:highlight w:val="none"/>
        </w:rPr>
      </w:pPr>
    </w:p>
    <w:p w14:paraId="52ECA389">
      <w:pPr>
        <w:keepNext w:val="0"/>
        <w:keepLines w:val="0"/>
        <w:pageBreakBefore w:val="0"/>
        <w:widowControl w:val="0"/>
        <w:kinsoku/>
        <w:wordWrap/>
        <w:overflowPunct/>
        <w:topLinePunct w:val="0"/>
        <w:autoSpaceDE/>
        <w:autoSpaceDN/>
        <w:bidi w:val="0"/>
        <w:adjustRightInd/>
        <w:snapToGrid/>
        <w:spacing w:line="360" w:lineRule="auto"/>
        <w:ind w:firstLine="1995" w:firstLineChars="950"/>
        <w:textAlignment w:val="auto"/>
        <w:rPr>
          <w:rFonts w:hint="eastAsia" w:ascii="宋体" w:hAnsi="宋体" w:eastAsia="宋体" w:cs="宋体"/>
          <w:color w:val="auto"/>
          <w:szCs w:val="21"/>
          <w:highlight w:val="none"/>
        </w:rPr>
      </w:pPr>
    </w:p>
    <w:p w14:paraId="45B1C6C3">
      <w:pPr>
        <w:keepNext w:val="0"/>
        <w:keepLines w:val="0"/>
        <w:pageBreakBefore w:val="0"/>
        <w:widowControl w:val="0"/>
        <w:kinsoku/>
        <w:wordWrap/>
        <w:overflowPunct/>
        <w:topLinePunct w:val="0"/>
        <w:autoSpaceDE/>
        <w:autoSpaceDN/>
        <w:bidi w:val="0"/>
        <w:adjustRightInd/>
        <w:snapToGrid/>
        <w:spacing w:line="360" w:lineRule="auto"/>
        <w:ind w:firstLine="1995" w:firstLineChars="95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（签章） </w:t>
      </w:r>
    </w:p>
    <w:p w14:paraId="1F08F4FE">
      <w:pPr>
        <w:keepNext w:val="0"/>
        <w:keepLines w:val="0"/>
        <w:pageBreakBefore w:val="0"/>
        <w:widowControl w:val="0"/>
        <w:kinsoku/>
        <w:wordWrap/>
        <w:overflowPunct/>
        <w:topLinePunct w:val="0"/>
        <w:autoSpaceDE/>
        <w:autoSpaceDN/>
        <w:bidi w:val="0"/>
        <w:adjustRightInd/>
        <w:snapToGrid/>
        <w:spacing w:line="360" w:lineRule="auto"/>
        <w:ind w:left="1995" w:leftChars="9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签字或盖章</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 xml:space="preserve">         </w:t>
      </w:r>
    </w:p>
    <w:p w14:paraId="2267CA40">
      <w:pPr>
        <w:keepNext w:val="0"/>
        <w:keepLines w:val="0"/>
        <w:pageBreakBefore w:val="0"/>
        <w:widowControl w:val="0"/>
        <w:kinsoku/>
        <w:wordWrap/>
        <w:overflowPunct/>
        <w:topLinePunct w:val="0"/>
        <w:autoSpaceDE/>
        <w:autoSpaceDN/>
        <w:bidi w:val="0"/>
        <w:adjustRightInd/>
        <w:snapToGrid/>
        <w:spacing w:line="360" w:lineRule="auto"/>
        <w:ind w:left="1995" w:leftChars="950"/>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rPr>
        <w:t>单位地址：</w:t>
      </w:r>
      <w:r>
        <w:rPr>
          <w:rFonts w:hint="eastAsia" w:ascii="宋体" w:hAnsi="宋体" w:eastAsia="宋体" w:cs="宋体"/>
          <w:color w:val="auto"/>
          <w:szCs w:val="21"/>
          <w:highlight w:val="none"/>
          <w:u w:val="none"/>
        </w:rPr>
        <w:t xml:space="preserve">                   </w:t>
      </w:r>
    </w:p>
    <w:p w14:paraId="04B0F2ED">
      <w:pPr>
        <w:keepNext w:val="0"/>
        <w:keepLines w:val="0"/>
        <w:pageBreakBefore w:val="0"/>
        <w:widowControl w:val="0"/>
        <w:kinsoku/>
        <w:wordWrap/>
        <w:overflowPunct/>
        <w:topLinePunct w:val="0"/>
        <w:autoSpaceDE/>
        <w:autoSpaceDN/>
        <w:bidi w:val="0"/>
        <w:adjustRightInd/>
        <w:snapToGrid/>
        <w:spacing w:line="360" w:lineRule="auto"/>
        <w:ind w:left="1995" w:leftChars="95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none"/>
          <w:lang w:val="en-US" w:eastAsia="zh-CN"/>
        </w:rPr>
        <w:t>联系电话：</w:t>
      </w:r>
      <w:r>
        <w:rPr>
          <w:rFonts w:hint="eastAsia" w:ascii="宋体" w:hAnsi="宋体" w:eastAsia="宋体" w:cs="宋体"/>
          <w:color w:val="auto"/>
          <w:szCs w:val="21"/>
          <w:highlight w:val="none"/>
          <w:u w:val="none"/>
        </w:rPr>
        <w:t xml:space="preserve">   </w:t>
      </w:r>
      <w:r>
        <w:rPr>
          <w:rFonts w:hint="eastAsia" w:ascii="宋体" w:hAnsi="宋体" w:eastAsia="宋体" w:cs="宋体"/>
          <w:color w:val="auto"/>
          <w:szCs w:val="21"/>
          <w:highlight w:val="none"/>
          <w:u w:val="single"/>
        </w:rPr>
        <w:t xml:space="preserve">                </w:t>
      </w:r>
    </w:p>
    <w:p w14:paraId="23F4B22F">
      <w:pPr>
        <w:keepNext w:val="0"/>
        <w:keepLines w:val="0"/>
        <w:pageBreakBefore w:val="0"/>
        <w:widowControl w:val="0"/>
        <w:kinsoku/>
        <w:wordWrap/>
        <w:overflowPunct/>
        <w:topLinePunct w:val="0"/>
        <w:autoSpaceDE/>
        <w:autoSpaceDN/>
        <w:bidi w:val="0"/>
        <w:adjustRightInd/>
        <w:snapToGrid/>
        <w:spacing w:line="360" w:lineRule="auto"/>
        <w:ind w:left="1995" w:leftChars="95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年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44CE9E6A">
      <w:pPr>
        <w:spacing w:line="360" w:lineRule="auto"/>
        <w:rPr>
          <w:rFonts w:hint="eastAsia" w:ascii="宋体" w:hAnsi="宋体" w:cs="宋体"/>
          <w:b/>
          <w:color w:val="auto"/>
          <w:sz w:val="28"/>
          <w:szCs w:val="28"/>
          <w:highlight w:val="none"/>
          <w:lang w:val="en-US" w:eastAsia="zh-CN"/>
        </w:rPr>
      </w:pPr>
    </w:p>
    <w:p w14:paraId="35B540EB">
      <w:pPr>
        <w:spacing w:line="360" w:lineRule="auto"/>
        <w:rPr>
          <w:rFonts w:hint="eastAsia" w:ascii="宋体" w:hAnsi="宋体" w:cs="宋体"/>
          <w:b/>
          <w:color w:val="auto"/>
          <w:sz w:val="28"/>
          <w:szCs w:val="28"/>
          <w:highlight w:val="none"/>
          <w:lang w:val="en-US" w:eastAsia="zh-CN"/>
        </w:rPr>
      </w:pPr>
    </w:p>
    <w:p w14:paraId="3718D3FE">
      <w:pPr>
        <w:pStyle w:val="6"/>
        <w:spacing w:before="0" w:after="0"/>
        <w:rPr>
          <w:rFonts w:hint="eastAsia" w:ascii="宋体" w:hAnsi="宋体" w:eastAsia="宋体" w:cs="宋体"/>
          <w:color w:val="auto"/>
          <w:highlight w:val="none"/>
          <w:lang w:val="en-US" w:eastAsia="zh-CN"/>
        </w:rPr>
      </w:pPr>
      <w:bookmarkStart w:id="208" w:name="_Toc6595"/>
      <w:bookmarkStart w:id="209" w:name="_Toc31498"/>
      <w:r>
        <w:rPr>
          <w:rFonts w:hint="eastAsia" w:ascii="宋体" w:hAnsi="宋体" w:eastAsia="宋体" w:cs="宋体"/>
          <w:color w:val="auto"/>
          <w:highlight w:val="none"/>
          <w:lang w:val="en-US" w:eastAsia="zh-CN"/>
        </w:rPr>
        <w:t>第五章 招标单位、招标代理机构对本招标文件的确认</w:t>
      </w:r>
      <w:bookmarkEnd w:id="208"/>
      <w:bookmarkEnd w:id="209"/>
    </w:p>
    <w:tbl>
      <w:tblPr>
        <w:tblStyle w:val="45"/>
        <w:tblW w:w="968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9"/>
      </w:tblGrid>
      <w:tr w14:paraId="45B99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1" w:hRule="atLeast"/>
        </w:trPr>
        <w:tc>
          <w:tcPr>
            <w:tcW w:w="9689" w:type="dxa"/>
          </w:tcPr>
          <w:p w14:paraId="326BAA51">
            <w:pPr>
              <w:spacing w:line="320" w:lineRule="atLeast"/>
              <w:ind w:firstLine="560" w:firstLineChars="200"/>
              <w:rPr>
                <w:rFonts w:hint="eastAsia" w:ascii="宋体" w:hAnsi="宋体" w:eastAsia="宋体" w:cs="宋体"/>
                <w:color w:val="auto"/>
                <w:sz w:val="28"/>
                <w:szCs w:val="28"/>
                <w:highlight w:val="none"/>
              </w:rPr>
            </w:pPr>
          </w:p>
          <w:p w14:paraId="388A6941">
            <w:pPr>
              <w:spacing w:line="320" w:lineRule="atLeas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我单位对</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滁州市老城区排涝综合整治工程-城西干渠（凤谯路-会峰路）改造工程工程量清单及最高投标限价编制服务项目</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的招标文件进行确认。</w:t>
            </w:r>
          </w:p>
          <w:p w14:paraId="70D47DF8">
            <w:pPr>
              <w:spacing w:line="320" w:lineRule="atLeast"/>
              <w:ind w:firstLine="560" w:firstLineChars="200"/>
              <w:rPr>
                <w:rFonts w:hint="eastAsia" w:ascii="宋体" w:hAnsi="宋体" w:eastAsia="宋体" w:cs="宋体"/>
                <w:color w:val="auto"/>
                <w:sz w:val="28"/>
                <w:szCs w:val="28"/>
                <w:highlight w:val="none"/>
              </w:rPr>
            </w:pPr>
          </w:p>
          <w:p w14:paraId="16EDA7DA">
            <w:pPr>
              <w:spacing w:line="320" w:lineRule="atLeas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招标人：</w:t>
            </w:r>
            <w:r>
              <w:rPr>
                <w:rFonts w:hint="eastAsia" w:ascii="宋体" w:hAnsi="宋体" w:eastAsia="宋体" w:cs="宋体"/>
                <w:color w:val="auto"/>
                <w:sz w:val="28"/>
                <w:szCs w:val="28"/>
                <w:highlight w:val="none"/>
                <w:lang w:eastAsia="zh-CN"/>
              </w:rPr>
              <w:t>滁州市重点工程建设管理处</w:t>
            </w:r>
          </w:p>
          <w:p w14:paraId="3463F686">
            <w:pPr>
              <w:spacing w:line="320" w:lineRule="atLeas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联系人：</w:t>
            </w:r>
            <w:r>
              <w:rPr>
                <w:rFonts w:hint="eastAsia" w:ascii="宋体" w:hAnsi="宋体" w:cs="宋体"/>
                <w:color w:val="auto"/>
                <w:sz w:val="28"/>
                <w:szCs w:val="28"/>
                <w:highlight w:val="none"/>
                <w:lang w:val="en-US" w:eastAsia="zh-CN"/>
              </w:rPr>
              <w:t>马雪婷</w:t>
            </w:r>
          </w:p>
          <w:p w14:paraId="0C9165C7">
            <w:pPr>
              <w:spacing w:line="320" w:lineRule="atLeast"/>
              <w:ind w:firstLine="560" w:firstLineChars="2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联系方式：</w:t>
            </w:r>
            <w:r>
              <w:rPr>
                <w:rFonts w:hint="eastAsia" w:ascii="宋体" w:hAnsi="宋体" w:cs="宋体"/>
                <w:color w:val="auto"/>
                <w:sz w:val="28"/>
                <w:szCs w:val="28"/>
                <w:highlight w:val="none"/>
                <w:lang w:val="en-US" w:eastAsia="zh-CN"/>
              </w:rPr>
              <w:t>0550-3046029</w:t>
            </w:r>
          </w:p>
          <w:p w14:paraId="6E5C8EF3">
            <w:pPr>
              <w:spacing w:line="500" w:lineRule="exact"/>
              <w:ind w:firstLine="281" w:firstLineChars="100"/>
              <w:rPr>
                <w:rFonts w:hint="eastAsia" w:ascii="宋体" w:hAnsi="宋体" w:eastAsia="宋体" w:cs="宋体"/>
                <w:b/>
                <w:bCs/>
                <w:color w:val="auto"/>
                <w:sz w:val="28"/>
                <w:szCs w:val="28"/>
                <w:highlight w:val="none"/>
              </w:rPr>
            </w:pPr>
          </w:p>
          <w:p w14:paraId="1E3913DA">
            <w:pPr>
              <w:spacing w:line="500" w:lineRule="exact"/>
              <w:ind w:firstLine="280" w:firstLineChars="1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（单位盖章）</w:t>
            </w:r>
          </w:p>
          <w:p w14:paraId="33C2043A">
            <w:pPr>
              <w:ind w:firstLine="5320" w:firstLineChars="19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 xml:space="preserve"> 202</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7月</w:t>
            </w:r>
          </w:p>
        </w:tc>
      </w:tr>
      <w:tr w14:paraId="60B46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1" w:hRule="atLeast"/>
        </w:trPr>
        <w:tc>
          <w:tcPr>
            <w:tcW w:w="9689" w:type="dxa"/>
          </w:tcPr>
          <w:p w14:paraId="2D346054">
            <w:pPr>
              <w:spacing w:line="320" w:lineRule="atLeast"/>
              <w:ind w:firstLine="560" w:firstLineChars="200"/>
              <w:rPr>
                <w:rFonts w:hint="eastAsia" w:ascii="宋体" w:hAnsi="宋体" w:eastAsia="宋体" w:cs="宋体"/>
                <w:color w:val="auto"/>
                <w:sz w:val="28"/>
                <w:szCs w:val="28"/>
                <w:highlight w:val="none"/>
              </w:rPr>
            </w:pPr>
          </w:p>
          <w:p w14:paraId="429FA252">
            <w:pPr>
              <w:spacing w:line="320" w:lineRule="atLeas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招标代理机构：滁州市城投工程咨询管理有限公司</w:t>
            </w:r>
          </w:p>
          <w:p w14:paraId="396B5BE0">
            <w:pPr>
              <w:spacing w:line="320" w:lineRule="atLeas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联系人：</w:t>
            </w:r>
            <w:r>
              <w:rPr>
                <w:rFonts w:hint="eastAsia" w:ascii="宋体" w:hAnsi="宋体" w:cs="宋体"/>
                <w:color w:val="auto"/>
                <w:sz w:val="28"/>
                <w:szCs w:val="28"/>
                <w:highlight w:val="none"/>
                <w:lang w:val="en-US" w:eastAsia="zh-CN"/>
              </w:rPr>
              <w:t>关勤勤</w:t>
            </w:r>
          </w:p>
          <w:p w14:paraId="3E3D785F">
            <w:pPr>
              <w:spacing w:line="320" w:lineRule="atLeast"/>
              <w:ind w:firstLine="560" w:firstLineChars="2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联系电话：</w:t>
            </w:r>
            <w:r>
              <w:rPr>
                <w:rFonts w:hint="eastAsia" w:ascii="宋体" w:hAnsi="宋体" w:cs="宋体"/>
                <w:color w:val="auto"/>
                <w:sz w:val="28"/>
                <w:szCs w:val="28"/>
                <w:highlight w:val="none"/>
                <w:lang w:val="en-US" w:eastAsia="zh-CN"/>
              </w:rPr>
              <w:t>18909605753</w:t>
            </w:r>
          </w:p>
          <w:p w14:paraId="497AA04E">
            <w:pPr>
              <w:rPr>
                <w:rFonts w:hint="eastAsia" w:ascii="宋体" w:hAnsi="宋体" w:eastAsia="宋体" w:cs="宋体"/>
                <w:color w:val="auto"/>
                <w:sz w:val="28"/>
                <w:szCs w:val="28"/>
                <w:highlight w:val="none"/>
              </w:rPr>
            </w:pPr>
          </w:p>
          <w:p w14:paraId="60AF574C">
            <w:pPr>
              <w:ind w:firstLine="5040" w:firstLineChars="18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（单位盖章）</w:t>
            </w:r>
          </w:p>
          <w:p w14:paraId="5AE54977">
            <w:pPr>
              <w:ind w:firstLine="4900" w:firstLineChars="175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 xml:space="preserve">   202</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val="en-US" w:eastAsia="zh-CN"/>
              </w:rPr>
              <w:t>年</w:t>
            </w:r>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rPr>
              <w:t>月</w:t>
            </w:r>
          </w:p>
        </w:tc>
      </w:tr>
    </w:tbl>
    <w:p w14:paraId="22D2196B">
      <w:pPr>
        <w:pStyle w:val="20"/>
        <w:jc w:val="left"/>
        <w:rPr>
          <w:rFonts w:hint="eastAsia" w:ascii="宋体" w:hAnsi="宋体" w:eastAsia="宋体" w:cs="宋体"/>
          <w:color w:val="auto"/>
          <w:kern w:val="0"/>
          <w:sz w:val="24"/>
          <w:szCs w:val="24"/>
          <w:highlight w:val="none"/>
        </w:rPr>
      </w:pPr>
    </w:p>
    <w:p w14:paraId="63AE5489">
      <w:pPr>
        <w:pStyle w:val="20"/>
        <w:jc w:val="left"/>
        <w:rPr>
          <w:rFonts w:hint="eastAsia" w:ascii="宋体" w:hAnsi="宋体" w:eastAsia="宋体" w:cs="宋体"/>
          <w:color w:val="auto"/>
          <w:kern w:val="0"/>
          <w:sz w:val="24"/>
          <w:szCs w:val="24"/>
          <w:highlight w:val="none"/>
        </w:rPr>
      </w:pPr>
    </w:p>
    <w:p w14:paraId="542E3EE9">
      <w:pPr>
        <w:pStyle w:val="20"/>
        <w:jc w:val="left"/>
        <w:rPr>
          <w:rFonts w:hint="eastAsia" w:ascii="宋体" w:hAnsi="宋体" w:eastAsia="宋体" w:cs="宋体"/>
          <w:color w:val="auto"/>
          <w:kern w:val="0"/>
          <w:sz w:val="24"/>
          <w:szCs w:val="24"/>
          <w:highlight w:val="none"/>
        </w:rPr>
      </w:pPr>
    </w:p>
    <w:p w14:paraId="386F7769">
      <w:pPr>
        <w:pStyle w:val="2"/>
        <w:ind w:left="199" w:leftChars="95" w:firstLine="198" w:firstLineChars="66"/>
        <w:rPr>
          <w:rFonts w:hint="eastAsia" w:hAnsi="宋体"/>
          <w:color w:val="auto"/>
          <w:sz w:val="30"/>
          <w:szCs w:val="30"/>
          <w:highlight w:val="none"/>
        </w:rPr>
      </w:pPr>
    </w:p>
    <w:p w14:paraId="155ACA93">
      <w:pPr>
        <w:pStyle w:val="2"/>
        <w:ind w:left="199" w:leftChars="95" w:firstLine="198" w:firstLineChars="66"/>
        <w:rPr>
          <w:rFonts w:hint="eastAsia" w:hAnsi="宋体"/>
          <w:color w:val="auto"/>
          <w:sz w:val="30"/>
          <w:szCs w:val="30"/>
          <w:highlight w:val="none"/>
        </w:rPr>
      </w:pPr>
      <w:r>
        <w:rPr>
          <w:rFonts w:hint="eastAsia" w:hAnsi="宋体"/>
          <w:color w:val="auto"/>
          <w:sz w:val="30"/>
          <w:szCs w:val="30"/>
          <w:highlight w:val="none"/>
        </w:rPr>
        <w:t>附件：</w:t>
      </w:r>
    </w:p>
    <w:p w14:paraId="3C4FBDD1">
      <w:pPr>
        <w:pStyle w:val="2"/>
        <w:ind w:left="199" w:leftChars="95" w:firstLine="198" w:firstLineChars="66"/>
        <w:rPr>
          <w:rFonts w:hint="eastAsia" w:hAnsi="宋体"/>
          <w:color w:val="auto"/>
          <w:sz w:val="30"/>
          <w:szCs w:val="30"/>
          <w:highlight w:val="none"/>
        </w:rPr>
      </w:pPr>
    </w:p>
    <w:p w14:paraId="65694767">
      <w:pPr>
        <w:rPr>
          <w:rFonts w:hint="eastAsia"/>
          <w:color w:val="auto"/>
          <w:highlight w:val="none"/>
        </w:rPr>
      </w:pPr>
    </w:p>
    <w:p w14:paraId="50AFC473">
      <w:pPr>
        <w:pStyle w:val="2"/>
        <w:ind w:left="199" w:leftChars="95" w:firstLine="211" w:firstLineChars="66"/>
        <w:rPr>
          <w:rFonts w:hint="default" w:ascii="Times New Roman" w:hAnsi="Times New Roman" w:eastAsia="楷体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rPr>
        <w:t>滁重〔</w:t>
      </w:r>
      <w:r>
        <w:rPr>
          <w:rFonts w:hint="default" w:ascii="Times New Roman" w:hAnsi="Times New Roman" w:eastAsia="仿宋_GB2312" w:cs="Times New Roman"/>
          <w:color w:val="auto"/>
          <w:sz w:val="32"/>
          <w:szCs w:val="32"/>
          <w:highlight w:val="none"/>
          <w:shd w:val="clear" w:color="auto" w:fill="auto"/>
          <w:lang w:eastAsia="zh-CN"/>
        </w:rPr>
        <w:t>20</w:t>
      </w:r>
      <w:r>
        <w:rPr>
          <w:rFonts w:hint="default" w:ascii="Times New Roman" w:hAnsi="Times New Roman" w:eastAsia="仿宋_GB2312" w:cs="Times New Roman"/>
          <w:color w:val="auto"/>
          <w:sz w:val="32"/>
          <w:szCs w:val="32"/>
          <w:highlight w:val="none"/>
          <w:shd w:val="clear" w:color="auto" w:fill="auto"/>
          <w:lang w:val="en-US" w:eastAsia="zh-CN"/>
        </w:rPr>
        <w:t>22</w:t>
      </w:r>
      <w:r>
        <w:rPr>
          <w:rFonts w:hint="default" w:ascii="Times New Roman" w:hAnsi="Times New Roman" w:eastAsia="仿宋_GB2312" w:cs="Times New Roman"/>
          <w:color w:val="auto"/>
          <w:sz w:val="32"/>
          <w:szCs w:val="32"/>
          <w:highlight w:val="none"/>
          <w:shd w:val="clear" w:color="auto" w:fill="auto"/>
        </w:rPr>
        <w:t>〕</w:t>
      </w:r>
      <w:r>
        <w:rPr>
          <w:rFonts w:hint="default" w:ascii="Times New Roman" w:hAnsi="Times New Roman" w:eastAsia="仿宋_GB2312" w:cs="Times New Roman"/>
          <w:color w:val="auto"/>
          <w:sz w:val="32"/>
          <w:szCs w:val="32"/>
          <w:highlight w:val="none"/>
          <w:shd w:val="clear" w:color="auto" w:fill="auto"/>
          <w:lang w:val="en-US" w:eastAsia="zh-CN"/>
        </w:rPr>
        <w:t>55号</w:t>
      </w:r>
    </w:p>
    <w:p w14:paraId="1231DE3C">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default" w:ascii="Times New Roman" w:hAnsi="Times New Roman" w:eastAsia="方正小标宋简体" w:cs="Times New Roman"/>
          <w:b w:val="0"/>
          <w:bCs/>
          <w:color w:val="auto"/>
          <w:spacing w:val="-11"/>
          <w:sz w:val="44"/>
          <w:szCs w:val="44"/>
          <w:highlight w:val="none"/>
        </w:rPr>
      </w:pPr>
      <w:r>
        <w:rPr>
          <w:rFonts w:hint="default" w:ascii="Times New Roman" w:hAnsi="Times New Roman" w:eastAsia="方正小标宋简体" w:cs="Times New Roman"/>
          <w:b w:val="0"/>
          <w:bCs/>
          <w:color w:val="auto"/>
          <w:spacing w:val="-11"/>
          <w:sz w:val="44"/>
          <w:szCs w:val="44"/>
          <w:highlight w:val="none"/>
        </w:rPr>
        <w:t>关于印发《工程造价咨询服务管理办法》的通知</w:t>
      </w:r>
    </w:p>
    <w:p w14:paraId="638ADF2B">
      <w:pPr>
        <w:spacing w:line="600" w:lineRule="exact"/>
        <w:rPr>
          <w:rFonts w:hint="default" w:ascii="Times New Roman" w:hAnsi="Times New Roman" w:eastAsia="宋体" w:cs="Times New Roman"/>
          <w:color w:val="auto"/>
          <w:szCs w:val="32"/>
          <w:highlight w:val="none"/>
        </w:rPr>
      </w:pPr>
    </w:p>
    <w:p w14:paraId="37411C05">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default" w:ascii="Times New Roman" w:hAnsi="Times New Roman" w:eastAsia="仿宋_GB2312" w:cs="Times New Roman"/>
          <w:color w:val="auto"/>
          <w:sz w:val="32"/>
          <w:szCs w:val="32"/>
          <w:highlight w:val="none"/>
        </w:rPr>
      </w:pPr>
      <w:r>
        <w:rPr>
          <w:rFonts w:hint="eastAsia" w:ascii="Times New Roman" w:hAnsi="仿宋_GB2312" w:eastAsia="仿宋_GB2312" w:cs="Times New Roman"/>
          <w:color w:val="auto"/>
          <w:sz w:val="32"/>
          <w:szCs w:val="32"/>
          <w:highlight w:val="none"/>
        </w:rPr>
        <w:t>机关各</w:t>
      </w:r>
      <w:r>
        <w:rPr>
          <w:rFonts w:hint="eastAsia" w:ascii="Times New Roman" w:hAnsi="仿宋_GB2312" w:eastAsia="仿宋_GB2312" w:cs="Times New Roman"/>
          <w:color w:val="auto"/>
          <w:sz w:val="32"/>
          <w:szCs w:val="32"/>
          <w:highlight w:val="none"/>
          <w:lang w:eastAsia="zh-CN"/>
        </w:rPr>
        <w:t>科室</w:t>
      </w:r>
      <w:r>
        <w:rPr>
          <w:rFonts w:hint="eastAsia" w:ascii="Times New Roman" w:hAnsi="仿宋_GB2312" w:eastAsia="仿宋_GB2312" w:cs="Times New Roman"/>
          <w:color w:val="auto"/>
          <w:sz w:val="32"/>
          <w:szCs w:val="32"/>
          <w:highlight w:val="none"/>
        </w:rPr>
        <w:t>、处属各</w:t>
      </w:r>
      <w:r>
        <w:rPr>
          <w:rFonts w:hint="eastAsia" w:ascii="Times New Roman" w:hAnsi="仿宋_GB2312" w:eastAsia="仿宋_GB2312" w:cs="Times New Roman"/>
          <w:color w:val="auto"/>
          <w:sz w:val="32"/>
          <w:szCs w:val="32"/>
          <w:highlight w:val="none"/>
          <w:lang w:val="en-US" w:eastAsia="zh-CN"/>
        </w:rPr>
        <w:t>单位</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各工程造价咨询企业</w:t>
      </w:r>
      <w:r>
        <w:rPr>
          <w:rFonts w:hint="default" w:ascii="Times New Roman" w:hAnsi="Times New Roman" w:eastAsia="仿宋_GB2312" w:cs="Times New Roman"/>
          <w:color w:val="auto"/>
          <w:sz w:val="32"/>
          <w:szCs w:val="32"/>
          <w:highlight w:val="none"/>
        </w:rPr>
        <w:t>：</w:t>
      </w:r>
    </w:p>
    <w:p w14:paraId="57D3091F">
      <w:pPr>
        <w:keepNext w:val="0"/>
        <w:keepLines w:val="0"/>
        <w:pageBreakBefore w:val="0"/>
        <w:widowControl w:val="0"/>
        <w:kinsoku/>
        <w:overflowPunct/>
        <w:topLinePunct w:val="0"/>
        <w:autoSpaceDE/>
        <w:autoSpaceDN/>
        <w:bidi w:val="0"/>
        <w:adjustRightInd/>
        <w:snapToGrid/>
        <w:spacing w:line="600" w:lineRule="exact"/>
        <w:ind w:firstLine="645"/>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4"/>
          <w:kern w:val="0"/>
          <w:sz w:val="32"/>
          <w:szCs w:val="32"/>
          <w:highlight w:val="none"/>
        </w:rPr>
        <w:t>为</w:t>
      </w:r>
      <w:r>
        <w:rPr>
          <w:rFonts w:hint="default" w:ascii="Times New Roman" w:hAnsi="Times New Roman" w:eastAsia="仿宋_GB2312" w:cs="Times New Roman"/>
          <w:color w:val="auto"/>
          <w:sz w:val="32"/>
          <w:szCs w:val="32"/>
          <w:highlight w:val="none"/>
        </w:rPr>
        <w:t>加强</w:t>
      </w:r>
      <w:r>
        <w:rPr>
          <w:rFonts w:hint="default" w:ascii="Times New Roman" w:hAnsi="Times New Roman" w:eastAsia="仿宋_GB2312" w:cs="Times New Roman"/>
          <w:color w:val="auto"/>
          <w:spacing w:val="-4"/>
          <w:kern w:val="0"/>
          <w:sz w:val="32"/>
          <w:szCs w:val="32"/>
          <w:highlight w:val="none"/>
        </w:rPr>
        <w:t>我处工程造价咨询服务管理</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rPr>
        <w:t>规范工程</w:t>
      </w:r>
      <w:r>
        <w:rPr>
          <w:rFonts w:hint="default" w:ascii="Times New Roman" w:hAnsi="Times New Roman" w:eastAsia="仿宋_GB2312" w:cs="Times New Roman"/>
          <w:color w:val="auto"/>
          <w:spacing w:val="-4"/>
          <w:kern w:val="0"/>
          <w:sz w:val="32"/>
          <w:szCs w:val="32"/>
          <w:highlight w:val="none"/>
        </w:rPr>
        <w:t>造价咨询企业</w:t>
      </w:r>
      <w:r>
        <w:rPr>
          <w:rFonts w:hint="default" w:ascii="Times New Roman" w:hAnsi="Times New Roman" w:eastAsia="仿宋_GB2312" w:cs="Times New Roman"/>
          <w:color w:val="auto"/>
          <w:kern w:val="0"/>
          <w:sz w:val="32"/>
          <w:szCs w:val="32"/>
          <w:highlight w:val="none"/>
        </w:rPr>
        <w:t>考核工作，</w:t>
      </w:r>
      <w:r>
        <w:rPr>
          <w:rFonts w:hint="default" w:ascii="Times New Roman" w:hAnsi="Times New Roman" w:eastAsia="仿宋_GB2312" w:cs="Times New Roman"/>
          <w:color w:val="auto"/>
          <w:kern w:val="0"/>
          <w:sz w:val="32"/>
          <w:szCs w:val="32"/>
          <w:highlight w:val="none"/>
          <w:lang w:val="en-US" w:eastAsia="zh-CN"/>
        </w:rPr>
        <w:t>2020年10月印发了</w:t>
      </w:r>
      <w:r>
        <w:rPr>
          <w:rFonts w:hint="default" w:ascii="Times New Roman" w:hAnsi="Times New Roman" w:eastAsia="仿宋_GB2312" w:cs="Times New Roman"/>
          <w:color w:val="auto"/>
          <w:sz w:val="32"/>
          <w:szCs w:val="32"/>
          <w:highlight w:val="none"/>
        </w:rPr>
        <w:t>《工程造价咨询服务管理办法</w:t>
      </w:r>
      <w:r>
        <w:rPr>
          <w:rFonts w:hint="default" w:ascii="Times New Roman" w:hAnsi="Times New Roman" w:eastAsia="仿宋_GB2312" w:cs="Times New Roman"/>
          <w:color w:val="auto"/>
          <w:sz w:val="32"/>
          <w:szCs w:val="32"/>
          <w:highlight w:val="none"/>
          <w:lang w:eastAsia="zh-CN"/>
        </w:rPr>
        <w:t>（试行）</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滁重〔</w:t>
      </w:r>
      <w:r>
        <w:rPr>
          <w:rFonts w:hint="default" w:ascii="Times New Roman" w:hAnsi="Times New Roman" w:eastAsia="仿宋_GB2312" w:cs="Times New Roman"/>
          <w:color w:val="auto"/>
          <w:sz w:val="32"/>
          <w:szCs w:val="32"/>
          <w:highlight w:val="none"/>
          <w:lang w:eastAsia="zh-CN"/>
        </w:rPr>
        <w:t>20</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 w:cs="Times New Roman"/>
          <w:color w:val="auto"/>
          <w:sz w:val="32"/>
          <w:szCs w:val="32"/>
          <w:highlight w:val="none"/>
          <w:shd w:val="clear" w:color="auto" w:fill="auto"/>
          <w:lang w:val="en-US" w:eastAsia="zh-CN"/>
        </w:rPr>
        <w:t>61</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lang w:val="en-US" w:eastAsia="zh-CN"/>
        </w:rPr>
        <w:t>)，试行已满一年，结合工作实际，现予以修订。经2022</w:t>
      </w:r>
      <w:r>
        <w:rPr>
          <w:rFonts w:hint="default" w:ascii="Times New Roman" w:hAnsi="Times New Roman" w:eastAsia="仿宋_GB2312" w:cs="Times New Roman"/>
          <w:color w:val="auto"/>
          <w:sz w:val="32"/>
          <w:szCs w:val="32"/>
          <w:highlight w:val="none"/>
          <w:shd w:val="clear" w:color="auto" w:fill="auto"/>
          <w:lang w:val="en-US" w:eastAsia="zh-CN"/>
        </w:rPr>
        <w:t>年6月</w:t>
      </w:r>
      <w:r>
        <w:rPr>
          <w:rFonts w:hint="eastAsia" w:ascii="Times New Roman" w:hAnsi="Times New Roman" w:eastAsia="仿宋_GB2312" w:cs="Times New Roman"/>
          <w:color w:val="auto"/>
          <w:sz w:val="32"/>
          <w:szCs w:val="32"/>
          <w:highlight w:val="none"/>
          <w:shd w:val="clear" w:color="auto" w:fill="auto"/>
          <w:lang w:val="en-US" w:eastAsia="zh-CN"/>
        </w:rPr>
        <w:t>23日</w:t>
      </w:r>
      <w:r>
        <w:rPr>
          <w:rFonts w:hint="default" w:ascii="Times New Roman" w:hAnsi="Times New Roman" w:eastAsia="仿宋_GB2312" w:cs="Times New Roman"/>
          <w:color w:val="auto"/>
          <w:sz w:val="32"/>
          <w:szCs w:val="32"/>
          <w:highlight w:val="none"/>
          <w:shd w:val="clear" w:color="auto" w:fill="auto"/>
          <w:lang w:val="en-US" w:eastAsia="zh-CN"/>
        </w:rPr>
        <w:t>党组会</w:t>
      </w:r>
      <w:r>
        <w:rPr>
          <w:rFonts w:hint="default" w:ascii="Times New Roman" w:hAnsi="Times New Roman" w:eastAsia="仿宋_GB2312" w:cs="Times New Roman"/>
          <w:color w:val="auto"/>
          <w:sz w:val="32"/>
          <w:szCs w:val="32"/>
          <w:highlight w:val="none"/>
          <w:lang w:val="en-US" w:eastAsia="zh-CN"/>
        </w:rPr>
        <w:t>研究同意，</w:t>
      </w:r>
      <w:r>
        <w:rPr>
          <w:rFonts w:hint="default" w:ascii="Times New Roman" w:hAnsi="Times New Roman" w:eastAsia="仿宋_GB2312" w:cs="Times New Roman"/>
          <w:color w:val="auto"/>
          <w:kern w:val="0"/>
          <w:sz w:val="32"/>
          <w:szCs w:val="32"/>
          <w:highlight w:val="none"/>
          <w:lang w:eastAsia="zh-CN"/>
        </w:rPr>
        <w:t>现印发</w:t>
      </w:r>
      <w:r>
        <w:rPr>
          <w:rFonts w:hint="default" w:ascii="Times New Roman" w:hAnsi="Times New Roman" w:eastAsia="仿宋_GB2312" w:cs="Times New Roman"/>
          <w:color w:val="auto"/>
          <w:sz w:val="32"/>
          <w:szCs w:val="32"/>
          <w:highlight w:val="none"/>
        </w:rPr>
        <w:t>《工程造价咨询服务管理办法》，请认真贯彻执行</w:t>
      </w:r>
      <w:r>
        <w:rPr>
          <w:rFonts w:hint="default" w:ascii="Times New Roman" w:hAnsi="Times New Roman" w:eastAsia="仿宋_GB2312" w:cs="Times New Roman"/>
          <w:color w:val="auto"/>
          <w:kern w:val="0"/>
          <w:sz w:val="32"/>
          <w:szCs w:val="32"/>
          <w:highlight w:val="none"/>
        </w:rPr>
        <w:t>，并及时反馈执行中的意见和</w:t>
      </w:r>
      <w:r>
        <w:rPr>
          <w:rFonts w:hint="default" w:ascii="Times New Roman" w:hAnsi="Times New Roman" w:eastAsia="仿宋_GB2312" w:cs="Times New Roman"/>
          <w:color w:val="auto"/>
          <w:sz w:val="32"/>
          <w:szCs w:val="32"/>
          <w:highlight w:val="none"/>
        </w:rPr>
        <w:t>建议。《工程造价咨询服务管理办法</w:t>
      </w:r>
      <w:r>
        <w:rPr>
          <w:rFonts w:hint="default" w:ascii="Times New Roman" w:hAnsi="Times New Roman" w:eastAsia="仿宋_GB2312" w:cs="Times New Roman"/>
          <w:color w:val="auto"/>
          <w:sz w:val="32"/>
          <w:szCs w:val="32"/>
          <w:highlight w:val="none"/>
          <w:lang w:eastAsia="zh-CN"/>
        </w:rPr>
        <w:t>（试行）</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滁重〔</w:t>
      </w:r>
      <w:r>
        <w:rPr>
          <w:rFonts w:hint="default" w:ascii="Times New Roman" w:hAnsi="Times New Roman" w:eastAsia="仿宋_GB2312" w:cs="Times New Roman"/>
          <w:color w:val="auto"/>
          <w:sz w:val="32"/>
          <w:szCs w:val="32"/>
          <w:highlight w:val="none"/>
          <w:lang w:eastAsia="zh-CN"/>
        </w:rPr>
        <w:t>20</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 w:cs="Times New Roman"/>
          <w:color w:val="auto"/>
          <w:sz w:val="32"/>
          <w:szCs w:val="32"/>
          <w:highlight w:val="none"/>
          <w:shd w:val="clear" w:color="auto" w:fill="auto"/>
          <w:lang w:val="en-US" w:eastAsia="zh-CN"/>
        </w:rPr>
        <w:t>61</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《工程</w:t>
      </w:r>
      <w:r>
        <w:rPr>
          <w:rFonts w:hint="default" w:ascii="Times New Roman" w:hAnsi="Times New Roman" w:eastAsia="仿宋_GB2312" w:cs="Times New Roman"/>
          <w:color w:val="auto"/>
          <w:sz w:val="32"/>
          <w:szCs w:val="32"/>
          <w:highlight w:val="none"/>
          <w:lang w:eastAsia="zh-CN"/>
        </w:rPr>
        <w:t>量清单及最高投标限价编制管理办法</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滁重〔</w:t>
      </w:r>
      <w:r>
        <w:rPr>
          <w:rFonts w:hint="default" w:ascii="Times New Roman" w:hAnsi="Times New Roman" w:eastAsia="仿宋_GB2312" w:cs="Times New Roman"/>
          <w:color w:val="auto"/>
          <w:sz w:val="32"/>
          <w:szCs w:val="32"/>
          <w:highlight w:val="none"/>
          <w:lang w:eastAsia="zh-CN"/>
        </w:rPr>
        <w:t>20</w:t>
      </w:r>
      <w:r>
        <w:rPr>
          <w:rFonts w:hint="default" w:ascii="Times New Roman" w:hAnsi="Times New Roman" w:eastAsia="仿宋_GB2312" w:cs="Times New Roman"/>
          <w:color w:val="auto"/>
          <w:sz w:val="32"/>
          <w:szCs w:val="32"/>
          <w:highlight w:val="none"/>
          <w:lang w:val="en-US" w:eastAsia="zh-CN"/>
        </w:rPr>
        <w:t>19</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46</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废止。</w:t>
      </w:r>
    </w:p>
    <w:p w14:paraId="200143EC">
      <w:pPr>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cs="Times New Roman"/>
          <w:color w:val="auto"/>
          <w:highlight w:val="none"/>
        </w:rPr>
      </w:pPr>
    </w:p>
    <w:p w14:paraId="1C04CB0B">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滁州市重点工程建设管理处</w:t>
      </w:r>
      <w:r>
        <w:rPr>
          <w:rFonts w:hint="default" w:ascii="Times New Roman" w:hAnsi="Times New Roman" w:eastAsia="仿宋_GB2312" w:cs="Times New Roman"/>
          <w:color w:val="auto"/>
          <w:sz w:val="32"/>
          <w:szCs w:val="32"/>
          <w:highlight w:val="none"/>
          <w:lang w:val="en-US" w:eastAsia="zh-CN"/>
        </w:rPr>
        <w:t xml:space="preserve">    </w:t>
      </w:r>
    </w:p>
    <w:p w14:paraId="52F0F73F">
      <w:pPr>
        <w:keepNext w:val="0"/>
        <w:keepLines w:val="0"/>
        <w:pageBreakBefore w:val="0"/>
        <w:widowControl w:val="0"/>
        <w:kinsoku/>
        <w:overflowPunct/>
        <w:topLinePunct w:val="0"/>
        <w:autoSpaceDE/>
        <w:autoSpaceDN/>
        <w:bidi w:val="0"/>
        <w:adjustRightInd/>
        <w:snapToGrid/>
        <w:spacing w:line="600" w:lineRule="exact"/>
        <w:ind w:firstLine="5120" w:firstLineChars="16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日</w:t>
      </w:r>
    </w:p>
    <w:p w14:paraId="22CB56EB">
      <w:pPr>
        <w:pStyle w:val="2"/>
        <w:rPr>
          <w:rFonts w:hint="default" w:ascii="Times New Roman" w:hAnsi="Times New Roman" w:eastAsia="仿宋_GB2312" w:cs="Times New Roman"/>
          <w:color w:val="auto"/>
          <w:sz w:val="32"/>
          <w:szCs w:val="32"/>
          <w:highlight w:val="none"/>
        </w:rPr>
      </w:pPr>
    </w:p>
    <w:p w14:paraId="0C9F6B45">
      <w:pPr>
        <w:rPr>
          <w:rFonts w:hint="default"/>
          <w:color w:val="auto"/>
          <w:highlight w:val="none"/>
        </w:rPr>
      </w:pPr>
    </w:p>
    <w:p w14:paraId="4957FAEB">
      <w:pPr>
        <w:pStyle w:val="2"/>
        <w:rPr>
          <w:rFonts w:hint="default"/>
          <w:color w:val="auto"/>
          <w:highlight w:val="none"/>
        </w:rPr>
      </w:pPr>
    </w:p>
    <w:p w14:paraId="7C253514">
      <w:pPr>
        <w:rPr>
          <w:rFonts w:hint="default"/>
          <w:color w:val="auto"/>
          <w:highlight w:val="none"/>
        </w:rPr>
      </w:pPr>
    </w:p>
    <w:p w14:paraId="4F847B55">
      <w:pPr>
        <w:pStyle w:val="2"/>
        <w:rPr>
          <w:rFonts w:hint="default"/>
          <w:color w:val="auto"/>
          <w:highlight w:val="none"/>
        </w:rPr>
      </w:pPr>
    </w:p>
    <w:p w14:paraId="76D122F1">
      <w:pPr>
        <w:rPr>
          <w:rFonts w:hint="default"/>
          <w:color w:val="auto"/>
          <w:highlight w:val="none"/>
        </w:rPr>
      </w:pPr>
    </w:p>
    <w:p w14:paraId="705AA9CA">
      <w:pPr>
        <w:rPr>
          <w:rFonts w:hint="default"/>
          <w:color w:val="auto"/>
          <w:highlight w:val="none"/>
        </w:rPr>
      </w:pPr>
    </w:p>
    <w:p w14:paraId="60EEB4F4">
      <w:pPr>
        <w:pStyle w:val="2"/>
        <w:rPr>
          <w:rFonts w:hint="default"/>
          <w:color w:val="auto"/>
          <w:highlight w:val="none"/>
        </w:rPr>
      </w:pPr>
    </w:p>
    <w:p w14:paraId="0CF9E964">
      <w:pPr>
        <w:rPr>
          <w:rFonts w:hint="default"/>
          <w:color w:val="auto"/>
          <w:highlight w:val="none"/>
        </w:rPr>
      </w:pPr>
    </w:p>
    <w:p w14:paraId="690872CC">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方正小标宋简体" w:cs="Times New Roman"/>
          <w:b w:val="0"/>
          <w:bCs/>
          <w:color w:val="auto"/>
          <w:sz w:val="44"/>
          <w:szCs w:val="44"/>
          <w:highlight w:val="none"/>
          <w:lang w:eastAsia="zh-CN"/>
        </w:rPr>
      </w:pPr>
      <w:r>
        <w:rPr>
          <w:rFonts w:hint="default" w:ascii="Times New Roman" w:hAnsi="Times New Roman" w:eastAsia="方正小标宋简体" w:cs="Times New Roman"/>
          <w:b w:val="0"/>
          <w:bCs/>
          <w:color w:val="auto"/>
          <w:sz w:val="44"/>
          <w:szCs w:val="44"/>
          <w:highlight w:val="none"/>
        </w:rPr>
        <w:t>工程造价咨询服务管理办法</w:t>
      </w:r>
    </w:p>
    <w:p w14:paraId="6C5D8947">
      <w:pPr>
        <w:keepNext w:val="0"/>
        <w:keepLines w:val="0"/>
        <w:pageBreakBefore w:val="0"/>
        <w:kinsoku/>
        <w:wordWrap/>
        <w:overflowPunct/>
        <w:topLinePunct w:val="0"/>
        <w:autoSpaceDE/>
        <w:autoSpaceDN/>
        <w:bidi w:val="0"/>
        <w:adjustRightInd/>
        <w:spacing w:line="400" w:lineRule="exact"/>
        <w:ind w:firstLine="3520" w:firstLineChars="1100"/>
        <w:textAlignment w:val="auto"/>
        <w:rPr>
          <w:rFonts w:hint="default" w:ascii="Times New Roman" w:hAnsi="Times New Roman" w:eastAsia="仿宋_GB2312" w:cs="Times New Roman"/>
          <w:color w:val="auto"/>
          <w:sz w:val="32"/>
          <w:szCs w:val="32"/>
          <w:highlight w:val="none"/>
        </w:rPr>
      </w:pPr>
    </w:p>
    <w:p w14:paraId="4AC72A7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第一章 总则</w:t>
      </w:r>
    </w:p>
    <w:p w14:paraId="38D78040">
      <w:pPr>
        <w:keepNext w:val="0"/>
        <w:keepLines w:val="0"/>
        <w:pageBreakBefore w:val="0"/>
        <w:kinsoku/>
        <w:wordWrap/>
        <w:overflowPunct/>
        <w:topLinePunct w:val="0"/>
        <w:autoSpaceDE/>
        <w:autoSpaceDN/>
        <w:bidi w:val="0"/>
        <w:adjustRightInd/>
        <w:spacing w:line="400" w:lineRule="exact"/>
        <w:ind w:left="0" w:leftChars="0" w:firstLine="627"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pacing w:val="-4"/>
          <w:kern w:val="0"/>
          <w:sz w:val="32"/>
          <w:szCs w:val="32"/>
          <w:highlight w:val="none"/>
        </w:rPr>
        <w:t>第一条</w:t>
      </w:r>
      <w:r>
        <w:rPr>
          <w:rFonts w:hint="default" w:ascii="Times New Roman" w:hAnsi="Times New Roman" w:eastAsia="仿宋_GB2312" w:cs="Times New Roman"/>
          <w:color w:val="auto"/>
          <w:spacing w:val="-4"/>
          <w:kern w:val="0"/>
          <w:sz w:val="32"/>
          <w:szCs w:val="32"/>
          <w:highlight w:val="none"/>
        </w:rPr>
        <w:t xml:space="preserve"> </w:t>
      </w:r>
      <w:r>
        <w:rPr>
          <w:rFonts w:hint="default" w:ascii="Times New Roman" w:hAnsi="Times New Roman" w:eastAsia="仿宋_GB2312" w:cs="Times New Roman"/>
          <w:color w:val="auto"/>
          <w:spacing w:val="-4"/>
          <w:kern w:val="0"/>
          <w:sz w:val="32"/>
          <w:szCs w:val="32"/>
          <w:highlight w:val="none"/>
          <w:lang w:val="en-US" w:eastAsia="zh-CN"/>
        </w:rPr>
        <w:t xml:space="preserve"> </w:t>
      </w:r>
      <w:r>
        <w:rPr>
          <w:rFonts w:hint="default" w:ascii="Times New Roman" w:hAnsi="Times New Roman" w:eastAsia="仿宋_GB2312" w:cs="Times New Roman"/>
          <w:color w:val="auto"/>
          <w:spacing w:val="-4"/>
          <w:kern w:val="0"/>
          <w:sz w:val="32"/>
          <w:szCs w:val="32"/>
          <w:highlight w:val="none"/>
        </w:rPr>
        <w:t>为</w:t>
      </w:r>
      <w:r>
        <w:rPr>
          <w:rFonts w:hint="default" w:ascii="Times New Roman" w:hAnsi="Times New Roman" w:eastAsia="仿宋_GB2312" w:cs="Times New Roman"/>
          <w:color w:val="auto"/>
          <w:sz w:val="32"/>
          <w:szCs w:val="32"/>
          <w:highlight w:val="none"/>
        </w:rPr>
        <w:t>加强</w:t>
      </w:r>
      <w:r>
        <w:rPr>
          <w:rFonts w:hint="default" w:ascii="Times New Roman" w:hAnsi="Times New Roman" w:eastAsia="仿宋_GB2312" w:cs="Times New Roman"/>
          <w:color w:val="auto"/>
          <w:spacing w:val="-4"/>
          <w:kern w:val="0"/>
          <w:sz w:val="32"/>
          <w:szCs w:val="32"/>
          <w:highlight w:val="none"/>
        </w:rPr>
        <w:t>我处工程造价咨询服务管理</w:t>
      </w:r>
      <w:r>
        <w:rPr>
          <w:rFonts w:hint="default" w:ascii="Times New Roman" w:hAnsi="Times New Roman" w:eastAsia="仿宋_GB2312" w:cs="Times New Roman"/>
          <w:color w:val="auto"/>
          <w:sz w:val="32"/>
          <w:szCs w:val="32"/>
          <w:highlight w:val="none"/>
        </w:rPr>
        <w:t>，提高造价成果质量和工作效率，严格控制政府投资，防范风险，强化廉政建设，根据相关规定，结合我处实际，</w:t>
      </w:r>
      <w:r>
        <w:rPr>
          <w:rFonts w:hint="default" w:ascii="Times New Roman" w:hAnsi="Times New Roman" w:eastAsia="仿宋_GB2312" w:cs="Times New Roman"/>
          <w:color w:val="auto"/>
          <w:kern w:val="0"/>
          <w:sz w:val="32"/>
          <w:szCs w:val="32"/>
          <w:highlight w:val="none"/>
        </w:rPr>
        <w:t>制定</w:t>
      </w:r>
      <w:r>
        <w:rPr>
          <w:rFonts w:hint="default" w:ascii="Times New Roman" w:hAnsi="Times New Roman" w:eastAsia="仿宋_GB2312" w:cs="Times New Roman"/>
          <w:color w:val="auto"/>
          <w:sz w:val="32"/>
          <w:szCs w:val="32"/>
          <w:highlight w:val="none"/>
        </w:rPr>
        <w:t>本办法。</w:t>
      </w:r>
    </w:p>
    <w:p w14:paraId="795BD60B">
      <w:pPr>
        <w:keepNext w:val="0"/>
        <w:keepLines w:val="0"/>
        <w:pageBreakBefore w:val="0"/>
        <w:kinsoku/>
        <w:wordWrap/>
        <w:overflowPunct/>
        <w:topLinePunct w:val="0"/>
        <w:autoSpaceDE/>
        <w:autoSpaceDN/>
        <w:bidi w:val="0"/>
        <w:adjustRightInd/>
        <w:spacing w:line="400" w:lineRule="exact"/>
        <w:ind w:left="0" w:leftChars="0" w:firstLine="627"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b/>
          <w:bCs/>
          <w:color w:val="auto"/>
          <w:spacing w:val="-4"/>
          <w:kern w:val="0"/>
          <w:sz w:val="32"/>
          <w:szCs w:val="32"/>
          <w:highlight w:val="none"/>
        </w:rPr>
        <w:t>第二条</w:t>
      </w:r>
      <w:r>
        <w:rPr>
          <w:rFonts w:hint="default" w:ascii="Times New Roman" w:hAnsi="Times New Roman" w:eastAsia="仿宋_GB2312" w:cs="Times New Roman"/>
          <w:color w:val="auto"/>
          <w:spacing w:val="-4"/>
          <w:kern w:val="0"/>
          <w:sz w:val="32"/>
          <w:szCs w:val="32"/>
          <w:highlight w:val="none"/>
        </w:rPr>
        <w:t xml:space="preserve"> </w:t>
      </w:r>
      <w:r>
        <w:rPr>
          <w:rFonts w:hint="default" w:ascii="Times New Roman" w:hAnsi="Times New Roman" w:eastAsia="仿宋_GB2312" w:cs="Times New Roman"/>
          <w:color w:val="auto"/>
          <w:spacing w:val="-4"/>
          <w:kern w:val="0"/>
          <w:sz w:val="32"/>
          <w:szCs w:val="32"/>
          <w:highlight w:val="none"/>
          <w:lang w:val="en-US" w:eastAsia="zh-CN"/>
        </w:rPr>
        <w:t xml:space="preserve"> </w:t>
      </w:r>
      <w:r>
        <w:rPr>
          <w:rFonts w:hint="default" w:ascii="Times New Roman" w:hAnsi="Times New Roman" w:eastAsia="仿宋_GB2312" w:cs="Times New Roman"/>
          <w:color w:val="auto"/>
          <w:spacing w:val="-4"/>
          <w:kern w:val="0"/>
          <w:sz w:val="32"/>
          <w:szCs w:val="32"/>
          <w:highlight w:val="none"/>
        </w:rPr>
        <w:t>我处委托工程造价咨询企业（以下简称“造价企业”）</w:t>
      </w:r>
      <w:r>
        <w:rPr>
          <w:rFonts w:hint="default" w:ascii="Times New Roman" w:hAnsi="Times New Roman" w:eastAsia="仿宋_GB2312" w:cs="Times New Roman"/>
          <w:color w:val="auto"/>
          <w:spacing w:val="-4"/>
          <w:kern w:val="0"/>
          <w:sz w:val="32"/>
          <w:szCs w:val="32"/>
          <w:highlight w:val="none"/>
          <w:lang w:eastAsia="zh-CN"/>
        </w:rPr>
        <w:t>的</w:t>
      </w:r>
      <w:r>
        <w:rPr>
          <w:rFonts w:hint="default" w:ascii="Times New Roman" w:hAnsi="Times New Roman" w:eastAsia="仿宋_GB2312" w:cs="Times New Roman"/>
          <w:color w:val="auto"/>
          <w:spacing w:val="-4"/>
          <w:kern w:val="0"/>
          <w:sz w:val="32"/>
          <w:szCs w:val="32"/>
          <w:highlight w:val="none"/>
        </w:rPr>
        <w:t>投资估算、设计概算、工程量清单</w:t>
      </w:r>
      <w:r>
        <w:rPr>
          <w:rFonts w:hint="default" w:ascii="Times New Roman" w:hAnsi="Times New Roman" w:eastAsia="仿宋_GB2312" w:cs="Times New Roman"/>
          <w:color w:val="auto"/>
          <w:spacing w:val="-4"/>
          <w:kern w:val="0"/>
          <w:sz w:val="32"/>
          <w:szCs w:val="32"/>
          <w:highlight w:val="none"/>
          <w:lang w:eastAsia="zh-CN"/>
        </w:rPr>
        <w:t>及</w:t>
      </w:r>
      <w:r>
        <w:rPr>
          <w:rFonts w:hint="default" w:ascii="Times New Roman" w:hAnsi="Times New Roman" w:eastAsia="仿宋_GB2312" w:cs="Times New Roman"/>
          <w:color w:val="auto"/>
          <w:spacing w:val="-4"/>
          <w:kern w:val="0"/>
          <w:sz w:val="32"/>
          <w:szCs w:val="32"/>
          <w:highlight w:val="none"/>
        </w:rPr>
        <w:t>最高投标限价编制</w:t>
      </w:r>
      <w:r>
        <w:rPr>
          <w:rFonts w:hint="default" w:ascii="Times New Roman" w:hAnsi="Times New Roman" w:eastAsia="仿宋_GB2312" w:cs="Times New Roman"/>
          <w:color w:val="auto"/>
          <w:spacing w:val="-4"/>
          <w:kern w:val="0"/>
          <w:sz w:val="32"/>
          <w:szCs w:val="32"/>
          <w:highlight w:val="none"/>
          <w:lang w:eastAsia="zh-CN"/>
        </w:rPr>
        <w:t>（以下简称“清单编制”）和审核</w:t>
      </w:r>
      <w:r>
        <w:rPr>
          <w:rFonts w:hint="default" w:ascii="Times New Roman" w:hAnsi="Times New Roman" w:eastAsia="仿宋_GB2312" w:cs="Times New Roman"/>
          <w:color w:val="auto"/>
          <w:spacing w:val="-4"/>
          <w:kern w:val="0"/>
          <w:sz w:val="32"/>
          <w:szCs w:val="32"/>
          <w:highlight w:val="none"/>
        </w:rPr>
        <w:t>、施工阶段全过程造价控制（以下简称“跟踪审计”）、结算审核、第三方复审等咨询业务均适用于本办法。</w:t>
      </w:r>
    </w:p>
    <w:p w14:paraId="5E247A2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color w:val="auto"/>
          <w:kern w:val="36"/>
          <w:sz w:val="32"/>
          <w:szCs w:val="32"/>
          <w:highlight w:val="none"/>
        </w:rPr>
      </w:pPr>
      <w:r>
        <w:rPr>
          <w:rFonts w:hint="default" w:ascii="Times New Roman" w:hAnsi="Times New Roman" w:eastAsia="黑体" w:cs="Times New Roman"/>
          <w:color w:val="auto"/>
          <w:sz w:val="32"/>
          <w:szCs w:val="32"/>
          <w:highlight w:val="none"/>
        </w:rPr>
        <w:t>第二章 工作流程</w:t>
      </w:r>
    </w:p>
    <w:p w14:paraId="43A68EFD">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第三条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清单编制审核</w:t>
      </w:r>
      <w:r>
        <w:rPr>
          <w:rFonts w:hint="default" w:ascii="Times New Roman" w:hAnsi="Times New Roman" w:eastAsia="仿宋_GB2312" w:cs="Times New Roman"/>
          <w:color w:val="auto"/>
          <w:sz w:val="32"/>
          <w:szCs w:val="32"/>
          <w:highlight w:val="none"/>
        </w:rPr>
        <w:t>流程</w:t>
      </w:r>
    </w:p>
    <w:p w14:paraId="310B8CA0">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cs="Times New Roman"/>
          <w:color w:val="auto"/>
          <w:sz w:val="32"/>
          <w:szCs w:val="32"/>
          <w:highlight w:val="none"/>
        </w:rPr>
      </w:pPr>
      <w:r>
        <w:rPr>
          <w:rFonts w:hint="default" w:ascii="Times New Roman" w:hAnsi="Times New Roman" w:eastAsia="仿宋_GB2312" w:cs="Times New Roman"/>
          <w:color w:val="auto"/>
          <w:kern w:val="2"/>
          <w:sz w:val="32"/>
          <w:szCs w:val="32"/>
          <w:highlight w:val="none"/>
          <w:lang w:val="en-US" w:eastAsia="zh-CN" w:bidi="ar-SA"/>
        </w:rPr>
        <w:t>工程技术科提供图审合格的完整纸质图、电子图和勘察报告等相关设计文件</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综合计划科委托造价企业</w:t>
      </w:r>
      <w:r>
        <w:rPr>
          <w:rFonts w:hint="default" w:ascii="Times New Roman" w:hAnsi="Times New Roman" w:eastAsia="仿宋_GB2312" w:cs="Times New Roman"/>
          <w:color w:val="auto"/>
          <w:sz w:val="32"/>
          <w:szCs w:val="32"/>
          <w:highlight w:val="none"/>
        </w:rPr>
        <w:t>编制清单→</w:t>
      </w:r>
      <w:r>
        <w:rPr>
          <w:rFonts w:hint="default" w:ascii="Times New Roman" w:hAnsi="Times New Roman" w:eastAsia="仿宋_GB2312" w:cs="Times New Roman"/>
          <w:color w:val="auto"/>
          <w:sz w:val="32"/>
          <w:szCs w:val="32"/>
          <w:highlight w:val="none"/>
          <w:lang w:eastAsia="zh-CN"/>
        </w:rPr>
        <w:t>项目分管领导牵头，组织综合计划科、工程技术科、工程建设科和设计（勘察）单位、清单编制单位等参加清单会审（投资较大、技术复杂、专业性较强的项目，可以委托第三方复审或组织专家论证）</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工程技术科督促设计单位按照会审意见限期完成修改，并对最终图纸进行确认</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编制单位出具会审备忘录（编制说明），按会审意见和终版图纸调整</w:t>
      </w:r>
      <w:r>
        <w:rPr>
          <w:rFonts w:hint="default" w:ascii="Times New Roman" w:hAnsi="Times New Roman" w:eastAsia="仿宋_GB2312" w:cs="Times New Roman"/>
          <w:color w:val="auto"/>
          <w:sz w:val="32"/>
          <w:szCs w:val="32"/>
          <w:highlight w:val="none"/>
        </w:rPr>
        <w:t>清单</w:t>
      </w:r>
      <w:r>
        <w:rPr>
          <w:rFonts w:hint="default" w:ascii="Times New Roman" w:hAnsi="Times New Roman" w:eastAsia="仿宋_GB2312" w:cs="Times New Roman"/>
          <w:color w:val="auto"/>
          <w:sz w:val="32"/>
          <w:szCs w:val="32"/>
          <w:highlight w:val="none"/>
          <w:lang w:eastAsia="zh-CN"/>
        </w:rPr>
        <w:t>。其中，</w:t>
      </w:r>
      <w:r>
        <w:rPr>
          <w:rFonts w:hint="default" w:ascii="Times New Roman" w:hAnsi="Times New Roman" w:eastAsia="仿宋_GB2312" w:cs="Times New Roman"/>
          <w:color w:val="auto"/>
          <w:sz w:val="32"/>
          <w:szCs w:val="32"/>
          <w:highlight w:val="none"/>
        </w:rPr>
        <w:t>最高</w:t>
      </w:r>
      <w:r>
        <w:rPr>
          <w:rFonts w:hint="default" w:ascii="Times New Roman" w:hAnsi="Times New Roman" w:eastAsia="仿宋_GB2312" w:cs="Times New Roman"/>
          <w:color w:val="auto"/>
          <w:sz w:val="32"/>
          <w:szCs w:val="32"/>
          <w:highlight w:val="none"/>
          <w:lang w:eastAsia="zh-CN"/>
        </w:rPr>
        <w:t>投标</w:t>
      </w:r>
      <w:r>
        <w:rPr>
          <w:rFonts w:hint="default" w:ascii="Times New Roman" w:hAnsi="Times New Roman" w:eastAsia="仿宋_GB2312" w:cs="Times New Roman"/>
          <w:color w:val="auto"/>
          <w:sz w:val="32"/>
          <w:szCs w:val="32"/>
          <w:highlight w:val="none"/>
        </w:rPr>
        <w:t>限价</w:t>
      </w:r>
      <w:r>
        <w:rPr>
          <w:rFonts w:hint="default" w:ascii="Times New Roman" w:hAnsi="Times New Roman" w:eastAsia="仿宋_GB2312" w:cs="Times New Roman"/>
          <w:color w:val="auto"/>
          <w:sz w:val="32"/>
          <w:szCs w:val="32"/>
          <w:highlight w:val="none"/>
          <w:lang w:eastAsia="zh-CN"/>
        </w:rPr>
        <w:t>一亿元以上项目报送市财政工程造价审核中心审核。（上述限额标准根据市财政局规定同步调整）</w:t>
      </w:r>
    </w:p>
    <w:p w14:paraId="36B399CF">
      <w:pPr>
        <w:keepNext w:val="0"/>
        <w:keepLines w:val="0"/>
        <w:pageBreakBefore w:val="0"/>
        <w:numPr>
          <w:ilvl w:val="0"/>
          <w:numId w:val="0"/>
        </w:numPr>
        <w:kinsoku/>
        <w:wordWrap/>
        <w:overflowPunct/>
        <w:topLinePunct w:val="0"/>
        <w:autoSpaceDE/>
        <w:autoSpaceDN/>
        <w:bidi w:val="0"/>
        <w:adjustRightInd/>
        <w:spacing w:line="400" w:lineRule="exact"/>
        <w:ind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第四条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项目</w:t>
      </w:r>
      <w:r>
        <w:rPr>
          <w:rFonts w:hint="default" w:ascii="Times New Roman" w:hAnsi="Times New Roman" w:eastAsia="仿宋_GB2312" w:cs="Times New Roman"/>
          <w:color w:val="auto"/>
          <w:sz w:val="32"/>
          <w:szCs w:val="32"/>
          <w:highlight w:val="none"/>
          <w:lang w:eastAsia="zh-CN"/>
        </w:rPr>
        <w:t>结算审核</w:t>
      </w:r>
      <w:r>
        <w:rPr>
          <w:rFonts w:hint="default" w:ascii="Times New Roman" w:hAnsi="Times New Roman" w:eastAsia="仿宋_GB2312" w:cs="Times New Roman"/>
          <w:color w:val="auto"/>
          <w:sz w:val="32"/>
          <w:szCs w:val="32"/>
          <w:highlight w:val="none"/>
        </w:rPr>
        <w:t>流程</w:t>
      </w:r>
    </w:p>
    <w:p w14:paraId="01552592">
      <w:pPr>
        <w:keepNext w:val="0"/>
        <w:keepLines w:val="0"/>
        <w:pageBreakBefore w:val="0"/>
        <w:numPr>
          <w:ilvl w:val="0"/>
          <w:numId w:val="0"/>
        </w:numPr>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_GB2312" w:cs="Times New Roman"/>
          <w:color w:val="auto"/>
          <w:sz w:val="32"/>
          <w:szCs w:val="32"/>
          <w:highlight w:val="none"/>
          <w:lang w:eastAsia="zh-CN"/>
        </w:rPr>
        <w:t>工程</w:t>
      </w:r>
      <w:r>
        <w:rPr>
          <w:rFonts w:hint="default" w:ascii="Times New Roman" w:hAnsi="Times New Roman" w:eastAsia="仿宋_GB2312" w:cs="Times New Roman"/>
          <w:color w:val="auto"/>
          <w:sz w:val="32"/>
          <w:szCs w:val="32"/>
          <w:highlight w:val="none"/>
        </w:rPr>
        <w:t>合同价</w:t>
      </w:r>
      <w:r>
        <w:rPr>
          <w:rFonts w:hint="default" w:ascii="Times New Roman" w:hAnsi="Times New Roman" w:eastAsia="仿宋_GB2312" w:cs="Times New Roman"/>
          <w:color w:val="auto"/>
          <w:sz w:val="32"/>
          <w:szCs w:val="32"/>
          <w:highlight w:val="none"/>
          <w:lang w:eastAsia="zh-CN"/>
        </w:rPr>
        <w:t>2000</w:t>
      </w:r>
      <w:r>
        <w:rPr>
          <w:rFonts w:hint="default" w:ascii="Times New Roman" w:hAnsi="Times New Roman" w:eastAsia="仿宋_GB2312" w:cs="Times New Roman"/>
          <w:color w:val="auto"/>
          <w:sz w:val="32"/>
          <w:szCs w:val="32"/>
          <w:highlight w:val="none"/>
        </w:rPr>
        <w:t>万元及以上（绿化</w:t>
      </w:r>
      <w:r>
        <w:rPr>
          <w:rFonts w:hint="default" w:ascii="Times New Roman" w:hAnsi="Times New Roman" w:eastAsia="仿宋_GB2312" w:cs="Times New Roman"/>
          <w:color w:val="auto"/>
          <w:sz w:val="32"/>
          <w:szCs w:val="32"/>
          <w:highlight w:val="none"/>
          <w:lang w:eastAsia="zh-CN"/>
        </w:rPr>
        <w:t>、园林景观1000</w:t>
      </w:r>
      <w:r>
        <w:rPr>
          <w:rFonts w:hint="default" w:ascii="Times New Roman" w:hAnsi="Times New Roman" w:eastAsia="仿宋_GB2312" w:cs="Times New Roman"/>
          <w:color w:val="auto"/>
          <w:sz w:val="32"/>
          <w:szCs w:val="32"/>
          <w:highlight w:val="none"/>
        </w:rPr>
        <w:t>万元及以上）项目</w:t>
      </w:r>
    </w:p>
    <w:p w14:paraId="0B55380E">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施工单位向跟踪审计单位报送结算资料</w:t>
      </w:r>
      <w:r>
        <w:rPr>
          <w:rFonts w:hint="default" w:ascii="Times New Roman" w:hAnsi="Times New Roman" w:eastAsia="仿宋_GB2312" w:cs="Times New Roman"/>
          <w:color w:val="auto"/>
          <w:sz w:val="32"/>
          <w:szCs w:val="32"/>
          <w:highlight w:val="none"/>
        </w:rPr>
        <w:t>→跟踪审计单位出具</w:t>
      </w:r>
      <w:r>
        <w:rPr>
          <w:rFonts w:hint="default" w:ascii="Times New Roman" w:hAnsi="Times New Roman" w:eastAsia="仿宋_GB2312" w:cs="Times New Roman"/>
          <w:color w:val="auto"/>
          <w:sz w:val="32"/>
          <w:szCs w:val="32"/>
          <w:highlight w:val="none"/>
          <w:lang w:eastAsia="zh-CN"/>
        </w:rPr>
        <w:t>结算审核</w:t>
      </w:r>
      <w:r>
        <w:rPr>
          <w:rFonts w:hint="default" w:ascii="Times New Roman" w:hAnsi="Times New Roman" w:eastAsia="仿宋_GB2312" w:cs="Times New Roman"/>
          <w:color w:val="auto"/>
          <w:sz w:val="32"/>
          <w:szCs w:val="32"/>
          <w:highlight w:val="none"/>
        </w:rPr>
        <w:t>报告→工程建设科</w:t>
      </w:r>
      <w:r>
        <w:rPr>
          <w:rFonts w:hint="default" w:ascii="Times New Roman" w:hAnsi="Times New Roman" w:eastAsia="仿宋_GB2312" w:cs="Times New Roman"/>
          <w:color w:val="auto"/>
          <w:sz w:val="32"/>
          <w:szCs w:val="32"/>
          <w:highlight w:val="none"/>
          <w:lang w:eastAsia="zh-CN"/>
        </w:rPr>
        <w:t>组织监理、跟审、设计等单位</w:t>
      </w:r>
      <w:r>
        <w:rPr>
          <w:rFonts w:hint="default" w:ascii="Times New Roman" w:hAnsi="Times New Roman" w:eastAsia="仿宋_GB2312" w:cs="Times New Roman"/>
          <w:color w:val="auto"/>
          <w:sz w:val="32"/>
          <w:szCs w:val="32"/>
          <w:highlight w:val="none"/>
        </w:rPr>
        <w:t>审查→跟踪审计单位调整</w:t>
      </w:r>
      <w:r>
        <w:rPr>
          <w:rFonts w:hint="default" w:ascii="Times New Roman" w:hAnsi="Times New Roman" w:eastAsia="仿宋_GB2312" w:cs="Times New Roman"/>
          <w:color w:val="auto"/>
          <w:sz w:val="32"/>
          <w:szCs w:val="32"/>
          <w:highlight w:val="none"/>
          <w:lang w:eastAsia="zh-CN"/>
        </w:rPr>
        <w:t>结算审核</w:t>
      </w:r>
      <w:r>
        <w:rPr>
          <w:rFonts w:hint="default" w:ascii="Times New Roman" w:hAnsi="Times New Roman" w:eastAsia="仿宋_GB2312" w:cs="Times New Roman"/>
          <w:color w:val="auto"/>
          <w:sz w:val="32"/>
          <w:szCs w:val="32"/>
          <w:highlight w:val="none"/>
        </w:rPr>
        <w:t>报告→综合计划科复核→跟踪审计单位</w:t>
      </w:r>
      <w:r>
        <w:rPr>
          <w:rFonts w:hint="default" w:ascii="Times New Roman" w:hAnsi="Times New Roman" w:eastAsia="仿宋_GB2312" w:cs="Times New Roman"/>
          <w:color w:val="auto"/>
          <w:sz w:val="32"/>
          <w:szCs w:val="32"/>
          <w:highlight w:val="none"/>
          <w:lang w:eastAsia="zh-CN"/>
        </w:rPr>
        <w:t>定稿结算审核</w:t>
      </w:r>
      <w:r>
        <w:rPr>
          <w:rFonts w:hint="default" w:ascii="Times New Roman" w:hAnsi="Times New Roman" w:eastAsia="仿宋_GB2312" w:cs="Times New Roman"/>
          <w:color w:val="auto"/>
          <w:sz w:val="32"/>
          <w:szCs w:val="32"/>
          <w:highlight w:val="none"/>
        </w:rPr>
        <w:t>报告→</w:t>
      </w:r>
      <w:r>
        <w:rPr>
          <w:rFonts w:hint="default" w:ascii="Times New Roman" w:hAnsi="Times New Roman" w:eastAsia="仿宋_GB2312" w:cs="Times New Roman"/>
          <w:color w:val="auto"/>
          <w:sz w:val="32"/>
          <w:szCs w:val="32"/>
          <w:highlight w:val="none"/>
          <w:lang w:eastAsia="zh-CN"/>
        </w:rPr>
        <w:t>工程建设科报</w:t>
      </w:r>
      <w:r>
        <w:rPr>
          <w:rFonts w:hint="default" w:ascii="Times New Roman" w:hAnsi="Times New Roman" w:eastAsia="仿宋_GB2312" w:cs="Times New Roman"/>
          <w:color w:val="auto"/>
          <w:sz w:val="32"/>
          <w:szCs w:val="32"/>
          <w:highlight w:val="none"/>
        </w:rPr>
        <w:t>市财政工程造价审核中心出具审核意见书并备案</w:t>
      </w:r>
      <w:r>
        <w:rPr>
          <w:rFonts w:hint="default" w:ascii="Times New Roman" w:hAnsi="Times New Roman" w:eastAsia="仿宋_GB2312" w:cs="Times New Roman"/>
          <w:color w:val="auto"/>
          <w:sz w:val="32"/>
          <w:szCs w:val="32"/>
          <w:highlight w:val="none"/>
          <w:lang w:eastAsia="zh-CN"/>
        </w:rPr>
        <w:t>存档</w:t>
      </w:r>
      <w:r>
        <w:rPr>
          <w:rFonts w:hint="default" w:ascii="Times New Roman" w:hAnsi="Times New Roman" w:eastAsia="仿宋_GB2312" w:cs="Times New Roman"/>
          <w:color w:val="auto"/>
          <w:sz w:val="32"/>
          <w:szCs w:val="32"/>
          <w:highlight w:val="none"/>
        </w:rPr>
        <w:t>。</w:t>
      </w:r>
    </w:p>
    <w:p w14:paraId="27EC6225">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工程</w:t>
      </w:r>
      <w:r>
        <w:rPr>
          <w:rFonts w:hint="default" w:ascii="Times New Roman" w:hAnsi="Times New Roman" w:eastAsia="仿宋_GB2312" w:cs="Times New Roman"/>
          <w:color w:val="auto"/>
          <w:sz w:val="32"/>
          <w:szCs w:val="32"/>
          <w:highlight w:val="none"/>
        </w:rPr>
        <w:t>合同价</w:t>
      </w:r>
      <w:r>
        <w:rPr>
          <w:rFonts w:hint="default" w:ascii="Times New Roman" w:hAnsi="Times New Roman" w:eastAsia="仿宋_GB2312" w:cs="Times New Roman"/>
          <w:color w:val="auto"/>
          <w:sz w:val="32"/>
          <w:szCs w:val="32"/>
          <w:highlight w:val="none"/>
          <w:lang w:eastAsia="zh-CN"/>
        </w:rPr>
        <w:t>200</w:t>
      </w:r>
      <w:r>
        <w:rPr>
          <w:rFonts w:hint="default" w:ascii="Times New Roman" w:hAnsi="Times New Roman" w:eastAsia="仿宋_GB2312" w:cs="Times New Roman"/>
          <w:color w:val="auto"/>
          <w:sz w:val="32"/>
          <w:szCs w:val="32"/>
          <w:highlight w:val="none"/>
        </w:rPr>
        <w:t>万元（绿化</w:t>
      </w:r>
      <w:r>
        <w:rPr>
          <w:rFonts w:hint="default" w:ascii="Times New Roman" w:hAnsi="Times New Roman" w:eastAsia="仿宋_GB2312" w:cs="Times New Roman"/>
          <w:color w:val="auto"/>
          <w:sz w:val="32"/>
          <w:szCs w:val="32"/>
          <w:highlight w:val="none"/>
          <w:lang w:eastAsia="zh-CN"/>
        </w:rPr>
        <w:t>、园林景观100</w:t>
      </w:r>
      <w:r>
        <w:rPr>
          <w:rFonts w:hint="default" w:ascii="Times New Roman" w:hAnsi="Times New Roman" w:eastAsia="仿宋_GB2312" w:cs="Times New Roman"/>
          <w:color w:val="auto"/>
          <w:sz w:val="32"/>
          <w:szCs w:val="32"/>
          <w:highlight w:val="none"/>
        </w:rPr>
        <w:t>万元）及以上，</w:t>
      </w:r>
      <w:r>
        <w:rPr>
          <w:rFonts w:hint="default" w:ascii="Times New Roman" w:hAnsi="Times New Roman" w:eastAsia="仿宋_GB2312" w:cs="Times New Roman"/>
          <w:color w:val="auto"/>
          <w:sz w:val="32"/>
          <w:szCs w:val="32"/>
          <w:highlight w:val="none"/>
          <w:lang w:eastAsia="zh-CN"/>
        </w:rPr>
        <w:t>2000</w:t>
      </w:r>
      <w:r>
        <w:rPr>
          <w:rFonts w:hint="default" w:ascii="Times New Roman" w:hAnsi="Times New Roman" w:eastAsia="仿宋_GB2312" w:cs="Times New Roman"/>
          <w:color w:val="auto"/>
          <w:sz w:val="32"/>
          <w:szCs w:val="32"/>
          <w:highlight w:val="none"/>
        </w:rPr>
        <w:t>万元（绿化</w:t>
      </w:r>
      <w:r>
        <w:rPr>
          <w:rFonts w:hint="default" w:ascii="Times New Roman" w:hAnsi="Times New Roman" w:eastAsia="仿宋_GB2312" w:cs="Times New Roman"/>
          <w:color w:val="auto"/>
          <w:sz w:val="32"/>
          <w:szCs w:val="32"/>
          <w:highlight w:val="none"/>
          <w:lang w:eastAsia="zh-CN"/>
        </w:rPr>
        <w:t>、园林景观1000</w:t>
      </w:r>
      <w:r>
        <w:rPr>
          <w:rFonts w:hint="default" w:ascii="Times New Roman" w:hAnsi="Times New Roman" w:eastAsia="仿宋_GB2312" w:cs="Times New Roman"/>
          <w:color w:val="auto"/>
          <w:sz w:val="32"/>
          <w:szCs w:val="32"/>
          <w:highlight w:val="none"/>
        </w:rPr>
        <w:t>万元）以下项目</w:t>
      </w:r>
    </w:p>
    <w:p w14:paraId="107B2FCC">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施工单位向跟踪审计单位报送结算资料</w:t>
      </w:r>
      <w:r>
        <w:rPr>
          <w:rFonts w:hint="default" w:ascii="Times New Roman" w:hAnsi="Times New Roman" w:eastAsia="仿宋_GB2312" w:cs="Times New Roman"/>
          <w:color w:val="auto"/>
          <w:sz w:val="32"/>
          <w:szCs w:val="32"/>
          <w:highlight w:val="none"/>
        </w:rPr>
        <w:t>→跟踪审计单位出具</w:t>
      </w:r>
      <w:r>
        <w:rPr>
          <w:rFonts w:hint="default" w:ascii="Times New Roman" w:hAnsi="Times New Roman" w:eastAsia="仿宋_GB2312" w:cs="Times New Roman"/>
          <w:color w:val="auto"/>
          <w:sz w:val="32"/>
          <w:szCs w:val="32"/>
          <w:highlight w:val="none"/>
          <w:lang w:eastAsia="zh-CN"/>
        </w:rPr>
        <w:t>结算审核</w:t>
      </w:r>
      <w:r>
        <w:rPr>
          <w:rFonts w:hint="default" w:ascii="Times New Roman" w:hAnsi="Times New Roman" w:eastAsia="仿宋_GB2312" w:cs="Times New Roman"/>
          <w:color w:val="auto"/>
          <w:sz w:val="32"/>
          <w:szCs w:val="32"/>
          <w:highlight w:val="none"/>
        </w:rPr>
        <w:t>报告→工程建设科</w:t>
      </w:r>
      <w:r>
        <w:rPr>
          <w:rFonts w:hint="default" w:ascii="Times New Roman" w:hAnsi="Times New Roman" w:eastAsia="仿宋_GB2312" w:cs="Times New Roman"/>
          <w:color w:val="auto"/>
          <w:sz w:val="32"/>
          <w:szCs w:val="32"/>
          <w:highlight w:val="none"/>
          <w:lang w:eastAsia="zh-CN"/>
        </w:rPr>
        <w:t>组织监理、跟审、设计等单位</w:t>
      </w:r>
      <w:r>
        <w:rPr>
          <w:rFonts w:hint="default" w:ascii="Times New Roman" w:hAnsi="Times New Roman" w:eastAsia="仿宋_GB2312" w:cs="Times New Roman"/>
          <w:color w:val="auto"/>
          <w:sz w:val="32"/>
          <w:szCs w:val="32"/>
          <w:highlight w:val="none"/>
        </w:rPr>
        <w:t>审查→跟踪审计单位调整</w:t>
      </w:r>
      <w:r>
        <w:rPr>
          <w:rFonts w:hint="default" w:ascii="Times New Roman" w:hAnsi="Times New Roman" w:eastAsia="仿宋_GB2312" w:cs="Times New Roman"/>
          <w:color w:val="auto"/>
          <w:sz w:val="32"/>
          <w:szCs w:val="32"/>
          <w:highlight w:val="none"/>
          <w:lang w:eastAsia="zh-CN"/>
        </w:rPr>
        <w:t>结算审核</w:t>
      </w:r>
      <w:r>
        <w:rPr>
          <w:rFonts w:hint="default" w:ascii="Times New Roman" w:hAnsi="Times New Roman" w:eastAsia="仿宋_GB2312" w:cs="Times New Roman"/>
          <w:color w:val="auto"/>
          <w:sz w:val="32"/>
          <w:szCs w:val="32"/>
          <w:highlight w:val="none"/>
        </w:rPr>
        <w:t>报告→综合计划科委托第三方</w:t>
      </w:r>
      <w:r>
        <w:rPr>
          <w:rFonts w:hint="default" w:ascii="Times New Roman" w:hAnsi="Times New Roman" w:eastAsia="仿宋_GB2312" w:cs="Times New Roman"/>
          <w:color w:val="auto"/>
          <w:sz w:val="32"/>
          <w:szCs w:val="32"/>
          <w:highlight w:val="none"/>
          <w:lang w:eastAsia="zh-CN"/>
        </w:rPr>
        <w:t>复审单位</w:t>
      </w:r>
      <w:r>
        <w:rPr>
          <w:rFonts w:hint="default" w:ascii="Times New Roman" w:hAnsi="Times New Roman" w:eastAsia="仿宋_GB2312" w:cs="Times New Roman"/>
          <w:color w:val="auto"/>
          <w:sz w:val="32"/>
          <w:szCs w:val="32"/>
          <w:highlight w:val="none"/>
        </w:rPr>
        <w:t>审核并出具结算审</w:t>
      </w:r>
      <w:r>
        <w:rPr>
          <w:rFonts w:hint="default" w:ascii="Times New Roman" w:hAnsi="Times New Roman" w:eastAsia="仿宋_GB2312" w:cs="Times New Roman"/>
          <w:color w:val="auto"/>
          <w:sz w:val="32"/>
          <w:szCs w:val="32"/>
          <w:highlight w:val="none"/>
          <w:lang w:eastAsia="zh-CN"/>
        </w:rPr>
        <w:t>（复）核</w:t>
      </w:r>
      <w:r>
        <w:rPr>
          <w:rFonts w:hint="default" w:ascii="Times New Roman" w:hAnsi="Times New Roman" w:eastAsia="仿宋_GB2312" w:cs="Times New Roman"/>
          <w:color w:val="auto"/>
          <w:sz w:val="32"/>
          <w:szCs w:val="32"/>
          <w:highlight w:val="none"/>
        </w:rPr>
        <w:t>报告→综合计划科复核→第三方</w:t>
      </w:r>
      <w:r>
        <w:rPr>
          <w:rFonts w:hint="default" w:ascii="Times New Roman" w:hAnsi="Times New Roman" w:eastAsia="仿宋_GB2312" w:cs="Times New Roman"/>
          <w:color w:val="auto"/>
          <w:sz w:val="32"/>
          <w:szCs w:val="32"/>
          <w:highlight w:val="none"/>
          <w:lang w:eastAsia="zh-CN"/>
        </w:rPr>
        <w:t>复审单位</w:t>
      </w:r>
      <w:r>
        <w:rPr>
          <w:rFonts w:hint="default" w:ascii="Times New Roman" w:hAnsi="Times New Roman" w:eastAsia="仿宋_GB2312" w:cs="Times New Roman"/>
          <w:color w:val="auto"/>
          <w:sz w:val="32"/>
          <w:szCs w:val="32"/>
          <w:highlight w:val="none"/>
        </w:rPr>
        <w:t>调整结算审</w:t>
      </w:r>
      <w:r>
        <w:rPr>
          <w:rFonts w:hint="default" w:ascii="Times New Roman" w:hAnsi="Times New Roman" w:eastAsia="仿宋_GB2312" w:cs="Times New Roman"/>
          <w:color w:val="auto"/>
          <w:sz w:val="32"/>
          <w:szCs w:val="32"/>
          <w:highlight w:val="none"/>
          <w:lang w:eastAsia="zh-CN"/>
        </w:rPr>
        <w:t>（复）核</w:t>
      </w:r>
      <w:r>
        <w:rPr>
          <w:rFonts w:hint="default" w:ascii="Times New Roman" w:hAnsi="Times New Roman" w:eastAsia="仿宋_GB2312" w:cs="Times New Roman"/>
          <w:color w:val="auto"/>
          <w:sz w:val="32"/>
          <w:szCs w:val="32"/>
          <w:highlight w:val="none"/>
        </w:rPr>
        <w:t>报告→</w:t>
      </w:r>
      <w:r>
        <w:rPr>
          <w:rFonts w:hint="default" w:ascii="Times New Roman" w:hAnsi="Times New Roman" w:eastAsia="仿宋_GB2312" w:cs="Times New Roman"/>
          <w:color w:val="auto"/>
          <w:sz w:val="32"/>
          <w:szCs w:val="32"/>
          <w:highlight w:val="none"/>
          <w:lang w:eastAsia="zh-CN"/>
        </w:rPr>
        <w:t>工程建设科</w:t>
      </w:r>
      <w:r>
        <w:rPr>
          <w:rFonts w:hint="default" w:ascii="Times New Roman" w:hAnsi="Times New Roman" w:eastAsia="仿宋_GB2312" w:cs="Times New Roman"/>
          <w:color w:val="auto"/>
          <w:sz w:val="32"/>
          <w:szCs w:val="32"/>
          <w:highlight w:val="none"/>
        </w:rPr>
        <w:t>备案</w:t>
      </w:r>
      <w:r>
        <w:rPr>
          <w:rFonts w:hint="default" w:ascii="Times New Roman" w:hAnsi="Times New Roman" w:eastAsia="仿宋_GB2312" w:cs="Times New Roman"/>
          <w:color w:val="auto"/>
          <w:sz w:val="32"/>
          <w:szCs w:val="32"/>
          <w:highlight w:val="none"/>
          <w:lang w:eastAsia="zh-CN"/>
        </w:rPr>
        <w:t>存档</w:t>
      </w:r>
      <w:r>
        <w:rPr>
          <w:rFonts w:hint="default" w:ascii="Times New Roman" w:hAnsi="Times New Roman" w:eastAsia="仿宋_GB2312" w:cs="Times New Roman"/>
          <w:color w:val="auto"/>
          <w:sz w:val="32"/>
          <w:szCs w:val="32"/>
          <w:highlight w:val="none"/>
        </w:rPr>
        <w:t>。</w:t>
      </w:r>
    </w:p>
    <w:p w14:paraId="2FB59B6C">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outlineLvl w:val="0"/>
        <w:rPr>
          <w:rFonts w:hint="default" w:ascii="Times New Roman" w:hAnsi="Times New Roman" w:eastAsia="仿宋_GB2312" w:cs="Times New Roman"/>
          <w:color w:val="auto"/>
          <w:sz w:val="32"/>
          <w:szCs w:val="32"/>
          <w:highlight w:val="none"/>
        </w:rPr>
      </w:pPr>
      <w:bookmarkStart w:id="210" w:name="_Toc2443"/>
      <w:r>
        <w:rPr>
          <w:rFonts w:hint="default" w:ascii="Times New Roman" w:hAnsi="Times New Roman" w:eastAsia="仿宋_GB2312" w:cs="Times New Roman"/>
          <w:color w:val="auto"/>
          <w:sz w:val="32"/>
          <w:szCs w:val="32"/>
          <w:highlight w:val="none"/>
        </w:rPr>
        <w:t>（三）</w:t>
      </w:r>
      <w:r>
        <w:rPr>
          <w:rFonts w:hint="default" w:ascii="Times New Roman" w:hAnsi="Times New Roman" w:eastAsia="仿宋_GB2312" w:cs="Times New Roman"/>
          <w:color w:val="auto"/>
          <w:sz w:val="32"/>
          <w:szCs w:val="32"/>
          <w:highlight w:val="none"/>
          <w:lang w:eastAsia="zh-CN"/>
        </w:rPr>
        <w:t>工程</w:t>
      </w:r>
      <w:r>
        <w:rPr>
          <w:rFonts w:hint="default" w:ascii="Times New Roman" w:hAnsi="Times New Roman" w:eastAsia="仿宋_GB2312" w:cs="Times New Roman"/>
          <w:color w:val="auto"/>
          <w:sz w:val="32"/>
          <w:szCs w:val="32"/>
          <w:highlight w:val="none"/>
        </w:rPr>
        <w:t>合同价</w:t>
      </w:r>
      <w:r>
        <w:rPr>
          <w:rFonts w:hint="default" w:ascii="Times New Roman" w:hAnsi="Times New Roman" w:eastAsia="仿宋_GB2312" w:cs="Times New Roman"/>
          <w:color w:val="auto"/>
          <w:sz w:val="32"/>
          <w:szCs w:val="32"/>
          <w:highlight w:val="none"/>
          <w:lang w:eastAsia="zh-CN"/>
        </w:rPr>
        <w:t>200</w:t>
      </w:r>
      <w:r>
        <w:rPr>
          <w:rFonts w:hint="default" w:ascii="Times New Roman" w:hAnsi="Times New Roman" w:eastAsia="仿宋_GB2312" w:cs="Times New Roman"/>
          <w:color w:val="auto"/>
          <w:sz w:val="32"/>
          <w:szCs w:val="32"/>
          <w:highlight w:val="none"/>
        </w:rPr>
        <w:t>万元（绿化</w:t>
      </w:r>
      <w:r>
        <w:rPr>
          <w:rFonts w:hint="default" w:ascii="Times New Roman" w:hAnsi="Times New Roman" w:eastAsia="仿宋_GB2312" w:cs="Times New Roman"/>
          <w:color w:val="auto"/>
          <w:sz w:val="32"/>
          <w:szCs w:val="32"/>
          <w:highlight w:val="none"/>
          <w:lang w:eastAsia="zh-CN"/>
        </w:rPr>
        <w:t>、园林景观100</w:t>
      </w:r>
      <w:r>
        <w:rPr>
          <w:rFonts w:hint="default" w:ascii="Times New Roman" w:hAnsi="Times New Roman" w:eastAsia="仿宋_GB2312" w:cs="Times New Roman"/>
          <w:color w:val="auto"/>
          <w:sz w:val="32"/>
          <w:szCs w:val="32"/>
          <w:highlight w:val="none"/>
        </w:rPr>
        <w:t>万元）以下项目</w:t>
      </w:r>
      <w:bookmarkEnd w:id="210"/>
    </w:p>
    <w:p w14:paraId="5BB9B67E">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施工单位向跟踪审计单位报送结算资料</w:t>
      </w:r>
      <w:r>
        <w:rPr>
          <w:rFonts w:hint="default" w:ascii="Times New Roman" w:hAnsi="Times New Roman" w:eastAsia="仿宋_GB2312" w:cs="Times New Roman"/>
          <w:color w:val="auto"/>
          <w:sz w:val="32"/>
          <w:szCs w:val="32"/>
          <w:highlight w:val="none"/>
        </w:rPr>
        <w:t>→跟踪审计单位出具</w:t>
      </w:r>
      <w:r>
        <w:rPr>
          <w:rFonts w:hint="default" w:ascii="Times New Roman" w:hAnsi="Times New Roman" w:eastAsia="仿宋_GB2312" w:cs="Times New Roman"/>
          <w:color w:val="auto"/>
          <w:sz w:val="32"/>
          <w:szCs w:val="32"/>
          <w:highlight w:val="none"/>
          <w:lang w:eastAsia="zh-CN"/>
        </w:rPr>
        <w:t>结算审核</w:t>
      </w:r>
      <w:r>
        <w:rPr>
          <w:rFonts w:hint="default" w:ascii="Times New Roman" w:hAnsi="Times New Roman" w:eastAsia="仿宋_GB2312" w:cs="Times New Roman"/>
          <w:color w:val="auto"/>
          <w:sz w:val="32"/>
          <w:szCs w:val="32"/>
          <w:highlight w:val="none"/>
        </w:rPr>
        <w:t>报告→工程建设科</w:t>
      </w:r>
      <w:r>
        <w:rPr>
          <w:rFonts w:hint="default" w:ascii="Times New Roman" w:hAnsi="Times New Roman" w:eastAsia="仿宋_GB2312" w:cs="Times New Roman"/>
          <w:color w:val="auto"/>
          <w:sz w:val="32"/>
          <w:szCs w:val="32"/>
          <w:highlight w:val="none"/>
          <w:lang w:eastAsia="zh-CN"/>
        </w:rPr>
        <w:t>组织监理、跟审、设计等单位</w:t>
      </w:r>
      <w:r>
        <w:rPr>
          <w:rFonts w:hint="default" w:ascii="Times New Roman" w:hAnsi="Times New Roman" w:eastAsia="仿宋_GB2312" w:cs="Times New Roman"/>
          <w:color w:val="auto"/>
          <w:sz w:val="32"/>
          <w:szCs w:val="32"/>
          <w:highlight w:val="none"/>
        </w:rPr>
        <w:t>审查→综合计划科复核→跟踪审计单位调整</w:t>
      </w:r>
      <w:r>
        <w:rPr>
          <w:rFonts w:hint="default" w:ascii="Times New Roman" w:hAnsi="Times New Roman" w:eastAsia="仿宋_GB2312" w:cs="Times New Roman"/>
          <w:color w:val="auto"/>
          <w:sz w:val="32"/>
          <w:szCs w:val="32"/>
          <w:highlight w:val="none"/>
          <w:lang w:eastAsia="zh-CN"/>
        </w:rPr>
        <w:t>结算审核</w:t>
      </w:r>
      <w:r>
        <w:rPr>
          <w:rFonts w:hint="default" w:ascii="Times New Roman" w:hAnsi="Times New Roman" w:eastAsia="仿宋_GB2312" w:cs="Times New Roman"/>
          <w:color w:val="auto"/>
          <w:sz w:val="32"/>
          <w:szCs w:val="32"/>
          <w:highlight w:val="none"/>
        </w:rPr>
        <w:t>报告→</w:t>
      </w:r>
      <w:r>
        <w:rPr>
          <w:rFonts w:hint="default" w:ascii="Times New Roman" w:hAnsi="Times New Roman" w:eastAsia="仿宋_GB2312" w:cs="Times New Roman"/>
          <w:color w:val="auto"/>
          <w:sz w:val="32"/>
          <w:szCs w:val="32"/>
          <w:highlight w:val="none"/>
          <w:lang w:eastAsia="zh-CN"/>
        </w:rPr>
        <w:t>工程建设科</w:t>
      </w:r>
      <w:r>
        <w:rPr>
          <w:rFonts w:hint="default" w:ascii="Times New Roman" w:hAnsi="Times New Roman" w:eastAsia="仿宋_GB2312" w:cs="Times New Roman"/>
          <w:color w:val="auto"/>
          <w:sz w:val="32"/>
          <w:szCs w:val="32"/>
          <w:highlight w:val="none"/>
        </w:rPr>
        <w:t>备案</w:t>
      </w:r>
      <w:r>
        <w:rPr>
          <w:rFonts w:hint="default" w:ascii="Times New Roman" w:hAnsi="Times New Roman" w:eastAsia="仿宋_GB2312" w:cs="Times New Roman"/>
          <w:color w:val="auto"/>
          <w:sz w:val="32"/>
          <w:szCs w:val="32"/>
          <w:highlight w:val="none"/>
          <w:lang w:eastAsia="zh-CN"/>
        </w:rPr>
        <w:t>存档</w:t>
      </w:r>
      <w:r>
        <w:rPr>
          <w:rFonts w:hint="default" w:ascii="Times New Roman" w:hAnsi="Times New Roman" w:eastAsia="仿宋_GB2312" w:cs="Times New Roman"/>
          <w:color w:val="auto"/>
          <w:sz w:val="32"/>
          <w:szCs w:val="32"/>
          <w:highlight w:val="none"/>
        </w:rPr>
        <w:t>。</w:t>
      </w:r>
    </w:p>
    <w:p w14:paraId="4FCD7067">
      <w:pPr>
        <w:pStyle w:val="2"/>
        <w:keepNext w:val="0"/>
        <w:keepLines w:val="0"/>
        <w:pageBreakBefore w:val="0"/>
        <w:kinsoku/>
        <w:wordWrap/>
        <w:overflowPunct/>
        <w:topLinePunct w:val="0"/>
        <w:autoSpaceDE/>
        <w:autoSpaceDN/>
        <w:bidi w:val="0"/>
        <w:adjustRightInd/>
        <w:spacing w:line="400" w:lineRule="exact"/>
        <w:ind w:left="0" w:leftChars="0" w:firstLine="640" w:firstLineChars="200"/>
        <w:textAlignment w:val="auto"/>
        <w:rPr>
          <w:rFonts w:hint="default" w:ascii="Times New Roman" w:hAnsi="Times New Roman"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上述限额标准根据市财政局规定同步调整。</w:t>
      </w:r>
    </w:p>
    <w:p w14:paraId="70D76ED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color w:val="auto"/>
          <w:kern w:val="36"/>
          <w:sz w:val="32"/>
          <w:szCs w:val="32"/>
          <w:highlight w:val="none"/>
        </w:rPr>
      </w:pPr>
      <w:r>
        <w:rPr>
          <w:rFonts w:hint="default" w:ascii="Times New Roman" w:hAnsi="Times New Roman" w:eastAsia="黑体" w:cs="Times New Roman"/>
          <w:color w:val="auto"/>
          <w:sz w:val="32"/>
          <w:szCs w:val="32"/>
          <w:highlight w:val="none"/>
        </w:rPr>
        <w:t>第三章 业务委托</w:t>
      </w:r>
    </w:p>
    <w:p w14:paraId="31C99BA8">
      <w:pPr>
        <w:keepNext w:val="0"/>
        <w:keepLines w:val="0"/>
        <w:pageBreakBefore w:val="0"/>
        <w:kinsoku/>
        <w:wordWrap/>
        <w:overflowPunct/>
        <w:topLinePunct w:val="0"/>
        <w:autoSpaceDE/>
        <w:autoSpaceDN/>
        <w:bidi w:val="0"/>
        <w:adjustRightInd/>
        <w:spacing w:line="400" w:lineRule="exact"/>
        <w:ind w:left="0" w:leftChars="0" w:firstLine="604"/>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sz w:val="32"/>
          <w:szCs w:val="32"/>
          <w:highlight w:val="none"/>
          <w:lang w:eastAsia="zh-CN"/>
        </w:rPr>
        <w:t>第五条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综合计划科负责</w:t>
      </w:r>
      <w:r>
        <w:rPr>
          <w:rFonts w:hint="default" w:ascii="Times New Roman" w:hAnsi="Times New Roman" w:eastAsia="仿宋_GB2312" w:cs="Times New Roman"/>
          <w:color w:val="auto"/>
          <w:kern w:val="36"/>
          <w:sz w:val="32"/>
          <w:szCs w:val="32"/>
          <w:highlight w:val="none"/>
        </w:rPr>
        <w:t>征集具备</w:t>
      </w:r>
      <w:r>
        <w:rPr>
          <w:rFonts w:hint="default" w:ascii="Times New Roman" w:hAnsi="Times New Roman" w:eastAsia="仿宋_GB2312" w:cs="Times New Roman"/>
          <w:color w:val="auto"/>
          <w:kern w:val="36"/>
          <w:sz w:val="32"/>
          <w:szCs w:val="32"/>
          <w:highlight w:val="none"/>
          <w:lang w:eastAsia="zh-CN"/>
        </w:rPr>
        <w:t>独立法人资格并有相应业务能力的</w:t>
      </w:r>
      <w:r>
        <w:rPr>
          <w:rFonts w:hint="default" w:ascii="Times New Roman" w:hAnsi="Times New Roman" w:eastAsia="仿宋_GB2312" w:cs="Times New Roman"/>
          <w:color w:val="auto"/>
          <w:spacing w:val="-4"/>
          <w:kern w:val="0"/>
          <w:sz w:val="32"/>
          <w:szCs w:val="32"/>
          <w:highlight w:val="none"/>
        </w:rPr>
        <w:t>造价企业，建立</w:t>
      </w:r>
      <w:r>
        <w:rPr>
          <w:rFonts w:hint="default" w:ascii="Times New Roman" w:hAnsi="Times New Roman" w:eastAsia="仿宋_GB2312" w:cs="Times New Roman"/>
          <w:color w:val="auto"/>
          <w:kern w:val="36"/>
          <w:sz w:val="32"/>
          <w:szCs w:val="32"/>
          <w:highlight w:val="none"/>
        </w:rPr>
        <w:t>“</w:t>
      </w:r>
      <w:r>
        <w:rPr>
          <w:rFonts w:hint="default" w:ascii="Times New Roman" w:hAnsi="Times New Roman" w:eastAsia="仿宋_GB2312" w:cs="Times New Roman"/>
          <w:color w:val="auto"/>
          <w:spacing w:val="-4"/>
          <w:kern w:val="0"/>
          <w:sz w:val="32"/>
          <w:szCs w:val="32"/>
          <w:highlight w:val="none"/>
        </w:rPr>
        <w:t>滁州市重点工程建设管理处工程造价咨询</w:t>
      </w:r>
      <w:r>
        <w:rPr>
          <w:rFonts w:hint="default" w:ascii="Times New Roman" w:hAnsi="Times New Roman" w:eastAsia="仿宋_GB2312" w:cs="Times New Roman"/>
          <w:color w:val="auto"/>
          <w:sz w:val="32"/>
          <w:szCs w:val="32"/>
          <w:highlight w:val="none"/>
        </w:rPr>
        <w:t>库”（以下简称“库”），</w:t>
      </w:r>
      <w:r>
        <w:rPr>
          <w:rFonts w:hint="default" w:ascii="Times New Roman" w:hAnsi="Times New Roman" w:eastAsia="仿宋_GB2312" w:cs="Times New Roman"/>
          <w:b w:val="0"/>
          <w:bCs w:val="0"/>
          <w:color w:val="auto"/>
          <w:sz w:val="32"/>
          <w:szCs w:val="32"/>
          <w:highlight w:val="none"/>
        </w:rPr>
        <w:t>该库</w:t>
      </w:r>
      <w:r>
        <w:rPr>
          <w:rFonts w:hint="default" w:ascii="Times New Roman" w:hAnsi="Times New Roman" w:eastAsia="仿宋_GB2312" w:cs="Times New Roman"/>
          <w:color w:val="auto"/>
          <w:kern w:val="0"/>
          <w:sz w:val="32"/>
          <w:szCs w:val="32"/>
          <w:highlight w:val="none"/>
        </w:rPr>
        <w:t>动态管理</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b/>
          <w:bCs/>
          <w:color w:val="auto"/>
          <w:kern w:val="0"/>
          <w:sz w:val="32"/>
          <w:szCs w:val="32"/>
          <w:highlight w:val="none"/>
          <w:lang w:val="en-US" w:eastAsia="zh-CN"/>
        </w:rPr>
        <w:t>随时</w:t>
      </w:r>
      <w:r>
        <w:rPr>
          <w:rFonts w:hint="default" w:ascii="Times New Roman" w:hAnsi="Times New Roman" w:eastAsia="仿宋_GB2312" w:cs="Times New Roman"/>
          <w:b/>
          <w:bCs/>
          <w:color w:val="auto"/>
          <w:sz w:val="32"/>
          <w:szCs w:val="32"/>
          <w:highlight w:val="none"/>
        </w:rPr>
        <w:t>登记</w:t>
      </w:r>
      <w:r>
        <w:rPr>
          <w:rFonts w:hint="default" w:ascii="Times New Roman" w:hAnsi="Times New Roman" w:eastAsia="仿宋_GB2312" w:cs="Times New Roman"/>
          <w:color w:val="auto"/>
          <w:sz w:val="32"/>
          <w:szCs w:val="32"/>
          <w:highlight w:val="none"/>
        </w:rPr>
        <w:t>，造价企业自</w:t>
      </w:r>
      <w:r>
        <w:rPr>
          <w:rFonts w:hint="default" w:ascii="Times New Roman" w:hAnsi="Times New Roman" w:eastAsia="仿宋_GB2312" w:cs="Times New Roman"/>
          <w:color w:val="auto"/>
          <w:sz w:val="32"/>
          <w:szCs w:val="32"/>
          <w:highlight w:val="none"/>
          <w:lang w:eastAsia="zh-CN"/>
        </w:rPr>
        <w:t>主</w:t>
      </w:r>
      <w:r>
        <w:rPr>
          <w:rFonts w:hint="default" w:ascii="Times New Roman" w:hAnsi="Times New Roman" w:eastAsia="仿宋_GB2312" w:cs="Times New Roman"/>
          <w:color w:val="auto"/>
          <w:sz w:val="32"/>
          <w:szCs w:val="32"/>
          <w:highlight w:val="none"/>
        </w:rPr>
        <w:t>报名</w:t>
      </w:r>
      <w:r>
        <w:rPr>
          <w:rFonts w:hint="default" w:ascii="Times New Roman" w:hAnsi="Times New Roman" w:eastAsia="仿宋_GB2312" w:cs="Times New Roman"/>
          <w:color w:val="auto"/>
          <w:sz w:val="32"/>
          <w:szCs w:val="32"/>
          <w:highlight w:val="none"/>
          <w:lang w:eastAsia="zh-CN"/>
        </w:rPr>
        <w:t>申请入库</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综合</w:t>
      </w:r>
      <w:r>
        <w:rPr>
          <w:rFonts w:hint="default" w:ascii="Times New Roman" w:hAnsi="Times New Roman" w:eastAsia="仿宋_GB2312" w:cs="Times New Roman"/>
          <w:color w:val="auto"/>
          <w:sz w:val="32"/>
          <w:szCs w:val="32"/>
          <w:highlight w:val="none"/>
        </w:rPr>
        <w:t>计划科</w:t>
      </w:r>
      <w:r>
        <w:rPr>
          <w:rFonts w:hint="default" w:ascii="Times New Roman" w:hAnsi="Times New Roman" w:eastAsia="仿宋_GB2312" w:cs="Times New Roman"/>
          <w:color w:val="auto"/>
          <w:sz w:val="32"/>
          <w:szCs w:val="32"/>
          <w:highlight w:val="none"/>
          <w:lang w:eastAsia="zh-CN"/>
        </w:rPr>
        <w:t>组织工程建设科、工程监管科等科室</w:t>
      </w:r>
      <w:r>
        <w:rPr>
          <w:rFonts w:hint="default" w:ascii="Times New Roman" w:hAnsi="Times New Roman" w:eastAsia="仿宋_GB2312" w:cs="Times New Roman"/>
          <w:color w:val="auto"/>
          <w:sz w:val="32"/>
          <w:szCs w:val="32"/>
          <w:highlight w:val="none"/>
        </w:rPr>
        <w:t>审查，入库的</w:t>
      </w:r>
      <w:r>
        <w:rPr>
          <w:rFonts w:hint="default" w:ascii="Times New Roman" w:hAnsi="Times New Roman" w:eastAsia="仿宋_GB2312" w:cs="Times New Roman"/>
          <w:color w:val="auto"/>
          <w:spacing w:val="-4"/>
          <w:kern w:val="0"/>
          <w:sz w:val="32"/>
          <w:szCs w:val="32"/>
          <w:highlight w:val="none"/>
        </w:rPr>
        <w:t>造价企业</w:t>
      </w:r>
      <w:r>
        <w:rPr>
          <w:rFonts w:hint="default" w:ascii="Times New Roman" w:hAnsi="Times New Roman" w:eastAsia="仿宋_GB2312" w:cs="Times New Roman"/>
          <w:color w:val="auto"/>
          <w:sz w:val="32"/>
          <w:szCs w:val="32"/>
          <w:highlight w:val="none"/>
          <w:lang w:eastAsia="zh-CN"/>
        </w:rPr>
        <w:t>违反本办法第二十八条、第二十九条、第三十条及</w:t>
      </w:r>
      <w:r>
        <w:rPr>
          <w:rFonts w:hint="default" w:ascii="Times New Roman" w:hAnsi="Times New Roman" w:eastAsia="仿宋_GB2312" w:cs="Times New Roman"/>
          <w:color w:val="auto"/>
          <w:sz w:val="32"/>
          <w:szCs w:val="32"/>
          <w:highlight w:val="none"/>
        </w:rPr>
        <w:t>存在违法违规行为等影响其履约能力的予以退库</w:t>
      </w:r>
      <w:r>
        <w:rPr>
          <w:rFonts w:hint="default" w:ascii="Times New Roman" w:hAnsi="Times New Roman" w:eastAsia="仿宋_GB2312" w:cs="Times New Roman"/>
          <w:color w:val="auto"/>
          <w:kern w:val="0"/>
          <w:sz w:val="32"/>
          <w:szCs w:val="32"/>
          <w:highlight w:val="none"/>
        </w:rPr>
        <w:t>。</w:t>
      </w:r>
    </w:p>
    <w:p w14:paraId="432B43EC">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工程</w:t>
      </w:r>
      <w:r>
        <w:rPr>
          <w:rFonts w:hint="default" w:ascii="Times New Roman" w:hAnsi="Times New Roman" w:eastAsia="仿宋_GB2312" w:cs="Times New Roman"/>
          <w:color w:val="auto"/>
          <w:kern w:val="0"/>
          <w:sz w:val="32"/>
          <w:szCs w:val="32"/>
          <w:highlight w:val="none"/>
        </w:rPr>
        <w:t>造价咨询服务</w:t>
      </w:r>
      <w:r>
        <w:rPr>
          <w:rFonts w:hint="default" w:ascii="Times New Roman" w:hAnsi="Times New Roman" w:eastAsia="仿宋_GB2312" w:cs="Times New Roman"/>
          <w:color w:val="auto"/>
          <w:sz w:val="32"/>
          <w:szCs w:val="32"/>
          <w:highlight w:val="none"/>
        </w:rPr>
        <w:t>费单项合同估算价</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0</w:t>
      </w:r>
      <w:r>
        <w:rPr>
          <w:rFonts w:hint="default" w:ascii="Times New Roman" w:hAnsi="Times New Roman" w:eastAsia="仿宋_GB2312" w:cs="Times New Roman"/>
          <w:color w:val="auto"/>
          <w:sz w:val="32"/>
          <w:szCs w:val="32"/>
          <w:highlight w:val="none"/>
        </w:rPr>
        <w:t>万元以下项目在库中委托（上述限额标准根据市公共资源进场交易目录同步调整），委托方式</w:t>
      </w:r>
      <w:r>
        <w:rPr>
          <w:rFonts w:hint="default" w:ascii="Times New Roman" w:hAnsi="Times New Roman" w:eastAsia="仿宋_GB2312" w:cs="Times New Roman"/>
          <w:color w:val="auto"/>
          <w:sz w:val="32"/>
          <w:szCs w:val="32"/>
          <w:highlight w:val="none"/>
          <w:lang w:eastAsia="zh-CN"/>
        </w:rPr>
        <w:t>有</w:t>
      </w:r>
      <w:r>
        <w:rPr>
          <w:rFonts w:hint="default" w:ascii="Times New Roman" w:hAnsi="Times New Roman" w:eastAsia="仿宋_GB2312" w:cs="Times New Roman"/>
          <w:color w:val="auto"/>
          <w:sz w:val="32"/>
          <w:szCs w:val="32"/>
          <w:highlight w:val="none"/>
        </w:rPr>
        <w:t>公开、邀请、奖励和指定方式</w:t>
      </w:r>
      <w:r>
        <w:rPr>
          <w:rFonts w:hint="default" w:ascii="Times New Roman" w:hAnsi="Times New Roman" w:eastAsia="仿宋_GB2312" w:cs="Times New Roman"/>
          <w:color w:val="auto"/>
          <w:sz w:val="32"/>
          <w:szCs w:val="32"/>
          <w:highlight w:val="none"/>
          <w:lang w:eastAsia="zh-CN"/>
        </w:rPr>
        <w:t>。</w:t>
      </w:r>
    </w:p>
    <w:p w14:paraId="7179038E">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六</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公开方式</w:t>
      </w:r>
    </w:p>
    <w:p w14:paraId="393ABEA9">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综合计划科根据项目性质和特点，编制招标文件，经综合计划科</w:t>
      </w:r>
      <w:r>
        <w:rPr>
          <w:rFonts w:hint="default" w:ascii="Times New Roman" w:hAnsi="Times New Roman" w:eastAsia="仿宋_GB2312" w:cs="Times New Roman"/>
          <w:b w:val="0"/>
          <w:bCs w:val="0"/>
          <w:color w:val="auto"/>
          <w:sz w:val="32"/>
          <w:szCs w:val="32"/>
          <w:highlight w:val="none"/>
          <w:lang w:eastAsia="zh-CN"/>
        </w:rPr>
        <w:t>分管</w:t>
      </w:r>
      <w:r>
        <w:rPr>
          <w:rFonts w:hint="default" w:ascii="Times New Roman" w:hAnsi="Times New Roman" w:eastAsia="仿宋_GB2312" w:cs="Times New Roman"/>
          <w:b w:val="0"/>
          <w:bCs w:val="0"/>
          <w:color w:val="auto"/>
          <w:sz w:val="32"/>
          <w:szCs w:val="32"/>
          <w:highlight w:val="none"/>
        </w:rPr>
        <w:t>领导</w:t>
      </w:r>
      <w:r>
        <w:rPr>
          <w:rFonts w:hint="default" w:ascii="Times New Roman" w:hAnsi="Times New Roman" w:eastAsia="仿宋_GB2312" w:cs="Times New Roman"/>
          <w:color w:val="auto"/>
          <w:sz w:val="32"/>
          <w:szCs w:val="32"/>
          <w:highlight w:val="none"/>
        </w:rPr>
        <w:t>批准，在处门户网站公开招标。</w:t>
      </w:r>
    </w:p>
    <w:p w14:paraId="7FDB2833">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kern w:val="36"/>
          <w:sz w:val="32"/>
          <w:szCs w:val="32"/>
          <w:highlight w:val="none"/>
        </w:rPr>
        <w:t>库</w:t>
      </w:r>
      <w:r>
        <w:rPr>
          <w:rFonts w:hint="default" w:ascii="Times New Roman" w:hAnsi="Times New Roman" w:eastAsia="仿宋_GB2312" w:cs="Times New Roman"/>
          <w:color w:val="auto"/>
          <w:sz w:val="32"/>
          <w:szCs w:val="32"/>
          <w:highlight w:val="none"/>
        </w:rPr>
        <w:t>中</w:t>
      </w:r>
      <w:r>
        <w:rPr>
          <w:rFonts w:hint="default" w:ascii="Times New Roman" w:hAnsi="Times New Roman" w:eastAsia="仿宋_GB2312" w:cs="Times New Roman"/>
          <w:color w:val="auto"/>
          <w:kern w:val="0"/>
          <w:sz w:val="32"/>
          <w:szCs w:val="32"/>
          <w:highlight w:val="none"/>
        </w:rPr>
        <w:t>造价企业</w:t>
      </w:r>
      <w:r>
        <w:rPr>
          <w:rFonts w:hint="default" w:ascii="Times New Roman" w:hAnsi="Times New Roman" w:eastAsia="仿宋_GB2312" w:cs="Times New Roman"/>
          <w:color w:val="auto"/>
          <w:kern w:val="0"/>
          <w:sz w:val="32"/>
          <w:szCs w:val="32"/>
          <w:highlight w:val="none"/>
          <w:lang w:eastAsia="zh-CN"/>
        </w:rPr>
        <w:t>自主报名，递交投标文件</w:t>
      </w:r>
      <w:r>
        <w:rPr>
          <w:rFonts w:hint="default" w:ascii="Times New Roman" w:hAnsi="Times New Roman" w:eastAsia="仿宋_GB2312" w:cs="Times New Roman"/>
          <w:color w:val="auto"/>
          <w:sz w:val="32"/>
          <w:szCs w:val="32"/>
          <w:highlight w:val="none"/>
        </w:rPr>
        <w:t>。</w:t>
      </w:r>
    </w:p>
    <w:p w14:paraId="64CA99FA">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项目</w:t>
      </w:r>
      <w:r>
        <w:rPr>
          <w:rFonts w:hint="default" w:ascii="Times New Roman" w:hAnsi="Times New Roman" w:eastAsia="仿宋_GB2312" w:cs="Times New Roman"/>
          <w:color w:val="auto"/>
          <w:sz w:val="32"/>
          <w:szCs w:val="32"/>
          <w:highlight w:val="none"/>
          <w:lang w:eastAsia="zh-CN"/>
        </w:rPr>
        <w:t>开标时</w:t>
      </w:r>
      <w:r>
        <w:rPr>
          <w:rFonts w:hint="default" w:ascii="Times New Roman" w:hAnsi="Times New Roman" w:eastAsia="仿宋_GB2312" w:cs="Times New Roman"/>
          <w:color w:val="auto"/>
          <w:sz w:val="32"/>
          <w:szCs w:val="32"/>
          <w:highlight w:val="none"/>
        </w:rPr>
        <w:t>，综合计划科</w:t>
      </w:r>
      <w:r>
        <w:rPr>
          <w:rFonts w:hint="default" w:ascii="Times New Roman" w:hAnsi="Times New Roman" w:eastAsia="仿宋_GB2312" w:cs="Times New Roman"/>
          <w:color w:val="auto"/>
          <w:sz w:val="32"/>
          <w:szCs w:val="32"/>
          <w:highlight w:val="none"/>
          <w:lang w:eastAsia="zh-CN"/>
        </w:rPr>
        <w:t>组织资格</w:t>
      </w:r>
      <w:r>
        <w:rPr>
          <w:rFonts w:hint="default" w:ascii="Times New Roman" w:hAnsi="Times New Roman" w:eastAsia="仿宋_GB2312" w:cs="Times New Roman"/>
          <w:color w:val="auto"/>
          <w:sz w:val="32"/>
          <w:szCs w:val="32"/>
          <w:highlight w:val="none"/>
        </w:rPr>
        <w:t>审查</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sz w:val="32"/>
          <w:szCs w:val="32"/>
          <w:highlight w:val="none"/>
        </w:rPr>
        <w:t>通过审查</w:t>
      </w:r>
      <w:r>
        <w:rPr>
          <w:rFonts w:hint="default" w:ascii="Times New Roman" w:hAnsi="Times New Roman" w:eastAsia="仿宋_GB2312" w:cs="Times New Roman"/>
          <w:color w:val="auto"/>
          <w:kern w:val="0"/>
          <w:sz w:val="32"/>
          <w:szCs w:val="32"/>
          <w:highlight w:val="none"/>
        </w:rPr>
        <w:t>的</w:t>
      </w:r>
      <w:r>
        <w:rPr>
          <w:rFonts w:hint="default" w:ascii="Times New Roman" w:hAnsi="Times New Roman" w:eastAsia="仿宋_GB2312" w:cs="Times New Roman"/>
          <w:color w:val="auto"/>
          <w:sz w:val="32"/>
          <w:szCs w:val="32"/>
          <w:highlight w:val="none"/>
        </w:rPr>
        <w:t>造价企业</w:t>
      </w:r>
      <w:r>
        <w:rPr>
          <w:rFonts w:hint="default" w:ascii="Times New Roman" w:hAnsi="Times New Roman" w:eastAsia="仿宋_GB2312" w:cs="Times New Roman"/>
          <w:color w:val="auto"/>
          <w:kern w:val="0"/>
          <w:sz w:val="32"/>
          <w:szCs w:val="32"/>
          <w:highlight w:val="none"/>
        </w:rPr>
        <w:t>不</w:t>
      </w:r>
      <w:r>
        <w:rPr>
          <w:rFonts w:hint="default" w:ascii="Times New Roman" w:hAnsi="Times New Roman" w:eastAsia="仿宋_GB2312" w:cs="Times New Roman"/>
          <w:color w:val="auto"/>
          <w:kern w:val="0"/>
          <w:sz w:val="32"/>
          <w:szCs w:val="32"/>
          <w:highlight w:val="none"/>
          <w:lang w:eastAsia="zh-CN"/>
        </w:rPr>
        <w:t>得</w:t>
      </w:r>
      <w:r>
        <w:rPr>
          <w:rFonts w:hint="default" w:ascii="Times New Roman" w:hAnsi="Times New Roman" w:eastAsia="仿宋_GB2312" w:cs="Times New Roman"/>
          <w:color w:val="auto"/>
          <w:kern w:val="0"/>
          <w:sz w:val="32"/>
          <w:szCs w:val="32"/>
          <w:highlight w:val="none"/>
        </w:rPr>
        <w:t>少于三家，否则，再次</w:t>
      </w:r>
      <w:r>
        <w:rPr>
          <w:rFonts w:hint="default" w:ascii="Times New Roman" w:hAnsi="Times New Roman" w:eastAsia="仿宋_GB2312" w:cs="Times New Roman"/>
          <w:color w:val="auto"/>
          <w:sz w:val="32"/>
          <w:szCs w:val="32"/>
          <w:highlight w:val="none"/>
        </w:rPr>
        <w:t>发布项目招标公告，如第二次仍少于三家，可转为竞争性谈判或单一来源采购。</w:t>
      </w:r>
    </w:p>
    <w:p w14:paraId="67145C38">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现场公开</w:t>
      </w:r>
      <w:r>
        <w:rPr>
          <w:rFonts w:hint="default" w:ascii="Times New Roman" w:hAnsi="Times New Roman" w:eastAsia="仿宋_GB2312" w:cs="Times New Roman"/>
          <w:color w:val="auto"/>
          <w:sz w:val="32"/>
          <w:szCs w:val="32"/>
          <w:highlight w:val="none"/>
          <w:lang w:eastAsia="zh-CN"/>
        </w:rPr>
        <w:t>确</w:t>
      </w:r>
      <w:r>
        <w:rPr>
          <w:rFonts w:hint="default" w:ascii="Times New Roman" w:hAnsi="Times New Roman" w:eastAsia="仿宋_GB2312" w:cs="Times New Roman"/>
          <w:color w:val="auto"/>
          <w:sz w:val="32"/>
          <w:szCs w:val="32"/>
          <w:highlight w:val="none"/>
        </w:rPr>
        <w:t>定造价企业，</w:t>
      </w:r>
      <w:r>
        <w:rPr>
          <w:rFonts w:hint="default" w:ascii="Times New Roman" w:hAnsi="Times New Roman" w:eastAsia="仿宋_GB2312" w:cs="Times New Roman"/>
          <w:color w:val="auto"/>
          <w:sz w:val="32"/>
          <w:szCs w:val="32"/>
          <w:highlight w:val="none"/>
          <w:lang w:eastAsia="zh-CN"/>
        </w:rPr>
        <w:t>中标</w:t>
      </w:r>
      <w:r>
        <w:rPr>
          <w:rFonts w:hint="default" w:ascii="Times New Roman" w:hAnsi="Times New Roman" w:eastAsia="仿宋_GB2312" w:cs="Times New Roman"/>
          <w:color w:val="auto"/>
          <w:sz w:val="32"/>
          <w:szCs w:val="32"/>
          <w:highlight w:val="none"/>
        </w:rPr>
        <w:t>结果在处门户网站公示。</w:t>
      </w:r>
    </w:p>
    <w:p w14:paraId="4F6CD7C4">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(五)</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公示期满无异议，综合计划科发</w:t>
      </w:r>
      <w:r>
        <w:rPr>
          <w:rFonts w:hint="default" w:ascii="Times New Roman" w:hAnsi="Times New Roman" w:eastAsia="仿宋_GB2312" w:cs="Times New Roman"/>
          <w:color w:val="auto"/>
          <w:sz w:val="32"/>
          <w:szCs w:val="32"/>
          <w:highlight w:val="none"/>
          <w:lang w:eastAsia="zh-CN"/>
        </w:rPr>
        <w:t>中标</w:t>
      </w:r>
      <w:r>
        <w:rPr>
          <w:rFonts w:hint="default" w:ascii="Times New Roman" w:hAnsi="Times New Roman" w:eastAsia="仿宋_GB2312" w:cs="Times New Roman"/>
          <w:color w:val="auto"/>
          <w:sz w:val="32"/>
          <w:szCs w:val="32"/>
          <w:highlight w:val="none"/>
        </w:rPr>
        <w:t>通知书，与造价企业签订合同。</w:t>
      </w:r>
    </w:p>
    <w:p w14:paraId="54982722">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七</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邀请方式</w:t>
      </w:r>
    </w:p>
    <w:p w14:paraId="5DD7E6E7">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综合计划科根据项目性质和特点，在库中筛选、</w:t>
      </w:r>
      <w:r>
        <w:rPr>
          <w:rFonts w:hint="default" w:ascii="Times New Roman" w:hAnsi="Times New Roman" w:eastAsia="仿宋_GB2312" w:cs="Times New Roman"/>
          <w:color w:val="auto"/>
          <w:sz w:val="32"/>
          <w:szCs w:val="32"/>
          <w:highlight w:val="none"/>
          <w:lang w:eastAsia="zh-CN"/>
        </w:rPr>
        <w:t>初审</w:t>
      </w:r>
      <w:r>
        <w:rPr>
          <w:rFonts w:hint="default" w:ascii="Times New Roman" w:hAnsi="Times New Roman" w:eastAsia="仿宋_GB2312" w:cs="Times New Roman"/>
          <w:color w:val="auto"/>
          <w:sz w:val="32"/>
          <w:szCs w:val="32"/>
          <w:highlight w:val="none"/>
        </w:rPr>
        <w:t>并推荐不少于</w:t>
      </w:r>
      <w:r>
        <w:rPr>
          <w:rFonts w:hint="default" w:ascii="Times New Roman" w:hAnsi="Times New Roman" w:eastAsia="仿宋_GB2312" w:cs="Times New Roman"/>
          <w:color w:val="auto"/>
          <w:sz w:val="32"/>
          <w:szCs w:val="32"/>
          <w:highlight w:val="none"/>
          <w:lang w:eastAsia="zh-CN"/>
        </w:rPr>
        <w:t>五</w:t>
      </w:r>
      <w:r>
        <w:rPr>
          <w:rFonts w:hint="default" w:ascii="Times New Roman" w:hAnsi="Times New Roman" w:eastAsia="仿宋_GB2312" w:cs="Times New Roman"/>
          <w:color w:val="auto"/>
          <w:sz w:val="32"/>
          <w:szCs w:val="32"/>
          <w:highlight w:val="none"/>
        </w:rPr>
        <w:t>家造价企业，综合计划科分管领导</w:t>
      </w:r>
      <w:r>
        <w:rPr>
          <w:rFonts w:hint="default" w:ascii="Times New Roman" w:hAnsi="Times New Roman" w:eastAsia="仿宋_GB2312" w:cs="Times New Roman"/>
          <w:color w:val="auto"/>
          <w:sz w:val="32"/>
          <w:szCs w:val="32"/>
          <w:highlight w:val="none"/>
          <w:lang w:eastAsia="zh-CN"/>
        </w:rPr>
        <w:t>组织审查，报</w:t>
      </w:r>
      <w:r>
        <w:rPr>
          <w:rFonts w:hint="default" w:ascii="Times New Roman" w:hAnsi="Times New Roman" w:eastAsia="仿宋_GB2312" w:cs="Times New Roman"/>
          <w:color w:val="auto"/>
          <w:sz w:val="32"/>
          <w:szCs w:val="32"/>
          <w:highlight w:val="none"/>
        </w:rPr>
        <w:t>主要领导</w:t>
      </w:r>
      <w:r>
        <w:rPr>
          <w:rFonts w:hint="default" w:ascii="Times New Roman" w:hAnsi="Times New Roman" w:eastAsia="仿宋_GB2312" w:cs="Times New Roman"/>
          <w:color w:val="auto"/>
          <w:sz w:val="32"/>
          <w:szCs w:val="32"/>
          <w:highlight w:val="none"/>
          <w:lang w:eastAsia="zh-CN"/>
        </w:rPr>
        <w:t>批准后</w:t>
      </w:r>
      <w:r>
        <w:rPr>
          <w:rFonts w:hint="default" w:ascii="Times New Roman" w:hAnsi="Times New Roman" w:eastAsia="仿宋_GB2312" w:cs="Times New Roman"/>
          <w:color w:val="auto"/>
          <w:sz w:val="32"/>
          <w:szCs w:val="32"/>
          <w:highlight w:val="none"/>
        </w:rPr>
        <w:t>向被推荐企业发出邀请。</w:t>
      </w:r>
    </w:p>
    <w:p w14:paraId="37F6A86A">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(二)</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被推荐的造价企业按照要求，参加项目竞价</w:t>
      </w:r>
      <w:r>
        <w:rPr>
          <w:rFonts w:hint="default" w:ascii="Times New Roman" w:hAnsi="Times New Roman" w:eastAsia="仿宋_GB2312" w:cs="Times New Roman"/>
          <w:color w:val="auto"/>
          <w:sz w:val="32"/>
          <w:szCs w:val="32"/>
          <w:highlight w:val="none"/>
          <w:lang w:eastAsia="zh-CN"/>
        </w:rPr>
        <w:t>。</w:t>
      </w:r>
    </w:p>
    <w:p w14:paraId="56F4E9D0">
      <w:pPr>
        <w:keepNext w:val="0"/>
        <w:keepLines w:val="0"/>
        <w:pageBreakBefore w:val="0"/>
        <w:kinsoku/>
        <w:wordWrap/>
        <w:overflowPunct/>
        <w:topLinePunct w:val="0"/>
        <w:autoSpaceDE/>
        <w:autoSpaceDN/>
        <w:bidi w:val="0"/>
        <w:adjustRightInd/>
        <w:spacing w:line="40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综合计划科发</w:t>
      </w:r>
      <w:r>
        <w:rPr>
          <w:rFonts w:hint="default" w:ascii="Times New Roman" w:hAnsi="Times New Roman" w:eastAsia="仿宋_GB2312" w:cs="Times New Roman"/>
          <w:color w:val="auto"/>
          <w:sz w:val="32"/>
          <w:szCs w:val="32"/>
          <w:highlight w:val="none"/>
          <w:lang w:eastAsia="zh-CN"/>
        </w:rPr>
        <w:t>中标</w:t>
      </w:r>
      <w:r>
        <w:rPr>
          <w:rFonts w:hint="default" w:ascii="Times New Roman" w:hAnsi="Times New Roman" w:eastAsia="仿宋_GB2312" w:cs="Times New Roman"/>
          <w:color w:val="auto"/>
          <w:sz w:val="32"/>
          <w:szCs w:val="32"/>
          <w:highlight w:val="none"/>
        </w:rPr>
        <w:t>通知书，与造价企业签订合同。</w:t>
      </w:r>
    </w:p>
    <w:p w14:paraId="6208E6A5">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八</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奖励方式</w:t>
      </w:r>
    </w:p>
    <w:p w14:paraId="1633AE20">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为体现质量、信用优先原则，依据年度考核结果，对部分项目采取奖励方式委托</w:t>
      </w:r>
      <w:r>
        <w:rPr>
          <w:rFonts w:hint="default" w:ascii="Times New Roman" w:hAnsi="Times New Roman" w:eastAsia="仿宋_GB2312" w:cs="Times New Roman"/>
          <w:color w:val="auto"/>
          <w:spacing w:val="-4"/>
          <w:kern w:val="0"/>
          <w:sz w:val="32"/>
          <w:szCs w:val="32"/>
          <w:highlight w:val="none"/>
        </w:rPr>
        <w:t>造价企业</w:t>
      </w:r>
      <w:r>
        <w:rPr>
          <w:rFonts w:hint="default" w:ascii="Times New Roman" w:hAnsi="Times New Roman" w:eastAsia="仿宋_GB2312" w:cs="Times New Roman"/>
          <w:color w:val="auto"/>
          <w:sz w:val="32"/>
          <w:szCs w:val="32"/>
          <w:highlight w:val="none"/>
        </w:rPr>
        <w:t>。</w:t>
      </w:r>
    </w:p>
    <w:p w14:paraId="599E84F1">
      <w:pPr>
        <w:keepNext w:val="0"/>
        <w:keepLines w:val="0"/>
        <w:pageBreakBefore w:val="0"/>
        <w:numPr>
          <w:ilvl w:val="0"/>
          <w:numId w:val="0"/>
        </w:numPr>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(二)</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年度考核</w:t>
      </w:r>
      <w:r>
        <w:rPr>
          <w:rFonts w:hint="default" w:ascii="Times New Roman" w:hAnsi="Times New Roman" w:eastAsia="仿宋_GB2312" w:cs="Times New Roman"/>
          <w:color w:val="auto"/>
          <w:sz w:val="32"/>
          <w:szCs w:val="32"/>
          <w:highlight w:val="none"/>
          <w:lang w:eastAsia="zh-CN"/>
        </w:rPr>
        <w:t>优秀等级</w:t>
      </w:r>
      <w:r>
        <w:rPr>
          <w:rFonts w:hint="default" w:ascii="Times New Roman" w:hAnsi="Times New Roman" w:eastAsia="仿宋_GB2312" w:cs="Times New Roman"/>
          <w:color w:val="auto"/>
          <w:sz w:val="32"/>
          <w:szCs w:val="32"/>
          <w:highlight w:val="none"/>
        </w:rPr>
        <w:t>排名前</w:t>
      </w:r>
      <w:r>
        <w:rPr>
          <w:rFonts w:hint="default"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位</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造价企业</w:t>
      </w:r>
      <w:r>
        <w:rPr>
          <w:rFonts w:hint="default" w:ascii="Times New Roman" w:hAnsi="Times New Roman" w:eastAsia="仿宋_GB2312" w:cs="Times New Roman"/>
          <w:color w:val="auto"/>
          <w:sz w:val="32"/>
          <w:szCs w:val="32"/>
          <w:highlight w:val="none"/>
          <w:lang w:eastAsia="zh-CN"/>
        </w:rPr>
        <w:t>分别</w:t>
      </w:r>
      <w:r>
        <w:rPr>
          <w:rFonts w:hint="default" w:ascii="Times New Roman" w:hAnsi="Times New Roman" w:eastAsia="仿宋_GB2312" w:cs="Times New Roman"/>
          <w:color w:val="auto"/>
          <w:sz w:val="32"/>
          <w:szCs w:val="32"/>
          <w:highlight w:val="none"/>
        </w:rPr>
        <w:t>奖励</w:t>
      </w:r>
      <w:r>
        <w:rPr>
          <w:rFonts w:hint="default" w:ascii="Times New Roman" w:hAnsi="Times New Roman" w:eastAsia="仿宋_GB2312" w:cs="Times New Roman"/>
          <w:color w:val="auto"/>
          <w:sz w:val="32"/>
          <w:szCs w:val="32"/>
          <w:highlight w:val="none"/>
          <w:lang w:eastAsia="zh-CN"/>
        </w:rPr>
        <w:t>一个投资额</w:t>
      </w:r>
      <w:r>
        <w:rPr>
          <w:rFonts w:hint="default" w:ascii="Times New Roman" w:hAnsi="Times New Roman" w:eastAsia="仿宋_GB2312" w:cs="Times New Roman"/>
          <w:color w:val="auto"/>
          <w:sz w:val="32"/>
          <w:szCs w:val="32"/>
          <w:highlight w:val="none"/>
          <w:lang w:val="en-US" w:eastAsia="zh-CN"/>
        </w:rPr>
        <w:t>5000-10000万元的项目。</w:t>
      </w:r>
    </w:p>
    <w:p w14:paraId="4A3AA4DA">
      <w:pPr>
        <w:keepNext w:val="0"/>
        <w:keepLines w:val="0"/>
        <w:pageBreakBefore w:val="0"/>
        <w:numPr>
          <w:ilvl w:val="0"/>
          <w:numId w:val="2"/>
        </w:numPr>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奖励项目的具体安排，由综合计划科根据项目特</w:t>
      </w:r>
      <w:r>
        <w:rPr>
          <w:rFonts w:hint="default" w:ascii="Times New Roman" w:hAnsi="Times New Roman" w:eastAsia="仿宋_GB2312" w:cs="Times New Roman"/>
          <w:color w:val="auto"/>
          <w:sz w:val="32"/>
          <w:szCs w:val="32"/>
          <w:highlight w:val="none"/>
          <w:lang w:eastAsia="zh-CN"/>
        </w:rPr>
        <w:t>点</w:t>
      </w:r>
      <w:r>
        <w:rPr>
          <w:rFonts w:hint="default" w:ascii="Times New Roman" w:hAnsi="Times New Roman" w:eastAsia="仿宋_GB2312" w:cs="Times New Roman"/>
          <w:color w:val="auto"/>
          <w:sz w:val="32"/>
          <w:szCs w:val="32"/>
          <w:highlight w:val="none"/>
        </w:rPr>
        <w:t>，对符合奖励条件的造价企业，提出分配</w:t>
      </w:r>
      <w:r>
        <w:rPr>
          <w:rFonts w:hint="default" w:ascii="Times New Roman" w:hAnsi="Times New Roman" w:eastAsia="仿宋_GB2312" w:cs="Times New Roman"/>
          <w:color w:val="auto"/>
          <w:kern w:val="0"/>
          <w:sz w:val="32"/>
          <w:szCs w:val="32"/>
          <w:highlight w:val="none"/>
        </w:rPr>
        <w:t>意见，</w:t>
      </w:r>
      <w:r>
        <w:rPr>
          <w:rFonts w:hint="default" w:ascii="Times New Roman" w:hAnsi="Times New Roman" w:eastAsia="仿宋_GB2312" w:cs="Times New Roman"/>
          <w:color w:val="auto"/>
          <w:sz w:val="32"/>
          <w:szCs w:val="32"/>
          <w:highlight w:val="none"/>
        </w:rPr>
        <w:t>经综合计划科分管领导</w:t>
      </w:r>
      <w:r>
        <w:rPr>
          <w:rFonts w:hint="default" w:ascii="Times New Roman" w:hAnsi="Times New Roman" w:eastAsia="仿宋_GB2312" w:cs="Times New Roman"/>
          <w:color w:val="auto"/>
          <w:sz w:val="32"/>
          <w:szCs w:val="32"/>
          <w:highlight w:val="none"/>
          <w:lang w:eastAsia="zh-CN"/>
        </w:rPr>
        <w:t>审核</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报</w:t>
      </w:r>
      <w:r>
        <w:rPr>
          <w:rFonts w:hint="default" w:ascii="Times New Roman" w:hAnsi="Times New Roman" w:eastAsia="仿宋_GB2312" w:cs="Times New Roman"/>
          <w:color w:val="auto"/>
          <w:sz w:val="32"/>
          <w:szCs w:val="32"/>
          <w:highlight w:val="none"/>
        </w:rPr>
        <w:t>主任办公会研究通过后进行委托。</w:t>
      </w:r>
    </w:p>
    <w:p w14:paraId="64F25C78">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九</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指定方式</w:t>
      </w:r>
    </w:p>
    <w:p w14:paraId="712343EE">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涉铁、涉军、涉密、电力、供水、燃气、古建筑、智能化等特殊项目，</w:t>
      </w:r>
      <w:r>
        <w:rPr>
          <w:rFonts w:hint="default" w:ascii="Times New Roman" w:hAnsi="Times New Roman" w:eastAsia="仿宋_GB2312" w:cs="Times New Roman"/>
          <w:color w:val="auto"/>
          <w:sz w:val="32"/>
          <w:szCs w:val="32"/>
          <w:highlight w:val="none"/>
          <w:lang w:eastAsia="zh-CN"/>
        </w:rPr>
        <w:t>且</w:t>
      </w:r>
      <w:r>
        <w:rPr>
          <w:rFonts w:hint="default" w:ascii="Times New Roman" w:hAnsi="Times New Roman" w:eastAsia="仿宋_GB2312" w:cs="Times New Roman"/>
          <w:color w:val="auto"/>
          <w:sz w:val="32"/>
          <w:szCs w:val="32"/>
          <w:highlight w:val="none"/>
        </w:rPr>
        <w:t>只有</w:t>
      </w:r>
      <w:r>
        <w:rPr>
          <w:rFonts w:hint="default" w:ascii="Times New Roman" w:hAnsi="Times New Roman" w:eastAsia="仿宋_GB2312" w:cs="Times New Roman"/>
          <w:color w:val="auto"/>
          <w:sz w:val="32"/>
          <w:szCs w:val="32"/>
          <w:highlight w:val="none"/>
          <w:lang w:eastAsia="zh-CN"/>
        </w:rPr>
        <w:t>极</w:t>
      </w:r>
      <w:r>
        <w:rPr>
          <w:rFonts w:hint="default" w:ascii="Times New Roman" w:hAnsi="Times New Roman" w:eastAsia="仿宋_GB2312" w:cs="Times New Roman"/>
          <w:color w:val="auto"/>
          <w:sz w:val="32"/>
          <w:szCs w:val="32"/>
          <w:highlight w:val="none"/>
        </w:rPr>
        <w:t>少量潜在造价企业可供选择的，由综合计划科在</w:t>
      </w:r>
      <w:r>
        <w:rPr>
          <w:rFonts w:hint="default" w:ascii="Times New Roman" w:hAnsi="Times New Roman" w:eastAsia="仿宋_GB2312" w:cs="Times New Roman"/>
          <w:color w:val="auto"/>
          <w:kern w:val="36"/>
          <w:sz w:val="32"/>
          <w:szCs w:val="32"/>
          <w:highlight w:val="none"/>
        </w:rPr>
        <w:t>库</w:t>
      </w:r>
      <w:r>
        <w:rPr>
          <w:rFonts w:hint="default" w:ascii="Times New Roman" w:hAnsi="Times New Roman" w:eastAsia="仿宋_GB2312" w:cs="Times New Roman"/>
          <w:color w:val="auto"/>
          <w:sz w:val="32"/>
          <w:szCs w:val="32"/>
          <w:highlight w:val="none"/>
        </w:rPr>
        <w:t>中选择具备相应</w:t>
      </w:r>
      <w:r>
        <w:rPr>
          <w:rFonts w:hint="default" w:ascii="Times New Roman" w:hAnsi="Times New Roman" w:eastAsia="仿宋_GB2312" w:cs="Times New Roman"/>
          <w:color w:val="auto"/>
          <w:sz w:val="32"/>
          <w:szCs w:val="32"/>
          <w:highlight w:val="none"/>
          <w:lang w:eastAsia="zh-CN"/>
        </w:rPr>
        <w:t>业务能力</w:t>
      </w:r>
      <w:r>
        <w:rPr>
          <w:rFonts w:hint="default" w:ascii="Times New Roman" w:hAnsi="Times New Roman" w:eastAsia="仿宋_GB2312" w:cs="Times New Roman"/>
          <w:color w:val="auto"/>
          <w:sz w:val="32"/>
          <w:szCs w:val="32"/>
          <w:highlight w:val="none"/>
        </w:rPr>
        <w:t>的造价企业，经综合计划科分管领导</w:t>
      </w:r>
      <w:r>
        <w:rPr>
          <w:rFonts w:hint="default" w:ascii="Times New Roman" w:hAnsi="Times New Roman" w:eastAsia="仿宋_GB2312" w:cs="Times New Roman"/>
          <w:color w:val="auto"/>
          <w:sz w:val="32"/>
          <w:szCs w:val="32"/>
          <w:highlight w:val="none"/>
          <w:lang w:eastAsia="zh-CN"/>
        </w:rPr>
        <w:t>审核</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报</w:t>
      </w:r>
      <w:r>
        <w:rPr>
          <w:rFonts w:hint="default" w:ascii="Times New Roman" w:hAnsi="Times New Roman" w:eastAsia="仿宋_GB2312" w:cs="Times New Roman"/>
          <w:color w:val="auto"/>
          <w:sz w:val="32"/>
          <w:szCs w:val="32"/>
          <w:highlight w:val="none"/>
        </w:rPr>
        <w:t>主任办公会研究通过后进行委托。</w:t>
      </w:r>
    </w:p>
    <w:p w14:paraId="0872B47B">
      <w:pPr>
        <w:pStyle w:val="2"/>
        <w:keepNext w:val="0"/>
        <w:keepLines w:val="0"/>
        <w:pageBreakBefore w:val="0"/>
        <w:kinsoku/>
        <w:wordWrap/>
        <w:overflowPunct/>
        <w:topLinePunct w:val="0"/>
        <w:autoSpaceDE/>
        <w:autoSpaceDN/>
        <w:bidi w:val="0"/>
        <w:adjustRightInd/>
        <w:spacing w:line="400" w:lineRule="exact"/>
        <w:ind w:left="0" w:leftChars="0" w:firstLine="643"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第十条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工程</w:t>
      </w:r>
      <w:r>
        <w:rPr>
          <w:rFonts w:hint="default" w:ascii="Times New Roman" w:hAnsi="Times New Roman" w:eastAsia="仿宋_GB2312" w:cs="Times New Roman"/>
          <w:color w:val="auto"/>
          <w:kern w:val="0"/>
          <w:sz w:val="32"/>
          <w:szCs w:val="32"/>
          <w:highlight w:val="none"/>
        </w:rPr>
        <w:t>造价咨询服务</w:t>
      </w:r>
      <w:r>
        <w:rPr>
          <w:rFonts w:hint="default" w:ascii="Times New Roman" w:hAnsi="Times New Roman" w:eastAsia="仿宋_GB2312" w:cs="Times New Roman"/>
          <w:color w:val="auto"/>
          <w:sz w:val="32"/>
          <w:szCs w:val="32"/>
          <w:highlight w:val="none"/>
        </w:rPr>
        <w:t>费单项合同估算价</w:t>
      </w:r>
      <w:r>
        <w:rPr>
          <w:rFonts w:hint="default" w:ascii="Times New Roman" w:hAnsi="Times New Roman"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rPr>
        <w:t>万元及以上项目</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综合计划科根据项目性质和特点，编制招标文件，经综合计划科分管领导</w:t>
      </w:r>
      <w:r>
        <w:rPr>
          <w:rFonts w:hint="default" w:ascii="Times New Roman" w:hAnsi="Times New Roman" w:eastAsia="仿宋_GB2312" w:cs="Times New Roman"/>
          <w:color w:val="auto"/>
          <w:sz w:val="32"/>
          <w:szCs w:val="32"/>
          <w:highlight w:val="none"/>
          <w:lang w:eastAsia="zh-CN"/>
        </w:rPr>
        <w:t>审核</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报主要领导批准后在市公共资源交易中心</w:t>
      </w:r>
      <w:r>
        <w:rPr>
          <w:rFonts w:hint="default" w:ascii="Times New Roman" w:hAnsi="Times New Roman" w:eastAsia="仿宋_GB2312" w:cs="Times New Roman"/>
          <w:color w:val="auto"/>
          <w:sz w:val="32"/>
          <w:szCs w:val="32"/>
          <w:highlight w:val="none"/>
        </w:rPr>
        <w:t>公开招标。</w:t>
      </w:r>
    </w:p>
    <w:p w14:paraId="7749E4B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color w:val="auto"/>
          <w:kern w:val="36"/>
          <w:sz w:val="32"/>
          <w:szCs w:val="32"/>
          <w:highlight w:val="none"/>
        </w:rPr>
      </w:pPr>
      <w:r>
        <w:rPr>
          <w:rFonts w:hint="default" w:ascii="Times New Roman" w:hAnsi="Times New Roman" w:eastAsia="黑体" w:cs="Times New Roman"/>
          <w:color w:val="auto"/>
          <w:sz w:val="32"/>
          <w:szCs w:val="32"/>
          <w:highlight w:val="none"/>
        </w:rPr>
        <w:t>第四章 服务费用</w:t>
      </w:r>
    </w:p>
    <w:p w14:paraId="0FBC5D48">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第十</w:t>
      </w:r>
      <w:r>
        <w:rPr>
          <w:rFonts w:hint="default" w:ascii="Times New Roman" w:hAnsi="Times New Roman" w:eastAsia="仿宋_GB2312" w:cs="Times New Roman"/>
          <w:b/>
          <w:bCs/>
          <w:color w:val="auto"/>
          <w:sz w:val="32"/>
          <w:szCs w:val="32"/>
          <w:highlight w:val="none"/>
          <w:lang w:eastAsia="zh-CN"/>
        </w:rPr>
        <w:t>一</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清单编制服务费用、投资估算、设计概算等</w:t>
      </w:r>
      <w:r>
        <w:rPr>
          <w:rFonts w:hint="default" w:ascii="Times New Roman" w:hAnsi="Times New Roman" w:eastAsia="仿宋_GB2312" w:cs="Times New Roman"/>
          <w:color w:val="auto"/>
          <w:sz w:val="32"/>
          <w:szCs w:val="32"/>
          <w:highlight w:val="none"/>
        </w:rPr>
        <w:t>其他工程造价咨询服务</w:t>
      </w:r>
      <w:r>
        <w:rPr>
          <w:rFonts w:hint="default" w:ascii="Times New Roman" w:hAnsi="Times New Roman" w:eastAsia="仿宋_GB2312" w:cs="Times New Roman"/>
          <w:color w:val="auto"/>
          <w:kern w:val="0"/>
          <w:sz w:val="32"/>
          <w:szCs w:val="32"/>
          <w:highlight w:val="none"/>
        </w:rPr>
        <w:t>费</w:t>
      </w:r>
      <w:r>
        <w:rPr>
          <w:rFonts w:hint="default" w:ascii="Times New Roman" w:hAnsi="Times New Roman" w:eastAsia="仿宋_GB2312" w:cs="Times New Roman"/>
          <w:color w:val="auto"/>
          <w:sz w:val="32"/>
          <w:szCs w:val="32"/>
          <w:highlight w:val="none"/>
          <w:lang w:eastAsia="zh-CN"/>
        </w:rPr>
        <w:t>参照执行《安徽省建设工程造价咨询服务项目及收费标准》（皖价服</w:t>
      </w:r>
      <w:r>
        <w:rPr>
          <w:rFonts w:hint="default" w:ascii="Times New Roman" w:hAnsi="Times New Roman" w:eastAsia="仿宋" w:cs="Times New Roman"/>
          <w:color w:val="auto"/>
          <w:sz w:val="32"/>
          <w:szCs w:val="32"/>
          <w:highlight w:val="none"/>
          <w:shd w:val="clear" w:color="auto" w:fill="auto"/>
        </w:rPr>
        <w:t>〔</w:t>
      </w:r>
      <w:r>
        <w:rPr>
          <w:rFonts w:hint="default" w:ascii="Times New Roman" w:hAnsi="Times New Roman" w:eastAsia="仿宋" w:cs="Times New Roman"/>
          <w:color w:val="auto"/>
          <w:sz w:val="32"/>
          <w:szCs w:val="32"/>
          <w:highlight w:val="none"/>
          <w:shd w:val="clear" w:color="auto" w:fill="auto"/>
          <w:lang w:eastAsia="zh-CN"/>
        </w:rPr>
        <w:t>20</w:t>
      </w:r>
      <w:r>
        <w:rPr>
          <w:rFonts w:hint="default" w:ascii="Times New Roman" w:hAnsi="Times New Roman" w:eastAsia="仿宋" w:cs="Times New Roman"/>
          <w:color w:val="auto"/>
          <w:sz w:val="32"/>
          <w:szCs w:val="32"/>
          <w:highlight w:val="none"/>
          <w:shd w:val="clear" w:color="auto" w:fill="auto"/>
          <w:lang w:val="en-US" w:eastAsia="zh-CN"/>
        </w:rPr>
        <w:t>07</w:t>
      </w:r>
      <w:r>
        <w:rPr>
          <w:rFonts w:hint="default" w:ascii="Times New Roman" w:hAnsi="Times New Roman" w:eastAsia="仿宋" w:cs="Times New Roman"/>
          <w:color w:val="auto"/>
          <w:sz w:val="32"/>
          <w:szCs w:val="32"/>
          <w:highlight w:val="none"/>
          <w:shd w:val="clear" w:color="auto" w:fill="auto"/>
        </w:rPr>
        <w:t>〕</w:t>
      </w:r>
      <w:r>
        <w:rPr>
          <w:rFonts w:hint="default" w:ascii="Times New Roman" w:hAnsi="Times New Roman" w:eastAsia="仿宋_GB2312" w:cs="Times New Roman"/>
          <w:color w:val="auto"/>
          <w:sz w:val="32"/>
          <w:szCs w:val="32"/>
          <w:highlight w:val="none"/>
          <w:lang w:val="en-US" w:eastAsia="zh-CN"/>
        </w:rPr>
        <w:t>86号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eastAsia="zh-CN"/>
        </w:rPr>
        <w:t>清单编制服务费由综合计划科按照工程难易程度提出下浮率（一般为</w:t>
      </w:r>
      <w:r>
        <w:rPr>
          <w:rFonts w:hint="default" w:ascii="Times New Roman" w:hAnsi="Times New Roman" w:eastAsia="仿宋_GB2312" w:cs="Times New Roman"/>
          <w:b/>
          <w:bCs/>
          <w:color w:val="auto"/>
          <w:sz w:val="32"/>
          <w:szCs w:val="32"/>
          <w:highlight w:val="none"/>
          <w:lang w:val="en-US" w:eastAsia="zh-CN"/>
        </w:rPr>
        <w:t>40%-60%）</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经综合计划科分管领导</w:t>
      </w:r>
      <w:r>
        <w:rPr>
          <w:rFonts w:hint="default" w:ascii="Times New Roman" w:hAnsi="Times New Roman" w:eastAsia="仿宋_GB2312" w:cs="Times New Roman"/>
          <w:b/>
          <w:bCs/>
          <w:color w:val="auto"/>
          <w:sz w:val="32"/>
          <w:szCs w:val="32"/>
          <w:highlight w:val="none"/>
          <w:lang w:eastAsia="zh-CN"/>
        </w:rPr>
        <w:t>批准后实施。特别复杂或特殊的项目报主任办公会研究通过后可不下浮。</w:t>
      </w:r>
    </w:p>
    <w:p w14:paraId="72C06B6C">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第十</w:t>
      </w:r>
      <w:r>
        <w:rPr>
          <w:rFonts w:hint="default" w:ascii="Times New Roman" w:hAnsi="Times New Roman" w:eastAsia="仿宋_GB2312" w:cs="Times New Roman"/>
          <w:b/>
          <w:bCs/>
          <w:color w:val="auto"/>
          <w:sz w:val="32"/>
          <w:szCs w:val="32"/>
          <w:highlight w:val="none"/>
          <w:lang w:eastAsia="zh-CN"/>
        </w:rPr>
        <w:t>二</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项目跟踪审计、结算审核固定费率执行下列标准：</w:t>
      </w:r>
    </w:p>
    <w:p w14:paraId="1ED0092D">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项目跟踪审计服务费标准</w:t>
      </w:r>
    </w:p>
    <w:tbl>
      <w:tblPr>
        <w:tblStyle w:val="45"/>
        <w:tblW w:w="8247" w:type="dxa"/>
        <w:jc w:val="center"/>
        <w:tblLayout w:type="fixed"/>
        <w:tblCellMar>
          <w:top w:w="0" w:type="dxa"/>
          <w:left w:w="108" w:type="dxa"/>
          <w:bottom w:w="0" w:type="dxa"/>
          <w:right w:w="108" w:type="dxa"/>
        </w:tblCellMar>
      </w:tblPr>
      <w:tblGrid>
        <w:gridCol w:w="3685"/>
        <w:gridCol w:w="2262"/>
        <w:gridCol w:w="2300"/>
      </w:tblGrid>
      <w:tr w14:paraId="56CFC27E">
        <w:tblPrEx>
          <w:tblCellMar>
            <w:top w:w="0" w:type="dxa"/>
            <w:left w:w="108" w:type="dxa"/>
            <w:bottom w:w="0" w:type="dxa"/>
            <w:right w:w="108" w:type="dxa"/>
          </w:tblCellMar>
        </w:tblPrEx>
        <w:trPr>
          <w:trHeight w:val="700" w:hRule="atLeast"/>
          <w:jc w:val="center"/>
        </w:trPr>
        <w:tc>
          <w:tcPr>
            <w:tcW w:w="3685" w:type="dxa"/>
            <w:tcBorders>
              <w:top w:val="single" w:color="auto" w:sz="4" w:space="0"/>
              <w:left w:val="single" w:color="auto" w:sz="4" w:space="0"/>
              <w:bottom w:val="single" w:color="auto" w:sz="4" w:space="0"/>
              <w:right w:val="single" w:color="auto" w:sz="4" w:space="0"/>
            </w:tcBorders>
            <w:noWrap w:val="0"/>
            <w:vAlign w:val="center"/>
          </w:tcPr>
          <w:p w14:paraId="00EA875B">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工程造价金额（万元）</w:t>
            </w:r>
          </w:p>
        </w:tc>
        <w:tc>
          <w:tcPr>
            <w:tcW w:w="2262" w:type="dxa"/>
            <w:tcBorders>
              <w:top w:val="single" w:color="auto" w:sz="4" w:space="0"/>
              <w:left w:val="single" w:color="auto" w:sz="4" w:space="0"/>
              <w:bottom w:val="single" w:color="auto" w:sz="4" w:space="0"/>
              <w:right w:val="single" w:color="auto" w:sz="4" w:space="0"/>
            </w:tcBorders>
            <w:noWrap w:val="0"/>
            <w:vAlign w:val="center"/>
          </w:tcPr>
          <w:p w14:paraId="6768ACB5">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基本费</w:t>
            </w:r>
          </w:p>
        </w:tc>
        <w:tc>
          <w:tcPr>
            <w:tcW w:w="2300" w:type="dxa"/>
            <w:tcBorders>
              <w:top w:val="single" w:color="auto" w:sz="4" w:space="0"/>
              <w:left w:val="nil"/>
              <w:bottom w:val="single" w:color="auto" w:sz="4" w:space="0"/>
              <w:right w:val="single" w:color="auto" w:sz="4" w:space="0"/>
            </w:tcBorders>
            <w:noWrap w:val="0"/>
            <w:vAlign w:val="center"/>
          </w:tcPr>
          <w:p w14:paraId="3DF9F5D0">
            <w:pPr>
              <w:keepNext w:val="0"/>
              <w:keepLines w:val="0"/>
              <w:pageBreakBefore w:val="0"/>
              <w:widowControl/>
              <w:kinsoku/>
              <w:wordWrap/>
              <w:overflowPunct/>
              <w:topLinePunct w:val="0"/>
              <w:autoSpaceDE/>
              <w:autoSpaceDN/>
              <w:bidi w:val="0"/>
              <w:adjustRightInd/>
              <w:spacing w:line="400" w:lineRule="exact"/>
              <w:ind w:left="0" w:leftChars="0" w:firstLine="320" w:firstLineChars="1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审核成果费</w:t>
            </w:r>
          </w:p>
        </w:tc>
      </w:tr>
      <w:tr w14:paraId="4E895913">
        <w:tblPrEx>
          <w:tblCellMar>
            <w:top w:w="0" w:type="dxa"/>
            <w:left w:w="108" w:type="dxa"/>
            <w:bottom w:w="0" w:type="dxa"/>
            <w:right w:w="108" w:type="dxa"/>
          </w:tblCellMar>
        </w:tblPrEx>
        <w:trPr>
          <w:trHeight w:val="430" w:hRule="atLeast"/>
          <w:jc w:val="center"/>
        </w:trPr>
        <w:tc>
          <w:tcPr>
            <w:tcW w:w="3685" w:type="dxa"/>
            <w:tcBorders>
              <w:top w:val="single" w:color="auto" w:sz="4" w:space="0"/>
              <w:left w:val="single" w:color="auto" w:sz="4" w:space="0"/>
              <w:bottom w:val="single" w:color="auto" w:sz="4" w:space="0"/>
              <w:right w:val="single" w:color="auto" w:sz="4" w:space="0"/>
            </w:tcBorders>
            <w:noWrap w:val="0"/>
            <w:vAlign w:val="center"/>
          </w:tcPr>
          <w:p w14:paraId="6E066D37">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1000</w:t>
            </w:r>
            <w:r>
              <w:rPr>
                <w:rFonts w:hint="default" w:ascii="Times New Roman" w:hAnsi="Times New Roman" w:eastAsia="仿宋_GB2312" w:cs="Times New Roman"/>
                <w:color w:val="auto"/>
                <w:kern w:val="0"/>
                <w:sz w:val="32"/>
                <w:szCs w:val="32"/>
                <w:highlight w:val="none"/>
              </w:rPr>
              <w:t>以内（含）</w:t>
            </w:r>
          </w:p>
        </w:tc>
        <w:tc>
          <w:tcPr>
            <w:tcW w:w="2262" w:type="dxa"/>
            <w:tcBorders>
              <w:top w:val="single" w:color="auto" w:sz="4" w:space="0"/>
              <w:left w:val="single" w:color="auto" w:sz="4" w:space="0"/>
              <w:bottom w:val="single" w:color="auto" w:sz="4" w:space="0"/>
              <w:right w:val="single" w:color="auto" w:sz="4" w:space="0"/>
            </w:tcBorders>
            <w:noWrap w:val="0"/>
            <w:vAlign w:val="center"/>
          </w:tcPr>
          <w:p w14:paraId="27B8094F">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3</w:t>
            </w:r>
            <w:r>
              <w:rPr>
                <w:rFonts w:hint="default" w:ascii="Times New Roman" w:hAnsi="Times New Roman" w:eastAsia="仿宋_GB2312" w:cs="Times New Roman"/>
                <w:color w:val="auto"/>
                <w:kern w:val="0"/>
                <w:sz w:val="32"/>
                <w:szCs w:val="32"/>
                <w:highlight w:val="none"/>
              </w:rPr>
              <w:t>‰</w:t>
            </w:r>
          </w:p>
        </w:tc>
        <w:tc>
          <w:tcPr>
            <w:tcW w:w="2300" w:type="dxa"/>
            <w:tcBorders>
              <w:top w:val="nil"/>
              <w:left w:val="nil"/>
              <w:bottom w:val="single" w:color="auto" w:sz="4" w:space="0"/>
              <w:right w:val="single" w:color="auto" w:sz="4" w:space="0"/>
            </w:tcBorders>
            <w:noWrap w:val="0"/>
            <w:vAlign w:val="center"/>
          </w:tcPr>
          <w:p w14:paraId="6BBDE8AA">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b/>
                <w:bCs/>
                <w:color w:val="auto"/>
                <w:kern w:val="0"/>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r w14:paraId="682E7A7A">
        <w:tblPrEx>
          <w:tblCellMar>
            <w:top w:w="0" w:type="dxa"/>
            <w:left w:w="108" w:type="dxa"/>
            <w:bottom w:w="0" w:type="dxa"/>
            <w:right w:w="108" w:type="dxa"/>
          </w:tblCellMar>
        </w:tblPrEx>
        <w:trPr>
          <w:trHeight w:val="430" w:hRule="atLeast"/>
          <w:jc w:val="center"/>
        </w:trPr>
        <w:tc>
          <w:tcPr>
            <w:tcW w:w="3685" w:type="dxa"/>
            <w:tcBorders>
              <w:top w:val="single" w:color="auto" w:sz="4" w:space="0"/>
              <w:left w:val="single" w:color="auto" w:sz="4" w:space="0"/>
              <w:bottom w:val="single" w:color="auto" w:sz="4" w:space="0"/>
              <w:right w:val="single" w:color="auto" w:sz="4" w:space="0"/>
            </w:tcBorders>
            <w:noWrap w:val="0"/>
            <w:vAlign w:val="center"/>
          </w:tcPr>
          <w:p w14:paraId="62D5863B">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1000</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5000</w:t>
            </w:r>
            <w:r>
              <w:rPr>
                <w:rFonts w:hint="default" w:ascii="Times New Roman" w:hAnsi="Times New Roman" w:eastAsia="仿宋_GB2312" w:cs="Times New Roman"/>
                <w:color w:val="auto"/>
                <w:kern w:val="0"/>
                <w:sz w:val="32"/>
                <w:szCs w:val="32"/>
                <w:highlight w:val="none"/>
              </w:rPr>
              <w:t>以内（含）</w:t>
            </w:r>
          </w:p>
        </w:tc>
        <w:tc>
          <w:tcPr>
            <w:tcW w:w="2262" w:type="dxa"/>
            <w:tcBorders>
              <w:top w:val="single" w:color="auto" w:sz="4" w:space="0"/>
              <w:left w:val="nil"/>
              <w:bottom w:val="single" w:color="auto" w:sz="4" w:space="0"/>
              <w:right w:val="single" w:color="auto" w:sz="4" w:space="0"/>
            </w:tcBorders>
            <w:noWrap w:val="0"/>
            <w:vAlign w:val="center"/>
          </w:tcPr>
          <w:p w14:paraId="728B4A49">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2</w:t>
            </w:r>
            <w:r>
              <w:rPr>
                <w:rFonts w:hint="default" w:ascii="Times New Roman" w:hAnsi="Times New Roman" w:eastAsia="仿宋_GB2312" w:cs="Times New Roman"/>
                <w:color w:val="auto"/>
                <w:kern w:val="0"/>
                <w:sz w:val="32"/>
                <w:szCs w:val="32"/>
                <w:highlight w:val="none"/>
              </w:rPr>
              <w:t>‰</w:t>
            </w:r>
          </w:p>
        </w:tc>
        <w:tc>
          <w:tcPr>
            <w:tcW w:w="2300" w:type="dxa"/>
            <w:tcBorders>
              <w:top w:val="nil"/>
              <w:left w:val="nil"/>
              <w:bottom w:val="single" w:color="auto" w:sz="4" w:space="0"/>
              <w:right w:val="single" w:color="auto" w:sz="4" w:space="0"/>
            </w:tcBorders>
            <w:noWrap w:val="0"/>
            <w:vAlign w:val="center"/>
          </w:tcPr>
          <w:p w14:paraId="7C514F9B">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b/>
                <w:bCs/>
                <w:color w:val="auto"/>
                <w:kern w:val="0"/>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r w14:paraId="4217E22A">
        <w:tblPrEx>
          <w:tblCellMar>
            <w:top w:w="0" w:type="dxa"/>
            <w:left w:w="108" w:type="dxa"/>
            <w:bottom w:w="0" w:type="dxa"/>
            <w:right w:w="108" w:type="dxa"/>
          </w:tblCellMar>
        </w:tblPrEx>
        <w:trPr>
          <w:trHeight w:val="430" w:hRule="atLeast"/>
          <w:jc w:val="center"/>
        </w:trPr>
        <w:tc>
          <w:tcPr>
            <w:tcW w:w="3685" w:type="dxa"/>
            <w:tcBorders>
              <w:top w:val="nil"/>
              <w:left w:val="single" w:color="auto" w:sz="4" w:space="0"/>
              <w:bottom w:val="single" w:color="auto" w:sz="4" w:space="0"/>
              <w:right w:val="single" w:color="auto" w:sz="4" w:space="0"/>
            </w:tcBorders>
            <w:noWrap w:val="0"/>
            <w:vAlign w:val="center"/>
          </w:tcPr>
          <w:p w14:paraId="5A85F1DB">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5000</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10000</w:t>
            </w:r>
            <w:r>
              <w:rPr>
                <w:rFonts w:hint="default" w:ascii="Times New Roman" w:hAnsi="Times New Roman" w:eastAsia="仿宋_GB2312" w:cs="Times New Roman"/>
                <w:color w:val="auto"/>
                <w:kern w:val="0"/>
                <w:sz w:val="32"/>
                <w:szCs w:val="32"/>
                <w:highlight w:val="none"/>
              </w:rPr>
              <w:t>以内（含）</w:t>
            </w:r>
          </w:p>
        </w:tc>
        <w:tc>
          <w:tcPr>
            <w:tcW w:w="2262" w:type="dxa"/>
            <w:tcBorders>
              <w:top w:val="nil"/>
              <w:left w:val="nil"/>
              <w:bottom w:val="single" w:color="auto" w:sz="4" w:space="0"/>
              <w:right w:val="single" w:color="auto" w:sz="4" w:space="0"/>
            </w:tcBorders>
            <w:noWrap w:val="0"/>
            <w:vAlign w:val="center"/>
          </w:tcPr>
          <w:p w14:paraId="6F069245">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1</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5</w:t>
            </w:r>
            <w:r>
              <w:rPr>
                <w:rFonts w:hint="default" w:ascii="Times New Roman" w:hAnsi="Times New Roman" w:eastAsia="仿宋_GB2312" w:cs="Times New Roman"/>
                <w:color w:val="auto"/>
                <w:kern w:val="0"/>
                <w:sz w:val="32"/>
                <w:szCs w:val="32"/>
                <w:highlight w:val="none"/>
              </w:rPr>
              <w:t>‰</w:t>
            </w:r>
          </w:p>
        </w:tc>
        <w:tc>
          <w:tcPr>
            <w:tcW w:w="2300" w:type="dxa"/>
            <w:tcBorders>
              <w:top w:val="nil"/>
              <w:left w:val="nil"/>
              <w:bottom w:val="single" w:color="auto" w:sz="4" w:space="0"/>
              <w:right w:val="single" w:color="auto" w:sz="4" w:space="0"/>
            </w:tcBorders>
            <w:noWrap w:val="0"/>
            <w:vAlign w:val="center"/>
          </w:tcPr>
          <w:p w14:paraId="75B94241">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b/>
                <w:bCs/>
                <w:color w:val="auto"/>
                <w:kern w:val="0"/>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r w14:paraId="74593421">
        <w:tblPrEx>
          <w:tblCellMar>
            <w:top w:w="0" w:type="dxa"/>
            <w:left w:w="108" w:type="dxa"/>
            <w:bottom w:w="0" w:type="dxa"/>
            <w:right w:w="108" w:type="dxa"/>
          </w:tblCellMar>
        </w:tblPrEx>
        <w:trPr>
          <w:trHeight w:val="430" w:hRule="atLeast"/>
          <w:jc w:val="center"/>
        </w:trPr>
        <w:tc>
          <w:tcPr>
            <w:tcW w:w="3685" w:type="dxa"/>
            <w:tcBorders>
              <w:top w:val="nil"/>
              <w:left w:val="single" w:color="auto" w:sz="4" w:space="0"/>
              <w:bottom w:val="single" w:color="auto" w:sz="4" w:space="0"/>
              <w:right w:val="single" w:color="auto" w:sz="4" w:space="0"/>
            </w:tcBorders>
            <w:noWrap w:val="0"/>
            <w:vAlign w:val="center"/>
          </w:tcPr>
          <w:p w14:paraId="3CB449D9">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10000</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eastAsia="zh-CN"/>
              </w:rPr>
              <w:t>0000</w:t>
            </w:r>
            <w:r>
              <w:rPr>
                <w:rFonts w:hint="default" w:ascii="Times New Roman" w:hAnsi="Times New Roman" w:eastAsia="仿宋_GB2312" w:cs="Times New Roman"/>
                <w:color w:val="auto"/>
                <w:kern w:val="0"/>
                <w:sz w:val="32"/>
                <w:szCs w:val="32"/>
                <w:highlight w:val="none"/>
              </w:rPr>
              <w:t>以内（含）</w:t>
            </w:r>
          </w:p>
        </w:tc>
        <w:tc>
          <w:tcPr>
            <w:tcW w:w="2262" w:type="dxa"/>
            <w:tcBorders>
              <w:top w:val="nil"/>
              <w:left w:val="nil"/>
              <w:bottom w:val="single" w:color="auto" w:sz="4" w:space="0"/>
              <w:right w:val="single" w:color="auto" w:sz="4" w:space="0"/>
            </w:tcBorders>
            <w:noWrap w:val="0"/>
            <w:vAlign w:val="center"/>
          </w:tcPr>
          <w:p w14:paraId="006E780A">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1</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3</w:t>
            </w:r>
            <w:r>
              <w:rPr>
                <w:rFonts w:hint="default" w:ascii="Times New Roman" w:hAnsi="Times New Roman" w:eastAsia="仿宋_GB2312" w:cs="Times New Roman"/>
                <w:color w:val="auto"/>
                <w:kern w:val="0"/>
                <w:sz w:val="32"/>
                <w:szCs w:val="32"/>
                <w:highlight w:val="none"/>
              </w:rPr>
              <w:t>‰</w:t>
            </w:r>
          </w:p>
        </w:tc>
        <w:tc>
          <w:tcPr>
            <w:tcW w:w="2300" w:type="dxa"/>
            <w:tcBorders>
              <w:top w:val="nil"/>
              <w:left w:val="nil"/>
              <w:bottom w:val="single" w:color="auto" w:sz="4" w:space="0"/>
              <w:right w:val="single" w:color="auto" w:sz="4" w:space="0"/>
            </w:tcBorders>
            <w:noWrap w:val="0"/>
            <w:vAlign w:val="center"/>
          </w:tcPr>
          <w:p w14:paraId="006502A6">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_GB2312" w:cs="Times New Roman"/>
                <w:b/>
                <w:bCs/>
                <w:color w:val="auto"/>
                <w:kern w:val="0"/>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r w14:paraId="44911F06">
        <w:tblPrEx>
          <w:tblCellMar>
            <w:top w:w="0" w:type="dxa"/>
            <w:left w:w="108" w:type="dxa"/>
            <w:bottom w:w="0" w:type="dxa"/>
            <w:right w:w="108" w:type="dxa"/>
          </w:tblCellMar>
        </w:tblPrEx>
        <w:trPr>
          <w:trHeight w:val="430" w:hRule="atLeast"/>
          <w:jc w:val="center"/>
        </w:trPr>
        <w:tc>
          <w:tcPr>
            <w:tcW w:w="3685" w:type="dxa"/>
            <w:tcBorders>
              <w:top w:val="single" w:color="auto" w:sz="4" w:space="0"/>
              <w:left w:val="single" w:color="auto" w:sz="4" w:space="0"/>
              <w:bottom w:val="single" w:color="auto" w:sz="4" w:space="0"/>
              <w:right w:val="single" w:color="auto" w:sz="4" w:space="0"/>
            </w:tcBorders>
            <w:noWrap w:val="0"/>
            <w:vAlign w:val="center"/>
          </w:tcPr>
          <w:p w14:paraId="30221215">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50000</w:t>
            </w:r>
            <w:r>
              <w:rPr>
                <w:rFonts w:hint="default" w:ascii="Times New Roman" w:hAnsi="Times New Roman" w:eastAsia="仿宋_GB2312" w:cs="Times New Roman"/>
                <w:color w:val="auto"/>
                <w:kern w:val="0"/>
                <w:sz w:val="32"/>
                <w:szCs w:val="32"/>
                <w:highlight w:val="none"/>
              </w:rPr>
              <w:t>以上</w:t>
            </w:r>
          </w:p>
        </w:tc>
        <w:tc>
          <w:tcPr>
            <w:tcW w:w="2262" w:type="dxa"/>
            <w:tcBorders>
              <w:top w:val="single" w:color="auto" w:sz="4" w:space="0"/>
              <w:left w:val="nil"/>
              <w:bottom w:val="single" w:color="auto" w:sz="4" w:space="0"/>
              <w:right w:val="single" w:color="auto" w:sz="4" w:space="0"/>
            </w:tcBorders>
            <w:noWrap w:val="0"/>
            <w:vAlign w:val="center"/>
          </w:tcPr>
          <w:p w14:paraId="151633D8">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0</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8</w:t>
            </w:r>
            <w:r>
              <w:rPr>
                <w:rFonts w:hint="default" w:ascii="Times New Roman" w:hAnsi="Times New Roman" w:eastAsia="仿宋_GB2312" w:cs="Times New Roman"/>
                <w:color w:val="auto"/>
                <w:kern w:val="0"/>
                <w:sz w:val="32"/>
                <w:szCs w:val="32"/>
                <w:highlight w:val="none"/>
              </w:rPr>
              <w:t>‰</w:t>
            </w:r>
          </w:p>
        </w:tc>
        <w:tc>
          <w:tcPr>
            <w:tcW w:w="2300" w:type="dxa"/>
            <w:tcBorders>
              <w:top w:val="single" w:color="auto" w:sz="4" w:space="0"/>
              <w:left w:val="nil"/>
              <w:bottom w:val="single" w:color="auto" w:sz="4" w:space="0"/>
              <w:right w:val="single" w:color="auto" w:sz="4" w:space="0"/>
            </w:tcBorders>
            <w:noWrap w:val="0"/>
            <w:vAlign w:val="center"/>
          </w:tcPr>
          <w:p w14:paraId="2BBF2940">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b/>
                <w:bCs/>
                <w:color w:val="auto"/>
                <w:kern w:val="0"/>
                <w:sz w:val="32"/>
                <w:szCs w:val="32"/>
                <w:highlight w:val="none"/>
                <w:lang w:eastAsia="zh-CN"/>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bl>
    <w:p w14:paraId="33C28906">
      <w:pPr>
        <w:keepNext w:val="0"/>
        <w:keepLines w:val="0"/>
        <w:pageBreakBefore w:val="0"/>
        <w:numPr>
          <w:ilvl w:val="0"/>
          <w:numId w:val="3"/>
        </w:numPr>
        <w:kinsoku/>
        <w:wordWrap/>
        <w:overflowPunct/>
        <w:topLinePunct w:val="0"/>
        <w:autoSpaceDE/>
        <w:autoSpaceDN/>
        <w:bidi w:val="0"/>
        <w:adjustRightInd/>
        <w:snapToGrid w:val="0"/>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项目结算审</w:t>
      </w:r>
      <w:r>
        <w:rPr>
          <w:rFonts w:hint="default" w:ascii="Times New Roman" w:hAnsi="Times New Roman" w:eastAsia="仿宋_GB2312" w:cs="Times New Roman"/>
          <w:color w:val="auto"/>
          <w:sz w:val="32"/>
          <w:szCs w:val="32"/>
          <w:highlight w:val="none"/>
          <w:lang w:eastAsia="zh-CN"/>
        </w:rPr>
        <w:t>核</w:t>
      </w:r>
      <w:r>
        <w:rPr>
          <w:rFonts w:hint="default" w:ascii="Times New Roman" w:hAnsi="Times New Roman" w:eastAsia="仿宋_GB2312" w:cs="Times New Roman"/>
          <w:color w:val="auto"/>
          <w:sz w:val="32"/>
          <w:szCs w:val="32"/>
          <w:highlight w:val="none"/>
        </w:rPr>
        <w:t>服务费标准</w:t>
      </w:r>
    </w:p>
    <w:tbl>
      <w:tblPr>
        <w:tblStyle w:val="45"/>
        <w:tblW w:w="0" w:type="auto"/>
        <w:jc w:val="center"/>
        <w:tblLayout w:type="fixed"/>
        <w:tblCellMar>
          <w:top w:w="0" w:type="dxa"/>
          <w:left w:w="108" w:type="dxa"/>
          <w:bottom w:w="0" w:type="dxa"/>
          <w:right w:w="108" w:type="dxa"/>
        </w:tblCellMar>
      </w:tblPr>
      <w:tblGrid>
        <w:gridCol w:w="3705"/>
        <w:gridCol w:w="2280"/>
        <w:gridCol w:w="2340"/>
      </w:tblGrid>
      <w:tr w14:paraId="09A42833">
        <w:tblPrEx>
          <w:tblCellMar>
            <w:top w:w="0" w:type="dxa"/>
            <w:left w:w="108" w:type="dxa"/>
            <w:bottom w:w="0" w:type="dxa"/>
            <w:right w:w="108" w:type="dxa"/>
          </w:tblCellMar>
        </w:tblPrEx>
        <w:trPr>
          <w:trHeight w:val="435" w:hRule="atLeast"/>
          <w:jc w:val="center"/>
        </w:trPr>
        <w:tc>
          <w:tcPr>
            <w:tcW w:w="3705" w:type="dxa"/>
            <w:tcBorders>
              <w:top w:val="single" w:color="auto" w:sz="4" w:space="0"/>
              <w:left w:val="single" w:color="auto" w:sz="4" w:space="0"/>
              <w:bottom w:val="single" w:color="auto" w:sz="4" w:space="0"/>
              <w:right w:val="single" w:color="auto" w:sz="4" w:space="0"/>
            </w:tcBorders>
            <w:noWrap w:val="0"/>
            <w:vAlign w:val="center"/>
          </w:tcPr>
          <w:p w14:paraId="1EBC6618">
            <w:pPr>
              <w:keepNext w:val="0"/>
              <w:keepLines w:val="0"/>
              <w:pageBreakBefore w:val="0"/>
              <w:widowControl/>
              <w:kinsoku/>
              <w:wordWrap/>
              <w:overflowPunct/>
              <w:topLinePunct w:val="0"/>
              <w:autoSpaceDE/>
              <w:autoSpaceDN/>
              <w:bidi w:val="0"/>
              <w:adjustRightInd/>
              <w:spacing w:line="400" w:lineRule="exact"/>
              <w:ind w:left="0" w:leftChars="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工程造价金额（万元）</w:t>
            </w:r>
          </w:p>
        </w:tc>
        <w:tc>
          <w:tcPr>
            <w:tcW w:w="2280" w:type="dxa"/>
            <w:tcBorders>
              <w:top w:val="single" w:color="auto" w:sz="4" w:space="0"/>
              <w:left w:val="nil"/>
              <w:bottom w:val="single" w:color="auto" w:sz="4" w:space="0"/>
              <w:right w:val="single" w:color="auto" w:sz="4" w:space="0"/>
            </w:tcBorders>
            <w:noWrap w:val="0"/>
            <w:vAlign w:val="center"/>
          </w:tcPr>
          <w:p w14:paraId="7AEEDA2A">
            <w:pPr>
              <w:keepNext w:val="0"/>
              <w:keepLines w:val="0"/>
              <w:pageBreakBefore w:val="0"/>
              <w:widowControl/>
              <w:kinsoku/>
              <w:wordWrap/>
              <w:overflowPunct/>
              <w:topLinePunct w:val="0"/>
              <w:autoSpaceDE/>
              <w:autoSpaceDN/>
              <w:bidi w:val="0"/>
              <w:adjustRightInd/>
              <w:spacing w:line="400" w:lineRule="exact"/>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基本费</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元</w:t>
            </w:r>
            <w:r>
              <w:rPr>
                <w:rFonts w:hint="default" w:ascii="Times New Roman" w:hAnsi="Times New Roman" w:eastAsia="仿宋_GB2312" w:cs="Times New Roman"/>
                <w:color w:val="auto"/>
                <w:kern w:val="0"/>
                <w:sz w:val="32"/>
                <w:szCs w:val="32"/>
                <w:highlight w:val="none"/>
                <w:lang w:eastAsia="zh-CN"/>
              </w:rPr>
              <w:t>）</w:t>
            </w:r>
          </w:p>
        </w:tc>
        <w:tc>
          <w:tcPr>
            <w:tcW w:w="2340" w:type="dxa"/>
            <w:tcBorders>
              <w:top w:val="single" w:color="auto" w:sz="4" w:space="0"/>
              <w:left w:val="nil"/>
              <w:bottom w:val="single" w:color="auto" w:sz="4" w:space="0"/>
              <w:right w:val="single" w:color="auto" w:sz="4" w:space="0"/>
            </w:tcBorders>
            <w:noWrap w:val="0"/>
            <w:vAlign w:val="center"/>
          </w:tcPr>
          <w:p w14:paraId="49B2E207">
            <w:pPr>
              <w:keepNext w:val="0"/>
              <w:keepLines w:val="0"/>
              <w:pageBreakBefore w:val="0"/>
              <w:widowControl/>
              <w:kinsoku/>
              <w:wordWrap/>
              <w:overflowPunct/>
              <w:topLinePunct w:val="0"/>
              <w:autoSpaceDE/>
              <w:autoSpaceDN/>
              <w:bidi w:val="0"/>
              <w:adjustRightInd/>
              <w:spacing w:line="400" w:lineRule="exact"/>
              <w:ind w:left="0" w:leftChars="0" w:firstLine="320" w:firstLineChars="1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审核成果费</w:t>
            </w:r>
          </w:p>
        </w:tc>
      </w:tr>
      <w:tr w14:paraId="62DA5D2B">
        <w:tblPrEx>
          <w:tblCellMar>
            <w:top w:w="0" w:type="dxa"/>
            <w:left w:w="108" w:type="dxa"/>
            <w:bottom w:w="0" w:type="dxa"/>
            <w:right w:w="108" w:type="dxa"/>
          </w:tblCellMar>
        </w:tblPrEx>
        <w:trPr>
          <w:trHeight w:val="430" w:hRule="atLeast"/>
          <w:jc w:val="center"/>
        </w:trPr>
        <w:tc>
          <w:tcPr>
            <w:tcW w:w="3705" w:type="dxa"/>
            <w:tcBorders>
              <w:top w:val="nil"/>
              <w:left w:val="single" w:color="auto" w:sz="4" w:space="0"/>
              <w:bottom w:val="single" w:color="auto" w:sz="4" w:space="0"/>
              <w:right w:val="single" w:color="auto" w:sz="4" w:space="0"/>
            </w:tcBorders>
            <w:noWrap w:val="0"/>
            <w:vAlign w:val="center"/>
          </w:tcPr>
          <w:p w14:paraId="16A5BFCF">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500</w:t>
            </w:r>
            <w:r>
              <w:rPr>
                <w:rFonts w:hint="default" w:ascii="Times New Roman" w:hAnsi="Times New Roman" w:eastAsia="仿宋_GB2312" w:cs="Times New Roman"/>
                <w:color w:val="auto"/>
                <w:kern w:val="0"/>
                <w:sz w:val="32"/>
                <w:szCs w:val="32"/>
                <w:highlight w:val="none"/>
              </w:rPr>
              <w:t>以内</w:t>
            </w:r>
          </w:p>
        </w:tc>
        <w:tc>
          <w:tcPr>
            <w:tcW w:w="2280" w:type="dxa"/>
            <w:tcBorders>
              <w:top w:val="nil"/>
              <w:left w:val="nil"/>
              <w:bottom w:val="single" w:color="auto" w:sz="4" w:space="0"/>
              <w:right w:val="single" w:color="auto" w:sz="4" w:space="0"/>
            </w:tcBorders>
            <w:noWrap w:val="0"/>
            <w:vAlign w:val="center"/>
          </w:tcPr>
          <w:p w14:paraId="14B14D3E">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5000</w:t>
            </w:r>
          </w:p>
        </w:tc>
        <w:tc>
          <w:tcPr>
            <w:tcW w:w="2340" w:type="dxa"/>
            <w:tcBorders>
              <w:top w:val="nil"/>
              <w:left w:val="nil"/>
              <w:bottom w:val="single" w:color="auto" w:sz="4" w:space="0"/>
              <w:right w:val="single" w:color="auto" w:sz="4" w:space="0"/>
            </w:tcBorders>
            <w:noWrap w:val="0"/>
            <w:vAlign w:val="center"/>
          </w:tcPr>
          <w:p w14:paraId="67506465">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r w14:paraId="1ED48D00">
        <w:tblPrEx>
          <w:tblCellMar>
            <w:top w:w="0" w:type="dxa"/>
            <w:left w:w="108" w:type="dxa"/>
            <w:bottom w:w="0" w:type="dxa"/>
            <w:right w:w="108" w:type="dxa"/>
          </w:tblCellMar>
        </w:tblPrEx>
        <w:trPr>
          <w:trHeight w:val="430" w:hRule="atLeast"/>
          <w:jc w:val="center"/>
        </w:trPr>
        <w:tc>
          <w:tcPr>
            <w:tcW w:w="3705" w:type="dxa"/>
            <w:tcBorders>
              <w:top w:val="nil"/>
              <w:left w:val="single" w:color="auto" w:sz="4" w:space="0"/>
              <w:bottom w:val="single" w:color="auto" w:sz="4" w:space="0"/>
              <w:right w:val="single" w:color="auto" w:sz="4" w:space="0"/>
            </w:tcBorders>
            <w:noWrap w:val="0"/>
            <w:vAlign w:val="center"/>
          </w:tcPr>
          <w:p w14:paraId="7159E1ED">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500</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1000</w:t>
            </w:r>
            <w:r>
              <w:rPr>
                <w:rFonts w:hint="default" w:ascii="Times New Roman" w:hAnsi="Times New Roman" w:eastAsia="仿宋_GB2312" w:cs="Times New Roman"/>
                <w:color w:val="auto"/>
                <w:kern w:val="0"/>
                <w:sz w:val="32"/>
                <w:szCs w:val="32"/>
                <w:highlight w:val="none"/>
              </w:rPr>
              <w:t>以内（含）</w:t>
            </w:r>
          </w:p>
        </w:tc>
        <w:tc>
          <w:tcPr>
            <w:tcW w:w="2280" w:type="dxa"/>
            <w:tcBorders>
              <w:top w:val="nil"/>
              <w:left w:val="nil"/>
              <w:bottom w:val="single" w:color="auto" w:sz="4" w:space="0"/>
              <w:right w:val="single" w:color="auto" w:sz="4" w:space="0"/>
            </w:tcBorders>
            <w:noWrap w:val="0"/>
            <w:vAlign w:val="center"/>
          </w:tcPr>
          <w:p w14:paraId="44367D52">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8000</w:t>
            </w:r>
          </w:p>
        </w:tc>
        <w:tc>
          <w:tcPr>
            <w:tcW w:w="2340" w:type="dxa"/>
            <w:tcBorders>
              <w:top w:val="nil"/>
              <w:left w:val="nil"/>
              <w:bottom w:val="single" w:color="auto" w:sz="4" w:space="0"/>
              <w:right w:val="single" w:color="auto" w:sz="4" w:space="0"/>
            </w:tcBorders>
            <w:noWrap w:val="0"/>
            <w:vAlign w:val="center"/>
          </w:tcPr>
          <w:p w14:paraId="24D3FE81">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r w14:paraId="5B78C135">
        <w:tblPrEx>
          <w:tblCellMar>
            <w:top w:w="0" w:type="dxa"/>
            <w:left w:w="108" w:type="dxa"/>
            <w:bottom w:w="0" w:type="dxa"/>
            <w:right w:w="108" w:type="dxa"/>
          </w:tblCellMar>
        </w:tblPrEx>
        <w:trPr>
          <w:trHeight w:val="176" w:hRule="atLeast"/>
          <w:jc w:val="center"/>
        </w:trPr>
        <w:tc>
          <w:tcPr>
            <w:tcW w:w="3705" w:type="dxa"/>
            <w:tcBorders>
              <w:top w:val="single" w:color="auto" w:sz="4" w:space="0"/>
              <w:left w:val="single" w:color="auto" w:sz="4" w:space="0"/>
              <w:bottom w:val="single" w:color="auto" w:sz="4" w:space="0"/>
              <w:right w:val="single" w:color="auto" w:sz="4" w:space="0"/>
            </w:tcBorders>
            <w:noWrap w:val="0"/>
            <w:vAlign w:val="center"/>
          </w:tcPr>
          <w:p w14:paraId="526861D0">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1000</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10000</w:t>
            </w:r>
            <w:r>
              <w:rPr>
                <w:rFonts w:hint="default" w:ascii="Times New Roman" w:hAnsi="Times New Roman" w:eastAsia="仿宋_GB2312" w:cs="Times New Roman"/>
                <w:color w:val="auto"/>
                <w:kern w:val="0"/>
                <w:sz w:val="32"/>
                <w:szCs w:val="32"/>
                <w:highlight w:val="none"/>
              </w:rPr>
              <w:t>以内（含）</w:t>
            </w:r>
          </w:p>
        </w:tc>
        <w:tc>
          <w:tcPr>
            <w:tcW w:w="2280" w:type="dxa"/>
            <w:tcBorders>
              <w:top w:val="single" w:color="auto" w:sz="4" w:space="0"/>
              <w:left w:val="single" w:color="auto" w:sz="4" w:space="0"/>
              <w:bottom w:val="single" w:color="auto" w:sz="4" w:space="0"/>
              <w:right w:val="single" w:color="auto" w:sz="4" w:space="0"/>
            </w:tcBorders>
            <w:noWrap w:val="0"/>
            <w:vAlign w:val="center"/>
          </w:tcPr>
          <w:p w14:paraId="52601EAE">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10000</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0C37C61D">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r w14:paraId="58E8D1DC">
        <w:tblPrEx>
          <w:tblCellMar>
            <w:top w:w="0" w:type="dxa"/>
            <w:left w:w="108" w:type="dxa"/>
            <w:bottom w:w="0" w:type="dxa"/>
            <w:right w:w="108" w:type="dxa"/>
          </w:tblCellMar>
        </w:tblPrEx>
        <w:trPr>
          <w:trHeight w:val="430" w:hRule="atLeast"/>
          <w:jc w:val="center"/>
        </w:trPr>
        <w:tc>
          <w:tcPr>
            <w:tcW w:w="3705" w:type="dxa"/>
            <w:tcBorders>
              <w:top w:val="single" w:color="auto" w:sz="4" w:space="0"/>
              <w:left w:val="single" w:color="auto" w:sz="4" w:space="0"/>
              <w:bottom w:val="single" w:color="auto" w:sz="4" w:space="0"/>
              <w:right w:val="single" w:color="auto" w:sz="4" w:space="0"/>
            </w:tcBorders>
            <w:noWrap w:val="0"/>
            <w:vAlign w:val="center"/>
          </w:tcPr>
          <w:p w14:paraId="49F0F3D8">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10000</w:t>
            </w:r>
            <w:r>
              <w:rPr>
                <w:rFonts w:hint="default" w:ascii="Times New Roman" w:hAnsi="Times New Roman" w:eastAsia="仿宋_GB2312" w:cs="Times New Roman"/>
                <w:color w:val="auto"/>
                <w:kern w:val="0"/>
                <w:sz w:val="32"/>
                <w:szCs w:val="32"/>
                <w:highlight w:val="none"/>
              </w:rPr>
              <w:t>以上</w:t>
            </w:r>
          </w:p>
        </w:tc>
        <w:tc>
          <w:tcPr>
            <w:tcW w:w="2280" w:type="dxa"/>
            <w:tcBorders>
              <w:top w:val="single" w:color="auto" w:sz="4" w:space="0"/>
              <w:left w:val="single" w:color="auto" w:sz="4" w:space="0"/>
              <w:bottom w:val="single" w:color="auto" w:sz="4" w:space="0"/>
              <w:right w:val="single" w:color="auto" w:sz="4" w:space="0"/>
            </w:tcBorders>
            <w:noWrap w:val="0"/>
            <w:vAlign w:val="center"/>
          </w:tcPr>
          <w:p w14:paraId="7F5E9DB1">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20000</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6C9BB8BD">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bl>
    <w:p w14:paraId="2E816A04">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注：</w:t>
      </w:r>
      <w:r>
        <w:rPr>
          <w:rFonts w:hint="default" w:ascii="Times New Roman" w:hAnsi="Times New Roman" w:eastAsia="仿宋_GB2312" w:cs="Times New Roman"/>
          <w:color w:val="auto"/>
          <w:sz w:val="32"/>
          <w:szCs w:val="32"/>
          <w:highlight w:val="none"/>
          <w:lang w:val="en-US" w:eastAsia="zh-CN"/>
        </w:rPr>
        <w:t xml:space="preserve">1. </w:t>
      </w:r>
      <w:r>
        <w:rPr>
          <w:rFonts w:hint="default" w:ascii="Times New Roman" w:hAnsi="Times New Roman" w:eastAsia="仿宋_GB2312" w:cs="Times New Roman"/>
          <w:color w:val="auto"/>
          <w:sz w:val="32"/>
          <w:szCs w:val="32"/>
          <w:highlight w:val="none"/>
          <w:lang w:eastAsia="zh-CN"/>
        </w:rPr>
        <w:t>服务</w:t>
      </w:r>
      <w:r>
        <w:rPr>
          <w:rFonts w:hint="default" w:ascii="Times New Roman" w:hAnsi="Times New Roman" w:eastAsia="仿宋_GB2312" w:cs="Times New Roman"/>
          <w:color w:val="auto"/>
          <w:sz w:val="32"/>
          <w:szCs w:val="32"/>
          <w:highlight w:val="none"/>
        </w:rPr>
        <w:t>费计算方式为：基本费+审核成果费。其中，跟踪审计服务基本费计算基数为审定金额；审核成果费计算基数为</w:t>
      </w:r>
      <w:r>
        <w:rPr>
          <w:rFonts w:hint="default" w:ascii="Times New Roman" w:hAnsi="Times New Roman" w:eastAsia="仿宋_GB2312" w:cs="Times New Roman"/>
          <w:color w:val="auto"/>
          <w:sz w:val="32"/>
          <w:szCs w:val="32"/>
          <w:highlight w:val="none"/>
          <w:lang w:eastAsia="zh-CN"/>
        </w:rPr>
        <w:t>独立</w:t>
      </w:r>
      <w:r>
        <w:rPr>
          <w:rFonts w:hint="default" w:ascii="Times New Roman" w:hAnsi="Times New Roman" w:eastAsia="仿宋_GB2312" w:cs="Times New Roman"/>
          <w:color w:val="auto"/>
          <w:sz w:val="32"/>
          <w:szCs w:val="32"/>
          <w:highlight w:val="none"/>
        </w:rPr>
        <w:t>核减金额。</w:t>
      </w:r>
    </w:p>
    <w:p w14:paraId="26A80FCA">
      <w:pPr>
        <w:keepNext w:val="0"/>
        <w:keepLines w:val="0"/>
        <w:pageBreakBefore w:val="0"/>
        <w:numPr>
          <w:ilvl w:val="0"/>
          <w:numId w:val="4"/>
        </w:numPr>
        <w:kinsoku/>
        <w:wordWrap/>
        <w:overflowPunct/>
        <w:topLinePunct w:val="0"/>
        <w:autoSpaceDE/>
        <w:autoSpaceDN/>
        <w:bidi w:val="0"/>
        <w:adjustRightInd/>
        <w:spacing w:line="400" w:lineRule="exact"/>
        <w:ind w:left="0" w:leftChars="0" w:firstLine="1280" w:firstLineChars="4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工程造价审减率超过</w:t>
      </w:r>
      <w:r>
        <w:rPr>
          <w:rFonts w:hint="default"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color w:val="auto"/>
          <w:sz w:val="32"/>
          <w:szCs w:val="32"/>
          <w:highlight w:val="none"/>
          <w:lang w:eastAsia="zh-CN"/>
        </w:rPr>
        <w:t>时</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将对施工单位进行处罚，处罚金额为</w:t>
      </w:r>
      <w:r>
        <w:rPr>
          <w:rFonts w:hint="default" w:ascii="Times New Roman" w:hAnsi="Times New Roman" w:eastAsia="仿宋_GB2312" w:cs="Times New Roman"/>
          <w:color w:val="auto"/>
          <w:sz w:val="32"/>
          <w:szCs w:val="32"/>
          <w:highlight w:val="none"/>
        </w:rPr>
        <w:t>审减率</w:t>
      </w:r>
      <w:r>
        <w:rPr>
          <w:rFonts w:hint="default" w:ascii="Times New Roman" w:hAnsi="Times New Roman" w:eastAsia="仿宋_GB2312" w:cs="Times New Roman"/>
          <w:color w:val="auto"/>
          <w:sz w:val="32"/>
          <w:szCs w:val="32"/>
          <w:highlight w:val="none"/>
          <w:lang w:eastAsia="zh-CN"/>
        </w:rPr>
        <w:t>超出</w:t>
      </w:r>
      <w:r>
        <w:rPr>
          <w:rFonts w:hint="default"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以上的报送金额的</w:t>
      </w:r>
      <w:r>
        <w:rPr>
          <w:rFonts w:hint="default" w:ascii="Times New Roman" w:hAnsi="Times New Roman" w:eastAsia="仿宋_GB2312" w:cs="Times New Roman"/>
          <w:b/>
          <w:bCs/>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由综合计划科在定案时明确处罚金额报工程监管科落实处罚</w:t>
      </w:r>
      <w:r>
        <w:rPr>
          <w:rFonts w:hint="default" w:ascii="Times New Roman" w:hAnsi="Times New Roman" w:eastAsia="仿宋_GB2312" w:cs="Times New Roman"/>
          <w:b w:val="0"/>
          <w:bCs w:val="0"/>
          <w:color w:val="auto"/>
          <w:sz w:val="32"/>
          <w:szCs w:val="32"/>
          <w:highlight w:val="none"/>
        </w:rPr>
        <w:t>。</w:t>
      </w:r>
    </w:p>
    <w:p w14:paraId="469F8031">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第十</w:t>
      </w:r>
      <w:r>
        <w:rPr>
          <w:rFonts w:hint="default" w:ascii="Times New Roman" w:hAnsi="Times New Roman" w:eastAsia="仿宋_GB2312" w:cs="Times New Roman"/>
          <w:b/>
          <w:bCs/>
          <w:color w:val="auto"/>
          <w:sz w:val="32"/>
          <w:szCs w:val="32"/>
          <w:highlight w:val="none"/>
          <w:lang w:eastAsia="zh-CN"/>
        </w:rPr>
        <w:t>三</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对复杂项目</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造价成果有争议或存疑项目可委托第三方复审</w:t>
      </w:r>
      <w:r>
        <w:rPr>
          <w:rFonts w:hint="default" w:ascii="Times New Roman" w:hAnsi="Times New Roman" w:eastAsia="仿宋_GB2312" w:cs="Times New Roman"/>
          <w:color w:val="auto"/>
          <w:sz w:val="32"/>
          <w:szCs w:val="32"/>
          <w:highlight w:val="none"/>
          <w:lang w:eastAsia="zh-CN"/>
        </w:rPr>
        <w:t>（清单编制复审、结算复审），服务</w:t>
      </w:r>
      <w:r>
        <w:rPr>
          <w:rFonts w:hint="default" w:ascii="Times New Roman" w:hAnsi="Times New Roman" w:eastAsia="仿宋_GB2312" w:cs="Times New Roman"/>
          <w:color w:val="auto"/>
          <w:sz w:val="32"/>
          <w:szCs w:val="32"/>
          <w:highlight w:val="none"/>
        </w:rPr>
        <w:t>费用</w:t>
      </w:r>
      <w:r>
        <w:rPr>
          <w:rFonts w:hint="default" w:ascii="Times New Roman" w:hAnsi="Times New Roman" w:eastAsia="仿宋_GB2312" w:cs="Times New Roman"/>
          <w:color w:val="auto"/>
          <w:sz w:val="32"/>
          <w:szCs w:val="32"/>
          <w:highlight w:val="none"/>
          <w:lang w:eastAsia="zh-CN"/>
        </w:rPr>
        <w:t>同</w:t>
      </w:r>
      <w:r>
        <w:rPr>
          <w:rFonts w:hint="default" w:ascii="Times New Roman" w:hAnsi="Times New Roman" w:eastAsia="仿宋_GB2312" w:cs="Times New Roman"/>
          <w:color w:val="auto"/>
          <w:sz w:val="32"/>
          <w:szCs w:val="32"/>
          <w:highlight w:val="none"/>
        </w:rPr>
        <w:t>结算审</w:t>
      </w:r>
      <w:r>
        <w:rPr>
          <w:rFonts w:hint="default" w:ascii="Times New Roman" w:hAnsi="Times New Roman" w:eastAsia="仿宋_GB2312" w:cs="Times New Roman"/>
          <w:color w:val="auto"/>
          <w:sz w:val="32"/>
          <w:szCs w:val="32"/>
          <w:highlight w:val="none"/>
          <w:lang w:eastAsia="zh-CN"/>
        </w:rPr>
        <w:t>核</w:t>
      </w:r>
      <w:r>
        <w:rPr>
          <w:rFonts w:hint="default" w:ascii="Times New Roman" w:hAnsi="Times New Roman" w:eastAsia="仿宋_GB2312" w:cs="Times New Roman"/>
          <w:color w:val="auto"/>
          <w:sz w:val="32"/>
          <w:szCs w:val="32"/>
          <w:highlight w:val="none"/>
        </w:rPr>
        <w:t>服务费。</w:t>
      </w:r>
      <w:r>
        <w:rPr>
          <w:rFonts w:hint="default" w:ascii="Times New Roman" w:hAnsi="Times New Roman" w:eastAsia="黑体" w:cs="Times New Roman"/>
          <w:color w:val="auto"/>
          <w:sz w:val="32"/>
          <w:szCs w:val="32"/>
          <w:highlight w:val="none"/>
          <w:lang w:val="en-US" w:eastAsia="zh-CN"/>
        </w:rPr>
        <w:t xml:space="preserve">  </w:t>
      </w:r>
    </w:p>
    <w:p w14:paraId="586553D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第五章 服务要求</w:t>
      </w:r>
    </w:p>
    <w:p w14:paraId="1022A47C">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第十</w:t>
      </w:r>
      <w:r>
        <w:rPr>
          <w:rFonts w:hint="default" w:ascii="Times New Roman" w:hAnsi="Times New Roman" w:eastAsia="仿宋_GB2312" w:cs="Times New Roman"/>
          <w:b/>
          <w:bCs/>
          <w:color w:val="auto"/>
          <w:sz w:val="32"/>
          <w:szCs w:val="32"/>
          <w:highlight w:val="none"/>
          <w:lang w:eastAsia="zh-CN"/>
        </w:rPr>
        <w:t>四</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造价企业需安排具备相应资格条件和类似业绩且经验丰富的造价人员编制清单及最高投标限价，严格执行三级复核制度，对工程造价咨询成果负经济、法律责任，编制人员必须进行现场踏勘，发现与设计不符的需经设计部门核实确认，变化较大的需重新设计。</w:t>
      </w:r>
    </w:p>
    <w:p w14:paraId="0A994736">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第十五条</w:t>
      </w:r>
      <w:r>
        <w:rPr>
          <w:rFonts w:hint="default" w:ascii="Times New Roman" w:hAnsi="Times New Roman" w:eastAsia="仿宋_GB2312" w:cs="Times New Roman"/>
          <w:color w:val="auto"/>
          <w:sz w:val="32"/>
          <w:szCs w:val="32"/>
          <w:highlight w:val="none"/>
          <w:lang w:val="en-US" w:eastAsia="zh-CN"/>
        </w:rPr>
        <w:t xml:space="preserve">  跟踪审计</w:t>
      </w:r>
      <w:r>
        <w:rPr>
          <w:rFonts w:hint="default" w:ascii="Times New Roman" w:hAnsi="Times New Roman" w:eastAsia="仿宋_GB2312" w:cs="Times New Roman"/>
          <w:color w:val="auto"/>
          <w:sz w:val="32"/>
          <w:szCs w:val="32"/>
          <w:highlight w:val="none"/>
        </w:rPr>
        <w:t>项目开工前，造价企业需将项目任命文报综合计划科</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综合计划科</w:t>
      </w:r>
      <w:r>
        <w:rPr>
          <w:rFonts w:hint="default" w:ascii="Times New Roman" w:hAnsi="Times New Roman" w:eastAsia="仿宋_GB2312" w:cs="Times New Roman"/>
          <w:color w:val="auto"/>
          <w:sz w:val="32"/>
          <w:szCs w:val="32"/>
          <w:highlight w:val="none"/>
          <w:lang w:eastAsia="zh-CN"/>
        </w:rPr>
        <w:t>抄送</w:t>
      </w:r>
      <w:r>
        <w:rPr>
          <w:rFonts w:hint="default" w:ascii="Times New Roman" w:hAnsi="Times New Roman" w:eastAsia="仿宋_GB2312" w:cs="Times New Roman"/>
          <w:color w:val="auto"/>
          <w:sz w:val="32"/>
          <w:szCs w:val="32"/>
          <w:highlight w:val="none"/>
        </w:rPr>
        <w:t>工程建设科，同一个造价人员在我处同时承揽</w:t>
      </w:r>
      <w:r>
        <w:rPr>
          <w:rFonts w:hint="default" w:ascii="Times New Roman" w:hAnsi="Times New Roman" w:eastAsia="仿宋_GB2312" w:cs="Times New Roman"/>
          <w:color w:val="auto"/>
          <w:sz w:val="32"/>
          <w:szCs w:val="32"/>
          <w:highlight w:val="none"/>
          <w:lang w:eastAsia="zh-CN"/>
        </w:rPr>
        <w:t>跟踪审计业</w:t>
      </w:r>
      <w:r>
        <w:rPr>
          <w:rFonts w:hint="default" w:ascii="Times New Roman" w:hAnsi="Times New Roman" w:eastAsia="仿宋_GB2312" w:cs="Times New Roman"/>
          <w:color w:val="auto"/>
          <w:sz w:val="32"/>
          <w:szCs w:val="32"/>
          <w:highlight w:val="none"/>
        </w:rPr>
        <w:t>务不得超过</w:t>
      </w:r>
      <w:r>
        <w:rPr>
          <w:rFonts w:hint="default"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个项目</w:t>
      </w:r>
      <w:r>
        <w:rPr>
          <w:rFonts w:hint="default" w:ascii="Times New Roman" w:hAnsi="Times New Roman" w:eastAsia="仿宋_GB2312" w:cs="Times New Roman"/>
          <w:color w:val="auto"/>
          <w:sz w:val="32"/>
          <w:szCs w:val="32"/>
          <w:highlight w:val="none"/>
          <w:lang w:eastAsia="zh-CN"/>
        </w:rPr>
        <w:t>，且不得在两个以上市本级以外的地区同时承揽业务</w:t>
      </w:r>
      <w:r>
        <w:rPr>
          <w:rFonts w:hint="default" w:ascii="Times New Roman" w:hAnsi="Times New Roman" w:eastAsia="仿宋_GB2312" w:cs="Times New Roman"/>
          <w:color w:val="auto"/>
          <w:sz w:val="32"/>
          <w:szCs w:val="32"/>
          <w:highlight w:val="none"/>
        </w:rPr>
        <w:t>。</w:t>
      </w:r>
    </w:p>
    <w:p w14:paraId="67C0A50F">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第十</w:t>
      </w:r>
      <w:r>
        <w:rPr>
          <w:rFonts w:hint="default" w:ascii="Times New Roman" w:hAnsi="Times New Roman" w:eastAsia="仿宋_GB2312" w:cs="Times New Roman"/>
          <w:b/>
          <w:bCs/>
          <w:color w:val="auto"/>
          <w:sz w:val="32"/>
          <w:szCs w:val="32"/>
          <w:highlight w:val="none"/>
          <w:lang w:eastAsia="zh-CN"/>
        </w:rPr>
        <w:t>六</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造价企业</w:t>
      </w:r>
      <w:r>
        <w:rPr>
          <w:rFonts w:hint="default" w:ascii="Times New Roman" w:hAnsi="Times New Roman" w:eastAsia="仿宋_GB2312" w:cs="Times New Roman"/>
          <w:color w:val="auto"/>
          <w:sz w:val="32"/>
          <w:szCs w:val="32"/>
          <w:highlight w:val="none"/>
        </w:rPr>
        <w:t>项目组</w:t>
      </w:r>
      <w:r>
        <w:rPr>
          <w:rFonts w:hint="default" w:ascii="Times New Roman" w:hAnsi="Times New Roman" w:eastAsia="仿宋_GB2312" w:cs="Times New Roman"/>
          <w:color w:val="auto"/>
          <w:sz w:val="32"/>
          <w:szCs w:val="32"/>
          <w:highlight w:val="none"/>
          <w:lang w:eastAsia="zh-CN"/>
        </w:rPr>
        <w:t>人员变更，</w:t>
      </w:r>
      <w:r>
        <w:rPr>
          <w:rFonts w:hint="default" w:ascii="Times New Roman" w:hAnsi="Times New Roman" w:eastAsia="仿宋_GB2312" w:cs="Times New Roman"/>
          <w:color w:val="auto"/>
          <w:sz w:val="32"/>
          <w:szCs w:val="32"/>
          <w:highlight w:val="none"/>
        </w:rPr>
        <w:t>变更后人员</w:t>
      </w:r>
      <w:r>
        <w:rPr>
          <w:rFonts w:hint="default" w:ascii="Times New Roman" w:hAnsi="Times New Roman" w:eastAsia="仿宋_GB2312" w:cs="Times New Roman"/>
          <w:color w:val="auto"/>
          <w:sz w:val="32"/>
          <w:szCs w:val="32"/>
          <w:highlight w:val="none"/>
          <w:lang w:eastAsia="zh-CN"/>
        </w:rPr>
        <w:t>必</w:t>
      </w:r>
      <w:r>
        <w:rPr>
          <w:rFonts w:hint="default" w:ascii="Times New Roman" w:hAnsi="Times New Roman" w:eastAsia="仿宋_GB2312" w:cs="Times New Roman"/>
          <w:color w:val="auto"/>
          <w:sz w:val="32"/>
          <w:szCs w:val="32"/>
          <w:highlight w:val="none"/>
        </w:rPr>
        <w:t>须</w:t>
      </w:r>
      <w:r>
        <w:rPr>
          <w:rFonts w:hint="default" w:ascii="Times New Roman" w:hAnsi="Times New Roman" w:eastAsia="仿宋_GB2312" w:cs="Times New Roman"/>
          <w:color w:val="auto"/>
          <w:sz w:val="32"/>
          <w:szCs w:val="32"/>
          <w:highlight w:val="none"/>
          <w:lang w:eastAsia="zh-CN"/>
        </w:rPr>
        <w:t>满足</w:t>
      </w:r>
      <w:r>
        <w:rPr>
          <w:rFonts w:hint="default" w:ascii="Times New Roman" w:hAnsi="Times New Roman" w:eastAsia="仿宋_GB2312" w:cs="Times New Roman"/>
          <w:color w:val="auto"/>
          <w:sz w:val="32"/>
          <w:szCs w:val="32"/>
          <w:highlight w:val="none"/>
        </w:rPr>
        <w:t>本项目</w:t>
      </w:r>
      <w:r>
        <w:rPr>
          <w:rFonts w:hint="default" w:ascii="Times New Roman" w:hAnsi="Times New Roman" w:eastAsia="仿宋_GB2312" w:cs="Times New Roman"/>
          <w:color w:val="auto"/>
          <w:sz w:val="32"/>
          <w:szCs w:val="32"/>
          <w:highlight w:val="none"/>
          <w:lang w:eastAsia="zh-CN"/>
        </w:rPr>
        <w:t>招标</w:t>
      </w:r>
      <w:r>
        <w:rPr>
          <w:rFonts w:hint="default" w:ascii="Times New Roman" w:hAnsi="Times New Roman" w:eastAsia="仿宋_GB2312" w:cs="Times New Roman"/>
          <w:color w:val="auto"/>
          <w:sz w:val="32"/>
          <w:szCs w:val="32"/>
          <w:highlight w:val="none"/>
        </w:rPr>
        <w:t>要求</w:t>
      </w:r>
      <w:r>
        <w:rPr>
          <w:rFonts w:hint="default" w:ascii="Times New Roman" w:hAnsi="Times New Roman" w:eastAsia="仿宋_GB2312" w:cs="Times New Roman"/>
          <w:color w:val="auto"/>
          <w:sz w:val="32"/>
          <w:szCs w:val="32"/>
          <w:highlight w:val="none"/>
          <w:lang w:eastAsia="zh-CN"/>
        </w:rPr>
        <w:t>。由造价企业向综合计划科提出申请并提供相应证明，工程建设</w:t>
      </w:r>
      <w:r>
        <w:rPr>
          <w:rFonts w:hint="default" w:ascii="Times New Roman" w:hAnsi="Times New Roman" w:eastAsia="仿宋_GB2312" w:cs="Times New Roman"/>
          <w:color w:val="auto"/>
          <w:sz w:val="32"/>
          <w:szCs w:val="32"/>
          <w:highlight w:val="none"/>
        </w:rPr>
        <w:t>科</w:t>
      </w:r>
      <w:r>
        <w:rPr>
          <w:rFonts w:hint="default" w:ascii="Times New Roman" w:hAnsi="Times New Roman" w:eastAsia="仿宋_GB2312" w:cs="Times New Roman"/>
          <w:color w:val="auto"/>
          <w:sz w:val="32"/>
          <w:szCs w:val="32"/>
          <w:highlight w:val="none"/>
          <w:lang w:eastAsia="zh-CN"/>
        </w:rPr>
        <w:t>和综合计划科会商提出意见，报综合计划科分管领导批准</w:t>
      </w:r>
      <w:r>
        <w:rPr>
          <w:rFonts w:hint="default" w:ascii="Times New Roman" w:hAnsi="Times New Roman" w:eastAsia="仿宋_GB2312" w:cs="Times New Roman"/>
          <w:color w:val="auto"/>
          <w:sz w:val="32"/>
          <w:szCs w:val="32"/>
          <w:highlight w:val="none"/>
        </w:rPr>
        <w:t>后予以备案</w:t>
      </w:r>
      <w:r>
        <w:rPr>
          <w:rFonts w:hint="default" w:ascii="Times New Roman" w:hAnsi="Times New Roman" w:eastAsia="仿宋_GB2312" w:cs="Times New Roman"/>
          <w:color w:val="auto"/>
          <w:sz w:val="32"/>
          <w:szCs w:val="32"/>
          <w:highlight w:val="none"/>
          <w:lang w:eastAsia="zh-CN"/>
        </w:rPr>
        <w:t>。</w:t>
      </w:r>
    </w:p>
    <w:p w14:paraId="5AB6E5B3">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项目组负责人因以下原因变更不予处罚：①</w:t>
      </w:r>
      <w:r>
        <w:rPr>
          <w:rFonts w:hint="default" w:ascii="Times New Roman" w:hAnsi="Times New Roman" w:eastAsia="仿宋_GB2312" w:cs="Times New Roman"/>
          <w:color w:val="auto"/>
          <w:sz w:val="32"/>
          <w:szCs w:val="32"/>
          <w:highlight w:val="none"/>
        </w:rPr>
        <w:t>亡故</w:t>
      </w:r>
      <w:r>
        <w:rPr>
          <w:rFonts w:hint="default" w:ascii="Times New Roman" w:hAnsi="Times New Roman" w:eastAsia="仿宋_GB2312" w:cs="Times New Roman"/>
          <w:color w:val="auto"/>
          <w:sz w:val="32"/>
          <w:szCs w:val="32"/>
          <w:highlight w:val="none"/>
          <w:lang w:eastAsia="zh-CN"/>
        </w:rPr>
        <w:t>；②</w:t>
      </w:r>
      <w:r>
        <w:rPr>
          <w:rFonts w:hint="default" w:ascii="Times New Roman" w:hAnsi="Times New Roman" w:eastAsia="仿宋_GB2312" w:cs="Times New Roman"/>
          <w:color w:val="auto"/>
          <w:sz w:val="32"/>
          <w:szCs w:val="32"/>
          <w:highlight w:val="none"/>
        </w:rPr>
        <w:t>重病</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或重伤</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三个月以上，不能履行职责</w:t>
      </w:r>
      <w:r>
        <w:rPr>
          <w:rFonts w:hint="default" w:ascii="Times New Roman" w:hAnsi="Times New Roman" w:eastAsia="仿宋_GB2312" w:cs="Times New Roman"/>
          <w:color w:val="auto"/>
          <w:sz w:val="32"/>
          <w:szCs w:val="32"/>
          <w:highlight w:val="none"/>
          <w:lang w:eastAsia="zh-CN"/>
        </w:rPr>
        <w:t>；③</w:t>
      </w:r>
      <w:r>
        <w:rPr>
          <w:rFonts w:hint="default" w:ascii="Times New Roman" w:hAnsi="Times New Roman" w:eastAsia="仿宋_GB2312" w:cs="Times New Roman"/>
          <w:color w:val="auto"/>
          <w:sz w:val="32"/>
          <w:szCs w:val="32"/>
          <w:highlight w:val="none"/>
        </w:rPr>
        <w:t>受到刑事或行政处罚，不能胜任；</w:t>
      </w:r>
      <w:r>
        <w:rPr>
          <w:rFonts w:hint="default" w:ascii="Times New Roman" w:hAnsi="Times New Roman" w:eastAsia="仿宋_GB2312" w:cs="Times New Roman"/>
          <w:color w:val="auto"/>
          <w:sz w:val="32"/>
          <w:szCs w:val="32"/>
          <w:highlight w:val="none"/>
          <w:lang w:eastAsia="zh-CN"/>
        </w:rPr>
        <w:t>④</w:t>
      </w:r>
      <w:r>
        <w:rPr>
          <w:rFonts w:hint="default" w:ascii="Times New Roman" w:hAnsi="Times New Roman" w:eastAsia="仿宋_GB2312" w:cs="Times New Roman"/>
          <w:color w:val="auto"/>
          <w:sz w:val="32"/>
          <w:szCs w:val="32"/>
          <w:highlight w:val="none"/>
        </w:rPr>
        <w:t>犯罪被羁押或判刑；</w:t>
      </w:r>
      <w:r>
        <w:rPr>
          <w:rFonts w:hint="default" w:ascii="Times New Roman" w:hAnsi="Times New Roman" w:eastAsia="仿宋_GB2312" w:cs="Times New Roman"/>
          <w:color w:val="auto"/>
          <w:sz w:val="32"/>
          <w:szCs w:val="32"/>
          <w:highlight w:val="none"/>
          <w:lang w:eastAsia="zh-CN"/>
        </w:rPr>
        <w:t>⑤</w:t>
      </w:r>
      <w:r>
        <w:rPr>
          <w:rFonts w:hint="default" w:ascii="Times New Roman" w:hAnsi="Times New Roman" w:eastAsia="仿宋_GB2312" w:cs="Times New Roman"/>
          <w:color w:val="auto"/>
          <w:sz w:val="32"/>
          <w:szCs w:val="32"/>
          <w:highlight w:val="none"/>
        </w:rPr>
        <w:t>被责令停止职业资格</w:t>
      </w:r>
      <w:r>
        <w:rPr>
          <w:rFonts w:hint="default" w:ascii="Times New Roman" w:hAnsi="Times New Roman" w:eastAsia="仿宋_GB2312" w:cs="Times New Roman"/>
          <w:color w:val="auto"/>
          <w:sz w:val="32"/>
          <w:szCs w:val="32"/>
          <w:highlight w:val="none"/>
          <w:lang w:eastAsia="zh-CN"/>
        </w:rPr>
        <w:t>。其他原因</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造价企业</w:t>
      </w:r>
      <w:r>
        <w:rPr>
          <w:rFonts w:hint="default" w:ascii="Times New Roman" w:hAnsi="Times New Roman" w:eastAsia="仿宋_GB2312" w:cs="Times New Roman"/>
          <w:color w:val="auto"/>
          <w:sz w:val="32"/>
          <w:szCs w:val="32"/>
          <w:highlight w:val="none"/>
        </w:rPr>
        <w:t>须缴纳</w:t>
      </w:r>
      <w:r>
        <w:rPr>
          <w:rFonts w:hint="default" w:ascii="Times New Roman" w:hAnsi="Times New Roman" w:eastAsia="仿宋_GB2312" w:cs="Times New Roman"/>
          <w:color w:val="auto"/>
          <w:sz w:val="32"/>
          <w:szCs w:val="32"/>
          <w:highlight w:val="none"/>
          <w:lang w:eastAsia="zh-CN"/>
        </w:rPr>
        <w:t>2</w:t>
      </w:r>
      <w:r>
        <w:rPr>
          <w:rFonts w:hint="default" w:ascii="Times New Roman" w:hAnsi="Times New Roman" w:eastAsia="仿宋_GB2312" w:cs="Times New Roman"/>
          <w:color w:val="auto"/>
          <w:sz w:val="32"/>
          <w:szCs w:val="32"/>
          <w:highlight w:val="none"/>
        </w:rPr>
        <w:t>万元违约金</w:t>
      </w:r>
      <w:r>
        <w:rPr>
          <w:rFonts w:hint="default" w:ascii="Times New Roman" w:hAnsi="Times New Roman" w:eastAsia="仿宋_GB2312" w:cs="Times New Roman"/>
          <w:color w:val="auto"/>
          <w:sz w:val="32"/>
          <w:szCs w:val="32"/>
          <w:highlight w:val="none"/>
          <w:lang w:eastAsia="zh-CN"/>
        </w:rPr>
        <w:t>。</w:t>
      </w:r>
    </w:p>
    <w:p w14:paraId="4BE39F4D">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第十</w:t>
      </w:r>
      <w:r>
        <w:rPr>
          <w:rFonts w:hint="default" w:ascii="Times New Roman" w:hAnsi="Times New Roman" w:eastAsia="仿宋_GB2312" w:cs="Times New Roman"/>
          <w:b/>
          <w:bCs/>
          <w:color w:val="auto"/>
          <w:sz w:val="32"/>
          <w:szCs w:val="32"/>
          <w:highlight w:val="none"/>
          <w:lang w:eastAsia="zh-CN"/>
        </w:rPr>
        <w:t>七</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eastAsia="zh-CN"/>
        </w:rPr>
        <w:t>跟踪审计单位</w:t>
      </w:r>
      <w:r>
        <w:rPr>
          <w:rFonts w:hint="default" w:ascii="Times New Roman" w:hAnsi="Times New Roman" w:eastAsia="仿宋_GB2312" w:cs="Times New Roman"/>
          <w:color w:val="auto"/>
          <w:sz w:val="32"/>
          <w:szCs w:val="32"/>
          <w:highlight w:val="none"/>
          <w:lang w:eastAsia="zh-CN"/>
        </w:rPr>
        <w:t>审计</w:t>
      </w:r>
      <w:r>
        <w:rPr>
          <w:rFonts w:hint="default" w:ascii="Times New Roman" w:hAnsi="Times New Roman" w:eastAsia="仿宋_GB2312" w:cs="Times New Roman"/>
          <w:color w:val="auto"/>
          <w:sz w:val="32"/>
          <w:szCs w:val="32"/>
          <w:highlight w:val="none"/>
        </w:rPr>
        <w:t>组每月</w:t>
      </w:r>
      <w:r>
        <w:rPr>
          <w:rFonts w:hint="default" w:ascii="Times New Roman" w:hAnsi="Times New Roman" w:eastAsia="仿宋_GB2312" w:cs="Times New Roman"/>
          <w:color w:val="auto"/>
          <w:sz w:val="32"/>
          <w:szCs w:val="32"/>
          <w:highlight w:val="none"/>
          <w:lang w:eastAsia="zh-CN"/>
        </w:rPr>
        <w:t>5</w:t>
      </w:r>
      <w:r>
        <w:rPr>
          <w:rFonts w:hint="default" w:ascii="Times New Roman" w:hAnsi="Times New Roman" w:eastAsia="仿宋_GB2312" w:cs="Times New Roman"/>
          <w:color w:val="auto"/>
          <w:sz w:val="32"/>
          <w:szCs w:val="32"/>
          <w:highlight w:val="none"/>
        </w:rPr>
        <w:t>日前</w:t>
      </w:r>
      <w:r>
        <w:rPr>
          <w:rFonts w:hint="default" w:ascii="Times New Roman" w:hAnsi="Times New Roman" w:eastAsia="仿宋_GB2312" w:cs="Times New Roman"/>
          <w:color w:val="auto"/>
          <w:sz w:val="32"/>
          <w:szCs w:val="32"/>
          <w:highlight w:val="none"/>
          <w:lang w:eastAsia="zh-CN"/>
        </w:rPr>
        <w:t>向</w:t>
      </w:r>
      <w:r>
        <w:rPr>
          <w:rFonts w:hint="default" w:ascii="Times New Roman" w:hAnsi="Times New Roman" w:eastAsia="仿宋_GB2312" w:cs="Times New Roman"/>
          <w:color w:val="auto"/>
          <w:sz w:val="32"/>
          <w:szCs w:val="32"/>
          <w:highlight w:val="none"/>
        </w:rPr>
        <w:t>综合计划科报送审计月报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综合计划科</w:t>
      </w:r>
      <w:r>
        <w:rPr>
          <w:rFonts w:hint="default" w:ascii="Times New Roman" w:hAnsi="Times New Roman" w:eastAsia="仿宋_GB2312" w:cs="Times New Roman"/>
          <w:color w:val="auto"/>
          <w:sz w:val="32"/>
          <w:szCs w:val="32"/>
          <w:highlight w:val="none"/>
          <w:lang w:eastAsia="zh-CN"/>
        </w:rPr>
        <w:t>抄送</w:t>
      </w:r>
      <w:r>
        <w:rPr>
          <w:rFonts w:hint="default" w:ascii="Times New Roman" w:hAnsi="Times New Roman" w:eastAsia="仿宋_GB2312" w:cs="Times New Roman"/>
          <w:color w:val="auto"/>
          <w:sz w:val="32"/>
          <w:szCs w:val="32"/>
          <w:highlight w:val="none"/>
        </w:rPr>
        <w:t>工程建设科，月报主要</w:t>
      </w:r>
      <w:r>
        <w:rPr>
          <w:rFonts w:hint="default" w:ascii="Times New Roman" w:hAnsi="Times New Roman" w:eastAsia="仿宋_GB2312" w:cs="Times New Roman"/>
          <w:color w:val="auto"/>
          <w:sz w:val="32"/>
          <w:szCs w:val="32"/>
          <w:highlight w:val="none"/>
          <w:lang w:eastAsia="zh-CN"/>
        </w:rPr>
        <w:t>反映</w:t>
      </w:r>
      <w:r>
        <w:rPr>
          <w:rFonts w:hint="default" w:ascii="Times New Roman" w:hAnsi="Times New Roman" w:eastAsia="仿宋_GB2312" w:cs="Times New Roman"/>
          <w:color w:val="auto"/>
          <w:sz w:val="32"/>
          <w:szCs w:val="32"/>
          <w:highlight w:val="none"/>
        </w:rPr>
        <w:t>项目的进度、工程计量、工程变更等涉及工程造价方面的内容。</w:t>
      </w:r>
    </w:p>
    <w:p w14:paraId="23D42C99">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十八</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结算审核单位</w:t>
      </w:r>
      <w:r>
        <w:rPr>
          <w:rFonts w:hint="default" w:ascii="Times New Roman" w:hAnsi="Times New Roman" w:eastAsia="仿宋_GB2312" w:cs="Times New Roman"/>
          <w:color w:val="auto"/>
          <w:sz w:val="32"/>
          <w:szCs w:val="32"/>
          <w:highlight w:val="none"/>
        </w:rPr>
        <w:t>应在</w:t>
      </w:r>
      <w:r>
        <w:rPr>
          <w:rFonts w:hint="default" w:ascii="Times New Roman" w:hAnsi="Times New Roman" w:eastAsia="仿宋_GB2312" w:cs="Times New Roman"/>
          <w:color w:val="auto"/>
          <w:sz w:val="32"/>
          <w:szCs w:val="32"/>
          <w:highlight w:val="none"/>
          <w:lang w:eastAsia="zh-CN"/>
        </w:rPr>
        <w:t>7</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eastAsia="zh-CN"/>
        </w:rPr>
        <w:t>造价5000</w:t>
      </w:r>
      <w:r>
        <w:rPr>
          <w:rFonts w:hint="default" w:ascii="Times New Roman" w:hAnsi="Times New Roman" w:eastAsia="仿宋_GB2312" w:cs="Times New Roman"/>
          <w:color w:val="auto"/>
          <w:sz w:val="32"/>
          <w:szCs w:val="32"/>
          <w:highlight w:val="none"/>
        </w:rPr>
        <w:t>万</w:t>
      </w:r>
      <w:r>
        <w:rPr>
          <w:rFonts w:hint="default" w:ascii="Times New Roman" w:hAnsi="Times New Roman" w:eastAsia="仿宋_GB2312" w:cs="Times New Roman"/>
          <w:color w:val="auto"/>
          <w:sz w:val="32"/>
          <w:szCs w:val="32"/>
          <w:highlight w:val="none"/>
          <w:lang w:eastAsia="zh-CN"/>
        </w:rPr>
        <w:t>元</w:t>
      </w:r>
      <w:r>
        <w:rPr>
          <w:rFonts w:hint="default" w:ascii="Times New Roman" w:hAnsi="Times New Roman" w:eastAsia="仿宋_GB2312" w:cs="Times New Roman"/>
          <w:color w:val="auto"/>
          <w:sz w:val="32"/>
          <w:szCs w:val="32"/>
          <w:highlight w:val="none"/>
        </w:rPr>
        <w:t>以下）或</w:t>
      </w:r>
      <w:r>
        <w:rPr>
          <w:rFonts w:hint="default" w:ascii="Times New Roman" w:hAnsi="Times New Roman" w:eastAsia="仿宋_GB2312" w:cs="Times New Roman"/>
          <w:color w:val="auto"/>
          <w:sz w:val="32"/>
          <w:szCs w:val="32"/>
          <w:highlight w:val="none"/>
          <w:lang w:eastAsia="zh-CN"/>
        </w:rPr>
        <w:t>10</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eastAsia="zh-CN"/>
        </w:rPr>
        <w:t>造价5000</w:t>
      </w:r>
      <w:r>
        <w:rPr>
          <w:rFonts w:hint="default" w:ascii="Times New Roman" w:hAnsi="Times New Roman" w:eastAsia="仿宋_GB2312" w:cs="Times New Roman"/>
          <w:color w:val="auto"/>
          <w:sz w:val="32"/>
          <w:szCs w:val="32"/>
          <w:highlight w:val="none"/>
        </w:rPr>
        <w:t>万</w:t>
      </w:r>
      <w:r>
        <w:rPr>
          <w:rFonts w:hint="default" w:ascii="Times New Roman" w:hAnsi="Times New Roman" w:eastAsia="仿宋_GB2312" w:cs="Times New Roman"/>
          <w:color w:val="auto"/>
          <w:sz w:val="32"/>
          <w:szCs w:val="32"/>
          <w:highlight w:val="none"/>
          <w:lang w:eastAsia="zh-CN"/>
        </w:rPr>
        <w:t>元</w:t>
      </w:r>
      <w:r>
        <w:rPr>
          <w:rFonts w:hint="default" w:ascii="Times New Roman" w:hAnsi="Times New Roman" w:eastAsia="仿宋_GB2312" w:cs="Times New Roman"/>
          <w:color w:val="auto"/>
          <w:sz w:val="32"/>
          <w:szCs w:val="32"/>
          <w:highlight w:val="none"/>
        </w:rPr>
        <w:t>以上）内，对施工单位报送的项目结算资料进行完整性检查，一次性书面告知，限期补充齐全。在实施结算审计</w:t>
      </w:r>
      <w:r>
        <w:rPr>
          <w:rFonts w:hint="default" w:ascii="Times New Roman" w:hAnsi="Times New Roman" w:eastAsia="仿宋_GB2312" w:cs="Times New Roman"/>
          <w:color w:val="auto"/>
          <w:sz w:val="32"/>
          <w:szCs w:val="32"/>
          <w:highlight w:val="none"/>
          <w:lang w:eastAsia="zh-CN"/>
        </w:rPr>
        <w:t>过</w:t>
      </w:r>
      <w:r>
        <w:rPr>
          <w:rFonts w:hint="default" w:ascii="Times New Roman" w:hAnsi="Times New Roman" w:eastAsia="仿宋_GB2312" w:cs="Times New Roman"/>
          <w:color w:val="auto"/>
          <w:sz w:val="32"/>
          <w:szCs w:val="32"/>
          <w:highlight w:val="none"/>
        </w:rPr>
        <w:t>程中，原则上不再接收施工单位提供的变更签证资料。如遇特殊情况，补充资料</w:t>
      </w:r>
      <w:r>
        <w:rPr>
          <w:rFonts w:hint="default" w:ascii="Times New Roman" w:hAnsi="Times New Roman" w:eastAsia="仿宋_GB2312" w:cs="Times New Roman"/>
          <w:color w:val="auto"/>
          <w:sz w:val="32"/>
          <w:szCs w:val="32"/>
          <w:highlight w:val="none"/>
          <w:lang w:eastAsia="zh-CN"/>
        </w:rPr>
        <w:t>需</w:t>
      </w:r>
      <w:r>
        <w:rPr>
          <w:rFonts w:hint="default" w:ascii="Times New Roman" w:hAnsi="Times New Roman" w:eastAsia="仿宋_GB2312" w:cs="Times New Roman"/>
          <w:color w:val="auto"/>
          <w:sz w:val="32"/>
          <w:szCs w:val="32"/>
          <w:highlight w:val="none"/>
        </w:rPr>
        <w:t>经</w:t>
      </w:r>
      <w:r>
        <w:rPr>
          <w:rFonts w:hint="default" w:ascii="Times New Roman" w:hAnsi="Times New Roman" w:eastAsia="仿宋_GB2312" w:cs="Times New Roman"/>
          <w:color w:val="auto"/>
          <w:sz w:val="32"/>
          <w:szCs w:val="32"/>
          <w:highlight w:val="none"/>
          <w:lang w:eastAsia="zh-CN"/>
        </w:rPr>
        <w:t>工程建设科和</w:t>
      </w:r>
      <w:r>
        <w:rPr>
          <w:rFonts w:hint="default" w:ascii="Times New Roman" w:hAnsi="Times New Roman" w:eastAsia="仿宋_GB2312" w:cs="Times New Roman"/>
          <w:color w:val="auto"/>
          <w:sz w:val="32"/>
          <w:szCs w:val="32"/>
          <w:highlight w:val="none"/>
        </w:rPr>
        <w:t>项目分管领导同意。</w:t>
      </w:r>
    </w:p>
    <w:p w14:paraId="40948EE5">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十九</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xml:space="preserve"> 造价企业结算审</w:t>
      </w:r>
      <w:r>
        <w:rPr>
          <w:rFonts w:hint="default" w:ascii="Times New Roman" w:hAnsi="Times New Roman" w:eastAsia="仿宋_GB2312" w:cs="Times New Roman"/>
          <w:color w:val="auto"/>
          <w:sz w:val="32"/>
          <w:szCs w:val="32"/>
          <w:highlight w:val="none"/>
          <w:lang w:eastAsia="zh-CN"/>
        </w:rPr>
        <w:t>核</w:t>
      </w:r>
      <w:r>
        <w:rPr>
          <w:rFonts w:hint="default" w:ascii="Times New Roman" w:hAnsi="Times New Roman" w:eastAsia="仿宋_GB2312" w:cs="Times New Roman"/>
          <w:color w:val="auto"/>
          <w:sz w:val="32"/>
          <w:szCs w:val="32"/>
          <w:highlight w:val="none"/>
        </w:rPr>
        <w:t>的项目，造价在</w:t>
      </w:r>
      <w:r>
        <w:rPr>
          <w:rFonts w:hint="default" w:ascii="Times New Roman" w:hAnsi="Times New Roman" w:eastAsia="仿宋_GB2312" w:cs="Times New Roman"/>
          <w:color w:val="auto"/>
          <w:sz w:val="32"/>
          <w:szCs w:val="32"/>
          <w:highlight w:val="none"/>
          <w:lang w:eastAsia="zh-CN"/>
        </w:rPr>
        <w:t>500</w:t>
      </w:r>
      <w:r>
        <w:rPr>
          <w:rFonts w:hint="default" w:ascii="Times New Roman" w:hAnsi="Times New Roman" w:eastAsia="仿宋_GB2312" w:cs="Times New Roman"/>
          <w:color w:val="auto"/>
          <w:sz w:val="32"/>
          <w:szCs w:val="32"/>
          <w:highlight w:val="none"/>
        </w:rPr>
        <w:t>万元以下、</w:t>
      </w:r>
      <w:r>
        <w:rPr>
          <w:rFonts w:hint="default" w:ascii="Times New Roman" w:hAnsi="Times New Roman" w:eastAsia="仿宋_GB2312" w:cs="Times New Roman"/>
          <w:color w:val="auto"/>
          <w:sz w:val="32"/>
          <w:szCs w:val="32"/>
          <w:highlight w:val="none"/>
          <w:lang w:eastAsia="zh-CN"/>
        </w:rPr>
        <w:t>500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2000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2000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5000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5000</w:t>
      </w:r>
      <w:r>
        <w:rPr>
          <w:rFonts w:hint="default" w:ascii="Times New Roman" w:hAnsi="Times New Roman" w:eastAsia="仿宋_GB2312" w:cs="Times New Roman"/>
          <w:color w:val="auto"/>
          <w:sz w:val="32"/>
          <w:szCs w:val="32"/>
          <w:highlight w:val="none"/>
        </w:rPr>
        <w:t>万元以上的单项工程，应</w:t>
      </w:r>
      <w:r>
        <w:rPr>
          <w:rFonts w:hint="default" w:ascii="Times New Roman" w:hAnsi="Times New Roman" w:eastAsia="仿宋_GB2312" w:cs="Times New Roman"/>
          <w:color w:val="auto"/>
          <w:sz w:val="32"/>
          <w:szCs w:val="32"/>
          <w:highlight w:val="none"/>
          <w:lang w:eastAsia="zh-CN"/>
        </w:rPr>
        <w:t>分别</w:t>
      </w:r>
      <w:r>
        <w:rPr>
          <w:rFonts w:hint="default" w:ascii="Times New Roman" w:hAnsi="Times New Roman" w:eastAsia="仿宋_GB2312" w:cs="Times New Roman"/>
          <w:color w:val="auto"/>
          <w:sz w:val="32"/>
          <w:szCs w:val="32"/>
          <w:highlight w:val="none"/>
        </w:rPr>
        <w:t>在施工单位报送的项目结算资料完整</w:t>
      </w:r>
      <w:r>
        <w:rPr>
          <w:rFonts w:hint="default" w:ascii="Times New Roman" w:hAnsi="Times New Roman" w:eastAsia="仿宋_GB2312" w:cs="Times New Roman"/>
          <w:color w:val="auto"/>
          <w:sz w:val="32"/>
          <w:szCs w:val="32"/>
          <w:highlight w:val="none"/>
          <w:lang w:eastAsia="zh-CN"/>
        </w:rPr>
        <w:t>后的20</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eastAsia="zh-CN"/>
        </w:rPr>
        <w:t>30</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eastAsia="zh-CN"/>
        </w:rPr>
        <w:t>45</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eastAsia="zh-CN"/>
        </w:rPr>
        <w:t>60</w:t>
      </w:r>
      <w:r>
        <w:rPr>
          <w:rFonts w:hint="default" w:ascii="Times New Roman" w:hAnsi="Times New Roman" w:eastAsia="仿宋_GB2312" w:cs="Times New Roman"/>
          <w:color w:val="auto"/>
          <w:sz w:val="32"/>
          <w:szCs w:val="32"/>
          <w:highlight w:val="none"/>
        </w:rPr>
        <w:t>日内完成，并出具审核报告。如遇特殊情况，经</w:t>
      </w:r>
      <w:r>
        <w:rPr>
          <w:rFonts w:hint="default" w:ascii="Times New Roman" w:hAnsi="Times New Roman" w:eastAsia="仿宋_GB2312" w:cs="Times New Roman"/>
          <w:color w:val="auto"/>
          <w:sz w:val="32"/>
          <w:szCs w:val="32"/>
          <w:highlight w:val="none"/>
          <w:lang w:eastAsia="zh-CN"/>
        </w:rPr>
        <w:t>工程建设科和</w:t>
      </w:r>
      <w:r>
        <w:rPr>
          <w:rFonts w:hint="default" w:ascii="Times New Roman" w:hAnsi="Times New Roman" w:eastAsia="仿宋_GB2312" w:cs="Times New Roman"/>
          <w:color w:val="auto"/>
          <w:sz w:val="32"/>
          <w:szCs w:val="32"/>
          <w:highlight w:val="none"/>
        </w:rPr>
        <w:t>项目分管领导同意，可适当延长，延长时间最长不得超过</w:t>
      </w:r>
      <w:r>
        <w:rPr>
          <w:rFonts w:hint="default" w:ascii="Times New Roman" w:hAnsi="Times New Roman" w:eastAsia="仿宋_GB2312" w:cs="Times New Roman"/>
          <w:color w:val="auto"/>
          <w:sz w:val="32"/>
          <w:szCs w:val="32"/>
          <w:highlight w:val="none"/>
          <w:lang w:eastAsia="zh-CN"/>
        </w:rPr>
        <w:t>30</w:t>
      </w:r>
      <w:r>
        <w:rPr>
          <w:rFonts w:hint="default" w:ascii="Times New Roman" w:hAnsi="Times New Roman" w:eastAsia="仿宋_GB2312" w:cs="Times New Roman"/>
          <w:color w:val="auto"/>
          <w:sz w:val="32"/>
          <w:szCs w:val="32"/>
          <w:highlight w:val="none"/>
        </w:rPr>
        <w:t>日。</w:t>
      </w:r>
    </w:p>
    <w:p w14:paraId="2DA95C62">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b/>
          <w:bCs/>
          <w:color w:val="auto"/>
          <w:sz w:val="32"/>
          <w:szCs w:val="32"/>
          <w:highlight w:val="none"/>
        </w:rPr>
        <w:t>第二十条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造价企业</w:t>
      </w:r>
      <w:r>
        <w:rPr>
          <w:rFonts w:hint="default" w:ascii="Times New Roman" w:hAnsi="Times New Roman" w:eastAsia="仿宋_GB2312" w:cs="Times New Roman"/>
          <w:color w:val="auto"/>
          <w:sz w:val="32"/>
          <w:szCs w:val="32"/>
          <w:highlight w:val="none"/>
          <w:lang w:eastAsia="zh-CN"/>
        </w:rPr>
        <w:t>清单编制</w:t>
      </w:r>
      <w:r>
        <w:rPr>
          <w:rFonts w:hint="default" w:ascii="Times New Roman" w:hAnsi="Times New Roman" w:eastAsia="仿宋_GB2312" w:cs="Times New Roman"/>
          <w:color w:val="auto"/>
          <w:sz w:val="32"/>
          <w:szCs w:val="32"/>
          <w:highlight w:val="none"/>
        </w:rPr>
        <w:t>的项目</w:t>
      </w:r>
      <w:r>
        <w:rPr>
          <w:rFonts w:hint="default" w:ascii="Times New Roman" w:hAnsi="Times New Roman" w:eastAsia="仿宋_GB2312" w:cs="Times New Roman"/>
          <w:color w:val="auto"/>
          <w:sz w:val="32"/>
          <w:szCs w:val="32"/>
          <w:highlight w:val="none"/>
          <w:lang w:eastAsia="zh-CN"/>
        </w:rPr>
        <w:t>，估算最高投标限价在</w:t>
      </w:r>
      <w:r>
        <w:rPr>
          <w:rFonts w:hint="default" w:ascii="Times New Roman" w:hAnsi="Times New Roman" w:eastAsia="仿宋_GB2312" w:cs="Times New Roman"/>
          <w:color w:val="auto"/>
          <w:sz w:val="32"/>
          <w:szCs w:val="32"/>
          <w:highlight w:val="none"/>
          <w:lang w:val="en-US" w:eastAsia="zh-CN"/>
        </w:rPr>
        <w:t xml:space="preserve">500万元以下、500万元-1000万元、1000万元-5000万元、5000万元-10000万元、10000万元以上的项目，应分别在7日、15日、20日、25日、30日内完成。特殊项目经综合计划科分管领导同意可以适当缩短或延长编制时间。  </w:t>
      </w:r>
      <w:r>
        <w:rPr>
          <w:rFonts w:hint="default" w:ascii="Times New Roman" w:hAnsi="Times New Roman" w:eastAsia="仿宋_GB2312" w:cs="Times New Roman"/>
          <w:color w:val="auto"/>
          <w:sz w:val="32"/>
          <w:szCs w:val="32"/>
          <w:highlight w:val="none"/>
        </w:rPr>
        <w:t xml:space="preserve">   </w:t>
      </w:r>
    </w:p>
    <w:p w14:paraId="61F9846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第六章 服务考核</w:t>
      </w:r>
    </w:p>
    <w:p w14:paraId="12606106">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第二十</w:t>
      </w:r>
      <w:r>
        <w:rPr>
          <w:rFonts w:hint="default" w:ascii="Times New Roman" w:hAnsi="Times New Roman" w:eastAsia="仿宋_GB2312" w:cs="Times New Roman"/>
          <w:b/>
          <w:bCs/>
          <w:color w:val="auto"/>
          <w:sz w:val="32"/>
          <w:szCs w:val="32"/>
          <w:highlight w:val="none"/>
          <w:lang w:eastAsia="zh-CN"/>
        </w:rPr>
        <w:t>一</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考核分类</w:t>
      </w:r>
    </w:p>
    <w:p w14:paraId="557BCC9C">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考核分为</w:t>
      </w:r>
      <w:r>
        <w:rPr>
          <w:rFonts w:hint="default" w:ascii="Times New Roman" w:hAnsi="Times New Roman" w:eastAsia="仿宋_GB2312" w:cs="Times New Roman"/>
          <w:color w:val="auto"/>
          <w:sz w:val="32"/>
          <w:szCs w:val="32"/>
          <w:highlight w:val="none"/>
          <w:lang w:eastAsia="zh-CN"/>
        </w:rPr>
        <w:t>清单编制质量考核、</w:t>
      </w:r>
      <w:r>
        <w:rPr>
          <w:rFonts w:hint="default" w:ascii="Times New Roman" w:hAnsi="Times New Roman" w:eastAsia="仿宋_GB2312" w:cs="Times New Roman"/>
          <w:color w:val="auto"/>
          <w:sz w:val="32"/>
          <w:szCs w:val="32"/>
          <w:highlight w:val="none"/>
        </w:rPr>
        <w:t>跟踪审计服务质量考核</w:t>
      </w:r>
      <w:r>
        <w:rPr>
          <w:rFonts w:hint="default" w:ascii="Times New Roman" w:hAnsi="Times New Roman" w:eastAsia="仿宋_GB2312" w:cs="Times New Roman"/>
          <w:color w:val="auto"/>
          <w:sz w:val="32"/>
          <w:szCs w:val="32"/>
          <w:highlight w:val="none"/>
          <w:lang w:eastAsia="zh-CN"/>
        </w:rPr>
        <w:t>和</w:t>
      </w:r>
      <w:r>
        <w:rPr>
          <w:rStyle w:val="155"/>
          <w:rFonts w:hint="default" w:ascii="Times New Roman" w:hAnsi="Times New Roman" w:eastAsia="仿宋_GB2312" w:cs="Times New Roman"/>
          <w:b w:val="0"/>
          <w:bCs w:val="0"/>
          <w:color w:val="auto"/>
          <w:sz w:val="32"/>
          <w:szCs w:val="32"/>
          <w:highlight w:val="none"/>
        </w:rPr>
        <w:t>结算审</w:t>
      </w:r>
      <w:r>
        <w:rPr>
          <w:rStyle w:val="155"/>
          <w:rFonts w:hint="default" w:ascii="Times New Roman" w:hAnsi="Times New Roman" w:cs="Times New Roman"/>
          <w:b w:val="0"/>
          <w:bCs w:val="0"/>
          <w:color w:val="auto"/>
          <w:sz w:val="32"/>
          <w:szCs w:val="32"/>
          <w:highlight w:val="none"/>
          <w:lang w:eastAsia="zh-CN"/>
        </w:rPr>
        <w:t>（复）</w:t>
      </w:r>
      <w:r>
        <w:rPr>
          <w:rStyle w:val="155"/>
          <w:rFonts w:hint="default" w:ascii="Times New Roman" w:hAnsi="Times New Roman" w:eastAsia="仿宋_GB2312" w:cs="Times New Roman"/>
          <w:b w:val="0"/>
          <w:bCs w:val="0"/>
          <w:color w:val="auto"/>
          <w:sz w:val="32"/>
          <w:szCs w:val="32"/>
          <w:highlight w:val="none"/>
        </w:rPr>
        <w:t>核</w:t>
      </w:r>
      <w:r>
        <w:rPr>
          <w:rStyle w:val="155"/>
          <w:rFonts w:hint="default" w:ascii="Times New Roman" w:hAnsi="Times New Roman" w:cs="Times New Roman"/>
          <w:b w:val="0"/>
          <w:bCs w:val="0"/>
          <w:color w:val="auto"/>
          <w:sz w:val="32"/>
          <w:szCs w:val="32"/>
          <w:highlight w:val="none"/>
          <w:lang w:eastAsia="zh-CN"/>
        </w:rPr>
        <w:t>成果质量</w:t>
      </w:r>
      <w:r>
        <w:rPr>
          <w:rStyle w:val="155"/>
          <w:rFonts w:hint="default" w:ascii="Times New Roman" w:hAnsi="Times New Roman" w:eastAsia="仿宋_GB2312" w:cs="Times New Roman"/>
          <w:b w:val="0"/>
          <w:bCs w:val="0"/>
          <w:color w:val="auto"/>
          <w:sz w:val="32"/>
          <w:szCs w:val="32"/>
          <w:highlight w:val="none"/>
        </w:rPr>
        <w:t>考核</w:t>
      </w:r>
      <w:r>
        <w:rPr>
          <w:rFonts w:hint="default" w:ascii="Times New Roman" w:hAnsi="Times New Roman" w:eastAsia="仿宋_GB2312" w:cs="Times New Roman"/>
          <w:color w:val="auto"/>
          <w:sz w:val="32"/>
          <w:szCs w:val="32"/>
          <w:highlight w:val="none"/>
        </w:rPr>
        <w:t>。</w:t>
      </w:r>
    </w:p>
    <w:p w14:paraId="6A929E8A">
      <w:pPr>
        <w:keepNext w:val="0"/>
        <w:keepLines w:val="0"/>
        <w:pageBreakBefore w:val="0"/>
        <w:kinsoku/>
        <w:wordWrap/>
        <w:overflowPunct/>
        <w:topLinePunct w:val="0"/>
        <w:autoSpaceDE/>
        <w:autoSpaceDN/>
        <w:bidi w:val="0"/>
        <w:adjustRightInd/>
        <w:spacing w:line="400" w:lineRule="exact"/>
        <w:ind w:left="0" w:leftChars="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第二十</w:t>
      </w:r>
      <w:r>
        <w:rPr>
          <w:rFonts w:hint="default" w:ascii="Times New Roman" w:hAnsi="Times New Roman" w:eastAsia="仿宋_GB2312" w:cs="Times New Roman"/>
          <w:b/>
          <w:bCs/>
          <w:color w:val="auto"/>
          <w:sz w:val="32"/>
          <w:szCs w:val="32"/>
          <w:highlight w:val="none"/>
          <w:lang w:eastAsia="zh-CN"/>
        </w:rPr>
        <w:t>二</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清单编制质量考核</w:t>
      </w:r>
      <w:r>
        <w:rPr>
          <w:rFonts w:hint="default" w:ascii="Times New Roman" w:hAnsi="Times New Roman" w:eastAsia="仿宋_GB2312" w:cs="Times New Roman"/>
          <w:color w:val="auto"/>
          <w:sz w:val="32"/>
          <w:szCs w:val="32"/>
          <w:highlight w:val="none"/>
        </w:rPr>
        <w:t>标准见《滁州市重点工程建设管理处工程量清单</w:t>
      </w:r>
      <w:r>
        <w:rPr>
          <w:rFonts w:hint="default" w:ascii="Times New Roman" w:hAnsi="Times New Roman" w:eastAsia="仿宋_GB2312" w:cs="Times New Roman"/>
          <w:color w:val="auto"/>
          <w:sz w:val="32"/>
          <w:szCs w:val="32"/>
          <w:highlight w:val="none"/>
          <w:lang w:eastAsia="zh-CN"/>
        </w:rPr>
        <w:t>及</w:t>
      </w:r>
      <w:r>
        <w:rPr>
          <w:rFonts w:hint="default" w:ascii="Times New Roman" w:hAnsi="Times New Roman" w:eastAsia="仿宋_GB2312" w:cs="Times New Roman"/>
          <w:color w:val="auto"/>
          <w:sz w:val="32"/>
          <w:szCs w:val="32"/>
          <w:highlight w:val="none"/>
        </w:rPr>
        <w:t>最高投标限价编制质量考核表》（附件</w:t>
      </w:r>
      <w:r>
        <w:rPr>
          <w:rFonts w:hint="default" w:ascii="Times New Roman" w:hAnsi="Times New Roman" w:eastAsia="仿宋_GB2312" w:cs="Times New Roman"/>
          <w:color w:val="auto"/>
          <w:sz w:val="32"/>
          <w:szCs w:val="32"/>
          <w:highlight w:val="none"/>
          <w:lang w:eastAsia="zh-CN"/>
        </w:rPr>
        <w:t>1</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年度考核根据当年</w:t>
      </w:r>
      <w:r>
        <w:rPr>
          <w:rFonts w:hint="default" w:ascii="Times New Roman" w:hAnsi="Times New Roman" w:eastAsia="仿宋_GB2312" w:cs="Times New Roman"/>
          <w:color w:val="auto"/>
          <w:sz w:val="32"/>
          <w:szCs w:val="32"/>
          <w:highlight w:val="none"/>
          <w:lang w:eastAsia="zh-CN"/>
        </w:rPr>
        <w:t>完成结算的</w:t>
      </w:r>
      <w:r>
        <w:rPr>
          <w:rFonts w:hint="default" w:ascii="Times New Roman" w:hAnsi="Times New Roman" w:eastAsia="仿宋_GB2312" w:cs="Times New Roman"/>
          <w:color w:val="auto"/>
          <w:sz w:val="32"/>
          <w:szCs w:val="32"/>
          <w:highlight w:val="none"/>
        </w:rPr>
        <w:t>项目考核结果平均分作为年度综合评定分值，考核结果设“优”、“良”、“中”、“差”四个等级，满分为</w:t>
      </w:r>
      <w:r>
        <w:rPr>
          <w:rFonts w:hint="default" w:ascii="Times New Roman" w:hAnsi="Times New Roman" w:eastAsia="仿宋_GB2312" w:cs="Times New Roman"/>
          <w:color w:val="auto"/>
          <w:sz w:val="32"/>
          <w:szCs w:val="32"/>
          <w:highlight w:val="none"/>
          <w:lang w:eastAsia="zh-CN"/>
        </w:rPr>
        <w:t>100</w:t>
      </w:r>
      <w:r>
        <w:rPr>
          <w:rFonts w:hint="default" w:ascii="Times New Roman" w:hAnsi="Times New Roman" w:eastAsia="仿宋_GB2312" w:cs="Times New Roman"/>
          <w:color w:val="auto"/>
          <w:sz w:val="32"/>
          <w:szCs w:val="32"/>
          <w:highlight w:val="none"/>
        </w:rPr>
        <w:t>分，得分</w:t>
      </w:r>
      <w:r>
        <w:rPr>
          <w:rFonts w:hint="default" w:ascii="Times New Roman" w:hAnsi="Times New Roman" w:eastAsia="仿宋_GB2312" w:cs="Times New Roman"/>
          <w:color w:val="auto"/>
          <w:sz w:val="32"/>
          <w:szCs w:val="32"/>
          <w:highlight w:val="none"/>
          <w:lang w:eastAsia="zh-CN"/>
        </w:rPr>
        <w:t>9</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分及以上的年度考核评“优”，得分</w:t>
      </w:r>
      <w:r>
        <w:rPr>
          <w:rFonts w:hint="default" w:ascii="Times New Roman" w:hAnsi="Times New Roman" w:eastAsia="仿宋_GB2312" w:cs="Times New Roman"/>
          <w:color w:val="auto"/>
          <w:sz w:val="32"/>
          <w:szCs w:val="32"/>
          <w:highlight w:val="none"/>
          <w:lang w:eastAsia="zh-CN"/>
        </w:rPr>
        <w:t>8</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分（含）-</w:t>
      </w:r>
      <w:r>
        <w:rPr>
          <w:rFonts w:hint="default" w:ascii="Times New Roman" w:hAnsi="Times New Roman" w:eastAsia="仿宋_GB2312" w:cs="Times New Roman"/>
          <w:color w:val="auto"/>
          <w:sz w:val="32"/>
          <w:szCs w:val="32"/>
          <w:highlight w:val="none"/>
          <w:lang w:eastAsia="zh-CN"/>
        </w:rPr>
        <w:t>9</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分的评“良”，得分</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eastAsia="zh-CN"/>
        </w:rPr>
        <w:t>0</w:t>
      </w:r>
      <w:r>
        <w:rPr>
          <w:rFonts w:hint="default" w:ascii="Times New Roman" w:hAnsi="Times New Roman" w:eastAsia="仿宋_GB2312" w:cs="Times New Roman"/>
          <w:color w:val="auto"/>
          <w:sz w:val="32"/>
          <w:szCs w:val="32"/>
          <w:highlight w:val="none"/>
        </w:rPr>
        <w:t>分（含）-</w:t>
      </w:r>
      <w:r>
        <w:rPr>
          <w:rFonts w:hint="default" w:ascii="Times New Roman" w:hAnsi="Times New Roman" w:eastAsia="仿宋_GB2312" w:cs="Times New Roman"/>
          <w:color w:val="auto"/>
          <w:sz w:val="32"/>
          <w:szCs w:val="32"/>
          <w:highlight w:val="none"/>
          <w:lang w:eastAsia="zh-CN"/>
        </w:rPr>
        <w:t>8</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分的评“中”，</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eastAsia="zh-CN"/>
        </w:rPr>
        <w:t>0</w:t>
      </w:r>
      <w:r>
        <w:rPr>
          <w:rFonts w:hint="default" w:ascii="Times New Roman" w:hAnsi="Times New Roman" w:eastAsia="仿宋_GB2312" w:cs="Times New Roman"/>
          <w:color w:val="auto"/>
          <w:sz w:val="32"/>
          <w:szCs w:val="32"/>
          <w:highlight w:val="none"/>
        </w:rPr>
        <w:t>分以下的评“差”。年度考核评“优”的造价企业予以通报表扬</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颁发“优秀工程造价企业”证书，同时对项目</w:t>
      </w:r>
      <w:r>
        <w:rPr>
          <w:rFonts w:hint="default" w:ascii="Times New Roman" w:hAnsi="Times New Roman" w:eastAsia="仿宋_GB2312" w:cs="Times New Roman"/>
          <w:color w:val="auto"/>
          <w:sz w:val="32"/>
          <w:szCs w:val="32"/>
          <w:highlight w:val="none"/>
          <w:lang w:eastAsia="zh-CN"/>
        </w:rPr>
        <w:t>组成员</w:t>
      </w:r>
      <w:r>
        <w:rPr>
          <w:rFonts w:hint="default" w:ascii="Times New Roman" w:hAnsi="Times New Roman" w:eastAsia="仿宋_GB2312" w:cs="Times New Roman"/>
          <w:color w:val="auto"/>
          <w:sz w:val="32"/>
          <w:szCs w:val="32"/>
          <w:highlight w:val="none"/>
        </w:rPr>
        <w:t>颁发“优秀工程造价成果奖”证书</w:t>
      </w:r>
      <w:r>
        <w:rPr>
          <w:rFonts w:hint="default" w:ascii="Times New Roman" w:hAnsi="Times New Roman" w:eastAsia="仿宋_GB2312" w:cs="Times New Roman"/>
          <w:color w:val="auto"/>
          <w:sz w:val="32"/>
          <w:szCs w:val="32"/>
          <w:highlight w:val="none"/>
          <w:lang w:eastAsia="zh-CN"/>
        </w:rPr>
        <w:t>，按排名对造价企业予以项目奖励</w:t>
      </w:r>
      <w:r>
        <w:rPr>
          <w:rFonts w:hint="default" w:ascii="Times New Roman" w:hAnsi="Times New Roman" w:eastAsia="仿宋_GB2312" w:cs="Times New Roman"/>
          <w:color w:val="auto"/>
          <w:sz w:val="32"/>
          <w:szCs w:val="32"/>
          <w:highlight w:val="none"/>
        </w:rPr>
        <w:t>；年度考核评“差”的造价企业予以通报批评。</w:t>
      </w:r>
    </w:p>
    <w:p w14:paraId="29976A61">
      <w:pPr>
        <w:keepNext w:val="0"/>
        <w:keepLines w:val="0"/>
        <w:pageBreakBefore w:val="0"/>
        <w:kinsoku/>
        <w:wordWrap/>
        <w:overflowPunct/>
        <w:topLinePunct w:val="0"/>
        <w:autoSpaceDE/>
        <w:autoSpaceDN/>
        <w:bidi w:val="0"/>
        <w:adjustRightInd/>
        <w:spacing w:line="400" w:lineRule="exact"/>
        <w:ind w:firstLine="643"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第二十三条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跟踪审计服务质量日常考核原则上每季度安排一次。考核以各造价企业单个审计项目为单位，对单个审计项目审计实施过程和完成情况进行综合考核，满分为</w:t>
      </w:r>
      <w:r>
        <w:rPr>
          <w:rFonts w:hint="default" w:ascii="Times New Roman" w:hAnsi="Times New Roman" w:eastAsia="仿宋_GB2312" w:cs="Times New Roman"/>
          <w:color w:val="auto"/>
          <w:sz w:val="32"/>
          <w:szCs w:val="32"/>
          <w:highlight w:val="none"/>
          <w:lang w:eastAsia="zh-CN"/>
        </w:rPr>
        <w:t>100</w:t>
      </w:r>
      <w:r>
        <w:rPr>
          <w:rFonts w:hint="default" w:ascii="Times New Roman" w:hAnsi="Times New Roman" w:eastAsia="仿宋_GB2312" w:cs="Times New Roman"/>
          <w:color w:val="auto"/>
          <w:sz w:val="32"/>
          <w:szCs w:val="32"/>
          <w:highlight w:val="none"/>
        </w:rPr>
        <w:t>分，考核标准见《滁州市重点工程建设管理处跟踪审计服务质量日常考核表》（附件</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）。考核结果设“优”、“良”、“中”、“差”四个等级，考核得分</w:t>
      </w:r>
      <w:r>
        <w:rPr>
          <w:rFonts w:hint="default" w:ascii="Times New Roman" w:hAnsi="Times New Roman" w:eastAsia="仿宋_GB2312" w:cs="Times New Roman"/>
          <w:color w:val="auto"/>
          <w:sz w:val="32"/>
          <w:szCs w:val="32"/>
          <w:highlight w:val="none"/>
          <w:lang w:eastAsia="zh-CN"/>
        </w:rPr>
        <w:t>9</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分及以上的项目评“优”，考核得分</w:t>
      </w:r>
      <w:r>
        <w:rPr>
          <w:rFonts w:hint="default" w:ascii="Times New Roman" w:hAnsi="Times New Roman" w:eastAsia="仿宋_GB2312" w:cs="Times New Roman"/>
          <w:color w:val="auto"/>
          <w:sz w:val="32"/>
          <w:szCs w:val="32"/>
          <w:highlight w:val="none"/>
          <w:lang w:eastAsia="zh-CN"/>
        </w:rPr>
        <w:t>8</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分（含）-</w:t>
      </w:r>
      <w:r>
        <w:rPr>
          <w:rFonts w:hint="default" w:ascii="Times New Roman" w:hAnsi="Times New Roman" w:eastAsia="仿宋_GB2312" w:cs="Times New Roman"/>
          <w:color w:val="auto"/>
          <w:sz w:val="32"/>
          <w:szCs w:val="32"/>
          <w:highlight w:val="none"/>
          <w:lang w:eastAsia="zh-CN"/>
        </w:rPr>
        <w:t>9</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分的项目评“良”，考核得分</w:t>
      </w:r>
      <w:r>
        <w:rPr>
          <w:rFonts w:hint="default" w:ascii="Times New Roman" w:hAnsi="Times New Roman" w:eastAsia="仿宋_GB2312" w:cs="Times New Roman"/>
          <w:color w:val="auto"/>
          <w:sz w:val="32"/>
          <w:szCs w:val="32"/>
          <w:highlight w:val="none"/>
          <w:lang w:eastAsia="zh-CN"/>
        </w:rPr>
        <w:t>70</w:t>
      </w:r>
      <w:r>
        <w:rPr>
          <w:rFonts w:hint="default" w:ascii="Times New Roman" w:hAnsi="Times New Roman" w:eastAsia="仿宋_GB2312" w:cs="Times New Roman"/>
          <w:color w:val="auto"/>
          <w:sz w:val="32"/>
          <w:szCs w:val="32"/>
          <w:highlight w:val="none"/>
        </w:rPr>
        <w:t>分（含）-</w:t>
      </w:r>
      <w:r>
        <w:rPr>
          <w:rFonts w:hint="default" w:ascii="Times New Roman" w:hAnsi="Times New Roman" w:eastAsia="仿宋_GB2312" w:cs="Times New Roman"/>
          <w:color w:val="auto"/>
          <w:sz w:val="32"/>
          <w:szCs w:val="32"/>
          <w:highlight w:val="none"/>
          <w:lang w:val="en-US" w:eastAsia="zh-CN"/>
        </w:rPr>
        <w:t>85</w:t>
      </w:r>
      <w:r>
        <w:rPr>
          <w:rFonts w:hint="default" w:ascii="Times New Roman" w:hAnsi="Times New Roman" w:eastAsia="仿宋_GB2312" w:cs="Times New Roman"/>
          <w:color w:val="auto"/>
          <w:sz w:val="32"/>
          <w:szCs w:val="32"/>
          <w:highlight w:val="none"/>
        </w:rPr>
        <w:t>分的项目评“中”，</w:t>
      </w:r>
      <w:r>
        <w:rPr>
          <w:rFonts w:hint="default" w:ascii="Times New Roman" w:hAnsi="Times New Roman" w:eastAsia="仿宋_GB2312" w:cs="Times New Roman"/>
          <w:color w:val="auto"/>
          <w:sz w:val="32"/>
          <w:szCs w:val="32"/>
          <w:highlight w:val="none"/>
          <w:lang w:eastAsia="zh-CN"/>
        </w:rPr>
        <w:t>70</w:t>
      </w:r>
      <w:r>
        <w:rPr>
          <w:rFonts w:hint="default" w:ascii="Times New Roman" w:hAnsi="Times New Roman" w:eastAsia="仿宋_GB2312" w:cs="Times New Roman"/>
          <w:color w:val="auto"/>
          <w:sz w:val="32"/>
          <w:szCs w:val="32"/>
          <w:highlight w:val="none"/>
        </w:rPr>
        <w:t>分以下的项目评“差”。对评“优” 项目的审计组予以通报表扬</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color w:val="auto"/>
          <w:sz w:val="32"/>
          <w:szCs w:val="32"/>
          <w:highlight w:val="none"/>
        </w:rPr>
        <w:t>对评“中”项目的审计组进行约谈；评“差”项目的审计组予以通报批评，进行约谈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处罚</w:t>
      </w:r>
      <w:r>
        <w:rPr>
          <w:rFonts w:hint="default" w:ascii="Times New Roman" w:hAnsi="Times New Roman" w:eastAsia="仿宋_GB2312" w:cs="Times New Roman"/>
          <w:b w:val="0"/>
          <w:bCs w:val="0"/>
          <w:color w:val="auto"/>
          <w:sz w:val="32"/>
          <w:szCs w:val="32"/>
          <w:highlight w:val="none"/>
          <w:lang w:val="en-US" w:eastAsia="zh-CN"/>
        </w:rPr>
        <w:t>4</w:t>
      </w:r>
      <w:r>
        <w:rPr>
          <w:rFonts w:hint="default" w:ascii="Times New Roman" w:hAnsi="Times New Roman" w:eastAsia="仿宋_GB2312" w:cs="Times New Roman"/>
          <w:b w:val="0"/>
          <w:bCs w:val="0"/>
          <w:color w:val="auto"/>
          <w:sz w:val="32"/>
          <w:szCs w:val="32"/>
          <w:highlight w:val="none"/>
          <w:lang w:eastAsia="zh-CN"/>
        </w:rPr>
        <w:t>000</w:t>
      </w:r>
      <w:r>
        <w:rPr>
          <w:rFonts w:hint="default" w:ascii="Times New Roman" w:hAnsi="Times New Roman" w:eastAsia="仿宋_GB2312" w:cs="Times New Roman"/>
          <w:b w:val="0"/>
          <w:bCs w:val="0"/>
          <w:color w:val="auto"/>
          <w:sz w:val="32"/>
          <w:szCs w:val="32"/>
          <w:highlight w:val="none"/>
        </w:rPr>
        <w:t>元</w:t>
      </w:r>
      <w:r>
        <w:rPr>
          <w:rFonts w:hint="default" w:ascii="Times New Roman" w:hAnsi="Times New Roman" w:eastAsia="仿宋_GB2312" w:cs="Times New Roman"/>
          <w:b w:val="0"/>
          <w:bCs w:val="0"/>
          <w:color w:val="auto"/>
          <w:sz w:val="32"/>
          <w:szCs w:val="32"/>
          <w:highlight w:val="none"/>
          <w:lang w:eastAsia="zh-CN"/>
        </w:rPr>
        <w:t>及</w:t>
      </w:r>
      <w:r>
        <w:rPr>
          <w:rFonts w:hint="default" w:ascii="Times New Roman" w:hAnsi="Times New Roman" w:eastAsia="仿宋_GB2312" w:cs="Times New Roman"/>
          <w:b w:val="0"/>
          <w:bCs w:val="0"/>
          <w:color w:val="auto"/>
          <w:sz w:val="32"/>
          <w:szCs w:val="32"/>
          <w:highlight w:val="none"/>
          <w:lang w:val="en-US" w:eastAsia="zh-CN"/>
        </w:rPr>
        <w:t>暂停业务3</w:t>
      </w:r>
      <w:r>
        <w:rPr>
          <w:rFonts w:hint="default" w:ascii="Times New Roman" w:hAnsi="Times New Roman" w:eastAsia="仿宋_GB2312" w:cs="Times New Roman"/>
          <w:b w:val="0"/>
          <w:bCs w:val="0"/>
          <w:color w:val="auto"/>
          <w:sz w:val="32"/>
          <w:szCs w:val="32"/>
          <w:highlight w:val="none"/>
        </w:rPr>
        <w:t>个月，</w:t>
      </w:r>
      <w:r>
        <w:rPr>
          <w:rFonts w:hint="default" w:ascii="Times New Roman" w:hAnsi="Times New Roman" w:eastAsia="仿宋_GB2312" w:cs="Times New Roman"/>
          <w:b w:val="0"/>
          <w:bCs w:val="0"/>
          <w:color w:val="auto"/>
          <w:sz w:val="32"/>
          <w:szCs w:val="32"/>
          <w:highlight w:val="none"/>
          <w:lang w:val="en-US" w:eastAsia="zh-CN"/>
        </w:rPr>
        <w:t>连续两个</w:t>
      </w:r>
      <w:r>
        <w:rPr>
          <w:rFonts w:hint="default" w:ascii="Times New Roman" w:hAnsi="Times New Roman" w:eastAsia="仿宋_GB2312" w:cs="Times New Roman"/>
          <w:b w:val="0"/>
          <w:bCs w:val="0"/>
          <w:color w:val="auto"/>
          <w:sz w:val="32"/>
          <w:szCs w:val="32"/>
          <w:highlight w:val="none"/>
          <w:lang w:eastAsia="zh-CN"/>
        </w:rPr>
        <w:t>季度评</w:t>
      </w:r>
      <w:r>
        <w:rPr>
          <w:rFonts w:hint="default" w:ascii="Times New Roman" w:hAnsi="Times New Roman" w:eastAsia="仿宋_GB2312" w:cs="Times New Roman"/>
          <w:b w:val="0"/>
          <w:bCs w:val="0"/>
          <w:color w:val="auto"/>
          <w:sz w:val="32"/>
          <w:szCs w:val="32"/>
          <w:highlight w:val="none"/>
        </w:rPr>
        <w:t>“差”</w:t>
      </w:r>
      <w:r>
        <w:rPr>
          <w:rFonts w:hint="default" w:ascii="Times New Roman" w:hAnsi="Times New Roman" w:eastAsia="仿宋_GB2312" w:cs="Times New Roman"/>
          <w:b w:val="0"/>
          <w:bCs w:val="0"/>
          <w:color w:val="auto"/>
          <w:sz w:val="32"/>
          <w:szCs w:val="32"/>
          <w:highlight w:val="none"/>
          <w:lang w:eastAsia="zh-CN"/>
        </w:rPr>
        <w:t>的，</w:t>
      </w:r>
      <w:r>
        <w:rPr>
          <w:rFonts w:hint="default" w:ascii="Times New Roman" w:hAnsi="Times New Roman" w:eastAsia="仿宋_GB2312" w:cs="Times New Roman"/>
          <w:b w:val="0"/>
          <w:bCs w:val="0"/>
          <w:color w:val="auto"/>
          <w:sz w:val="32"/>
          <w:szCs w:val="32"/>
          <w:highlight w:val="none"/>
          <w:lang w:val="en-US" w:eastAsia="zh-CN"/>
        </w:rPr>
        <w:t>暂停业务12</w:t>
      </w:r>
      <w:r>
        <w:rPr>
          <w:rFonts w:hint="default" w:ascii="Times New Roman" w:hAnsi="Times New Roman" w:eastAsia="仿宋_GB2312" w:cs="Times New Roman"/>
          <w:b w:val="0"/>
          <w:bCs w:val="0"/>
          <w:color w:val="auto"/>
          <w:sz w:val="32"/>
          <w:szCs w:val="32"/>
          <w:highlight w:val="none"/>
        </w:rPr>
        <w:t>个月。</w:t>
      </w:r>
    </w:p>
    <w:p w14:paraId="7C02DFC9">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val="0"/>
          <w:color w:val="auto"/>
          <w:sz w:val="32"/>
          <w:szCs w:val="32"/>
          <w:highlight w:val="none"/>
        </w:rPr>
        <w:t>年度考核以当年所有项目日常考核结果</w:t>
      </w:r>
      <w:r>
        <w:rPr>
          <w:rFonts w:hint="default" w:ascii="Times New Roman" w:hAnsi="Times New Roman" w:eastAsia="仿宋_GB2312" w:cs="Times New Roman"/>
          <w:b w:val="0"/>
          <w:bCs w:val="0"/>
          <w:color w:val="auto"/>
          <w:sz w:val="32"/>
          <w:szCs w:val="32"/>
          <w:highlight w:val="none"/>
          <w:lang w:eastAsia="zh-CN"/>
        </w:rPr>
        <w:t>（本年度至少参评两次及以上）</w:t>
      </w:r>
      <w:r>
        <w:rPr>
          <w:rFonts w:hint="default" w:ascii="Times New Roman" w:hAnsi="Times New Roman" w:eastAsia="仿宋_GB2312" w:cs="Times New Roman"/>
          <w:b w:val="0"/>
          <w:bCs w:val="0"/>
          <w:color w:val="auto"/>
          <w:sz w:val="32"/>
          <w:szCs w:val="32"/>
          <w:highlight w:val="none"/>
        </w:rPr>
        <w:t>平均分作为年度综合评定分值，考核结果分设“优”、“良”、“中”、“差”四个等级。考核得</w:t>
      </w:r>
      <w:r>
        <w:rPr>
          <w:rFonts w:hint="default" w:ascii="Times New Roman" w:hAnsi="Times New Roman" w:eastAsia="仿宋_GB2312" w:cs="Times New Roman"/>
          <w:color w:val="auto"/>
          <w:sz w:val="32"/>
          <w:szCs w:val="32"/>
          <w:highlight w:val="none"/>
        </w:rPr>
        <w:t>分</w:t>
      </w:r>
      <w:r>
        <w:rPr>
          <w:rFonts w:hint="default" w:ascii="Times New Roman" w:hAnsi="Times New Roman" w:eastAsia="仿宋_GB2312" w:cs="Times New Roman"/>
          <w:color w:val="auto"/>
          <w:sz w:val="32"/>
          <w:szCs w:val="32"/>
          <w:highlight w:val="none"/>
          <w:lang w:eastAsia="zh-CN"/>
        </w:rPr>
        <w:t>9</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分及以上的造价企业评“优”，考核得分</w:t>
      </w:r>
      <w:r>
        <w:rPr>
          <w:rFonts w:hint="default" w:ascii="Times New Roman" w:hAnsi="Times New Roman" w:eastAsia="仿宋_GB2312" w:cs="Times New Roman"/>
          <w:color w:val="auto"/>
          <w:sz w:val="32"/>
          <w:szCs w:val="32"/>
          <w:highlight w:val="none"/>
          <w:lang w:eastAsia="zh-CN"/>
        </w:rPr>
        <w:t>8</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分（含）-</w:t>
      </w:r>
      <w:r>
        <w:rPr>
          <w:rFonts w:hint="default" w:ascii="Times New Roman" w:hAnsi="Times New Roman" w:eastAsia="仿宋_GB2312" w:cs="Times New Roman"/>
          <w:color w:val="auto"/>
          <w:sz w:val="32"/>
          <w:szCs w:val="32"/>
          <w:highlight w:val="none"/>
          <w:lang w:eastAsia="zh-CN"/>
        </w:rPr>
        <w:t>9</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分的造价企业评“良”，考核得分</w:t>
      </w:r>
      <w:r>
        <w:rPr>
          <w:rFonts w:hint="default" w:ascii="Times New Roman" w:hAnsi="Times New Roman" w:eastAsia="仿宋_GB2312" w:cs="Times New Roman"/>
          <w:color w:val="auto"/>
          <w:sz w:val="32"/>
          <w:szCs w:val="32"/>
          <w:highlight w:val="none"/>
          <w:lang w:eastAsia="zh-CN"/>
        </w:rPr>
        <w:t>70</w:t>
      </w:r>
      <w:r>
        <w:rPr>
          <w:rFonts w:hint="default" w:ascii="Times New Roman" w:hAnsi="Times New Roman" w:eastAsia="仿宋_GB2312" w:cs="Times New Roman"/>
          <w:color w:val="auto"/>
          <w:sz w:val="32"/>
          <w:szCs w:val="32"/>
          <w:highlight w:val="none"/>
        </w:rPr>
        <w:t>分（含）-</w:t>
      </w:r>
      <w:r>
        <w:rPr>
          <w:rFonts w:hint="default" w:ascii="Times New Roman" w:hAnsi="Times New Roman" w:eastAsia="仿宋_GB2312" w:cs="Times New Roman"/>
          <w:color w:val="auto"/>
          <w:sz w:val="32"/>
          <w:szCs w:val="32"/>
          <w:highlight w:val="none"/>
          <w:lang w:eastAsia="zh-CN"/>
        </w:rPr>
        <w:t>8</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分的造价企业评“中”，</w:t>
      </w:r>
      <w:r>
        <w:rPr>
          <w:rFonts w:hint="default" w:ascii="Times New Roman" w:hAnsi="Times New Roman" w:eastAsia="仿宋_GB2312" w:cs="Times New Roman"/>
          <w:color w:val="auto"/>
          <w:sz w:val="32"/>
          <w:szCs w:val="32"/>
          <w:highlight w:val="none"/>
          <w:lang w:eastAsia="zh-CN"/>
        </w:rPr>
        <w:t>70</w:t>
      </w:r>
      <w:r>
        <w:rPr>
          <w:rFonts w:hint="default" w:ascii="Times New Roman" w:hAnsi="Times New Roman" w:eastAsia="仿宋_GB2312" w:cs="Times New Roman"/>
          <w:color w:val="auto"/>
          <w:sz w:val="32"/>
          <w:szCs w:val="32"/>
          <w:highlight w:val="none"/>
        </w:rPr>
        <w:t>分以下的造价企业评“差”。年度考核评“优”的造价企业予以通报表扬</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颁发“优秀工程造价企业”证书，同时对项目</w:t>
      </w:r>
      <w:r>
        <w:rPr>
          <w:rFonts w:hint="default" w:ascii="Times New Roman" w:hAnsi="Times New Roman" w:eastAsia="仿宋_GB2312" w:cs="Times New Roman"/>
          <w:color w:val="auto"/>
          <w:sz w:val="32"/>
          <w:szCs w:val="32"/>
          <w:highlight w:val="none"/>
          <w:lang w:eastAsia="zh-CN"/>
        </w:rPr>
        <w:t>组成员</w:t>
      </w:r>
      <w:r>
        <w:rPr>
          <w:rFonts w:hint="default" w:ascii="Times New Roman" w:hAnsi="Times New Roman" w:eastAsia="仿宋_GB2312" w:cs="Times New Roman"/>
          <w:color w:val="auto"/>
          <w:sz w:val="32"/>
          <w:szCs w:val="32"/>
          <w:highlight w:val="none"/>
        </w:rPr>
        <w:t>颁发“优秀工程造价成果奖”证书</w:t>
      </w:r>
      <w:r>
        <w:rPr>
          <w:rFonts w:hint="default" w:ascii="Times New Roman" w:hAnsi="Times New Roman" w:eastAsia="仿宋_GB2312" w:cs="Times New Roman"/>
          <w:color w:val="auto"/>
          <w:sz w:val="32"/>
          <w:szCs w:val="32"/>
          <w:highlight w:val="none"/>
          <w:lang w:eastAsia="zh-CN"/>
        </w:rPr>
        <w:t>，按排名对造价企业予以项目奖励</w:t>
      </w:r>
      <w:r>
        <w:rPr>
          <w:rFonts w:hint="default" w:ascii="Times New Roman" w:hAnsi="Times New Roman" w:eastAsia="仿宋_GB2312" w:cs="Times New Roman"/>
          <w:color w:val="auto"/>
          <w:sz w:val="32"/>
          <w:szCs w:val="32"/>
          <w:highlight w:val="none"/>
        </w:rPr>
        <w:t>；年度考核评“差”的造价企业予以通报批评且</w:t>
      </w:r>
      <w:r>
        <w:rPr>
          <w:rFonts w:hint="default" w:ascii="Times New Roman" w:hAnsi="Times New Roman" w:eastAsia="仿宋_GB2312" w:cs="Times New Roman"/>
          <w:color w:val="auto"/>
          <w:sz w:val="32"/>
          <w:szCs w:val="32"/>
          <w:highlight w:val="none"/>
          <w:lang w:val="en-US" w:eastAsia="zh-CN"/>
        </w:rPr>
        <w:t>暂停业务</w:t>
      </w:r>
      <w:r>
        <w:rPr>
          <w:rFonts w:hint="default" w:ascii="Times New Roman" w:hAnsi="Times New Roman" w:eastAsia="仿宋_GB2312" w:cs="Times New Roman"/>
          <w:color w:val="auto"/>
          <w:sz w:val="32"/>
          <w:szCs w:val="32"/>
          <w:highlight w:val="none"/>
          <w:lang w:eastAsia="zh-CN"/>
        </w:rPr>
        <w:t>12</w:t>
      </w:r>
      <w:r>
        <w:rPr>
          <w:rFonts w:hint="default" w:ascii="Times New Roman" w:hAnsi="Times New Roman" w:eastAsia="仿宋_GB2312" w:cs="Times New Roman"/>
          <w:color w:val="auto"/>
          <w:sz w:val="32"/>
          <w:szCs w:val="32"/>
          <w:highlight w:val="none"/>
        </w:rPr>
        <w:t>个月。</w:t>
      </w:r>
    </w:p>
    <w:p w14:paraId="60F93DBD">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第二十四条</w:t>
      </w:r>
      <w:r>
        <w:rPr>
          <w:rFonts w:hint="default" w:ascii="Times New Roman" w:hAnsi="Times New Roman" w:eastAsia="仿宋_GB2312" w:cs="Times New Roman"/>
          <w:color w:val="auto"/>
          <w:sz w:val="32"/>
          <w:szCs w:val="32"/>
          <w:highlight w:val="none"/>
          <w:lang w:val="en-US" w:eastAsia="zh-CN"/>
        </w:rPr>
        <w:t xml:space="preserve"> </w:t>
      </w:r>
      <w:r>
        <w:rPr>
          <w:rStyle w:val="155"/>
          <w:rFonts w:hint="default" w:ascii="Times New Roman" w:hAnsi="Times New Roman" w:eastAsia="仿宋_GB2312" w:cs="Times New Roman"/>
          <w:b w:val="0"/>
          <w:color w:val="auto"/>
          <w:sz w:val="32"/>
          <w:szCs w:val="32"/>
          <w:highlight w:val="none"/>
        </w:rPr>
        <w:t>结算审</w:t>
      </w:r>
      <w:r>
        <w:rPr>
          <w:rStyle w:val="155"/>
          <w:rFonts w:hint="default" w:ascii="Times New Roman" w:hAnsi="Times New Roman" w:cs="Times New Roman"/>
          <w:b w:val="0"/>
          <w:color w:val="auto"/>
          <w:sz w:val="32"/>
          <w:szCs w:val="32"/>
          <w:highlight w:val="none"/>
          <w:lang w:eastAsia="zh-CN"/>
        </w:rPr>
        <w:t>（复）</w:t>
      </w:r>
      <w:r>
        <w:rPr>
          <w:rStyle w:val="155"/>
          <w:rFonts w:hint="default" w:ascii="Times New Roman" w:hAnsi="Times New Roman" w:eastAsia="仿宋_GB2312" w:cs="Times New Roman"/>
          <w:b w:val="0"/>
          <w:color w:val="auto"/>
          <w:sz w:val="32"/>
          <w:szCs w:val="32"/>
          <w:highlight w:val="none"/>
        </w:rPr>
        <w:t>核</w:t>
      </w:r>
      <w:r>
        <w:rPr>
          <w:rStyle w:val="155"/>
          <w:rFonts w:hint="default" w:ascii="Times New Roman" w:hAnsi="Times New Roman" w:cs="Times New Roman"/>
          <w:b w:val="0"/>
          <w:color w:val="auto"/>
          <w:sz w:val="32"/>
          <w:szCs w:val="32"/>
          <w:highlight w:val="none"/>
          <w:lang w:eastAsia="zh-CN"/>
        </w:rPr>
        <w:t>成果质量</w:t>
      </w:r>
      <w:r>
        <w:rPr>
          <w:rStyle w:val="155"/>
          <w:rFonts w:hint="default" w:ascii="Times New Roman" w:hAnsi="Times New Roman" w:eastAsia="仿宋_GB2312" w:cs="Times New Roman"/>
          <w:b w:val="0"/>
          <w:color w:val="auto"/>
          <w:sz w:val="32"/>
          <w:szCs w:val="32"/>
          <w:highlight w:val="none"/>
        </w:rPr>
        <w:t>考核</w:t>
      </w:r>
      <w:r>
        <w:rPr>
          <w:rFonts w:hint="default" w:ascii="Times New Roman" w:hAnsi="Times New Roman" w:eastAsia="仿宋_GB2312" w:cs="Times New Roman"/>
          <w:color w:val="auto"/>
          <w:sz w:val="32"/>
          <w:szCs w:val="32"/>
          <w:highlight w:val="none"/>
        </w:rPr>
        <w:t>标准见《滁州市重点工程建设管理处</w:t>
      </w:r>
      <w:r>
        <w:rPr>
          <w:rStyle w:val="155"/>
          <w:rFonts w:hint="default" w:ascii="Times New Roman" w:hAnsi="Times New Roman" w:eastAsia="仿宋_GB2312" w:cs="Times New Roman"/>
          <w:b w:val="0"/>
          <w:color w:val="auto"/>
          <w:sz w:val="32"/>
          <w:szCs w:val="32"/>
          <w:highlight w:val="none"/>
        </w:rPr>
        <w:t>项目结算审</w:t>
      </w:r>
      <w:r>
        <w:rPr>
          <w:rStyle w:val="155"/>
          <w:rFonts w:hint="default" w:ascii="Times New Roman" w:hAnsi="Times New Roman" w:cs="Times New Roman"/>
          <w:b w:val="0"/>
          <w:color w:val="auto"/>
          <w:sz w:val="32"/>
          <w:szCs w:val="32"/>
          <w:highlight w:val="none"/>
          <w:lang w:eastAsia="zh-CN"/>
        </w:rPr>
        <w:t>（复）</w:t>
      </w:r>
      <w:r>
        <w:rPr>
          <w:rStyle w:val="155"/>
          <w:rFonts w:hint="default" w:ascii="Times New Roman" w:hAnsi="Times New Roman" w:eastAsia="仿宋_GB2312" w:cs="Times New Roman"/>
          <w:b w:val="0"/>
          <w:color w:val="auto"/>
          <w:sz w:val="32"/>
          <w:szCs w:val="32"/>
          <w:highlight w:val="none"/>
        </w:rPr>
        <w:t>核</w:t>
      </w:r>
      <w:r>
        <w:rPr>
          <w:rStyle w:val="155"/>
          <w:rFonts w:hint="default" w:ascii="Times New Roman" w:hAnsi="Times New Roman" w:cs="Times New Roman"/>
          <w:b w:val="0"/>
          <w:color w:val="auto"/>
          <w:sz w:val="32"/>
          <w:szCs w:val="32"/>
          <w:highlight w:val="none"/>
          <w:lang w:eastAsia="zh-CN"/>
        </w:rPr>
        <w:t>成果质量</w:t>
      </w:r>
      <w:r>
        <w:rPr>
          <w:rStyle w:val="155"/>
          <w:rFonts w:hint="default" w:ascii="Times New Roman" w:hAnsi="Times New Roman" w:eastAsia="仿宋_GB2312" w:cs="Times New Roman"/>
          <w:b w:val="0"/>
          <w:color w:val="auto"/>
          <w:sz w:val="32"/>
          <w:szCs w:val="32"/>
          <w:highlight w:val="none"/>
        </w:rPr>
        <w:t>考核表</w:t>
      </w:r>
      <w:r>
        <w:rPr>
          <w:rFonts w:hint="default" w:ascii="Times New Roman" w:hAnsi="Times New Roman" w:eastAsia="仿宋_GB2312" w:cs="Times New Roman"/>
          <w:color w:val="auto"/>
          <w:sz w:val="32"/>
          <w:szCs w:val="32"/>
          <w:highlight w:val="none"/>
        </w:rPr>
        <w:t>》（附件</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年度考核根据当年</w:t>
      </w:r>
      <w:r>
        <w:rPr>
          <w:rFonts w:hint="default" w:ascii="Times New Roman" w:hAnsi="Times New Roman" w:eastAsia="仿宋_GB2312" w:cs="Times New Roman"/>
          <w:color w:val="auto"/>
          <w:sz w:val="32"/>
          <w:szCs w:val="32"/>
          <w:highlight w:val="none"/>
          <w:lang w:eastAsia="zh-CN"/>
        </w:rPr>
        <w:t>完成结算的</w:t>
      </w:r>
      <w:r>
        <w:rPr>
          <w:rFonts w:hint="default" w:ascii="Times New Roman" w:hAnsi="Times New Roman" w:eastAsia="仿宋_GB2312" w:cs="Times New Roman"/>
          <w:color w:val="auto"/>
          <w:sz w:val="32"/>
          <w:szCs w:val="32"/>
          <w:highlight w:val="none"/>
        </w:rPr>
        <w:t>项目考核结果平均分作为年度综合评定分值，考核结果设“优”、“良”、“中”、“差”四个等级，得分</w:t>
      </w:r>
      <w:r>
        <w:rPr>
          <w:rFonts w:hint="default" w:ascii="Times New Roman" w:hAnsi="Times New Roman" w:eastAsia="仿宋_GB2312" w:cs="Times New Roman"/>
          <w:color w:val="auto"/>
          <w:sz w:val="32"/>
          <w:szCs w:val="32"/>
          <w:highlight w:val="none"/>
          <w:lang w:eastAsia="zh-CN"/>
        </w:rPr>
        <w:t>9</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分及以上的年度考核评“优”，得分</w:t>
      </w:r>
      <w:r>
        <w:rPr>
          <w:rFonts w:hint="default" w:ascii="Times New Roman" w:hAnsi="Times New Roman" w:eastAsia="仿宋_GB2312" w:cs="Times New Roman"/>
          <w:color w:val="auto"/>
          <w:sz w:val="32"/>
          <w:szCs w:val="32"/>
          <w:highlight w:val="none"/>
          <w:lang w:eastAsia="zh-CN"/>
        </w:rPr>
        <w:t>8</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分（含）-</w:t>
      </w:r>
      <w:r>
        <w:rPr>
          <w:rFonts w:hint="default" w:ascii="Times New Roman" w:hAnsi="Times New Roman" w:eastAsia="仿宋_GB2312" w:cs="Times New Roman"/>
          <w:color w:val="auto"/>
          <w:sz w:val="32"/>
          <w:szCs w:val="32"/>
          <w:highlight w:val="none"/>
          <w:lang w:eastAsia="zh-CN"/>
        </w:rPr>
        <w:t>9</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分的评“良”，得分</w:t>
      </w:r>
      <w:r>
        <w:rPr>
          <w:rFonts w:hint="default" w:ascii="Times New Roman" w:hAnsi="Times New Roman" w:eastAsia="仿宋_GB2312" w:cs="Times New Roman"/>
          <w:color w:val="auto"/>
          <w:sz w:val="32"/>
          <w:szCs w:val="32"/>
          <w:highlight w:val="none"/>
          <w:lang w:eastAsia="zh-CN"/>
        </w:rPr>
        <w:t>70</w:t>
      </w:r>
      <w:r>
        <w:rPr>
          <w:rFonts w:hint="default" w:ascii="Times New Roman" w:hAnsi="Times New Roman" w:eastAsia="仿宋_GB2312" w:cs="Times New Roman"/>
          <w:color w:val="auto"/>
          <w:sz w:val="32"/>
          <w:szCs w:val="32"/>
          <w:highlight w:val="none"/>
        </w:rPr>
        <w:t>分（含）-</w:t>
      </w:r>
      <w:r>
        <w:rPr>
          <w:rFonts w:hint="default" w:ascii="Times New Roman" w:hAnsi="Times New Roman" w:eastAsia="仿宋_GB2312" w:cs="Times New Roman"/>
          <w:color w:val="auto"/>
          <w:sz w:val="32"/>
          <w:szCs w:val="32"/>
          <w:highlight w:val="none"/>
          <w:lang w:eastAsia="zh-CN"/>
        </w:rPr>
        <w:t>8</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分的评“中”，</w:t>
      </w:r>
      <w:r>
        <w:rPr>
          <w:rFonts w:hint="default" w:ascii="Times New Roman" w:hAnsi="Times New Roman" w:eastAsia="仿宋_GB2312" w:cs="Times New Roman"/>
          <w:color w:val="auto"/>
          <w:sz w:val="32"/>
          <w:szCs w:val="32"/>
          <w:highlight w:val="none"/>
          <w:lang w:eastAsia="zh-CN"/>
        </w:rPr>
        <w:t>70</w:t>
      </w:r>
      <w:r>
        <w:rPr>
          <w:rFonts w:hint="default" w:ascii="Times New Roman" w:hAnsi="Times New Roman" w:eastAsia="仿宋_GB2312" w:cs="Times New Roman"/>
          <w:color w:val="auto"/>
          <w:sz w:val="32"/>
          <w:szCs w:val="32"/>
          <w:highlight w:val="none"/>
        </w:rPr>
        <w:t>分以下的评“差”。年度考核评“优”的造价企业予以通报表扬</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颁发“优秀工程造价企业”证书，同时对项目</w:t>
      </w:r>
      <w:r>
        <w:rPr>
          <w:rFonts w:hint="default" w:ascii="Times New Roman" w:hAnsi="Times New Roman" w:eastAsia="仿宋_GB2312" w:cs="Times New Roman"/>
          <w:color w:val="auto"/>
          <w:sz w:val="32"/>
          <w:szCs w:val="32"/>
          <w:highlight w:val="none"/>
          <w:lang w:eastAsia="zh-CN"/>
        </w:rPr>
        <w:t>组成员</w:t>
      </w:r>
      <w:r>
        <w:rPr>
          <w:rFonts w:hint="default" w:ascii="Times New Roman" w:hAnsi="Times New Roman" w:eastAsia="仿宋_GB2312" w:cs="Times New Roman"/>
          <w:color w:val="auto"/>
          <w:sz w:val="32"/>
          <w:szCs w:val="32"/>
          <w:highlight w:val="none"/>
        </w:rPr>
        <w:t>颁发“优秀工程造价成果奖”证书</w:t>
      </w:r>
      <w:r>
        <w:rPr>
          <w:rFonts w:hint="default" w:ascii="Times New Roman" w:hAnsi="Times New Roman" w:eastAsia="仿宋_GB2312" w:cs="Times New Roman"/>
          <w:color w:val="auto"/>
          <w:sz w:val="32"/>
          <w:szCs w:val="32"/>
          <w:highlight w:val="none"/>
          <w:lang w:eastAsia="zh-CN"/>
        </w:rPr>
        <w:t>，按排名对造价企业予以项目奖励</w:t>
      </w:r>
      <w:r>
        <w:rPr>
          <w:rFonts w:hint="default" w:ascii="Times New Roman" w:hAnsi="Times New Roman" w:eastAsia="仿宋_GB2312" w:cs="Times New Roman"/>
          <w:color w:val="auto"/>
          <w:sz w:val="32"/>
          <w:szCs w:val="32"/>
          <w:highlight w:val="none"/>
        </w:rPr>
        <w:t>；年度考核评“差”的造价企业予以通报批评</w:t>
      </w:r>
      <w:r>
        <w:rPr>
          <w:rFonts w:hint="default" w:ascii="Times New Roman" w:hAnsi="Times New Roman" w:eastAsia="仿宋_GB2312" w:cs="Times New Roman"/>
          <w:color w:val="auto"/>
          <w:sz w:val="32"/>
          <w:szCs w:val="32"/>
          <w:highlight w:val="none"/>
          <w:lang w:eastAsia="zh-CN"/>
        </w:rPr>
        <w:t>并</w:t>
      </w:r>
      <w:r>
        <w:rPr>
          <w:rFonts w:hint="default" w:ascii="Times New Roman" w:hAnsi="Times New Roman" w:eastAsia="仿宋_GB2312" w:cs="Times New Roman"/>
          <w:color w:val="auto"/>
          <w:sz w:val="32"/>
          <w:szCs w:val="32"/>
          <w:highlight w:val="none"/>
        </w:rPr>
        <w:t>进行约谈。</w:t>
      </w:r>
    </w:p>
    <w:p w14:paraId="2B87FD5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第七章 罚则</w:t>
      </w:r>
    </w:p>
    <w:p w14:paraId="54F3FB77">
      <w:pPr>
        <w:keepNext w:val="0"/>
        <w:keepLines w:val="0"/>
        <w:pageBreakBefore w:val="0"/>
        <w:numPr>
          <w:ilvl w:val="0"/>
          <w:numId w:val="0"/>
        </w:numPr>
        <w:kinsoku/>
        <w:wordWrap/>
        <w:overflowPunct/>
        <w:topLinePunct w:val="0"/>
        <w:autoSpaceDE/>
        <w:autoSpaceDN/>
        <w:bidi w:val="0"/>
        <w:adjustRightInd/>
        <w:spacing w:line="400" w:lineRule="exact"/>
        <w:ind w:firstLine="643"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第二十</w:t>
      </w:r>
      <w:r>
        <w:rPr>
          <w:rFonts w:hint="default" w:ascii="Times New Roman" w:hAnsi="Times New Roman" w:eastAsia="仿宋_GB2312" w:cs="Times New Roman"/>
          <w:b/>
          <w:bCs/>
          <w:color w:val="auto"/>
          <w:sz w:val="32"/>
          <w:szCs w:val="32"/>
          <w:highlight w:val="none"/>
          <w:lang w:eastAsia="zh-CN"/>
        </w:rPr>
        <w:t>五</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项目施工过程中发现清单错漏项，累计5万元（含）-30万元（不含）的，给予企业4000元的违约金处罚；累计30万元（含）-50万元（不含）的，给予企业8000元的违约金处罚；累计50万元（含）-100万元（不含）的，给予企业12000元的违约金处罚；累计100万元（含）以上且误差率3%（含）以内的，给予企业20000元的违约金处罚，暂停业务6个月；累计100万元（含）以上的且误差率在3%（不含）-5%（含）的，暂停业务12个月，给予企业10%咨询服务费的违约金处罚且不低于20000元；累计100万元（含）以上的且误差率超过5%（含）的，暂停业务12个月，给予企业50%咨询服务费的违约金处罚且不低于20000元并对企业及相关责任人进行通报，上述违约金处罚以服务费用总额为上限。</w:t>
      </w:r>
    </w:p>
    <w:p w14:paraId="427758E1">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第二十六条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项目跟踪审计、</w:t>
      </w:r>
      <w:r>
        <w:rPr>
          <w:rFonts w:hint="default" w:ascii="Times New Roman" w:hAnsi="Times New Roman" w:eastAsia="仿宋_GB2312" w:cs="Times New Roman"/>
          <w:b w:val="0"/>
          <w:bCs w:val="0"/>
          <w:color w:val="auto"/>
          <w:sz w:val="32"/>
          <w:szCs w:val="32"/>
          <w:highlight w:val="none"/>
        </w:rPr>
        <w:t>结算审核服务费</w:t>
      </w:r>
      <w:r>
        <w:rPr>
          <w:rFonts w:hint="default" w:ascii="Times New Roman" w:hAnsi="Times New Roman" w:eastAsia="仿宋_GB2312" w:cs="Times New Roman"/>
          <w:b w:val="0"/>
          <w:bCs w:val="0"/>
          <w:color w:val="auto"/>
          <w:sz w:val="32"/>
          <w:szCs w:val="32"/>
          <w:highlight w:val="none"/>
          <w:lang w:eastAsia="zh-CN"/>
        </w:rPr>
        <w:t>的误差违约金处罚</w:t>
      </w:r>
      <w:r>
        <w:rPr>
          <w:rFonts w:hint="default" w:ascii="Times New Roman" w:hAnsi="Times New Roman" w:eastAsia="仿宋_GB2312" w:cs="Times New Roman"/>
          <w:color w:val="auto"/>
          <w:sz w:val="32"/>
          <w:szCs w:val="32"/>
          <w:highlight w:val="none"/>
        </w:rPr>
        <w:t>根据第三方复审</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综合计划科复核</w:t>
      </w:r>
      <w:r>
        <w:rPr>
          <w:rFonts w:hint="default" w:ascii="Times New Roman" w:hAnsi="Times New Roman" w:eastAsia="仿宋_GB2312" w:cs="Times New Roman"/>
          <w:color w:val="auto"/>
          <w:sz w:val="32"/>
          <w:szCs w:val="32"/>
          <w:highlight w:val="none"/>
          <w:lang w:eastAsia="zh-CN"/>
        </w:rPr>
        <w:t>或</w:t>
      </w:r>
      <w:r>
        <w:rPr>
          <w:rFonts w:hint="default" w:ascii="Times New Roman" w:hAnsi="Times New Roman" w:eastAsia="仿宋_GB2312" w:cs="Times New Roman"/>
          <w:color w:val="auto"/>
          <w:sz w:val="32"/>
          <w:szCs w:val="32"/>
          <w:highlight w:val="none"/>
        </w:rPr>
        <w:t>市财政工程造价审核中心</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审核结果</w:t>
      </w:r>
      <w:r>
        <w:rPr>
          <w:rFonts w:hint="default" w:ascii="Times New Roman" w:hAnsi="Times New Roman" w:eastAsia="仿宋_GB2312" w:cs="Times New Roman"/>
          <w:color w:val="auto"/>
          <w:sz w:val="32"/>
          <w:szCs w:val="32"/>
          <w:highlight w:val="none"/>
          <w:lang w:eastAsia="zh-CN"/>
        </w:rPr>
        <w:t>确定</w:t>
      </w:r>
      <w:r>
        <w:rPr>
          <w:rFonts w:hint="default" w:ascii="Times New Roman" w:hAnsi="Times New Roman" w:eastAsia="仿宋_GB2312" w:cs="Times New Roman"/>
          <w:color w:val="auto"/>
          <w:sz w:val="32"/>
          <w:szCs w:val="32"/>
          <w:highlight w:val="none"/>
        </w:rPr>
        <w:t>：</w:t>
      </w:r>
    </w:p>
    <w:p w14:paraId="2D009790">
      <w:pPr>
        <w:keepNext w:val="0"/>
        <w:keepLines w:val="0"/>
        <w:pageBreakBefore w:val="0"/>
        <w:numPr>
          <w:ilvl w:val="0"/>
          <w:numId w:val="5"/>
        </w:numPr>
        <w:kinsoku/>
        <w:wordWrap/>
        <w:overflowPunct/>
        <w:topLinePunct w:val="0"/>
        <w:autoSpaceDE/>
        <w:autoSpaceDN/>
        <w:bidi w:val="0"/>
        <w:adjustRightInd/>
        <w:spacing w:line="400" w:lineRule="exact"/>
        <w:ind w:left="-10" w:leftChars="0" w:firstLine="640" w:firstLineChars="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审核结果误差在</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%（含）之间，</w:t>
      </w:r>
      <w:r>
        <w:rPr>
          <w:rFonts w:hint="default" w:ascii="Times New Roman" w:hAnsi="Times New Roman" w:eastAsia="仿宋_GB2312" w:cs="Times New Roman"/>
          <w:color w:val="auto"/>
          <w:sz w:val="32"/>
          <w:szCs w:val="32"/>
          <w:highlight w:val="none"/>
          <w:lang w:eastAsia="zh-CN"/>
        </w:rPr>
        <w:t>以服务费的</w:t>
      </w:r>
      <w:r>
        <w:rPr>
          <w:rFonts w:hint="default" w:ascii="Times New Roman" w:hAnsi="Times New Roman" w:eastAsia="仿宋_GB2312" w:cs="Times New Roman"/>
          <w:b/>
          <w:bCs/>
          <w:color w:val="auto"/>
          <w:sz w:val="32"/>
          <w:szCs w:val="32"/>
          <w:highlight w:val="none"/>
          <w:lang w:val="en-US" w:eastAsia="zh-CN"/>
        </w:rPr>
        <w:t>25</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val="0"/>
          <w:bCs w:val="0"/>
          <w:color w:val="auto"/>
          <w:sz w:val="32"/>
          <w:szCs w:val="32"/>
          <w:highlight w:val="none"/>
          <w:lang w:eastAsia="zh-CN"/>
        </w:rPr>
        <w:t>作为违约金</w:t>
      </w:r>
      <w:r>
        <w:rPr>
          <w:rFonts w:hint="default" w:ascii="Times New Roman" w:hAnsi="Times New Roman" w:eastAsia="仿宋_GB2312" w:cs="Times New Roman"/>
          <w:color w:val="auto"/>
          <w:sz w:val="32"/>
          <w:szCs w:val="32"/>
          <w:highlight w:val="none"/>
        </w:rPr>
        <w:t>；</w:t>
      </w:r>
    </w:p>
    <w:p w14:paraId="53C4FBE2">
      <w:pPr>
        <w:keepNext w:val="0"/>
        <w:keepLines w:val="0"/>
        <w:pageBreakBefore w:val="0"/>
        <w:numPr>
          <w:ilvl w:val="0"/>
          <w:numId w:val="5"/>
        </w:numPr>
        <w:kinsoku/>
        <w:wordWrap/>
        <w:overflowPunct/>
        <w:topLinePunct w:val="0"/>
        <w:autoSpaceDE/>
        <w:autoSpaceDN/>
        <w:bidi w:val="0"/>
        <w:adjustRightInd/>
        <w:spacing w:line="400" w:lineRule="exact"/>
        <w:ind w:left="-10" w:leftChars="0" w:firstLine="640" w:firstLineChars="0"/>
        <w:jc w:val="left"/>
        <w:textAlignment w:val="auto"/>
        <w:rPr>
          <w:rFonts w:hint="default" w:ascii="Times New Roman" w:hAnsi="Times New Roman" w:cs="Times New Roman"/>
          <w:color w:val="auto"/>
          <w:sz w:val="32"/>
          <w:szCs w:val="32"/>
          <w:highlight w:val="none"/>
        </w:rPr>
      </w:pPr>
      <w:r>
        <w:rPr>
          <w:rFonts w:hint="default" w:ascii="Times New Roman" w:hAnsi="Times New Roman" w:eastAsia="仿宋_GB2312" w:cs="Times New Roman"/>
          <w:color w:val="auto"/>
          <w:sz w:val="32"/>
          <w:szCs w:val="32"/>
          <w:highlight w:val="none"/>
        </w:rPr>
        <w:t>审核结果误差在</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%（含）之间，</w:t>
      </w:r>
      <w:r>
        <w:rPr>
          <w:rFonts w:hint="default" w:ascii="Times New Roman" w:hAnsi="Times New Roman" w:eastAsia="仿宋_GB2312" w:cs="Times New Roman"/>
          <w:color w:val="auto"/>
          <w:sz w:val="32"/>
          <w:szCs w:val="32"/>
          <w:highlight w:val="none"/>
          <w:lang w:eastAsia="zh-CN"/>
        </w:rPr>
        <w:t>以服务费的</w:t>
      </w:r>
      <w:r>
        <w:rPr>
          <w:rFonts w:hint="default" w:ascii="Times New Roman" w:hAnsi="Times New Roman" w:eastAsia="仿宋_GB2312" w:cs="Times New Roman"/>
          <w:b/>
          <w:bCs/>
          <w:color w:val="auto"/>
          <w:sz w:val="32"/>
          <w:szCs w:val="32"/>
          <w:highlight w:val="none"/>
          <w:lang w:val="en-US" w:eastAsia="zh-CN"/>
        </w:rPr>
        <w:t>50</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val="0"/>
          <w:bCs w:val="0"/>
          <w:color w:val="auto"/>
          <w:sz w:val="32"/>
          <w:szCs w:val="32"/>
          <w:highlight w:val="none"/>
          <w:lang w:eastAsia="zh-CN"/>
        </w:rPr>
        <w:t>作为违约金</w:t>
      </w:r>
      <w:r>
        <w:rPr>
          <w:rFonts w:hint="default" w:ascii="Times New Roman" w:hAnsi="Times New Roman" w:eastAsia="仿宋_GB2312" w:cs="Times New Roman"/>
          <w:color w:val="auto"/>
          <w:sz w:val="32"/>
          <w:szCs w:val="32"/>
          <w:highlight w:val="none"/>
        </w:rPr>
        <w:t>；</w:t>
      </w:r>
    </w:p>
    <w:p w14:paraId="49182F4F">
      <w:pPr>
        <w:keepNext w:val="0"/>
        <w:keepLines w:val="0"/>
        <w:pageBreakBefore w:val="0"/>
        <w:numPr>
          <w:ilvl w:val="0"/>
          <w:numId w:val="5"/>
        </w:numPr>
        <w:kinsoku/>
        <w:wordWrap/>
        <w:overflowPunct/>
        <w:topLinePunct w:val="0"/>
        <w:autoSpaceDE/>
        <w:autoSpaceDN/>
        <w:bidi w:val="0"/>
        <w:adjustRightInd/>
        <w:spacing w:line="400" w:lineRule="exact"/>
        <w:ind w:left="-10" w:leftChars="0" w:firstLine="640" w:firstLineChars="0"/>
        <w:jc w:val="left"/>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审核结果误差在</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%（含）之间，</w:t>
      </w:r>
      <w:r>
        <w:rPr>
          <w:rFonts w:hint="default" w:ascii="Times New Roman" w:hAnsi="Times New Roman" w:eastAsia="仿宋_GB2312" w:cs="Times New Roman"/>
          <w:color w:val="auto"/>
          <w:sz w:val="32"/>
          <w:szCs w:val="32"/>
          <w:highlight w:val="none"/>
          <w:lang w:eastAsia="zh-CN"/>
        </w:rPr>
        <w:t>以服务费的</w:t>
      </w:r>
      <w:r>
        <w:rPr>
          <w:rFonts w:hint="default" w:ascii="Times New Roman" w:hAnsi="Times New Roman" w:eastAsia="仿宋_GB2312" w:cs="Times New Roman"/>
          <w:b/>
          <w:bCs/>
          <w:color w:val="auto"/>
          <w:sz w:val="32"/>
          <w:szCs w:val="32"/>
          <w:highlight w:val="none"/>
          <w:lang w:val="en-US" w:eastAsia="zh-CN"/>
        </w:rPr>
        <w:t>75</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val="0"/>
          <w:bCs w:val="0"/>
          <w:color w:val="auto"/>
          <w:sz w:val="32"/>
          <w:szCs w:val="32"/>
          <w:highlight w:val="none"/>
          <w:lang w:eastAsia="zh-CN"/>
        </w:rPr>
        <w:t>作为违约金</w:t>
      </w:r>
      <w:r>
        <w:rPr>
          <w:rFonts w:hint="default" w:ascii="Times New Roman" w:hAnsi="Times New Roman" w:eastAsia="仿宋_GB2312" w:cs="Times New Roman"/>
          <w:color w:val="auto"/>
          <w:sz w:val="32"/>
          <w:szCs w:val="32"/>
          <w:highlight w:val="none"/>
        </w:rPr>
        <w:t>；</w:t>
      </w:r>
    </w:p>
    <w:p w14:paraId="1DCE3536">
      <w:pPr>
        <w:keepNext w:val="0"/>
        <w:keepLines w:val="0"/>
        <w:pageBreakBefore w:val="0"/>
        <w:numPr>
          <w:ilvl w:val="0"/>
          <w:numId w:val="5"/>
        </w:numPr>
        <w:kinsoku/>
        <w:wordWrap/>
        <w:overflowPunct/>
        <w:topLinePunct w:val="0"/>
        <w:autoSpaceDE/>
        <w:autoSpaceDN/>
        <w:bidi w:val="0"/>
        <w:adjustRightInd/>
        <w:spacing w:line="400" w:lineRule="exact"/>
        <w:ind w:left="-10" w:leftChars="0" w:firstLine="640" w:firstLineChars="0"/>
        <w:jc w:val="left"/>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审核结果误差超过</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以全额服务费</w:t>
      </w:r>
      <w:r>
        <w:rPr>
          <w:rFonts w:hint="default" w:ascii="Times New Roman" w:hAnsi="Times New Roman" w:eastAsia="仿宋_GB2312" w:cs="Times New Roman"/>
          <w:b w:val="0"/>
          <w:bCs w:val="0"/>
          <w:color w:val="auto"/>
          <w:sz w:val="32"/>
          <w:szCs w:val="32"/>
          <w:highlight w:val="none"/>
          <w:lang w:eastAsia="zh-CN"/>
        </w:rPr>
        <w:t>作为违约金</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 xml:space="preserve">同时，工程造价 </w:t>
      </w:r>
      <w:r>
        <w:rPr>
          <w:rFonts w:hint="default" w:ascii="Times New Roman" w:hAnsi="Times New Roman" w:eastAsia="仿宋_GB2312" w:cs="Times New Roman"/>
          <w:color w:val="auto"/>
          <w:sz w:val="32"/>
          <w:szCs w:val="32"/>
          <w:highlight w:val="none"/>
          <w:lang w:eastAsia="zh-CN"/>
        </w:rPr>
        <w:t>1000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5000</w:t>
      </w:r>
      <w:r>
        <w:rPr>
          <w:rFonts w:hint="default" w:ascii="Times New Roman" w:hAnsi="Times New Roman" w:eastAsia="仿宋_GB2312" w:cs="Times New Roman"/>
          <w:color w:val="auto"/>
          <w:sz w:val="32"/>
          <w:szCs w:val="32"/>
          <w:highlight w:val="none"/>
        </w:rPr>
        <w:t xml:space="preserve"> 万元项目，</w:t>
      </w:r>
      <w:r>
        <w:rPr>
          <w:rFonts w:hint="default" w:ascii="Times New Roman" w:hAnsi="Times New Roman" w:eastAsia="仿宋_GB2312" w:cs="Times New Roman"/>
          <w:color w:val="auto"/>
          <w:sz w:val="32"/>
          <w:szCs w:val="32"/>
          <w:highlight w:val="none"/>
          <w:lang w:eastAsia="zh-CN"/>
        </w:rPr>
        <w:t>暂停</w:t>
      </w:r>
      <w:r>
        <w:rPr>
          <w:rFonts w:hint="default" w:ascii="Times New Roman" w:hAnsi="Times New Roman" w:eastAsia="仿宋_GB2312" w:cs="Times New Roman"/>
          <w:color w:val="auto"/>
          <w:sz w:val="32"/>
          <w:szCs w:val="32"/>
          <w:highlight w:val="none"/>
        </w:rPr>
        <w:t>业务</w:t>
      </w:r>
      <w:r>
        <w:rPr>
          <w:rFonts w:hint="default" w:ascii="Times New Roman" w:hAnsi="Times New Roman" w:eastAsia="仿宋_GB2312" w:cs="Times New Roman"/>
          <w:color w:val="auto"/>
          <w:sz w:val="32"/>
          <w:szCs w:val="32"/>
          <w:highlight w:val="none"/>
          <w:lang w:val="en-US" w:eastAsia="zh-CN"/>
        </w:rPr>
        <w:t>6个月</w:t>
      </w:r>
      <w:r>
        <w:rPr>
          <w:rFonts w:hint="default" w:ascii="Times New Roman" w:hAnsi="Times New Roman" w:eastAsia="仿宋_GB2312" w:cs="Times New Roman"/>
          <w:color w:val="auto"/>
          <w:sz w:val="32"/>
          <w:szCs w:val="32"/>
          <w:highlight w:val="none"/>
        </w:rPr>
        <w:t xml:space="preserve">；工程造价 </w:t>
      </w:r>
      <w:r>
        <w:rPr>
          <w:rFonts w:hint="default" w:ascii="Times New Roman" w:hAnsi="Times New Roman" w:eastAsia="仿宋_GB2312" w:cs="Times New Roman"/>
          <w:color w:val="auto"/>
          <w:sz w:val="32"/>
          <w:szCs w:val="32"/>
          <w:highlight w:val="none"/>
          <w:lang w:eastAsia="zh-CN"/>
        </w:rPr>
        <w:t>5000</w:t>
      </w:r>
      <w:r>
        <w:rPr>
          <w:rFonts w:hint="default" w:ascii="Times New Roman" w:hAnsi="Times New Roman" w:eastAsia="仿宋_GB2312" w:cs="Times New Roman"/>
          <w:color w:val="auto"/>
          <w:sz w:val="32"/>
          <w:szCs w:val="32"/>
          <w:highlight w:val="none"/>
        </w:rPr>
        <w:t xml:space="preserve"> 万元以上项目，</w:t>
      </w:r>
      <w:r>
        <w:rPr>
          <w:rFonts w:hint="default" w:ascii="Times New Roman" w:hAnsi="Times New Roman" w:eastAsia="仿宋_GB2312" w:cs="Times New Roman"/>
          <w:color w:val="auto"/>
          <w:sz w:val="32"/>
          <w:szCs w:val="32"/>
          <w:highlight w:val="none"/>
          <w:lang w:eastAsia="zh-CN"/>
        </w:rPr>
        <w:t>暂停</w:t>
      </w:r>
      <w:r>
        <w:rPr>
          <w:rFonts w:hint="default" w:ascii="Times New Roman" w:hAnsi="Times New Roman" w:eastAsia="仿宋_GB2312" w:cs="Times New Roman"/>
          <w:color w:val="auto"/>
          <w:sz w:val="32"/>
          <w:szCs w:val="32"/>
          <w:highlight w:val="none"/>
        </w:rPr>
        <w:t>业务</w:t>
      </w:r>
      <w:r>
        <w:rPr>
          <w:rFonts w:hint="default" w:ascii="Times New Roman" w:hAnsi="Times New Roman" w:eastAsia="仿宋_GB2312" w:cs="Times New Roman"/>
          <w:color w:val="auto"/>
          <w:sz w:val="32"/>
          <w:szCs w:val="32"/>
          <w:highlight w:val="none"/>
          <w:lang w:val="en-US" w:eastAsia="zh-CN"/>
        </w:rPr>
        <w:t>12个月。</w:t>
      </w:r>
    </w:p>
    <w:p w14:paraId="2B54126E">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第二十七条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造价企业应在规定时间内提交</w:t>
      </w:r>
      <w:r>
        <w:rPr>
          <w:rFonts w:hint="default" w:ascii="Times New Roman" w:hAnsi="Times New Roman" w:eastAsia="仿宋_GB2312" w:cs="Times New Roman"/>
          <w:color w:val="auto"/>
          <w:sz w:val="32"/>
          <w:szCs w:val="32"/>
          <w:highlight w:val="none"/>
          <w:lang w:eastAsia="zh-CN"/>
        </w:rPr>
        <w:t>咨询成果文件</w:t>
      </w:r>
      <w:r>
        <w:rPr>
          <w:rFonts w:hint="default" w:ascii="Times New Roman" w:hAnsi="Times New Roman" w:eastAsia="仿宋_GB2312" w:cs="Times New Roman"/>
          <w:color w:val="auto"/>
          <w:sz w:val="32"/>
          <w:szCs w:val="32"/>
          <w:highlight w:val="none"/>
        </w:rPr>
        <w:t>，因造价企业原因未能按</w:t>
      </w:r>
      <w:r>
        <w:rPr>
          <w:rFonts w:hint="default" w:ascii="Times New Roman" w:hAnsi="Times New Roman" w:eastAsia="仿宋_GB2312" w:cs="Times New Roman"/>
          <w:color w:val="auto"/>
          <w:sz w:val="32"/>
          <w:szCs w:val="32"/>
          <w:highlight w:val="none"/>
          <w:lang w:eastAsia="zh-CN"/>
        </w:rPr>
        <w:t>时</w:t>
      </w:r>
      <w:r>
        <w:rPr>
          <w:rFonts w:hint="default" w:ascii="Times New Roman" w:hAnsi="Times New Roman" w:eastAsia="仿宋_GB2312" w:cs="Times New Roman"/>
          <w:color w:val="auto"/>
          <w:sz w:val="32"/>
          <w:szCs w:val="32"/>
          <w:highlight w:val="none"/>
        </w:rPr>
        <w:t>提交，超过</w:t>
      </w:r>
      <w:r>
        <w:rPr>
          <w:rFonts w:hint="default" w:ascii="Times New Roman" w:hAnsi="Times New Roman" w:eastAsia="仿宋_GB2312" w:cs="Times New Roman"/>
          <w:color w:val="auto"/>
          <w:sz w:val="32"/>
          <w:szCs w:val="32"/>
          <w:highlight w:val="none"/>
          <w:lang w:eastAsia="zh-CN"/>
        </w:rPr>
        <w:t>5</w:t>
      </w:r>
      <w:r>
        <w:rPr>
          <w:rFonts w:hint="default" w:ascii="Times New Roman" w:hAnsi="Times New Roman" w:eastAsia="仿宋_GB2312" w:cs="Times New Roman"/>
          <w:color w:val="auto"/>
          <w:sz w:val="32"/>
          <w:szCs w:val="32"/>
          <w:highlight w:val="none"/>
        </w:rPr>
        <w:t>日的，扣咨询服务费</w:t>
      </w:r>
      <w:r>
        <w:rPr>
          <w:rFonts w:hint="default" w:ascii="Times New Roman" w:hAnsi="Times New Roman" w:eastAsia="仿宋_GB2312" w:cs="Times New Roman"/>
          <w:color w:val="auto"/>
          <w:sz w:val="32"/>
          <w:szCs w:val="32"/>
          <w:highlight w:val="none"/>
          <w:lang w:eastAsia="zh-CN"/>
        </w:rPr>
        <w:t>500</w:t>
      </w:r>
      <w:r>
        <w:rPr>
          <w:rFonts w:hint="default" w:ascii="Times New Roman" w:hAnsi="Times New Roman" w:eastAsia="仿宋_GB2312" w:cs="Times New Roman"/>
          <w:color w:val="auto"/>
          <w:sz w:val="32"/>
          <w:szCs w:val="32"/>
          <w:highlight w:val="none"/>
        </w:rPr>
        <w:t>元/日；超</w:t>
      </w:r>
      <w:r>
        <w:rPr>
          <w:rFonts w:hint="default" w:ascii="Times New Roman" w:hAnsi="Times New Roman" w:eastAsia="仿宋_GB2312" w:cs="Times New Roman"/>
          <w:color w:val="auto"/>
          <w:sz w:val="32"/>
          <w:szCs w:val="32"/>
          <w:highlight w:val="none"/>
          <w:lang w:eastAsia="zh-CN"/>
        </w:rPr>
        <w:t>过15</w:t>
      </w:r>
      <w:r>
        <w:rPr>
          <w:rFonts w:hint="default" w:ascii="Times New Roman" w:hAnsi="Times New Roman" w:eastAsia="仿宋_GB2312" w:cs="Times New Roman"/>
          <w:color w:val="auto"/>
          <w:sz w:val="32"/>
          <w:szCs w:val="32"/>
          <w:highlight w:val="none"/>
        </w:rPr>
        <w:t>日的，扣咨询服务费</w:t>
      </w:r>
      <w:r>
        <w:rPr>
          <w:rFonts w:hint="default" w:ascii="Times New Roman" w:hAnsi="Times New Roman" w:eastAsia="仿宋_GB2312" w:cs="Times New Roman"/>
          <w:color w:val="auto"/>
          <w:sz w:val="32"/>
          <w:szCs w:val="32"/>
          <w:highlight w:val="none"/>
          <w:lang w:eastAsia="zh-CN"/>
        </w:rPr>
        <w:t>1000</w:t>
      </w:r>
      <w:r>
        <w:rPr>
          <w:rFonts w:hint="default" w:ascii="Times New Roman" w:hAnsi="Times New Roman" w:eastAsia="仿宋_GB2312" w:cs="Times New Roman"/>
          <w:color w:val="auto"/>
          <w:sz w:val="32"/>
          <w:szCs w:val="32"/>
          <w:highlight w:val="none"/>
        </w:rPr>
        <w:t>元/日；超</w:t>
      </w:r>
      <w:r>
        <w:rPr>
          <w:rFonts w:hint="default" w:ascii="Times New Roman" w:hAnsi="Times New Roman" w:eastAsia="仿宋_GB2312" w:cs="Times New Roman"/>
          <w:color w:val="auto"/>
          <w:sz w:val="32"/>
          <w:szCs w:val="32"/>
          <w:highlight w:val="none"/>
          <w:lang w:eastAsia="zh-CN"/>
        </w:rPr>
        <w:t>过</w:t>
      </w:r>
      <w:r>
        <w:rPr>
          <w:rFonts w:hint="default" w:ascii="Times New Roman" w:hAnsi="Times New Roman" w:eastAsia="仿宋_GB2312" w:cs="Times New Roman"/>
          <w:color w:val="auto"/>
          <w:sz w:val="32"/>
          <w:szCs w:val="32"/>
          <w:highlight w:val="none"/>
        </w:rPr>
        <w:t>规定时间一半以上的，终止委托</w:t>
      </w:r>
      <w:r>
        <w:rPr>
          <w:rFonts w:hint="default" w:ascii="Times New Roman" w:hAnsi="Times New Roman" w:eastAsia="仿宋_GB2312" w:cs="Times New Roman"/>
          <w:color w:val="auto"/>
          <w:sz w:val="32"/>
          <w:szCs w:val="32"/>
          <w:highlight w:val="none"/>
          <w:lang w:eastAsia="zh-CN"/>
        </w:rPr>
        <w:t>业务</w:t>
      </w:r>
      <w:r>
        <w:rPr>
          <w:rFonts w:hint="default" w:ascii="Times New Roman" w:hAnsi="Times New Roman" w:eastAsia="仿宋_GB2312" w:cs="Times New Roman"/>
          <w:color w:val="auto"/>
          <w:sz w:val="32"/>
          <w:szCs w:val="32"/>
          <w:highlight w:val="none"/>
        </w:rPr>
        <w:t>。</w:t>
      </w:r>
    </w:p>
    <w:p w14:paraId="3AA6F107">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二十八</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造价企业</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sz w:val="32"/>
          <w:szCs w:val="32"/>
          <w:highlight w:val="none"/>
        </w:rPr>
        <w:t>人员）不得接受项目施工单位的结算编制等影响审计独立性的业务，一经发现，</w:t>
      </w:r>
      <w:r>
        <w:rPr>
          <w:rFonts w:hint="default" w:ascii="Times New Roman" w:hAnsi="Times New Roman" w:eastAsia="仿宋_GB2312" w:cs="Times New Roman"/>
          <w:color w:val="auto"/>
          <w:sz w:val="32"/>
          <w:szCs w:val="32"/>
          <w:highlight w:val="none"/>
          <w:lang w:eastAsia="zh-CN"/>
        </w:rPr>
        <w:t>终止</w:t>
      </w:r>
      <w:r>
        <w:rPr>
          <w:rFonts w:hint="default" w:ascii="Times New Roman" w:hAnsi="Times New Roman" w:eastAsia="仿宋_GB2312" w:cs="Times New Roman"/>
          <w:color w:val="auto"/>
          <w:sz w:val="32"/>
          <w:szCs w:val="32"/>
          <w:highlight w:val="none"/>
        </w:rPr>
        <w:t>项目造价咨询委托协议，清除出库，并在处官网通报，同时抄送市审计局，市住建局，市财政局</w:t>
      </w:r>
      <w:r>
        <w:rPr>
          <w:rFonts w:hint="default" w:ascii="Times New Roman" w:hAnsi="Times New Roman" w:eastAsia="仿宋_GB2312" w:cs="Times New Roman"/>
          <w:color w:val="auto"/>
          <w:sz w:val="32"/>
          <w:szCs w:val="32"/>
          <w:highlight w:val="none"/>
          <w:lang w:eastAsia="zh-CN"/>
        </w:rPr>
        <w:t>，市公管局</w:t>
      </w:r>
      <w:r>
        <w:rPr>
          <w:rFonts w:hint="default" w:ascii="Times New Roman" w:hAnsi="Times New Roman" w:eastAsia="仿宋_GB2312" w:cs="Times New Roman"/>
          <w:color w:val="auto"/>
          <w:sz w:val="32"/>
          <w:szCs w:val="32"/>
          <w:highlight w:val="none"/>
        </w:rPr>
        <w:t>。</w:t>
      </w:r>
    </w:p>
    <w:p w14:paraId="388D75A1">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二十九</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造价企业有下列情形之一的，可扣减审计服务费用，终止审计委托协议，提请行政主管部门给予警告、通报，清除出库</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有限期或无限期禁止从事我处项目等处罚</w:t>
      </w:r>
      <w:r>
        <w:rPr>
          <w:rFonts w:hint="default" w:ascii="Times New Roman" w:hAnsi="Times New Roman" w:eastAsia="仿宋_GB2312" w:cs="Times New Roman"/>
          <w:color w:val="auto"/>
          <w:sz w:val="32"/>
          <w:szCs w:val="32"/>
          <w:highlight w:val="none"/>
          <w:lang w:eastAsia="zh-CN"/>
        </w:rPr>
        <w:t>，构成犯罪的，依法追究刑事责任</w:t>
      </w:r>
      <w:r>
        <w:rPr>
          <w:rFonts w:hint="default" w:ascii="Times New Roman" w:hAnsi="Times New Roman" w:eastAsia="仿宋_GB2312" w:cs="Times New Roman"/>
          <w:color w:val="auto"/>
          <w:sz w:val="32"/>
          <w:szCs w:val="32"/>
          <w:highlight w:val="none"/>
        </w:rPr>
        <w:t>：</w:t>
      </w:r>
    </w:p>
    <w:p w14:paraId="2F82BC99">
      <w:pPr>
        <w:keepNext w:val="0"/>
        <w:keepLines w:val="0"/>
        <w:pageBreakBefore w:val="0"/>
        <w:numPr>
          <w:ilvl w:val="0"/>
          <w:numId w:val="6"/>
        </w:numPr>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工程结算审核报告存在重大失误或质量低劣；</w:t>
      </w:r>
    </w:p>
    <w:p w14:paraId="7C33F91C">
      <w:pPr>
        <w:keepNext w:val="0"/>
        <w:keepLines w:val="0"/>
        <w:pageBreakBefore w:val="0"/>
        <w:numPr>
          <w:ilvl w:val="0"/>
          <w:numId w:val="6"/>
        </w:numPr>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因自身工作错误或过失造成重大损失；</w:t>
      </w:r>
    </w:p>
    <w:p w14:paraId="2C18A935">
      <w:pPr>
        <w:keepNext w:val="0"/>
        <w:keepLines w:val="0"/>
        <w:pageBreakBefore w:val="0"/>
        <w:numPr>
          <w:ilvl w:val="0"/>
          <w:numId w:val="6"/>
        </w:numPr>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未经允许私自向施工单位透露审核情况或信息；</w:t>
      </w:r>
    </w:p>
    <w:p w14:paraId="702EA5F5">
      <w:pPr>
        <w:keepNext w:val="0"/>
        <w:keepLines w:val="0"/>
        <w:pageBreakBefore w:val="0"/>
        <w:numPr>
          <w:ilvl w:val="0"/>
          <w:numId w:val="6"/>
        </w:numPr>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向相关单位或个人索要财物等谋取不正当利益；</w:t>
      </w:r>
    </w:p>
    <w:p w14:paraId="249FAD4E">
      <w:pPr>
        <w:keepNext w:val="0"/>
        <w:keepLines w:val="0"/>
        <w:pageBreakBefore w:val="0"/>
        <w:numPr>
          <w:ilvl w:val="0"/>
          <w:numId w:val="6"/>
        </w:numPr>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单独或与其他各方串通舞弊、弄虚作假；</w:t>
      </w:r>
    </w:p>
    <w:p w14:paraId="52E49EC7">
      <w:pPr>
        <w:keepNext w:val="0"/>
        <w:keepLines w:val="0"/>
        <w:pageBreakBefore w:val="0"/>
        <w:numPr>
          <w:ilvl w:val="0"/>
          <w:numId w:val="6"/>
        </w:numPr>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其他违反法律法规和</w:t>
      </w:r>
      <w:r>
        <w:rPr>
          <w:rFonts w:hint="default" w:ascii="Times New Roman" w:hAnsi="Times New Roman" w:eastAsia="仿宋_GB2312" w:cs="Times New Roman"/>
          <w:color w:val="auto"/>
          <w:sz w:val="32"/>
          <w:szCs w:val="32"/>
          <w:highlight w:val="none"/>
          <w:lang w:eastAsia="zh-CN"/>
        </w:rPr>
        <w:t>规定</w:t>
      </w:r>
      <w:r>
        <w:rPr>
          <w:rFonts w:hint="default" w:ascii="Times New Roman" w:hAnsi="Times New Roman" w:eastAsia="仿宋_GB2312" w:cs="Times New Roman"/>
          <w:color w:val="auto"/>
          <w:sz w:val="32"/>
          <w:szCs w:val="32"/>
          <w:highlight w:val="none"/>
        </w:rPr>
        <w:t>的行为。</w:t>
      </w:r>
    </w:p>
    <w:p w14:paraId="0668D6B9">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三十</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造价企业存在转包、违法分包等行为的，</w:t>
      </w:r>
      <w:r>
        <w:rPr>
          <w:rFonts w:hint="default" w:ascii="Times New Roman" w:hAnsi="Times New Roman" w:eastAsia="仿宋_GB2312" w:cs="Times New Roman"/>
          <w:color w:val="auto"/>
          <w:sz w:val="32"/>
          <w:szCs w:val="32"/>
          <w:highlight w:val="none"/>
        </w:rPr>
        <w:t>无证人员执业、挂靠执业、执业人员不到岗等违反相关</w:t>
      </w:r>
      <w:r>
        <w:rPr>
          <w:rFonts w:hint="default" w:ascii="Times New Roman" w:hAnsi="Times New Roman" w:eastAsia="仿宋_GB2312" w:cs="Times New Roman"/>
          <w:color w:val="auto"/>
          <w:sz w:val="32"/>
          <w:szCs w:val="32"/>
          <w:highlight w:val="none"/>
          <w:lang w:eastAsia="zh-CN"/>
        </w:rPr>
        <w:t>法规的，将按相关法规进行处罚，终止</w:t>
      </w:r>
      <w:r>
        <w:rPr>
          <w:rFonts w:hint="default" w:ascii="Times New Roman" w:hAnsi="Times New Roman" w:eastAsia="仿宋_GB2312" w:cs="Times New Roman"/>
          <w:color w:val="auto"/>
          <w:sz w:val="32"/>
          <w:szCs w:val="32"/>
          <w:highlight w:val="none"/>
        </w:rPr>
        <w:t>委托业务</w:t>
      </w:r>
      <w:r>
        <w:rPr>
          <w:rFonts w:hint="default" w:ascii="Times New Roman" w:hAnsi="Times New Roman" w:eastAsia="仿宋_GB2312" w:cs="Times New Roman"/>
          <w:color w:val="auto"/>
          <w:sz w:val="32"/>
          <w:szCs w:val="32"/>
          <w:highlight w:val="none"/>
          <w:lang w:eastAsia="zh-CN"/>
        </w:rPr>
        <w:t>，清除出库，三年内不得申请入库</w:t>
      </w:r>
      <w:r>
        <w:rPr>
          <w:rFonts w:hint="default" w:ascii="Times New Roman" w:hAnsi="Times New Roman" w:eastAsia="仿宋_GB2312" w:cs="Times New Roman"/>
          <w:color w:val="auto"/>
          <w:sz w:val="32"/>
          <w:szCs w:val="32"/>
          <w:highlight w:val="none"/>
        </w:rPr>
        <w:t>。</w:t>
      </w:r>
    </w:p>
    <w:p w14:paraId="4BF85ED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第八章 附则</w:t>
      </w:r>
    </w:p>
    <w:p w14:paraId="20649371">
      <w:pPr>
        <w:keepNext w:val="0"/>
        <w:keepLines w:val="0"/>
        <w:pageBreakBefore w:val="0"/>
        <w:kinsoku/>
        <w:wordWrap/>
        <w:overflowPunct/>
        <w:topLinePunct w:val="0"/>
        <w:autoSpaceDE/>
        <w:autoSpaceDN/>
        <w:bidi w:val="0"/>
        <w:adjustRightInd/>
        <w:snapToGrid w:val="0"/>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第三十一条</w:t>
      </w:r>
      <w:r>
        <w:rPr>
          <w:rFonts w:hint="default" w:ascii="Times New Roman" w:hAnsi="Times New Roman" w:eastAsia="仿宋_GB2312" w:cs="Times New Roman"/>
          <w:color w:val="auto"/>
          <w:sz w:val="32"/>
          <w:szCs w:val="32"/>
          <w:highlight w:val="none"/>
          <w:lang w:val="en-US" w:eastAsia="zh-CN"/>
        </w:rPr>
        <w:t xml:space="preserve">  对</w:t>
      </w:r>
      <w:r>
        <w:rPr>
          <w:rFonts w:hint="default" w:ascii="Times New Roman" w:hAnsi="Times New Roman" w:eastAsia="仿宋_GB2312" w:cs="Times New Roman"/>
          <w:color w:val="auto"/>
          <w:sz w:val="32"/>
          <w:szCs w:val="32"/>
          <w:highlight w:val="none"/>
          <w:lang w:eastAsia="zh-CN"/>
        </w:rPr>
        <w:t>清单编制企业的处罚，由工程建设科牵头，召集设计、清单编制、施工、监理、跟踪审计、工程监管科、综合计划科，并提出处理意见，经项目分管领导批准后，工程建设科报主任办公会研究，工程监管科落实处罚。</w:t>
      </w:r>
    </w:p>
    <w:p w14:paraId="0704E26E">
      <w:pPr>
        <w:keepNext w:val="0"/>
        <w:keepLines w:val="0"/>
        <w:pageBreakBefore w:val="0"/>
        <w:kinsoku/>
        <w:wordWrap/>
        <w:overflowPunct/>
        <w:topLinePunct w:val="0"/>
        <w:autoSpaceDE/>
        <w:autoSpaceDN/>
        <w:bidi w:val="0"/>
        <w:adjustRightInd/>
        <w:snapToGrid w:val="0"/>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第三十二条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考核由综合计划科负责</w:t>
      </w:r>
      <w:r>
        <w:rPr>
          <w:rFonts w:hint="default" w:ascii="Times New Roman" w:hAnsi="Times New Roman" w:eastAsia="仿宋_GB2312" w:cs="Times New Roman"/>
          <w:color w:val="auto"/>
          <w:sz w:val="32"/>
          <w:szCs w:val="32"/>
          <w:highlight w:val="none"/>
          <w:lang w:eastAsia="zh-CN"/>
        </w:rPr>
        <w:t>实施</w:t>
      </w:r>
      <w:r>
        <w:rPr>
          <w:rFonts w:hint="default" w:ascii="Times New Roman" w:hAnsi="Times New Roman" w:eastAsia="仿宋_GB2312" w:cs="Times New Roman"/>
          <w:color w:val="auto"/>
          <w:sz w:val="32"/>
          <w:szCs w:val="32"/>
          <w:highlight w:val="none"/>
        </w:rPr>
        <w:t>，工程建设相关科室配合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考核结果</w:t>
      </w:r>
      <w:r>
        <w:rPr>
          <w:rFonts w:hint="default" w:ascii="Times New Roman" w:hAnsi="Times New Roman" w:eastAsia="仿宋_GB2312" w:cs="Times New Roman"/>
          <w:b w:val="0"/>
          <w:bCs w:val="0"/>
          <w:color w:val="auto"/>
          <w:sz w:val="32"/>
          <w:szCs w:val="32"/>
          <w:highlight w:val="none"/>
          <w:lang w:eastAsia="zh-CN"/>
        </w:rPr>
        <w:t>经</w:t>
      </w:r>
      <w:r>
        <w:rPr>
          <w:rFonts w:hint="default" w:ascii="Times New Roman" w:hAnsi="Times New Roman" w:eastAsia="仿宋_GB2312" w:cs="Times New Roman"/>
          <w:b w:val="0"/>
          <w:bCs w:val="0"/>
          <w:color w:val="auto"/>
          <w:sz w:val="32"/>
          <w:szCs w:val="32"/>
          <w:highlight w:val="none"/>
        </w:rPr>
        <w:t>综合计划科分管领导</w:t>
      </w:r>
      <w:r>
        <w:rPr>
          <w:rFonts w:hint="default" w:ascii="Times New Roman" w:hAnsi="Times New Roman" w:eastAsia="仿宋_GB2312" w:cs="Times New Roman"/>
          <w:b w:val="0"/>
          <w:bCs w:val="0"/>
          <w:color w:val="auto"/>
          <w:sz w:val="32"/>
          <w:szCs w:val="32"/>
          <w:highlight w:val="none"/>
          <w:lang w:eastAsia="zh-CN"/>
        </w:rPr>
        <w:t>审核</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color w:val="auto"/>
          <w:sz w:val="32"/>
          <w:szCs w:val="32"/>
          <w:highlight w:val="none"/>
        </w:rPr>
        <w:t>综合计划科</w:t>
      </w:r>
      <w:r>
        <w:rPr>
          <w:rFonts w:hint="default" w:ascii="Times New Roman" w:hAnsi="Times New Roman" w:eastAsia="仿宋_GB2312" w:cs="Times New Roman"/>
          <w:b w:val="0"/>
          <w:bCs w:val="0"/>
          <w:color w:val="auto"/>
          <w:sz w:val="32"/>
          <w:szCs w:val="32"/>
          <w:highlight w:val="none"/>
          <w:lang w:eastAsia="zh-CN"/>
        </w:rPr>
        <w:t>报</w:t>
      </w:r>
      <w:r>
        <w:rPr>
          <w:rFonts w:hint="default" w:ascii="Times New Roman" w:hAnsi="Times New Roman" w:eastAsia="仿宋_GB2312" w:cs="Times New Roman"/>
          <w:b w:val="0"/>
          <w:bCs w:val="0"/>
          <w:color w:val="auto"/>
          <w:sz w:val="32"/>
          <w:szCs w:val="32"/>
          <w:highlight w:val="none"/>
        </w:rPr>
        <w:t>主任办公会</w:t>
      </w:r>
      <w:r>
        <w:rPr>
          <w:rFonts w:hint="default" w:ascii="Times New Roman" w:hAnsi="Times New Roman" w:eastAsia="仿宋_GB2312" w:cs="Times New Roman"/>
          <w:b w:val="0"/>
          <w:bCs w:val="0"/>
          <w:color w:val="auto"/>
          <w:sz w:val="32"/>
          <w:szCs w:val="32"/>
          <w:highlight w:val="none"/>
          <w:lang w:eastAsia="zh-CN"/>
        </w:rPr>
        <w:t>研究，</w:t>
      </w:r>
      <w:r>
        <w:rPr>
          <w:rFonts w:hint="default" w:ascii="Times New Roman" w:hAnsi="Times New Roman" w:eastAsia="仿宋_GB2312" w:cs="Times New Roman"/>
          <w:color w:val="auto"/>
          <w:sz w:val="32"/>
          <w:szCs w:val="32"/>
          <w:highlight w:val="none"/>
          <w:lang w:eastAsia="zh-CN"/>
        </w:rPr>
        <w:t>工程监管科</w:t>
      </w:r>
      <w:r>
        <w:rPr>
          <w:rFonts w:hint="default" w:ascii="Times New Roman" w:hAnsi="Times New Roman" w:eastAsia="仿宋_GB2312" w:cs="Times New Roman"/>
          <w:b w:val="0"/>
          <w:bCs w:val="0"/>
          <w:color w:val="auto"/>
          <w:sz w:val="32"/>
          <w:szCs w:val="32"/>
          <w:highlight w:val="none"/>
          <w:lang w:eastAsia="zh-CN"/>
        </w:rPr>
        <w:t>落实</w:t>
      </w:r>
      <w:r>
        <w:rPr>
          <w:rFonts w:hint="default" w:ascii="Times New Roman" w:hAnsi="Times New Roman" w:eastAsia="仿宋_GB2312" w:cs="Times New Roman"/>
          <w:color w:val="auto"/>
          <w:sz w:val="32"/>
          <w:szCs w:val="32"/>
          <w:highlight w:val="none"/>
          <w:lang w:eastAsia="zh-CN"/>
        </w:rPr>
        <w:t>处罚</w:t>
      </w:r>
      <w:r>
        <w:rPr>
          <w:rFonts w:hint="default" w:ascii="Times New Roman" w:hAnsi="Times New Roman" w:eastAsia="仿宋_GB2312" w:cs="Times New Roman"/>
          <w:b w:val="0"/>
          <w:bCs w:val="0"/>
          <w:color w:val="auto"/>
          <w:sz w:val="32"/>
          <w:szCs w:val="32"/>
          <w:highlight w:val="none"/>
          <w:lang w:eastAsia="zh-CN"/>
        </w:rPr>
        <w:t>。</w:t>
      </w:r>
    </w:p>
    <w:p w14:paraId="69EEFBA8">
      <w:pPr>
        <w:keepNext w:val="0"/>
        <w:keepLines w:val="0"/>
        <w:pageBreakBefore w:val="0"/>
        <w:kinsoku/>
        <w:wordWrap/>
        <w:overflowPunct/>
        <w:topLinePunct w:val="0"/>
        <w:autoSpaceDE/>
        <w:autoSpaceDN/>
        <w:bidi w:val="0"/>
        <w:adjustRightInd/>
        <w:spacing w:line="400" w:lineRule="exact"/>
        <w:ind w:firstLine="645"/>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三十三</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暂停业务范围包括清单编制、跟踪审计和结算审核等，暂停时间自</w:t>
      </w:r>
      <w:r>
        <w:rPr>
          <w:rFonts w:hint="default" w:ascii="Times New Roman" w:hAnsi="Times New Roman" w:eastAsia="仿宋_GB2312" w:cs="Times New Roman"/>
          <w:b w:val="0"/>
          <w:bCs w:val="0"/>
          <w:color w:val="auto"/>
          <w:sz w:val="32"/>
          <w:szCs w:val="32"/>
          <w:highlight w:val="none"/>
          <w:lang w:val="en-US" w:eastAsia="zh-CN"/>
        </w:rPr>
        <w:t>主任办公会研究通过之日起计算。</w:t>
      </w:r>
    </w:p>
    <w:p w14:paraId="27779C98">
      <w:pPr>
        <w:keepNext w:val="0"/>
        <w:keepLines w:val="0"/>
        <w:pageBreakBefore w:val="0"/>
        <w:kinsoku/>
        <w:wordWrap/>
        <w:overflowPunct/>
        <w:topLinePunct w:val="0"/>
        <w:autoSpaceDE/>
        <w:autoSpaceDN/>
        <w:bidi w:val="0"/>
        <w:adjustRightInd/>
        <w:spacing w:line="400" w:lineRule="exact"/>
        <w:ind w:firstLine="645"/>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三十四</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本办法自</w:t>
      </w:r>
      <w:r>
        <w:rPr>
          <w:rFonts w:hint="default" w:ascii="Times New Roman" w:hAnsi="Times New Roman" w:eastAsia="仿宋_GB2312" w:cs="Times New Roman"/>
          <w:color w:val="auto"/>
          <w:sz w:val="32"/>
          <w:szCs w:val="32"/>
          <w:highlight w:val="none"/>
          <w:lang w:val="en-US" w:eastAsia="zh-CN"/>
        </w:rPr>
        <w:t>2022年</w:t>
      </w:r>
      <w:r>
        <w:rPr>
          <w:rFonts w:hint="eastAsia"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日</w:t>
      </w:r>
      <w:r>
        <w:rPr>
          <w:rFonts w:hint="default" w:ascii="Times New Roman" w:hAnsi="Times New Roman" w:eastAsia="仿宋_GB2312" w:cs="Times New Roman"/>
          <w:color w:val="auto"/>
          <w:sz w:val="32"/>
          <w:szCs w:val="32"/>
          <w:highlight w:val="none"/>
        </w:rPr>
        <w:t>起施行，处属各中心可参照执行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《工程造价咨询服务管理办法</w:t>
      </w:r>
      <w:r>
        <w:rPr>
          <w:rFonts w:hint="default" w:ascii="Times New Roman" w:hAnsi="Times New Roman" w:eastAsia="仿宋_GB2312" w:cs="Times New Roman"/>
          <w:color w:val="auto"/>
          <w:sz w:val="32"/>
          <w:szCs w:val="32"/>
          <w:highlight w:val="none"/>
          <w:lang w:eastAsia="zh-CN"/>
        </w:rPr>
        <w:t>（试行）</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滁重〔</w:t>
      </w:r>
      <w:r>
        <w:rPr>
          <w:rFonts w:hint="default" w:ascii="Times New Roman" w:hAnsi="Times New Roman" w:eastAsia="仿宋_GB2312" w:cs="Times New Roman"/>
          <w:color w:val="auto"/>
          <w:sz w:val="32"/>
          <w:szCs w:val="32"/>
          <w:highlight w:val="none"/>
          <w:lang w:eastAsia="zh-CN"/>
        </w:rPr>
        <w:t>20</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 w:cs="Times New Roman"/>
          <w:color w:val="auto"/>
          <w:sz w:val="32"/>
          <w:szCs w:val="32"/>
          <w:highlight w:val="none"/>
          <w:shd w:val="clear" w:color="auto" w:fill="auto"/>
          <w:lang w:val="en-US" w:eastAsia="zh-CN"/>
        </w:rPr>
        <w:t>61</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《工程</w:t>
      </w:r>
      <w:r>
        <w:rPr>
          <w:rFonts w:hint="default" w:ascii="Times New Roman" w:hAnsi="Times New Roman" w:eastAsia="仿宋_GB2312" w:cs="Times New Roman"/>
          <w:color w:val="auto"/>
          <w:sz w:val="32"/>
          <w:szCs w:val="32"/>
          <w:highlight w:val="none"/>
          <w:lang w:eastAsia="zh-CN"/>
        </w:rPr>
        <w:t>量清单及最高投标限价编制管理办法</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滁重〔</w:t>
      </w:r>
      <w:r>
        <w:rPr>
          <w:rFonts w:hint="default" w:ascii="Times New Roman" w:hAnsi="Times New Roman" w:eastAsia="仿宋_GB2312" w:cs="Times New Roman"/>
          <w:color w:val="auto"/>
          <w:sz w:val="32"/>
          <w:szCs w:val="32"/>
          <w:highlight w:val="none"/>
          <w:lang w:eastAsia="zh-CN"/>
        </w:rPr>
        <w:t>20</w:t>
      </w:r>
      <w:r>
        <w:rPr>
          <w:rFonts w:hint="default" w:ascii="Times New Roman" w:hAnsi="Times New Roman" w:eastAsia="仿宋_GB2312" w:cs="Times New Roman"/>
          <w:color w:val="auto"/>
          <w:sz w:val="32"/>
          <w:szCs w:val="32"/>
          <w:highlight w:val="none"/>
          <w:lang w:val="en-US" w:eastAsia="zh-CN"/>
        </w:rPr>
        <w:t>19</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46</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废止。</w:t>
      </w:r>
    </w:p>
    <w:p w14:paraId="46314354">
      <w:pPr>
        <w:keepNext w:val="0"/>
        <w:keepLines w:val="0"/>
        <w:pageBreakBefore w:val="0"/>
        <w:kinsoku/>
        <w:wordWrap/>
        <w:overflowPunct/>
        <w:topLinePunct w:val="0"/>
        <w:autoSpaceDE/>
        <w:autoSpaceDN/>
        <w:bidi w:val="0"/>
        <w:adjustRightInd/>
        <w:spacing w:line="400" w:lineRule="exact"/>
        <w:textAlignment w:val="auto"/>
        <w:rPr>
          <w:rFonts w:hint="default" w:ascii="Times New Roman" w:hAnsi="Times New Roman" w:cs="Times New Roman"/>
          <w:color w:val="auto"/>
          <w:sz w:val="32"/>
          <w:szCs w:val="32"/>
          <w:highlight w:val="none"/>
        </w:rPr>
      </w:pPr>
    </w:p>
    <w:p w14:paraId="49F73DC8">
      <w:pPr>
        <w:keepNext w:val="0"/>
        <w:keepLines w:val="0"/>
        <w:pageBreakBefore w:val="0"/>
        <w:widowControl w:val="0"/>
        <w:kinsoku/>
        <w:wordWrap/>
        <w:overflowPunct/>
        <w:topLinePunct w:val="0"/>
        <w:autoSpaceDE/>
        <w:autoSpaceDN/>
        <w:bidi w:val="0"/>
        <w:adjustRightInd/>
        <w:snapToGrid/>
        <w:spacing w:line="400" w:lineRule="exact"/>
        <w:ind w:left="1700" w:leftChars="200" w:hanging="1280" w:hangingChars="4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附件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《滁州市重点工程建设管理处工程量清单</w:t>
      </w:r>
      <w:r>
        <w:rPr>
          <w:rFonts w:hint="default" w:ascii="Times New Roman" w:hAnsi="Times New Roman" w:eastAsia="仿宋_GB2312" w:cs="Times New Roman"/>
          <w:color w:val="auto"/>
          <w:sz w:val="32"/>
          <w:szCs w:val="32"/>
          <w:highlight w:val="none"/>
          <w:lang w:eastAsia="zh-CN"/>
        </w:rPr>
        <w:t>及</w:t>
      </w:r>
      <w:r>
        <w:rPr>
          <w:rFonts w:hint="default" w:ascii="Times New Roman" w:hAnsi="Times New Roman" w:eastAsia="仿宋_GB2312" w:cs="Times New Roman"/>
          <w:color w:val="auto"/>
          <w:sz w:val="32"/>
          <w:szCs w:val="32"/>
          <w:highlight w:val="none"/>
        </w:rPr>
        <w:t>最高投标限价编制质量考核表》</w:t>
      </w:r>
    </w:p>
    <w:p w14:paraId="5211ECED">
      <w:pPr>
        <w:keepNext w:val="0"/>
        <w:keepLines w:val="0"/>
        <w:pageBreakBefore w:val="0"/>
        <w:widowControl w:val="0"/>
        <w:kinsoku/>
        <w:wordWrap/>
        <w:overflowPunct/>
        <w:topLinePunct w:val="0"/>
        <w:autoSpaceDE/>
        <w:autoSpaceDN/>
        <w:bidi w:val="0"/>
        <w:adjustRightInd/>
        <w:snapToGrid/>
        <w:spacing w:line="400" w:lineRule="exact"/>
        <w:ind w:left="1370" w:leftChars="500" w:hanging="320" w:hangingChars="1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《滁州市重点工程建设管理处</w:t>
      </w:r>
      <w:r>
        <w:rPr>
          <w:rFonts w:hint="default" w:ascii="Times New Roman" w:hAnsi="Times New Roman" w:eastAsia="仿宋_GB2312" w:cs="Times New Roman"/>
          <w:color w:val="auto"/>
          <w:sz w:val="32"/>
          <w:szCs w:val="32"/>
          <w:highlight w:val="none"/>
          <w:lang w:eastAsia="zh-CN"/>
        </w:rPr>
        <w:t>跟踪</w:t>
      </w:r>
      <w:r>
        <w:rPr>
          <w:rStyle w:val="155"/>
          <w:rFonts w:hint="default" w:ascii="Times New Roman" w:hAnsi="Times New Roman" w:eastAsia="仿宋_GB2312" w:cs="Times New Roman"/>
          <w:b w:val="0"/>
          <w:color w:val="auto"/>
          <w:sz w:val="32"/>
          <w:szCs w:val="32"/>
          <w:highlight w:val="none"/>
          <w:lang w:bidi="ar"/>
        </w:rPr>
        <w:t>审计服务质量日常考核表</w:t>
      </w:r>
      <w:r>
        <w:rPr>
          <w:rFonts w:hint="default" w:ascii="Times New Roman" w:hAnsi="Times New Roman" w:eastAsia="仿宋_GB2312" w:cs="Times New Roman"/>
          <w:color w:val="auto"/>
          <w:sz w:val="32"/>
          <w:szCs w:val="32"/>
          <w:highlight w:val="none"/>
        </w:rPr>
        <w:t>》</w:t>
      </w:r>
    </w:p>
    <w:tbl>
      <w:tblPr>
        <w:tblStyle w:val="46"/>
        <w:tblpPr w:leftFromText="180" w:rightFromText="180" w:vertAnchor="text" w:horzAnchor="page" w:tblpXSpec="center" w:tblpY="1462"/>
        <w:tblOverlap w:val="never"/>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354"/>
      </w:tblGrid>
      <w:tr w14:paraId="555630B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354" w:type="dxa"/>
            <w:tcBorders>
              <w:top w:val="single" w:color="auto" w:sz="12" w:space="0"/>
              <w:bottom w:val="single" w:color="auto" w:sz="4" w:space="0"/>
              <w:tl2br w:val="nil"/>
              <w:tr2bl w:val="nil"/>
            </w:tcBorders>
            <w:noWrap w:val="0"/>
            <w:vAlign w:val="top"/>
          </w:tcPr>
          <w:p w14:paraId="771C9E0B">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hint="default" w:ascii="Times New Roman" w:hAnsi="Times New Roman" w:eastAsia="仿宋_GB2312" w:cs="Times New Roman"/>
                <w:b w:val="0"/>
                <w:bCs w:val="0"/>
                <w:color w:val="auto"/>
                <w:sz w:val="32"/>
                <w:szCs w:val="32"/>
                <w:highlight w:val="none"/>
                <w:vertAlign w:val="baseline"/>
                <w:lang w:val="en-US" w:eastAsia="zh-CN"/>
              </w:rPr>
            </w:pPr>
            <w:r>
              <w:rPr>
                <w:rFonts w:hint="default" w:ascii="Times New Roman" w:hAnsi="Times New Roman" w:eastAsia="仿宋_GB2312" w:cs="Times New Roman"/>
                <w:color w:val="auto"/>
                <w:kern w:val="0"/>
                <w:sz w:val="32"/>
                <w:szCs w:val="32"/>
                <w:highlight w:val="none"/>
              </w:rPr>
              <w:t>抄送：市审计局，市住建局，市财政局，市公管局</w:t>
            </w:r>
          </w:p>
        </w:tc>
      </w:tr>
      <w:tr w14:paraId="38558A5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354" w:type="dxa"/>
            <w:tcBorders>
              <w:top w:val="single" w:color="auto" w:sz="4" w:space="0"/>
              <w:bottom w:val="single" w:color="auto" w:sz="12" w:space="0"/>
              <w:tl2br w:val="nil"/>
              <w:tr2bl w:val="nil"/>
            </w:tcBorders>
            <w:noWrap w:val="0"/>
            <w:vAlign w:val="top"/>
          </w:tcPr>
          <w:p w14:paraId="13076E55">
            <w:pPr>
              <w:pStyle w:val="28"/>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default" w:ascii="Times New Roman" w:hAnsi="Times New Roman" w:eastAsia="仿宋_GB2312" w:cs="Times New Roman"/>
                <w:b w:val="0"/>
                <w:bCs w:val="0"/>
                <w:color w:val="auto"/>
                <w:sz w:val="32"/>
                <w:szCs w:val="32"/>
                <w:highlight w:val="none"/>
                <w:vertAlign w:val="baseline"/>
                <w:lang w:val="en-US" w:eastAsia="zh-CN"/>
              </w:rPr>
            </w:pPr>
            <w:r>
              <w:rPr>
                <w:rFonts w:hint="default" w:ascii="Times New Roman" w:hAnsi="Times New Roman" w:eastAsia="仿宋_GB2312" w:cs="Times New Roman"/>
                <w:b w:val="0"/>
                <w:bCs w:val="0"/>
                <w:color w:val="auto"/>
                <w:sz w:val="32"/>
                <w:szCs w:val="32"/>
                <w:highlight w:val="none"/>
                <w:lang w:val="en-US" w:eastAsia="zh-CN"/>
              </w:rPr>
              <w:t>滁州市重点工程建设管理处办公室        2022年9月5日印发</w:t>
            </w:r>
          </w:p>
        </w:tc>
      </w:tr>
    </w:tbl>
    <w:p w14:paraId="4A67A413">
      <w:pPr>
        <w:pStyle w:val="2"/>
        <w:keepNext w:val="0"/>
        <w:keepLines w:val="0"/>
        <w:pageBreakBefore w:val="0"/>
        <w:widowControl w:val="0"/>
        <w:kinsoku/>
        <w:wordWrap/>
        <w:overflowPunct/>
        <w:topLinePunct w:val="0"/>
        <w:autoSpaceDE/>
        <w:autoSpaceDN/>
        <w:bidi w:val="0"/>
        <w:adjustRightInd/>
        <w:snapToGrid/>
        <w:spacing w:after="0" w:line="400" w:lineRule="exact"/>
        <w:ind w:left="1370" w:leftChars="500" w:hanging="320" w:hangingChars="1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《滁州市重点工程建设管理处结算审</w:t>
      </w:r>
      <w:r>
        <w:rPr>
          <w:rFonts w:hint="default" w:ascii="Times New Roman" w:hAnsi="Times New Roman" w:eastAsia="仿宋_GB2312" w:cs="Times New Roman"/>
          <w:color w:val="auto"/>
          <w:sz w:val="32"/>
          <w:szCs w:val="32"/>
          <w:highlight w:val="none"/>
          <w:lang w:eastAsia="zh-CN"/>
        </w:rPr>
        <w:t>（复）</w:t>
      </w:r>
      <w:r>
        <w:rPr>
          <w:rFonts w:hint="default" w:ascii="Times New Roman" w:hAnsi="Times New Roman" w:eastAsia="仿宋_GB2312" w:cs="Times New Roman"/>
          <w:color w:val="auto"/>
          <w:sz w:val="32"/>
          <w:szCs w:val="32"/>
          <w:highlight w:val="none"/>
        </w:rPr>
        <w:t>核</w:t>
      </w:r>
      <w:r>
        <w:rPr>
          <w:rFonts w:hint="default" w:ascii="Times New Roman" w:hAnsi="Times New Roman" w:eastAsia="仿宋_GB2312" w:cs="Times New Roman"/>
          <w:color w:val="auto"/>
          <w:sz w:val="32"/>
          <w:szCs w:val="32"/>
          <w:highlight w:val="none"/>
          <w:lang w:eastAsia="zh-CN"/>
        </w:rPr>
        <w:t>成果质量</w:t>
      </w:r>
      <w:r>
        <w:rPr>
          <w:rFonts w:hint="default" w:ascii="Times New Roman" w:hAnsi="Times New Roman" w:eastAsia="仿宋_GB2312" w:cs="Times New Roman"/>
          <w:color w:val="auto"/>
          <w:sz w:val="32"/>
          <w:szCs w:val="32"/>
          <w:highlight w:val="none"/>
        </w:rPr>
        <w:t>考核表》</w:t>
      </w:r>
    </w:p>
    <w:p w14:paraId="7747B6AC">
      <w:pPr>
        <w:pStyle w:val="28"/>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仿宋_GB2312" w:cs="Times New Roman"/>
          <w:color w:val="auto"/>
          <w:sz w:val="32"/>
          <w:szCs w:val="32"/>
          <w:highlight w:val="none"/>
          <w:lang w:val="en-US" w:eastAsia="zh-CN"/>
        </w:rPr>
        <w:sectPr>
          <w:footerReference r:id="rId7" w:type="default"/>
          <w:pgSz w:w="11906" w:h="16838"/>
          <w:pgMar w:top="1417" w:right="1417" w:bottom="1134" w:left="1417" w:header="680" w:footer="680" w:gutter="0"/>
          <w:pgBorders w:offsetFrom="page">
            <w:top w:val="none" w:sz="0" w:space="0"/>
            <w:left w:val="none" w:sz="0" w:space="0"/>
            <w:bottom w:val="none" w:sz="0" w:space="0"/>
            <w:right w:val="none" w:sz="0" w:space="0"/>
          </w:pgBorders>
          <w:pgNumType w:fmt="decimal"/>
          <w:cols w:space="0" w:num="1"/>
          <w:rtlGutter w:val="0"/>
          <w:docGrid w:type="lines" w:linePitch="318" w:charSpace="0"/>
        </w:sectPr>
      </w:pPr>
    </w:p>
    <w:p w14:paraId="51C7697F">
      <w:pPr>
        <w:pStyle w:val="2"/>
        <w:spacing w:line="24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sz w:val="32"/>
          <w:szCs w:val="32"/>
          <w:highlight w:val="none"/>
        </w:rPr>
        <w:t>附件</w:t>
      </w:r>
      <w:r>
        <w:rPr>
          <w:rFonts w:hint="eastAsia" w:ascii="宋体" w:hAnsi="宋体" w:eastAsia="宋体" w:cs="宋体"/>
          <w:color w:val="auto"/>
          <w:sz w:val="32"/>
          <w:szCs w:val="32"/>
          <w:highlight w:val="none"/>
          <w:lang w:val="en-US" w:eastAsia="zh-CN"/>
        </w:rPr>
        <w:t>1</w:t>
      </w:r>
      <w:r>
        <w:rPr>
          <w:rFonts w:hint="eastAsia" w:ascii="宋体" w:hAnsi="宋体" w:eastAsia="宋体" w:cs="宋体"/>
          <w:color w:val="auto"/>
          <w:sz w:val="32"/>
          <w:szCs w:val="32"/>
          <w:highlight w:val="none"/>
        </w:rPr>
        <w:t>：</w:t>
      </w:r>
    </w:p>
    <w:tbl>
      <w:tblPr>
        <w:tblStyle w:val="45"/>
        <w:tblpPr w:leftFromText="180" w:rightFromText="180" w:vertAnchor="text" w:horzAnchor="page" w:tblpX="795" w:tblpY="744"/>
        <w:tblOverlap w:val="never"/>
        <w:tblW w:w="10412" w:type="dxa"/>
        <w:jc w:val="center"/>
        <w:tblLayout w:type="fixed"/>
        <w:tblCellMar>
          <w:top w:w="0" w:type="dxa"/>
          <w:left w:w="0" w:type="dxa"/>
          <w:bottom w:w="0" w:type="dxa"/>
          <w:right w:w="0" w:type="dxa"/>
        </w:tblCellMar>
      </w:tblPr>
      <w:tblGrid>
        <w:gridCol w:w="640"/>
        <w:gridCol w:w="689"/>
        <w:gridCol w:w="2928"/>
        <w:gridCol w:w="566"/>
        <w:gridCol w:w="702"/>
        <w:gridCol w:w="1030"/>
        <w:gridCol w:w="3857"/>
      </w:tblGrid>
      <w:tr w14:paraId="5745EAB2">
        <w:tblPrEx>
          <w:tblCellMar>
            <w:top w:w="0" w:type="dxa"/>
            <w:left w:w="0" w:type="dxa"/>
            <w:bottom w:w="0" w:type="dxa"/>
            <w:right w:w="0" w:type="dxa"/>
          </w:tblCellMar>
        </w:tblPrEx>
        <w:trPr>
          <w:trHeight w:val="435" w:hRule="atLeast"/>
          <w:jc w:val="center"/>
        </w:trPr>
        <w:tc>
          <w:tcPr>
            <w:tcW w:w="10412" w:type="dxa"/>
            <w:gridSpan w:val="7"/>
            <w:tcBorders>
              <w:top w:val="nil"/>
              <w:left w:val="nil"/>
              <w:bottom w:val="single" w:color="000000" w:sz="4" w:space="0"/>
              <w:right w:val="nil"/>
            </w:tcBorders>
            <w:noWrap w:val="0"/>
            <w:tcMar>
              <w:top w:w="15" w:type="dxa"/>
              <w:left w:w="15" w:type="dxa"/>
              <w:right w:w="15" w:type="dxa"/>
            </w:tcMar>
            <w:vAlign w:val="center"/>
          </w:tcPr>
          <w:p w14:paraId="53EB4CDA">
            <w:pPr>
              <w:widowControl/>
              <w:jc w:val="center"/>
              <w:textAlignment w:val="center"/>
              <w:rPr>
                <w:rFonts w:hint="eastAsia" w:ascii="宋体" w:hAnsi="宋体" w:eastAsia="宋体" w:cs="宋体"/>
                <w:b/>
                <w:color w:val="auto"/>
                <w:szCs w:val="32"/>
                <w:highlight w:val="none"/>
              </w:rPr>
            </w:pPr>
            <w:r>
              <w:rPr>
                <w:rFonts w:hint="eastAsia" w:ascii="宋体" w:hAnsi="宋体" w:eastAsia="宋体" w:cs="宋体"/>
                <w:b/>
                <w:color w:val="auto"/>
                <w:kern w:val="0"/>
                <w:szCs w:val="32"/>
                <w:highlight w:val="none"/>
                <w:u w:val="single"/>
                <w:lang w:bidi="ar"/>
              </w:rPr>
              <w:t xml:space="preserve">                      </w:t>
            </w:r>
            <w:r>
              <w:rPr>
                <w:rStyle w:val="149"/>
                <w:rFonts w:hint="eastAsia" w:ascii="宋体" w:hAnsi="宋体" w:eastAsia="宋体" w:cs="宋体"/>
                <w:b w:val="0"/>
                <w:color w:val="auto"/>
                <w:highlight w:val="none"/>
                <w:lang w:bidi="ar"/>
              </w:rPr>
              <w:t>项目工程量清单</w:t>
            </w:r>
            <w:r>
              <w:rPr>
                <w:rStyle w:val="149"/>
                <w:rFonts w:hint="eastAsia" w:ascii="宋体" w:hAnsi="宋体" w:eastAsia="宋体" w:cs="宋体"/>
                <w:b w:val="0"/>
                <w:color w:val="auto"/>
                <w:highlight w:val="none"/>
                <w:lang w:eastAsia="zh-CN" w:bidi="ar"/>
              </w:rPr>
              <w:t>及</w:t>
            </w:r>
            <w:r>
              <w:rPr>
                <w:rStyle w:val="149"/>
                <w:rFonts w:hint="eastAsia" w:ascii="宋体" w:hAnsi="宋体" w:eastAsia="宋体" w:cs="宋体"/>
                <w:b w:val="0"/>
                <w:color w:val="auto"/>
                <w:highlight w:val="none"/>
                <w:lang w:bidi="ar"/>
              </w:rPr>
              <w:t xml:space="preserve">最高投标限价编制质量考核表 </w:t>
            </w:r>
          </w:p>
        </w:tc>
      </w:tr>
      <w:tr w14:paraId="284BAF87">
        <w:tblPrEx>
          <w:tblCellMar>
            <w:top w:w="0" w:type="dxa"/>
            <w:left w:w="0" w:type="dxa"/>
            <w:bottom w:w="0" w:type="dxa"/>
            <w:right w:w="0" w:type="dxa"/>
          </w:tblCellMar>
        </w:tblPrEx>
        <w:trPr>
          <w:trHeight w:val="503"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47703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kern w:val="0"/>
                <w:sz w:val="22"/>
                <w:szCs w:val="22"/>
                <w:highlight w:val="none"/>
                <w:lang w:eastAsia="zh-CN" w:bidi="ar"/>
              </w:rPr>
              <w:t>序号</w:t>
            </w:r>
          </w:p>
        </w:tc>
        <w:tc>
          <w:tcPr>
            <w:tcW w:w="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6125D8">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指标</w:t>
            </w: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9066EB">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内容</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3A31C1">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总分</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41D8F6">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得分</w:t>
            </w: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439650">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打分说明</w:t>
            </w: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CD3286">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备注</w:t>
            </w:r>
          </w:p>
        </w:tc>
      </w:tr>
      <w:tr w14:paraId="27C981FF">
        <w:tblPrEx>
          <w:tblCellMar>
            <w:top w:w="0" w:type="dxa"/>
            <w:left w:w="0" w:type="dxa"/>
            <w:bottom w:w="0" w:type="dxa"/>
            <w:right w:w="0" w:type="dxa"/>
          </w:tblCellMar>
        </w:tblPrEx>
        <w:trPr>
          <w:trHeight w:val="90" w:hRule="atLeast"/>
          <w:jc w:val="center"/>
        </w:trPr>
        <w:tc>
          <w:tcPr>
            <w:tcW w:w="6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AA0F3DE">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一</w:t>
            </w:r>
          </w:p>
        </w:tc>
        <w:tc>
          <w:tcPr>
            <w:tcW w:w="68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A81AEC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基本考核分</w:t>
            </w: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9BD6CB">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人员能力是否具备胜任本项目需要</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B52DA3">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20</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8D76D1">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CB3EAE">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C88808">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eastAsia="zh-CN" w:bidi="ar"/>
              </w:rPr>
              <w:t>需在项目开始编制前向综合计划科报送编制审核组成员任命文件：</w:t>
            </w:r>
            <w:r>
              <w:rPr>
                <w:rFonts w:hint="eastAsia" w:ascii="宋体" w:hAnsi="宋体" w:eastAsia="宋体" w:cs="宋体"/>
                <w:color w:val="auto"/>
                <w:kern w:val="0"/>
                <w:sz w:val="24"/>
                <w:szCs w:val="24"/>
                <w:highlight w:val="none"/>
                <w:lang w:val="en-US" w:eastAsia="zh-CN" w:bidi="ar"/>
              </w:rPr>
              <w:t>5分</w:t>
            </w:r>
          </w:p>
          <w:p w14:paraId="2FA08CB6">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编制</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 xml:space="preserve">复核人员资格：5分                                      </w:t>
            </w:r>
          </w:p>
          <w:p w14:paraId="4BB90FCA">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会审汇报人员资格 ：</w:t>
            </w:r>
            <w:r>
              <w:rPr>
                <w:rFonts w:hint="eastAsia" w:ascii="宋体" w:hAnsi="宋体" w:eastAsia="宋体" w:cs="宋体"/>
                <w:color w:val="auto"/>
                <w:kern w:val="0"/>
                <w:sz w:val="24"/>
                <w:szCs w:val="24"/>
                <w:highlight w:val="none"/>
                <w:lang w:val="en-US" w:eastAsia="zh-CN" w:bidi="ar"/>
              </w:rPr>
              <w:t>10</w:t>
            </w:r>
            <w:r>
              <w:rPr>
                <w:rFonts w:hint="eastAsia" w:ascii="宋体" w:hAnsi="宋体" w:eastAsia="宋体" w:cs="宋体"/>
                <w:color w:val="auto"/>
                <w:kern w:val="0"/>
                <w:sz w:val="24"/>
                <w:szCs w:val="24"/>
                <w:highlight w:val="none"/>
                <w:lang w:bidi="ar"/>
              </w:rPr>
              <w:t xml:space="preserve">分                  </w:t>
            </w:r>
          </w:p>
        </w:tc>
      </w:tr>
      <w:tr w14:paraId="2AE1F268">
        <w:tblPrEx>
          <w:tblCellMar>
            <w:top w:w="0" w:type="dxa"/>
            <w:left w:w="0" w:type="dxa"/>
            <w:bottom w:w="0" w:type="dxa"/>
            <w:right w:w="0" w:type="dxa"/>
          </w:tblCellMar>
        </w:tblPrEx>
        <w:trPr>
          <w:trHeight w:val="541" w:hRule="atLeast"/>
          <w:jc w:val="center"/>
        </w:trPr>
        <w:tc>
          <w:tcPr>
            <w:tcW w:w="640" w:type="dxa"/>
            <w:vMerge w:val="continue"/>
            <w:tcBorders>
              <w:left w:val="single" w:color="000000" w:sz="4" w:space="0"/>
              <w:right w:val="single" w:color="000000" w:sz="4" w:space="0"/>
            </w:tcBorders>
            <w:noWrap w:val="0"/>
            <w:tcMar>
              <w:top w:w="15" w:type="dxa"/>
              <w:left w:w="15" w:type="dxa"/>
              <w:right w:w="15" w:type="dxa"/>
            </w:tcMar>
            <w:vAlign w:val="center"/>
          </w:tcPr>
          <w:p w14:paraId="235A8EEC">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1A50FB56">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3760F7">
            <w:pPr>
              <w:widowControl/>
              <w:numPr>
                <w:ilvl w:val="0"/>
                <w:numId w:val="0"/>
              </w:numPr>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现场踏勘</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195AFB">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10</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37B742">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5C7BB5">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DFA906">
            <w:pPr>
              <w:widowControl/>
              <w:jc w:val="left"/>
              <w:textAlignment w:val="center"/>
              <w:rPr>
                <w:rFonts w:hint="eastAsia" w:ascii="宋体" w:hAnsi="宋体" w:eastAsia="宋体" w:cs="宋体"/>
                <w:color w:val="auto"/>
                <w:sz w:val="24"/>
                <w:szCs w:val="24"/>
                <w:highlight w:val="none"/>
                <w:lang w:val="en-US" w:eastAsia="zh-CN"/>
              </w:rPr>
            </w:pPr>
          </w:p>
        </w:tc>
      </w:tr>
      <w:tr w14:paraId="3B2B88FF">
        <w:tblPrEx>
          <w:tblCellMar>
            <w:top w:w="0" w:type="dxa"/>
            <w:left w:w="0" w:type="dxa"/>
            <w:bottom w:w="0" w:type="dxa"/>
            <w:right w:w="0" w:type="dxa"/>
          </w:tblCellMar>
        </w:tblPrEx>
        <w:trPr>
          <w:trHeight w:val="1710" w:hRule="atLeast"/>
          <w:jc w:val="center"/>
        </w:trPr>
        <w:tc>
          <w:tcPr>
            <w:tcW w:w="640" w:type="dxa"/>
            <w:vMerge w:val="continue"/>
            <w:tcBorders>
              <w:left w:val="single" w:color="000000" w:sz="4" w:space="0"/>
              <w:right w:val="single" w:color="000000" w:sz="4" w:space="0"/>
            </w:tcBorders>
            <w:noWrap w:val="0"/>
            <w:tcMar>
              <w:top w:w="15" w:type="dxa"/>
              <w:left w:w="15" w:type="dxa"/>
              <w:right w:w="15" w:type="dxa"/>
            </w:tcMar>
            <w:vAlign w:val="center"/>
          </w:tcPr>
          <w:p w14:paraId="7E2E2589">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2A3425F7">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FB165B">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3.是否按时完成清单编制</w:t>
            </w:r>
            <w:r>
              <w:rPr>
                <w:rFonts w:hint="eastAsia" w:ascii="宋体" w:hAnsi="宋体" w:eastAsia="宋体" w:cs="宋体"/>
                <w:color w:val="auto"/>
                <w:kern w:val="0"/>
                <w:sz w:val="24"/>
                <w:szCs w:val="24"/>
                <w:highlight w:val="none"/>
                <w:lang w:bidi="ar"/>
              </w:rPr>
              <w:t>清单</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6043D3">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20</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B6AD26">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39C5AF">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F54627">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原则上</w:t>
            </w:r>
            <w:r>
              <w:rPr>
                <w:rStyle w:val="151"/>
                <w:rFonts w:hint="eastAsia" w:ascii="宋体" w:hAnsi="宋体" w:eastAsia="宋体" w:cs="宋体"/>
                <w:color w:val="auto"/>
                <w:sz w:val="24"/>
                <w:szCs w:val="24"/>
                <w:highlight w:val="none"/>
                <w:lang w:bidi="ar"/>
              </w:rPr>
              <w:t>500</w:t>
            </w:r>
            <w:r>
              <w:rPr>
                <w:rStyle w:val="152"/>
                <w:rFonts w:hint="eastAsia" w:ascii="宋体" w:hAnsi="宋体" w:eastAsia="宋体" w:cs="宋体"/>
                <w:color w:val="auto"/>
                <w:sz w:val="24"/>
                <w:szCs w:val="24"/>
                <w:highlight w:val="none"/>
                <w:lang w:bidi="ar"/>
              </w:rPr>
              <w:t>万元以下项目编制时间为</w:t>
            </w:r>
            <w:r>
              <w:rPr>
                <w:rStyle w:val="151"/>
                <w:rFonts w:hint="eastAsia" w:ascii="宋体" w:hAnsi="宋体" w:eastAsia="宋体" w:cs="宋体"/>
                <w:color w:val="auto"/>
                <w:sz w:val="24"/>
                <w:szCs w:val="24"/>
                <w:highlight w:val="none"/>
                <w:lang w:bidi="ar"/>
              </w:rPr>
              <w:t>7</w:t>
            </w:r>
            <w:r>
              <w:rPr>
                <w:rStyle w:val="152"/>
                <w:rFonts w:hint="eastAsia" w:ascii="宋体" w:hAnsi="宋体" w:eastAsia="宋体" w:cs="宋体"/>
                <w:color w:val="auto"/>
                <w:sz w:val="24"/>
                <w:szCs w:val="24"/>
                <w:highlight w:val="none"/>
                <w:lang w:bidi="ar"/>
              </w:rPr>
              <w:t>天,</w:t>
            </w:r>
            <w:r>
              <w:rPr>
                <w:rStyle w:val="151"/>
                <w:rFonts w:hint="eastAsia" w:ascii="宋体" w:hAnsi="宋体" w:eastAsia="宋体" w:cs="宋体"/>
                <w:color w:val="auto"/>
                <w:sz w:val="24"/>
                <w:szCs w:val="24"/>
                <w:highlight w:val="none"/>
                <w:lang w:bidi="ar"/>
              </w:rPr>
              <w:t>500-1000</w:t>
            </w:r>
            <w:r>
              <w:rPr>
                <w:rStyle w:val="152"/>
                <w:rFonts w:hint="eastAsia" w:ascii="宋体" w:hAnsi="宋体" w:eastAsia="宋体" w:cs="宋体"/>
                <w:color w:val="auto"/>
                <w:sz w:val="24"/>
                <w:szCs w:val="24"/>
                <w:highlight w:val="none"/>
                <w:lang w:bidi="ar"/>
              </w:rPr>
              <w:t>万元项目</w:t>
            </w:r>
            <w:r>
              <w:rPr>
                <w:rStyle w:val="151"/>
                <w:rFonts w:hint="eastAsia" w:ascii="宋体" w:hAnsi="宋体" w:eastAsia="宋体" w:cs="宋体"/>
                <w:color w:val="auto"/>
                <w:sz w:val="24"/>
                <w:szCs w:val="24"/>
                <w:highlight w:val="none"/>
                <w:lang w:bidi="ar"/>
              </w:rPr>
              <w:t>15</w:t>
            </w:r>
            <w:r>
              <w:rPr>
                <w:rStyle w:val="152"/>
                <w:rFonts w:hint="eastAsia" w:ascii="宋体" w:hAnsi="宋体" w:eastAsia="宋体" w:cs="宋体"/>
                <w:color w:val="auto"/>
                <w:sz w:val="24"/>
                <w:szCs w:val="24"/>
                <w:highlight w:val="none"/>
                <w:lang w:bidi="ar"/>
              </w:rPr>
              <w:t>天，</w:t>
            </w:r>
            <w:r>
              <w:rPr>
                <w:rStyle w:val="151"/>
                <w:rFonts w:hint="eastAsia" w:ascii="宋体" w:hAnsi="宋体" w:eastAsia="宋体" w:cs="宋体"/>
                <w:color w:val="auto"/>
                <w:sz w:val="24"/>
                <w:szCs w:val="24"/>
                <w:highlight w:val="none"/>
                <w:lang w:bidi="ar"/>
              </w:rPr>
              <w:t>1000</w:t>
            </w:r>
            <w:r>
              <w:rPr>
                <w:rStyle w:val="152"/>
                <w:rFonts w:hint="eastAsia" w:ascii="宋体" w:hAnsi="宋体" w:eastAsia="宋体" w:cs="宋体"/>
                <w:color w:val="auto"/>
                <w:sz w:val="24"/>
                <w:szCs w:val="24"/>
                <w:highlight w:val="none"/>
                <w:lang w:bidi="ar"/>
              </w:rPr>
              <w:t>万元</w:t>
            </w:r>
            <w:r>
              <w:rPr>
                <w:rStyle w:val="151"/>
                <w:rFonts w:hint="eastAsia" w:ascii="宋体" w:hAnsi="宋体" w:eastAsia="宋体" w:cs="宋体"/>
                <w:color w:val="auto"/>
                <w:sz w:val="24"/>
                <w:szCs w:val="24"/>
                <w:highlight w:val="none"/>
                <w:lang w:bidi="ar"/>
              </w:rPr>
              <w:t>-5000</w:t>
            </w:r>
            <w:r>
              <w:rPr>
                <w:rStyle w:val="152"/>
                <w:rFonts w:hint="eastAsia" w:ascii="宋体" w:hAnsi="宋体" w:eastAsia="宋体" w:cs="宋体"/>
                <w:color w:val="auto"/>
                <w:sz w:val="24"/>
                <w:szCs w:val="24"/>
                <w:highlight w:val="none"/>
                <w:lang w:bidi="ar"/>
              </w:rPr>
              <w:t>万元项目</w:t>
            </w:r>
            <w:r>
              <w:rPr>
                <w:rStyle w:val="151"/>
                <w:rFonts w:hint="eastAsia" w:ascii="宋体" w:hAnsi="宋体" w:eastAsia="宋体" w:cs="宋体"/>
                <w:color w:val="auto"/>
                <w:sz w:val="24"/>
                <w:szCs w:val="24"/>
                <w:highlight w:val="none"/>
                <w:lang w:bidi="ar"/>
              </w:rPr>
              <w:t>20</w:t>
            </w:r>
            <w:r>
              <w:rPr>
                <w:rStyle w:val="152"/>
                <w:rFonts w:hint="eastAsia" w:ascii="宋体" w:hAnsi="宋体" w:eastAsia="宋体" w:cs="宋体"/>
                <w:color w:val="auto"/>
                <w:sz w:val="24"/>
                <w:szCs w:val="24"/>
                <w:highlight w:val="none"/>
                <w:lang w:bidi="ar"/>
              </w:rPr>
              <w:t>天，</w:t>
            </w:r>
            <w:r>
              <w:rPr>
                <w:rStyle w:val="151"/>
                <w:rFonts w:hint="eastAsia" w:ascii="宋体" w:hAnsi="宋体" w:eastAsia="宋体" w:cs="宋体"/>
                <w:color w:val="auto"/>
                <w:sz w:val="24"/>
                <w:szCs w:val="24"/>
                <w:highlight w:val="none"/>
                <w:lang w:bidi="ar"/>
              </w:rPr>
              <w:t>5000</w:t>
            </w:r>
            <w:r>
              <w:rPr>
                <w:rStyle w:val="152"/>
                <w:rFonts w:hint="eastAsia" w:ascii="宋体" w:hAnsi="宋体" w:eastAsia="宋体" w:cs="宋体"/>
                <w:color w:val="auto"/>
                <w:sz w:val="24"/>
                <w:szCs w:val="24"/>
                <w:highlight w:val="none"/>
                <w:lang w:bidi="ar"/>
              </w:rPr>
              <w:t>万元</w:t>
            </w:r>
            <w:r>
              <w:rPr>
                <w:rStyle w:val="151"/>
                <w:rFonts w:hint="eastAsia" w:ascii="宋体" w:hAnsi="宋体" w:eastAsia="宋体" w:cs="宋体"/>
                <w:color w:val="auto"/>
                <w:sz w:val="24"/>
                <w:szCs w:val="24"/>
                <w:highlight w:val="none"/>
                <w:lang w:bidi="ar"/>
              </w:rPr>
              <w:t>-1</w:t>
            </w:r>
            <w:r>
              <w:rPr>
                <w:rStyle w:val="152"/>
                <w:rFonts w:hint="eastAsia" w:ascii="宋体" w:hAnsi="宋体" w:eastAsia="宋体" w:cs="宋体"/>
                <w:color w:val="auto"/>
                <w:sz w:val="24"/>
                <w:szCs w:val="24"/>
                <w:highlight w:val="none"/>
                <w:lang w:bidi="ar"/>
              </w:rPr>
              <w:t>亿元项目</w:t>
            </w:r>
            <w:r>
              <w:rPr>
                <w:rStyle w:val="151"/>
                <w:rFonts w:hint="eastAsia" w:ascii="宋体" w:hAnsi="宋体" w:eastAsia="宋体" w:cs="宋体"/>
                <w:color w:val="auto"/>
                <w:sz w:val="24"/>
                <w:szCs w:val="24"/>
                <w:highlight w:val="none"/>
                <w:lang w:bidi="ar"/>
              </w:rPr>
              <w:t>25</w:t>
            </w:r>
            <w:r>
              <w:rPr>
                <w:rStyle w:val="152"/>
                <w:rFonts w:hint="eastAsia" w:ascii="宋体" w:hAnsi="宋体" w:eastAsia="宋体" w:cs="宋体"/>
                <w:color w:val="auto"/>
                <w:sz w:val="24"/>
                <w:szCs w:val="24"/>
                <w:highlight w:val="none"/>
                <w:lang w:bidi="ar"/>
              </w:rPr>
              <w:t>天，</w:t>
            </w:r>
            <w:r>
              <w:rPr>
                <w:rStyle w:val="151"/>
                <w:rFonts w:hint="eastAsia" w:ascii="宋体" w:hAnsi="宋体" w:eastAsia="宋体" w:cs="宋体"/>
                <w:color w:val="auto"/>
                <w:sz w:val="24"/>
                <w:szCs w:val="24"/>
                <w:highlight w:val="none"/>
                <w:lang w:bidi="ar"/>
              </w:rPr>
              <w:t>1</w:t>
            </w:r>
            <w:r>
              <w:rPr>
                <w:rStyle w:val="152"/>
                <w:rFonts w:hint="eastAsia" w:ascii="宋体" w:hAnsi="宋体" w:eastAsia="宋体" w:cs="宋体"/>
                <w:color w:val="auto"/>
                <w:sz w:val="24"/>
                <w:szCs w:val="24"/>
                <w:highlight w:val="none"/>
                <w:lang w:bidi="ar"/>
              </w:rPr>
              <w:t>亿元以上项目不低于</w:t>
            </w:r>
            <w:r>
              <w:rPr>
                <w:rStyle w:val="151"/>
                <w:rFonts w:hint="eastAsia" w:ascii="宋体" w:hAnsi="宋体" w:eastAsia="宋体" w:cs="宋体"/>
                <w:color w:val="auto"/>
                <w:sz w:val="24"/>
                <w:szCs w:val="24"/>
                <w:highlight w:val="none"/>
                <w:lang w:bidi="ar"/>
              </w:rPr>
              <w:t>30</w:t>
            </w:r>
            <w:r>
              <w:rPr>
                <w:rStyle w:val="152"/>
                <w:rFonts w:hint="eastAsia" w:ascii="宋体" w:hAnsi="宋体" w:eastAsia="宋体" w:cs="宋体"/>
                <w:color w:val="auto"/>
                <w:sz w:val="24"/>
                <w:szCs w:val="24"/>
                <w:highlight w:val="none"/>
                <w:lang w:bidi="ar"/>
              </w:rPr>
              <w:t>天，特殊项目经处领导同意可以适当缩短或延长编制时间</w:t>
            </w:r>
            <w:r>
              <w:rPr>
                <w:rStyle w:val="152"/>
                <w:rFonts w:hint="eastAsia" w:ascii="宋体" w:hAnsi="宋体" w:eastAsia="宋体" w:cs="宋体"/>
                <w:color w:val="auto"/>
                <w:sz w:val="24"/>
                <w:szCs w:val="24"/>
                <w:highlight w:val="none"/>
                <w:lang w:eastAsia="zh-CN" w:bidi="ar"/>
              </w:rPr>
              <w:t>。每延误</w:t>
            </w:r>
            <w:r>
              <w:rPr>
                <w:rStyle w:val="152"/>
                <w:rFonts w:hint="eastAsia" w:ascii="宋体" w:hAnsi="宋体" w:eastAsia="宋体" w:cs="宋体"/>
                <w:color w:val="auto"/>
                <w:sz w:val="24"/>
                <w:szCs w:val="24"/>
                <w:highlight w:val="none"/>
                <w:lang w:val="en-US" w:eastAsia="zh-CN" w:bidi="ar"/>
              </w:rPr>
              <w:t>1</w:t>
            </w:r>
            <w:r>
              <w:rPr>
                <w:rStyle w:val="152"/>
                <w:rFonts w:hint="eastAsia" w:ascii="宋体" w:hAnsi="宋体" w:eastAsia="宋体" w:cs="宋体"/>
                <w:color w:val="auto"/>
                <w:sz w:val="24"/>
                <w:szCs w:val="24"/>
                <w:highlight w:val="none"/>
                <w:lang w:eastAsia="zh-CN" w:bidi="ar"/>
              </w:rPr>
              <w:t>天扣</w:t>
            </w:r>
            <w:r>
              <w:rPr>
                <w:rStyle w:val="152"/>
                <w:rFonts w:hint="eastAsia" w:ascii="宋体" w:hAnsi="宋体" w:eastAsia="宋体" w:cs="宋体"/>
                <w:color w:val="auto"/>
                <w:sz w:val="24"/>
                <w:szCs w:val="24"/>
                <w:highlight w:val="none"/>
                <w:lang w:val="en-US" w:eastAsia="zh-CN" w:bidi="ar"/>
              </w:rPr>
              <w:t>1分，扣完为止。</w:t>
            </w:r>
          </w:p>
        </w:tc>
      </w:tr>
      <w:tr w14:paraId="06EE182A">
        <w:tblPrEx>
          <w:tblCellMar>
            <w:top w:w="0" w:type="dxa"/>
            <w:left w:w="0" w:type="dxa"/>
            <w:bottom w:w="0" w:type="dxa"/>
            <w:right w:w="0" w:type="dxa"/>
          </w:tblCellMar>
        </w:tblPrEx>
        <w:trPr>
          <w:trHeight w:val="480" w:hRule="atLeast"/>
          <w:jc w:val="center"/>
        </w:trPr>
        <w:tc>
          <w:tcPr>
            <w:tcW w:w="640" w:type="dxa"/>
            <w:vMerge w:val="continue"/>
            <w:tcBorders>
              <w:left w:val="single" w:color="000000" w:sz="4" w:space="0"/>
              <w:right w:val="single" w:color="000000" w:sz="4" w:space="0"/>
            </w:tcBorders>
            <w:noWrap w:val="0"/>
            <w:tcMar>
              <w:top w:w="15" w:type="dxa"/>
              <w:left w:w="15" w:type="dxa"/>
              <w:right w:w="15" w:type="dxa"/>
            </w:tcMar>
            <w:vAlign w:val="center"/>
          </w:tcPr>
          <w:p w14:paraId="6F2E2BB9">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41C636D2">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46B471">
            <w:pPr>
              <w:widowControl/>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会审发现错漏情况</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4D7C62">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20</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416840">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8EDC34">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0C4C0B">
            <w:pPr>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本项基本分</w:t>
            </w:r>
            <w:r>
              <w:rPr>
                <w:rFonts w:hint="eastAsia" w:ascii="宋体" w:hAnsi="宋体" w:eastAsia="宋体" w:cs="宋体"/>
                <w:color w:val="auto"/>
                <w:kern w:val="0"/>
                <w:sz w:val="24"/>
                <w:szCs w:val="24"/>
                <w:highlight w:val="none"/>
                <w:lang w:val="en-US" w:eastAsia="zh-CN" w:bidi="ar"/>
              </w:rPr>
              <w:t>20</w:t>
            </w:r>
            <w:r>
              <w:rPr>
                <w:rFonts w:hint="eastAsia" w:ascii="宋体" w:hAnsi="宋体" w:eastAsia="宋体" w:cs="宋体"/>
                <w:color w:val="auto"/>
                <w:kern w:val="0"/>
                <w:sz w:val="24"/>
                <w:szCs w:val="24"/>
                <w:highlight w:val="none"/>
                <w:lang w:bidi="ar"/>
              </w:rPr>
              <w:t>分，出现</w:t>
            </w:r>
            <w:r>
              <w:rPr>
                <w:rFonts w:hint="eastAsia" w:ascii="宋体" w:hAnsi="宋体" w:eastAsia="宋体" w:cs="宋体"/>
                <w:color w:val="auto"/>
                <w:kern w:val="0"/>
                <w:sz w:val="24"/>
                <w:szCs w:val="24"/>
                <w:highlight w:val="none"/>
                <w:lang w:eastAsia="zh-CN" w:bidi="ar"/>
              </w:rPr>
              <w:t>单项</w:t>
            </w:r>
            <w:r>
              <w:rPr>
                <w:rFonts w:hint="eastAsia" w:ascii="宋体" w:hAnsi="宋体" w:eastAsia="宋体" w:cs="宋体"/>
                <w:color w:val="auto"/>
                <w:kern w:val="0"/>
                <w:sz w:val="24"/>
                <w:szCs w:val="24"/>
                <w:highlight w:val="none"/>
                <w:lang w:bidi="ar"/>
              </w:rPr>
              <w:t>工程量计算误差超过15%每项扣1分，清单描述错误或未描述或描述不清楚或组价错误每项扣2分，取费错误每项扣5分，扣完为止</w:t>
            </w:r>
          </w:p>
        </w:tc>
      </w:tr>
      <w:tr w14:paraId="1EA0C599">
        <w:tblPrEx>
          <w:tblCellMar>
            <w:top w:w="0" w:type="dxa"/>
            <w:left w:w="0" w:type="dxa"/>
            <w:bottom w:w="0" w:type="dxa"/>
            <w:right w:w="0" w:type="dxa"/>
          </w:tblCellMar>
        </w:tblPrEx>
        <w:trPr>
          <w:trHeight w:val="932" w:hRule="atLeast"/>
          <w:jc w:val="center"/>
        </w:trPr>
        <w:tc>
          <w:tcPr>
            <w:tcW w:w="640" w:type="dxa"/>
            <w:vMerge w:val="continue"/>
            <w:tcBorders>
              <w:left w:val="single" w:color="000000" w:sz="4" w:space="0"/>
              <w:right w:val="single" w:color="000000" w:sz="4" w:space="0"/>
            </w:tcBorders>
            <w:noWrap w:val="0"/>
            <w:tcMar>
              <w:top w:w="15" w:type="dxa"/>
              <w:left w:w="15" w:type="dxa"/>
              <w:right w:w="15" w:type="dxa"/>
            </w:tcMar>
            <w:vAlign w:val="center"/>
          </w:tcPr>
          <w:p w14:paraId="70EF0C98">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3D7BBFBC">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48855A">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成果文件修改定稿时间满足会议要求</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F42BB8">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10</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CA608E">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8B631C">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848488">
            <w:pPr>
              <w:jc w:val="left"/>
              <w:rPr>
                <w:rFonts w:hint="eastAsia" w:ascii="宋体" w:hAnsi="宋体" w:eastAsia="宋体" w:cs="宋体"/>
                <w:color w:val="auto"/>
                <w:sz w:val="24"/>
                <w:szCs w:val="24"/>
                <w:highlight w:val="none"/>
              </w:rPr>
            </w:pPr>
          </w:p>
        </w:tc>
      </w:tr>
      <w:tr w14:paraId="2656486A">
        <w:tblPrEx>
          <w:tblCellMar>
            <w:top w:w="0" w:type="dxa"/>
            <w:left w:w="0" w:type="dxa"/>
            <w:bottom w:w="0" w:type="dxa"/>
            <w:right w:w="0" w:type="dxa"/>
          </w:tblCellMar>
        </w:tblPrEx>
        <w:trPr>
          <w:trHeight w:val="872" w:hRule="atLeast"/>
          <w:jc w:val="center"/>
        </w:trPr>
        <w:tc>
          <w:tcPr>
            <w:tcW w:w="640" w:type="dxa"/>
            <w:vMerge w:val="continue"/>
            <w:tcBorders>
              <w:left w:val="single" w:color="000000" w:sz="4" w:space="0"/>
              <w:right w:val="single" w:color="000000" w:sz="4" w:space="0"/>
            </w:tcBorders>
            <w:noWrap w:val="0"/>
            <w:tcMar>
              <w:top w:w="15" w:type="dxa"/>
              <w:left w:w="15" w:type="dxa"/>
              <w:right w:w="15" w:type="dxa"/>
            </w:tcMar>
            <w:vAlign w:val="center"/>
          </w:tcPr>
          <w:p w14:paraId="5F6BE33E">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559511DF">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03F952">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eastAsia="zh-CN" w:bidi="ar"/>
              </w:rPr>
              <w:t>备忘录（</w:t>
            </w:r>
            <w:r>
              <w:rPr>
                <w:rFonts w:hint="eastAsia" w:ascii="宋体" w:hAnsi="宋体" w:eastAsia="宋体" w:cs="宋体"/>
                <w:color w:val="auto"/>
                <w:kern w:val="0"/>
                <w:sz w:val="24"/>
                <w:szCs w:val="24"/>
                <w:highlight w:val="none"/>
                <w:lang w:bidi="ar"/>
              </w:rPr>
              <w:t>编制说明</w:t>
            </w:r>
            <w:r>
              <w:rPr>
                <w:rFonts w:hint="eastAsia" w:ascii="宋体" w:hAnsi="宋体" w:eastAsia="宋体" w:cs="宋体"/>
                <w:color w:val="auto"/>
                <w:kern w:val="0"/>
                <w:sz w:val="24"/>
                <w:szCs w:val="24"/>
                <w:highlight w:val="none"/>
                <w:lang w:eastAsia="zh-CN" w:bidi="ar"/>
              </w:rPr>
              <w:t>）</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8A37DC">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10</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1F7937">
            <w:pPr>
              <w:jc w:val="left"/>
              <w:rPr>
                <w:rFonts w:hint="eastAsia" w:ascii="宋体" w:hAnsi="宋体" w:eastAsia="宋体" w:cs="宋体"/>
                <w:b/>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A6CC21">
            <w:pPr>
              <w:jc w:val="left"/>
              <w:rPr>
                <w:rFonts w:hint="eastAsia" w:ascii="宋体" w:hAnsi="宋体" w:eastAsia="宋体" w:cs="宋体"/>
                <w:b/>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7CAE35">
            <w:pPr>
              <w:jc w:val="left"/>
              <w:rPr>
                <w:rFonts w:hint="eastAsia" w:ascii="宋体" w:hAnsi="宋体" w:eastAsia="宋体" w:cs="宋体"/>
                <w:color w:val="auto"/>
                <w:sz w:val="24"/>
                <w:szCs w:val="24"/>
                <w:highlight w:val="none"/>
              </w:rPr>
            </w:pPr>
          </w:p>
        </w:tc>
      </w:tr>
      <w:tr w14:paraId="116614D6">
        <w:tblPrEx>
          <w:tblCellMar>
            <w:top w:w="0" w:type="dxa"/>
            <w:left w:w="0" w:type="dxa"/>
            <w:bottom w:w="0" w:type="dxa"/>
            <w:right w:w="0" w:type="dxa"/>
          </w:tblCellMar>
        </w:tblPrEx>
        <w:trPr>
          <w:trHeight w:val="90" w:hRule="atLeast"/>
          <w:jc w:val="center"/>
        </w:trPr>
        <w:tc>
          <w:tcPr>
            <w:tcW w:w="640"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14:paraId="66EEB794">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14:paraId="1C7842D1">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73EBB42">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7.业主综合评价</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612CD0">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10</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4EDC37">
            <w:pPr>
              <w:jc w:val="left"/>
              <w:rPr>
                <w:rFonts w:hint="eastAsia" w:ascii="宋体" w:hAnsi="宋体" w:eastAsia="宋体" w:cs="宋体"/>
                <w:b/>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51CE54">
            <w:pPr>
              <w:jc w:val="left"/>
              <w:rPr>
                <w:rFonts w:hint="eastAsia" w:ascii="宋体" w:hAnsi="宋体" w:eastAsia="宋体" w:cs="宋体"/>
                <w:b/>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7630E9">
            <w:pPr>
              <w:jc w:val="left"/>
              <w:rPr>
                <w:rFonts w:hint="eastAsia" w:ascii="宋体" w:hAnsi="宋体" w:eastAsia="宋体" w:cs="宋体"/>
                <w:color w:val="auto"/>
                <w:sz w:val="24"/>
                <w:szCs w:val="24"/>
                <w:highlight w:val="none"/>
              </w:rPr>
            </w:pPr>
          </w:p>
        </w:tc>
      </w:tr>
      <w:tr w14:paraId="469D4441">
        <w:tblPrEx>
          <w:tblCellMar>
            <w:top w:w="0" w:type="dxa"/>
            <w:left w:w="0" w:type="dxa"/>
            <w:bottom w:w="0" w:type="dxa"/>
            <w:right w:w="0" w:type="dxa"/>
          </w:tblCellMar>
        </w:tblPrEx>
        <w:trPr>
          <w:trHeight w:val="1400" w:hRule="atLeast"/>
          <w:jc w:val="center"/>
        </w:trPr>
        <w:tc>
          <w:tcPr>
            <w:tcW w:w="64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53E7A5">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二</w:t>
            </w:r>
          </w:p>
        </w:tc>
        <w:tc>
          <w:tcPr>
            <w:tcW w:w="68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49A8AF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扣分项</w:t>
            </w:r>
          </w:p>
        </w:tc>
        <w:tc>
          <w:tcPr>
            <w:tcW w:w="292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68BCD8">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8.</w:t>
            </w:r>
            <w:r>
              <w:rPr>
                <w:rFonts w:hint="eastAsia" w:ascii="宋体" w:hAnsi="宋体" w:eastAsia="宋体" w:cs="宋体"/>
                <w:color w:val="auto"/>
                <w:kern w:val="0"/>
                <w:sz w:val="24"/>
                <w:szCs w:val="24"/>
                <w:highlight w:val="none"/>
                <w:lang w:bidi="ar"/>
              </w:rPr>
              <w:t>存在转包、违法分包嫌疑</w:t>
            </w:r>
          </w:p>
        </w:tc>
        <w:tc>
          <w:tcPr>
            <w:tcW w:w="56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08F9ED5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A15196">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33897F">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14EAAB">
            <w:pPr>
              <w:widowControl/>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编制人员与投标</w:t>
            </w:r>
            <w:r>
              <w:rPr>
                <w:rFonts w:hint="eastAsia" w:ascii="宋体" w:hAnsi="宋体" w:eastAsia="宋体" w:cs="宋体"/>
                <w:color w:val="auto"/>
                <w:kern w:val="0"/>
                <w:sz w:val="24"/>
                <w:szCs w:val="24"/>
                <w:highlight w:val="none"/>
                <w:lang w:eastAsia="zh-CN" w:bidi="ar"/>
              </w:rPr>
              <w:t>时</w:t>
            </w:r>
            <w:r>
              <w:rPr>
                <w:rFonts w:hint="eastAsia" w:ascii="宋体" w:hAnsi="宋体" w:eastAsia="宋体" w:cs="宋体"/>
                <w:color w:val="auto"/>
                <w:kern w:val="0"/>
                <w:sz w:val="24"/>
                <w:szCs w:val="24"/>
                <w:highlight w:val="none"/>
                <w:lang w:bidi="ar"/>
              </w:rPr>
              <w:t>人员一致；成果文件签章人员与实际编制人员一致；人员变更报送批准，且变更人员符合项目招标时人员配备要求，不符合要求</w:t>
            </w:r>
            <w:r>
              <w:rPr>
                <w:rFonts w:hint="eastAsia" w:ascii="宋体" w:hAnsi="宋体" w:eastAsia="宋体" w:cs="宋体"/>
                <w:color w:val="auto"/>
                <w:kern w:val="0"/>
                <w:sz w:val="24"/>
                <w:szCs w:val="24"/>
                <w:highlight w:val="none"/>
                <w:lang w:eastAsia="zh-CN" w:bidi="ar"/>
              </w:rPr>
              <w:t>的每项</w:t>
            </w:r>
            <w:r>
              <w:rPr>
                <w:rFonts w:hint="eastAsia" w:ascii="宋体" w:hAnsi="宋体" w:eastAsia="宋体" w:cs="宋体"/>
                <w:color w:val="auto"/>
                <w:kern w:val="0"/>
                <w:sz w:val="24"/>
                <w:szCs w:val="24"/>
                <w:highlight w:val="none"/>
                <w:lang w:bidi="ar"/>
              </w:rPr>
              <w:t>扣10分</w:t>
            </w:r>
          </w:p>
        </w:tc>
      </w:tr>
      <w:tr w14:paraId="407CB5B4">
        <w:tblPrEx>
          <w:tblCellMar>
            <w:top w:w="0" w:type="dxa"/>
            <w:left w:w="0" w:type="dxa"/>
            <w:bottom w:w="0" w:type="dxa"/>
            <w:right w:w="0" w:type="dxa"/>
          </w:tblCellMar>
        </w:tblPrEx>
        <w:trPr>
          <w:trHeight w:val="1061" w:hRule="atLeast"/>
          <w:jc w:val="center"/>
        </w:trPr>
        <w:tc>
          <w:tcPr>
            <w:tcW w:w="640" w:type="dxa"/>
            <w:vMerge w:val="continue"/>
            <w:tcBorders>
              <w:top w:val="single" w:color="auto" w:sz="4" w:space="0"/>
              <w:left w:val="single" w:color="auto" w:sz="4" w:space="0"/>
              <w:right w:val="single" w:color="000000" w:sz="4" w:space="0"/>
            </w:tcBorders>
            <w:noWrap w:val="0"/>
            <w:tcMar>
              <w:top w:w="15" w:type="dxa"/>
              <w:left w:w="15" w:type="dxa"/>
              <w:right w:w="15" w:type="dxa"/>
            </w:tcMar>
            <w:vAlign w:val="center"/>
          </w:tcPr>
          <w:p w14:paraId="4141160B">
            <w:pPr>
              <w:jc w:val="center"/>
              <w:rPr>
                <w:rFonts w:hint="eastAsia" w:ascii="宋体" w:hAnsi="宋体" w:eastAsia="宋体" w:cs="宋体"/>
                <w:color w:val="auto"/>
                <w:sz w:val="24"/>
                <w:szCs w:val="24"/>
                <w:highlight w:val="none"/>
              </w:rPr>
            </w:pPr>
          </w:p>
        </w:tc>
        <w:tc>
          <w:tcPr>
            <w:tcW w:w="689" w:type="dxa"/>
            <w:vMerge w:val="continue"/>
            <w:tcBorders>
              <w:top w:val="single" w:color="auto" w:sz="4" w:space="0"/>
              <w:left w:val="single" w:color="000000" w:sz="4" w:space="0"/>
              <w:right w:val="single" w:color="000000" w:sz="4" w:space="0"/>
            </w:tcBorders>
            <w:noWrap w:val="0"/>
            <w:tcMar>
              <w:top w:w="15" w:type="dxa"/>
              <w:left w:w="15" w:type="dxa"/>
              <w:right w:w="15" w:type="dxa"/>
            </w:tcMar>
            <w:vAlign w:val="center"/>
          </w:tcPr>
          <w:p w14:paraId="455D43FE">
            <w:pPr>
              <w:jc w:val="center"/>
              <w:rPr>
                <w:rFonts w:hint="eastAsia" w:ascii="宋体" w:hAnsi="宋体" w:eastAsia="宋体" w:cs="宋体"/>
                <w:color w:val="auto"/>
                <w:sz w:val="24"/>
                <w:szCs w:val="24"/>
                <w:highlight w:val="none"/>
              </w:rPr>
            </w:pPr>
          </w:p>
        </w:tc>
        <w:tc>
          <w:tcPr>
            <w:tcW w:w="292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E786C5">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9.</w:t>
            </w:r>
            <w:r>
              <w:rPr>
                <w:rFonts w:hint="eastAsia" w:ascii="宋体" w:hAnsi="宋体" w:eastAsia="宋体" w:cs="宋体"/>
                <w:color w:val="auto"/>
                <w:kern w:val="0"/>
                <w:sz w:val="24"/>
                <w:szCs w:val="24"/>
                <w:highlight w:val="none"/>
                <w:lang w:bidi="ar"/>
              </w:rPr>
              <w:t>施工过程中发现清单错漏单项</w:t>
            </w:r>
            <w:r>
              <w:rPr>
                <w:rFonts w:hint="eastAsia" w:ascii="宋体" w:hAnsi="宋体" w:eastAsia="宋体" w:cs="宋体"/>
                <w:color w:val="auto"/>
                <w:kern w:val="0"/>
                <w:sz w:val="24"/>
                <w:szCs w:val="24"/>
                <w:highlight w:val="none"/>
                <w:lang w:val="en-US" w:eastAsia="zh-CN" w:bidi="ar"/>
              </w:rPr>
              <w:t>5万元（含）-30万元（不含）的</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D7A29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41783B">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E9B6F6">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F448B8">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每次扣5分</w:t>
            </w:r>
          </w:p>
        </w:tc>
      </w:tr>
      <w:tr w14:paraId="7A0F8B84">
        <w:tblPrEx>
          <w:tblCellMar>
            <w:top w:w="0" w:type="dxa"/>
            <w:left w:w="0" w:type="dxa"/>
            <w:bottom w:w="0" w:type="dxa"/>
            <w:right w:w="0" w:type="dxa"/>
          </w:tblCellMar>
        </w:tblPrEx>
        <w:trPr>
          <w:trHeight w:val="1061" w:hRule="atLeast"/>
          <w:jc w:val="center"/>
        </w:trPr>
        <w:tc>
          <w:tcPr>
            <w:tcW w:w="640" w:type="dxa"/>
            <w:vMerge w:val="continue"/>
            <w:tcBorders>
              <w:left w:val="single" w:color="auto" w:sz="4" w:space="0"/>
              <w:right w:val="single" w:color="000000" w:sz="4" w:space="0"/>
            </w:tcBorders>
            <w:noWrap w:val="0"/>
            <w:tcMar>
              <w:top w:w="15" w:type="dxa"/>
              <w:left w:w="15" w:type="dxa"/>
              <w:right w:w="15" w:type="dxa"/>
            </w:tcMar>
            <w:vAlign w:val="center"/>
          </w:tcPr>
          <w:p w14:paraId="50B7267D">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6C9D74FC">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67416A">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10.</w:t>
            </w:r>
            <w:r>
              <w:rPr>
                <w:rFonts w:hint="eastAsia" w:ascii="宋体" w:hAnsi="宋体" w:eastAsia="宋体" w:cs="宋体"/>
                <w:color w:val="auto"/>
                <w:kern w:val="0"/>
                <w:sz w:val="24"/>
                <w:szCs w:val="24"/>
                <w:highlight w:val="none"/>
                <w:lang w:bidi="ar"/>
              </w:rPr>
              <w:t>施工过程中发现清单错漏</w:t>
            </w:r>
            <w:r>
              <w:rPr>
                <w:rFonts w:hint="eastAsia" w:ascii="宋体" w:hAnsi="宋体" w:eastAsia="宋体" w:cs="宋体"/>
                <w:color w:val="auto"/>
                <w:kern w:val="0"/>
                <w:sz w:val="24"/>
                <w:szCs w:val="24"/>
                <w:highlight w:val="none"/>
                <w:lang w:eastAsia="zh-CN" w:bidi="ar"/>
              </w:rPr>
              <w:t>累计</w:t>
            </w:r>
            <w:r>
              <w:rPr>
                <w:rFonts w:hint="eastAsia" w:ascii="宋体" w:hAnsi="宋体" w:eastAsia="宋体" w:cs="宋体"/>
                <w:color w:val="auto"/>
                <w:kern w:val="0"/>
                <w:sz w:val="24"/>
                <w:szCs w:val="24"/>
                <w:highlight w:val="none"/>
                <w:lang w:val="en-US" w:eastAsia="zh-CN" w:bidi="ar"/>
              </w:rPr>
              <w:t>30万元（含）-50万元（不含）的</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1183B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540229">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44E67C">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7F2913">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扣</w:t>
            </w:r>
            <w:r>
              <w:rPr>
                <w:rFonts w:hint="eastAsia" w:ascii="宋体" w:hAnsi="宋体" w:eastAsia="宋体" w:cs="宋体"/>
                <w:color w:val="auto"/>
                <w:kern w:val="0"/>
                <w:sz w:val="24"/>
                <w:szCs w:val="24"/>
                <w:highlight w:val="none"/>
                <w:lang w:val="en-US" w:eastAsia="zh-CN" w:bidi="ar"/>
              </w:rPr>
              <w:t>10</w:t>
            </w:r>
            <w:r>
              <w:rPr>
                <w:rFonts w:hint="eastAsia" w:ascii="宋体" w:hAnsi="宋体" w:eastAsia="宋体" w:cs="宋体"/>
                <w:color w:val="auto"/>
                <w:kern w:val="0"/>
                <w:sz w:val="24"/>
                <w:szCs w:val="24"/>
                <w:highlight w:val="none"/>
                <w:lang w:bidi="ar"/>
              </w:rPr>
              <w:t>分</w:t>
            </w:r>
          </w:p>
        </w:tc>
      </w:tr>
      <w:tr w14:paraId="7F261B70">
        <w:tblPrEx>
          <w:tblCellMar>
            <w:top w:w="0" w:type="dxa"/>
            <w:left w:w="0" w:type="dxa"/>
            <w:bottom w:w="0" w:type="dxa"/>
            <w:right w:w="0" w:type="dxa"/>
          </w:tblCellMar>
        </w:tblPrEx>
        <w:trPr>
          <w:trHeight w:val="1061" w:hRule="atLeast"/>
          <w:jc w:val="center"/>
        </w:trPr>
        <w:tc>
          <w:tcPr>
            <w:tcW w:w="640" w:type="dxa"/>
            <w:vMerge w:val="continue"/>
            <w:tcBorders>
              <w:left w:val="single" w:color="auto" w:sz="4" w:space="0"/>
              <w:right w:val="single" w:color="000000" w:sz="4" w:space="0"/>
            </w:tcBorders>
            <w:noWrap w:val="0"/>
            <w:tcMar>
              <w:top w:w="15" w:type="dxa"/>
              <w:left w:w="15" w:type="dxa"/>
              <w:right w:w="15" w:type="dxa"/>
            </w:tcMar>
            <w:vAlign w:val="center"/>
          </w:tcPr>
          <w:p w14:paraId="50ECB03B">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6AA9212D">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9D8578">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11.</w:t>
            </w:r>
            <w:r>
              <w:rPr>
                <w:rFonts w:hint="eastAsia" w:ascii="宋体" w:hAnsi="宋体" w:eastAsia="宋体" w:cs="宋体"/>
                <w:color w:val="auto"/>
                <w:kern w:val="0"/>
                <w:sz w:val="24"/>
                <w:szCs w:val="24"/>
                <w:highlight w:val="none"/>
                <w:lang w:bidi="ar"/>
              </w:rPr>
              <w:t>施工过程中发现清单错漏</w:t>
            </w:r>
            <w:r>
              <w:rPr>
                <w:rFonts w:hint="eastAsia" w:ascii="宋体" w:hAnsi="宋体" w:eastAsia="宋体" w:cs="宋体"/>
                <w:color w:val="auto"/>
                <w:kern w:val="0"/>
                <w:sz w:val="24"/>
                <w:szCs w:val="24"/>
                <w:highlight w:val="none"/>
                <w:lang w:eastAsia="zh-CN" w:bidi="ar"/>
              </w:rPr>
              <w:t>累计</w:t>
            </w:r>
            <w:r>
              <w:rPr>
                <w:rFonts w:hint="eastAsia" w:ascii="宋体" w:hAnsi="宋体" w:eastAsia="宋体" w:cs="宋体"/>
                <w:color w:val="auto"/>
                <w:kern w:val="0"/>
                <w:sz w:val="24"/>
                <w:szCs w:val="24"/>
                <w:highlight w:val="none"/>
                <w:lang w:val="en-US" w:eastAsia="zh-CN" w:bidi="ar"/>
              </w:rPr>
              <w:t>50万元（含）-100万元（不含）的</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6DC382">
            <w:pPr>
              <w:widowControl/>
              <w:jc w:val="center"/>
              <w:textAlignment w:val="center"/>
              <w:rPr>
                <w:rFonts w:hint="eastAsia" w:ascii="宋体" w:hAnsi="宋体" w:eastAsia="宋体" w:cs="宋体"/>
                <w:color w:val="auto"/>
                <w:kern w:val="0"/>
                <w:sz w:val="24"/>
                <w:szCs w:val="24"/>
                <w:highlight w:val="none"/>
                <w:lang w:bidi="ar"/>
              </w:rPr>
            </w:pP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3DB37E">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BC20A6">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2EA67C">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扣</w:t>
            </w:r>
            <w:r>
              <w:rPr>
                <w:rFonts w:hint="eastAsia" w:ascii="宋体" w:hAnsi="宋体" w:eastAsia="宋体" w:cs="宋体"/>
                <w:color w:val="auto"/>
                <w:kern w:val="0"/>
                <w:sz w:val="24"/>
                <w:szCs w:val="24"/>
                <w:highlight w:val="none"/>
                <w:lang w:val="en-US" w:eastAsia="zh-CN" w:bidi="ar"/>
              </w:rPr>
              <w:t>20</w:t>
            </w:r>
            <w:r>
              <w:rPr>
                <w:rFonts w:hint="eastAsia" w:ascii="宋体" w:hAnsi="宋体" w:eastAsia="宋体" w:cs="宋体"/>
                <w:color w:val="auto"/>
                <w:kern w:val="0"/>
                <w:sz w:val="24"/>
                <w:szCs w:val="24"/>
                <w:highlight w:val="none"/>
                <w:lang w:bidi="ar"/>
              </w:rPr>
              <w:t>分</w:t>
            </w:r>
          </w:p>
        </w:tc>
      </w:tr>
      <w:tr w14:paraId="6A74C286">
        <w:tblPrEx>
          <w:tblCellMar>
            <w:top w:w="0" w:type="dxa"/>
            <w:left w:w="0" w:type="dxa"/>
            <w:bottom w:w="0" w:type="dxa"/>
            <w:right w:w="0" w:type="dxa"/>
          </w:tblCellMar>
        </w:tblPrEx>
        <w:trPr>
          <w:trHeight w:val="1169" w:hRule="atLeast"/>
          <w:jc w:val="center"/>
        </w:trPr>
        <w:tc>
          <w:tcPr>
            <w:tcW w:w="640" w:type="dxa"/>
            <w:vMerge w:val="continue"/>
            <w:tcBorders>
              <w:left w:val="single" w:color="auto" w:sz="4" w:space="0"/>
              <w:right w:val="single" w:color="000000" w:sz="4" w:space="0"/>
            </w:tcBorders>
            <w:noWrap w:val="0"/>
            <w:tcMar>
              <w:top w:w="15" w:type="dxa"/>
              <w:left w:w="15" w:type="dxa"/>
              <w:right w:w="15" w:type="dxa"/>
            </w:tcMar>
            <w:vAlign w:val="center"/>
          </w:tcPr>
          <w:p w14:paraId="0847C6B8">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258B3266">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6FEF42">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12.</w:t>
            </w:r>
            <w:r>
              <w:rPr>
                <w:rFonts w:hint="eastAsia" w:ascii="宋体" w:hAnsi="宋体" w:eastAsia="宋体" w:cs="宋体"/>
                <w:color w:val="auto"/>
                <w:kern w:val="0"/>
                <w:sz w:val="24"/>
                <w:szCs w:val="24"/>
                <w:highlight w:val="none"/>
                <w:lang w:bidi="ar"/>
              </w:rPr>
              <w:t>施工过程中发现清单错漏</w:t>
            </w:r>
            <w:r>
              <w:rPr>
                <w:rFonts w:hint="eastAsia" w:ascii="宋体" w:hAnsi="宋体" w:eastAsia="宋体" w:cs="宋体"/>
                <w:color w:val="auto"/>
                <w:kern w:val="0"/>
                <w:sz w:val="24"/>
                <w:szCs w:val="24"/>
                <w:highlight w:val="none"/>
                <w:lang w:eastAsia="zh-CN" w:bidi="ar"/>
              </w:rPr>
              <w:t>累计</w:t>
            </w:r>
            <w:r>
              <w:rPr>
                <w:rFonts w:hint="eastAsia" w:ascii="宋体" w:hAnsi="宋体" w:eastAsia="宋体" w:cs="宋体"/>
                <w:color w:val="auto"/>
                <w:kern w:val="0"/>
                <w:sz w:val="24"/>
                <w:szCs w:val="24"/>
                <w:highlight w:val="none"/>
                <w:lang w:val="en-US" w:eastAsia="zh-CN" w:bidi="ar"/>
              </w:rPr>
              <w:t>100</w:t>
            </w:r>
            <w:r>
              <w:rPr>
                <w:rFonts w:hint="eastAsia" w:ascii="宋体" w:hAnsi="宋体" w:eastAsia="宋体" w:cs="宋体"/>
                <w:color w:val="auto"/>
                <w:kern w:val="0"/>
                <w:sz w:val="24"/>
                <w:szCs w:val="24"/>
                <w:highlight w:val="none"/>
                <w:lang w:bidi="ar"/>
              </w:rPr>
              <w:t>万元</w:t>
            </w:r>
            <w:r>
              <w:rPr>
                <w:rFonts w:hint="eastAsia" w:ascii="宋体" w:hAnsi="宋体" w:eastAsia="宋体" w:cs="宋体"/>
                <w:color w:val="auto"/>
                <w:kern w:val="0"/>
                <w:sz w:val="24"/>
                <w:szCs w:val="24"/>
                <w:highlight w:val="none"/>
                <w:lang w:val="en-US" w:eastAsia="zh-CN" w:bidi="ar"/>
              </w:rPr>
              <w:t>且误差率3%（含）以内的</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913B3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D1AD42">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78F065">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BEE78C">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扣</w:t>
            </w:r>
            <w:r>
              <w:rPr>
                <w:rFonts w:hint="eastAsia" w:ascii="宋体" w:hAnsi="宋体" w:eastAsia="宋体" w:cs="宋体"/>
                <w:color w:val="auto"/>
                <w:kern w:val="0"/>
                <w:sz w:val="24"/>
                <w:szCs w:val="24"/>
                <w:highlight w:val="none"/>
                <w:lang w:val="en-US" w:eastAsia="zh-CN" w:bidi="ar"/>
              </w:rPr>
              <w:t>30</w:t>
            </w:r>
            <w:r>
              <w:rPr>
                <w:rFonts w:hint="eastAsia" w:ascii="宋体" w:hAnsi="宋体" w:eastAsia="宋体" w:cs="宋体"/>
                <w:color w:val="auto"/>
                <w:kern w:val="0"/>
                <w:sz w:val="24"/>
                <w:szCs w:val="24"/>
                <w:highlight w:val="none"/>
                <w:lang w:bidi="ar"/>
              </w:rPr>
              <w:t>分</w:t>
            </w:r>
          </w:p>
        </w:tc>
      </w:tr>
      <w:tr w14:paraId="29B7F7EC">
        <w:tblPrEx>
          <w:tblCellMar>
            <w:top w:w="0" w:type="dxa"/>
            <w:left w:w="0" w:type="dxa"/>
            <w:bottom w:w="0" w:type="dxa"/>
            <w:right w:w="0" w:type="dxa"/>
          </w:tblCellMar>
        </w:tblPrEx>
        <w:trPr>
          <w:trHeight w:val="1363" w:hRule="atLeast"/>
          <w:jc w:val="center"/>
        </w:trPr>
        <w:tc>
          <w:tcPr>
            <w:tcW w:w="640" w:type="dxa"/>
            <w:vMerge w:val="continue"/>
            <w:tcBorders>
              <w:left w:val="single" w:color="auto" w:sz="4" w:space="0"/>
              <w:right w:val="single" w:color="000000" w:sz="4" w:space="0"/>
            </w:tcBorders>
            <w:noWrap w:val="0"/>
            <w:tcMar>
              <w:top w:w="15" w:type="dxa"/>
              <w:left w:w="15" w:type="dxa"/>
              <w:right w:w="15" w:type="dxa"/>
            </w:tcMar>
            <w:vAlign w:val="center"/>
          </w:tcPr>
          <w:p w14:paraId="56011C21">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60DA2A3F">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3A2C0A">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13.</w:t>
            </w:r>
            <w:r>
              <w:rPr>
                <w:rFonts w:hint="eastAsia" w:ascii="宋体" w:hAnsi="宋体" w:eastAsia="宋体" w:cs="宋体"/>
                <w:color w:val="auto"/>
                <w:kern w:val="0"/>
                <w:sz w:val="24"/>
                <w:szCs w:val="24"/>
                <w:highlight w:val="none"/>
                <w:lang w:bidi="ar"/>
              </w:rPr>
              <w:t>施工过程中发现清单错漏</w:t>
            </w:r>
            <w:r>
              <w:rPr>
                <w:rFonts w:hint="eastAsia" w:ascii="宋体" w:hAnsi="宋体" w:eastAsia="宋体" w:cs="宋体"/>
                <w:color w:val="auto"/>
                <w:kern w:val="0"/>
                <w:sz w:val="24"/>
                <w:szCs w:val="24"/>
                <w:highlight w:val="none"/>
                <w:lang w:eastAsia="zh-CN" w:bidi="ar"/>
              </w:rPr>
              <w:t>累计</w:t>
            </w:r>
            <w:r>
              <w:rPr>
                <w:rFonts w:hint="eastAsia" w:ascii="宋体" w:hAnsi="宋体" w:eastAsia="宋体" w:cs="宋体"/>
                <w:color w:val="auto"/>
                <w:kern w:val="0"/>
                <w:sz w:val="24"/>
                <w:szCs w:val="24"/>
                <w:highlight w:val="none"/>
                <w:lang w:val="en-US" w:eastAsia="zh-CN" w:bidi="ar"/>
              </w:rPr>
              <w:t>100万元（含）以上的且误差率在3%（不含）-5%（含）的</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B5A593">
            <w:pPr>
              <w:jc w:val="center"/>
              <w:rPr>
                <w:rFonts w:hint="eastAsia" w:ascii="宋体" w:hAnsi="宋体" w:eastAsia="宋体" w:cs="宋体"/>
                <w:color w:val="auto"/>
                <w:sz w:val="24"/>
                <w:szCs w:val="24"/>
                <w:highlight w:val="none"/>
              </w:rPr>
            </w:pP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FFADEF">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EFF308">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2AC9E6">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扣</w:t>
            </w:r>
            <w:r>
              <w:rPr>
                <w:rFonts w:hint="eastAsia" w:ascii="宋体" w:hAnsi="宋体" w:eastAsia="宋体" w:cs="宋体"/>
                <w:color w:val="auto"/>
                <w:kern w:val="0"/>
                <w:sz w:val="24"/>
                <w:szCs w:val="24"/>
                <w:highlight w:val="none"/>
                <w:lang w:val="en-US" w:eastAsia="zh-CN" w:bidi="ar"/>
              </w:rPr>
              <w:t>40</w:t>
            </w:r>
            <w:r>
              <w:rPr>
                <w:rFonts w:hint="eastAsia" w:ascii="宋体" w:hAnsi="宋体" w:eastAsia="宋体" w:cs="宋体"/>
                <w:color w:val="auto"/>
                <w:kern w:val="0"/>
                <w:sz w:val="24"/>
                <w:szCs w:val="24"/>
                <w:highlight w:val="none"/>
                <w:lang w:bidi="ar"/>
              </w:rPr>
              <w:t>分</w:t>
            </w:r>
          </w:p>
        </w:tc>
      </w:tr>
      <w:tr w14:paraId="6D948B65">
        <w:tblPrEx>
          <w:tblCellMar>
            <w:top w:w="0" w:type="dxa"/>
            <w:left w:w="0" w:type="dxa"/>
            <w:bottom w:w="0" w:type="dxa"/>
            <w:right w:w="0" w:type="dxa"/>
          </w:tblCellMar>
        </w:tblPrEx>
        <w:trPr>
          <w:trHeight w:val="1396" w:hRule="atLeast"/>
          <w:jc w:val="center"/>
        </w:trPr>
        <w:tc>
          <w:tcPr>
            <w:tcW w:w="640" w:type="dxa"/>
            <w:vMerge w:val="continue"/>
            <w:tcBorders>
              <w:left w:val="single" w:color="auto" w:sz="4" w:space="0"/>
              <w:bottom w:val="single" w:color="000000" w:sz="4" w:space="0"/>
              <w:right w:val="single" w:color="000000" w:sz="4" w:space="0"/>
            </w:tcBorders>
            <w:noWrap w:val="0"/>
            <w:tcMar>
              <w:top w:w="15" w:type="dxa"/>
              <w:left w:w="15" w:type="dxa"/>
              <w:right w:w="15" w:type="dxa"/>
            </w:tcMar>
            <w:vAlign w:val="center"/>
          </w:tcPr>
          <w:p w14:paraId="64B455B3">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3CED53F1">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3A4AF1">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14.</w:t>
            </w:r>
            <w:r>
              <w:rPr>
                <w:rFonts w:hint="eastAsia" w:ascii="宋体" w:hAnsi="宋体" w:eastAsia="宋体" w:cs="宋体"/>
                <w:color w:val="auto"/>
                <w:kern w:val="0"/>
                <w:sz w:val="24"/>
                <w:szCs w:val="24"/>
                <w:highlight w:val="none"/>
                <w:lang w:bidi="ar"/>
              </w:rPr>
              <w:t>施工过程中发现清单错漏</w:t>
            </w:r>
            <w:r>
              <w:rPr>
                <w:rFonts w:hint="eastAsia" w:ascii="宋体" w:hAnsi="宋体" w:eastAsia="宋体" w:cs="宋体"/>
                <w:color w:val="auto"/>
                <w:kern w:val="0"/>
                <w:sz w:val="24"/>
                <w:szCs w:val="24"/>
                <w:highlight w:val="none"/>
                <w:lang w:eastAsia="zh-CN" w:bidi="ar"/>
              </w:rPr>
              <w:t>累计</w:t>
            </w:r>
            <w:r>
              <w:rPr>
                <w:rFonts w:hint="eastAsia" w:ascii="宋体" w:hAnsi="宋体" w:eastAsia="宋体" w:cs="宋体"/>
                <w:color w:val="auto"/>
                <w:kern w:val="0"/>
                <w:sz w:val="24"/>
                <w:szCs w:val="24"/>
                <w:highlight w:val="none"/>
                <w:lang w:val="en-US" w:eastAsia="zh-CN" w:bidi="ar"/>
              </w:rPr>
              <w:t>100万元（含）以上的且误差率超过5%（含）的</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DCC979">
            <w:pPr>
              <w:jc w:val="center"/>
              <w:rPr>
                <w:rFonts w:hint="eastAsia" w:ascii="宋体" w:hAnsi="宋体" w:eastAsia="宋体" w:cs="宋体"/>
                <w:color w:val="auto"/>
                <w:sz w:val="24"/>
                <w:szCs w:val="24"/>
                <w:highlight w:val="none"/>
              </w:rPr>
            </w:pP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ABDCEE">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AB2036">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B7DF2C">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扣</w:t>
            </w:r>
            <w:r>
              <w:rPr>
                <w:rFonts w:hint="eastAsia" w:ascii="宋体" w:hAnsi="宋体" w:eastAsia="宋体" w:cs="宋体"/>
                <w:color w:val="auto"/>
                <w:kern w:val="0"/>
                <w:sz w:val="24"/>
                <w:szCs w:val="24"/>
                <w:highlight w:val="none"/>
                <w:lang w:val="en-US" w:eastAsia="zh-CN" w:bidi="ar"/>
              </w:rPr>
              <w:t>50</w:t>
            </w:r>
            <w:r>
              <w:rPr>
                <w:rFonts w:hint="eastAsia" w:ascii="宋体" w:hAnsi="宋体" w:eastAsia="宋体" w:cs="宋体"/>
                <w:color w:val="auto"/>
                <w:kern w:val="0"/>
                <w:sz w:val="24"/>
                <w:szCs w:val="24"/>
                <w:highlight w:val="none"/>
                <w:lang w:bidi="ar"/>
              </w:rPr>
              <w:t>分</w:t>
            </w:r>
          </w:p>
        </w:tc>
      </w:tr>
      <w:tr w14:paraId="5B7ED349">
        <w:tblPrEx>
          <w:tblCellMar>
            <w:top w:w="0" w:type="dxa"/>
            <w:left w:w="0" w:type="dxa"/>
            <w:bottom w:w="0" w:type="dxa"/>
            <w:right w:w="0" w:type="dxa"/>
          </w:tblCellMar>
        </w:tblPrEx>
        <w:trPr>
          <w:trHeight w:val="645" w:hRule="atLeast"/>
          <w:jc w:val="center"/>
        </w:trPr>
        <w:tc>
          <w:tcPr>
            <w:tcW w:w="6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27C754">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三</w:t>
            </w:r>
          </w:p>
        </w:tc>
        <w:tc>
          <w:tcPr>
            <w:tcW w:w="68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8411A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加分项</w:t>
            </w: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647479">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15.</w:t>
            </w:r>
            <w:r>
              <w:rPr>
                <w:rFonts w:hint="eastAsia" w:ascii="宋体" w:hAnsi="宋体" w:eastAsia="宋体" w:cs="宋体"/>
                <w:color w:val="auto"/>
                <w:kern w:val="0"/>
                <w:sz w:val="24"/>
                <w:szCs w:val="24"/>
                <w:highlight w:val="none"/>
                <w:lang w:bidi="ar"/>
              </w:rPr>
              <w:t>发现设计重大错漏</w:t>
            </w:r>
          </w:p>
        </w:tc>
        <w:tc>
          <w:tcPr>
            <w:tcW w:w="566"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CDCFDE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tc>
        <w:tc>
          <w:tcPr>
            <w:tcW w:w="702"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2256BA9">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3598870">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2A46CF5">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每项加5分</w:t>
            </w:r>
          </w:p>
        </w:tc>
      </w:tr>
      <w:tr w14:paraId="2DCA6B3B">
        <w:tblPrEx>
          <w:tblCellMar>
            <w:top w:w="0" w:type="dxa"/>
            <w:left w:w="0" w:type="dxa"/>
            <w:bottom w:w="0" w:type="dxa"/>
            <w:right w:w="0" w:type="dxa"/>
          </w:tblCellMar>
        </w:tblPrEx>
        <w:trPr>
          <w:trHeight w:val="718"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D66755">
            <w:pPr>
              <w:jc w:val="center"/>
              <w:rPr>
                <w:rFonts w:hint="eastAsia" w:ascii="宋体" w:hAnsi="宋体" w:eastAsia="宋体" w:cs="宋体"/>
                <w:color w:val="auto"/>
                <w:sz w:val="24"/>
                <w:szCs w:val="24"/>
                <w:highlight w:val="none"/>
              </w:rPr>
            </w:pPr>
          </w:p>
        </w:tc>
        <w:tc>
          <w:tcPr>
            <w:tcW w:w="6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5D5C32">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EECBDE">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16.</w:t>
            </w:r>
            <w:r>
              <w:rPr>
                <w:rFonts w:hint="eastAsia" w:ascii="宋体" w:hAnsi="宋体" w:eastAsia="宋体" w:cs="宋体"/>
                <w:color w:val="auto"/>
                <w:kern w:val="0"/>
                <w:sz w:val="24"/>
                <w:szCs w:val="24"/>
                <w:highlight w:val="none"/>
                <w:lang w:bidi="ar"/>
              </w:rPr>
              <w:t>提出合理化意见被采纳的</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B3B6D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8CEA10">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BB6E43">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7850AF">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每项加5分</w:t>
            </w:r>
          </w:p>
        </w:tc>
      </w:tr>
      <w:tr w14:paraId="6C2C5956">
        <w:tblPrEx>
          <w:tblCellMar>
            <w:top w:w="0" w:type="dxa"/>
            <w:left w:w="0" w:type="dxa"/>
            <w:bottom w:w="0" w:type="dxa"/>
            <w:right w:w="0" w:type="dxa"/>
          </w:tblCellMar>
        </w:tblPrEx>
        <w:trPr>
          <w:trHeight w:val="784"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A3E9D7">
            <w:pPr>
              <w:jc w:val="center"/>
              <w:rPr>
                <w:rFonts w:hint="eastAsia" w:ascii="宋体" w:hAnsi="宋体" w:eastAsia="宋体" w:cs="宋体"/>
                <w:color w:val="auto"/>
                <w:sz w:val="24"/>
                <w:szCs w:val="24"/>
                <w:highlight w:val="none"/>
              </w:rPr>
            </w:pPr>
          </w:p>
        </w:tc>
        <w:tc>
          <w:tcPr>
            <w:tcW w:w="6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C2D259">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3C3B9E">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17.</w:t>
            </w:r>
            <w:r>
              <w:rPr>
                <w:rFonts w:hint="eastAsia" w:ascii="宋体" w:hAnsi="宋体" w:eastAsia="宋体" w:cs="宋体"/>
                <w:color w:val="auto"/>
                <w:kern w:val="0"/>
                <w:sz w:val="24"/>
                <w:szCs w:val="24"/>
                <w:highlight w:val="none"/>
                <w:lang w:bidi="ar"/>
              </w:rPr>
              <w:t>发现并移交经济案件线索且被立案查处</w:t>
            </w:r>
          </w:p>
        </w:tc>
        <w:tc>
          <w:tcPr>
            <w:tcW w:w="56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E50C74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tc>
        <w:tc>
          <w:tcPr>
            <w:tcW w:w="70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0262A128">
            <w:pPr>
              <w:jc w:val="left"/>
              <w:rPr>
                <w:rFonts w:hint="eastAsia" w:ascii="宋体" w:hAnsi="宋体" w:eastAsia="宋体" w:cs="宋体"/>
                <w:color w:val="auto"/>
                <w:sz w:val="24"/>
                <w:szCs w:val="24"/>
                <w:highlight w:val="none"/>
              </w:rPr>
            </w:pPr>
          </w:p>
        </w:tc>
        <w:tc>
          <w:tcPr>
            <w:tcW w:w="103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0089FB1">
            <w:pPr>
              <w:jc w:val="left"/>
              <w:rPr>
                <w:rFonts w:hint="eastAsia" w:ascii="宋体" w:hAnsi="宋体" w:eastAsia="宋体" w:cs="宋体"/>
                <w:color w:val="auto"/>
                <w:sz w:val="24"/>
                <w:szCs w:val="24"/>
                <w:highlight w:val="none"/>
              </w:rPr>
            </w:pPr>
          </w:p>
        </w:tc>
        <w:tc>
          <w:tcPr>
            <w:tcW w:w="3857"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175181F">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每件加20分</w:t>
            </w:r>
          </w:p>
        </w:tc>
      </w:tr>
      <w:tr w14:paraId="0CA81264">
        <w:tblPrEx>
          <w:tblCellMar>
            <w:top w:w="0" w:type="dxa"/>
            <w:left w:w="0" w:type="dxa"/>
            <w:bottom w:w="0" w:type="dxa"/>
            <w:right w:w="0" w:type="dxa"/>
          </w:tblCellMar>
        </w:tblPrEx>
        <w:trPr>
          <w:trHeight w:val="470" w:hRule="atLeast"/>
          <w:jc w:val="center"/>
        </w:trPr>
        <w:tc>
          <w:tcPr>
            <w:tcW w:w="482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FA33C8">
            <w:pPr>
              <w:widowControl/>
              <w:jc w:val="right"/>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合计</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4B9086">
            <w:pPr>
              <w:jc w:val="left"/>
              <w:rPr>
                <w:rFonts w:hint="eastAsia" w:ascii="宋体" w:hAnsi="宋体" w:eastAsia="宋体" w:cs="宋体"/>
                <w:b/>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8D9B23">
            <w:pPr>
              <w:jc w:val="left"/>
              <w:rPr>
                <w:rFonts w:hint="eastAsia" w:ascii="宋体" w:hAnsi="宋体" w:eastAsia="宋体" w:cs="宋体"/>
                <w:b/>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E436CF">
            <w:pPr>
              <w:jc w:val="left"/>
              <w:rPr>
                <w:rFonts w:hint="eastAsia" w:ascii="宋体" w:hAnsi="宋体" w:eastAsia="宋体" w:cs="宋体"/>
                <w:color w:val="auto"/>
                <w:sz w:val="24"/>
                <w:szCs w:val="24"/>
                <w:highlight w:val="none"/>
              </w:rPr>
            </w:pPr>
          </w:p>
        </w:tc>
      </w:tr>
      <w:tr w14:paraId="52340764">
        <w:tblPrEx>
          <w:tblCellMar>
            <w:top w:w="0" w:type="dxa"/>
            <w:left w:w="0" w:type="dxa"/>
            <w:bottom w:w="0" w:type="dxa"/>
            <w:right w:w="0" w:type="dxa"/>
          </w:tblCellMar>
        </w:tblPrEx>
        <w:trPr>
          <w:trHeight w:val="944" w:hRule="atLeast"/>
          <w:jc w:val="center"/>
        </w:trPr>
        <w:tc>
          <w:tcPr>
            <w:tcW w:w="10412"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D2CC01A">
            <w:pPr>
              <w:widowControl/>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造价咨询人员签字：               考核人员签字 ：              </w:t>
            </w:r>
          </w:p>
          <w:p w14:paraId="633CB4C3">
            <w:pPr>
              <w:widowControl/>
              <w:textAlignment w:val="center"/>
              <w:rPr>
                <w:rFonts w:hint="eastAsia" w:ascii="宋体" w:hAnsi="宋体" w:eastAsia="宋体" w:cs="宋体"/>
                <w:color w:val="auto"/>
                <w:kern w:val="0"/>
                <w:sz w:val="24"/>
                <w:szCs w:val="24"/>
                <w:highlight w:val="none"/>
                <w:lang w:bidi="ar"/>
              </w:rPr>
            </w:pPr>
          </w:p>
          <w:p w14:paraId="52BF021C">
            <w:pPr>
              <w:widowControl/>
              <w:ind w:firstLine="7560" w:firstLineChars="3150"/>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r>
              <w:rPr>
                <w:rStyle w:val="153"/>
                <w:rFonts w:hint="eastAsia" w:ascii="宋体" w:hAnsi="宋体" w:eastAsia="宋体" w:cs="宋体"/>
                <w:color w:val="auto"/>
                <w:sz w:val="24"/>
                <w:szCs w:val="24"/>
                <w:highlight w:val="none"/>
                <w:lang w:bidi="ar"/>
              </w:rPr>
              <w:t xml:space="preserve">     </w:t>
            </w:r>
            <w:r>
              <w:rPr>
                <w:rStyle w:val="154"/>
                <w:rFonts w:hint="eastAsia" w:ascii="宋体" w:hAnsi="宋体" w:eastAsia="宋体" w:cs="宋体"/>
                <w:color w:val="auto"/>
                <w:sz w:val="24"/>
                <w:szCs w:val="24"/>
                <w:highlight w:val="none"/>
                <w:lang w:bidi="ar"/>
              </w:rPr>
              <w:t>年</w:t>
            </w:r>
            <w:r>
              <w:rPr>
                <w:rStyle w:val="153"/>
                <w:rFonts w:hint="eastAsia" w:ascii="宋体" w:hAnsi="宋体" w:eastAsia="宋体" w:cs="宋体"/>
                <w:color w:val="auto"/>
                <w:sz w:val="24"/>
                <w:szCs w:val="24"/>
                <w:highlight w:val="none"/>
                <w:lang w:bidi="ar"/>
              </w:rPr>
              <w:t xml:space="preserve">   </w:t>
            </w:r>
            <w:r>
              <w:rPr>
                <w:rStyle w:val="154"/>
                <w:rFonts w:hint="eastAsia" w:ascii="宋体" w:hAnsi="宋体" w:eastAsia="宋体" w:cs="宋体"/>
                <w:color w:val="auto"/>
                <w:sz w:val="24"/>
                <w:szCs w:val="24"/>
                <w:highlight w:val="none"/>
                <w:lang w:bidi="ar"/>
              </w:rPr>
              <w:t>月</w:t>
            </w:r>
            <w:r>
              <w:rPr>
                <w:rStyle w:val="153"/>
                <w:rFonts w:hint="eastAsia" w:ascii="宋体" w:hAnsi="宋体" w:eastAsia="宋体" w:cs="宋体"/>
                <w:color w:val="auto"/>
                <w:sz w:val="24"/>
                <w:szCs w:val="24"/>
                <w:highlight w:val="none"/>
                <w:lang w:bidi="ar"/>
              </w:rPr>
              <w:t xml:space="preserve">   </w:t>
            </w:r>
            <w:r>
              <w:rPr>
                <w:rStyle w:val="154"/>
                <w:rFonts w:hint="eastAsia" w:ascii="宋体" w:hAnsi="宋体" w:eastAsia="宋体" w:cs="宋体"/>
                <w:color w:val="auto"/>
                <w:sz w:val="24"/>
                <w:szCs w:val="24"/>
                <w:highlight w:val="none"/>
                <w:lang w:bidi="ar"/>
              </w:rPr>
              <w:t xml:space="preserve">日     </w:t>
            </w:r>
          </w:p>
        </w:tc>
      </w:tr>
    </w:tbl>
    <w:p w14:paraId="7E9CCC01">
      <w:pPr>
        <w:pStyle w:val="2"/>
        <w:spacing w:line="240" w:lineRule="auto"/>
        <w:ind w:left="0" w:leftChars="0" w:firstLine="0" w:firstLineChars="0"/>
        <w:rPr>
          <w:rFonts w:hint="eastAsia" w:ascii="宋体" w:hAnsi="宋体" w:eastAsia="宋体" w:cs="宋体"/>
          <w:color w:val="auto"/>
          <w:sz w:val="32"/>
          <w:szCs w:val="32"/>
          <w:highlight w:val="none"/>
        </w:rPr>
      </w:pPr>
    </w:p>
    <w:p w14:paraId="15FDB7B2">
      <w:pPr>
        <w:pStyle w:val="2"/>
        <w:spacing w:line="240" w:lineRule="auto"/>
        <w:ind w:left="0" w:leftChars="0" w:firstLine="0" w:firstLineChars="0"/>
        <w:rPr>
          <w:rFonts w:hint="eastAsia" w:ascii="宋体" w:hAnsi="宋体" w:eastAsia="宋体" w:cs="宋体"/>
          <w:color w:val="auto"/>
          <w:sz w:val="32"/>
          <w:szCs w:val="32"/>
          <w:highlight w:val="none"/>
        </w:rPr>
      </w:pPr>
    </w:p>
    <w:p w14:paraId="344C7DD0">
      <w:pPr>
        <w:rPr>
          <w:rFonts w:hint="eastAsia" w:ascii="宋体" w:hAnsi="宋体" w:eastAsia="宋体" w:cs="宋体"/>
          <w:color w:val="auto"/>
          <w:sz w:val="32"/>
          <w:szCs w:val="32"/>
          <w:highlight w:val="none"/>
        </w:rPr>
      </w:pPr>
    </w:p>
    <w:p w14:paraId="4A2B78AE">
      <w:pPr>
        <w:pStyle w:val="2"/>
        <w:rPr>
          <w:rFonts w:hint="eastAsia" w:ascii="宋体" w:hAnsi="宋体" w:eastAsia="宋体" w:cs="宋体"/>
          <w:color w:val="auto"/>
          <w:sz w:val="32"/>
          <w:szCs w:val="32"/>
          <w:highlight w:val="none"/>
        </w:rPr>
      </w:pPr>
    </w:p>
    <w:p w14:paraId="7409AD80">
      <w:pPr>
        <w:rPr>
          <w:rFonts w:hint="eastAsia" w:ascii="宋体" w:hAnsi="宋体" w:eastAsia="宋体" w:cs="宋体"/>
          <w:color w:val="auto"/>
          <w:sz w:val="32"/>
          <w:szCs w:val="32"/>
          <w:highlight w:val="none"/>
        </w:rPr>
      </w:pPr>
    </w:p>
    <w:p w14:paraId="3EA97D51">
      <w:pPr>
        <w:pStyle w:val="2"/>
        <w:rPr>
          <w:rFonts w:hint="eastAsia" w:ascii="宋体" w:hAnsi="宋体" w:eastAsia="宋体" w:cs="宋体"/>
          <w:color w:val="auto"/>
          <w:sz w:val="32"/>
          <w:szCs w:val="32"/>
          <w:highlight w:val="none"/>
        </w:rPr>
      </w:pPr>
    </w:p>
    <w:p w14:paraId="3DFCAA94">
      <w:pPr>
        <w:rPr>
          <w:rFonts w:hint="eastAsia" w:ascii="宋体" w:hAnsi="宋体" w:eastAsia="宋体" w:cs="宋体"/>
          <w:color w:val="auto"/>
          <w:sz w:val="32"/>
          <w:szCs w:val="32"/>
          <w:highlight w:val="none"/>
        </w:rPr>
      </w:pPr>
    </w:p>
    <w:p w14:paraId="3E001B22">
      <w:pPr>
        <w:pStyle w:val="2"/>
        <w:rPr>
          <w:rFonts w:hint="eastAsia"/>
          <w:color w:val="auto"/>
          <w:highlight w:val="none"/>
        </w:rPr>
      </w:pPr>
    </w:p>
    <w:p w14:paraId="525AF85E">
      <w:pPr>
        <w:rPr>
          <w:rFonts w:hint="eastAsia" w:ascii="宋体" w:hAnsi="宋体" w:eastAsia="宋体" w:cs="宋体"/>
          <w:color w:val="auto"/>
          <w:sz w:val="32"/>
          <w:szCs w:val="32"/>
          <w:highlight w:val="none"/>
        </w:rPr>
      </w:pPr>
    </w:p>
    <w:p w14:paraId="52B20293">
      <w:pPr>
        <w:pStyle w:val="2"/>
        <w:spacing w:line="240" w:lineRule="auto"/>
        <w:ind w:left="0" w:leftChars="0" w:firstLine="0" w:firstLineChars="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w:t>
      </w:r>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rPr>
        <w:t>：</w:t>
      </w:r>
    </w:p>
    <w:tbl>
      <w:tblPr>
        <w:tblStyle w:val="45"/>
        <w:tblW w:w="9998" w:type="dxa"/>
        <w:jc w:val="center"/>
        <w:tblLayout w:type="fixed"/>
        <w:tblCellMar>
          <w:top w:w="0" w:type="dxa"/>
          <w:left w:w="0" w:type="dxa"/>
          <w:bottom w:w="0" w:type="dxa"/>
          <w:right w:w="0" w:type="dxa"/>
        </w:tblCellMar>
      </w:tblPr>
      <w:tblGrid>
        <w:gridCol w:w="556"/>
        <w:gridCol w:w="892"/>
        <w:gridCol w:w="2720"/>
        <w:gridCol w:w="712"/>
        <w:gridCol w:w="596"/>
        <w:gridCol w:w="1002"/>
        <w:gridCol w:w="3520"/>
      </w:tblGrid>
      <w:tr w14:paraId="1014D78D">
        <w:tblPrEx>
          <w:tblCellMar>
            <w:top w:w="0" w:type="dxa"/>
            <w:left w:w="0" w:type="dxa"/>
            <w:bottom w:w="0" w:type="dxa"/>
            <w:right w:w="0" w:type="dxa"/>
          </w:tblCellMar>
        </w:tblPrEx>
        <w:trPr>
          <w:trHeight w:val="435" w:hRule="atLeast"/>
          <w:jc w:val="center"/>
        </w:trPr>
        <w:tc>
          <w:tcPr>
            <w:tcW w:w="9998" w:type="dxa"/>
            <w:gridSpan w:val="7"/>
            <w:tcBorders>
              <w:top w:val="nil"/>
              <w:left w:val="nil"/>
              <w:bottom w:val="single" w:color="000000" w:sz="4" w:space="0"/>
              <w:right w:val="nil"/>
            </w:tcBorders>
            <w:noWrap w:val="0"/>
            <w:tcMar>
              <w:top w:w="15" w:type="dxa"/>
              <w:left w:w="15" w:type="dxa"/>
              <w:right w:w="15" w:type="dxa"/>
            </w:tcMar>
            <w:vAlign w:val="center"/>
          </w:tcPr>
          <w:p w14:paraId="2C504765">
            <w:pPr>
              <w:widowControl/>
              <w:jc w:val="center"/>
              <w:textAlignment w:val="center"/>
              <w:rPr>
                <w:rFonts w:hint="eastAsia" w:ascii="宋体" w:hAnsi="宋体" w:eastAsia="宋体" w:cs="宋体"/>
                <w:b/>
                <w:color w:val="auto"/>
                <w:szCs w:val="32"/>
                <w:highlight w:val="none"/>
              </w:rPr>
            </w:pPr>
            <w:r>
              <w:rPr>
                <w:rFonts w:hint="eastAsia" w:ascii="宋体" w:hAnsi="宋体" w:eastAsia="宋体" w:cs="宋体"/>
                <w:b/>
                <w:color w:val="auto"/>
                <w:kern w:val="0"/>
                <w:szCs w:val="32"/>
                <w:highlight w:val="none"/>
                <w:u w:val="single"/>
                <w:lang w:bidi="ar"/>
              </w:rPr>
              <w:t xml:space="preserve">                         </w:t>
            </w:r>
            <w:r>
              <w:rPr>
                <w:rFonts w:hint="eastAsia" w:ascii="宋体" w:hAnsi="宋体" w:eastAsia="宋体" w:cs="宋体"/>
                <w:b/>
                <w:color w:val="auto"/>
                <w:kern w:val="0"/>
                <w:szCs w:val="32"/>
                <w:highlight w:val="none"/>
                <w:u w:val="single"/>
                <w:lang w:val="en-US" w:eastAsia="zh-CN" w:bidi="ar"/>
              </w:rPr>
              <w:t xml:space="preserve">   </w:t>
            </w:r>
            <w:r>
              <w:rPr>
                <w:rFonts w:hint="eastAsia" w:ascii="宋体" w:hAnsi="宋体" w:eastAsia="宋体" w:cs="宋体"/>
                <w:b/>
                <w:color w:val="auto"/>
                <w:kern w:val="0"/>
                <w:szCs w:val="32"/>
                <w:highlight w:val="none"/>
                <w:u w:val="single"/>
                <w:lang w:bidi="ar"/>
              </w:rPr>
              <w:t xml:space="preserve">    </w:t>
            </w:r>
            <w:r>
              <w:rPr>
                <w:rStyle w:val="155"/>
                <w:rFonts w:hint="eastAsia" w:ascii="宋体" w:hAnsi="宋体" w:eastAsia="宋体" w:cs="宋体"/>
                <w:b w:val="0"/>
                <w:color w:val="auto"/>
                <w:highlight w:val="none"/>
                <w:lang w:bidi="ar"/>
              </w:rPr>
              <w:t>项目</w:t>
            </w:r>
            <w:r>
              <w:rPr>
                <w:rStyle w:val="155"/>
                <w:rFonts w:hint="eastAsia" w:ascii="宋体" w:hAnsi="宋体" w:eastAsia="宋体" w:cs="宋体"/>
                <w:b w:val="0"/>
                <w:color w:val="auto"/>
                <w:highlight w:val="none"/>
                <w:lang w:eastAsia="zh-CN" w:bidi="ar"/>
              </w:rPr>
              <w:t>跟踪</w:t>
            </w:r>
            <w:r>
              <w:rPr>
                <w:rStyle w:val="155"/>
                <w:rFonts w:hint="eastAsia" w:ascii="宋体" w:hAnsi="宋体" w:eastAsia="宋体" w:cs="宋体"/>
                <w:b w:val="0"/>
                <w:color w:val="auto"/>
                <w:highlight w:val="none"/>
                <w:lang w:bidi="ar"/>
              </w:rPr>
              <w:t xml:space="preserve">审计服务质量日常考核表           </w:t>
            </w:r>
          </w:p>
        </w:tc>
      </w:tr>
      <w:tr w14:paraId="73404592">
        <w:tblPrEx>
          <w:tblCellMar>
            <w:top w:w="0" w:type="dxa"/>
            <w:left w:w="0" w:type="dxa"/>
            <w:bottom w:w="0" w:type="dxa"/>
            <w:right w:w="0" w:type="dxa"/>
          </w:tblCellMar>
        </w:tblPrEx>
        <w:trPr>
          <w:trHeight w:val="90" w:hRule="atLeast"/>
          <w:jc w:val="center"/>
        </w:trPr>
        <w:tc>
          <w:tcPr>
            <w:tcW w:w="5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76A9A8">
            <w:pPr>
              <w:widowControl/>
              <w:jc w:val="center"/>
              <w:textAlignment w:val="center"/>
              <w:rPr>
                <w:rFonts w:hint="eastAsia" w:ascii="宋体" w:hAnsi="宋体" w:eastAsia="宋体" w:cs="宋体"/>
                <w:b/>
                <w:color w:val="auto"/>
                <w:sz w:val="22"/>
                <w:szCs w:val="22"/>
                <w:highlight w:val="none"/>
                <w:lang w:eastAsia="zh-CN"/>
              </w:rPr>
            </w:pPr>
            <w:r>
              <w:rPr>
                <w:rFonts w:hint="eastAsia" w:ascii="宋体" w:hAnsi="宋体" w:eastAsia="宋体" w:cs="宋体"/>
                <w:b/>
                <w:color w:val="auto"/>
                <w:kern w:val="0"/>
                <w:sz w:val="22"/>
                <w:szCs w:val="22"/>
                <w:highlight w:val="none"/>
                <w:lang w:eastAsia="zh-CN" w:bidi="ar"/>
              </w:rPr>
              <w:t>序号</w:t>
            </w:r>
          </w:p>
        </w:tc>
        <w:tc>
          <w:tcPr>
            <w:tcW w:w="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30866C">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指标</w:t>
            </w: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291CE4">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内容</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94DAEE">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总分</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2B0951">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得分</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5BD026">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打分说明</w:t>
            </w: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86A37F">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备注</w:t>
            </w:r>
          </w:p>
        </w:tc>
      </w:tr>
      <w:tr w14:paraId="454D6840">
        <w:tblPrEx>
          <w:tblCellMar>
            <w:top w:w="0" w:type="dxa"/>
            <w:left w:w="0" w:type="dxa"/>
            <w:bottom w:w="0" w:type="dxa"/>
            <w:right w:w="0" w:type="dxa"/>
          </w:tblCellMar>
        </w:tblPrEx>
        <w:trPr>
          <w:trHeight w:val="90" w:hRule="atLeast"/>
          <w:jc w:val="center"/>
        </w:trPr>
        <w:tc>
          <w:tcPr>
            <w:tcW w:w="55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37FCBF0">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eastAsia="zh-CN" w:bidi="ar"/>
              </w:rPr>
              <w:t>一</w:t>
            </w:r>
          </w:p>
        </w:tc>
        <w:tc>
          <w:tcPr>
            <w:tcW w:w="89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D0619A5">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人员组成</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变更</w:t>
            </w:r>
            <w:r>
              <w:rPr>
                <w:rFonts w:hint="eastAsia" w:ascii="宋体" w:hAnsi="宋体" w:eastAsia="宋体" w:cs="宋体"/>
                <w:color w:val="auto"/>
                <w:kern w:val="0"/>
                <w:sz w:val="24"/>
                <w:szCs w:val="24"/>
                <w:highlight w:val="none"/>
                <w:lang w:eastAsia="zh-CN" w:bidi="ar"/>
              </w:rPr>
              <w:t>及前期准备</w:t>
            </w: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278F69">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是否具备胜任本项目跟踪审计工作能力</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BA03A0">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4</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B7CA0B">
            <w:pPr>
              <w:jc w:val="left"/>
              <w:rPr>
                <w:rFonts w:hint="eastAsia" w:ascii="宋体" w:hAnsi="宋体" w:eastAsia="宋体" w:cs="宋体"/>
                <w:color w:val="auto"/>
                <w:kern w:val="2"/>
                <w:sz w:val="24"/>
                <w:szCs w:val="24"/>
                <w:highlight w:val="none"/>
                <w:lang w:val="en-US" w:eastAsia="zh-CN" w:bidi="ar-SA"/>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6588F7">
            <w:pPr>
              <w:jc w:val="left"/>
              <w:rPr>
                <w:rFonts w:hint="eastAsia" w:ascii="宋体" w:hAnsi="宋体" w:eastAsia="宋体" w:cs="宋体"/>
                <w:color w:val="auto"/>
                <w:kern w:val="2"/>
                <w:sz w:val="24"/>
                <w:szCs w:val="24"/>
                <w:highlight w:val="none"/>
                <w:lang w:val="en-US" w:eastAsia="zh-CN" w:bidi="ar-SA"/>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2E8E4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eastAsia="zh-CN" w:bidi="ar"/>
              </w:rPr>
              <w:t>需有与跟审投标文件、委托协议一致的</w:t>
            </w:r>
            <w:r>
              <w:rPr>
                <w:rFonts w:hint="eastAsia" w:ascii="宋体" w:hAnsi="宋体" w:eastAsia="宋体" w:cs="宋体"/>
                <w:color w:val="auto"/>
                <w:kern w:val="0"/>
                <w:sz w:val="21"/>
                <w:szCs w:val="21"/>
                <w:highlight w:val="none"/>
                <w:lang w:bidi="ar"/>
              </w:rPr>
              <w:t>任命文</w:t>
            </w:r>
            <w:r>
              <w:rPr>
                <w:rFonts w:hint="eastAsia" w:ascii="宋体" w:hAnsi="宋体" w:eastAsia="宋体" w:cs="宋体"/>
                <w:color w:val="auto"/>
                <w:kern w:val="0"/>
                <w:sz w:val="21"/>
                <w:szCs w:val="21"/>
                <w:highlight w:val="none"/>
                <w:lang w:eastAsia="zh-CN" w:bidi="ar"/>
              </w:rPr>
              <w:t>并</w:t>
            </w:r>
            <w:r>
              <w:rPr>
                <w:rFonts w:hint="eastAsia" w:ascii="宋体" w:hAnsi="宋体" w:eastAsia="宋体" w:cs="宋体"/>
                <w:color w:val="auto"/>
                <w:kern w:val="0"/>
                <w:sz w:val="21"/>
                <w:szCs w:val="21"/>
                <w:highlight w:val="none"/>
                <w:lang w:bidi="ar"/>
              </w:rPr>
              <w:t>及时报送</w:t>
            </w:r>
            <w:r>
              <w:rPr>
                <w:rFonts w:hint="eastAsia" w:ascii="宋体" w:hAnsi="宋体" w:eastAsia="宋体" w:cs="宋体"/>
                <w:color w:val="auto"/>
                <w:kern w:val="0"/>
                <w:sz w:val="21"/>
                <w:szCs w:val="21"/>
                <w:highlight w:val="none"/>
                <w:lang w:eastAsia="zh-CN" w:bidi="ar"/>
              </w:rPr>
              <w:t>综合计划科和业主代表</w:t>
            </w:r>
            <w:r>
              <w:rPr>
                <w:rFonts w:hint="eastAsia" w:ascii="宋体" w:hAnsi="宋体" w:eastAsia="宋体" w:cs="宋体"/>
                <w:color w:val="auto"/>
                <w:kern w:val="0"/>
                <w:sz w:val="21"/>
                <w:szCs w:val="21"/>
                <w:highlight w:val="none"/>
                <w:lang w:bidi="ar"/>
              </w:rPr>
              <w:t>备案（</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分）</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人员变更</w:t>
            </w:r>
            <w:r>
              <w:rPr>
                <w:rFonts w:hint="eastAsia" w:ascii="宋体" w:hAnsi="宋体" w:eastAsia="宋体" w:cs="宋体"/>
                <w:color w:val="auto"/>
                <w:kern w:val="0"/>
                <w:sz w:val="21"/>
                <w:szCs w:val="21"/>
                <w:highlight w:val="none"/>
                <w:lang w:eastAsia="zh-CN" w:bidi="ar"/>
              </w:rPr>
              <w:t>的，程序</w:t>
            </w:r>
            <w:r>
              <w:rPr>
                <w:rFonts w:hint="eastAsia" w:ascii="宋体" w:hAnsi="宋体" w:eastAsia="宋体" w:cs="宋体"/>
                <w:color w:val="auto"/>
                <w:kern w:val="0"/>
                <w:sz w:val="21"/>
                <w:szCs w:val="21"/>
                <w:highlight w:val="none"/>
                <w:lang w:bidi="ar"/>
              </w:rPr>
              <w:t>是否</w:t>
            </w:r>
            <w:r>
              <w:rPr>
                <w:rFonts w:hint="eastAsia" w:ascii="宋体" w:hAnsi="宋体" w:eastAsia="宋体" w:cs="宋体"/>
                <w:color w:val="auto"/>
                <w:kern w:val="0"/>
                <w:sz w:val="21"/>
                <w:szCs w:val="21"/>
                <w:highlight w:val="none"/>
                <w:lang w:eastAsia="zh-CN" w:bidi="ar"/>
              </w:rPr>
              <w:t>按管理办法完成</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若不一致或未办理变更手续</w:t>
            </w:r>
            <w:r>
              <w:rPr>
                <w:rFonts w:hint="eastAsia" w:ascii="宋体" w:hAnsi="宋体" w:eastAsia="宋体" w:cs="宋体"/>
                <w:color w:val="auto"/>
                <w:kern w:val="0"/>
                <w:sz w:val="21"/>
                <w:szCs w:val="21"/>
                <w:highlight w:val="none"/>
                <w:lang w:eastAsia="zh-CN" w:bidi="ar"/>
              </w:rPr>
              <w:t>的，本项</w:t>
            </w:r>
            <w:r>
              <w:rPr>
                <w:rFonts w:hint="eastAsia" w:ascii="宋体" w:hAnsi="宋体" w:eastAsia="宋体" w:cs="宋体"/>
                <w:color w:val="auto"/>
                <w:kern w:val="0"/>
                <w:sz w:val="21"/>
                <w:szCs w:val="21"/>
                <w:highlight w:val="none"/>
                <w:lang w:bidi="ar"/>
              </w:rPr>
              <w:t>得0分</w:t>
            </w:r>
          </w:p>
        </w:tc>
      </w:tr>
      <w:tr w14:paraId="570B743F">
        <w:tblPrEx>
          <w:tblCellMar>
            <w:top w:w="0" w:type="dxa"/>
            <w:left w:w="0" w:type="dxa"/>
            <w:bottom w:w="0" w:type="dxa"/>
            <w:right w:w="0" w:type="dxa"/>
          </w:tblCellMar>
        </w:tblPrEx>
        <w:trPr>
          <w:trHeight w:val="1462" w:hRule="atLeast"/>
          <w:jc w:val="center"/>
        </w:trPr>
        <w:tc>
          <w:tcPr>
            <w:tcW w:w="556" w:type="dxa"/>
            <w:vMerge w:val="continue"/>
            <w:tcBorders>
              <w:left w:val="single" w:color="000000" w:sz="4" w:space="0"/>
              <w:right w:val="single" w:color="000000" w:sz="4" w:space="0"/>
            </w:tcBorders>
            <w:noWrap w:val="0"/>
            <w:tcMar>
              <w:top w:w="15" w:type="dxa"/>
              <w:left w:w="15" w:type="dxa"/>
              <w:right w:w="15" w:type="dxa"/>
            </w:tcMar>
            <w:vAlign w:val="center"/>
          </w:tcPr>
          <w:p w14:paraId="013F0D3B">
            <w:pPr>
              <w:widowControl/>
              <w:jc w:val="center"/>
              <w:textAlignment w:val="center"/>
              <w:rPr>
                <w:rFonts w:hint="eastAsia" w:ascii="宋体" w:hAnsi="宋体" w:eastAsia="宋体" w:cs="宋体"/>
                <w:color w:val="auto"/>
                <w:kern w:val="0"/>
                <w:sz w:val="24"/>
                <w:szCs w:val="24"/>
                <w:highlight w:val="none"/>
                <w:lang w:bidi="ar"/>
              </w:rPr>
            </w:pPr>
          </w:p>
        </w:tc>
        <w:tc>
          <w:tcPr>
            <w:tcW w:w="892" w:type="dxa"/>
            <w:vMerge w:val="continue"/>
            <w:tcBorders>
              <w:left w:val="single" w:color="000000" w:sz="4" w:space="0"/>
              <w:right w:val="single" w:color="000000" w:sz="4" w:space="0"/>
            </w:tcBorders>
            <w:noWrap w:val="0"/>
            <w:tcMar>
              <w:top w:w="15" w:type="dxa"/>
              <w:left w:w="15" w:type="dxa"/>
              <w:right w:w="15" w:type="dxa"/>
            </w:tcMar>
            <w:vAlign w:val="center"/>
          </w:tcPr>
          <w:p w14:paraId="64F384A0">
            <w:pPr>
              <w:widowControl/>
              <w:jc w:val="center"/>
              <w:textAlignment w:val="center"/>
              <w:rPr>
                <w:rFonts w:hint="eastAsia" w:ascii="宋体" w:hAnsi="宋体" w:eastAsia="宋体" w:cs="宋体"/>
                <w:color w:val="auto"/>
                <w:kern w:val="0"/>
                <w:sz w:val="24"/>
                <w:szCs w:val="24"/>
                <w:highlight w:val="none"/>
                <w:lang w:bidi="ar"/>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B0A2F1">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到岗履职</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1A8C12">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4</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B0D0E9">
            <w:pPr>
              <w:jc w:val="left"/>
              <w:rPr>
                <w:rFonts w:hint="eastAsia" w:ascii="宋体" w:hAnsi="宋体" w:eastAsia="宋体" w:cs="宋体"/>
                <w:color w:val="auto"/>
                <w:kern w:val="2"/>
                <w:sz w:val="24"/>
                <w:szCs w:val="24"/>
                <w:highlight w:val="none"/>
                <w:lang w:val="en-US" w:eastAsia="zh-CN" w:bidi="ar-SA"/>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0BBF13">
            <w:pPr>
              <w:jc w:val="left"/>
              <w:rPr>
                <w:rFonts w:hint="eastAsia" w:ascii="宋体" w:hAnsi="宋体" w:eastAsia="宋体" w:cs="宋体"/>
                <w:color w:val="auto"/>
                <w:kern w:val="2"/>
                <w:sz w:val="24"/>
                <w:szCs w:val="24"/>
                <w:highlight w:val="none"/>
                <w:lang w:val="en-US" w:eastAsia="zh-CN" w:bidi="ar-SA"/>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0FF3B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业主、监理反映履职情况，经检查组询问，项目负责人或现场审计人员是否了解工程现场情况，</w:t>
            </w:r>
            <w:r>
              <w:rPr>
                <w:rFonts w:hint="eastAsia" w:ascii="宋体" w:hAnsi="宋体" w:eastAsia="宋体" w:cs="宋体"/>
                <w:color w:val="auto"/>
                <w:kern w:val="0"/>
                <w:sz w:val="21"/>
                <w:szCs w:val="21"/>
                <w:highlight w:val="none"/>
                <w:lang w:eastAsia="zh-CN" w:bidi="ar"/>
              </w:rPr>
              <w:t>有驻场要求的需考核打卡</w:t>
            </w:r>
            <w:r>
              <w:rPr>
                <w:rFonts w:hint="eastAsia" w:ascii="宋体" w:hAnsi="宋体" w:eastAsia="宋体" w:cs="宋体"/>
                <w:color w:val="auto"/>
                <w:kern w:val="0"/>
                <w:sz w:val="21"/>
                <w:szCs w:val="21"/>
                <w:highlight w:val="none"/>
                <w:lang w:bidi="ar"/>
              </w:rPr>
              <w:t>情况。</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不好0分、较好</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分、很好</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分</w:t>
            </w:r>
            <w:r>
              <w:rPr>
                <w:rFonts w:hint="eastAsia" w:ascii="宋体" w:hAnsi="宋体" w:eastAsia="宋体" w:cs="宋体"/>
                <w:color w:val="auto"/>
                <w:kern w:val="0"/>
                <w:sz w:val="21"/>
                <w:szCs w:val="21"/>
                <w:highlight w:val="none"/>
                <w:lang w:eastAsia="zh-CN" w:bidi="ar"/>
              </w:rPr>
              <w:t>）主要会议未参加或单项隐蔽工程未参与计量的，本项得</w:t>
            </w:r>
            <w:r>
              <w:rPr>
                <w:rFonts w:hint="eastAsia" w:ascii="宋体" w:hAnsi="宋体" w:eastAsia="宋体" w:cs="宋体"/>
                <w:color w:val="auto"/>
                <w:kern w:val="0"/>
                <w:sz w:val="21"/>
                <w:szCs w:val="21"/>
                <w:highlight w:val="none"/>
                <w:lang w:val="en-US" w:eastAsia="zh-CN" w:bidi="ar"/>
              </w:rPr>
              <w:t>0分（本项由业主代表参与打分）</w:t>
            </w:r>
          </w:p>
        </w:tc>
      </w:tr>
      <w:tr w14:paraId="592F05F5">
        <w:tblPrEx>
          <w:tblCellMar>
            <w:top w:w="0" w:type="dxa"/>
            <w:left w:w="0" w:type="dxa"/>
            <w:bottom w:w="0" w:type="dxa"/>
            <w:right w:w="0" w:type="dxa"/>
          </w:tblCellMar>
        </w:tblPrEx>
        <w:trPr>
          <w:trHeight w:val="813" w:hRule="atLeast"/>
          <w:jc w:val="center"/>
        </w:trPr>
        <w:tc>
          <w:tcPr>
            <w:tcW w:w="55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279EE721">
            <w:pPr>
              <w:widowControl/>
              <w:jc w:val="center"/>
              <w:textAlignment w:val="center"/>
              <w:rPr>
                <w:rFonts w:hint="eastAsia" w:ascii="宋体" w:hAnsi="宋体" w:eastAsia="宋体" w:cs="宋体"/>
                <w:color w:val="auto"/>
                <w:sz w:val="24"/>
                <w:szCs w:val="24"/>
                <w:highlight w:val="none"/>
                <w:lang w:eastAsia="zh-CN"/>
              </w:rPr>
            </w:pPr>
          </w:p>
        </w:tc>
        <w:tc>
          <w:tcPr>
            <w:tcW w:w="892"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070C62D8">
            <w:pPr>
              <w:widowControl/>
              <w:jc w:val="center"/>
              <w:textAlignment w:val="center"/>
              <w:rPr>
                <w:rFonts w:hint="eastAsia" w:ascii="宋体" w:hAnsi="宋体" w:eastAsia="宋体" w:cs="宋体"/>
                <w:color w:val="auto"/>
                <w:sz w:val="24"/>
                <w:szCs w:val="24"/>
                <w:highlight w:val="none"/>
                <w:lang w:val="en-US" w:eastAsia="zh-CN"/>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ED6CE5">
            <w:pPr>
              <w:widowControl/>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eastAsia="zh-CN" w:bidi="ar"/>
              </w:rPr>
              <w:t>资料是否收集齐全</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B86C73">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2</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3E3D61">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609D88">
            <w:pPr>
              <w:jc w:val="left"/>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C0A5CD">
            <w:pPr>
              <w:widowControl/>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需有招标文件、工程量清单及最高投标限价、中标单位投标文件、建设工程施工合同、图纸等前期资料。未收集齐全的，本项得</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分</w:t>
            </w:r>
          </w:p>
        </w:tc>
      </w:tr>
      <w:tr w14:paraId="21C7E927">
        <w:tblPrEx>
          <w:tblCellMar>
            <w:top w:w="0" w:type="dxa"/>
            <w:left w:w="0" w:type="dxa"/>
            <w:bottom w:w="0" w:type="dxa"/>
            <w:right w:w="0" w:type="dxa"/>
          </w:tblCellMar>
        </w:tblPrEx>
        <w:trPr>
          <w:trHeight w:val="1427" w:hRule="atLeast"/>
          <w:jc w:val="center"/>
        </w:trPr>
        <w:tc>
          <w:tcPr>
            <w:tcW w:w="556"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14:paraId="143439DA">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二</w:t>
            </w:r>
          </w:p>
        </w:tc>
        <w:tc>
          <w:tcPr>
            <w:tcW w:w="89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2E0299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审计实施方案</w:t>
            </w:r>
          </w:p>
        </w:tc>
        <w:tc>
          <w:tcPr>
            <w:tcW w:w="272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9289061">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内容规范、全面、针对性强，按照《关于进一步规范政府投资项目跟踪审计实施方案及清单复核报告制度的通知》要求编写</w:t>
            </w:r>
          </w:p>
        </w:tc>
        <w:tc>
          <w:tcPr>
            <w:tcW w:w="71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5A170A7">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5</w:t>
            </w:r>
          </w:p>
        </w:tc>
        <w:tc>
          <w:tcPr>
            <w:tcW w:w="596"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C8359A7">
            <w:pPr>
              <w:jc w:val="left"/>
              <w:rPr>
                <w:rFonts w:hint="eastAsia" w:ascii="宋体" w:hAnsi="宋体" w:eastAsia="宋体" w:cs="宋体"/>
                <w:color w:val="auto"/>
                <w:sz w:val="24"/>
                <w:szCs w:val="24"/>
                <w:highlight w:val="none"/>
              </w:rPr>
            </w:pPr>
          </w:p>
        </w:tc>
        <w:tc>
          <w:tcPr>
            <w:tcW w:w="100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D46EEEE">
            <w:pPr>
              <w:jc w:val="left"/>
              <w:rPr>
                <w:rFonts w:hint="eastAsia" w:ascii="宋体" w:hAnsi="宋体" w:eastAsia="宋体" w:cs="宋体"/>
                <w:color w:val="auto"/>
                <w:sz w:val="24"/>
                <w:szCs w:val="24"/>
                <w:highlight w:val="none"/>
              </w:rPr>
            </w:pPr>
          </w:p>
        </w:tc>
        <w:tc>
          <w:tcPr>
            <w:tcW w:w="3520"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0FB23D18">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要素：1.总述2.人员配置3.工作内容4.跟踪审计重点5.审计程序6.审计质量保证措施</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不好0分、较好</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分、很好</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分</w:t>
            </w:r>
            <w:r>
              <w:rPr>
                <w:rFonts w:hint="eastAsia" w:ascii="宋体" w:hAnsi="宋体" w:eastAsia="宋体" w:cs="宋体"/>
                <w:color w:val="auto"/>
                <w:kern w:val="0"/>
                <w:sz w:val="21"/>
                <w:szCs w:val="21"/>
                <w:highlight w:val="none"/>
                <w:lang w:eastAsia="zh-CN" w:bidi="ar"/>
              </w:rPr>
              <w:t>）。于</w:t>
            </w:r>
            <w:r>
              <w:rPr>
                <w:rFonts w:hint="eastAsia" w:ascii="宋体" w:hAnsi="宋体" w:eastAsia="宋体" w:cs="宋体"/>
                <w:color w:val="auto"/>
                <w:kern w:val="0"/>
                <w:sz w:val="21"/>
                <w:szCs w:val="21"/>
                <w:highlight w:val="none"/>
                <w:lang w:bidi="ar"/>
              </w:rPr>
              <w:t>开工前报送</w:t>
            </w:r>
            <w:r>
              <w:rPr>
                <w:rFonts w:hint="eastAsia" w:ascii="宋体" w:hAnsi="宋体" w:eastAsia="宋体" w:cs="宋体"/>
                <w:color w:val="auto"/>
                <w:kern w:val="0"/>
                <w:sz w:val="21"/>
                <w:szCs w:val="21"/>
                <w:highlight w:val="none"/>
                <w:lang w:eastAsia="zh-CN" w:bidi="ar"/>
              </w:rPr>
              <w:t>综合计划科和业主代表</w:t>
            </w:r>
            <w:r>
              <w:rPr>
                <w:rFonts w:hint="eastAsia" w:ascii="宋体" w:hAnsi="宋体" w:eastAsia="宋体" w:cs="宋体"/>
                <w:color w:val="auto"/>
                <w:kern w:val="0"/>
                <w:sz w:val="21"/>
                <w:szCs w:val="21"/>
                <w:highlight w:val="none"/>
                <w:lang w:bidi="ar"/>
              </w:rPr>
              <w:t>备案（</w:t>
            </w:r>
            <w:r>
              <w:rPr>
                <w:rFonts w:hint="eastAsia" w:ascii="宋体" w:hAnsi="宋体" w:eastAsia="宋体" w:cs="宋体"/>
                <w:color w:val="auto"/>
                <w:kern w:val="0"/>
                <w:sz w:val="21"/>
                <w:szCs w:val="21"/>
                <w:highlight w:val="none"/>
                <w:lang w:val="en-US" w:eastAsia="zh-CN" w:bidi="ar"/>
              </w:rPr>
              <w:t>1分</w:t>
            </w:r>
            <w:r>
              <w:rPr>
                <w:rFonts w:hint="eastAsia" w:ascii="宋体" w:hAnsi="宋体" w:eastAsia="宋体" w:cs="宋体"/>
                <w:color w:val="auto"/>
                <w:kern w:val="0"/>
                <w:sz w:val="21"/>
                <w:szCs w:val="21"/>
                <w:highlight w:val="none"/>
                <w:lang w:bidi="ar"/>
              </w:rPr>
              <w:t>）</w:t>
            </w:r>
          </w:p>
        </w:tc>
      </w:tr>
      <w:tr w14:paraId="603A1A02">
        <w:tblPrEx>
          <w:tblCellMar>
            <w:top w:w="0" w:type="dxa"/>
            <w:left w:w="0" w:type="dxa"/>
            <w:bottom w:w="0" w:type="dxa"/>
            <w:right w:w="0" w:type="dxa"/>
          </w:tblCellMar>
        </w:tblPrEx>
        <w:trPr>
          <w:trHeight w:val="1307" w:hRule="atLeast"/>
          <w:jc w:val="center"/>
        </w:trPr>
        <w:tc>
          <w:tcPr>
            <w:tcW w:w="55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50CF1C6">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三</w:t>
            </w:r>
          </w:p>
        </w:tc>
        <w:tc>
          <w:tcPr>
            <w:tcW w:w="89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EAACE6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清单复核记录</w:t>
            </w: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5E446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是否完整反映招投标清单价格中错漏，并提出应对措施，是否按照《关于进一步规范政府投资项目跟踪审计实施方案及清单复核报告制度的通知》要求编写</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50687B">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447267">
            <w:pPr>
              <w:jc w:val="center"/>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119044">
            <w:pPr>
              <w:jc w:val="center"/>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789C4A">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bidi="ar"/>
              </w:rPr>
              <w:t>要素：1.</w:t>
            </w:r>
            <w:r>
              <w:rPr>
                <w:rFonts w:hint="eastAsia" w:ascii="宋体" w:hAnsi="宋体" w:eastAsia="宋体" w:cs="宋体"/>
                <w:color w:val="auto"/>
                <w:kern w:val="0"/>
                <w:sz w:val="21"/>
                <w:szCs w:val="21"/>
                <w:highlight w:val="none"/>
                <w:lang w:eastAsia="zh-CN" w:bidi="ar"/>
              </w:rPr>
              <w:t>重新计算异常</w:t>
            </w:r>
            <w:r>
              <w:rPr>
                <w:rFonts w:hint="eastAsia" w:ascii="宋体" w:hAnsi="宋体" w:eastAsia="宋体" w:cs="宋体"/>
                <w:color w:val="auto"/>
                <w:kern w:val="0"/>
                <w:sz w:val="21"/>
                <w:szCs w:val="21"/>
                <w:highlight w:val="none"/>
                <w:lang w:bidi="ar"/>
              </w:rPr>
              <w:t>工程量2.</w:t>
            </w:r>
            <w:r>
              <w:rPr>
                <w:rFonts w:hint="eastAsia" w:ascii="宋体" w:hAnsi="宋体" w:eastAsia="宋体" w:cs="宋体"/>
                <w:color w:val="auto"/>
                <w:kern w:val="0"/>
                <w:sz w:val="21"/>
                <w:szCs w:val="21"/>
                <w:highlight w:val="none"/>
                <w:lang w:eastAsia="zh-CN" w:bidi="ar"/>
              </w:rPr>
              <w:t>清单描述问题</w:t>
            </w:r>
            <w:r>
              <w:rPr>
                <w:rFonts w:hint="eastAsia" w:ascii="宋体" w:hAnsi="宋体" w:eastAsia="宋体" w:cs="宋体"/>
                <w:color w:val="auto"/>
                <w:kern w:val="0"/>
                <w:sz w:val="21"/>
                <w:szCs w:val="21"/>
                <w:highlight w:val="none"/>
                <w:lang w:bidi="ar"/>
              </w:rPr>
              <w:t>3.清单错漏项4.异常投标单价5.应对措施</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不好0分、较好</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分、很好</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分</w:t>
            </w:r>
            <w:r>
              <w:rPr>
                <w:rFonts w:hint="eastAsia" w:ascii="宋体" w:hAnsi="宋体" w:eastAsia="宋体" w:cs="宋体"/>
                <w:color w:val="auto"/>
                <w:kern w:val="0"/>
                <w:sz w:val="21"/>
                <w:szCs w:val="21"/>
                <w:highlight w:val="none"/>
                <w:lang w:eastAsia="zh-CN" w:bidi="ar"/>
              </w:rPr>
              <w:t>）。于开工一个月内</w:t>
            </w:r>
            <w:r>
              <w:rPr>
                <w:rFonts w:hint="eastAsia" w:ascii="宋体" w:hAnsi="宋体" w:eastAsia="宋体" w:cs="宋体"/>
                <w:color w:val="auto"/>
                <w:kern w:val="0"/>
                <w:sz w:val="21"/>
                <w:szCs w:val="21"/>
                <w:highlight w:val="none"/>
                <w:lang w:bidi="ar"/>
              </w:rPr>
              <w:t>报送</w:t>
            </w:r>
            <w:r>
              <w:rPr>
                <w:rFonts w:hint="eastAsia" w:ascii="宋体" w:hAnsi="宋体" w:eastAsia="宋体" w:cs="宋体"/>
                <w:color w:val="auto"/>
                <w:kern w:val="0"/>
                <w:sz w:val="21"/>
                <w:szCs w:val="21"/>
                <w:highlight w:val="none"/>
                <w:lang w:eastAsia="zh-CN" w:bidi="ar"/>
              </w:rPr>
              <w:t>综合计划科和业主代表</w:t>
            </w:r>
            <w:r>
              <w:rPr>
                <w:rFonts w:hint="eastAsia" w:ascii="宋体" w:hAnsi="宋体" w:eastAsia="宋体" w:cs="宋体"/>
                <w:color w:val="auto"/>
                <w:kern w:val="0"/>
                <w:sz w:val="21"/>
                <w:szCs w:val="21"/>
                <w:highlight w:val="none"/>
                <w:lang w:bidi="ar"/>
              </w:rPr>
              <w:t>备案（</w:t>
            </w:r>
            <w:r>
              <w:rPr>
                <w:rFonts w:hint="eastAsia" w:ascii="宋体" w:hAnsi="宋体" w:eastAsia="宋体" w:cs="宋体"/>
                <w:color w:val="auto"/>
                <w:kern w:val="0"/>
                <w:sz w:val="21"/>
                <w:szCs w:val="21"/>
                <w:highlight w:val="none"/>
                <w:lang w:val="en-US" w:eastAsia="zh-CN" w:bidi="ar"/>
              </w:rPr>
              <w:t>1分</w:t>
            </w:r>
            <w:r>
              <w:rPr>
                <w:rFonts w:hint="eastAsia" w:ascii="宋体" w:hAnsi="宋体" w:eastAsia="宋体" w:cs="宋体"/>
                <w:color w:val="auto"/>
                <w:kern w:val="0"/>
                <w:sz w:val="21"/>
                <w:szCs w:val="21"/>
                <w:highlight w:val="none"/>
                <w:lang w:bidi="ar"/>
              </w:rPr>
              <w:t>）</w:t>
            </w:r>
          </w:p>
        </w:tc>
      </w:tr>
      <w:tr w14:paraId="75DA3736">
        <w:tblPrEx>
          <w:tblCellMar>
            <w:top w:w="0" w:type="dxa"/>
            <w:left w:w="0" w:type="dxa"/>
            <w:bottom w:w="0" w:type="dxa"/>
            <w:right w:w="0" w:type="dxa"/>
          </w:tblCellMar>
        </w:tblPrEx>
        <w:trPr>
          <w:trHeight w:val="219" w:hRule="atLeast"/>
          <w:jc w:val="center"/>
        </w:trPr>
        <w:tc>
          <w:tcPr>
            <w:tcW w:w="55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09F044DE">
            <w:pPr>
              <w:jc w:val="center"/>
              <w:rPr>
                <w:rFonts w:hint="eastAsia" w:ascii="宋体" w:hAnsi="宋体" w:eastAsia="宋体" w:cs="宋体"/>
                <w:color w:val="auto"/>
                <w:sz w:val="24"/>
                <w:szCs w:val="24"/>
                <w:highlight w:val="none"/>
              </w:rPr>
            </w:pPr>
          </w:p>
        </w:tc>
        <w:tc>
          <w:tcPr>
            <w:tcW w:w="892"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03EA59A1">
            <w:pPr>
              <w:jc w:val="center"/>
              <w:rPr>
                <w:rFonts w:hint="eastAsia" w:ascii="宋体" w:hAnsi="宋体" w:eastAsia="宋体" w:cs="宋体"/>
                <w:color w:val="auto"/>
                <w:sz w:val="24"/>
                <w:szCs w:val="24"/>
                <w:highlight w:val="none"/>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88CB43">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2.施工过程及时更新清单复核情况</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BA7157">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2ADF71">
            <w:pPr>
              <w:jc w:val="center"/>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0E50AA">
            <w:pPr>
              <w:jc w:val="center"/>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7F96EC">
            <w:pPr>
              <w:jc w:val="center"/>
              <w:rPr>
                <w:rFonts w:hint="eastAsia" w:ascii="宋体" w:hAnsi="宋体" w:eastAsia="宋体" w:cs="宋体"/>
                <w:color w:val="auto"/>
                <w:sz w:val="21"/>
                <w:szCs w:val="21"/>
                <w:highlight w:val="none"/>
              </w:rPr>
            </w:pPr>
          </w:p>
        </w:tc>
      </w:tr>
      <w:tr w14:paraId="50677A88">
        <w:tblPrEx>
          <w:tblCellMar>
            <w:top w:w="0" w:type="dxa"/>
            <w:left w:w="0" w:type="dxa"/>
            <w:bottom w:w="0" w:type="dxa"/>
            <w:right w:w="0" w:type="dxa"/>
          </w:tblCellMar>
        </w:tblPrEx>
        <w:trPr>
          <w:trHeight w:val="179" w:hRule="atLeast"/>
          <w:jc w:val="center"/>
        </w:trPr>
        <w:tc>
          <w:tcPr>
            <w:tcW w:w="55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6D794C">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四</w:t>
            </w:r>
          </w:p>
        </w:tc>
        <w:tc>
          <w:tcPr>
            <w:tcW w:w="8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4BED8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造价例会</w:t>
            </w: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4AC355">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明确项目参建各方签字权责任人</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AC9A6D">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2</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8464AB">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72737E">
            <w:pPr>
              <w:jc w:val="left"/>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74B45A">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需有参建各方公章、项目负责人签字及执业章</w:t>
            </w:r>
          </w:p>
        </w:tc>
      </w:tr>
      <w:tr w14:paraId="56176D20">
        <w:tblPrEx>
          <w:tblCellMar>
            <w:top w:w="0" w:type="dxa"/>
            <w:left w:w="0" w:type="dxa"/>
            <w:bottom w:w="0" w:type="dxa"/>
            <w:right w:w="0" w:type="dxa"/>
          </w:tblCellMar>
        </w:tblPrEx>
        <w:trPr>
          <w:trHeight w:val="149"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EC29DA">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1C76D3">
            <w:pPr>
              <w:jc w:val="center"/>
              <w:rPr>
                <w:rFonts w:hint="eastAsia" w:ascii="宋体" w:hAnsi="宋体" w:eastAsia="宋体" w:cs="宋体"/>
                <w:color w:val="auto"/>
                <w:sz w:val="24"/>
                <w:szCs w:val="24"/>
                <w:highlight w:val="none"/>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B7BCA3">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有无与会各方代表签字的会议纪要</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65C684">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2</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345323">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EF8B61">
            <w:pPr>
              <w:jc w:val="left"/>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C32DE9">
            <w:pPr>
              <w:jc w:val="left"/>
              <w:rPr>
                <w:rFonts w:hint="eastAsia" w:ascii="宋体" w:hAnsi="宋体" w:eastAsia="宋体" w:cs="宋体"/>
                <w:color w:val="auto"/>
                <w:sz w:val="21"/>
                <w:szCs w:val="21"/>
                <w:highlight w:val="none"/>
              </w:rPr>
            </w:pPr>
          </w:p>
        </w:tc>
      </w:tr>
      <w:tr w14:paraId="10BD2321">
        <w:tblPrEx>
          <w:tblCellMar>
            <w:top w:w="0" w:type="dxa"/>
            <w:left w:w="0" w:type="dxa"/>
            <w:bottom w:w="0" w:type="dxa"/>
            <w:right w:w="0" w:type="dxa"/>
          </w:tblCellMar>
        </w:tblPrEx>
        <w:trPr>
          <w:trHeight w:val="90"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E0F5EB">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6913E2">
            <w:pPr>
              <w:jc w:val="center"/>
              <w:rPr>
                <w:rFonts w:hint="eastAsia" w:ascii="宋体" w:hAnsi="宋体" w:eastAsia="宋体" w:cs="宋体"/>
                <w:color w:val="auto"/>
                <w:sz w:val="24"/>
                <w:szCs w:val="24"/>
                <w:highlight w:val="none"/>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63C2A4">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是否报送备案</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A711F0">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1</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223866">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2314DD">
            <w:pPr>
              <w:jc w:val="left"/>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983633">
            <w:pPr>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bidi="ar"/>
              </w:rPr>
              <w:t>于</w:t>
            </w:r>
            <w:r>
              <w:rPr>
                <w:rFonts w:hint="eastAsia" w:ascii="宋体" w:hAnsi="宋体" w:eastAsia="宋体" w:cs="宋体"/>
                <w:color w:val="auto"/>
                <w:kern w:val="0"/>
                <w:sz w:val="21"/>
                <w:szCs w:val="21"/>
                <w:highlight w:val="none"/>
                <w:lang w:bidi="ar"/>
              </w:rPr>
              <w:t>会议后3日内报送</w:t>
            </w:r>
            <w:r>
              <w:rPr>
                <w:rFonts w:hint="eastAsia" w:ascii="宋体" w:hAnsi="宋体" w:eastAsia="宋体" w:cs="宋体"/>
                <w:color w:val="auto"/>
                <w:kern w:val="0"/>
                <w:sz w:val="21"/>
                <w:szCs w:val="21"/>
                <w:highlight w:val="none"/>
                <w:lang w:eastAsia="zh-CN" w:bidi="ar"/>
              </w:rPr>
              <w:t>综合计划科和业主代表</w:t>
            </w:r>
            <w:r>
              <w:rPr>
                <w:rFonts w:hint="eastAsia" w:ascii="宋体" w:hAnsi="宋体" w:eastAsia="宋体" w:cs="宋体"/>
                <w:color w:val="auto"/>
                <w:kern w:val="0"/>
                <w:sz w:val="21"/>
                <w:szCs w:val="21"/>
                <w:highlight w:val="none"/>
                <w:lang w:bidi="ar"/>
              </w:rPr>
              <w:t>备案</w:t>
            </w:r>
          </w:p>
        </w:tc>
      </w:tr>
      <w:tr w14:paraId="43E91F31">
        <w:tblPrEx>
          <w:tblCellMar>
            <w:top w:w="0" w:type="dxa"/>
            <w:left w:w="0" w:type="dxa"/>
            <w:bottom w:w="0" w:type="dxa"/>
            <w:right w:w="0" w:type="dxa"/>
          </w:tblCellMar>
        </w:tblPrEx>
        <w:trPr>
          <w:trHeight w:val="755" w:hRule="atLeast"/>
          <w:jc w:val="center"/>
        </w:trPr>
        <w:tc>
          <w:tcPr>
            <w:tcW w:w="5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63C621">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五</w:t>
            </w:r>
          </w:p>
        </w:tc>
        <w:tc>
          <w:tcPr>
            <w:tcW w:w="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01A99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审计日志</w:t>
            </w: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097F71">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是否真实全面反映日常跟踪审计工作情况</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43D53D">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7</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C02950">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0CBA33">
            <w:pPr>
              <w:jc w:val="left"/>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228780">
            <w:pPr>
              <w:widowControl/>
              <w:numPr>
                <w:ilvl w:val="0"/>
                <w:numId w:val="0"/>
              </w:numPr>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bidi="ar"/>
              </w:rPr>
              <w:t>要素：1.当日工程进展情况2.当日</w:t>
            </w:r>
            <w:r>
              <w:rPr>
                <w:rFonts w:hint="eastAsia" w:ascii="宋体" w:hAnsi="宋体" w:eastAsia="宋体" w:cs="宋体"/>
                <w:color w:val="auto"/>
                <w:kern w:val="0"/>
                <w:sz w:val="21"/>
                <w:szCs w:val="21"/>
                <w:highlight w:val="none"/>
                <w:lang w:val="en-US" w:eastAsia="zh-CN" w:bidi="ar"/>
              </w:rPr>
              <w:t>计量</w:t>
            </w:r>
            <w:r>
              <w:rPr>
                <w:rFonts w:hint="eastAsia" w:ascii="宋体" w:hAnsi="宋体" w:eastAsia="宋体" w:cs="宋体"/>
                <w:color w:val="auto"/>
                <w:kern w:val="0"/>
                <w:sz w:val="21"/>
                <w:szCs w:val="21"/>
                <w:highlight w:val="none"/>
                <w:lang w:eastAsia="zh-CN" w:bidi="ar"/>
              </w:rPr>
              <w:t>计价事项</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eastAsia="zh-CN" w:bidi="ar"/>
              </w:rPr>
              <w:t>.当日参加会议的记录</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eastAsia="zh-CN" w:bidi="ar"/>
              </w:rPr>
              <w:t>进度款审核情况</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eastAsia="zh-CN" w:bidi="ar"/>
              </w:rPr>
              <w:t>.工程变更事项</w:t>
            </w:r>
            <w:r>
              <w:rPr>
                <w:rFonts w:hint="eastAsia" w:ascii="宋体" w:hAnsi="宋体" w:eastAsia="宋体" w:cs="宋体"/>
                <w:color w:val="auto"/>
                <w:kern w:val="0"/>
                <w:sz w:val="21"/>
                <w:szCs w:val="21"/>
                <w:highlight w:val="none"/>
                <w:lang w:val="en-US" w:eastAsia="zh-CN" w:bidi="ar"/>
              </w:rPr>
              <w:t>6.当日影像资料。不真实或间隔超过一周的，本项得0分</w:t>
            </w:r>
          </w:p>
        </w:tc>
      </w:tr>
      <w:tr w14:paraId="6D619552">
        <w:tblPrEx>
          <w:tblCellMar>
            <w:top w:w="0" w:type="dxa"/>
            <w:left w:w="0" w:type="dxa"/>
            <w:bottom w:w="0" w:type="dxa"/>
            <w:right w:w="0" w:type="dxa"/>
          </w:tblCellMar>
        </w:tblPrEx>
        <w:trPr>
          <w:trHeight w:val="959" w:hRule="atLeast"/>
          <w:jc w:val="center"/>
        </w:trPr>
        <w:tc>
          <w:tcPr>
            <w:tcW w:w="5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3A063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w:t>
            </w:r>
          </w:p>
        </w:tc>
        <w:tc>
          <w:tcPr>
            <w:tcW w:w="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7BCA8D">
            <w:pPr>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审计月报</w:t>
            </w: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A1EC5F">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按月编报并报送</w:t>
            </w:r>
            <w:r>
              <w:rPr>
                <w:rFonts w:hint="eastAsia" w:ascii="宋体" w:hAnsi="宋体" w:eastAsia="宋体" w:cs="宋体"/>
                <w:color w:val="auto"/>
                <w:kern w:val="0"/>
                <w:sz w:val="24"/>
                <w:szCs w:val="24"/>
                <w:highlight w:val="none"/>
                <w:lang w:eastAsia="zh-CN" w:bidi="ar"/>
              </w:rPr>
              <w:t>综合计划科和业主代表</w:t>
            </w:r>
            <w:r>
              <w:rPr>
                <w:rFonts w:hint="eastAsia" w:ascii="宋体" w:hAnsi="宋体" w:eastAsia="宋体" w:cs="宋体"/>
                <w:color w:val="auto"/>
                <w:kern w:val="0"/>
                <w:sz w:val="24"/>
                <w:szCs w:val="24"/>
                <w:highlight w:val="none"/>
                <w:lang w:bidi="ar"/>
              </w:rPr>
              <w:t>备案（每月5日前报送）</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是否真实全面反映月度主要跟踪审计工作情况</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F358D1">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8</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D6213A">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284F8E">
            <w:pPr>
              <w:jc w:val="left"/>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174659">
            <w:pPr>
              <w:widowControl/>
              <w:numPr>
                <w:ilvl w:val="0"/>
                <w:numId w:val="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1.漏报、迟报一次扣1分，2分扣完为止；</w:t>
            </w:r>
          </w:p>
          <w:p w14:paraId="2EA5278A">
            <w:pPr>
              <w:widowControl/>
              <w:numPr>
                <w:ilvl w:val="0"/>
                <w:numId w:val="0"/>
              </w:numPr>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eastAsia="zh-CN" w:bidi="ar"/>
              </w:rPr>
              <w:t>要素：1.主要工程进展情况2.主要</w:t>
            </w:r>
            <w:r>
              <w:rPr>
                <w:rFonts w:hint="eastAsia" w:ascii="宋体" w:hAnsi="宋体" w:eastAsia="宋体" w:cs="宋体"/>
                <w:color w:val="auto"/>
                <w:kern w:val="0"/>
                <w:sz w:val="21"/>
                <w:szCs w:val="21"/>
                <w:highlight w:val="none"/>
                <w:lang w:val="en-US" w:eastAsia="zh-CN" w:bidi="ar"/>
              </w:rPr>
              <w:t>计量</w:t>
            </w:r>
            <w:r>
              <w:rPr>
                <w:rFonts w:hint="eastAsia" w:ascii="宋体" w:hAnsi="宋体" w:eastAsia="宋体" w:cs="宋体"/>
                <w:color w:val="auto"/>
                <w:kern w:val="0"/>
                <w:sz w:val="21"/>
                <w:szCs w:val="21"/>
                <w:highlight w:val="none"/>
                <w:lang w:eastAsia="zh-CN" w:bidi="ar"/>
              </w:rPr>
              <w:t>计价事项</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eastAsia="zh-CN" w:bidi="ar"/>
              </w:rPr>
              <w:t>.参加会议的记录</w:t>
            </w:r>
            <w:r>
              <w:rPr>
                <w:rFonts w:hint="eastAsia" w:ascii="宋体" w:hAnsi="宋体" w:eastAsia="宋体" w:cs="宋体"/>
                <w:color w:val="auto"/>
                <w:kern w:val="0"/>
                <w:sz w:val="21"/>
                <w:szCs w:val="21"/>
                <w:highlight w:val="none"/>
                <w:lang w:val="en-US" w:eastAsia="zh-CN" w:bidi="ar"/>
              </w:rPr>
              <w:t>4.当月</w:t>
            </w:r>
            <w:r>
              <w:rPr>
                <w:rFonts w:hint="eastAsia" w:ascii="宋体" w:hAnsi="宋体" w:eastAsia="宋体" w:cs="宋体"/>
                <w:color w:val="auto"/>
                <w:kern w:val="0"/>
                <w:sz w:val="21"/>
                <w:szCs w:val="21"/>
                <w:highlight w:val="none"/>
                <w:lang w:eastAsia="zh-CN" w:bidi="ar"/>
              </w:rPr>
              <w:t>进度款审核情况</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eastAsia="zh-CN" w:bidi="ar"/>
              </w:rPr>
              <w:t>.当月工程变更事项</w:t>
            </w:r>
            <w:r>
              <w:rPr>
                <w:rFonts w:hint="eastAsia" w:ascii="宋体" w:hAnsi="宋体" w:eastAsia="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eastAsia="zh-CN" w:bidi="ar"/>
              </w:rPr>
              <w:t>主要</w:t>
            </w:r>
            <w:r>
              <w:rPr>
                <w:rFonts w:hint="eastAsia" w:ascii="宋体" w:hAnsi="宋体" w:eastAsia="宋体" w:cs="宋体"/>
                <w:color w:val="auto"/>
                <w:kern w:val="0"/>
                <w:sz w:val="21"/>
                <w:szCs w:val="21"/>
                <w:highlight w:val="none"/>
                <w:lang w:val="en-US" w:eastAsia="zh-CN" w:bidi="ar"/>
              </w:rPr>
              <w:t>影像资料。不真实的，本项得0分</w:t>
            </w:r>
          </w:p>
        </w:tc>
      </w:tr>
      <w:tr w14:paraId="48199DEC">
        <w:tblPrEx>
          <w:tblCellMar>
            <w:top w:w="0" w:type="dxa"/>
            <w:left w:w="0" w:type="dxa"/>
            <w:bottom w:w="0" w:type="dxa"/>
            <w:right w:w="0" w:type="dxa"/>
          </w:tblCellMar>
        </w:tblPrEx>
        <w:trPr>
          <w:trHeight w:val="114" w:hRule="atLeast"/>
          <w:jc w:val="center"/>
        </w:trPr>
        <w:tc>
          <w:tcPr>
            <w:tcW w:w="55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39BE6E">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七</w:t>
            </w:r>
          </w:p>
        </w:tc>
        <w:tc>
          <w:tcPr>
            <w:tcW w:w="8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E90C8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工程进度款审核支付</w:t>
            </w: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571CFA">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是否根据合同约定审核工程进度款支付申请资料</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CE169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61ED03">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81569B">
            <w:pPr>
              <w:jc w:val="left"/>
              <w:rPr>
                <w:rFonts w:hint="eastAsia" w:ascii="宋体" w:hAnsi="宋体" w:eastAsia="宋体" w:cs="宋体"/>
                <w:color w:val="auto"/>
                <w:sz w:val="24"/>
                <w:szCs w:val="24"/>
                <w:highlight w:val="none"/>
              </w:rPr>
            </w:pPr>
          </w:p>
        </w:tc>
        <w:tc>
          <w:tcPr>
            <w:tcW w:w="352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167090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一处不真实的，本项得</w:t>
            </w:r>
            <w:r>
              <w:rPr>
                <w:rFonts w:hint="eastAsia" w:ascii="宋体" w:hAnsi="宋体" w:eastAsia="宋体" w:cs="宋体"/>
                <w:color w:val="auto"/>
                <w:sz w:val="21"/>
                <w:szCs w:val="21"/>
                <w:highlight w:val="none"/>
                <w:lang w:val="en-US" w:eastAsia="zh-CN"/>
              </w:rPr>
              <w:t>0分</w:t>
            </w:r>
          </w:p>
        </w:tc>
      </w:tr>
      <w:tr w14:paraId="2DD048A0">
        <w:tblPrEx>
          <w:tblCellMar>
            <w:top w:w="0" w:type="dxa"/>
            <w:left w:w="0" w:type="dxa"/>
            <w:bottom w:w="0" w:type="dxa"/>
            <w:right w:w="0" w:type="dxa"/>
          </w:tblCellMar>
        </w:tblPrEx>
        <w:trPr>
          <w:trHeight w:val="90"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236CAC">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FBC62A">
            <w:pPr>
              <w:jc w:val="center"/>
              <w:rPr>
                <w:rFonts w:hint="eastAsia" w:ascii="宋体" w:hAnsi="宋体" w:eastAsia="宋体" w:cs="宋体"/>
                <w:color w:val="auto"/>
                <w:sz w:val="24"/>
                <w:szCs w:val="24"/>
                <w:highlight w:val="none"/>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0FD709">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工程进度款支付审批意见是否由项目负责人签字盖章</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1C924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1127D9">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E986EE">
            <w:pPr>
              <w:jc w:val="left"/>
              <w:rPr>
                <w:rFonts w:hint="eastAsia" w:ascii="宋体" w:hAnsi="宋体" w:eastAsia="宋体" w:cs="宋体"/>
                <w:color w:val="auto"/>
                <w:sz w:val="24"/>
                <w:szCs w:val="24"/>
                <w:highlight w:val="none"/>
              </w:rPr>
            </w:pPr>
          </w:p>
        </w:tc>
        <w:tc>
          <w:tcPr>
            <w:tcW w:w="3520" w:type="dxa"/>
            <w:vMerge w:val="continue"/>
            <w:tcBorders>
              <w:left w:val="single" w:color="000000" w:sz="4" w:space="0"/>
              <w:right w:val="single" w:color="000000" w:sz="4" w:space="0"/>
            </w:tcBorders>
            <w:noWrap w:val="0"/>
            <w:tcMar>
              <w:top w:w="15" w:type="dxa"/>
              <w:left w:w="15" w:type="dxa"/>
              <w:right w:w="15" w:type="dxa"/>
            </w:tcMar>
            <w:vAlign w:val="center"/>
          </w:tcPr>
          <w:p w14:paraId="444A6865">
            <w:pPr>
              <w:jc w:val="left"/>
              <w:rPr>
                <w:rFonts w:hint="eastAsia" w:ascii="宋体" w:hAnsi="宋体" w:eastAsia="宋体" w:cs="宋体"/>
                <w:color w:val="auto"/>
                <w:sz w:val="21"/>
                <w:szCs w:val="21"/>
                <w:highlight w:val="none"/>
              </w:rPr>
            </w:pPr>
          </w:p>
        </w:tc>
      </w:tr>
      <w:tr w14:paraId="3D538311">
        <w:tblPrEx>
          <w:tblCellMar>
            <w:top w:w="0" w:type="dxa"/>
            <w:left w:w="0" w:type="dxa"/>
            <w:bottom w:w="0" w:type="dxa"/>
            <w:right w:w="0" w:type="dxa"/>
          </w:tblCellMar>
        </w:tblPrEx>
        <w:trPr>
          <w:trHeight w:val="99"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DD10F6">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458ECB">
            <w:pPr>
              <w:jc w:val="center"/>
              <w:rPr>
                <w:rFonts w:hint="eastAsia" w:ascii="宋体" w:hAnsi="宋体" w:eastAsia="宋体" w:cs="宋体"/>
                <w:color w:val="auto"/>
                <w:sz w:val="24"/>
                <w:szCs w:val="24"/>
                <w:highlight w:val="none"/>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76763B">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是否建立相应工程计量支付管理台账</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51CAE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7D2DCE">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3541A2">
            <w:pPr>
              <w:jc w:val="left"/>
              <w:rPr>
                <w:rFonts w:hint="eastAsia" w:ascii="宋体" w:hAnsi="宋体" w:eastAsia="宋体" w:cs="宋体"/>
                <w:color w:val="auto"/>
                <w:sz w:val="24"/>
                <w:szCs w:val="24"/>
                <w:highlight w:val="none"/>
              </w:rPr>
            </w:pPr>
          </w:p>
        </w:tc>
        <w:tc>
          <w:tcPr>
            <w:tcW w:w="352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2973E0F6">
            <w:pPr>
              <w:jc w:val="left"/>
              <w:rPr>
                <w:rFonts w:hint="eastAsia" w:ascii="宋体" w:hAnsi="宋体" w:eastAsia="宋体" w:cs="宋体"/>
                <w:color w:val="auto"/>
                <w:sz w:val="21"/>
                <w:szCs w:val="21"/>
                <w:highlight w:val="none"/>
              </w:rPr>
            </w:pPr>
          </w:p>
        </w:tc>
      </w:tr>
      <w:tr w14:paraId="2600B659">
        <w:tblPrEx>
          <w:tblCellMar>
            <w:top w:w="0" w:type="dxa"/>
            <w:left w:w="0" w:type="dxa"/>
            <w:bottom w:w="0" w:type="dxa"/>
            <w:right w:w="0" w:type="dxa"/>
          </w:tblCellMar>
        </w:tblPrEx>
        <w:trPr>
          <w:trHeight w:val="446" w:hRule="atLeast"/>
          <w:jc w:val="center"/>
        </w:trPr>
        <w:tc>
          <w:tcPr>
            <w:tcW w:w="55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DAF68E">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八</w:t>
            </w:r>
          </w:p>
        </w:tc>
        <w:tc>
          <w:tcPr>
            <w:tcW w:w="8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B4966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工程计量及合法性</w:t>
            </w: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7A7169">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是否及时、真实、准确计量</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B6E89A">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15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3156AA">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04F6DC">
            <w:pPr>
              <w:jc w:val="left"/>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EDDA08">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抽查复核，一处不真实、不准确</w:t>
            </w:r>
            <w:r>
              <w:rPr>
                <w:rFonts w:hint="eastAsia" w:ascii="宋体" w:hAnsi="宋体" w:eastAsia="宋体" w:cs="宋体"/>
                <w:color w:val="auto"/>
                <w:kern w:val="0"/>
                <w:sz w:val="21"/>
                <w:szCs w:val="21"/>
                <w:highlight w:val="none"/>
                <w:lang w:eastAsia="zh-CN" w:bidi="ar"/>
              </w:rPr>
              <w:t>的</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eastAsia="zh-CN" w:bidi="ar"/>
              </w:rPr>
              <w:t>本项得</w:t>
            </w:r>
            <w:r>
              <w:rPr>
                <w:rFonts w:hint="eastAsia" w:ascii="宋体" w:hAnsi="宋体" w:eastAsia="宋体" w:cs="宋体"/>
                <w:color w:val="auto"/>
                <w:kern w:val="0"/>
                <w:sz w:val="21"/>
                <w:szCs w:val="21"/>
                <w:highlight w:val="none"/>
                <w:lang w:val="en-US" w:eastAsia="zh-CN" w:bidi="ar"/>
              </w:rPr>
              <w:t>0分；</w:t>
            </w:r>
            <w:r>
              <w:rPr>
                <w:rFonts w:hint="eastAsia" w:ascii="宋体" w:hAnsi="宋体" w:eastAsia="宋体" w:cs="宋体"/>
                <w:color w:val="auto"/>
                <w:kern w:val="0"/>
                <w:sz w:val="21"/>
                <w:szCs w:val="21"/>
                <w:highlight w:val="none"/>
                <w:lang w:bidi="ar"/>
              </w:rPr>
              <w:t>不及时计量扣</w:t>
            </w:r>
            <w:r>
              <w:rPr>
                <w:rFonts w:hint="eastAsia" w:ascii="宋体" w:hAnsi="宋体" w:eastAsia="宋体" w:cs="宋体"/>
                <w:color w:val="auto"/>
                <w:kern w:val="0"/>
                <w:sz w:val="21"/>
                <w:szCs w:val="21"/>
                <w:highlight w:val="none"/>
                <w:lang w:val="en-US" w:eastAsia="zh-CN" w:bidi="ar"/>
              </w:rPr>
              <w:t>10</w:t>
            </w:r>
            <w:r>
              <w:rPr>
                <w:rFonts w:hint="eastAsia" w:ascii="宋体" w:hAnsi="宋体" w:eastAsia="宋体" w:cs="宋体"/>
                <w:color w:val="auto"/>
                <w:kern w:val="0"/>
                <w:sz w:val="21"/>
                <w:szCs w:val="21"/>
                <w:highlight w:val="none"/>
                <w:lang w:bidi="ar"/>
              </w:rPr>
              <w:t>分，若影响计量结果</w:t>
            </w:r>
            <w:r>
              <w:rPr>
                <w:rFonts w:hint="eastAsia" w:ascii="宋体" w:hAnsi="宋体" w:eastAsia="宋体" w:cs="宋体"/>
                <w:color w:val="auto"/>
                <w:kern w:val="0"/>
                <w:sz w:val="21"/>
                <w:szCs w:val="21"/>
                <w:highlight w:val="none"/>
                <w:lang w:eastAsia="zh-CN" w:bidi="ar"/>
              </w:rPr>
              <w:t>的</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eastAsia="zh-CN" w:bidi="ar"/>
              </w:rPr>
              <w:t>本项得</w:t>
            </w:r>
            <w:r>
              <w:rPr>
                <w:rFonts w:hint="eastAsia" w:ascii="宋体" w:hAnsi="宋体" w:eastAsia="宋体" w:cs="宋体"/>
                <w:color w:val="auto"/>
                <w:kern w:val="0"/>
                <w:sz w:val="21"/>
                <w:szCs w:val="21"/>
                <w:highlight w:val="none"/>
                <w:lang w:val="en-US" w:eastAsia="zh-CN" w:bidi="ar"/>
              </w:rPr>
              <w:t>0分</w:t>
            </w:r>
          </w:p>
        </w:tc>
      </w:tr>
      <w:tr w14:paraId="3FB2B53D">
        <w:tblPrEx>
          <w:tblCellMar>
            <w:top w:w="0" w:type="dxa"/>
            <w:left w:w="0" w:type="dxa"/>
            <w:bottom w:w="0" w:type="dxa"/>
            <w:right w:w="0" w:type="dxa"/>
          </w:tblCellMar>
        </w:tblPrEx>
        <w:trPr>
          <w:trHeight w:val="5232"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2EB5F6">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88377C">
            <w:pPr>
              <w:jc w:val="center"/>
              <w:rPr>
                <w:rFonts w:hint="eastAsia" w:ascii="宋体" w:hAnsi="宋体" w:eastAsia="宋体" w:cs="宋体"/>
                <w:color w:val="auto"/>
                <w:sz w:val="24"/>
                <w:szCs w:val="24"/>
                <w:highlight w:val="none"/>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4A1B6B">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计量记录、简图及影像资料是否齐全，计量方法是否规范</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036A93">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0</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716849">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050DBB">
            <w:pPr>
              <w:jc w:val="left"/>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A19817">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eastAsia="zh-CN" w:bidi="ar"/>
              </w:rPr>
              <w:t>计量资料中中期计量单、计量底稿、影像资料应一一对应；</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隐蔽工程计量时应留下带有位置、桩号、计量标记等可识别的影像资料，必要的简图和计算底稿</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.工程场地平整、绿化土方、建筑垃圾等涉及土石方工程量的计量，应附详细测量记录</w:t>
            </w:r>
            <w:r>
              <w:rPr>
                <w:rFonts w:hint="eastAsia" w:ascii="宋体" w:hAnsi="宋体" w:eastAsia="宋体" w:cs="宋体"/>
                <w:color w:val="auto"/>
                <w:kern w:val="0"/>
                <w:sz w:val="21"/>
                <w:szCs w:val="21"/>
                <w:highlight w:val="none"/>
                <w:lang w:eastAsia="zh-CN" w:bidi="ar"/>
              </w:rPr>
              <w:t>。道路桥梁类与原始地形地貌发生重大变化的土方及建筑垃圾；道路桥梁类不规则不易计量或总量超过</w:t>
            </w: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bidi="ar"/>
              </w:rPr>
              <w:t>000方</w:t>
            </w:r>
            <w:r>
              <w:rPr>
                <w:rFonts w:hint="eastAsia" w:ascii="宋体" w:hAnsi="宋体" w:eastAsia="宋体" w:cs="宋体"/>
                <w:color w:val="auto"/>
                <w:kern w:val="0"/>
                <w:sz w:val="21"/>
                <w:szCs w:val="21"/>
                <w:highlight w:val="none"/>
                <w:lang w:eastAsia="zh-CN" w:bidi="ar"/>
              </w:rPr>
              <w:t>的沟塘清淤；景观、水环境类地形复杂或地形地貌发生重大变化数量超过</w:t>
            </w:r>
            <w:r>
              <w:rPr>
                <w:rFonts w:hint="eastAsia" w:ascii="宋体" w:hAnsi="宋体" w:eastAsia="宋体" w:cs="宋体"/>
                <w:color w:val="auto"/>
                <w:kern w:val="0"/>
                <w:sz w:val="21"/>
                <w:szCs w:val="21"/>
                <w:highlight w:val="none"/>
                <w:lang w:val="en-US" w:eastAsia="zh-CN" w:bidi="ar"/>
              </w:rPr>
              <w:t>1000方的挖填土方；房建类基槽开挖前的原地貌测绘，</w:t>
            </w:r>
            <w:r>
              <w:rPr>
                <w:rFonts w:hint="eastAsia" w:ascii="宋体" w:hAnsi="宋体" w:eastAsia="宋体" w:cs="宋体"/>
                <w:color w:val="auto"/>
                <w:kern w:val="0"/>
                <w:sz w:val="21"/>
                <w:szCs w:val="21"/>
                <w:highlight w:val="none"/>
                <w:lang w:bidi="ar"/>
              </w:rPr>
              <w:t>应</w:t>
            </w:r>
            <w:r>
              <w:rPr>
                <w:rFonts w:hint="eastAsia" w:ascii="宋体" w:hAnsi="宋体" w:eastAsia="宋体" w:cs="宋体"/>
                <w:color w:val="auto"/>
                <w:kern w:val="0"/>
                <w:sz w:val="21"/>
                <w:szCs w:val="21"/>
                <w:highlight w:val="none"/>
                <w:lang w:eastAsia="zh-CN" w:bidi="ar"/>
              </w:rPr>
              <w:t>书面</w:t>
            </w:r>
            <w:r>
              <w:rPr>
                <w:rFonts w:hint="eastAsia" w:ascii="宋体" w:hAnsi="宋体" w:eastAsia="宋体" w:cs="宋体"/>
                <w:color w:val="auto"/>
                <w:kern w:val="0"/>
                <w:sz w:val="21"/>
                <w:szCs w:val="21"/>
                <w:highlight w:val="none"/>
                <w:lang w:bidi="ar"/>
              </w:rPr>
              <w:t>提请业主请测绘部门测绘</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.土方地形变化较大的，应保留施工前后对应的影像资料。不好0分、一般</w:t>
            </w:r>
            <w:r>
              <w:rPr>
                <w:rFonts w:hint="eastAsia" w:ascii="宋体" w:hAnsi="宋体" w:eastAsia="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bidi="ar"/>
              </w:rPr>
              <w:t>分、较好8分、很好10分</w:t>
            </w:r>
          </w:p>
        </w:tc>
      </w:tr>
      <w:tr w14:paraId="7EA587E0">
        <w:tblPrEx>
          <w:tblCellMar>
            <w:top w:w="0" w:type="dxa"/>
            <w:left w:w="0" w:type="dxa"/>
            <w:bottom w:w="0" w:type="dxa"/>
            <w:right w:w="0" w:type="dxa"/>
          </w:tblCellMar>
        </w:tblPrEx>
        <w:trPr>
          <w:trHeight w:val="579" w:hRule="atLeast"/>
          <w:jc w:val="center"/>
        </w:trPr>
        <w:tc>
          <w:tcPr>
            <w:tcW w:w="55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4E0DEA">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九</w:t>
            </w:r>
          </w:p>
        </w:tc>
        <w:tc>
          <w:tcPr>
            <w:tcW w:w="8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CFBB5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工程变更程序（包括暂定量项目）</w:t>
            </w:r>
          </w:p>
        </w:tc>
        <w:tc>
          <w:tcPr>
            <w:tcW w:w="27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36978D">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工程变更手续是否及时、规范办理，证明资料是否齐全，否则有无书面催告</w:t>
            </w:r>
          </w:p>
        </w:tc>
        <w:tc>
          <w:tcPr>
            <w:tcW w:w="7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89BC9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w:t>
            </w:r>
          </w:p>
        </w:tc>
        <w:tc>
          <w:tcPr>
            <w:tcW w:w="5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B61D46">
            <w:pPr>
              <w:jc w:val="left"/>
              <w:rPr>
                <w:rFonts w:hint="eastAsia" w:ascii="宋体" w:hAnsi="宋体" w:eastAsia="宋体" w:cs="宋体"/>
                <w:color w:val="auto"/>
                <w:sz w:val="24"/>
                <w:szCs w:val="24"/>
                <w:highlight w:val="none"/>
              </w:rPr>
            </w:pPr>
          </w:p>
        </w:tc>
        <w:tc>
          <w:tcPr>
            <w:tcW w:w="100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39A603">
            <w:pPr>
              <w:jc w:val="left"/>
              <w:rPr>
                <w:rFonts w:hint="eastAsia" w:ascii="宋体" w:hAnsi="宋体" w:eastAsia="宋体" w:cs="宋体"/>
                <w:color w:val="auto"/>
                <w:sz w:val="24"/>
                <w:szCs w:val="24"/>
                <w:highlight w:val="none"/>
              </w:rPr>
            </w:pPr>
          </w:p>
        </w:tc>
        <w:tc>
          <w:tcPr>
            <w:tcW w:w="35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617921">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不好0分、一般</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分、较好5分、很好7分</w:t>
            </w:r>
            <w:r>
              <w:rPr>
                <w:rFonts w:hint="eastAsia" w:ascii="宋体" w:hAnsi="宋体" w:eastAsia="宋体" w:cs="宋体"/>
                <w:color w:val="auto"/>
                <w:kern w:val="0"/>
                <w:sz w:val="21"/>
                <w:szCs w:val="21"/>
                <w:highlight w:val="none"/>
                <w:lang w:val="en-US" w:eastAsia="zh-CN" w:bidi="ar"/>
              </w:rPr>
              <w:t>（本项业主代表参与打分）</w:t>
            </w:r>
          </w:p>
        </w:tc>
      </w:tr>
      <w:tr w14:paraId="46746103">
        <w:tblPrEx>
          <w:tblCellMar>
            <w:top w:w="0" w:type="dxa"/>
            <w:left w:w="0" w:type="dxa"/>
            <w:bottom w:w="0" w:type="dxa"/>
            <w:right w:w="0" w:type="dxa"/>
          </w:tblCellMar>
        </w:tblPrEx>
        <w:trPr>
          <w:trHeight w:val="312"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30F45C">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6D504D">
            <w:pPr>
              <w:jc w:val="center"/>
              <w:rPr>
                <w:rFonts w:hint="eastAsia" w:ascii="宋体" w:hAnsi="宋体" w:eastAsia="宋体" w:cs="宋体"/>
                <w:color w:val="auto"/>
                <w:sz w:val="24"/>
                <w:szCs w:val="24"/>
                <w:highlight w:val="none"/>
              </w:rPr>
            </w:pPr>
          </w:p>
        </w:tc>
        <w:tc>
          <w:tcPr>
            <w:tcW w:w="27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47A189">
            <w:pPr>
              <w:jc w:val="left"/>
              <w:rPr>
                <w:rFonts w:hint="eastAsia" w:ascii="宋体" w:hAnsi="宋体" w:eastAsia="宋体" w:cs="宋体"/>
                <w:color w:val="auto"/>
                <w:sz w:val="24"/>
                <w:szCs w:val="24"/>
                <w:highlight w:val="none"/>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954BF0">
            <w:pPr>
              <w:jc w:val="center"/>
              <w:rPr>
                <w:rFonts w:hint="eastAsia" w:ascii="宋体" w:hAnsi="宋体" w:eastAsia="宋体" w:cs="宋体"/>
                <w:color w:val="auto"/>
                <w:sz w:val="24"/>
                <w:szCs w:val="24"/>
                <w:highlight w:val="none"/>
              </w:rPr>
            </w:pPr>
          </w:p>
        </w:tc>
        <w:tc>
          <w:tcPr>
            <w:tcW w:w="59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DF3F03">
            <w:pPr>
              <w:jc w:val="left"/>
              <w:rPr>
                <w:rFonts w:hint="eastAsia" w:ascii="宋体" w:hAnsi="宋体" w:eastAsia="宋体" w:cs="宋体"/>
                <w:color w:val="auto"/>
                <w:sz w:val="24"/>
                <w:szCs w:val="24"/>
                <w:highlight w:val="none"/>
              </w:rPr>
            </w:pPr>
          </w:p>
        </w:tc>
        <w:tc>
          <w:tcPr>
            <w:tcW w:w="10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FCBDB7">
            <w:pPr>
              <w:jc w:val="left"/>
              <w:rPr>
                <w:rFonts w:hint="eastAsia" w:ascii="宋体" w:hAnsi="宋体" w:eastAsia="宋体" w:cs="宋体"/>
                <w:color w:val="auto"/>
                <w:sz w:val="24"/>
                <w:szCs w:val="24"/>
                <w:highlight w:val="none"/>
              </w:rPr>
            </w:pPr>
          </w:p>
        </w:tc>
        <w:tc>
          <w:tcPr>
            <w:tcW w:w="35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3C761E">
            <w:pPr>
              <w:jc w:val="left"/>
              <w:rPr>
                <w:rFonts w:hint="eastAsia" w:ascii="宋体" w:hAnsi="宋体" w:eastAsia="宋体" w:cs="宋体"/>
                <w:color w:val="auto"/>
                <w:sz w:val="21"/>
                <w:szCs w:val="21"/>
                <w:highlight w:val="none"/>
              </w:rPr>
            </w:pPr>
          </w:p>
        </w:tc>
      </w:tr>
      <w:tr w14:paraId="3383F845">
        <w:tblPrEx>
          <w:tblCellMar>
            <w:top w:w="0" w:type="dxa"/>
            <w:left w:w="0" w:type="dxa"/>
            <w:bottom w:w="0" w:type="dxa"/>
            <w:right w:w="0" w:type="dxa"/>
          </w:tblCellMar>
        </w:tblPrEx>
        <w:trPr>
          <w:trHeight w:val="579"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78A9D0">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3F9B4B">
            <w:pPr>
              <w:jc w:val="center"/>
              <w:rPr>
                <w:rFonts w:hint="eastAsia" w:ascii="宋体" w:hAnsi="宋体" w:eastAsia="宋体" w:cs="宋体"/>
                <w:color w:val="auto"/>
                <w:sz w:val="24"/>
                <w:szCs w:val="24"/>
                <w:highlight w:val="none"/>
              </w:rPr>
            </w:pPr>
          </w:p>
        </w:tc>
        <w:tc>
          <w:tcPr>
            <w:tcW w:w="27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76120E">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估算造价超过</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万元的重大事项是否上报</w:t>
            </w:r>
          </w:p>
        </w:tc>
        <w:tc>
          <w:tcPr>
            <w:tcW w:w="7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D9A9A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c>
          <w:tcPr>
            <w:tcW w:w="5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839926">
            <w:pPr>
              <w:jc w:val="left"/>
              <w:rPr>
                <w:rFonts w:hint="eastAsia" w:ascii="宋体" w:hAnsi="宋体" w:eastAsia="宋体" w:cs="宋体"/>
                <w:color w:val="auto"/>
                <w:sz w:val="24"/>
                <w:szCs w:val="24"/>
                <w:highlight w:val="none"/>
              </w:rPr>
            </w:pPr>
          </w:p>
        </w:tc>
        <w:tc>
          <w:tcPr>
            <w:tcW w:w="100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0E9811">
            <w:pPr>
              <w:jc w:val="left"/>
              <w:rPr>
                <w:rFonts w:hint="eastAsia" w:ascii="宋体" w:hAnsi="宋体" w:eastAsia="宋体" w:cs="宋体"/>
                <w:color w:val="auto"/>
                <w:sz w:val="24"/>
                <w:szCs w:val="24"/>
                <w:highlight w:val="none"/>
              </w:rPr>
            </w:pPr>
          </w:p>
        </w:tc>
        <w:tc>
          <w:tcPr>
            <w:tcW w:w="35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03FEC0">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bidi="ar"/>
              </w:rPr>
              <w:t>单个变更事项一项不符合要求</w:t>
            </w:r>
            <w:r>
              <w:rPr>
                <w:rFonts w:hint="eastAsia" w:ascii="宋体" w:hAnsi="宋体" w:eastAsia="宋体" w:cs="宋体"/>
                <w:color w:val="auto"/>
                <w:kern w:val="0"/>
                <w:sz w:val="21"/>
                <w:szCs w:val="21"/>
                <w:highlight w:val="none"/>
                <w:lang w:eastAsia="zh-CN" w:bidi="ar"/>
              </w:rPr>
              <w:t>，本项得</w:t>
            </w:r>
            <w:r>
              <w:rPr>
                <w:rFonts w:hint="eastAsia" w:ascii="宋体" w:hAnsi="宋体" w:eastAsia="宋体" w:cs="宋体"/>
                <w:color w:val="auto"/>
                <w:kern w:val="0"/>
                <w:sz w:val="21"/>
                <w:szCs w:val="21"/>
                <w:highlight w:val="none"/>
                <w:lang w:val="en-US" w:eastAsia="zh-CN" w:bidi="ar"/>
              </w:rPr>
              <w:t>0分（本项业主代表参与打分）</w:t>
            </w:r>
          </w:p>
        </w:tc>
      </w:tr>
      <w:tr w14:paraId="64ECF00A">
        <w:tblPrEx>
          <w:tblCellMar>
            <w:top w:w="0" w:type="dxa"/>
            <w:left w:w="0" w:type="dxa"/>
            <w:bottom w:w="0" w:type="dxa"/>
            <w:right w:w="0" w:type="dxa"/>
          </w:tblCellMar>
        </w:tblPrEx>
        <w:trPr>
          <w:trHeight w:val="312"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26EEA2">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D5FAD7">
            <w:pPr>
              <w:jc w:val="center"/>
              <w:rPr>
                <w:rFonts w:hint="eastAsia" w:ascii="宋体" w:hAnsi="宋体" w:eastAsia="宋体" w:cs="宋体"/>
                <w:color w:val="auto"/>
                <w:sz w:val="24"/>
                <w:szCs w:val="24"/>
                <w:highlight w:val="none"/>
              </w:rPr>
            </w:pPr>
          </w:p>
        </w:tc>
        <w:tc>
          <w:tcPr>
            <w:tcW w:w="27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4191B9">
            <w:pPr>
              <w:jc w:val="left"/>
              <w:rPr>
                <w:rFonts w:hint="eastAsia" w:ascii="宋体" w:hAnsi="宋体" w:eastAsia="宋体" w:cs="宋体"/>
                <w:color w:val="auto"/>
                <w:sz w:val="24"/>
                <w:szCs w:val="24"/>
                <w:highlight w:val="none"/>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E531BB">
            <w:pPr>
              <w:jc w:val="center"/>
              <w:rPr>
                <w:rFonts w:hint="eastAsia" w:ascii="宋体" w:hAnsi="宋体" w:eastAsia="宋体" w:cs="宋体"/>
                <w:color w:val="auto"/>
                <w:sz w:val="24"/>
                <w:szCs w:val="24"/>
                <w:highlight w:val="none"/>
              </w:rPr>
            </w:pPr>
          </w:p>
        </w:tc>
        <w:tc>
          <w:tcPr>
            <w:tcW w:w="59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092ED8">
            <w:pPr>
              <w:jc w:val="left"/>
              <w:rPr>
                <w:rFonts w:hint="eastAsia" w:ascii="宋体" w:hAnsi="宋体" w:eastAsia="宋体" w:cs="宋体"/>
                <w:color w:val="auto"/>
                <w:sz w:val="24"/>
                <w:szCs w:val="24"/>
                <w:highlight w:val="none"/>
              </w:rPr>
            </w:pPr>
          </w:p>
        </w:tc>
        <w:tc>
          <w:tcPr>
            <w:tcW w:w="10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44AD1B">
            <w:pPr>
              <w:jc w:val="left"/>
              <w:rPr>
                <w:rFonts w:hint="eastAsia" w:ascii="宋体" w:hAnsi="宋体" w:eastAsia="宋体" w:cs="宋体"/>
                <w:color w:val="auto"/>
                <w:sz w:val="24"/>
                <w:szCs w:val="24"/>
                <w:highlight w:val="none"/>
              </w:rPr>
            </w:pPr>
          </w:p>
        </w:tc>
        <w:tc>
          <w:tcPr>
            <w:tcW w:w="35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51C163">
            <w:pPr>
              <w:jc w:val="left"/>
              <w:rPr>
                <w:rFonts w:hint="eastAsia" w:ascii="宋体" w:hAnsi="宋体" w:eastAsia="宋体" w:cs="宋体"/>
                <w:color w:val="auto"/>
                <w:sz w:val="21"/>
                <w:szCs w:val="21"/>
                <w:highlight w:val="none"/>
              </w:rPr>
            </w:pPr>
          </w:p>
        </w:tc>
      </w:tr>
      <w:tr w14:paraId="3A9B7083">
        <w:tblPrEx>
          <w:tblCellMar>
            <w:top w:w="0" w:type="dxa"/>
            <w:left w:w="0" w:type="dxa"/>
            <w:bottom w:w="0" w:type="dxa"/>
            <w:right w:w="0" w:type="dxa"/>
          </w:tblCellMar>
        </w:tblPrEx>
        <w:trPr>
          <w:trHeight w:val="1068" w:hRule="atLeast"/>
          <w:jc w:val="center"/>
        </w:trPr>
        <w:tc>
          <w:tcPr>
            <w:tcW w:w="55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50119970">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十</w:t>
            </w:r>
          </w:p>
        </w:tc>
        <w:tc>
          <w:tcPr>
            <w:tcW w:w="89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BC33B4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内部控制程序</w:t>
            </w: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093F116">
            <w:pPr>
              <w:widowControl/>
              <w:jc w:val="both"/>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对工程项目暂定价设备和材料价格参与市场考察、独立调查或审查并提出意见</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CC66BE">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2</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C48BE5">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7F4F7A">
            <w:pPr>
              <w:jc w:val="center"/>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52B6876">
            <w:pPr>
              <w:widowControl/>
              <w:jc w:val="both"/>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bidi="ar"/>
              </w:rPr>
              <w:t>跟</w:t>
            </w:r>
            <w:r>
              <w:rPr>
                <w:rFonts w:hint="eastAsia" w:ascii="宋体" w:hAnsi="宋体" w:eastAsia="宋体" w:cs="宋体"/>
                <w:color w:val="auto"/>
                <w:kern w:val="0"/>
                <w:sz w:val="21"/>
                <w:szCs w:val="21"/>
                <w:highlight w:val="none"/>
                <w:lang w:eastAsia="zh-CN" w:bidi="ar"/>
              </w:rPr>
              <w:t>审</w:t>
            </w:r>
            <w:r>
              <w:rPr>
                <w:rFonts w:hint="eastAsia" w:ascii="宋体" w:hAnsi="宋体" w:eastAsia="宋体" w:cs="宋体"/>
                <w:color w:val="auto"/>
                <w:kern w:val="0"/>
                <w:sz w:val="21"/>
                <w:szCs w:val="21"/>
                <w:highlight w:val="none"/>
                <w:lang w:bidi="ar"/>
              </w:rPr>
              <w:t>人员对工地所需暂定价材料、设备价格要定期询价，随时</w:t>
            </w:r>
            <w:r>
              <w:rPr>
                <w:rFonts w:hint="eastAsia" w:ascii="宋体" w:hAnsi="宋体" w:eastAsia="宋体" w:cs="宋体"/>
                <w:color w:val="auto"/>
                <w:kern w:val="0"/>
                <w:sz w:val="21"/>
                <w:szCs w:val="21"/>
                <w:highlight w:val="none"/>
                <w:lang w:eastAsia="zh-CN" w:bidi="ar"/>
              </w:rPr>
              <w:t>掌握</w:t>
            </w:r>
            <w:r>
              <w:rPr>
                <w:rFonts w:hint="eastAsia" w:ascii="宋体" w:hAnsi="宋体" w:eastAsia="宋体" w:cs="宋体"/>
                <w:color w:val="auto"/>
                <w:kern w:val="0"/>
                <w:sz w:val="21"/>
                <w:szCs w:val="21"/>
                <w:highlight w:val="none"/>
                <w:lang w:bidi="ar"/>
              </w:rPr>
              <w:t>价格的变化情况，为业主提供准确的价格信息，做好询价记录备查</w:t>
            </w:r>
          </w:p>
        </w:tc>
      </w:tr>
      <w:tr w14:paraId="3FFB3BAD">
        <w:tblPrEx>
          <w:tblCellMar>
            <w:top w:w="0" w:type="dxa"/>
            <w:left w:w="0" w:type="dxa"/>
            <w:bottom w:w="0" w:type="dxa"/>
            <w:right w:w="0" w:type="dxa"/>
          </w:tblCellMar>
        </w:tblPrEx>
        <w:trPr>
          <w:trHeight w:val="1275" w:hRule="atLeast"/>
          <w:jc w:val="center"/>
        </w:trPr>
        <w:tc>
          <w:tcPr>
            <w:tcW w:w="55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3F1BE2F9">
            <w:pPr>
              <w:jc w:val="center"/>
              <w:rPr>
                <w:rFonts w:hint="eastAsia" w:ascii="宋体" w:hAnsi="宋体" w:eastAsia="宋体" w:cs="宋体"/>
                <w:color w:val="auto"/>
                <w:sz w:val="24"/>
                <w:szCs w:val="24"/>
                <w:highlight w:val="none"/>
              </w:rPr>
            </w:pPr>
          </w:p>
        </w:tc>
        <w:tc>
          <w:tcPr>
            <w:tcW w:w="892"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2EFD071D">
            <w:pPr>
              <w:jc w:val="center"/>
              <w:rPr>
                <w:rFonts w:hint="eastAsia" w:ascii="宋体" w:hAnsi="宋体" w:eastAsia="宋体" w:cs="宋体"/>
                <w:color w:val="auto"/>
                <w:sz w:val="24"/>
                <w:szCs w:val="24"/>
                <w:highlight w:val="none"/>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1151C9">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协助业主审核因设计变更、现场签证等发生的费用，相应调整造价控制目标，并及时向业主提供造价控制动态分析报告</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B36B9C">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3</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AFBD97">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C1F535">
            <w:pPr>
              <w:jc w:val="center"/>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5B7B56">
            <w:pPr>
              <w:widowControl/>
              <w:jc w:val="left"/>
              <w:textAlignment w:val="center"/>
              <w:rPr>
                <w:rFonts w:hint="eastAsia" w:ascii="宋体" w:hAnsi="宋体" w:eastAsia="宋体" w:cs="宋体"/>
                <w:color w:val="auto"/>
                <w:sz w:val="21"/>
                <w:szCs w:val="21"/>
                <w:highlight w:val="none"/>
              </w:rPr>
            </w:pPr>
          </w:p>
        </w:tc>
      </w:tr>
      <w:tr w14:paraId="0F53F7F4">
        <w:tblPrEx>
          <w:tblCellMar>
            <w:top w:w="0" w:type="dxa"/>
            <w:left w:w="0" w:type="dxa"/>
            <w:bottom w:w="0" w:type="dxa"/>
            <w:right w:w="0" w:type="dxa"/>
          </w:tblCellMar>
        </w:tblPrEx>
        <w:trPr>
          <w:trHeight w:val="3000" w:hRule="atLeast"/>
          <w:jc w:val="center"/>
        </w:trPr>
        <w:tc>
          <w:tcPr>
            <w:tcW w:w="556" w:type="dxa"/>
            <w:tcBorders>
              <w:top w:val="nil"/>
              <w:left w:val="single" w:color="000000" w:sz="4" w:space="0"/>
              <w:bottom w:val="nil"/>
              <w:right w:val="single" w:color="000000" w:sz="4" w:space="0"/>
            </w:tcBorders>
            <w:noWrap w:val="0"/>
            <w:tcMar>
              <w:top w:w="15" w:type="dxa"/>
              <w:left w:w="15" w:type="dxa"/>
              <w:right w:w="15" w:type="dxa"/>
            </w:tcMar>
            <w:vAlign w:val="center"/>
          </w:tcPr>
          <w:p w14:paraId="3E75D663">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十一</w:t>
            </w:r>
          </w:p>
        </w:tc>
        <w:tc>
          <w:tcPr>
            <w:tcW w:w="892" w:type="dxa"/>
            <w:tcBorders>
              <w:top w:val="nil"/>
              <w:left w:val="single" w:color="000000" w:sz="4" w:space="0"/>
              <w:right w:val="single" w:color="000000" w:sz="4" w:space="0"/>
            </w:tcBorders>
            <w:noWrap w:val="0"/>
            <w:tcMar>
              <w:top w:w="15" w:type="dxa"/>
              <w:left w:w="15" w:type="dxa"/>
              <w:right w:w="15" w:type="dxa"/>
            </w:tcMar>
            <w:vAlign w:val="center"/>
          </w:tcPr>
          <w:p w14:paraId="7F117EF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廉洁自律</w:t>
            </w:r>
          </w:p>
        </w:tc>
        <w:tc>
          <w:tcPr>
            <w:tcW w:w="2720" w:type="dxa"/>
            <w:tcBorders>
              <w:top w:val="nil"/>
              <w:left w:val="single" w:color="000000" w:sz="4" w:space="0"/>
              <w:right w:val="single" w:color="000000" w:sz="4" w:space="0"/>
            </w:tcBorders>
            <w:noWrap w:val="0"/>
            <w:tcMar>
              <w:top w:w="15" w:type="dxa"/>
              <w:left w:w="15" w:type="dxa"/>
              <w:right w:w="15" w:type="dxa"/>
            </w:tcMar>
            <w:vAlign w:val="center"/>
          </w:tcPr>
          <w:p w14:paraId="55A7316F">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审计单位是否保持廉洁自律要求</w:t>
            </w:r>
          </w:p>
        </w:tc>
        <w:tc>
          <w:tcPr>
            <w:tcW w:w="712" w:type="dxa"/>
            <w:tcBorders>
              <w:top w:val="nil"/>
              <w:left w:val="single" w:color="000000" w:sz="4" w:space="0"/>
              <w:right w:val="single" w:color="000000" w:sz="4" w:space="0"/>
            </w:tcBorders>
            <w:noWrap w:val="0"/>
            <w:tcMar>
              <w:top w:w="15" w:type="dxa"/>
              <w:left w:w="15" w:type="dxa"/>
              <w:right w:w="15" w:type="dxa"/>
            </w:tcMar>
            <w:vAlign w:val="center"/>
          </w:tcPr>
          <w:p w14:paraId="45957C5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c>
          <w:tcPr>
            <w:tcW w:w="596" w:type="dxa"/>
            <w:tcBorders>
              <w:top w:val="nil"/>
              <w:left w:val="single" w:color="000000" w:sz="4" w:space="0"/>
              <w:right w:val="single" w:color="000000" w:sz="4" w:space="0"/>
            </w:tcBorders>
            <w:noWrap w:val="0"/>
            <w:tcMar>
              <w:top w:w="15" w:type="dxa"/>
              <w:left w:w="15" w:type="dxa"/>
              <w:right w:w="15" w:type="dxa"/>
            </w:tcMar>
            <w:vAlign w:val="center"/>
          </w:tcPr>
          <w:p w14:paraId="3C7F8DCD">
            <w:pPr>
              <w:jc w:val="left"/>
              <w:rPr>
                <w:rFonts w:hint="eastAsia" w:ascii="宋体" w:hAnsi="宋体" w:eastAsia="宋体" w:cs="宋体"/>
                <w:color w:val="auto"/>
                <w:sz w:val="24"/>
                <w:szCs w:val="24"/>
                <w:highlight w:val="none"/>
              </w:rPr>
            </w:pPr>
          </w:p>
        </w:tc>
        <w:tc>
          <w:tcPr>
            <w:tcW w:w="1002" w:type="dxa"/>
            <w:tcBorders>
              <w:top w:val="nil"/>
              <w:left w:val="single" w:color="000000" w:sz="4" w:space="0"/>
              <w:right w:val="single" w:color="000000" w:sz="4" w:space="0"/>
            </w:tcBorders>
            <w:noWrap w:val="0"/>
            <w:tcMar>
              <w:top w:w="15" w:type="dxa"/>
              <w:left w:w="15" w:type="dxa"/>
              <w:right w:w="15" w:type="dxa"/>
            </w:tcMar>
            <w:vAlign w:val="center"/>
          </w:tcPr>
          <w:p w14:paraId="1AEC871F">
            <w:pPr>
              <w:jc w:val="center"/>
              <w:rPr>
                <w:rFonts w:hint="eastAsia" w:ascii="宋体" w:hAnsi="宋体" w:eastAsia="宋体" w:cs="宋体"/>
                <w:color w:val="auto"/>
                <w:sz w:val="24"/>
                <w:szCs w:val="24"/>
                <w:highlight w:val="none"/>
              </w:rPr>
            </w:pPr>
          </w:p>
        </w:tc>
        <w:tc>
          <w:tcPr>
            <w:tcW w:w="3520" w:type="dxa"/>
            <w:tcBorders>
              <w:top w:val="nil"/>
              <w:left w:val="single" w:color="000000" w:sz="4" w:space="0"/>
              <w:right w:val="single" w:color="000000" w:sz="4" w:space="0"/>
            </w:tcBorders>
            <w:noWrap w:val="0"/>
            <w:tcMar>
              <w:top w:w="15" w:type="dxa"/>
              <w:left w:w="15" w:type="dxa"/>
              <w:right w:w="15" w:type="dxa"/>
            </w:tcMar>
            <w:vAlign w:val="center"/>
          </w:tcPr>
          <w:p w14:paraId="34DC621B">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有无由被审计单位支付或补贴住宿费、餐费；有无使用被审计单位的交通工具等办理与审计工作无关的事项；有无参加被审计单位安排的旅游、娱乐等活动；有无接受被审计单位的任何礼品；有无在被审计的单位报销任何费用；有无利用审计职权为自己和他人谋利；有无向被审计单位提出任何与审计工作无关的要求。违反审计纪律规定中任何一项的,一经查实，本项分值全部扣除</w:t>
            </w:r>
          </w:p>
        </w:tc>
      </w:tr>
      <w:tr w14:paraId="1A0091C6">
        <w:tblPrEx>
          <w:tblCellMar>
            <w:top w:w="0" w:type="dxa"/>
            <w:left w:w="0" w:type="dxa"/>
            <w:bottom w:w="0" w:type="dxa"/>
            <w:right w:w="0" w:type="dxa"/>
          </w:tblCellMar>
        </w:tblPrEx>
        <w:trPr>
          <w:trHeight w:val="90" w:hRule="atLeast"/>
          <w:jc w:val="center"/>
        </w:trPr>
        <w:tc>
          <w:tcPr>
            <w:tcW w:w="55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FE308F">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十二</w:t>
            </w:r>
          </w:p>
        </w:tc>
        <w:tc>
          <w:tcPr>
            <w:tcW w:w="8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E6AC5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附加分事项</w:t>
            </w: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C3F3DD">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1.因勘察、设计失误或不合理，可能造成损失浪费等问题，及时提出整改和加强管理的合理化建议</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1CBDB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465B88">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3322E2D4">
            <w:pPr>
              <w:jc w:val="center"/>
              <w:rPr>
                <w:rFonts w:hint="eastAsia" w:ascii="宋体" w:hAnsi="宋体" w:eastAsia="宋体" w:cs="宋体"/>
                <w:color w:val="auto"/>
                <w:sz w:val="24"/>
                <w:szCs w:val="24"/>
                <w:highlight w:val="none"/>
              </w:rPr>
            </w:pPr>
          </w:p>
        </w:tc>
        <w:tc>
          <w:tcPr>
            <w:tcW w:w="352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4FE4AE4">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每一项加分</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分，5分为上限</w:t>
            </w:r>
            <w:r>
              <w:rPr>
                <w:rFonts w:hint="eastAsia" w:ascii="宋体" w:hAnsi="宋体" w:eastAsia="宋体" w:cs="宋体"/>
                <w:color w:val="auto"/>
                <w:kern w:val="0"/>
                <w:sz w:val="21"/>
                <w:szCs w:val="21"/>
                <w:highlight w:val="none"/>
                <w:lang w:val="en-US" w:eastAsia="zh-CN" w:bidi="ar"/>
              </w:rPr>
              <w:t>.     确定附加分资料的认定需满足三点要求：（1）满足时效性（设计、地勘等问题的发现需在实施前，未按图施工等问题的发现需为监理未发现但跟审主动发现）；（2）提交建议或发出整改通知函等必需书面；（3）经委托人认可，工程科确认基本事实后由分管领导召集相关科室研究。</w:t>
            </w:r>
          </w:p>
        </w:tc>
      </w:tr>
      <w:tr w14:paraId="54A771F7">
        <w:tblPrEx>
          <w:tblCellMar>
            <w:top w:w="0" w:type="dxa"/>
            <w:left w:w="0" w:type="dxa"/>
            <w:bottom w:w="0" w:type="dxa"/>
            <w:right w:w="0" w:type="dxa"/>
          </w:tblCellMar>
        </w:tblPrEx>
        <w:trPr>
          <w:trHeight w:val="579"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9BACAE">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7EF1E8">
            <w:pPr>
              <w:jc w:val="center"/>
              <w:rPr>
                <w:rFonts w:hint="eastAsia" w:ascii="宋体" w:hAnsi="宋体" w:eastAsia="宋体" w:cs="宋体"/>
                <w:color w:val="auto"/>
                <w:sz w:val="24"/>
                <w:szCs w:val="24"/>
                <w:highlight w:val="none"/>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DF0E3C">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现场发现实际施工与设计图纸不一致或与招投标清单特征描述不一致、工程质量不合格等问题并及时取证</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2E7DF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CE7055">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339360D1">
            <w:pPr>
              <w:jc w:val="center"/>
              <w:rPr>
                <w:rFonts w:hint="eastAsia" w:ascii="宋体" w:hAnsi="宋体" w:eastAsia="宋体" w:cs="宋体"/>
                <w:color w:val="auto"/>
                <w:sz w:val="24"/>
                <w:szCs w:val="24"/>
                <w:highlight w:val="none"/>
              </w:rPr>
            </w:pPr>
          </w:p>
        </w:tc>
        <w:tc>
          <w:tcPr>
            <w:tcW w:w="352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4E3594D">
            <w:pPr>
              <w:widowControl/>
              <w:jc w:val="left"/>
              <w:textAlignment w:val="center"/>
              <w:rPr>
                <w:rFonts w:hint="eastAsia" w:ascii="宋体" w:hAnsi="宋体" w:eastAsia="宋体" w:cs="宋体"/>
                <w:color w:val="auto"/>
                <w:sz w:val="21"/>
                <w:szCs w:val="21"/>
                <w:highlight w:val="none"/>
              </w:rPr>
            </w:pPr>
          </w:p>
        </w:tc>
      </w:tr>
      <w:tr w14:paraId="30D4C4E1">
        <w:tblPrEx>
          <w:tblCellMar>
            <w:top w:w="0" w:type="dxa"/>
            <w:left w:w="0" w:type="dxa"/>
            <w:bottom w:w="0" w:type="dxa"/>
            <w:right w:w="0" w:type="dxa"/>
          </w:tblCellMar>
        </w:tblPrEx>
        <w:trPr>
          <w:trHeight w:val="431"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C4D87B">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6204D0">
            <w:pPr>
              <w:jc w:val="center"/>
              <w:rPr>
                <w:rFonts w:hint="eastAsia" w:ascii="宋体" w:hAnsi="宋体" w:eastAsia="宋体" w:cs="宋体"/>
                <w:color w:val="auto"/>
                <w:sz w:val="24"/>
                <w:szCs w:val="24"/>
                <w:highlight w:val="none"/>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C094A2">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暂定项目招标或其他采购方式价格明显异常，及时上报</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D416D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CD7DF9">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5D055E7A">
            <w:pPr>
              <w:jc w:val="center"/>
              <w:rPr>
                <w:rFonts w:hint="eastAsia" w:ascii="宋体" w:hAnsi="宋体" w:eastAsia="宋体" w:cs="宋体"/>
                <w:color w:val="auto"/>
                <w:sz w:val="24"/>
                <w:szCs w:val="24"/>
                <w:highlight w:val="none"/>
              </w:rPr>
            </w:pPr>
          </w:p>
        </w:tc>
        <w:tc>
          <w:tcPr>
            <w:tcW w:w="352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4D2B2A">
            <w:pPr>
              <w:widowControl/>
              <w:jc w:val="left"/>
              <w:textAlignment w:val="center"/>
              <w:rPr>
                <w:rFonts w:hint="eastAsia" w:ascii="宋体" w:hAnsi="宋体" w:eastAsia="宋体" w:cs="宋体"/>
                <w:color w:val="auto"/>
                <w:sz w:val="21"/>
                <w:szCs w:val="21"/>
                <w:highlight w:val="none"/>
              </w:rPr>
            </w:pPr>
          </w:p>
        </w:tc>
      </w:tr>
      <w:tr w14:paraId="7A146E24">
        <w:tblPrEx>
          <w:tblCellMar>
            <w:top w:w="0" w:type="dxa"/>
            <w:left w:w="0" w:type="dxa"/>
            <w:bottom w:w="0" w:type="dxa"/>
            <w:right w:w="0" w:type="dxa"/>
          </w:tblCellMar>
        </w:tblPrEx>
        <w:trPr>
          <w:trHeight w:val="228"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D9267D">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640241">
            <w:pPr>
              <w:jc w:val="center"/>
              <w:rPr>
                <w:rFonts w:hint="eastAsia" w:ascii="宋体" w:hAnsi="宋体" w:eastAsia="宋体" w:cs="宋体"/>
                <w:color w:val="auto"/>
                <w:sz w:val="24"/>
                <w:szCs w:val="24"/>
                <w:highlight w:val="none"/>
              </w:rPr>
            </w:pPr>
          </w:p>
        </w:tc>
        <w:tc>
          <w:tcPr>
            <w:tcW w:w="272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4FD678D">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发现并移交经济案件线索且被立案查处</w:t>
            </w:r>
          </w:p>
        </w:tc>
        <w:tc>
          <w:tcPr>
            <w:tcW w:w="71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7DE0AB8">
            <w:pPr>
              <w:jc w:val="center"/>
              <w:rPr>
                <w:rFonts w:hint="eastAsia" w:ascii="宋体" w:hAnsi="宋体" w:eastAsia="宋体" w:cs="宋体"/>
                <w:color w:val="auto"/>
                <w:sz w:val="24"/>
                <w:szCs w:val="24"/>
                <w:highlight w:val="none"/>
              </w:rPr>
            </w:pPr>
          </w:p>
        </w:tc>
        <w:tc>
          <w:tcPr>
            <w:tcW w:w="59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BFD3C9D">
            <w:pPr>
              <w:jc w:val="left"/>
              <w:rPr>
                <w:rFonts w:hint="eastAsia" w:ascii="宋体" w:hAnsi="宋体" w:eastAsia="宋体" w:cs="宋体"/>
                <w:color w:val="auto"/>
                <w:sz w:val="24"/>
                <w:szCs w:val="24"/>
                <w:highlight w:val="none"/>
              </w:rPr>
            </w:pPr>
          </w:p>
        </w:tc>
        <w:tc>
          <w:tcPr>
            <w:tcW w:w="1002" w:type="dxa"/>
            <w:tcBorders>
              <w:top w:val="nil"/>
              <w:left w:val="single" w:color="000000" w:sz="4" w:space="0"/>
              <w:bottom w:val="single" w:color="000000" w:sz="4" w:space="0"/>
              <w:right w:val="single" w:color="auto" w:sz="4" w:space="0"/>
            </w:tcBorders>
            <w:noWrap w:val="0"/>
            <w:tcMar>
              <w:top w:w="15" w:type="dxa"/>
              <w:left w:w="15" w:type="dxa"/>
              <w:right w:w="15" w:type="dxa"/>
            </w:tcMar>
            <w:vAlign w:val="center"/>
          </w:tcPr>
          <w:p w14:paraId="0E2388A8">
            <w:pPr>
              <w:jc w:val="left"/>
              <w:rPr>
                <w:rFonts w:hint="eastAsia" w:ascii="宋体" w:hAnsi="宋体" w:eastAsia="宋体" w:cs="宋体"/>
                <w:color w:val="auto"/>
                <w:sz w:val="24"/>
                <w:szCs w:val="24"/>
                <w:highlight w:val="none"/>
              </w:rPr>
            </w:pPr>
          </w:p>
        </w:tc>
        <w:tc>
          <w:tcPr>
            <w:tcW w:w="35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F18678">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每件加5分</w:t>
            </w:r>
          </w:p>
        </w:tc>
      </w:tr>
      <w:tr w14:paraId="54A41532">
        <w:tblPrEx>
          <w:tblCellMar>
            <w:top w:w="0" w:type="dxa"/>
            <w:left w:w="0" w:type="dxa"/>
            <w:bottom w:w="0" w:type="dxa"/>
            <w:right w:w="0" w:type="dxa"/>
          </w:tblCellMar>
        </w:tblPrEx>
        <w:trPr>
          <w:trHeight w:val="445" w:hRule="atLeast"/>
          <w:jc w:val="center"/>
        </w:trPr>
        <w:tc>
          <w:tcPr>
            <w:tcW w:w="488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60697F">
            <w:pPr>
              <w:widowControl/>
              <w:jc w:val="right"/>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合计</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7B9202">
            <w:pPr>
              <w:jc w:val="left"/>
              <w:rPr>
                <w:rFonts w:hint="eastAsia" w:ascii="宋体" w:hAnsi="宋体" w:eastAsia="宋体" w:cs="宋体"/>
                <w:b/>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9139FB">
            <w:pPr>
              <w:jc w:val="left"/>
              <w:rPr>
                <w:rFonts w:hint="eastAsia" w:ascii="宋体" w:hAnsi="宋体" w:eastAsia="宋体" w:cs="宋体"/>
                <w:b/>
                <w:color w:val="auto"/>
                <w:sz w:val="24"/>
                <w:szCs w:val="24"/>
                <w:highlight w:val="none"/>
              </w:rPr>
            </w:pPr>
          </w:p>
        </w:tc>
        <w:tc>
          <w:tcPr>
            <w:tcW w:w="352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C81025">
            <w:pPr>
              <w:jc w:val="left"/>
              <w:rPr>
                <w:rFonts w:hint="eastAsia" w:ascii="宋体" w:hAnsi="宋体" w:eastAsia="宋体" w:cs="宋体"/>
                <w:color w:val="auto"/>
                <w:sz w:val="24"/>
                <w:szCs w:val="24"/>
                <w:highlight w:val="none"/>
              </w:rPr>
            </w:pPr>
          </w:p>
        </w:tc>
      </w:tr>
      <w:tr w14:paraId="4063C41E">
        <w:tblPrEx>
          <w:tblCellMar>
            <w:top w:w="0" w:type="dxa"/>
            <w:left w:w="0" w:type="dxa"/>
            <w:bottom w:w="0" w:type="dxa"/>
            <w:right w:w="0" w:type="dxa"/>
          </w:tblCellMar>
        </w:tblPrEx>
        <w:trPr>
          <w:trHeight w:val="1005" w:hRule="atLeast"/>
          <w:jc w:val="center"/>
        </w:trPr>
        <w:tc>
          <w:tcPr>
            <w:tcW w:w="9998"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5A32F7">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跟审</w:t>
            </w:r>
            <w:r>
              <w:rPr>
                <w:rFonts w:hint="eastAsia" w:ascii="宋体" w:hAnsi="宋体" w:eastAsia="宋体" w:cs="宋体"/>
                <w:color w:val="auto"/>
                <w:kern w:val="0"/>
                <w:sz w:val="24"/>
                <w:szCs w:val="24"/>
                <w:highlight w:val="none"/>
                <w:lang w:eastAsia="zh-CN" w:bidi="ar"/>
              </w:rPr>
              <w:t>企业</w:t>
            </w:r>
            <w:r>
              <w:rPr>
                <w:rFonts w:hint="eastAsia" w:ascii="宋体" w:hAnsi="宋体" w:eastAsia="宋体" w:cs="宋体"/>
                <w:color w:val="auto"/>
                <w:kern w:val="0"/>
                <w:sz w:val="24"/>
                <w:szCs w:val="24"/>
                <w:highlight w:val="none"/>
                <w:lang w:bidi="ar"/>
              </w:rPr>
              <w:t xml:space="preserve">签字：                   </w:t>
            </w:r>
            <w:r>
              <w:rPr>
                <w:rFonts w:hint="eastAsia" w:ascii="宋体" w:hAnsi="宋体" w:eastAsia="宋体" w:cs="宋体"/>
                <w:color w:val="auto"/>
                <w:kern w:val="0"/>
                <w:sz w:val="24"/>
                <w:szCs w:val="24"/>
                <w:highlight w:val="none"/>
                <w:lang w:eastAsia="zh-CN" w:bidi="ar"/>
              </w:rPr>
              <w:t>考核组</w:t>
            </w:r>
            <w:r>
              <w:rPr>
                <w:rFonts w:hint="eastAsia" w:ascii="宋体" w:hAnsi="宋体" w:eastAsia="宋体" w:cs="宋体"/>
                <w:color w:val="auto"/>
                <w:kern w:val="0"/>
                <w:sz w:val="24"/>
                <w:szCs w:val="24"/>
                <w:highlight w:val="none"/>
                <w:lang w:bidi="ar"/>
              </w:rPr>
              <w:t xml:space="preserve">签字 ：                  </w:t>
            </w:r>
            <w:r>
              <w:rPr>
                <w:rStyle w:val="153"/>
                <w:rFonts w:hint="eastAsia" w:ascii="宋体" w:hAnsi="宋体" w:eastAsia="宋体" w:cs="宋体"/>
                <w:color w:val="auto"/>
                <w:sz w:val="24"/>
                <w:szCs w:val="24"/>
                <w:highlight w:val="none"/>
                <w:lang w:bidi="ar"/>
              </w:rPr>
              <w:t xml:space="preserve">     </w:t>
            </w:r>
            <w:r>
              <w:rPr>
                <w:rStyle w:val="156"/>
                <w:rFonts w:hint="eastAsia" w:ascii="宋体" w:hAnsi="宋体" w:eastAsia="宋体" w:cs="宋体"/>
                <w:color w:val="auto"/>
                <w:sz w:val="24"/>
                <w:szCs w:val="24"/>
                <w:highlight w:val="none"/>
                <w:lang w:bidi="ar"/>
              </w:rPr>
              <w:t>年</w:t>
            </w:r>
            <w:r>
              <w:rPr>
                <w:rStyle w:val="153"/>
                <w:rFonts w:hint="eastAsia" w:ascii="宋体" w:hAnsi="宋体" w:eastAsia="宋体" w:cs="宋体"/>
                <w:color w:val="auto"/>
                <w:sz w:val="24"/>
                <w:szCs w:val="24"/>
                <w:highlight w:val="none"/>
                <w:lang w:bidi="ar"/>
              </w:rPr>
              <w:t xml:space="preserve"> </w:t>
            </w:r>
            <w:r>
              <w:rPr>
                <w:rStyle w:val="153"/>
                <w:rFonts w:hint="eastAsia" w:ascii="宋体" w:hAnsi="宋体" w:eastAsia="宋体" w:cs="宋体"/>
                <w:color w:val="auto"/>
                <w:sz w:val="24"/>
                <w:szCs w:val="24"/>
                <w:highlight w:val="none"/>
                <w:lang w:val="en-US" w:eastAsia="zh-CN" w:bidi="ar"/>
              </w:rPr>
              <w:t xml:space="preserve"> </w:t>
            </w:r>
            <w:r>
              <w:rPr>
                <w:rStyle w:val="153"/>
                <w:rFonts w:hint="eastAsia" w:ascii="宋体" w:hAnsi="宋体" w:eastAsia="宋体" w:cs="宋体"/>
                <w:color w:val="auto"/>
                <w:sz w:val="24"/>
                <w:szCs w:val="24"/>
                <w:highlight w:val="none"/>
                <w:lang w:bidi="ar"/>
              </w:rPr>
              <w:t xml:space="preserve">  </w:t>
            </w:r>
            <w:r>
              <w:rPr>
                <w:rStyle w:val="156"/>
                <w:rFonts w:hint="eastAsia" w:ascii="宋体" w:hAnsi="宋体" w:eastAsia="宋体" w:cs="宋体"/>
                <w:color w:val="auto"/>
                <w:sz w:val="24"/>
                <w:szCs w:val="24"/>
                <w:highlight w:val="none"/>
                <w:lang w:bidi="ar"/>
              </w:rPr>
              <w:t>月</w:t>
            </w:r>
            <w:r>
              <w:rPr>
                <w:rStyle w:val="153"/>
                <w:rFonts w:hint="eastAsia" w:ascii="宋体" w:hAnsi="宋体" w:eastAsia="宋体" w:cs="宋体"/>
                <w:color w:val="auto"/>
                <w:sz w:val="24"/>
                <w:szCs w:val="24"/>
                <w:highlight w:val="none"/>
                <w:lang w:bidi="ar"/>
              </w:rPr>
              <w:t xml:space="preserve"> </w:t>
            </w:r>
            <w:r>
              <w:rPr>
                <w:rStyle w:val="153"/>
                <w:rFonts w:hint="eastAsia" w:ascii="宋体" w:hAnsi="宋体" w:eastAsia="宋体" w:cs="宋体"/>
                <w:color w:val="auto"/>
                <w:sz w:val="24"/>
                <w:szCs w:val="24"/>
                <w:highlight w:val="none"/>
                <w:lang w:val="en-US" w:eastAsia="zh-CN" w:bidi="ar"/>
              </w:rPr>
              <w:t xml:space="preserve"> </w:t>
            </w:r>
            <w:r>
              <w:rPr>
                <w:rStyle w:val="153"/>
                <w:rFonts w:hint="eastAsia" w:ascii="宋体" w:hAnsi="宋体" w:eastAsia="宋体" w:cs="宋体"/>
                <w:color w:val="auto"/>
                <w:sz w:val="24"/>
                <w:szCs w:val="24"/>
                <w:highlight w:val="none"/>
                <w:lang w:bidi="ar"/>
              </w:rPr>
              <w:t xml:space="preserve">  </w:t>
            </w:r>
            <w:r>
              <w:rPr>
                <w:rStyle w:val="156"/>
                <w:rFonts w:hint="eastAsia" w:ascii="宋体" w:hAnsi="宋体" w:eastAsia="宋体" w:cs="宋体"/>
                <w:color w:val="auto"/>
                <w:sz w:val="24"/>
                <w:szCs w:val="24"/>
                <w:highlight w:val="none"/>
                <w:lang w:bidi="ar"/>
              </w:rPr>
              <w:t xml:space="preserve">日     </w:t>
            </w:r>
          </w:p>
        </w:tc>
      </w:tr>
    </w:tbl>
    <w:p w14:paraId="129A26E5">
      <w:pPr>
        <w:pStyle w:val="2"/>
        <w:ind w:left="0" w:leftChars="0" w:firstLine="0" w:firstLineChars="0"/>
        <w:rPr>
          <w:rFonts w:hint="eastAsia" w:ascii="宋体" w:hAnsi="宋体" w:eastAsia="宋体" w:cs="宋体"/>
          <w:color w:val="auto"/>
          <w:sz w:val="32"/>
          <w:szCs w:val="32"/>
          <w:highlight w:val="none"/>
        </w:rPr>
      </w:pPr>
    </w:p>
    <w:p w14:paraId="0E2AC145">
      <w:pPr>
        <w:pStyle w:val="2"/>
        <w:ind w:left="0" w:leftChars="0" w:firstLine="0" w:firstLineChars="0"/>
        <w:rPr>
          <w:rFonts w:hint="eastAsia" w:ascii="宋体" w:hAnsi="宋体" w:eastAsia="宋体" w:cs="宋体"/>
          <w:color w:val="auto"/>
          <w:sz w:val="32"/>
          <w:szCs w:val="32"/>
          <w:highlight w:val="none"/>
        </w:rPr>
      </w:pPr>
    </w:p>
    <w:p w14:paraId="638855D6">
      <w:pPr>
        <w:pStyle w:val="2"/>
        <w:ind w:left="0" w:leftChars="0" w:firstLine="0" w:firstLineChars="0"/>
        <w:rPr>
          <w:rFonts w:hint="eastAsia" w:ascii="宋体" w:hAnsi="宋体" w:eastAsia="宋体" w:cs="宋体"/>
          <w:color w:val="auto"/>
          <w:sz w:val="32"/>
          <w:szCs w:val="32"/>
          <w:highlight w:val="none"/>
        </w:rPr>
      </w:pPr>
    </w:p>
    <w:p w14:paraId="7F47CD82">
      <w:pPr>
        <w:pStyle w:val="2"/>
        <w:ind w:left="0" w:leftChars="0" w:firstLine="0" w:firstLineChars="0"/>
        <w:rPr>
          <w:rFonts w:hint="eastAsia" w:ascii="宋体" w:hAnsi="宋体" w:eastAsia="宋体" w:cs="宋体"/>
          <w:color w:val="auto"/>
          <w:highlight w:val="none"/>
        </w:rPr>
      </w:pPr>
      <w:r>
        <w:rPr>
          <w:rFonts w:hint="eastAsia" w:ascii="宋体" w:hAnsi="宋体" w:eastAsia="宋体" w:cs="宋体"/>
          <w:color w:val="auto"/>
          <w:sz w:val="32"/>
          <w:szCs w:val="32"/>
          <w:highlight w:val="none"/>
        </w:rPr>
        <w:t>附件</w:t>
      </w:r>
      <w:r>
        <w:rPr>
          <w:rFonts w:hint="eastAsia" w:ascii="宋体" w:hAnsi="宋体" w:eastAsia="宋体" w:cs="宋体"/>
          <w:color w:val="auto"/>
          <w:sz w:val="32"/>
          <w:szCs w:val="32"/>
          <w:highlight w:val="none"/>
          <w:lang w:val="en-US" w:eastAsia="zh-CN"/>
        </w:rPr>
        <w:t>3</w:t>
      </w:r>
      <w:r>
        <w:rPr>
          <w:rFonts w:hint="eastAsia" w:ascii="宋体" w:hAnsi="宋体" w:eastAsia="宋体" w:cs="宋体"/>
          <w:color w:val="auto"/>
          <w:sz w:val="32"/>
          <w:szCs w:val="32"/>
          <w:highlight w:val="none"/>
        </w:rPr>
        <w:t>：</w:t>
      </w:r>
    </w:p>
    <w:tbl>
      <w:tblPr>
        <w:tblStyle w:val="45"/>
        <w:tblW w:w="9998" w:type="dxa"/>
        <w:jc w:val="center"/>
        <w:tblLayout w:type="fixed"/>
        <w:tblCellMar>
          <w:top w:w="0" w:type="dxa"/>
          <w:left w:w="0" w:type="dxa"/>
          <w:bottom w:w="0" w:type="dxa"/>
          <w:right w:w="0" w:type="dxa"/>
        </w:tblCellMar>
      </w:tblPr>
      <w:tblGrid>
        <w:gridCol w:w="556"/>
        <w:gridCol w:w="1084"/>
        <w:gridCol w:w="2670"/>
        <w:gridCol w:w="570"/>
        <w:gridCol w:w="596"/>
        <w:gridCol w:w="927"/>
        <w:gridCol w:w="3595"/>
      </w:tblGrid>
      <w:tr w14:paraId="571FAAC0">
        <w:tblPrEx>
          <w:tblCellMar>
            <w:top w:w="0" w:type="dxa"/>
            <w:left w:w="0" w:type="dxa"/>
            <w:bottom w:w="0" w:type="dxa"/>
            <w:right w:w="0" w:type="dxa"/>
          </w:tblCellMar>
        </w:tblPrEx>
        <w:trPr>
          <w:trHeight w:val="435" w:hRule="atLeast"/>
          <w:jc w:val="center"/>
        </w:trPr>
        <w:tc>
          <w:tcPr>
            <w:tcW w:w="9998" w:type="dxa"/>
            <w:gridSpan w:val="7"/>
            <w:tcBorders>
              <w:top w:val="nil"/>
              <w:left w:val="nil"/>
              <w:bottom w:val="single" w:color="000000" w:sz="4" w:space="0"/>
              <w:right w:val="nil"/>
            </w:tcBorders>
            <w:noWrap w:val="0"/>
            <w:tcMar>
              <w:top w:w="15" w:type="dxa"/>
              <w:left w:w="15" w:type="dxa"/>
              <w:right w:w="15" w:type="dxa"/>
            </w:tcMar>
            <w:vAlign w:val="center"/>
          </w:tcPr>
          <w:p w14:paraId="12400A24">
            <w:pPr>
              <w:widowControl/>
              <w:jc w:val="center"/>
              <w:textAlignment w:val="center"/>
              <w:rPr>
                <w:rFonts w:hint="eastAsia" w:ascii="宋体" w:hAnsi="宋体" w:eastAsia="宋体" w:cs="宋体"/>
                <w:b/>
                <w:color w:val="auto"/>
                <w:szCs w:val="32"/>
                <w:highlight w:val="none"/>
              </w:rPr>
            </w:pPr>
            <w:r>
              <w:rPr>
                <w:rStyle w:val="155"/>
                <w:rFonts w:hint="eastAsia" w:ascii="宋体" w:hAnsi="宋体" w:eastAsia="宋体" w:cs="宋体"/>
                <w:b w:val="0"/>
                <w:color w:val="auto"/>
                <w:highlight w:val="none"/>
                <w:u w:val="single"/>
              </w:rPr>
              <w:t xml:space="preserve">   </w:t>
            </w:r>
            <w:r>
              <w:rPr>
                <w:rStyle w:val="155"/>
                <w:rFonts w:hint="eastAsia" w:ascii="宋体" w:hAnsi="宋体" w:eastAsia="宋体" w:cs="宋体"/>
                <w:b w:val="0"/>
                <w:color w:val="auto"/>
                <w:highlight w:val="none"/>
                <w:u w:val="single"/>
                <w:lang w:val="en-US" w:eastAsia="zh-CN"/>
              </w:rPr>
              <w:t xml:space="preserve">                        </w:t>
            </w:r>
            <w:r>
              <w:rPr>
                <w:rStyle w:val="155"/>
                <w:rFonts w:hint="eastAsia" w:ascii="宋体" w:hAnsi="宋体" w:eastAsia="宋体" w:cs="宋体"/>
                <w:b w:val="0"/>
                <w:color w:val="auto"/>
                <w:highlight w:val="none"/>
              </w:rPr>
              <w:t>项目结算审</w:t>
            </w:r>
            <w:r>
              <w:rPr>
                <w:rStyle w:val="155"/>
                <w:rFonts w:hint="eastAsia" w:ascii="宋体" w:hAnsi="宋体" w:eastAsia="宋体" w:cs="宋体"/>
                <w:b w:val="0"/>
                <w:color w:val="auto"/>
                <w:highlight w:val="none"/>
                <w:lang w:eastAsia="zh-CN"/>
              </w:rPr>
              <w:t>（复）</w:t>
            </w:r>
            <w:r>
              <w:rPr>
                <w:rStyle w:val="155"/>
                <w:rFonts w:hint="eastAsia" w:ascii="宋体" w:hAnsi="宋体" w:eastAsia="宋体" w:cs="宋体"/>
                <w:b w:val="0"/>
                <w:color w:val="auto"/>
                <w:highlight w:val="none"/>
              </w:rPr>
              <w:t>核</w:t>
            </w:r>
            <w:r>
              <w:rPr>
                <w:rStyle w:val="155"/>
                <w:rFonts w:hint="eastAsia" w:ascii="宋体" w:hAnsi="宋体" w:eastAsia="宋体" w:cs="宋体"/>
                <w:b w:val="0"/>
                <w:color w:val="auto"/>
                <w:highlight w:val="none"/>
                <w:lang w:eastAsia="zh-CN"/>
              </w:rPr>
              <w:t>成果质量</w:t>
            </w:r>
            <w:r>
              <w:rPr>
                <w:rStyle w:val="155"/>
                <w:rFonts w:hint="eastAsia" w:ascii="宋体" w:hAnsi="宋体" w:eastAsia="宋体" w:cs="宋体"/>
                <w:b w:val="0"/>
                <w:color w:val="auto"/>
                <w:highlight w:val="none"/>
              </w:rPr>
              <w:t>考核表</w:t>
            </w:r>
          </w:p>
        </w:tc>
      </w:tr>
      <w:tr w14:paraId="6C3617A1">
        <w:tblPrEx>
          <w:tblCellMar>
            <w:top w:w="0" w:type="dxa"/>
            <w:left w:w="0" w:type="dxa"/>
            <w:bottom w:w="0" w:type="dxa"/>
            <w:right w:w="0" w:type="dxa"/>
          </w:tblCellMar>
        </w:tblPrEx>
        <w:trPr>
          <w:trHeight w:val="90" w:hRule="atLeast"/>
          <w:jc w:val="center"/>
        </w:trPr>
        <w:tc>
          <w:tcPr>
            <w:tcW w:w="5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AF235C">
            <w:pPr>
              <w:widowControl/>
              <w:jc w:val="center"/>
              <w:textAlignment w:val="center"/>
              <w:rPr>
                <w:rFonts w:hint="eastAsia" w:ascii="宋体" w:hAnsi="宋体" w:eastAsia="宋体" w:cs="宋体"/>
                <w:b/>
                <w:color w:val="auto"/>
                <w:sz w:val="22"/>
                <w:szCs w:val="22"/>
                <w:highlight w:val="none"/>
                <w:lang w:eastAsia="zh-CN"/>
              </w:rPr>
            </w:pPr>
            <w:r>
              <w:rPr>
                <w:rFonts w:hint="eastAsia" w:ascii="宋体" w:hAnsi="宋体" w:eastAsia="宋体" w:cs="宋体"/>
                <w:b/>
                <w:color w:val="auto"/>
                <w:kern w:val="0"/>
                <w:sz w:val="22"/>
                <w:szCs w:val="22"/>
                <w:highlight w:val="none"/>
                <w:lang w:eastAsia="zh-CN"/>
              </w:rPr>
              <w:t>序号</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54DF4A">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rPr>
              <w:t>指标</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FE62F9">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rPr>
              <w:t>内容</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B6727D">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rPr>
              <w:t>总分</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429F8C">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rPr>
              <w:t>得分</w:t>
            </w: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475BA5">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rPr>
              <w:t>打分说明</w:t>
            </w: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85172F">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rPr>
              <w:t>备注</w:t>
            </w:r>
          </w:p>
        </w:tc>
      </w:tr>
      <w:tr w14:paraId="5DF2E569">
        <w:tblPrEx>
          <w:tblCellMar>
            <w:top w:w="0" w:type="dxa"/>
            <w:left w:w="0" w:type="dxa"/>
            <w:bottom w:w="0" w:type="dxa"/>
            <w:right w:w="0" w:type="dxa"/>
          </w:tblCellMar>
        </w:tblPrEx>
        <w:trPr>
          <w:trHeight w:val="1200" w:hRule="atLeast"/>
          <w:jc w:val="center"/>
        </w:trPr>
        <w:tc>
          <w:tcPr>
            <w:tcW w:w="55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72BAA71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一</w:t>
            </w:r>
          </w:p>
        </w:tc>
        <w:tc>
          <w:tcPr>
            <w:tcW w:w="108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835DD6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审核人员履职情况</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45D2B0">
            <w:pPr>
              <w:widowControl/>
              <w:spacing w:line="40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bidi="ar"/>
              </w:rPr>
              <w:t>人员能力是否具备胜任本项目需要</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447A8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CF43EE">
            <w:pPr>
              <w:jc w:val="left"/>
              <w:rPr>
                <w:rFonts w:hint="eastAsia" w:ascii="宋体" w:hAnsi="宋体" w:eastAsia="宋体" w:cs="宋体"/>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14285A">
            <w:pPr>
              <w:jc w:val="left"/>
              <w:rPr>
                <w:rFonts w:hint="eastAsia" w:ascii="宋体" w:hAnsi="宋体" w:eastAsia="宋体" w:cs="宋体"/>
                <w:color w:val="auto"/>
                <w:sz w:val="24"/>
                <w:szCs w:val="24"/>
                <w:highlight w:val="none"/>
              </w:rPr>
            </w:pP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3C6543">
            <w:pPr>
              <w:widowControl/>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审核负责人、现场记录人员与任命文</w:t>
            </w:r>
            <w:r>
              <w:rPr>
                <w:rFonts w:hint="eastAsia" w:ascii="宋体" w:hAnsi="宋体" w:eastAsia="宋体" w:cs="宋体"/>
                <w:color w:val="auto"/>
                <w:kern w:val="0"/>
                <w:sz w:val="21"/>
                <w:szCs w:val="21"/>
                <w:highlight w:val="none"/>
                <w:lang w:eastAsia="zh-CN"/>
              </w:rPr>
              <w:t>（投标文件）</w:t>
            </w:r>
            <w:r>
              <w:rPr>
                <w:rFonts w:hint="eastAsia" w:ascii="宋体" w:hAnsi="宋体" w:eastAsia="宋体" w:cs="宋体"/>
                <w:color w:val="auto"/>
                <w:kern w:val="0"/>
                <w:sz w:val="21"/>
                <w:szCs w:val="21"/>
                <w:highlight w:val="none"/>
              </w:rPr>
              <w:t>是否一致，</w:t>
            </w:r>
            <w:r>
              <w:rPr>
                <w:rFonts w:hint="eastAsia" w:ascii="宋体" w:hAnsi="宋体" w:eastAsia="宋体" w:cs="宋体"/>
                <w:color w:val="auto"/>
                <w:kern w:val="0"/>
                <w:sz w:val="21"/>
                <w:szCs w:val="21"/>
                <w:highlight w:val="none"/>
                <w:lang w:eastAsia="zh-CN"/>
              </w:rPr>
              <w:t>若出现</w:t>
            </w:r>
            <w:r>
              <w:rPr>
                <w:rFonts w:hint="eastAsia" w:ascii="宋体" w:hAnsi="宋体" w:eastAsia="宋体" w:cs="宋体"/>
                <w:color w:val="auto"/>
                <w:sz w:val="21"/>
                <w:szCs w:val="21"/>
                <w:highlight w:val="none"/>
              </w:rPr>
              <w:t>不一致</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kern w:val="0"/>
                <w:sz w:val="21"/>
                <w:szCs w:val="21"/>
                <w:highlight w:val="none"/>
              </w:rPr>
              <w:t>冒名顶替情况</w:t>
            </w:r>
            <w:r>
              <w:rPr>
                <w:rFonts w:hint="eastAsia" w:ascii="宋体" w:hAnsi="宋体" w:eastAsia="宋体" w:cs="宋体"/>
                <w:color w:val="auto"/>
                <w:sz w:val="21"/>
                <w:szCs w:val="21"/>
                <w:highlight w:val="none"/>
              </w:rPr>
              <w:t>的，本项得0分。</w:t>
            </w:r>
          </w:p>
        </w:tc>
      </w:tr>
      <w:tr w14:paraId="57C2C547">
        <w:tblPrEx>
          <w:tblCellMar>
            <w:top w:w="0" w:type="dxa"/>
            <w:left w:w="0" w:type="dxa"/>
            <w:bottom w:w="0" w:type="dxa"/>
            <w:right w:w="0" w:type="dxa"/>
          </w:tblCellMar>
        </w:tblPrEx>
        <w:trPr>
          <w:trHeight w:val="4451" w:hRule="atLeast"/>
          <w:jc w:val="center"/>
        </w:trPr>
        <w:tc>
          <w:tcPr>
            <w:tcW w:w="556"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14:paraId="34F6DB4A">
            <w:pPr>
              <w:widowControl/>
              <w:jc w:val="center"/>
              <w:textAlignment w:val="center"/>
              <w:rPr>
                <w:rFonts w:hint="eastAsia" w:ascii="宋体" w:hAnsi="宋体" w:eastAsia="宋体" w:cs="宋体"/>
                <w:color w:val="auto"/>
                <w:kern w:val="0"/>
                <w:sz w:val="24"/>
                <w:szCs w:val="24"/>
                <w:highlight w:val="none"/>
              </w:rPr>
            </w:pPr>
          </w:p>
        </w:tc>
        <w:tc>
          <w:tcPr>
            <w:tcW w:w="1084"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14:paraId="5C13A23D">
            <w:pPr>
              <w:widowControl/>
              <w:jc w:val="center"/>
              <w:textAlignment w:val="center"/>
              <w:rPr>
                <w:rFonts w:hint="eastAsia" w:ascii="宋体" w:hAnsi="宋体" w:eastAsia="宋体" w:cs="宋体"/>
                <w:color w:val="auto"/>
                <w:kern w:val="0"/>
                <w:sz w:val="24"/>
                <w:szCs w:val="24"/>
                <w:highlight w:val="none"/>
              </w:rPr>
            </w:pPr>
          </w:p>
        </w:tc>
        <w:tc>
          <w:tcPr>
            <w:tcW w:w="267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473C692">
            <w:pPr>
              <w:widowControl/>
              <w:spacing w:line="400" w:lineRule="exact"/>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2.是否按时限完成结算</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44A00D">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7D6668">
            <w:pPr>
              <w:jc w:val="left"/>
              <w:rPr>
                <w:rFonts w:hint="eastAsia" w:ascii="宋体" w:hAnsi="宋体" w:eastAsia="宋体" w:cs="宋体"/>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A1C55B">
            <w:pPr>
              <w:jc w:val="left"/>
              <w:rPr>
                <w:rFonts w:hint="eastAsia" w:ascii="宋体" w:hAnsi="宋体" w:eastAsia="宋体" w:cs="宋体"/>
                <w:color w:val="auto"/>
                <w:sz w:val="24"/>
                <w:szCs w:val="24"/>
                <w:highlight w:val="none"/>
              </w:rPr>
            </w:pP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DA7F50">
            <w:pPr>
              <w:widowControl/>
              <w:spacing w:line="400" w:lineRule="exact"/>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结算审核单位</w:t>
            </w:r>
            <w:r>
              <w:rPr>
                <w:rFonts w:hint="eastAsia" w:ascii="宋体" w:hAnsi="宋体" w:eastAsia="宋体" w:cs="宋体"/>
                <w:color w:val="auto"/>
                <w:sz w:val="21"/>
                <w:szCs w:val="21"/>
                <w:highlight w:val="none"/>
              </w:rPr>
              <w:t>应在</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eastAsia="zh-CN"/>
              </w:rPr>
              <w:t>5000</w:t>
            </w:r>
            <w:r>
              <w:rPr>
                <w:rFonts w:hint="eastAsia" w:ascii="宋体" w:hAnsi="宋体" w:eastAsia="宋体" w:cs="宋体"/>
                <w:color w:val="auto"/>
                <w:sz w:val="21"/>
                <w:szCs w:val="21"/>
                <w:highlight w:val="none"/>
              </w:rPr>
              <w:t>万以下）或</w:t>
            </w:r>
            <w:r>
              <w:rPr>
                <w:rFonts w:hint="eastAsia" w:ascii="宋体" w:hAnsi="宋体" w:eastAsia="宋体" w:cs="宋体"/>
                <w:color w:val="auto"/>
                <w:sz w:val="21"/>
                <w:szCs w:val="21"/>
                <w:highlight w:val="none"/>
                <w:lang w:eastAsia="zh-CN"/>
              </w:rPr>
              <w:t>10</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eastAsia="zh-CN"/>
              </w:rPr>
              <w:t>5000</w:t>
            </w:r>
            <w:r>
              <w:rPr>
                <w:rFonts w:hint="eastAsia" w:ascii="宋体" w:hAnsi="宋体" w:eastAsia="宋体" w:cs="宋体"/>
                <w:color w:val="auto"/>
                <w:sz w:val="21"/>
                <w:szCs w:val="21"/>
                <w:highlight w:val="none"/>
              </w:rPr>
              <w:t>万以上）内，对施工单位报送的项目结算资料进行完整性检查，一次性书面告知，限期补充齐全。造价在</w:t>
            </w:r>
            <w:r>
              <w:rPr>
                <w:rFonts w:hint="eastAsia" w:ascii="宋体" w:hAnsi="宋体" w:eastAsia="宋体" w:cs="宋体"/>
                <w:color w:val="auto"/>
                <w:sz w:val="21"/>
                <w:szCs w:val="21"/>
                <w:highlight w:val="none"/>
                <w:lang w:eastAsia="zh-CN"/>
              </w:rPr>
              <w:t>500</w:t>
            </w:r>
            <w:r>
              <w:rPr>
                <w:rFonts w:hint="eastAsia" w:ascii="宋体" w:hAnsi="宋体" w:eastAsia="宋体" w:cs="宋体"/>
                <w:color w:val="auto"/>
                <w:sz w:val="21"/>
                <w:szCs w:val="21"/>
                <w:highlight w:val="none"/>
              </w:rPr>
              <w:t>万元以下、</w:t>
            </w:r>
            <w:r>
              <w:rPr>
                <w:rFonts w:hint="eastAsia" w:ascii="宋体" w:hAnsi="宋体" w:eastAsia="宋体" w:cs="宋体"/>
                <w:color w:val="auto"/>
                <w:sz w:val="21"/>
                <w:szCs w:val="21"/>
                <w:highlight w:val="none"/>
                <w:lang w:eastAsia="zh-CN"/>
              </w:rPr>
              <w:t>500</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lang w:eastAsia="zh-CN"/>
              </w:rPr>
              <w:t>2000</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lang w:eastAsia="zh-CN"/>
              </w:rPr>
              <w:t>2000</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lang w:eastAsia="zh-CN"/>
              </w:rPr>
              <w:t>5000</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lang w:eastAsia="zh-CN"/>
              </w:rPr>
              <w:t>5000</w:t>
            </w:r>
            <w:r>
              <w:rPr>
                <w:rFonts w:hint="eastAsia" w:ascii="宋体" w:hAnsi="宋体" w:eastAsia="宋体" w:cs="宋体"/>
                <w:color w:val="auto"/>
                <w:sz w:val="21"/>
                <w:szCs w:val="21"/>
                <w:highlight w:val="none"/>
              </w:rPr>
              <w:t>万元以上的单项工程，应</w:t>
            </w:r>
            <w:r>
              <w:rPr>
                <w:rFonts w:hint="eastAsia" w:ascii="宋体" w:hAnsi="宋体" w:eastAsia="宋体" w:cs="宋体"/>
                <w:color w:val="auto"/>
                <w:sz w:val="21"/>
                <w:szCs w:val="21"/>
                <w:highlight w:val="none"/>
                <w:lang w:eastAsia="zh-CN"/>
              </w:rPr>
              <w:t>分别</w:t>
            </w:r>
            <w:r>
              <w:rPr>
                <w:rFonts w:hint="eastAsia" w:ascii="宋体" w:hAnsi="宋体" w:eastAsia="宋体" w:cs="宋体"/>
                <w:color w:val="auto"/>
                <w:sz w:val="21"/>
                <w:szCs w:val="21"/>
                <w:highlight w:val="none"/>
              </w:rPr>
              <w:t>在施工单位报送的项目结算资料完整</w:t>
            </w:r>
            <w:r>
              <w:rPr>
                <w:rFonts w:hint="eastAsia" w:ascii="宋体" w:hAnsi="宋体" w:eastAsia="宋体" w:cs="宋体"/>
                <w:color w:val="auto"/>
                <w:sz w:val="21"/>
                <w:szCs w:val="21"/>
                <w:highlight w:val="none"/>
                <w:lang w:eastAsia="zh-CN"/>
              </w:rPr>
              <w:t>后的20</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eastAsia="zh-CN"/>
              </w:rPr>
              <w:t>30</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eastAsia="zh-CN"/>
              </w:rPr>
              <w:t>45</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eastAsia="zh-CN"/>
              </w:rPr>
              <w:t>60</w:t>
            </w:r>
            <w:r>
              <w:rPr>
                <w:rFonts w:hint="eastAsia" w:ascii="宋体" w:hAnsi="宋体" w:eastAsia="宋体" w:cs="宋体"/>
                <w:color w:val="auto"/>
                <w:sz w:val="21"/>
                <w:szCs w:val="21"/>
                <w:highlight w:val="none"/>
              </w:rPr>
              <w:t>日内完成，并出具审核报告。</w:t>
            </w:r>
            <w:r>
              <w:rPr>
                <w:rStyle w:val="152"/>
                <w:rFonts w:hint="eastAsia" w:ascii="宋体" w:hAnsi="宋体" w:eastAsia="宋体" w:cs="宋体"/>
                <w:color w:val="auto"/>
                <w:sz w:val="21"/>
                <w:szCs w:val="21"/>
                <w:highlight w:val="none"/>
                <w:lang w:eastAsia="zh-CN" w:bidi="ar"/>
              </w:rPr>
              <w:t>每延误</w:t>
            </w:r>
            <w:r>
              <w:rPr>
                <w:rStyle w:val="152"/>
                <w:rFonts w:hint="eastAsia" w:ascii="宋体" w:hAnsi="宋体" w:eastAsia="宋体" w:cs="宋体"/>
                <w:color w:val="auto"/>
                <w:sz w:val="21"/>
                <w:szCs w:val="21"/>
                <w:highlight w:val="none"/>
                <w:lang w:val="en-US" w:eastAsia="zh-CN" w:bidi="ar"/>
              </w:rPr>
              <w:t>5</w:t>
            </w:r>
            <w:r>
              <w:rPr>
                <w:rStyle w:val="152"/>
                <w:rFonts w:hint="eastAsia" w:ascii="宋体" w:hAnsi="宋体" w:eastAsia="宋体" w:cs="宋体"/>
                <w:color w:val="auto"/>
                <w:sz w:val="21"/>
                <w:szCs w:val="21"/>
                <w:highlight w:val="none"/>
                <w:lang w:eastAsia="zh-CN" w:bidi="ar"/>
              </w:rPr>
              <w:t>天扣</w:t>
            </w:r>
            <w:r>
              <w:rPr>
                <w:rStyle w:val="152"/>
                <w:rFonts w:hint="eastAsia" w:ascii="宋体" w:hAnsi="宋体" w:eastAsia="宋体" w:cs="宋体"/>
                <w:color w:val="auto"/>
                <w:sz w:val="21"/>
                <w:szCs w:val="21"/>
                <w:highlight w:val="none"/>
                <w:lang w:val="en-US" w:eastAsia="zh-CN" w:bidi="ar"/>
              </w:rPr>
              <w:t>1分，扣完为止。（本项业主代表参与打分）</w:t>
            </w:r>
          </w:p>
        </w:tc>
      </w:tr>
      <w:tr w14:paraId="560E697E">
        <w:tblPrEx>
          <w:tblCellMar>
            <w:top w:w="0" w:type="dxa"/>
            <w:left w:w="0" w:type="dxa"/>
            <w:bottom w:w="0" w:type="dxa"/>
            <w:right w:w="0" w:type="dxa"/>
          </w:tblCellMar>
        </w:tblPrEx>
        <w:trPr>
          <w:trHeight w:val="90" w:hRule="atLeast"/>
          <w:jc w:val="center"/>
        </w:trPr>
        <w:tc>
          <w:tcPr>
            <w:tcW w:w="55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C2DC1FA">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rPr>
              <w:t>二</w:t>
            </w:r>
          </w:p>
        </w:tc>
        <w:tc>
          <w:tcPr>
            <w:tcW w:w="10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AE449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结算</w:t>
            </w:r>
            <w:r>
              <w:rPr>
                <w:rFonts w:hint="eastAsia" w:ascii="宋体" w:hAnsi="宋体" w:eastAsia="宋体" w:cs="宋体"/>
                <w:color w:val="auto"/>
                <w:kern w:val="0"/>
                <w:sz w:val="24"/>
                <w:szCs w:val="24"/>
                <w:highlight w:val="none"/>
              </w:rPr>
              <w:t>资料完整性</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3F8F4E">
            <w:pPr>
              <w:widowControl/>
              <w:spacing w:line="400" w:lineRule="exact"/>
              <w:jc w:val="both"/>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资料是否齐全</w:t>
            </w:r>
          </w:p>
        </w:tc>
        <w:tc>
          <w:tcPr>
            <w:tcW w:w="57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70183E66">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10</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17B1CB">
            <w:pPr>
              <w:jc w:val="center"/>
              <w:rPr>
                <w:rFonts w:hint="eastAsia" w:ascii="宋体" w:hAnsi="宋体" w:eastAsia="宋体" w:cs="宋体"/>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0EBD23">
            <w:pPr>
              <w:jc w:val="center"/>
              <w:rPr>
                <w:rFonts w:hint="eastAsia" w:ascii="宋体" w:hAnsi="宋体" w:eastAsia="宋体" w:cs="宋体"/>
                <w:color w:val="auto"/>
                <w:sz w:val="24"/>
                <w:szCs w:val="24"/>
                <w:highlight w:val="none"/>
              </w:rPr>
            </w:pP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F1B2C1">
            <w:pPr>
              <w:widowControl/>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招标文件</w:t>
            </w:r>
            <w:r>
              <w:rPr>
                <w:rFonts w:hint="eastAsia" w:ascii="宋体" w:hAnsi="宋体" w:eastAsia="宋体" w:cs="宋体"/>
                <w:color w:val="auto"/>
                <w:sz w:val="21"/>
                <w:szCs w:val="21"/>
                <w:highlight w:val="none"/>
                <w:lang w:eastAsia="zh-CN"/>
              </w:rPr>
              <w:t>、工程量清单及</w:t>
            </w:r>
            <w:r>
              <w:rPr>
                <w:rFonts w:hint="eastAsia" w:ascii="宋体" w:hAnsi="宋体" w:eastAsia="宋体" w:cs="宋体"/>
                <w:color w:val="auto"/>
                <w:sz w:val="21"/>
                <w:szCs w:val="21"/>
                <w:highlight w:val="none"/>
              </w:rPr>
              <w:t>最高投标限价、投标文件、施工合同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工程计量单、第三方测量报告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现场计录单、影像资料、变更申请表、会议纪要、工期延期审批报告、竣工图纸、竣工验收报告、竣工结算报告书、项目移交资料等资料是否齐全。每少一</w:t>
            </w:r>
            <w:r>
              <w:rPr>
                <w:rFonts w:hint="eastAsia" w:ascii="宋体" w:hAnsi="宋体" w:eastAsia="宋体" w:cs="宋体"/>
                <w:color w:val="auto"/>
                <w:sz w:val="21"/>
                <w:szCs w:val="21"/>
                <w:highlight w:val="none"/>
                <w:lang w:eastAsia="zh-CN"/>
              </w:rPr>
              <w:t>项</w:t>
            </w:r>
            <w:r>
              <w:rPr>
                <w:rFonts w:hint="eastAsia" w:ascii="宋体" w:hAnsi="宋体" w:eastAsia="宋体" w:cs="宋体"/>
                <w:color w:val="auto"/>
                <w:sz w:val="21"/>
                <w:szCs w:val="21"/>
                <w:highlight w:val="none"/>
              </w:rPr>
              <w:t>资料扣1分，扣完为止</w:t>
            </w:r>
            <w:r>
              <w:rPr>
                <w:rFonts w:hint="eastAsia" w:ascii="宋体" w:hAnsi="宋体" w:eastAsia="宋体" w:cs="宋体"/>
                <w:color w:val="auto"/>
                <w:sz w:val="21"/>
                <w:szCs w:val="21"/>
                <w:highlight w:val="none"/>
                <w:lang w:eastAsia="zh-CN"/>
              </w:rPr>
              <w:t>，资料不齐全的酌情扣分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（本项第三方复审单位未尽检查提醒义务的予以扣分）</w:t>
            </w:r>
          </w:p>
        </w:tc>
      </w:tr>
      <w:tr w14:paraId="380276B7">
        <w:tblPrEx>
          <w:tblCellMar>
            <w:top w:w="0" w:type="dxa"/>
            <w:left w:w="0" w:type="dxa"/>
            <w:bottom w:w="0" w:type="dxa"/>
            <w:right w:w="0" w:type="dxa"/>
          </w:tblCellMar>
        </w:tblPrEx>
        <w:trPr>
          <w:trHeight w:val="3175" w:hRule="atLeast"/>
          <w:jc w:val="center"/>
        </w:trPr>
        <w:tc>
          <w:tcPr>
            <w:tcW w:w="556" w:type="dxa"/>
            <w:vMerge w:val="continue"/>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5439447F">
            <w:pPr>
              <w:jc w:val="center"/>
              <w:rPr>
                <w:rFonts w:hint="eastAsia" w:ascii="宋体" w:hAnsi="宋体" w:eastAsia="宋体" w:cs="宋体"/>
                <w:color w:val="auto"/>
                <w:sz w:val="24"/>
                <w:szCs w:val="24"/>
                <w:highlight w:val="none"/>
              </w:rPr>
            </w:pPr>
          </w:p>
        </w:tc>
        <w:tc>
          <w:tcPr>
            <w:tcW w:w="1084" w:type="dxa"/>
            <w:vMerge w:val="continue"/>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C82D3B">
            <w:pPr>
              <w:jc w:val="center"/>
              <w:rPr>
                <w:rFonts w:hint="eastAsia" w:ascii="宋体" w:hAnsi="宋体" w:eastAsia="宋体" w:cs="宋体"/>
                <w:color w:val="auto"/>
                <w:sz w:val="24"/>
                <w:szCs w:val="24"/>
                <w:highlight w:val="none"/>
              </w:rPr>
            </w:pPr>
          </w:p>
        </w:tc>
        <w:tc>
          <w:tcPr>
            <w:tcW w:w="267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3D0CD0">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结算</w:t>
            </w:r>
            <w:r>
              <w:rPr>
                <w:rFonts w:hint="eastAsia" w:ascii="宋体" w:hAnsi="宋体" w:eastAsia="宋体" w:cs="宋体"/>
                <w:color w:val="auto"/>
                <w:sz w:val="24"/>
                <w:szCs w:val="24"/>
                <w:highlight w:val="none"/>
              </w:rPr>
              <w:t xml:space="preserve">资料是否装订整齐 </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9A0A3B">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E7A78D">
            <w:pPr>
              <w:jc w:val="center"/>
              <w:rPr>
                <w:rFonts w:hint="eastAsia" w:ascii="宋体" w:hAnsi="宋体" w:eastAsia="宋体" w:cs="宋体"/>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1FD7A2">
            <w:pPr>
              <w:jc w:val="center"/>
              <w:rPr>
                <w:rFonts w:hint="eastAsia" w:ascii="宋体" w:hAnsi="宋体" w:eastAsia="宋体" w:cs="宋体"/>
                <w:color w:val="auto"/>
                <w:sz w:val="24"/>
                <w:szCs w:val="24"/>
                <w:highlight w:val="none"/>
              </w:rPr>
            </w:pP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1B4969">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计量资料有目录、编码，</w:t>
            </w:r>
            <w:r>
              <w:rPr>
                <w:rFonts w:hint="eastAsia" w:ascii="宋体" w:hAnsi="宋体" w:eastAsia="宋体" w:cs="宋体"/>
                <w:color w:val="auto"/>
                <w:sz w:val="21"/>
                <w:szCs w:val="21"/>
                <w:highlight w:val="none"/>
              </w:rPr>
              <w:t>工程计量单、现场记录单、影像</w:t>
            </w:r>
            <w:r>
              <w:rPr>
                <w:rFonts w:hint="eastAsia" w:ascii="宋体" w:hAnsi="宋体" w:eastAsia="宋体" w:cs="宋体"/>
                <w:color w:val="auto"/>
                <w:sz w:val="21"/>
                <w:szCs w:val="21"/>
                <w:highlight w:val="none"/>
                <w:lang w:eastAsia="zh-CN"/>
              </w:rPr>
              <w:t>资料需一一对应，变更资料中</w:t>
            </w:r>
            <w:r>
              <w:rPr>
                <w:rFonts w:hint="eastAsia" w:ascii="宋体" w:hAnsi="宋体" w:eastAsia="宋体" w:cs="宋体"/>
                <w:color w:val="auto"/>
                <w:sz w:val="21"/>
                <w:szCs w:val="21"/>
                <w:highlight w:val="none"/>
              </w:rPr>
              <w:t>变更申请表、会议纪要、联系单、计量单、现场记录、影像资料</w:t>
            </w:r>
            <w:r>
              <w:rPr>
                <w:rFonts w:hint="eastAsia" w:ascii="宋体" w:hAnsi="宋体" w:eastAsia="宋体" w:cs="宋体"/>
                <w:color w:val="auto"/>
                <w:sz w:val="21"/>
                <w:szCs w:val="21"/>
                <w:highlight w:val="none"/>
                <w:lang w:eastAsia="zh-CN"/>
              </w:rPr>
              <w:t>需一一对应，</w:t>
            </w:r>
            <w:r>
              <w:rPr>
                <w:rFonts w:hint="eastAsia" w:ascii="宋体" w:hAnsi="宋体" w:eastAsia="宋体" w:cs="宋体"/>
                <w:color w:val="auto"/>
                <w:sz w:val="21"/>
                <w:szCs w:val="21"/>
                <w:highlight w:val="none"/>
              </w:rPr>
              <w:t>根据资料装订情况，差</w:t>
            </w:r>
            <w:r>
              <w:rPr>
                <w:rFonts w:hint="eastAsia" w:ascii="宋体" w:hAnsi="宋体" w:eastAsia="宋体" w:cs="宋体"/>
                <w:color w:val="auto"/>
                <w:kern w:val="0"/>
                <w:sz w:val="21"/>
                <w:szCs w:val="21"/>
                <w:highlight w:val="none"/>
              </w:rPr>
              <w:t>0分、一般</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分、较好</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分，很好</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r>
              <w:rPr>
                <w:rFonts w:hint="eastAsia" w:ascii="宋体" w:hAnsi="宋体" w:eastAsia="宋体" w:cs="宋体"/>
                <w:color w:val="auto"/>
                <w:sz w:val="21"/>
                <w:szCs w:val="21"/>
                <w:highlight w:val="none"/>
                <w:lang w:eastAsia="zh-CN"/>
              </w:rPr>
              <w:t>（本项第三方复审单位未尽检查提醒义务的予以扣分）</w:t>
            </w:r>
          </w:p>
        </w:tc>
      </w:tr>
      <w:tr w14:paraId="7EB0DCFC">
        <w:tblPrEx>
          <w:tblCellMar>
            <w:top w:w="0" w:type="dxa"/>
            <w:left w:w="0" w:type="dxa"/>
            <w:bottom w:w="0" w:type="dxa"/>
            <w:right w:w="0" w:type="dxa"/>
          </w:tblCellMar>
        </w:tblPrEx>
        <w:trPr>
          <w:trHeight w:val="1202" w:hRule="atLeast"/>
          <w:jc w:val="center"/>
        </w:trPr>
        <w:tc>
          <w:tcPr>
            <w:tcW w:w="55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3370E29">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rPr>
              <w:t>三</w:t>
            </w:r>
          </w:p>
        </w:tc>
        <w:tc>
          <w:tcPr>
            <w:tcW w:w="108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5F927C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工程计量</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603EA9">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1.签字盖章是否齐全</w:t>
            </w:r>
            <w:r>
              <w:rPr>
                <w:rFonts w:hint="eastAsia" w:ascii="宋体" w:hAnsi="宋体" w:eastAsia="宋体" w:cs="宋体"/>
                <w:color w:val="auto"/>
                <w:sz w:val="24"/>
                <w:szCs w:val="24"/>
                <w:highlight w:val="none"/>
              </w:rPr>
              <w:t xml:space="preserve"> </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753865">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01848F">
            <w:pPr>
              <w:jc w:val="left"/>
              <w:rPr>
                <w:rFonts w:hint="eastAsia" w:ascii="宋体" w:hAnsi="宋体" w:eastAsia="宋体" w:cs="宋体"/>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5A9B6B">
            <w:pPr>
              <w:jc w:val="left"/>
              <w:rPr>
                <w:rFonts w:hint="eastAsia" w:ascii="宋体" w:hAnsi="宋体" w:eastAsia="宋体" w:cs="宋体"/>
                <w:color w:val="auto"/>
                <w:sz w:val="24"/>
                <w:szCs w:val="24"/>
                <w:highlight w:val="none"/>
              </w:rPr>
            </w:pP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8A6D10">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缺少签字盖章的，每</w:t>
            </w:r>
            <w:r>
              <w:rPr>
                <w:rFonts w:hint="eastAsia" w:ascii="宋体" w:hAnsi="宋体" w:eastAsia="宋体" w:cs="宋体"/>
                <w:color w:val="auto"/>
                <w:sz w:val="21"/>
                <w:szCs w:val="21"/>
                <w:highlight w:val="none"/>
                <w:lang w:eastAsia="zh-CN"/>
              </w:rPr>
              <w:t>处</w:t>
            </w:r>
            <w:r>
              <w:rPr>
                <w:rFonts w:hint="eastAsia" w:ascii="宋体" w:hAnsi="宋体" w:eastAsia="宋体" w:cs="宋体"/>
                <w:color w:val="auto"/>
                <w:sz w:val="21"/>
                <w:szCs w:val="21"/>
                <w:highlight w:val="none"/>
              </w:rPr>
              <w:t>扣1分，扣完为止。</w:t>
            </w:r>
            <w:r>
              <w:rPr>
                <w:rFonts w:hint="eastAsia" w:ascii="宋体" w:hAnsi="宋体" w:eastAsia="宋体" w:cs="宋体"/>
                <w:color w:val="auto"/>
                <w:sz w:val="21"/>
                <w:szCs w:val="21"/>
                <w:highlight w:val="none"/>
                <w:lang w:eastAsia="zh-CN"/>
              </w:rPr>
              <w:t>（本项第三方复审单位未尽检查提醒义务的予以扣分）</w:t>
            </w:r>
          </w:p>
        </w:tc>
      </w:tr>
      <w:tr w14:paraId="7986DE96">
        <w:tblPrEx>
          <w:tblCellMar>
            <w:top w:w="0" w:type="dxa"/>
            <w:left w:w="0" w:type="dxa"/>
            <w:bottom w:w="0" w:type="dxa"/>
            <w:right w:w="0" w:type="dxa"/>
          </w:tblCellMar>
        </w:tblPrEx>
        <w:trPr>
          <w:trHeight w:val="1616" w:hRule="atLeast"/>
          <w:jc w:val="center"/>
        </w:trPr>
        <w:tc>
          <w:tcPr>
            <w:tcW w:w="556" w:type="dxa"/>
            <w:vMerge w:val="continue"/>
            <w:tcBorders>
              <w:left w:val="single" w:color="000000" w:sz="4" w:space="0"/>
              <w:right w:val="single" w:color="000000" w:sz="4" w:space="0"/>
            </w:tcBorders>
            <w:noWrap w:val="0"/>
            <w:tcMar>
              <w:top w:w="15" w:type="dxa"/>
              <w:left w:w="15" w:type="dxa"/>
              <w:right w:w="15" w:type="dxa"/>
            </w:tcMar>
            <w:vAlign w:val="center"/>
          </w:tcPr>
          <w:p w14:paraId="64B093AA">
            <w:pPr>
              <w:jc w:val="center"/>
              <w:rPr>
                <w:rFonts w:hint="eastAsia" w:ascii="宋体" w:hAnsi="宋体" w:eastAsia="宋体" w:cs="宋体"/>
                <w:color w:val="auto"/>
                <w:sz w:val="24"/>
                <w:szCs w:val="24"/>
                <w:highlight w:val="none"/>
              </w:rPr>
            </w:pPr>
          </w:p>
        </w:tc>
        <w:tc>
          <w:tcPr>
            <w:tcW w:w="1084" w:type="dxa"/>
            <w:vMerge w:val="continue"/>
            <w:tcBorders>
              <w:left w:val="single" w:color="000000" w:sz="4" w:space="0"/>
              <w:right w:val="single" w:color="000000" w:sz="4" w:space="0"/>
            </w:tcBorders>
            <w:noWrap w:val="0"/>
            <w:tcMar>
              <w:top w:w="15" w:type="dxa"/>
              <w:left w:w="15" w:type="dxa"/>
              <w:right w:w="15" w:type="dxa"/>
            </w:tcMar>
            <w:vAlign w:val="center"/>
          </w:tcPr>
          <w:p w14:paraId="41DD4C33">
            <w:pPr>
              <w:jc w:val="center"/>
              <w:rPr>
                <w:rFonts w:hint="eastAsia" w:ascii="宋体" w:hAnsi="宋体" w:eastAsia="宋体" w:cs="宋体"/>
                <w:color w:val="auto"/>
                <w:sz w:val="24"/>
                <w:szCs w:val="24"/>
                <w:highlight w:val="none"/>
              </w:rPr>
            </w:pP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33E848">
            <w:pPr>
              <w:widowControl/>
              <w:spacing w:line="40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rPr>
              <w:t xml:space="preserve"> 合同内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合同外工程量是否计量</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B34BAA">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8BCABD">
            <w:pPr>
              <w:jc w:val="left"/>
              <w:rPr>
                <w:rFonts w:hint="eastAsia" w:ascii="宋体" w:hAnsi="宋体" w:eastAsia="宋体" w:cs="宋体"/>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2917FE">
            <w:pPr>
              <w:jc w:val="left"/>
              <w:rPr>
                <w:rFonts w:hint="eastAsia" w:ascii="宋体" w:hAnsi="宋体" w:eastAsia="宋体" w:cs="宋体"/>
                <w:color w:val="auto"/>
                <w:sz w:val="24"/>
                <w:szCs w:val="24"/>
                <w:highlight w:val="none"/>
              </w:rPr>
            </w:pP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50CC8B">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结算审核报告中的分项工程，若存在无计量情况，每个扣1分，扣完为止。</w:t>
            </w:r>
            <w:r>
              <w:rPr>
                <w:rFonts w:hint="eastAsia" w:ascii="宋体" w:hAnsi="宋体" w:eastAsia="宋体" w:cs="宋体"/>
                <w:color w:val="auto"/>
                <w:sz w:val="21"/>
                <w:szCs w:val="21"/>
                <w:highlight w:val="none"/>
                <w:lang w:eastAsia="zh-CN"/>
              </w:rPr>
              <w:t>（本项第三方复审单位未尽检查提醒义务的予以扣分）</w:t>
            </w:r>
          </w:p>
        </w:tc>
      </w:tr>
      <w:tr w14:paraId="50FA1B53">
        <w:tblPrEx>
          <w:tblCellMar>
            <w:top w:w="0" w:type="dxa"/>
            <w:left w:w="0" w:type="dxa"/>
            <w:bottom w:w="0" w:type="dxa"/>
            <w:right w:w="0" w:type="dxa"/>
          </w:tblCellMar>
        </w:tblPrEx>
        <w:trPr>
          <w:trHeight w:val="1356" w:hRule="atLeast"/>
          <w:jc w:val="center"/>
        </w:trPr>
        <w:tc>
          <w:tcPr>
            <w:tcW w:w="556" w:type="dxa"/>
            <w:vMerge w:val="continue"/>
            <w:tcBorders>
              <w:left w:val="single" w:color="000000" w:sz="4" w:space="0"/>
              <w:right w:val="single" w:color="000000" w:sz="4" w:space="0"/>
            </w:tcBorders>
            <w:noWrap w:val="0"/>
            <w:tcMar>
              <w:top w:w="15" w:type="dxa"/>
              <w:left w:w="15" w:type="dxa"/>
              <w:right w:w="15" w:type="dxa"/>
            </w:tcMar>
            <w:vAlign w:val="center"/>
          </w:tcPr>
          <w:p w14:paraId="5552C9D4">
            <w:pPr>
              <w:jc w:val="center"/>
              <w:rPr>
                <w:rFonts w:hint="eastAsia" w:ascii="宋体" w:hAnsi="宋体" w:eastAsia="宋体" w:cs="宋体"/>
                <w:color w:val="auto"/>
                <w:sz w:val="24"/>
                <w:szCs w:val="24"/>
                <w:highlight w:val="none"/>
              </w:rPr>
            </w:pPr>
          </w:p>
        </w:tc>
        <w:tc>
          <w:tcPr>
            <w:tcW w:w="1084" w:type="dxa"/>
            <w:vMerge w:val="continue"/>
            <w:tcBorders>
              <w:left w:val="single" w:color="000000" w:sz="4" w:space="0"/>
              <w:right w:val="single" w:color="000000" w:sz="4" w:space="0"/>
            </w:tcBorders>
            <w:noWrap w:val="0"/>
            <w:tcMar>
              <w:top w:w="15" w:type="dxa"/>
              <w:left w:w="15" w:type="dxa"/>
              <w:right w:w="15" w:type="dxa"/>
            </w:tcMar>
            <w:vAlign w:val="center"/>
          </w:tcPr>
          <w:p w14:paraId="366E6CAF">
            <w:pPr>
              <w:jc w:val="center"/>
              <w:rPr>
                <w:rFonts w:hint="eastAsia" w:ascii="宋体" w:hAnsi="宋体" w:eastAsia="宋体" w:cs="宋体"/>
                <w:color w:val="auto"/>
                <w:sz w:val="24"/>
                <w:szCs w:val="24"/>
                <w:highlight w:val="none"/>
              </w:rPr>
            </w:pP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B0DD69">
            <w:pPr>
              <w:widowControl/>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、计量</w:t>
            </w:r>
            <w:r>
              <w:rPr>
                <w:rFonts w:hint="eastAsia" w:ascii="宋体" w:hAnsi="宋体" w:eastAsia="宋体" w:cs="宋体"/>
                <w:color w:val="auto"/>
                <w:kern w:val="0"/>
                <w:sz w:val="24"/>
                <w:szCs w:val="24"/>
                <w:highlight w:val="none"/>
                <w:lang w:eastAsia="zh-CN"/>
              </w:rPr>
              <w:t>单格式、内容</w:t>
            </w:r>
            <w:r>
              <w:rPr>
                <w:rFonts w:hint="eastAsia" w:ascii="宋体" w:hAnsi="宋体" w:eastAsia="宋体" w:cs="宋体"/>
                <w:color w:val="auto"/>
                <w:kern w:val="0"/>
                <w:sz w:val="24"/>
                <w:szCs w:val="24"/>
                <w:highlight w:val="none"/>
              </w:rPr>
              <w:t>是否规范</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65220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07DA67">
            <w:pPr>
              <w:jc w:val="left"/>
              <w:rPr>
                <w:rFonts w:hint="eastAsia" w:ascii="宋体" w:hAnsi="宋体" w:eastAsia="宋体" w:cs="宋体"/>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6D8F39">
            <w:pPr>
              <w:jc w:val="left"/>
              <w:rPr>
                <w:rFonts w:hint="eastAsia" w:ascii="宋体" w:hAnsi="宋体" w:eastAsia="宋体" w:cs="宋体"/>
                <w:color w:val="auto"/>
                <w:sz w:val="24"/>
                <w:szCs w:val="24"/>
                <w:highlight w:val="none"/>
              </w:rPr>
            </w:pP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4D7DB6">
            <w:pPr>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计量单需按我处格式执行，</w:t>
            </w:r>
            <w:r>
              <w:rPr>
                <w:rFonts w:hint="eastAsia" w:ascii="宋体" w:hAnsi="宋体" w:eastAsia="宋体" w:cs="宋体"/>
                <w:color w:val="auto"/>
                <w:kern w:val="0"/>
                <w:sz w:val="21"/>
                <w:szCs w:val="21"/>
                <w:highlight w:val="none"/>
              </w:rPr>
              <w:t>如存在应请第三方测量的项目，而由现场四方计量情况的</w:t>
            </w:r>
            <w:r>
              <w:rPr>
                <w:rFonts w:hint="eastAsia" w:ascii="宋体" w:hAnsi="宋体" w:eastAsia="宋体" w:cs="宋体"/>
                <w:color w:val="auto"/>
                <w:sz w:val="21"/>
                <w:szCs w:val="21"/>
                <w:highlight w:val="none"/>
              </w:rPr>
              <w:t>，每起扣1分，扣完为止。</w:t>
            </w:r>
            <w:r>
              <w:rPr>
                <w:rFonts w:hint="eastAsia" w:ascii="宋体" w:hAnsi="宋体" w:eastAsia="宋体" w:cs="宋体"/>
                <w:color w:val="auto"/>
                <w:sz w:val="21"/>
                <w:szCs w:val="21"/>
                <w:highlight w:val="none"/>
                <w:lang w:eastAsia="zh-CN"/>
              </w:rPr>
              <w:t>（本项第三方复审单位未尽检查提醒义务的予以扣分）</w:t>
            </w:r>
          </w:p>
        </w:tc>
      </w:tr>
      <w:tr w14:paraId="53684242">
        <w:tblPrEx>
          <w:tblCellMar>
            <w:top w:w="0" w:type="dxa"/>
            <w:left w:w="0" w:type="dxa"/>
            <w:bottom w:w="0" w:type="dxa"/>
            <w:right w:w="0" w:type="dxa"/>
          </w:tblCellMar>
        </w:tblPrEx>
        <w:trPr>
          <w:trHeight w:val="1664" w:hRule="atLeast"/>
          <w:jc w:val="center"/>
        </w:trPr>
        <w:tc>
          <w:tcPr>
            <w:tcW w:w="55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6C991713">
            <w:pPr>
              <w:widowControl/>
              <w:jc w:val="center"/>
              <w:textAlignment w:val="center"/>
              <w:rPr>
                <w:rFonts w:hint="eastAsia" w:ascii="宋体" w:hAnsi="宋体" w:eastAsia="宋体" w:cs="宋体"/>
                <w:color w:val="auto"/>
                <w:sz w:val="24"/>
                <w:szCs w:val="24"/>
                <w:highlight w:val="none"/>
              </w:rPr>
            </w:pPr>
          </w:p>
        </w:tc>
        <w:tc>
          <w:tcPr>
            <w:tcW w:w="108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3A0E2F23">
            <w:pPr>
              <w:widowControl/>
              <w:jc w:val="center"/>
              <w:textAlignment w:val="center"/>
              <w:rPr>
                <w:rFonts w:hint="eastAsia" w:ascii="宋体" w:hAnsi="宋体" w:eastAsia="宋体" w:cs="宋体"/>
                <w:color w:val="auto"/>
                <w:sz w:val="24"/>
                <w:szCs w:val="24"/>
                <w:highlight w:val="none"/>
              </w:rPr>
            </w:pP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9F3E96">
            <w:pPr>
              <w:widowControl/>
              <w:spacing w:line="40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根据我处工程变更</w:t>
            </w:r>
            <w:r>
              <w:rPr>
                <w:rFonts w:hint="eastAsia" w:ascii="宋体" w:hAnsi="宋体" w:eastAsia="宋体" w:cs="宋体"/>
                <w:color w:val="auto"/>
                <w:kern w:val="0"/>
                <w:sz w:val="24"/>
                <w:szCs w:val="24"/>
                <w:highlight w:val="none"/>
                <w:lang w:eastAsia="zh-CN"/>
              </w:rPr>
              <w:t>相关</w:t>
            </w:r>
            <w:r>
              <w:rPr>
                <w:rFonts w:hint="eastAsia" w:ascii="宋体" w:hAnsi="宋体" w:eastAsia="宋体" w:cs="宋体"/>
                <w:color w:val="auto"/>
                <w:kern w:val="0"/>
                <w:sz w:val="24"/>
                <w:szCs w:val="24"/>
                <w:highlight w:val="none"/>
              </w:rPr>
              <w:t>管理办法，工程变更审批手续是否及时、齐全、规范</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B52407">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6C473E">
            <w:pPr>
              <w:jc w:val="left"/>
              <w:rPr>
                <w:rFonts w:hint="eastAsia" w:ascii="宋体" w:hAnsi="宋体" w:eastAsia="宋体" w:cs="宋体"/>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FBDA40">
            <w:pPr>
              <w:jc w:val="left"/>
              <w:rPr>
                <w:rFonts w:hint="eastAsia" w:ascii="宋体" w:hAnsi="宋体" w:eastAsia="宋体" w:cs="宋体"/>
                <w:color w:val="auto"/>
                <w:sz w:val="24"/>
                <w:szCs w:val="24"/>
                <w:highlight w:val="none"/>
              </w:rPr>
            </w:pP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99AE20">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因审核人员原因，造成工程变更审批手续不及时、齐全、规范的，</w:t>
            </w:r>
            <w:r>
              <w:rPr>
                <w:rFonts w:hint="eastAsia" w:ascii="宋体" w:hAnsi="宋体" w:eastAsia="宋体" w:cs="宋体"/>
                <w:color w:val="auto"/>
                <w:sz w:val="21"/>
                <w:szCs w:val="21"/>
                <w:highlight w:val="none"/>
                <w:lang w:eastAsia="zh-CN"/>
              </w:rPr>
              <w:t>每项</w:t>
            </w:r>
            <w:r>
              <w:rPr>
                <w:rFonts w:hint="eastAsia" w:ascii="宋体" w:hAnsi="宋体" w:eastAsia="宋体" w:cs="宋体"/>
                <w:color w:val="auto"/>
                <w:sz w:val="21"/>
                <w:szCs w:val="21"/>
                <w:highlight w:val="none"/>
              </w:rPr>
              <w:t>扣1分，扣完为止。</w:t>
            </w:r>
            <w:r>
              <w:rPr>
                <w:rFonts w:hint="eastAsia" w:ascii="宋体" w:hAnsi="宋体" w:eastAsia="宋体" w:cs="宋体"/>
                <w:color w:val="auto"/>
                <w:sz w:val="21"/>
                <w:szCs w:val="21"/>
                <w:highlight w:val="none"/>
                <w:lang w:eastAsia="zh-CN"/>
              </w:rPr>
              <w:t>（本项业主代表参与打分，第三方复审单位未尽检查提醒义务的予以扣分）</w:t>
            </w:r>
          </w:p>
        </w:tc>
      </w:tr>
      <w:tr w14:paraId="6CA09907">
        <w:tblPrEx>
          <w:tblCellMar>
            <w:top w:w="0" w:type="dxa"/>
            <w:left w:w="0" w:type="dxa"/>
            <w:bottom w:w="0" w:type="dxa"/>
            <w:right w:w="0" w:type="dxa"/>
          </w:tblCellMar>
        </w:tblPrEx>
        <w:trPr>
          <w:trHeight w:val="2705" w:hRule="atLeast"/>
          <w:jc w:val="center"/>
        </w:trPr>
        <w:tc>
          <w:tcPr>
            <w:tcW w:w="5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B75A25">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四</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0F34B3">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廉洁自律</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60946C">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审计单位是否保持廉洁自律要求</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B0B03C">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10</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1B6398">
            <w:pPr>
              <w:jc w:val="left"/>
              <w:rPr>
                <w:rFonts w:hint="eastAsia" w:ascii="宋体" w:hAnsi="宋体" w:eastAsia="宋体" w:cs="宋体"/>
                <w:color w:val="auto"/>
                <w:kern w:val="2"/>
                <w:sz w:val="24"/>
                <w:szCs w:val="24"/>
                <w:highlight w:val="none"/>
                <w:lang w:val="en-US" w:eastAsia="zh-CN" w:bidi="ar-SA"/>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6A77F1">
            <w:pPr>
              <w:jc w:val="center"/>
              <w:rPr>
                <w:rFonts w:hint="eastAsia" w:ascii="宋体" w:hAnsi="宋体" w:eastAsia="宋体" w:cs="宋体"/>
                <w:color w:val="auto"/>
                <w:kern w:val="2"/>
                <w:sz w:val="24"/>
                <w:szCs w:val="24"/>
                <w:highlight w:val="none"/>
                <w:lang w:val="en-US" w:eastAsia="zh-CN" w:bidi="ar-SA"/>
              </w:rPr>
            </w:pP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CA30D9">
            <w:pPr>
              <w:widowControl/>
              <w:spacing w:line="300" w:lineRule="exact"/>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有无由被审计单位支付或补贴住宿费、餐费；有无使用被审计单位的交通工具等办理与审计工作无关的事项；有无参加被审计单位安排的旅游、娱乐等活动；有无接受被审计单位的任何礼品；有无在被审计的单位报销任何费用；有无利用审计职权为自己和他人谋利；有无向被审计单位提出任何与审计工作无关的要求。违反审计纪律规定中任何一项的,一经查实，本项分值全部扣除.（本项党办参与打分）</w:t>
            </w:r>
          </w:p>
        </w:tc>
      </w:tr>
      <w:tr w14:paraId="2EEE1436">
        <w:tblPrEx>
          <w:tblCellMar>
            <w:top w:w="0" w:type="dxa"/>
            <w:left w:w="0" w:type="dxa"/>
            <w:bottom w:w="0" w:type="dxa"/>
            <w:right w:w="0" w:type="dxa"/>
          </w:tblCellMar>
        </w:tblPrEx>
        <w:trPr>
          <w:trHeight w:val="2593" w:hRule="atLeast"/>
          <w:jc w:val="center"/>
        </w:trPr>
        <w:tc>
          <w:tcPr>
            <w:tcW w:w="5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A19873">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五</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E8F477">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竣工结算审核的误差</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92EE87">
            <w:pPr>
              <w:widowControl/>
              <w:spacing w:line="400" w:lineRule="exact"/>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根据我处竣工结算审核流程，经第三方、计划科、审价中心复审后，对竣工结算审核报告的误差率进行打分</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A8160D">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CE1033">
            <w:pPr>
              <w:jc w:val="left"/>
              <w:rPr>
                <w:rFonts w:hint="eastAsia" w:ascii="宋体" w:hAnsi="宋体" w:eastAsia="宋体" w:cs="宋体"/>
                <w:color w:val="auto"/>
                <w:kern w:val="2"/>
                <w:sz w:val="24"/>
                <w:szCs w:val="24"/>
                <w:highlight w:val="none"/>
                <w:lang w:val="en-US" w:eastAsia="zh-CN" w:bidi="ar-SA"/>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BC937D">
            <w:pPr>
              <w:jc w:val="left"/>
              <w:rPr>
                <w:rFonts w:hint="eastAsia" w:ascii="宋体" w:hAnsi="宋体" w:eastAsia="宋体" w:cs="宋体"/>
                <w:color w:val="auto"/>
                <w:kern w:val="2"/>
                <w:sz w:val="24"/>
                <w:szCs w:val="24"/>
                <w:highlight w:val="none"/>
                <w:lang w:val="en-US" w:eastAsia="zh-CN" w:bidi="ar-SA"/>
              </w:rPr>
            </w:pP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8BFAB1">
            <w:pPr>
              <w:widowControl/>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误差率1%</w:t>
            </w:r>
            <w:r>
              <w:rPr>
                <w:rFonts w:hint="eastAsia" w:ascii="宋体" w:hAnsi="宋体" w:eastAsia="宋体" w:cs="宋体"/>
                <w:color w:val="auto"/>
                <w:sz w:val="21"/>
                <w:szCs w:val="21"/>
                <w:highlight w:val="none"/>
                <w:lang w:eastAsia="zh-CN"/>
              </w:rPr>
              <w:t>（含）</w:t>
            </w:r>
            <w:r>
              <w:rPr>
                <w:rFonts w:hint="eastAsia" w:ascii="宋体" w:hAnsi="宋体" w:eastAsia="宋体" w:cs="宋体"/>
                <w:color w:val="auto"/>
                <w:sz w:val="21"/>
                <w:szCs w:val="21"/>
                <w:highlight w:val="none"/>
              </w:rPr>
              <w:t>-2%的，扣5分；</w:t>
            </w:r>
          </w:p>
          <w:p w14:paraId="64B91A7E">
            <w:pPr>
              <w:widowControl/>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（含）</w:t>
            </w:r>
            <w:r>
              <w:rPr>
                <w:rFonts w:hint="eastAsia" w:ascii="宋体" w:hAnsi="宋体" w:eastAsia="宋体" w:cs="宋体"/>
                <w:color w:val="auto"/>
                <w:sz w:val="21"/>
                <w:szCs w:val="21"/>
                <w:highlight w:val="none"/>
              </w:rPr>
              <w:t>-2.5%的，扣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0分；</w:t>
            </w:r>
          </w:p>
          <w:p w14:paraId="61FB8ADA">
            <w:pPr>
              <w:widowControl/>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r>
              <w:rPr>
                <w:rFonts w:hint="eastAsia" w:ascii="宋体" w:hAnsi="宋体" w:eastAsia="宋体" w:cs="宋体"/>
                <w:color w:val="auto"/>
                <w:sz w:val="21"/>
                <w:szCs w:val="21"/>
                <w:highlight w:val="none"/>
                <w:lang w:eastAsia="zh-CN"/>
              </w:rPr>
              <w:t>（含）</w:t>
            </w:r>
            <w:r>
              <w:rPr>
                <w:rFonts w:hint="eastAsia" w:ascii="宋体" w:hAnsi="宋体" w:eastAsia="宋体" w:cs="宋体"/>
                <w:color w:val="auto"/>
                <w:sz w:val="21"/>
                <w:szCs w:val="21"/>
                <w:highlight w:val="none"/>
              </w:rPr>
              <w:t>-3%的，扣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5分；</w:t>
            </w:r>
          </w:p>
          <w:p w14:paraId="1852A67C">
            <w:pPr>
              <w:widowControl/>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（含）</w:t>
            </w:r>
            <w:r>
              <w:rPr>
                <w:rFonts w:hint="eastAsia" w:ascii="宋体" w:hAnsi="宋体" w:eastAsia="宋体" w:cs="宋体"/>
                <w:color w:val="auto"/>
                <w:sz w:val="21"/>
                <w:szCs w:val="21"/>
                <w:highlight w:val="none"/>
              </w:rPr>
              <w:t>-3.5%的，扣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0分；</w:t>
            </w:r>
          </w:p>
          <w:p w14:paraId="1D848C0D">
            <w:pPr>
              <w:widowControl/>
              <w:spacing w:line="400" w:lineRule="exact"/>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3.5%</w:t>
            </w:r>
            <w:r>
              <w:rPr>
                <w:rFonts w:hint="eastAsia" w:ascii="宋体" w:hAnsi="宋体" w:eastAsia="宋体" w:cs="宋体"/>
                <w:color w:val="auto"/>
                <w:sz w:val="21"/>
                <w:szCs w:val="21"/>
                <w:highlight w:val="none"/>
                <w:lang w:eastAsia="zh-CN"/>
              </w:rPr>
              <w:t>（含）</w:t>
            </w:r>
            <w:r>
              <w:rPr>
                <w:rFonts w:hint="eastAsia" w:ascii="宋体" w:hAnsi="宋体" w:eastAsia="宋体" w:cs="宋体"/>
                <w:color w:val="auto"/>
                <w:sz w:val="21"/>
                <w:szCs w:val="21"/>
                <w:highlight w:val="none"/>
              </w:rPr>
              <w:t>-4%的，扣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5分</w:t>
            </w:r>
            <w:r>
              <w:rPr>
                <w:rFonts w:hint="eastAsia" w:ascii="宋体" w:hAnsi="宋体" w:eastAsia="宋体" w:cs="宋体"/>
                <w:color w:val="auto"/>
                <w:sz w:val="21"/>
                <w:szCs w:val="21"/>
                <w:highlight w:val="none"/>
                <w:lang w:eastAsia="zh-CN"/>
              </w:rPr>
              <w:t>；</w:t>
            </w:r>
          </w:p>
          <w:p w14:paraId="20131F96">
            <w:pPr>
              <w:widowControl/>
              <w:spacing w:line="400" w:lineRule="exact"/>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（含）</w:t>
            </w:r>
            <w:r>
              <w:rPr>
                <w:rFonts w:hint="eastAsia" w:ascii="宋体" w:hAnsi="宋体" w:eastAsia="宋体" w:cs="宋体"/>
                <w:color w:val="auto"/>
                <w:sz w:val="21"/>
                <w:szCs w:val="21"/>
                <w:highlight w:val="none"/>
              </w:rPr>
              <w:t>以上的，扣</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0分。</w:t>
            </w:r>
          </w:p>
        </w:tc>
      </w:tr>
      <w:tr w14:paraId="608AF683">
        <w:tblPrEx>
          <w:tblCellMar>
            <w:top w:w="0" w:type="dxa"/>
            <w:left w:w="0" w:type="dxa"/>
            <w:bottom w:w="0" w:type="dxa"/>
            <w:right w:w="0" w:type="dxa"/>
          </w:tblCellMar>
        </w:tblPrEx>
        <w:trPr>
          <w:trHeight w:val="558" w:hRule="atLeast"/>
          <w:jc w:val="center"/>
        </w:trPr>
        <w:tc>
          <w:tcPr>
            <w:tcW w:w="488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8A96E7">
            <w:pPr>
              <w:widowControl/>
              <w:jc w:val="right"/>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合计</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B9742B">
            <w:pPr>
              <w:jc w:val="left"/>
              <w:rPr>
                <w:rFonts w:hint="eastAsia" w:ascii="宋体" w:hAnsi="宋体" w:eastAsia="宋体" w:cs="宋体"/>
                <w:b/>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B5322F">
            <w:pPr>
              <w:jc w:val="left"/>
              <w:rPr>
                <w:rFonts w:hint="eastAsia" w:ascii="宋体" w:hAnsi="宋体" w:eastAsia="宋体" w:cs="宋体"/>
                <w:b/>
                <w:color w:val="auto"/>
                <w:sz w:val="24"/>
                <w:szCs w:val="24"/>
                <w:highlight w:val="none"/>
              </w:rPr>
            </w:pPr>
          </w:p>
        </w:tc>
        <w:tc>
          <w:tcPr>
            <w:tcW w:w="359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198FF1">
            <w:pPr>
              <w:jc w:val="left"/>
              <w:rPr>
                <w:rFonts w:hint="eastAsia" w:ascii="宋体" w:hAnsi="宋体" w:eastAsia="宋体" w:cs="宋体"/>
                <w:color w:val="auto"/>
                <w:sz w:val="21"/>
                <w:szCs w:val="21"/>
                <w:highlight w:val="none"/>
              </w:rPr>
            </w:pPr>
          </w:p>
        </w:tc>
      </w:tr>
      <w:tr w14:paraId="5937D088">
        <w:tblPrEx>
          <w:tblCellMar>
            <w:top w:w="0" w:type="dxa"/>
            <w:left w:w="0" w:type="dxa"/>
            <w:bottom w:w="0" w:type="dxa"/>
            <w:right w:w="0" w:type="dxa"/>
          </w:tblCellMar>
        </w:tblPrEx>
        <w:trPr>
          <w:trHeight w:val="1429" w:hRule="atLeast"/>
          <w:jc w:val="center"/>
        </w:trPr>
        <w:tc>
          <w:tcPr>
            <w:tcW w:w="9998"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711FD0">
            <w:pPr>
              <w:widowControl/>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 xml:space="preserve">企业签字：                   考核组签字 ：                  </w:t>
            </w:r>
            <w:r>
              <w:rPr>
                <w:rFonts w:hint="eastAsia" w:ascii="宋体" w:hAnsi="宋体" w:eastAsia="宋体" w:cs="宋体"/>
                <w:color w:val="auto"/>
                <w:kern w:val="0"/>
                <w:sz w:val="24"/>
                <w:szCs w:val="24"/>
                <w:highlight w:val="none"/>
                <w:lang w:val="en-US" w:eastAsia="zh-CN"/>
              </w:rPr>
              <w:t xml:space="preserve">       </w:t>
            </w:r>
          </w:p>
          <w:p w14:paraId="54CA4D58">
            <w:pPr>
              <w:widowControl/>
              <w:ind w:firstLine="8160" w:firstLineChars="340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 xml:space="preserve">  </w:t>
            </w:r>
            <w:r>
              <w:rPr>
                <w:rStyle w:val="156"/>
                <w:rFonts w:hint="eastAsia" w:ascii="宋体" w:hAnsi="宋体" w:eastAsia="宋体" w:cs="宋体"/>
                <w:color w:val="auto"/>
                <w:sz w:val="24"/>
                <w:szCs w:val="24"/>
                <w:highlight w:val="none"/>
              </w:rPr>
              <w:t>年</w:t>
            </w:r>
            <w:r>
              <w:rPr>
                <w:rStyle w:val="156"/>
                <w:rFonts w:hint="eastAsia" w:ascii="宋体" w:hAnsi="宋体" w:eastAsia="宋体" w:cs="宋体"/>
                <w:color w:val="auto"/>
                <w:sz w:val="24"/>
                <w:szCs w:val="24"/>
                <w:highlight w:val="none"/>
                <w:lang w:val="en-US" w:eastAsia="zh-CN"/>
              </w:rPr>
              <w:t xml:space="preserve">  </w:t>
            </w:r>
            <w:r>
              <w:rPr>
                <w:rStyle w:val="156"/>
                <w:rFonts w:hint="eastAsia" w:ascii="宋体" w:hAnsi="宋体" w:eastAsia="宋体" w:cs="宋体"/>
                <w:color w:val="auto"/>
                <w:sz w:val="24"/>
                <w:szCs w:val="24"/>
                <w:highlight w:val="none"/>
              </w:rPr>
              <w:t>月</w:t>
            </w:r>
            <w:r>
              <w:rPr>
                <w:rStyle w:val="156"/>
                <w:rFonts w:hint="eastAsia" w:ascii="宋体" w:hAnsi="宋体" w:eastAsia="宋体" w:cs="宋体"/>
                <w:color w:val="auto"/>
                <w:sz w:val="24"/>
                <w:szCs w:val="24"/>
                <w:highlight w:val="none"/>
                <w:lang w:val="en-US" w:eastAsia="zh-CN"/>
              </w:rPr>
              <w:t xml:space="preserve">  </w:t>
            </w:r>
            <w:r>
              <w:rPr>
                <w:rStyle w:val="156"/>
                <w:rFonts w:hint="eastAsia" w:ascii="宋体" w:hAnsi="宋体" w:eastAsia="宋体" w:cs="宋体"/>
                <w:color w:val="auto"/>
                <w:sz w:val="24"/>
                <w:szCs w:val="24"/>
                <w:highlight w:val="none"/>
              </w:rPr>
              <w:t>日</w:t>
            </w:r>
          </w:p>
        </w:tc>
      </w:tr>
    </w:tbl>
    <w:p w14:paraId="2158A4B5">
      <w:pPr>
        <w:pStyle w:val="28"/>
        <w:ind w:left="0" w:leftChars="0" w:firstLine="0" w:firstLineChars="0"/>
        <w:rPr>
          <w:rFonts w:hint="eastAsia" w:ascii="宋体" w:hAnsi="宋体" w:eastAsia="宋体" w:cs="宋体"/>
          <w:color w:val="auto"/>
          <w:sz w:val="32"/>
          <w:szCs w:val="32"/>
          <w:highlight w:val="none"/>
          <w:lang w:val="en-US" w:eastAsia="zh-CN"/>
        </w:rPr>
      </w:pPr>
    </w:p>
    <w:p w14:paraId="30A0BDF8">
      <w:pPr>
        <w:spacing w:before="156" w:beforeLines="50" w:after="156" w:afterLines="50" w:line="312" w:lineRule="auto"/>
        <w:jc w:val="center"/>
        <w:rPr>
          <w:rFonts w:hint="eastAsia" w:ascii="宋体" w:hAnsi="宋体" w:eastAsia="宋体" w:cs="宋体"/>
          <w:b/>
          <w:color w:val="auto"/>
          <w:sz w:val="32"/>
          <w:szCs w:val="32"/>
          <w:highlight w:val="none"/>
        </w:rPr>
      </w:pPr>
    </w:p>
    <w:p w14:paraId="167AEBA4">
      <w:pPr>
        <w:rPr>
          <w:rFonts w:hint="eastAsia" w:ascii="宋体" w:hAnsi="宋体" w:eastAsia="宋体" w:cs="宋体"/>
          <w:color w:val="auto"/>
          <w:highlight w:val="none"/>
        </w:rPr>
      </w:pPr>
    </w:p>
    <w:p w14:paraId="24A277F9">
      <w:pPr>
        <w:pStyle w:val="28"/>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sz w:val="24"/>
          <w:szCs w:val="24"/>
          <w:highlight w:val="none"/>
          <w:lang w:val="en-US" w:eastAsia="zh-CN"/>
        </w:rPr>
        <w:sectPr>
          <w:footerReference r:id="rId8" w:type="default"/>
          <w:pgSz w:w="11906" w:h="16838"/>
          <w:pgMar w:top="1417" w:right="1417" w:bottom="1134" w:left="1417" w:header="680" w:footer="680" w:gutter="0"/>
          <w:pgBorders w:offsetFrom="page">
            <w:top w:val="none" w:sz="0" w:space="0"/>
            <w:left w:val="none" w:sz="0" w:space="0"/>
            <w:bottom w:val="none" w:sz="0" w:space="0"/>
            <w:right w:val="none" w:sz="0" w:space="0"/>
          </w:pgBorders>
          <w:pgNumType w:fmt="decimal"/>
          <w:cols w:space="0" w:num="1"/>
          <w:rtlGutter w:val="0"/>
          <w:docGrid w:type="lines" w:linePitch="318" w:charSpace="0"/>
        </w:sectPr>
      </w:pPr>
    </w:p>
    <w:p w14:paraId="6A88782D">
      <w:pPr>
        <w:keepNext w:val="0"/>
        <w:keepLines w:val="0"/>
        <w:pageBreakBefore/>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工程建设约谈管理规定</w:t>
      </w:r>
    </w:p>
    <w:p w14:paraId="7766AB67">
      <w:pPr>
        <w:keepNext w:val="0"/>
        <w:keepLines w:val="0"/>
        <w:pageBreakBefore w:val="0"/>
        <w:kinsoku/>
        <w:wordWrap/>
        <w:overflowPunct/>
        <w:topLinePunct w:val="0"/>
        <w:autoSpaceDE/>
        <w:autoSpaceDN/>
        <w:bidi w:val="0"/>
        <w:adjustRightInd/>
        <w:snapToGrid/>
        <w:spacing w:line="288" w:lineRule="auto"/>
        <w:ind w:firstLine="413" w:firstLineChars="196"/>
        <w:jc w:val="left"/>
        <w:textAlignment w:val="auto"/>
        <w:outlineLvl w:val="9"/>
        <w:rPr>
          <w:rFonts w:hint="eastAsia" w:ascii="宋体" w:hAnsi="宋体" w:eastAsia="宋体" w:cs="宋体"/>
          <w:b/>
          <w:color w:val="auto"/>
          <w:sz w:val="21"/>
          <w:szCs w:val="21"/>
          <w:highlight w:val="none"/>
        </w:rPr>
      </w:pPr>
    </w:p>
    <w:p w14:paraId="27905D28">
      <w:pPr>
        <w:keepNext w:val="0"/>
        <w:keepLines w:val="0"/>
        <w:pageBreakBefore w:val="0"/>
        <w:kinsoku/>
        <w:wordWrap/>
        <w:overflowPunct/>
        <w:topLinePunct w:val="0"/>
        <w:autoSpaceDE/>
        <w:autoSpaceDN/>
        <w:bidi w:val="0"/>
        <w:adjustRightInd/>
        <w:snapToGrid/>
        <w:spacing w:line="288" w:lineRule="auto"/>
        <w:ind w:firstLine="413" w:firstLineChars="196"/>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第一条</w:t>
      </w:r>
      <w:r>
        <w:rPr>
          <w:rFonts w:hint="eastAsia" w:ascii="宋体" w:hAnsi="宋体" w:eastAsia="宋体" w:cs="宋体"/>
          <w:b/>
          <w:bCs/>
          <w:color w:val="auto"/>
          <w:sz w:val="21"/>
          <w:szCs w:val="21"/>
          <w:highlight w:val="none"/>
        </w:rPr>
        <w:t xml:space="preserve"> </w:t>
      </w:r>
      <w:r>
        <w:rPr>
          <w:rFonts w:hint="eastAsia" w:ascii="宋体" w:hAnsi="宋体" w:eastAsia="宋体" w:cs="宋体"/>
          <w:color w:val="auto"/>
          <w:sz w:val="21"/>
          <w:szCs w:val="21"/>
          <w:highlight w:val="none"/>
        </w:rPr>
        <w:t>为进一步规范工程建设管理约谈行为，加强</w:t>
      </w:r>
      <w:r>
        <w:rPr>
          <w:rFonts w:hint="eastAsia" w:ascii="宋体" w:hAnsi="宋体" w:eastAsia="宋体" w:cs="宋体"/>
          <w:color w:val="auto"/>
          <w:sz w:val="21"/>
          <w:szCs w:val="21"/>
          <w:highlight w:val="none"/>
          <w:lang w:eastAsia="zh-CN"/>
        </w:rPr>
        <w:t>各参建</w:t>
      </w:r>
      <w:r>
        <w:rPr>
          <w:rFonts w:hint="eastAsia" w:ascii="宋体" w:hAnsi="宋体" w:eastAsia="宋体" w:cs="宋体"/>
          <w:color w:val="auto"/>
          <w:sz w:val="21"/>
          <w:szCs w:val="21"/>
          <w:highlight w:val="none"/>
        </w:rPr>
        <w:t>单位履约意识，保障项目建设，制定本规定。</w:t>
      </w:r>
    </w:p>
    <w:p w14:paraId="11BA04A7">
      <w:pPr>
        <w:keepNext w:val="0"/>
        <w:keepLines w:val="0"/>
        <w:pageBreakBefore w:val="0"/>
        <w:kinsoku/>
        <w:wordWrap/>
        <w:overflowPunct/>
        <w:topLinePunct w:val="0"/>
        <w:autoSpaceDE/>
        <w:autoSpaceDN/>
        <w:bidi w:val="0"/>
        <w:adjustRightInd/>
        <w:snapToGrid/>
        <w:spacing w:line="288" w:lineRule="auto"/>
        <w:ind w:firstLine="413"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第二条</w:t>
      </w:r>
      <w:r>
        <w:rPr>
          <w:rFonts w:hint="eastAsia" w:ascii="宋体" w:hAnsi="宋体" w:eastAsia="宋体" w:cs="宋体"/>
          <w:b/>
          <w:bCs/>
          <w:color w:val="auto"/>
          <w:sz w:val="21"/>
          <w:szCs w:val="21"/>
          <w:highlight w:val="none"/>
        </w:rPr>
        <w:t xml:space="preserve"> </w:t>
      </w:r>
      <w:r>
        <w:rPr>
          <w:rFonts w:hint="eastAsia" w:ascii="宋体" w:hAnsi="宋体" w:eastAsia="宋体" w:cs="宋体"/>
          <w:color w:val="auto"/>
          <w:sz w:val="21"/>
          <w:szCs w:val="21"/>
          <w:highlight w:val="none"/>
        </w:rPr>
        <w:t>约谈分为中标人约谈和履约约谈。</w:t>
      </w:r>
    </w:p>
    <w:p w14:paraId="05FB427B">
      <w:pPr>
        <w:keepNext w:val="0"/>
        <w:keepLines w:val="0"/>
        <w:pageBreakBefore w:val="0"/>
        <w:kinsoku/>
        <w:wordWrap/>
        <w:overflowPunct/>
        <w:topLinePunct w:val="0"/>
        <w:autoSpaceDE/>
        <w:autoSpaceDN/>
        <w:bidi w:val="0"/>
        <w:adjustRightInd/>
        <w:snapToGrid/>
        <w:spacing w:line="288"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第三条 </w:t>
      </w:r>
      <w:r>
        <w:rPr>
          <w:rFonts w:hint="eastAsia" w:ascii="宋体" w:hAnsi="宋体" w:eastAsia="宋体" w:cs="宋体"/>
          <w:color w:val="auto"/>
          <w:sz w:val="21"/>
          <w:szCs w:val="21"/>
          <w:highlight w:val="none"/>
        </w:rPr>
        <w:t>中标人约谈是指中标通知书发出后，项目开工前，处相关科室对中标人进行的约谈。履约约谈是指项目管理过程中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处相关科室对中标人进行的约谈。中标人包括勘察、设计、施工、监理</w:t>
      </w:r>
      <w:r>
        <w:rPr>
          <w:rFonts w:hint="eastAsia" w:ascii="宋体" w:hAnsi="宋体" w:eastAsia="宋体" w:cs="宋体"/>
          <w:color w:val="auto"/>
          <w:sz w:val="21"/>
          <w:szCs w:val="21"/>
          <w:highlight w:val="none"/>
          <w:lang w:eastAsia="zh-CN"/>
        </w:rPr>
        <w:t>、跟踪审计</w:t>
      </w:r>
      <w:r>
        <w:rPr>
          <w:rFonts w:hint="eastAsia" w:ascii="宋体" w:hAnsi="宋体" w:eastAsia="宋体" w:cs="宋体"/>
          <w:color w:val="auto"/>
          <w:sz w:val="21"/>
          <w:szCs w:val="21"/>
          <w:highlight w:val="none"/>
        </w:rPr>
        <w:t>及重要设备（材料）供货商等相关单位</w:t>
      </w:r>
      <w:r>
        <w:rPr>
          <w:rFonts w:hint="eastAsia" w:ascii="宋体" w:hAnsi="宋体" w:eastAsia="宋体" w:cs="宋体"/>
          <w:color w:val="auto"/>
          <w:sz w:val="21"/>
          <w:szCs w:val="21"/>
          <w:highlight w:val="none"/>
          <w:lang w:eastAsia="zh-CN"/>
        </w:rPr>
        <w:t>（以下简称“被约谈单位”）</w:t>
      </w:r>
      <w:r>
        <w:rPr>
          <w:rFonts w:hint="eastAsia" w:ascii="宋体" w:hAnsi="宋体" w:eastAsia="宋体" w:cs="宋体"/>
          <w:color w:val="auto"/>
          <w:sz w:val="21"/>
          <w:szCs w:val="21"/>
          <w:highlight w:val="none"/>
        </w:rPr>
        <w:t xml:space="preserve">。 </w:t>
      </w:r>
    </w:p>
    <w:p w14:paraId="5F70878A">
      <w:pPr>
        <w:pStyle w:val="18"/>
        <w:keepNext w:val="0"/>
        <w:keepLines w:val="0"/>
        <w:pageBreakBefore w:val="0"/>
        <w:kinsoku/>
        <w:wordWrap/>
        <w:overflowPunct/>
        <w:topLinePunct w:val="0"/>
        <w:autoSpaceDE/>
        <w:autoSpaceDN/>
        <w:bidi w:val="0"/>
        <w:adjustRightInd/>
        <w:snapToGrid/>
        <w:spacing w:line="288"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第四条</w:t>
      </w:r>
      <w:r>
        <w:rPr>
          <w:rFonts w:hint="eastAsia" w:ascii="宋体" w:hAnsi="宋体" w:eastAsia="宋体" w:cs="宋体"/>
          <w:bCs/>
          <w:color w:val="auto"/>
          <w:sz w:val="21"/>
          <w:szCs w:val="21"/>
          <w:highlight w:val="none"/>
        </w:rPr>
        <w:t xml:space="preserve"> </w:t>
      </w:r>
      <w:r>
        <w:rPr>
          <w:rFonts w:hint="eastAsia" w:ascii="宋体" w:hAnsi="宋体" w:eastAsia="宋体" w:cs="宋体"/>
          <w:color w:val="auto"/>
          <w:sz w:val="21"/>
          <w:szCs w:val="21"/>
          <w:highlight w:val="none"/>
        </w:rPr>
        <w:t>中标人约谈由综合计划科牵头，</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分管领导、工程</w:t>
      </w:r>
      <w:r>
        <w:rPr>
          <w:rFonts w:hint="eastAsia" w:ascii="宋体" w:hAnsi="宋体" w:eastAsia="宋体" w:cs="宋体"/>
          <w:color w:val="auto"/>
          <w:sz w:val="21"/>
          <w:szCs w:val="21"/>
          <w:highlight w:val="none"/>
          <w:lang w:eastAsia="zh-CN"/>
        </w:rPr>
        <w:t>建设</w:t>
      </w:r>
      <w:r>
        <w:rPr>
          <w:rFonts w:hint="eastAsia" w:ascii="宋体" w:hAnsi="宋体" w:eastAsia="宋体" w:cs="宋体"/>
          <w:color w:val="auto"/>
          <w:sz w:val="21"/>
          <w:szCs w:val="21"/>
          <w:highlight w:val="none"/>
        </w:rPr>
        <w:t>科、监管科、协调科、财务科、党办等相关科室参加，</w:t>
      </w:r>
      <w:r>
        <w:rPr>
          <w:rFonts w:hint="eastAsia" w:ascii="宋体" w:hAnsi="宋体" w:eastAsia="宋体" w:cs="宋体"/>
          <w:color w:val="auto"/>
          <w:sz w:val="21"/>
          <w:szCs w:val="21"/>
          <w:highlight w:val="none"/>
          <w:lang w:eastAsia="zh-CN"/>
        </w:rPr>
        <w:t>特殊</w:t>
      </w:r>
      <w:r>
        <w:rPr>
          <w:rFonts w:hint="eastAsia" w:ascii="宋体" w:hAnsi="宋体" w:eastAsia="宋体" w:cs="宋体"/>
          <w:color w:val="auto"/>
          <w:sz w:val="21"/>
          <w:szCs w:val="21"/>
          <w:highlight w:val="none"/>
        </w:rPr>
        <w:t>项目邀请纪检组参加</w:t>
      </w:r>
      <w:r>
        <w:rPr>
          <w:rStyle w:val="58"/>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履约约谈由处职能科室牵头，在项目管理过程中</w:t>
      </w:r>
      <w:r>
        <w:rPr>
          <w:rFonts w:hint="eastAsia" w:ascii="宋体" w:hAnsi="宋体" w:eastAsia="宋体" w:cs="宋体"/>
          <w:bCs/>
          <w:color w:val="auto"/>
          <w:sz w:val="21"/>
          <w:szCs w:val="21"/>
          <w:highlight w:val="none"/>
        </w:rPr>
        <w:t>对承包人（</w:t>
      </w:r>
      <w:r>
        <w:rPr>
          <w:rFonts w:hint="eastAsia" w:ascii="宋体" w:hAnsi="宋体" w:eastAsia="宋体" w:cs="宋体"/>
          <w:bCs/>
          <w:color w:val="auto"/>
          <w:sz w:val="21"/>
          <w:szCs w:val="21"/>
          <w:highlight w:val="none"/>
          <w:lang w:eastAsia="zh-CN"/>
        </w:rPr>
        <w:t>受</w:t>
      </w:r>
      <w:r>
        <w:rPr>
          <w:rFonts w:hint="eastAsia" w:ascii="宋体" w:hAnsi="宋体" w:eastAsia="宋体" w:cs="宋体"/>
          <w:bCs/>
          <w:color w:val="auto"/>
          <w:sz w:val="21"/>
          <w:szCs w:val="21"/>
          <w:highlight w:val="none"/>
        </w:rPr>
        <w:t>托人）进行的</w:t>
      </w:r>
      <w:r>
        <w:rPr>
          <w:rFonts w:hint="eastAsia" w:ascii="宋体" w:hAnsi="宋体" w:eastAsia="宋体" w:cs="宋体"/>
          <w:color w:val="auto"/>
          <w:sz w:val="21"/>
          <w:szCs w:val="21"/>
          <w:highlight w:val="none"/>
        </w:rPr>
        <w:t>提醒、警告等形式</w:t>
      </w:r>
      <w:r>
        <w:rPr>
          <w:rFonts w:hint="eastAsia" w:ascii="宋体" w:hAnsi="宋体" w:eastAsia="宋体" w:cs="宋体"/>
          <w:color w:val="auto"/>
          <w:sz w:val="21"/>
          <w:szCs w:val="21"/>
          <w:highlight w:val="none"/>
          <w:lang w:eastAsia="zh-CN"/>
        </w:rPr>
        <w:t>的约谈</w:t>
      </w:r>
      <w:r>
        <w:rPr>
          <w:rFonts w:hint="eastAsia" w:ascii="宋体" w:hAnsi="宋体" w:eastAsia="宋体" w:cs="宋体"/>
          <w:color w:val="auto"/>
          <w:sz w:val="21"/>
          <w:szCs w:val="21"/>
          <w:highlight w:val="none"/>
        </w:rPr>
        <w:t>。</w:t>
      </w:r>
    </w:p>
    <w:p w14:paraId="6FCE4B24">
      <w:pPr>
        <w:pStyle w:val="18"/>
        <w:keepNext w:val="0"/>
        <w:keepLines w:val="0"/>
        <w:pageBreakBefore w:val="0"/>
        <w:kinsoku/>
        <w:wordWrap/>
        <w:overflowPunct/>
        <w:topLinePunct w:val="0"/>
        <w:autoSpaceDE/>
        <w:autoSpaceDN/>
        <w:bidi w:val="0"/>
        <w:adjustRightInd/>
        <w:snapToGrid/>
        <w:spacing w:line="288"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第五条</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被</w:t>
      </w:r>
      <w:r>
        <w:rPr>
          <w:rFonts w:hint="eastAsia" w:ascii="宋体" w:hAnsi="宋体" w:eastAsia="宋体" w:cs="宋体"/>
          <w:color w:val="auto"/>
          <w:sz w:val="21"/>
          <w:szCs w:val="21"/>
          <w:highlight w:val="none"/>
          <w:lang w:eastAsia="zh-CN"/>
        </w:rPr>
        <w:t>约谈单位需</w:t>
      </w:r>
      <w:r>
        <w:rPr>
          <w:rFonts w:hint="eastAsia" w:ascii="宋体" w:hAnsi="宋体" w:eastAsia="宋体" w:cs="宋体"/>
          <w:color w:val="auto"/>
          <w:sz w:val="21"/>
          <w:szCs w:val="21"/>
          <w:highlight w:val="none"/>
        </w:rPr>
        <w:t>法定代表人或</w:t>
      </w:r>
      <w:r>
        <w:rPr>
          <w:rFonts w:hint="eastAsia" w:ascii="宋体" w:hAnsi="宋体" w:eastAsia="宋体" w:cs="宋体"/>
          <w:color w:val="auto"/>
          <w:sz w:val="21"/>
          <w:szCs w:val="21"/>
          <w:highlight w:val="none"/>
          <w:lang w:eastAsia="zh-CN"/>
        </w:rPr>
        <w:t>企业</w:t>
      </w:r>
      <w:r>
        <w:rPr>
          <w:rFonts w:hint="eastAsia" w:ascii="宋体" w:hAnsi="宋体" w:eastAsia="宋体" w:cs="宋体"/>
          <w:color w:val="auto"/>
          <w:sz w:val="21"/>
          <w:szCs w:val="21"/>
          <w:highlight w:val="none"/>
        </w:rPr>
        <w:t>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项目负责人</w:t>
      </w:r>
      <w:r>
        <w:rPr>
          <w:rFonts w:hint="eastAsia" w:ascii="宋体" w:hAnsi="宋体" w:eastAsia="宋体" w:cs="宋体"/>
          <w:color w:val="auto"/>
          <w:sz w:val="21"/>
          <w:szCs w:val="21"/>
          <w:highlight w:val="none"/>
          <w:lang w:eastAsia="zh-CN"/>
        </w:rPr>
        <w:t>和</w:t>
      </w:r>
      <w:r>
        <w:rPr>
          <w:rFonts w:hint="eastAsia" w:ascii="宋体" w:hAnsi="宋体" w:eastAsia="宋体" w:cs="宋体"/>
          <w:color w:val="auto"/>
          <w:sz w:val="21"/>
          <w:szCs w:val="21"/>
          <w:highlight w:val="none"/>
        </w:rPr>
        <w:t>项目技术负责人等携带有效</w:t>
      </w:r>
      <w:r>
        <w:rPr>
          <w:rFonts w:hint="eastAsia" w:ascii="宋体" w:hAnsi="宋体" w:eastAsia="宋体" w:cs="宋体"/>
          <w:color w:val="auto"/>
          <w:sz w:val="21"/>
          <w:szCs w:val="21"/>
          <w:highlight w:val="none"/>
          <w:lang w:eastAsia="zh-CN"/>
        </w:rPr>
        <w:t>身份</w:t>
      </w:r>
      <w:r>
        <w:rPr>
          <w:rFonts w:hint="eastAsia" w:ascii="宋体" w:hAnsi="宋体" w:eastAsia="宋体" w:cs="宋体"/>
          <w:color w:val="auto"/>
          <w:sz w:val="21"/>
          <w:szCs w:val="21"/>
          <w:highlight w:val="none"/>
        </w:rPr>
        <w:t>证件参加约谈，</w:t>
      </w:r>
      <w:r>
        <w:rPr>
          <w:rFonts w:hint="eastAsia" w:ascii="宋体" w:hAnsi="宋体" w:eastAsia="宋体" w:cs="宋体"/>
          <w:color w:val="auto"/>
          <w:sz w:val="21"/>
          <w:szCs w:val="21"/>
          <w:highlight w:val="none"/>
          <w:lang w:eastAsia="zh-CN"/>
        </w:rPr>
        <w:t>企业</w:t>
      </w:r>
      <w:r>
        <w:rPr>
          <w:rFonts w:hint="eastAsia" w:ascii="宋体" w:hAnsi="宋体" w:eastAsia="宋体" w:cs="宋体"/>
          <w:color w:val="auto"/>
          <w:sz w:val="21"/>
          <w:szCs w:val="21"/>
          <w:highlight w:val="none"/>
        </w:rPr>
        <w:t>负责人</w:t>
      </w:r>
      <w:r>
        <w:rPr>
          <w:rFonts w:hint="eastAsia" w:ascii="宋体" w:hAnsi="宋体" w:eastAsia="宋体" w:cs="宋体"/>
          <w:color w:val="auto"/>
          <w:sz w:val="21"/>
          <w:szCs w:val="21"/>
          <w:highlight w:val="none"/>
          <w:lang w:eastAsia="zh-CN"/>
        </w:rPr>
        <w:t>还</w:t>
      </w:r>
      <w:r>
        <w:rPr>
          <w:rFonts w:hint="eastAsia" w:ascii="宋体" w:hAnsi="宋体" w:eastAsia="宋体" w:cs="宋体"/>
          <w:color w:val="auto"/>
          <w:sz w:val="21"/>
          <w:szCs w:val="21"/>
          <w:highlight w:val="none"/>
        </w:rPr>
        <w:t>需携带公司授权委托书</w:t>
      </w:r>
      <w:r>
        <w:rPr>
          <w:rFonts w:hint="eastAsia" w:ascii="宋体" w:hAnsi="宋体" w:eastAsia="宋体" w:cs="宋体"/>
          <w:color w:val="auto"/>
          <w:sz w:val="21"/>
          <w:szCs w:val="21"/>
          <w:highlight w:val="none"/>
          <w:lang w:eastAsia="zh-CN"/>
        </w:rPr>
        <w:t>和职务证明</w:t>
      </w:r>
      <w:r>
        <w:rPr>
          <w:rFonts w:hint="eastAsia" w:ascii="宋体" w:hAnsi="宋体" w:eastAsia="宋体" w:cs="宋体"/>
          <w:color w:val="auto"/>
          <w:sz w:val="21"/>
          <w:szCs w:val="21"/>
          <w:highlight w:val="none"/>
        </w:rPr>
        <w:t>文件。</w:t>
      </w:r>
    </w:p>
    <w:p w14:paraId="0F93C434">
      <w:pPr>
        <w:pStyle w:val="18"/>
        <w:keepNext w:val="0"/>
        <w:keepLines w:val="0"/>
        <w:pageBreakBefore w:val="0"/>
        <w:kinsoku/>
        <w:wordWrap/>
        <w:overflowPunct/>
        <w:topLinePunct w:val="0"/>
        <w:autoSpaceDE/>
        <w:autoSpaceDN/>
        <w:bidi w:val="0"/>
        <w:adjustRightInd/>
        <w:snapToGrid/>
        <w:spacing w:line="288" w:lineRule="auto"/>
        <w:ind w:firstLine="422"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eastAsia="zh-CN"/>
        </w:rPr>
        <w:t>六</w:t>
      </w:r>
      <w:r>
        <w:rPr>
          <w:rFonts w:hint="eastAsia" w:ascii="宋体" w:hAnsi="宋体" w:eastAsia="宋体" w:cs="宋体"/>
          <w:b/>
          <w:color w:val="auto"/>
          <w:sz w:val="21"/>
          <w:szCs w:val="21"/>
          <w:highlight w:val="none"/>
        </w:rPr>
        <w:t xml:space="preserve">条 </w:t>
      </w:r>
      <w:r>
        <w:rPr>
          <w:rFonts w:hint="eastAsia" w:ascii="宋体" w:hAnsi="宋体" w:eastAsia="宋体" w:cs="宋体"/>
          <w:color w:val="auto"/>
          <w:sz w:val="21"/>
          <w:szCs w:val="21"/>
          <w:highlight w:val="none"/>
        </w:rPr>
        <w:t>履约约谈</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情形</w:t>
      </w:r>
      <w:r>
        <w:rPr>
          <w:rFonts w:hint="eastAsia" w:ascii="宋体" w:hAnsi="宋体" w:eastAsia="宋体" w:cs="宋体"/>
          <w:color w:val="auto"/>
          <w:sz w:val="21"/>
          <w:szCs w:val="21"/>
          <w:highlight w:val="none"/>
          <w:lang w:eastAsia="zh-CN"/>
        </w:rPr>
        <w:t>：</w:t>
      </w:r>
    </w:p>
    <w:p w14:paraId="667E7980">
      <w:pPr>
        <w:pStyle w:val="18"/>
        <w:keepNext w:val="0"/>
        <w:keepLines w:val="0"/>
        <w:pageBreakBefore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（一）人员</w:t>
      </w:r>
      <w:r>
        <w:rPr>
          <w:rFonts w:hint="eastAsia" w:ascii="宋体" w:hAnsi="宋体" w:eastAsia="宋体" w:cs="宋体"/>
          <w:color w:val="auto"/>
          <w:sz w:val="21"/>
          <w:szCs w:val="21"/>
          <w:highlight w:val="none"/>
        </w:rPr>
        <w:t>到岗、履责</w:t>
      </w:r>
      <w:r>
        <w:rPr>
          <w:rFonts w:hint="eastAsia" w:ascii="宋体" w:hAnsi="宋体" w:eastAsia="宋体" w:cs="宋体"/>
          <w:bCs/>
          <w:color w:val="auto"/>
          <w:sz w:val="21"/>
          <w:szCs w:val="21"/>
          <w:highlight w:val="none"/>
        </w:rPr>
        <w:t>不符合要求的；</w:t>
      </w:r>
    </w:p>
    <w:p w14:paraId="57871364">
      <w:pPr>
        <w:keepNext w:val="0"/>
        <w:keepLines w:val="0"/>
        <w:pageBreakBefore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（二）不配合办理项目建设手续的；</w:t>
      </w:r>
    </w:p>
    <w:p w14:paraId="095441F5">
      <w:pPr>
        <w:pStyle w:val="18"/>
        <w:keepNext w:val="0"/>
        <w:keepLines w:val="0"/>
        <w:pageBreakBefore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（三）出现质量安全隐患整改</w:t>
      </w:r>
      <w:r>
        <w:rPr>
          <w:rFonts w:hint="eastAsia" w:ascii="宋体" w:hAnsi="宋体" w:eastAsia="宋体" w:cs="宋体"/>
          <w:color w:val="auto"/>
          <w:sz w:val="21"/>
          <w:szCs w:val="21"/>
          <w:highlight w:val="none"/>
        </w:rPr>
        <w:t>不及时、不到位的</w:t>
      </w:r>
      <w:r>
        <w:rPr>
          <w:rFonts w:hint="eastAsia" w:ascii="宋体" w:hAnsi="宋体" w:eastAsia="宋体" w:cs="宋体"/>
          <w:bCs/>
          <w:color w:val="auto"/>
          <w:sz w:val="21"/>
          <w:szCs w:val="21"/>
          <w:highlight w:val="none"/>
        </w:rPr>
        <w:t>；</w:t>
      </w:r>
    </w:p>
    <w:p w14:paraId="6C8230F7">
      <w:pPr>
        <w:pStyle w:val="18"/>
        <w:keepNext w:val="0"/>
        <w:keepLines w:val="0"/>
        <w:pageBreakBefore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（四）施工现场不服从调度或工程进度</w:t>
      </w:r>
      <w:r>
        <w:rPr>
          <w:rFonts w:hint="eastAsia" w:ascii="宋体" w:hAnsi="宋体" w:eastAsia="宋体" w:cs="宋体"/>
          <w:color w:val="auto"/>
          <w:sz w:val="21"/>
          <w:szCs w:val="21"/>
          <w:highlight w:val="none"/>
        </w:rPr>
        <w:t>滞后</w:t>
      </w:r>
      <w:r>
        <w:rPr>
          <w:rFonts w:hint="eastAsia" w:ascii="宋体" w:hAnsi="宋体" w:eastAsia="宋体" w:cs="宋体"/>
          <w:bCs/>
          <w:color w:val="auto"/>
          <w:sz w:val="21"/>
          <w:szCs w:val="21"/>
          <w:highlight w:val="none"/>
        </w:rPr>
        <w:t>，严重影响工期的；</w:t>
      </w:r>
    </w:p>
    <w:p w14:paraId="3C76AFD0">
      <w:pPr>
        <w:keepNext w:val="0"/>
        <w:keepLines w:val="0"/>
        <w:pageBreakBefore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（五）出现质量安全事故的；</w:t>
      </w:r>
    </w:p>
    <w:p w14:paraId="6966865A">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（六）拖欠农民工工资或因工资、材料款</w:t>
      </w:r>
      <w:r>
        <w:rPr>
          <w:rFonts w:hint="eastAsia" w:ascii="宋体" w:hAnsi="宋体" w:eastAsia="宋体" w:cs="宋体"/>
          <w:color w:val="auto"/>
          <w:sz w:val="21"/>
          <w:szCs w:val="21"/>
          <w:highlight w:val="none"/>
        </w:rPr>
        <w:t>原因</w:t>
      </w:r>
      <w:r>
        <w:rPr>
          <w:rFonts w:hint="eastAsia" w:ascii="宋体" w:hAnsi="宋体" w:eastAsia="宋体" w:cs="宋体"/>
          <w:bCs/>
          <w:color w:val="auto"/>
          <w:sz w:val="21"/>
          <w:szCs w:val="21"/>
          <w:highlight w:val="none"/>
        </w:rPr>
        <w:t>等造成一定影响的</w:t>
      </w:r>
      <w:r>
        <w:rPr>
          <w:rFonts w:hint="eastAsia" w:ascii="宋体" w:hAnsi="宋体" w:eastAsia="宋体" w:cs="宋体"/>
          <w:bCs/>
          <w:color w:val="auto"/>
          <w:sz w:val="21"/>
          <w:szCs w:val="21"/>
          <w:highlight w:val="none"/>
          <w:lang w:eastAsia="zh-CN"/>
        </w:rPr>
        <w:t>或</w:t>
      </w:r>
      <w:r>
        <w:rPr>
          <w:rFonts w:hint="eastAsia" w:ascii="宋体" w:hAnsi="宋体" w:eastAsia="宋体" w:cs="宋体"/>
          <w:bCs/>
          <w:color w:val="auto"/>
          <w:sz w:val="21"/>
          <w:szCs w:val="21"/>
          <w:highlight w:val="none"/>
        </w:rPr>
        <w:t>出现群访事件处理不及时的；</w:t>
      </w:r>
    </w:p>
    <w:p w14:paraId="2F1EA6D6">
      <w:pPr>
        <w:pStyle w:val="2"/>
        <w:keepNext w:val="0"/>
        <w:keepLines w:val="0"/>
        <w:pageBreakBefore w:val="0"/>
        <w:kinsoku/>
        <w:wordWrap/>
        <w:overflowPunct/>
        <w:topLinePunct w:val="0"/>
        <w:autoSpaceDE/>
        <w:autoSpaceDN/>
        <w:bidi w:val="0"/>
        <w:adjustRightInd/>
        <w:snapToGrid/>
        <w:spacing w:line="288" w:lineRule="auto"/>
        <w:ind w:left="0" w:leftChars="0" w:firstLine="64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（七）工程竣工半年(含)以上经多次催促未完成竣工结算的；</w:t>
      </w:r>
    </w:p>
    <w:p w14:paraId="7AC50F1D">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（八）未按合同期限按时移交的；</w:t>
      </w:r>
    </w:p>
    <w:p w14:paraId="358521D0">
      <w:pPr>
        <w:pStyle w:val="2"/>
        <w:keepNext w:val="0"/>
        <w:keepLines w:val="0"/>
        <w:pageBreakBefore w:val="0"/>
        <w:kinsoku/>
        <w:wordWrap/>
        <w:overflowPunct/>
        <w:topLinePunct w:val="0"/>
        <w:autoSpaceDE/>
        <w:autoSpaceDN/>
        <w:bidi w:val="0"/>
        <w:adjustRightInd/>
        <w:snapToGrid/>
        <w:spacing w:line="288" w:lineRule="auto"/>
        <w:ind w:left="0" w:leftChars="0" w:firstLine="64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（九）不按规定提供工程资料造成不能归档的或归档不及时的；</w:t>
      </w:r>
    </w:p>
    <w:p w14:paraId="7B75D8F3">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（十）其他情形。</w:t>
      </w:r>
    </w:p>
    <w:p w14:paraId="679463FE">
      <w:pPr>
        <w:keepNext w:val="0"/>
        <w:keepLines w:val="0"/>
        <w:pageBreakBefore w:val="0"/>
        <w:kinsoku/>
        <w:wordWrap/>
        <w:overflowPunct/>
        <w:topLinePunct w:val="0"/>
        <w:autoSpaceDE/>
        <w:autoSpaceDN/>
        <w:bidi w:val="0"/>
        <w:adjustRightInd/>
        <w:snapToGrid/>
        <w:spacing w:line="288" w:lineRule="auto"/>
        <w:ind w:firstLine="422"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eastAsia="zh-CN"/>
        </w:rPr>
        <w:t>七</w:t>
      </w:r>
      <w:r>
        <w:rPr>
          <w:rFonts w:hint="eastAsia" w:ascii="宋体" w:hAnsi="宋体" w:eastAsia="宋体" w:cs="宋体"/>
          <w:b/>
          <w:color w:val="auto"/>
          <w:sz w:val="21"/>
          <w:szCs w:val="21"/>
          <w:highlight w:val="none"/>
        </w:rPr>
        <w:t xml:space="preserve">条 </w:t>
      </w:r>
      <w:r>
        <w:rPr>
          <w:rFonts w:hint="eastAsia" w:ascii="宋体" w:hAnsi="宋体" w:eastAsia="宋体" w:cs="宋体"/>
          <w:bCs/>
          <w:color w:val="auto"/>
          <w:sz w:val="21"/>
          <w:szCs w:val="21"/>
          <w:highlight w:val="none"/>
        </w:rPr>
        <w:t>罚则</w:t>
      </w:r>
    </w:p>
    <w:p w14:paraId="540206E2">
      <w:pPr>
        <w:pStyle w:val="18"/>
        <w:keepNext w:val="0"/>
        <w:keepLines w:val="0"/>
        <w:pageBreakBefore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bCs/>
          <w:color w:val="auto"/>
          <w:sz w:val="21"/>
          <w:szCs w:val="21"/>
          <w:highlight w:val="none"/>
        </w:rPr>
        <w:t>未经批准</w:t>
      </w:r>
      <w:r>
        <w:rPr>
          <w:rFonts w:hint="eastAsia" w:ascii="宋体" w:hAnsi="宋体" w:eastAsia="宋体" w:cs="宋体"/>
          <w:bCs/>
          <w:color w:val="auto"/>
          <w:sz w:val="21"/>
          <w:szCs w:val="21"/>
          <w:highlight w:val="none"/>
          <w:lang w:eastAsia="zh-CN"/>
        </w:rPr>
        <w:t>不</w:t>
      </w:r>
      <w:r>
        <w:rPr>
          <w:rFonts w:hint="eastAsia" w:ascii="宋体" w:hAnsi="宋体" w:eastAsia="宋体" w:cs="宋体"/>
          <w:bCs/>
          <w:color w:val="auto"/>
          <w:sz w:val="21"/>
          <w:szCs w:val="21"/>
          <w:highlight w:val="none"/>
        </w:rPr>
        <w:t>按规定参加中标约谈的，取消中标资格，</w:t>
      </w:r>
      <w:r>
        <w:rPr>
          <w:rFonts w:hint="eastAsia" w:ascii="宋体" w:hAnsi="宋体" w:eastAsia="宋体" w:cs="宋体"/>
          <w:color w:val="auto"/>
          <w:sz w:val="21"/>
          <w:szCs w:val="21"/>
          <w:highlight w:val="none"/>
        </w:rPr>
        <w:t>投标保证金</w:t>
      </w:r>
      <w:r>
        <w:rPr>
          <w:rFonts w:hint="eastAsia" w:ascii="宋体" w:hAnsi="宋体" w:eastAsia="宋体" w:cs="宋体"/>
          <w:color w:val="auto"/>
          <w:sz w:val="21"/>
          <w:szCs w:val="21"/>
          <w:highlight w:val="none"/>
          <w:lang w:eastAsia="zh-CN"/>
        </w:rPr>
        <w:t>不予退还</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情节严重的，提请建设、招标等行政主管部门依法查处。</w:t>
      </w:r>
    </w:p>
    <w:p w14:paraId="048619D5">
      <w:pPr>
        <w:keepNext w:val="0"/>
        <w:keepLines w:val="0"/>
        <w:pageBreakBefore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（二）未经批准</w:t>
      </w:r>
      <w:r>
        <w:rPr>
          <w:rFonts w:hint="eastAsia" w:ascii="宋体" w:hAnsi="宋体" w:eastAsia="宋体" w:cs="宋体"/>
          <w:color w:val="auto"/>
          <w:sz w:val="21"/>
          <w:szCs w:val="21"/>
          <w:highlight w:val="none"/>
          <w:lang w:eastAsia="zh-CN"/>
        </w:rPr>
        <w:t>不</w:t>
      </w:r>
      <w:r>
        <w:rPr>
          <w:rFonts w:hint="eastAsia" w:ascii="宋体" w:hAnsi="宋体" w:eastAsia="宋体" w:cs="宋体"/>
          <w:color w:val="auto"/>
          <w:sz w:val="21"/>
          <w:szCs w:val="21"/>
          <w:highlight w:val="none"/>
        </w:rPr>
        <w:t>按规定参加履约约谈</w:t>
      </w:r>
      <w:r>
        <w:rPr>
          <w:rFonts w:hint="eastAsia" w:ascii="宋体" w:hAnsi="宋体" w:eastAsia="宋体" w:cs="宋体"/>
          <w:bCs/>
          <w:color w:val="auto"/>
          <w:sz w:val="21"/>
          <w:szCs w:val="21"/>
          <w:highlight w:val="none"/>
        </w:rPr>
        <w:t>的或</w:t>
      </w:r>
      <w:r>
        <w:rPr>
          <w:rFonts w:hint="eastAsia" w:ascii="宋体" w:hAnsi="宋体" w:eastAsia="宋体" w:cs="宋体"/>
          <w:color w:val="auto"/>
          <w:sz w:val="21"/>
          <w:szCs w:val="21"/>
          <w:highlight w:val="none"/>
        </w:rPr>
        <w:t>约谈后未按要求整改的</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限期内整改</w:t>
      </w:r>
      <w:r>
        <w:rPr>
          <w:rFonts w:hint="eastAsia" w:ascii="宋体" w:hAnsi="宋体" w:eastAsia="宋体" w:cs="宋体"/>
          <w:color w:val="auto"/>
          <w:sz w:val="21"/>
          <w:szCs w:val="21"/>
          <w:highlight w:val="none"/>
          <w:lang w:eastAsia="zh-CN"/>
        </w:rPr>
        <w:t>不到位</w:t>
      </w:r>
      <w:r>
        <w:rPr>
          <w:rFonts w:hint="eastAsia" w:ascii="宋体" w:hAnsi="宋体" w:eastAsia="宋体" w:cs="宋体"/>
          <w:color w:val="auto"/>
          <w:sz w:val="21"/>
          <w:szCs w:val="21"/>
          <w:highlight w:val="none"/>
        </w:rPr>
        <w:t>的，情节严重的，提请建设、招标等行政主管部门依法查处。</w:t>
      </w:r>
    </w:p>
    <w:p w14:paraId="622EA70E">
      <w:pPr>
        <w:keepNext w:val="0"/>
        <w:keepLines w:val="0"/>
        <w:pageBreakBefore w:val="0"/>
        <w:kinsoku/>
        <w:wordWrap/>
        <w:overflowPunct/>
        <w:topLinePunct w:val="0"/>
        <w:autoSpaceDE/>
        <w:autoSpaceDN/>
        <w:bidi w:val="0"/>
        <w:adjustRightInd/>
        <w:snapToGrid/>
        <w:spacing w:line="288"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val="0"/>
          <w:color w:val="auto"/>
          <w:sz w:val="21"/>
          <w:szCs w:val="21"/>
          <w:highlight w:val="none"/>
        </w:rPr>
        <w:t>第</w:t>
      </w:r>
      <w:r>
        <w:rPr>
          <w:rFonts w:hint="eastAsia" w:ascii="宋体" w:hAnsi="宋体" w:eastAsia="宋体" w:cs="宋体"/>
          <w:b/>
          <w:bCs w:val="0"/>
          <w:color w:val="auto"/>
          <w:sz w:val="21"/>
          <w:szCs w:val="21"/>
          <w:highlight w:val="none"/>
          <w:lang w:eastAsia="zh-CN"/>
        </w:rPr>
        <w:t>八</w:t>
      </w:r>
      <w:r>
        <w:rPr>
          <w:rFonts w:hint="eastAsia" w:ascii="宋体" w:hAnsi="宋体" w:eastAsia="宋体" w:cs="宋体"/>
          <w:b/>
          <w:bCs w:val="0"/>
          <w:color w:val="auto"/>
          <w:sz w:val="21"/>
          <w:szCs w:val="21"/>
          <w:highlight w:val="none"/>
        </w:rPr>
        <w:t>条</w:t>
      </w:r>
      <w:r>
        <w:rPr>
          <w:rFonts w:hint="eastAsia" w:ascii="宋体" w:hAnsi="宋体" w:eastAsia="宋体" w:cs="宋体"/>
          <w:b/>
          <w:bCs/>
          <w:color w:val="auto"/>
          <w:sz w:val="21"/>
          <w:szCs w:val="21"/>
          <w:highlight w:val="none"/>
        </w:rPr>
        <w:t xml:space="preserve"> </w:t>
      </w:r>
      <w:r>
        <w:rPr>
          <w:rFonts w:hint="eastAsia" w:ascii="宋体" w:hAnsi="宋体" w:eastAsia="宋体" w:cs="宋体"/>
          <w:color w:val="auto"/>
          <w:sz w:val="21"/>
          <w:szCs w:val="21"/>
          <w:highlight w:val="none"/>
        </w:rPr>
        <w:t>本规定自发布之日起施行</w:t>
      </w:r>
      <w:r>
        <w:rPr>
          <w:rFonts w:hint="eastAsia" w:ascii="宋体" w:hAnsi="宋体" w:eastAsia="宋体" w:cs="宋体"/>
          <w:color w:val="auto"/>
          <w:sz w:val="21"/>
          <w:szCs w:val="21"/>
          <w:highlight w:val="none"/>
          <w:lang w:eastAsia="zh-CN"/>
        </w:rPr>
        <w:t>，处属各中心参照执行</w:t>
      </w:r>
      <w:r>
        <w:rPr>
          <w:rFonts w:hint="eastAsia" w:ascii="宋体" w:hAnsi="宋体" w:eastAsia="宋体" w:cs="宋体"/>
          <w:color w:val="auto"/>
          <w:sz w:val="21"/>
          <w:szCs w:val="21"/>
          <w:highlight w:val="none"/>
        </w:rPr>
        <w:t>。</w:t>
      </w:r>
    </w:p>
    <w:p w14:paraId="2A5D12A8">
      <w:pPr>
        <w:pStyle w:val="28"/>
        <w:keepNext w:val="0"/>
        <w:keepLines w:val="0"/>
        <w:pageBreakBefore w:val="0"/>
        <w:kinsoku/>
        <w:wordWrap/>
        <w:overflowPunct/>
        <w:topLinePunct w:val="0"/>
        <w:autoSpaceDE/>
        <w:autoSpaceDN/>
        <w:bidi w:val="0"/>
        <w:adjustRightInd/>
        <w:snapToGrid/>
        <w:spacing w:line="288"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附件：到岗履责承诺书</w:t>
      </w:r>
    </w:p>
    <w:p w14:paraId="2114E40B">
      <w:pPr>
        <w:keepNext w:val="0"/>
        <w:keepLines w:val="0"/>
        <w:pageBreakBefore/>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rPr>
        <w:t>到岗履责承诺书</w:t>
      </w:r>
    </w:p>
    <w:p w14:paraId="4B3B6941">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p>
    <w:p w14:paraId="465A1363">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本人被任命为</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工程</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岗位职务，本人保证能到岗到位，履行岗位管理职责，并做如下郑重承诺：</w:t>
      </w:r>
    </w:p>
    <w:p w14:paraId="2C492056">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一、按本项目招标文件及滁州市相关文件等要求，若不能按要求到岗，同意接受处罚；</w:t>
      </w:r>
    </w:p>
    <w:p w14:paraId="7D49E88B">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二、本人按招、投标文件的承诺等，履行相关法律、法规、规范和合同约定的义务；否则，按有关法律、法规和重点</w:t>
      </w:r>
      <w:r>
        <w:rPr>
          <w:rFonts w:hint="eastAsia" w:ascii="宋体" w:hAnsi="宋体" w:eastAsia="宋体" w:cs="宋体"/>
          <w:color w:val="auto"/>
          <w:sz w:val="24"/>
          <w:szCs w:val="24"/>
          <w:highlight w:val="none"/>
          <w:lang w:eastAsia="zh-CN"/>
        </w:rPr>
        <w:t>处</w:t>
      </w:r>
      <w:r>
        <w:rPr>
          <w:rFonts w:hint="eastAsia" w:ascii="宋体" w:hAnsi="宋体" w:eastAsia="宋体" w:cs="宋体"/>
          <w:color w:val="auto"/>
          <w:sz w:val="24"/>
          <w:szCs w:val="24"/>
          <w:highlight w:val="none"/>
        </w:rPr>
        <w:t>有关文件进行处罚。</w:t>
      </w:r>
    </w:p>
    <w:p w14:paraId="53510BF2">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三、本人同意把岗位证书交重点</w:t>
      </w:r>
      <w:r>
        <w:rPr>
          <w:rFonts w:hint="eastAsia" w:ascii="宋体" w:hAnsi="宋体" w:eastAsia="宋体" w:cs="宋体"/>
          <w:color w:val="auto"/>
          <w:sz w:val="24"/>
          <w:szCs w:val="24"/>
          <w:highlight w:val="none"/>
          <w:lang w:eastAsia="zh-CN"/>
        </w:rPr>
        <w:t>处</w:t>
      </w:r>
      <w:r>
        <w:rPr>
          <w:rFonts w:hint="eastAsia" w:ascii="宋体" w:hAnsi="宋体" w:eastAsia="宋体" w:cs="宋体"/>
          <w:color w:val="auto"/>
          <w:sz w:val="24"/>
          <w:szCs w:val="24"/>
          <w:highlight w:val="none"/>
        </w:rPr>
        <w:t>保管，直至工程竣工验收。若在工程施工管理过程中存在违法违规行为，愿意把自己岗位证书交相关管理部门注销。</w:t>
      </w:r>
    </w:p>
    <w:p w14:paraId="648E7599">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四、施工单位建造师、项目技术负责人、“五大员”等承诺常驻现场；监理单位总监、总监代表、专业监理、监理员、见证取样员等承诺常驻现场。</w:t>
      </w:r>
    </w:p>
    <w:p w14:paraId="6D054340">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五、项目部、监理部组成人员承诺一周内到岗，否则同意取消中标资格。</w:t>
      </w:r>
    </w:p>
    <w:p w14:paraId="30AE09E3">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六、项目部人员考勤由总监理工程师负责，业主代表每周进行随机考勤抽查，如考勤抽查记录与监理考勤记录不符，情况核实后，将对监理单位进行严厉处罚。</w:t>
      </w:r>
    </w:p>
    <w:p w14:paraId="0598EA3E">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p>
    <w:p w14:paraId="3B6F561C">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承诺人：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承诺人所在单位：</w:t>
      </w:r>
    </w:p>
    <w:p w14:paraId="04E65246">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年   月   日</w:t>
      </w:r>
    </w:p>
    <w:p w14:paraId="1BBA673D">
      <w:pPr>
        <w:pStyle w:val="42"/>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color w:val="auto"/>
          <w:kern w:val="2"/>
          <w:sz w:val="24"/>
          <w:szCs w:val="24"/>
          <w:highlight w:val="none"/>
        </w:rPr>
      </w:pPr>
    </w:p>
    <w:p w14:paraId="5E067DDB">
      <w:pPr>
        <w:spacing w:line="480" w:lineRule="exact"/>
        <w:rPr>
          <w:rFonts w:hint="eastAsia" w:ascii="宋体" w:hAnsi="宋体" w:cs="宋体"/>
          <w:color w:val="auto"/>
          <w:sz w:val="21"/>
          <w:szCs w:val="21"/>
          <w:highlight w:val="none"/>
        </w:rPr>
      </w:pPr>
    </w:p>
    <w:p w14:paraId="54711E38">
      <w:pPr>
        <w:rPr>
          <w:color w:val="auto"/>
          <w:sz w:val="21"/>
          <w:szCs w:val="21"/>
          <w:highlight w:val="none"/>
        </w:rPr>
      </w:pPr>
    </w:p>
    <w:p w14:paraId="4610A6B8">
      <w:pPr>
        <w:pStyle w:val="2"/>
        <w:rPr>
          <w:rFonts w:hint="eastAsia"/>
          <w:color w:val="auto"/>
          <w:highlight w:val="none"/>
        </w:rPr>
      </w:pPr>
    </w:p>
    <w:p w14:paraId="5DB86DD5">
      <w:pPr>
        <w:pStyle w:val="2"/>
        <w:ind w:left="420" w:firstLine="420"/>
        <w:rPr>
          <w:rFonts w:hint="eastAsia"/>
          <w:color w:val="auto"/>
          <w:highlight w:val="none"/>
        </w:rPr>
      </w:pPr>
    </w:p>
    <w:p w14:paraId="53AB3B76">
      <w:pPr>
        <w:pStyle w:val="20"/>
        <w:jc w:val="left"/>
        <w:rPr>
          <w:rFonts w:hint="eastAsia" w:ascii="宋体" w:hAnsi="宋体" w:eastAsia="宋体" w:cs="宋体"/>
          <w:color w:val="auto"/>
          <w:kern w:val="0"/>
          <w:sz w:val="24"/>
          <w:szCs w:val="24"/>
          <w:highlight w:val="none"/>
        </w:rPr>
      </w:pPr>
    </w:p>
    <w:p w14:paraId="32517B5B">
      <w:pPr>
        <w:pStyle w:val="20"/>
        <w:jc w:val="left"/>
        <w:rPr>
          <w:rFonts w:hint="eastAsia" w:ascii="宋体" w:hAnsi="宋体" w:eastAsia="宋体" w:cs="宋体"/>
          <w:color w:val="auto"/>
          <w:kern w:val="0"/>
          <w:sz w:val="24"/>
          <w:szCs w:val="24"/>
          <w:highlight w:val="none"/>
        </w:rPr>
      </w:pPr>
    </w:p>
    <w:bookmarkEnd w:id="211"/>
    <w:sectPr>
      <w:footerReference r:id="rId9" w:type="default"/>
      <w:pgSz w:w="11906" w:h="16838"/>
      <w:pgMar w:top="935" w:right="1106" w:bottom="936" w:left="1259" w:header="680" w:footer="680" w:gutter="0"/>
      <w:pgNumType w:fmt="decimal"/>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imes">
    <w:altName w:val="Times New Roman"/>
    <w:panose1 w:val="02020603060405020304"/>
    <w:charset w:val="00"/>
    <w:family w:val="roman"/>
    <w:pitch w:val="default"/>
    <w:sig w:usb0="00000000" w:usb1="00000000" w:usb2="00000000" w:usb3="00000000" w:csb0="00000093"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auto"/>
    <w:pitch w:val="default"/>
    <w:sig w:usb0="00000000" w:usb1="00000000" w:usb2="00000000" w:usb3="00000000" w:csb0="80000000" w:csb1="00000000"/>
  </w:font>
  <w:font w:name="汉仪大黑简">
    <w:altName w:val="黑体"/>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auto"/>
    <w:pitch w:val="default"/>
    <w:sig w:usb0="00000000" w:usb1="00000000" w:usb2="00000000" w:usb3="00000000" w:csb0="00040000" w:csb1="00000000"/>
  </w:font>
  <w:font w:name="Kingsoft UE">
    <w:altName w:val="Segoe Print"/>
    <w:panose1 w:val="00000000000000000000"/>
    <w:charset w:val="00"/>
    <w:family w:val="auto"/>
    <w:pitch w:val="default"/>
    <w:sig w:usb0="00000000" w:usb1="00000000" w:usb2="00000000" w:usb3="00000000" w:csb0="00000000" w:csb1="0000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EE9D1">
    <w:pPr>
      <w:pStyle w:val="30"/>
      <w:rPr>
        <w:rStyle w:val="49"/>
      </w:rPr>
    </w:pPr>
  </w:p>
  <w:p w14:paraId="24D89652">
    <w:pPr>
      <w:pStyle w:val="30"/>
      <w:ind w:right="360"/>
      <w:rPr>
        <w:kern w:val="0"/>
      </w:rPr>
    </w:pPr>
    <w:r>
      <mc:AlternateContent>
        <mc:Choice Requires="wps">
          <w:drawing>
            <wp:anchor distT="0" distB="0" distL="114300" distR="114300" simplePos="0" relativeHeight="251659264" behindDoc="0" locked="0" layoutInCell="1" allowOverlap="1">
              <wp:simplePos x="0" y="0"/>
              <wp:positionH relativeFrom="margin">
                <wp:posOffset>2400300</wp:posOffset>
              </wp:positionH>
              <wp:positionV relativeFrom="paragraph">
                <wp:posOffset>172720</wp:posOffset>
              </wp:positionV>
              <wp:extent cx="1285875" cy="198120"/>
              <wp:effectExtent l="0" t="0" r="0" b="0"/>
              <wp:wrapNone/>
              <wp:docPr id="5" name="文本框2"/>
              <wp:cNvGraphicFramePr/>
              <a:graphic xmlns:a="http://schemas.openxmlformats.org/drawingml/2006/main">
                <a:graphicData uri="http://schemas.microsoft.com/office/word/2010/wordprocessingShape">
                  <wps:wsp>
                    <wps:cNvSpPr/>
                    <wps:spPr>
                      <a:xfrm>
                        <a:off x="0" y="0"/>
                        <a:ext cx="1285875" cy="198120"/>
                      </a:xfrm>
                      <a:prstGeom prst="rect">
                        <a:avLst/>
                      </a:prstGeom>
                      <a:noFill/>
                      <a:ln>
                        <a:noFill/>
                      </a:ln>
                      <a:effectLst/>
                    </wps:spPr>
                    <wps:txbx>
                      <w:txbxContent>
                        <w:p w14:paraId="113FE5FF"/>
                      </w:txbxContent>
                    </wps:txbx>
                    <wps:bodyPr lIns="0" tIns="0" rIns="0" bIns="0" upright="1"/>
                  </wps:wsp>
                </a:graphicData>
              </a:graphic>
            </wp:anchor>
          </w:drawing>
        </mc:Choice>
        <mc:Fallback>
          <w:pict>
            <v:rect id="文本框2" o:spid="_x0000_s1026" o:spt="1" style="position:absolute;left:0pt;margin-left:189pt;margin-top:13.6pt;height:15.6pt;width:101.25pt;mso-position-horizontal-relative:margin;z-index:251659264;mso-width-relative:page;mso-height-relative:page;" filled="f" stroked="f" coordsize="21600,21600" o:gfxdata="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ksdxLaAAAACQEAAA8AAAAAAAAAAQAgAAAAIgAAAGRycy9kb3ducmV2LnhtbFBLAQIU&#10;ABQAAAAIAIdO4kAQQliKuAEAAHUDAAAOAAAAAAAAAAEAIAAAACkBAABkcnMvZTJvRG9jLnhtbFBL&#10;BQYAAAAABgAGAFkBAABTBQAAAAA=&#10;">
              <v:fill on="f" focussize="0,0"/>
              <v:stroke on="f"/>
              <v:imagedata o:title=""/>
              <o:lock v:ext="edit" aspectratio="f"/>
              <v:textbox inset="0mm,0mm,0mm,0mm">
                <w:txbxContent>
                  <w:p w14:paraId="113FE5FF"/>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F5F65">
    <w:pPr>
      <w:pStyle w:val="30"/>
      <w:tabs>
        <w:tab w:val="center" w:pos="7483"/>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12467DE">
                          <w:pPr>
                            <w:pStyle w:val="30"/>
                          </w:pPr>
                          <w:r>
                            <w:fldChar w:fldCharType="begin"/>
                          </w:r>
                          <w:r>
                            <w:instrText xml:space="preserve"> PAGE  \* MERGEFORMAT </w:instrText>
                          </w:r>
                          <w:r>
                            <w:fldChar w:fldCharType="separate"/>
                          </w:r>
                          <w:r>
                            <w:t></w:t>
                          </w:r>
                          <w: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mK+1NABAACqAwAADgAAAAAAAAABACAAAAAeAQAAZHJz&#10;L2Uyb0RvYy54bWxQSwUGAAAAAAYABgBZAQAAYAUAAAAA&#10;">
              <v:fill on="f" focussize="0,0"/>
              <v:stroke on="f"/>
              <v:imagedata o:title=""/>
              <o:lock v:ext="edit" aspectratio="f"/>
              <v:textbox inset="0mm,0mm,0mm,0mm" style="mso-fit-shape-to-text:t;">
                <w:txbxContent>
                  <w:p w14:paraId="612467DE">
                    <w:pPr>
                      <w:pStyle w:val="30"/>
                    </w:pPr>
                    <w:r>
                      <w:fldChar w:fldCharType="begin"/>
                    </w:r>
                    <w:r>
                      <w:instrText xml:space="preserve"> PAGE  \* MERGEFORMAT </w:instrText>
                    </w:r>
                    <w:r>
                      <w:fldChar w:fldCharType="separate"/>
                    </w:r>
                    <w:r>
                      <w:t></w:t>
                    </w:r>
                    <w:r>
                      <w:fldChar w:fldCharType="end"/>
                    </w:r>
                  </w:p>
                </w:txbxContent>
              </v:textbox>
            </v:shape>
          </w:pict>
        </mc:Fallback>
      </mc:AlternateConten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34885">
    <w:pPr>
      <w:pStyle w:val="30"/>
      <w:rPr>
        <w:rStyle w:val="49"/>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24959D">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A24959D">
                    <w:pPr>
                      <w:pStyle w:val="30"/>
                    </w:pPr>
                    <w:r>
                      <w:fldChar w:fldCharType="begin"/>
                    </w:r>
                    <w:r>
                      <w:instrText xml:space="preserve"> PAGE  \* MERGEFORMAT </w:instrText>
                    </w:r>
                    <w:r>
                      <w:fldChar w:fldCharType="separate"/>
                    </w:r>
                    <w:r>
                      <w:t>1</w:t>
                    </w:r>
                    <w:r>
                      <w:fldChar w:fldCharType="end"/>
                    </w:r>
                  </w:p>
                </w:txbxContent>
              </v:textbox>
            </v:shape>
          </w:pict>
        </mc:Fallback>
      </mc:AlternateContent>
    </w:r>
  </w:p>
  <w:p w14:paraId="77C6AFA8">
    <w:pPr>
      <w:pStyle w:val="30"/>
      <w:ind w:right="360"/>
      <w:rPr>
        <w:kern w:val="0"/>
      </w:rPr>
    </w:pPr>
    <w:r>
      <mc:AlternateContent>
        <mc:Choice Requires="wps">
          <w:drawing>
            <wp:anchor distT="0" distB="0" distL="114300" distR="114300" simplePos="0" relativeHeight="251661312" behindDoc="0" locked="0" layoutInCell="1" allowOverlap="1">
              <wp:simplePos x="0" y="0"/>
              <wp:positionH relativeFrom="margin">
                <wp:posOffset>2400300</wp:posOffset>
              </wp:positionH>
              <wp:positionV relativeFrom="paragraph">
                <wp:posOffset>172720</wp:posOffset>
              </wp:positionV>
              <wp:extent cx="1285875" cy="198120"/>
              <wp:effectExtent l="0" t="0" r="0" b="0"/>
              <wp:wrapNone/>
              <wp:docPr id="3" name="文本框2"/>
              <wp:cNvGraphicFramePr/>
              <a:graphic xmlns:a="http://schemas.openxmlformats.org/drawingml/2006/main">
                <a:graphicData uri="http://schemas.microsoft.com/office/word/2010/wordprocessingShape">
                  <wps:wsp>
                    <wps:cNvSpPr/>
                    <wps:spPr>
                      <a:xfrm>
                        <a:off x="0" y="0"/>
                        <a:ext cx="1285875" cy="198120"/>
                      </a:xfrm>
                      <a:prstGeom prst="rect">
                        <a:avLst/>
                      </a:prstGeom>
                      <a:noFill/>
                      <a:ln>
                        <a:noFill/>
                      </a:ln>
                      <a:effectLst/>
                    </wps:spPr>
                    <wps:txbx>
                      <w:txbxContent>
                        <w:p w14:paraId="42B2323A"/>
                      </w:txbxContent>
                    </wps:txbx>
                    <wps:bodyPr lIns="0" tIns="0" rIns="0" bIns="0" upright="1"/>
                  </wps:wsp>
                </a:graphicData>
              </a:graphic>
            </wp:anchor>
          </w:drawing>
        </mc:Choice>
        <mc:Fallback>
          <w:pict>
            <v:rect id="文本框2" o:spid="_x0000_s1026" o:spt="1" style="position:absolute;left:0pt;margin-left:189pt;margin-top:13.6pt;height:15.6pt;width:101.25pt;mso-position-horizontal-relative:margin;z-index:251661312;mso-width-relative:page;mso-height-relative:page;" filled="f" stroked="f" coordsize="21600,21600" o:gfxdata="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JLHcS2gAAAAkBAAAPAAAAAAAAAAEAIAAAACIAAABkcnMvZG93bnJldi54bWxQSwEC&#10;FAAUAAAACACHTuJABZ+iU7kBAAB1AwAADgAAAAAAAAABACAAAAApAQAAZHJzL2Uyb0RvYy54bWxQ&#10;SwUGAAAAAAYABgBZAQAAVAUAAAAA&#10;">
              <v:fill on="f" focussize="0,0"/>
              <v:stroke on="f"/>
              <v:imagedata o:title=""/>
              <o:lock v:ext="edit" aspectratio="f"/>
              <v:textbox inset="0mm,0mm,0mm,0mm">
                <w:txbxContent>
                  <w:p w14:paraId="42B2323A"/>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D2BC3">
    <w:pPr>
      <w:pStyle w:val="30"/>
      <w:ind w:right="360" w:firstLine="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7ADB62">
                          <w:pPr>
                            <w:pStyle w:val="30"/>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77ADB62">
                    <w:pPr>
                      <w:pStyle w:val="30"/>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FBC60">
    <w:pPr>
      <w:pStyle w:val="3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B90042">
                          <w:pPr>
                            <w:pStyle w:val="30"/>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8B90042">
                    <w:pPr>
                      <w:pStyle w:val="30"/>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62396">
    <w:pPr>
      <w:pStyle w:val="30"/>
      <w:rPr>
        <w:rStyle w:val="49"/>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46BAED">
                          <w:pPr>
                            <w:pStyle w:val="30"/>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B46BAED">
                    <w:pPr>
                      <w:pStyle w:val="30"/>
                    </w:pPr>
                    <w:r>
                      <w:fldChar w:fldCharType="begin"/>
                    </w:r>
                    <w:r>
                      <w:instrText xml:space="preserve"> PAGE  \* MERGEFORMAT </w:instrText>
                    </w:r>
                    <w:r>
                      <w:fldChar w:fldCharType="separate"/>
                    </w:r>
                    <w:r>
                      <w:t>73</w:t>
                    </w:r>
                    <w:r>
                      <w:fldChar w:fldCharType="end"/>
                    </w:r>
                  </w:p>
                </w:txbxContent>
              </v:textbox>
            </v:shape>
          </w:pict>
        </mc:Fallback>
      </mc:AlternateContent>
    </w:r>
  </w:p>
  <w:p w14:paraId="157870D5">
    <w:pPr>
      <w:pStyle w:val="30"/>
      <w:ind w:right="360"/>
      <w:rPr>
        <w:kern w:val="0"/>
      </w:rPr>
    </w:pPr>
    <w:r>
      <mc:AlternateContent>
        <mc:Choice Requires="wps">
          <w:drawing>
            <wp:anchor distT="0" distB="0" distL="114300" distR="114300" simplePos="0" relativeHeight="251660288" behindDoc="0" locked="0" layoutInCell="1" allowOverlap="1">
              <wp:simplePos x="0" y="0"/>
              <wp:positionH relativeFrom="margin">
                <wp:posOffset>2400300</wp:posOffset>
              </wp:positionH>
              <wp:positionV relativeFrom="paragraph">
                <wp:posOffset>172720</wp:posOffset>
              </wp:positionV>
              <wp:extent cx="1285875" cy="198120"/>
              <wp:effectExtent l="0" t="0" r="0" b="0"/>
              <wp:wrapNone/>
              <wp:docPr id="8" name="文本框2"/>
              <wp:cNvGraphicFramePr/>
              <a:graphic xmlns:a="http://schemas.openxmlformats.org/drawingml/2006/main">
                <a:graphicData uri="http://schemas.microsoft.com/office/word/2010/wordprocessingShape">
                  <wps:wsp>
                    <wps:cNvSpPr/>
                    <wps:spPr>
                      <a:xfrm>
                        <a:off x="0" y="0"/>
                        <a:ext cx="1285875" cy="198120"/>
                      </a:xfrm>
                      <a:prstGeom prst="rect">
                        <a:avLst/>
                      </a:prstGeom>
                      <a:noFill/>
                      <a:ln>
                        <a:noFill/>
                      </a:ln>
                      <a:effectLst/>
                    </wps:spPr>
                    <wps:txbx>
                      <w:txbxContent>
                        <w:p w14:paraId="4D5C9321"/>
                      </w:txbxContent>
                    </wps:txbx>
                    <wps:bodyPr lIns="0" tIns="0" rIns="0" bIns="0" upright="1"/>
                  </wps:wsp>
                </a:graphicData>
              </a:graphic>
            </wp:anchor>
          </w:drawing>
        </mc:Choice>
        <mc:Fallback>
          <w:pict>
            <v:rect id="文本框2" o:spid="_x0000_s1026" o:spt="1" style="position:absolute;left:0pt;margin-left:189pt;margin-top:13.6pt;height:15.6pt;width:101.25pt;mso-position-horizontal-relative:margin;z-index:251660288;mso-width-relative:page;mso-height-relative:page;" filled="f" stroked="f" coordsize="21600,21600" o:gfxdata="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ksdxLaAAAACQEAAA8AAAAAAAAAAQAgAAAAIgAAAGRycy9kb3ducmV2LnhtbFBLAQIU&#10;ABQAAAAIAIdO4kAipzAruAEAAHUDAAAOAAAAAAAAAAEAIAAAACkBAABkcnMvZTJvRG9jLnhtbFBL&#10;BQYAAAAABgAGAFkBAABTBQAAAAA=&#10;">
              <v:fill on="f" focussize="0,0"/>
              <v:stroke on="f"/>
              <v:imagedata o:title=""/>
              <o:lock v:ext="edit" aspectratio="f"/>
              <v:textbox inset="0mm,0mm,0mm,0mm">
                <w:txbxContent>
                  <w:p w14:paraId="4D5C9321"/>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E2992">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BC5AA"/>
    <w:multiLevelType w:val="singleLevel"/>
    <w:tmpl w:val="872BC5AA"/>
    <w:lvl w:ilvl="0" w:tentative="0">
      <w:start w:val="2"/>
      <w:numFmt w:val="decimal"/>
      <w:lvlText w:val="%1."/>
      <w:lvlJc w:val="left"/>
      <w:pPr>
        <w:tabs>
          <w:tab w:val="left" w:pos="312"/>
        </w:tabs>
      </w:pPr>
    </w:lvl>
  </w:abstractNum>
  <w:abstractNum w:abstractNumId="1">
    <w:nsid w:val="E7258976"/>
    <w:multiLevelType w:val="singleLevel"/>
    <w:tmpl w:val="E7258976"/>
    <w:lvl w:ilvl="0" w:tentative="0">
      <w:start w:val="1"/>
      <w:numFmt w:val="chineseCounting"/>
      <w:suff w:val="space"/>
      <w:lvlText w:val="（%1）"/>
      <w:lvlJc w:val="left"/>
      <w:pPr>
        <w:ind w:left="-10"/>
      </w:pPr>
      <w:rPr>
        <w:rFonts w:hint="eastAsia" w:ascii="仿宋_GB2312" w:hAnsi="仿宋_GB2312" w:eastAsia="仿宋_GB2312" w:cs="仿宋_GB2312"/>
        <w:sz w:val="32"/>
        <w:szCs w:val="32"/>
      </w:rPr>
    </w:lvl>
  </w:abstractNum>
  <w:abstractNum w:abstractNumId="2">
    <w:nsid w:val="056297AE"/>
    <w:multiLevelType w:val="singleLevel"/>
    <w:tmpl w:val="056297AE"/>
    <w:lvl w:ilvl="0" w:tentative="0">
      <w:start w:val="3"/>
      <w:numFmt w:val="chineseCounting"/>
      <w:suff w:val="space"/>
      <w:lvlText w:val="(%1)"/>
      <w:lvlJc w:val="left"/>
      <w:rPr>
        <w:rFonts w:hint="eastAsia"/>
      </w:rPr>
    </w:lvl>
  </w:abstractNum>
  <w:abstractNum w:abstractNumId="3">
    <w:nsid w:val="1EF8CB6E"/>
    <w:multiLevelType w:val="singleLevel"/>
    <w:tmpl w:val="1EF8CB6E"/>
    <w:lvl w:ilvl="0" w:tentative="0">
      <w:start w:val="1"/>
      <w:numFmt w:val="upperLetter"/>
      <w:suff w:val="nothing"/>
      <w:lvlText w:val="%1、"/>
      <w:lvlJc w:val="left"/>
    </w:lvl>
  </w:abstractNum>
  <w:abstractNum w:abstractNumId="4">
    <w:nsid w:val="434FCDAE"/>
    <w:multiLevelType w:val="singleLevel"/>
    <w:tmpl w:val="434FCDAE"/>
    <w:lvl w:ilvl="0" w:tentative="0">
      <w:start w:val="1"/>
      <w:numFmt w:val="chineseCounting"/>
      <w:suff w:val="space"/>
      <w:lvlText w:val="（%1）"/>
      <w:lvlJc w:val="left"/>
      <w:rPr>
        <w:rFonts w:hint="eastAsia"/>
      </w:rPr>
    </w:lvl>
  </w:abstractNum>
  <w:abstractNum w:abstractNumId="5">
    <w:nsid w:val="4AEE3BEB"/>
    <w:multiLevelType w:val="singleLevel"/>
    <w:tmpl w:val="4AEE3BEB"/>
    <w:lvl w:ilvl="0" w:tentative="0">
      <w:start w:val="2"/>
      <w:numFmt w:val="chineseCounting"/>
      <w:suff w:val="space"/>
      <w:lvlText w:val="（%1）"/>
      <w:lvlJc w:val="left"/>
      <w:rPr>
        <w:rFonts w:hint="eastAsia"/>
      </w:r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oNotHyphenateCaps/>
  <w:drawingGridVerticalSpacing w:val="159"/>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5MDNjMmIyODczM2YwMGZkZTNjYWY1NjIxZTY5YjcifQ=="/>
  </w:docVars>
  <w:rsids>
    <w:rsidRoot w:val="00277DEA"/>
    <w:rsid w:val="000407AC"/>
    <w:rsid w:val="00040A78"/>
    <w:rsid w:val="00057816"/>
    <w:rsid w:val="000E13AD"/>
    <w:rsid w:val="00131FFF"/>
    <w:rsid w:val="00135312"/>
    <w:rsid w:val="00144E2C"/>
    <w:rsid w:val="001643AB"/>
    <w:rsid w:val="0016450D"/>
    <w:rsid w:val="001A591F"/>
    <w:rsid w:val="001C6848"/>
    <w:rsid w:val="001D4B0B"/>
    <w:rsid w:val="001F10F0"/>
    <w:rsid w:val="00217AF2"/>
    <w:rsid w:val="00217EB9"/>
    <w:rsid w:val="00217FF1"/>
    <w:rsid w:val="0023383D"/>
    <w:rsid w:val="00252D6D"/>
    <w:rsid w:val="00253B24"/>
    <w:rsid w:val="00270071"/>
    <w:rsid w:val="002740D6"/>
    <w:rsid w:val="00274549"/>
    <w:rsid w:val="00277DEA"/>
    <w:rsid w:val="002A2969"/>
    <w:rsid w:val="002C40D1"/>
    <w:rsid w:val="002E76AA"/>
    <w:rsid w:val="002F38FE"/>
    <w:rsid w:val="00313EF1"/>
    <w:rsid w:val="00332C02"/>
    <w:rsid w:val="00336837"/>
    <w:rsid w:val="00370095"/>
    <w:rsid w:val="0037519A"/>
    <w:rsid w:val="003776B6"/>
    <w:rsid w:val="003A3D22"/>
    <w:rsid w:val="003C11CB"/>
    <w:rsid w:val="003D00F9"/>
    <w:rsid w:val="003E18D3"/>
    <w:rsid w:val="003E616C"/>
    <w:rsid w:val="004108BC"/>
    <w:rsid w:val="00410ABB"/>
    <w:rsid w:val="00411EFB"/>
    <w:rsid w:val="00430081"/>
    <w:rsid w:val="0045352B"/>
    <w:rsid w:val="004806E1"/>
    <w:rsid w:val="004943F2"/>
    <w:rsid w:val="004D7A32"/>
    <w:rsid w:val="004F10A4"/>
    <w:rsid w:val="004F5FF3"/>
    <w:rsid w:val="00523372"/>
    <w:rsid w:val="00544FBB"/>
    <w:rsid w:val="00555AF7"/>
    <w:rsid w:val="00587AEB"/>
    <w:rsid w:val="005D26BD"/>
    <w:rsid w:val="005F02AC"/>
    <w:rsid w:val="005F4D1F"/>
    <w:rsid w:val="006008C2"/>
    <w:rsid w:val="00600A1A"/>
    <w:rsid w:val="00613B3B"/>
    <w:rsid w:val="00635236"/>
    <w:rsid w:val="00640C59"/>
    <w:rsid w:val="006412B4"/>
    <w:rsid w:val="00643128"/>
    <w:rsid w:val="006B2CC6"/>
    <w:rsid w:val="006E2124"/>
    <w:rsid w:val="006E24A2"/>
    <w:rsid w:val="006F1EB8"/>
    <w:rsid w:val="00762DC1"/>
    <w:rsid w:val="007701C5"/>
    <w:rsid w:val="0077045D"/>
    <w:rsid w:val="007E581B"/>
    <w:rsid w:val="008052CD"/>
    <w:rsid w:val="008057AF"/>
    <w:rsid w:val="00806B50"/>
    <w:rsid w:val="00806DEB"/>
    <w:rsid w:val="008706BB"/>
    <w:rsid w:val="008801B2"/>
    <w:rsid w:val="008B45BE"/>
    <w:rsid w:val="008B6AF2"/>
    <w:rsid w:val="008C044F"/>
    <w:rsid w:val="008C7B90"/>
    <w:rsid w:val="008E0BFB"/>
    <w:rsid w:val="008F24D9"/>
    <w:rsid w:val="009148C9"/>
    <w:rsid w:val="00916805"/>
    <w:rsid w:val="0093540E"/>
    <w:rsid w:val="009430F7"/>
    <w:rsid w:val="009548E3"/>
    <w:rsid w:val="009D69A7"/>
    <w:rsid w:val="009E2CB7"/>
    <w:rsid w:val="009F052A"/>
    <w:rsid w:val="009F2331"/>
    <w:rsid w:val="00A109CD"/>
    <w:rsid w:val="00A11EEC"/>
    <w:rsid w:val="00A364A9"/>
    <w:rsid w:val="00A74A67"/>
    <w:rsid w:val="00A92252"/>
    <w:rsid w:val="00A95FC8"/>
    <w:rsid w:val="00AA6310"/>
    <w:rsid w:val="00B21B8E"/>
    <w:rsid w:val="00B3371B"/>
    <w:rsid w:val="00B5033A"/>
    <w:rsid w:val="00B86725"/>
    <w:rsid w:val="00BB5EA4"/>
    <w:rsid w:val="00BC093E"/>
    <w:rsid w:val="00C04D5A"/>
    <w:rsid w:val="00C522F7"/>
    <w:rsid w:val="00C56491"/>
    <w:rsid w:val="00C77D9B"/>
    <w:rsid w:val="00C959B4"/>
    <w:rsid w:val="00CA283F"/>
    <w:rsid w:val="00CB14DC"/>
    <w:rsid w:val="00CC06A5"/>
    <w:rsid w:val="00CD2E86"/>
    <w:rsid w:val="00CD6B6D"/>
    <w:rsid w:val="00CF2E1F"/>
    <w:rsid w:val="00CF524A"/>
    <w:rsid w:val="00CF5B3F"/>
    <w:rsid w:val="00D05A15"/>
    <w:rsid w:val="00D07052"/>
    <w:rsid w:val="00D2599B"/>
    <w:rsid w:val="00D27C1C"/>
    <w:rsid w:val="00D32138"/>
    <w:rsid w:val="00D50ADE"/>
    <w:rsid w:val="00D50E64"/>
    <w:rsid w:val="00D67520"/>
    <w:rsid w:val="00D74DB0"/>
    <w:rsid w:val="00D75D04"/>
    <w:rsid w:val="00D862EF"/>
    <w:rsid w:val="00DD408F"/>
    <w:rsid w:val="00DE23F0"/>
    <w:rsid w:val="00E13C49"/>
    <w:rsid w:val="00E3458D"/>
    <w:rsid w:val="00EB6A15"/>
    <w:rsid w:val="00EC6F26"/>
    <w:rsid w:val="00EC6F84"/>
    <w:rsid w:val="00EC7414"/>
    <w:rsid w:val="00EE5A0A"/>
    <w:rsid w:val="00EE7AEC"/>
    <w:rsid w:val="00F10FD4"/>
    <w:rsid w:val="00F12999"/>
    <w:rsid w:val="00F16AA1"/>
    <w:rsid w:val="00F407A6"/>
    <w:rsid w:val="00F738CB"/>
    <w:rsid w:val="00F82A9A"/>
    <w:rsid w:val="00F83340"/>
    <w:rsid w:val="00FB2776"/>
    <w:rsid w:val="00FD0DE5"/>
    <w:rsid w:val="00FE4E55"/>
    <w:rsid w:val="00FF64C5"/>
    <w:rsid w:val="010C450B"/>
    <w:rsid w:val="01CC1A40"/>
    <w:rsid w:val="023C4E17"/>
    <w:rsid w:val="02860CE1"/>
    <w:rsid w:val="028D0613"/>
    <w:rsid w:val="02A06DF6"/>
    <w:rsid w:val="02AD40CA"/>
    <w:rsid w:val="02C71777"/>
    <w:rsid w:val="02DA63DE"/>
    <w:rsid w:val="03241F36"/>
    <w:rsid w:val="03311B51"/>
    <w:rsid w:val="035607B0"/>
    <w:rsid w:val="035A0B08"/>
    <w:rsid w:val="03BE185C"/>
    <w:rsid w:val="03DD3435"/>
    <w:rsid w:val="04880F3B"/>
    <w:rsid w:val="04BB1052"/>
    <w:rsid w:val="04EF66A6"/>
    <w:rsid w:val="050C3B6C"/>
    <w:rsid w:val="058F191A"/>
    <w:rsid w:val="0620235A"/>
    <w:rsid w:val="06391DE5"/>
    <w:rsid w:val="064047AA"/>
    <w:rsid w:val="07023E8A"/>
    <w:rsid w:val="073060B3"/>
    <w:rsid w:val="073F34F8"/>
    <w:rsid w:val="07855569"/>
    <w:rsid w:val="07DD03A2"/>
    <w:rsid w:val="083216E2"/>
    <w:rsid w:val="08891FDF"/>
    <w:rsid w:val="08EE1782"/>
    <w:rsid w:val="090B57DF"/>
    <w:rsid w:val="094625ED"/>
    <w:rsid w:val="098C0FAE"/>
    <w:rsid w:val="0A1370D9"/>
    <w:rsid w:val="0A426CE3"/>
    <w:rsid w:val="0A783487"/>
    <w:rsid w:val="0A920A74"/>
    <w:rsid w:val="0B1A05CF"/>
    <w:rsid w:val="0B3B4932"/>
    <w:rsid w:val="0B8A5AE2"/>
    <w:rsid w:val="0B9F1F73"/>
    <w:rsid w:val="0C30371E"/>
    <w:rsid w:val="0C47209B"/>
    <w:rsid w:val="0C56467C"/>
    <w:rsid w:val="0CDE4AF1"/>
    <w:rsid w:val="0CEC2F96"/>
    <w:rsid w:val="0D2F7233"/>
    <w:rsid w:val="0D352C95"/>
    <w:rsid w:val="0DB0649C"/>
    <w:rsid w:val="0E2234E7"/>
    <w:rsid w:val="0E832759"/>
    <w:rsid w:val="0E910299"/>
    <w:rsid w:val="0EA842DB"/>
    <w:rsid w:val="0ECF7747"/>
    <w:rsid w:val="0F9D46EF"/>
    <w:rsid w:val="112137C2"/>
    <w:rsid w:val="11D57582"/>
    <w:rsid w:val="124026B6"/>
    <w:rsid w:val="12C329EB"/>
    <w:rsid w:val="12DA0F1C"/>
    <w:rsid w:val="137A735A"/>
    <w:rsid w:val="13B24508"/>
    <w:rsid w:val="13B92B25"/>
    <w:rsid w:val="13E54BBD"/>
    <w:rsid w:val="146D5339"/>
    <w:rsid w:val="14CE6AB2"/>
    <w:rsid w:val="14D0357D"/>
    <w:rsid w:val="152F63E2"/>
    <w:rsid w:val="158272E5"/>
    <w:rsid w:val="15864214"/>
    <w:rsid w:val="15D60886"/>
    <w:rsid w:val="15D71D2C"/>
    <w:rsid w:val="16873D30"/>
    <w:rsid w:val="16A220B2"/>
    <w:rsid w:val="16AB249D"/>
    <w:rsid w:val="16E538DC"/>
    <w:rsid w:val="17141A67"/>
    <w:rsid w:val="17153410"/>
    <w:rsid w:val="17171557"/>
    <w:rsid w:val="184B770B"/>
    <w:rsid w:val="18E65745"/>
    <w:rsid w:val="19197809"/>
    <w:rsid w:val="19475149"/>
    <w:rsid w:val="1A1E40F3"/>
    <w:rsid w:val="1AF847D0"/>
    <w:rsid w:val="1C112A19"/>
    <w:rsid w:val="1C136BB6"/>
    <w:rsid w:val="1C4B5EA8"/>
    <w:rsid w:val="1D854405"/>
    <w:rsid w:val="1DB42418"/>
    <w:rsid w:val="1E1554ED"/>
    <w:rsid w:val="1E66223E"/>
    <w:rsid w:val="1E9B39D7"/>
    <w:rsid w:val="1EE53BAE"/>
    <w:rsid w:val="1F5C123B"/>
    <w:rsid w:val="1F720A5F"/>
    <w:rsid w:val="1FA31BDA"/>
    <w:rsid w:val="1FA4448B"/>
    <w:rsid w:val="2022793B"/>
    <w:rsid w:val="207B6E01"/>
    <w:rsid w:val="211B1C44"/>
    <w:rsid w:val="21F200C1"/>
    <w:rsid w:val="22284619"/>
    <w:rsid w:val="224A075F"/>
    <w:rsid w:val="22E66E8E"/>
    <w:rsid w:val="23816BA4"/>
    <w:rsid w:val="23B802A0"/>
    <w:rsid w:val="25650EAD"/>
    <w:rsid w:val="259A75DB"/>
    <w:rsid w:val="25CF5981"/>
    <w:rsid w:val="25E4098B"/>
    <w:rsid w:val="26252182"/>
    <w:rsid w:val="265122FF"/>
    <w:rsid w:val="265E174C"/>
    <w:rsid w:val="2686038F"/>
    <w:rsid w:val="26EF5515"/>
    <w:rsid w:val="27054FF6"/>
    <w:rsid w:val="271C79A1"/>
    <w:rsid w:val="2725381D"/>
    <w:rsid w:val="274F505D"/>
    <w:rsid w:val="28C64B8B"/>
    <w:rsid w:val="28C72B2B"/>
    <w:rsid w:val="29D8382E"/>
    <w:rsid w:val="29E75E0C"/>
    <w:rsid w:val="29F23E8A"/>
    <w:rsid w:val="2A241E9E"/>
    <w:rsid w:val="2A566AD6"/>
    <w:rsid w:val="2B231E21"/>
    <w:rsid w:val="2B367DA6"/>
    <w:rsid w:val="2C6C3FFF"/>
    <w:rsid w:val="2C7D3C0D"/>
    <w:rsid w:val="2C874AAF"/>
    <w:rsid w:val="2C8E66A6"/>
    <w:rsid w:val="2CAF5168"/>
    <w:rsid w:val="2CBB47F9"/>
    <w:rsid w:val="2CF26DC6"/>
    <w:rsid w:val="2D4A1910"/>
    <w:rsid w:val="2DFF7667"/>
    <w:rsid w:val="2E267150"/>
    <w:rsid w:val="2E5874B6"/>
    <w:rsid w:val="2EFD1D1D"/>
    <w:rsid w:val="2F3029A9"/>
    <w:rsid w:val="2F3A186E"/>
    <w:rsid w:val="2FA0175F"/>
    <w:rsid w:val="2FE563D7"/>
    <w:rsid w:val="319951CC"/>
    <w:rsid w:val="31FB42D0"/>
    <w:rsid w:val="32852601"/>
    <w:rsid w:val="32D3700E"/>
    <w:rsid w:val="32F07192"/>
    <w:rsid w:val="332433C5"/>
    <w:rsid w:val="3376156C"/>
    <w:rsid w:val="33DB598F"/>
    <w:rsid w:val="33FB393B"/>
    <w:rsid w:val="348E387D"/>
    <w:rsid w:val="35A324DC"/>
    <w:rsid w:val="35A46FAE"/>
    <w:rsid w:val="37026723"/>
    <w:rsid w:val="37526B7E"/>
    <w:rsid w:val="385F78F9"/>
    <w:rsid w:val="38793253"/>
    <w:rsid w:val="398960D8"/>
    <w:rsid w:val="39E8421F"/>
    <w:rsid w:val="3A066436"/>
    <w:rsid w:val="3A2516BB"/>
    <w:rsid w:val="3B3C635C"/>
    <w:rsid w:val="3CCB04A6"/>
    <w:rsid w:val="3CD37326"/>
    <w:rsid w:val="3DA16242"/>
    <w:rsid w:val="3E7850FA"/>
    <w:rsid w:val="3EED354E"/>
    <w:rsid w:val="3F1410DB"/>
    <w:rsid w:val="3F173AB4"/>
    <w:rsid w:val="3F1B5AF7"/>
    <w:rsid w:val="3F7A539C"/>
    <w:rsid w:val="3FB5783A"/>
    <w:rsid w:val="402406BD"/>
    <w:rsid w:val="408338D7"/>
    <w:rsid w:val="41510996"/>
    <w:rsid w:val="42147451"/>
    <w:rsid w:val="42664FBD"/>
    <w:rsid w:val="4289728A"/>
    <w:rsid w:val="43727992"/>
    <w:rsid w:val="43881670"/>
    <w:rsid w:val="43E82525"/>
    <w:rsid w:val="44592EA6"/>
    <w:rsid w:val="44A8055A"/>
    <w:rsid w:val="44B02520"/>
    <w:rsid w:val="44F7334E"/>
    <w:rsid w:val="44FA379B"/>
    <w:rsid w:val="45273CAF"/>
    <w:rsid w:val="45AF30FD"/>
    <w:rsid w:val="463460DC"/>
    <w:rsid w:val="46420BB9"/>
    <w:rsid w:val="465B3014"/>
    <w:rsid w:val="472C45CF"/>
    <w:rsid w:val="472F5293"/>
    <w:rsid w:val="473A07C7"/>
    <w:rsid w:val="474E7DCE"/>
    <w:rsid w:val="47C31B76"/>
    <w:rsid w:val="47DB0FE0"/>
    <w:rsid w:val="47E77736"/>
    <w:rsid w:val="47EB386F"/>
    <w:rsid w:val="485A4022"/>
    <w:rsid w:val="48986B3F"/>
    <w:rsid w:val="48C93BB0"/>
    <w:rsid w:val="48CE1A9E"/>
    <w:rsid w:val="494476DB"/>
    <w:rsid w:val="49B66251"/>
    <w:rsid w:val="4A125037"/>
    <w:rsid w:val="4AB455FC"/>
    <w:rsid w:val="4B0C78E0"/>
    <w:rsid w:val="4B4C6831"/>
    <w:rsid w:val="4BB93099"/>
    <w:rsid w:val="4CA21C4A"/>
    <w:rsid w:val="4E87606B"/>
    <w:rsid w:val="4ED1777D"/>
    <w:rsid w:val="4F443F90"/>
    <w:rsid w:val="4F596C98"/>
    <w:rsid w:val="4F627A2B"/>
    <w:rsid w:val="4F8A1859"/>
    <w:rsid w:val="4FCD4721"/>
    <w:rsid w:val="4FE45773"/>
    <w:rsid w:val="50281B04"/>
    <w:rsid w:val="502D24E4"/>
    <w:rsid w:val="504773D5"/>
    <w:rsid w:val="50EC70D4"/>
    <w:rsid w:val="511E5BAD"/>
    <w:rsid w:val="513918A9"/>
    <w:rsid w:val="517F3DD4"/>
    <w:rsid w:val="51BC2AE8"/>
    <w:rsid w:val="52244348"/>
    <w:rsid w:val="52466141"/>
    <w:rsid w:val="52CE5689"/>
    <w:rsid w:val="530B071F"/>
    <w:rsid w:val="538843E3"/>
    <w:rsid w:val="55376345"/>
    <w:rsid w:val="558A3D0F"/>
    <w:rsid w:val="559A68B9"/>
    <w:rsid w:val="55B10490"/>
    <w:rsid w:val="569E5C28"/>
    <w:rsid w:val="56B17EF3"/>
    <w:rsid w:val="57313D11"/>
    <w:rsid w:val="578D69F6"/>
    <w:rsid w:val="58311B26"/>
    <w:rsid w:val="583B105E"/>
    <w:rsid w:val="58616E3F"/>
    <w:rsid w:val="59254E33"/>
    <w:rsid w:val="59360753"/>
    <w:rsid w:val="597E4543"/>
    <w:rsid w:val="599A4762"/>
    <w:rsid w:val="59B94A33"/>
    <w:rsid w:val="59C42C57"/>
    <w:rsid w:val="5A613B97"/>
    <w:rsid w:val="5AFB2C32"/>
    <w:rsid w:val="5B1A64ED"/>
    <w:rsid w:val="5B2F036B"/>
    <w:rsid w:val="5B583D18"/>
    <w:rsid w:val="5B5877E2"/>
    <w:rsid w:val="5BA9771F"/>
    <w:rsid w:val="5BAC7A1D"/>
    <w:rsid w:val="5BAE0EF6"/>
    <w:rsid w:val="5BC43B15"/>
    <w:rsid w:val="5BE3458F"/>
    <w:rsid w:val="5DD0286D"/>
    <w:rsid w:val="5EEA0F2A"/>
    <w:rsid w:val="5F9D1CA2"/>
    <w:rsid w:val="5FD300DB"/>
    <w:rsid w:val="5FE25B93"/>
    <w:rsid w:val="603F3AE9"/>
    <w:rsid w:val="608C59E7"/>
    <w:rsid w:val="61051B53"/>
    <w:rsid w:val="61095D5D"/>
    <w:rsid w:val="61284751"/>
    <w:rsid w:val="61425A64"/>
    <w:rsid w:val="61EB473F"/>
    <w:rsid w:val="62257FFA"/>
    <w:rsid w:val="629F458E"/>
    <w:rsid w:val="63637DFA"/>
    <w:rsid w:val="63C45248"/>
    <w:rsid w:val="63E47698"/>
    <w:rsid w:val="63EE6769"/>
    <w:rsid w:val="64F222D0"/>
    <w:rsid w:val="655541D3"/>
    <w:rsid w:val="65566374"/>
    <w:rsid w:val="65594766"/>
    <w:rsid w:val="65AE22F3"/>
    <w:rsid w:val="65C12033"/>
    <w:rsid w:val="66465782"/>
    <w:rsid w:val="6686712D"/>
    <w:rsid w:val="66AF6E4C"/>
    <w:rsid w:val="670A4733"/>
    <w:rsid w:val="6727057A"/>
    <w:rsid w:val="67DE5EA5"/>
    <w:rsid w:val="68DB72BC"/>
    <w:rsid w:val="68E615DD"/>
    <w:rsid w:val="6907286A"/>
    <w:rsid w:val="6908397B"/>
    <w:rsid w:val="6A16299D"/>
    <w:rsid w:val="6ADC37BF"/>
    <w:rsid w:val="6B1637B6"/>
    <w:rsid w:val="6B354DBB"/>
    <w:rsid w:val="6B456EE8"/>
    <w:rsid w:val="6B705F22"/>
    <w:rsid w:val="6B737C7F"/>
    <w:rsid w:val="6CC00CAD"/>
    <w:rsid w:val="6D0B604A"/>
    <w:rsid w:val="6DAC05BE"/>
    <w:rsid w:val="6E2337BB"/>
    <w:rsid w:val="6E526A5F"/>
    <w:rsid w:val="6E531FEA"/>
    <w:rsid w:val="6E802F39"/>
    <w:rsid w:val="6F5F3A74"/>
    <w:rsid w:val="6F8373FF"/>
    <w:rsid w:val="6F8B3286"/>
    <w:rsid w:val="6FDE7145"/>
    <w:rsid w:val="701268B7"/>
    <w:rsid w:val="7025059A"/>
    <w:rsid w:val="708446DD"/>
    <w:rsid w:val="713E6246"/>
    <w:rsid w:val="71C6395B"/>
    <w:rsid w:val="725809D6"/>
    <w:rsid w:val="7274040D"/>
    <w:rsid w:val="72EE22E1"/>
    <w:rsid w:val="73840989"/>
    <w:rsid w:val="73875405"/>
    <w:rsid w:val="73B74532"/>
    <w:rsid w:val="74425F26"/>
    <w:rsid w:val="74CC7CBB"/>
    <w:rsid w:val="75401980"/>
    <w:rsid w:val="75847F67"/>
    <w:rsid w:val="75F06371"/>
    <w:rsid w:val="766308F1"/>
    <w:rsid w:val="7682140E"/>
    <w:rsid w:val="76D62696"/>
    <w:rsid w:val="774E2667"/>
    <w:rsid w:val="77910BE3"/>
    <w:rsid w:val="78270463"/>
    <w:rsid w:val="783F0EE9"/>
    <w:rsid w:val="787B059F"/>
    <w:rsid w:val="78EA3B59"/>
    <w:rsid w:val="79492020"/>
    <w:rsid w:val="79A47B9E"/>
    <w:rsid w:val="7A356A48"/>
    <w:rsid w:val="7B2726C7"/>
    <w:rsid w:val="7B360113"/>
    <w:rsid w:val="7C016BE2"/>
    <w:rsid w:val="7C727ADF"/>
    <w:rsid w:val="7C8660BD"/>
    <w:rsid w:val="7C934347"/>
    <w:rsid w:val="7CA05978"/>
    <w:rsid w:val="7E255CFA"/>
    <w:rsid w:val="7F09259F"/>
    <w:rsid w:val="7F2050E8"/>
    <w:rsid w:val="7F894C06"/>
    <w:rsid w:val="7FBC5227"/>
    <w:rsid w:val="7FEE047D"/>
    <w:rsid w:val="CF67815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99" w:name="table of figures"/>
    <w:lsdException w:uiPriority="99" w:name="envelope address" w:locked="1"/>
    <w:lsdException w:qFormat="1" w:unhideWhenUsed="0" w:uiPriority="99" w:semiHidden="0" w:name="envelope return"/>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6">
    <w:name w:val="heading 1"/>
    <w:basedOn w:val="1"/>
    <w:next w:val="1"/>
    <w:link w:val="64"/>
    <w:qFormat/>
    <w:uiPriority w:val="99"/>
    <w:pPr>
      <w:keepNext/>
      <w:keepLines/>
      <w:spacing w:before="340" w:after="330" w:line="360" w:lineRule="auto"/>
      <w:jc w:val="center"/>
      <w:outlineLvl w:val="0"/>
    </w:pPr>
    <w:rPr>
      <w:rFonts w:eastAsia="仿宋"/>
      <w:b/>
      <w:bCs/>
      <w:kern w:val="44"/>
      <w:sz w:val="30"/>
      <w:szCs w:val="44"/>
    </w:rPr>
  </w:style>
  <w:style w:type="paragraph" w:styleId="7">
    <w:name w:val="heading 2"/>
    <w:basedOn w:val="1"/>
    <w:next w:val="1"/>
    <w:link w:val="65"/>
    <w:qFormat/>
    <w:uiPriority w:val="99"/>
    <w:pPr>
      <w:keepNext/>
      <w:keepLines/>
      <w:spacing w:before="260" w:after="260" w:line="416" w:lineRule="auto"/>
      <w:outlineLvl w:val="1"/>
    </w:pPr>
    <w:rPr>
      <w:rFonts w:ascii="Arial" w:hAnsi="Arial" w:eastAsia="黑体" w:cs="Arial"/>
      <w:b/>
      <w:bCs/>
      <w:sz w:val="32"/>
      <w:szCs w:val="32"/>
    </w:rPr>
  </w:style>
  <w:style w:type="paragraph" w:styleId="8">
    <w:name w:val="heading 3"/>
    <w:basedOn w:val="1"/>
    <w:next w:val="1"/>
    <w:link w:val="66"/>
    <w:qFormat/>
    <w:uiPriority w:val="99"/>
    <w:pPr>
      <w:keepNext/>
      <w:keepLines/>
      <w:spacing w:before="260" w:after="260" w:line="416" w:lineRule="auto"/>
      <w:outlineLvl w:val="2"/>
    </w:pPr>
    <w:rPr>
      <w:b/>
      <w:bCs/>
      <w:sz w:val="32"/>
      <w:szCs w:val="32"/>
    </w:rPr>
  </w:style>
  <w:style w:type="paragraph" w:styleId="9">
    <w:name w:val="heading 4"/>
    <w:basedOn w:val="1"/>
    <w:next w:val="1"/>
    <w:link w:val="67"/>
    <w:qFormat/>
    <w:uiPriority w:val="99"/>
    <w:pPr>
      <w:keepNext/>
      <w:keepLines/>
      <w:spacing w:before="280" w:after="290" w:line="372" w:lineRule="auto"/>
      <w:outlineLvl w:val="3"/>
    </w:pPr>
    <w:rPr>
      <w:rFonts w:ascii="Cambria" w:hAnsi="Cambria" w:cs="Cambria"/>
      <w:b/>
      <w:bCs/>
      <w:sz w:val="28"/>
      <w:szCs w:val="28"/>
    </w:rPr>
  </w:style>
  <w:style w:type="paragraph" w:styleId="10">
    <w:name w:val="heading 5"/>
    <w:basedOn w:val="1"/>
    <w:next w:val="1"/>
    <w:link w:val="68"/>
    <w:qFormat/>
    <w:uiPriority w:val="99"/>
    <w:pPr>
      <w:keepNext/>
      <w:keepLines/>
      <w:spacing w:before="280" w:after="290" w:line="372" w:lineRule="auto"/>
      <w:outlineLvl w:val="4"/>
    </w:pPr>
    <w:rPr>
      <w:rFonts w:ascii="Calibri" w:hAnsi="Calibri" w:cs="Calibri"/>
      <w:b/>
      <w:bCs/>
      <w:sz w:val="28"/>
      <w:szCs w:val="28"/>
    </w:rPr>
  </w:style>
  <w:style w:type="paragraph" w:styleId="11">
    <w:name w:val="heading 6"/>
    <w:basedOn w:val="1"/>
    <w:next w:val="1"/>
    <w:link w:val="69"/>
    <w:qFormat/>
    <w:uiPriority w:val="99"/>
    <w:pPr>
      <w:keepNext/>
      <w:keepLines/>
      <w:spacing w:before="240" w:after="64" w:line="317" w:lineRule="auto"/>
      <w:outlineLvl w:val="5"/>
    </w:pPr>
    <w:rPr>
      <w:rFonts w:ascii="Cambria" w:hAnsi="Cambria" w:cs="Cambria"/>
      <w:b/>
      <w:bCs/>
      <w:sz w:val="24"/>
      <w:szCs w:val="24"/>
    </w:rPr>
  </w:style>
  <w:style w:type="paragraph" w:styleId="12">
    <w:name w:val="heading 7"/>
    <w:basedOn w:val="1"/>
    <w:next w:val="1"/>
    <w:link w:val="70"/>
    <w:qFormat/>
    <w:uiPriority w:val="99"/>
    <w:pPr>
      <w:keepNext/>
      <w:keepLines/>
      <w:spacing w:before="240" w:after="64" w:line="317" w:lineRule="auto"/>
      <w:outlineLvl w:val="6"/>
    </w:pPr>
    <w:rPr>
      <w:rFonts w:ascii="Calibri" w:hAnsi="Calibri" w:cs="Calibri"/>
      <w:b/>
      <w:bCs/>
      <w:sz w:val="24"/>
      <w:szCs w:val="24"/>
    </w:rPr>
  </w:style>
  <w:style w:type="paragraph" w:styleId="13">
    <w:name w:val="heading 8"/>
    <w:basedOn w:val="1"/>
    <w:next w:val="1"/>
    <w:link w:val="71"/>
    <w:qFormat/>
    <w:uiPriority w:val="99"/>
    <w:pPr>
      <w:keepNext/>
      <w:keepLines/>
      <w:spacing w:before="240" w:after="64" w:line="317" w:lineRule="auto"/>
      <w:outlineLvl w:val="7"/>
    </w:pPr>
    <w:rPr>
      <w:rFonts w:ascii="Cambria" w:hAnsi="Cambria" w:cs="Cambria"/>
      <w:sz w:val="24"/>
      <w:szCs w:val="24"/>
    </w:rPr>
  </w:style>
  <w:style w:type="paragraph" w:styleId="14">
    <w:name w:val="heading 9"/>
    <w:basedOn w:val="1"/>
    <w:next w:val="1"/>
    <w:link w:val="72"/>
    <w:qFormat/>
    <w:uiPriority w:val="99"/>
    <w:pPr>
      <w:keepNext/>
      <w:keepLines/>
      <w:spacing w:before="240" w:after="64" w:line="317" w:lineRule="auto"/>
      <w:outlineLvl w:val="8"/>
    </w:pPr>
    <w:rPr>
      <w:rFonts w:ascii="Cambria" w:hAnsi="Cambria" w:cs="Cambria"/>
    </w:rPr>
  </w:style>
  <w:style w:type="character" w:default="1" w:styleId="47">
    <w:name w:val="Default Paragraph Font"/>
    <w:semiHidden/>
    <w:qFormat/>
    <w:uiPriority w:val="99"/>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90"/>
    <w:qFormat/>
    <w:uiPriority w:val="99"/>
    <w:pPr>
      <w:ind w:firstLine="420" w:firstLineChars="200"/>
    </w:pPr>
  </w:style>
  <w:style w:type="paragraph" w:styleId="3">
    <w:name w:val="Body Text Indent"/>
    <w:basedOn w:val="1"/>
    <w:next w:val="4"/>
    <w:link w:val="77"/>
    <w:qFormat/>
    <w:uiPriority w:val="99"/>
    <w:pPr>
      <w:spacing w:line="500" w:lineRule="exact"/>
      <w:ind w:firstLine="538"/>
    </w:pPr>
    <w:rPr>
      <w:sz w:val="28"/>
      <w:szCs w:val="28"/>
    </w:rPr>
  </w:style>
  <w:style w:type="paragraph" w:styleId="4">
    <w:name w:val="envelope return"/>
    <w:basedOn w:val="1"/>
    <w:next w:val="5"/>
    <w:qFormat/>
    <w:uiPriority w:val="99"/>
    <w:pPr>
      <w:snapToGrid w:val="0"/>
    </w:pPr>
    <w:rPr>
      <w:rFonts w:ascii="Arial" w:hAnsi="Arial"/>
    </w:rPr>
  </w:style>
  <w:style w:type="paragraph" w:styleId="5">
    <w:name w:val="toc 7"/>
    <w:basedOn w:val="1"/>
    <w:next w:val="1"/>
    <w:semiHidden/>
    <w:qFormat/>
    <w:uiPriority w:val="99"/>
    <w:pPr>
      <w:ind w:left="2520" w:leftChars="1200"/>
    </w:pPr>
    <w:rPr>
      <w:rFonts w:ascii="Calibri" w:hAnsi="Calibri" w:cs="Calibri"/>
    </w:rPr>
  </w:style>
  <w:style w:type="paragraph" w:styleId="15">
    <w:name w:val="Normal Indent"/>
    <w:basedOn w:val="1"/>
    <w:qFormat/>
    <w:uiPriority w:val="99"/>
    <w:pPr>
      <w:adjustRightInd w:val="0"/>
      <w:spacing w:line="360" w:lineRule="atLeast"/>
      <w:ind w:firstLine="482"/>
      <w:textAlignment w:val="baseline"/>
    </w:pPr>
    <w:rPr>
      <w:kern w:val="0"/>
      <w:sz w:val="24"/>
      <w:szCs w:val="24"/>
    </w:rPr>
  </w:style>
  <w:style w:type="paragraph" w:styleId="16">
    <w:name w:val="caption"/>
    <w:basedOn w:val="1"/>
    <w:next w:val="1"/>
    <w:qFormat/>
    <w:uiPriority w:val="99"/>
    <w:rPr>
      <w:rFonts w:ascii="Cambria" w:hAnsi="Cambria" w:eastAsia="黑体" w:cs="Cambria"/>
      <w:sz w:val="20"/>
      <w:szCs w:val="20"/>
    </w:rPr>
  </w:style>
  <w:style w:type="paragraph" w:styleId="17">
    <w:name w:val="Document Map"/>
    <w:basedOn w:val="1"/>
    <w:link w:val="73"/>
    <w:semiHidden/>
    <w:qFormat/>
    <w:uiPriority w:val="99"/>
    <w:pPr>
      <w:shd w:val="clear" w:color="auto" w:fill="000080"/>
    </w:pPr>
    <w:rPr>
      <w:kern w:val="0"/>
      <w:sz w:val="20"/>
      <w:szCs w:val="20"/>
      <w:shd w:val="clear" w:color="auto" w:fill="000080"/>
    </w:rPr>
  </w:style>
  <w:style w:type="paragraph" w:styleId="18">
    <w:name w:val="annotation text"/>
    <w:basedOn w:val="1"/>
    <w:link w:val="74"/>
    <w:semiHidden/>
    <w:qFormat/>
    <w:uiPriority w:val="99"/>
    <w:pPr>
      <w:jc w:val="left"/>
    </w:pPr>
  </w:style>
  <w:style w:type="paragraph" w:styleId="19">
    <w:name w:val="Body Text 3"/>
    <w:basedOn w:val="1"/>
    <w:link w:val="75"/>
    <w:qFormat/>
    <w:uiPriority w:val="99"/>
    <w:rPr>
      <w:rFonts w:ascii="宋体" w:cs="宋体"/>
      <w:sz w:val="24"/>
      <w:szCs w:val="24"/>
    </w:rPr>
  </w:style>
  <w:style w:type="paragraph" w:styleId="20">
    <w:name w:val="Body Text"/>
    <w:basedOn w:val="1"/>
    <w:link w:val="76"/>
    <w:qFormat/>
    <w:uiPriority w:val="99"/>
    <w:pPr>
      <w:jc w:val="center"/>
    </w:pPr>
    <w:rPr>
      <w:b/>
      <w:bCs/>
      <w:sz w:val="44"/>
      <w:szCs w:val="44"/>
    </w:rPr>
  </w:style>
  <w:style w:type="paragraph" w:styleId="21">
    <w:name w:val="Block Text"/>
    <w:basedOn w:val="1"/>
    <w:qFormat/>
    <w:uiPriority w:val="99"/>
    <w:pPr>
      <w:spacing w:line="400" w:lineRule="exact"/>
      <w:ind w:left="-359" w:leftChars="-171" w:right="31" w:rightChars="15" w:firstLine="980" w:firstLineChars="350"/>
    </w:pPr>
    <w:rPr>
      <w:rFonts w:ascii="宋体" w:hAnsi="宋体" w:cs="宋体"/>
      <w:sz w:val="28"/>
      <w:szCs w:val="28"/>
    </w:rPr>
  </w:style>
  <w:style w:type="paragraph" w:styleId="22">
    <w:name w:val="index 4"/>
    <w:basedOn w:val="1"/>
    <w:next w:val="1"/>
    <w:semiHidden/>
    <w:qFormat/>
    <w:uiPriority w:val="99"/>
    <w:pPr>
      <w:ind w:left="600" w:leftChars="600"/>
    </w:pPr>
  </w:style>
  <w:style w:type="paragraph" w:styleId="23">
    <w:name w:val="toc 5"/>
    <w:basedOn w:val="1"/>
    <w:next w:val="1"/>
    <w:semiHidden/>
    <w:qFormat/>
    <w:uiPriority w:val="99"/>
    <w:pPr>
      <w:tabs>
        <w:tab w:val="right" w:leader="dot" w:pos="8296"/>
      </w:tabs>
      <w:ind w:left="1050" w:leftChars="500"/>
    </w:pPr>
    <w:rPr>
      <w:rFonts w:ascii="Calibri" w:hAnsi="Calibri" w:cs="Calibri"/>
    </w:rPr>
  </w:style>
  <w:style w:type="paragraph" w:styleId="24">
    <w:name w:val="toc 3"/>
    <w:basedOn w:val="1"/>
    <w:next w:val="1"/>
    <w:semiHidden/>
    <w:qFormat/>
    <w:uiPriority w:val="99"/>
    <w:pPr>
      <w:ind w:left="840" w:leftChars="400"/>
    </w:pPr>
    <w:rPr>
      <w:rFonts w:ascii="Calibri" w:hAnsi="Calibri" w:cs="Calibri"/>
    </w:rPr>
  </w:style>
  <w:style w:type="paragraph" w:styleId="25">
    <w:name w:val="Plain Text"/>
    <w:basedOn w:val="1"/>
    <w:next w:val="1"/>
    <w:link w:val="78"/>
    <w:qFormat/>
    <w:uiPriority w:val="99"/>
    <w:rPr>
      <w:rFonts w:ascii="宋体" w:hAnsi="Courier New" w:cs="宋体"/>
    </w:rPr>
  </w:style>
  <w:style w:type="paragraph" w:styleId="26">
    <w:name w:val="toc 8"/>
    <w:basedOn w:val="1"/>
    <w:next w:val="1"/>
    <w:semiHidden/>
    <w:qFormat/>
    <w:uiPriority w:val="99"/>
    <w:pPr>
      <w:ind w:left="2940" w:leftChars="1400"/>
    </w:pPr>
    <w:rPr>
      <w:rFonts w:ascii="Calibri" w:hAnsi="Calibri" w:cs="Calibri"/>
    </w:rPr>
  </w:style>
  <w:style w:type="paragraph" w:styleId="27">
    <w:name w:val="Date"/>
    <w:basedOn w:val="1"/>
    <w:next w:val="1"/>
    <w:link w:val="79"/>
    <w:qFormat/>
    <w:uiPriority w:val="99"/>
    <w:rPr>
      <w:rFonts w:ascii="仿宋_GB2312" w:eastAsia="仿宋_GB2312" w:cs="仿宋_GB2312"/>
      <w:sz w:val="30"/>
      <w:szCs w:val="30"/>
    </w:rPr>
  </w:style>
  <w:style w:type="paragraph" w:styleId="28">
    <w:name w:val="Body Text Indent 2"/>
    <w:basedOn w:val="1"/>
    <w:link w:val="80"/>
    <w:qFormat/>
    <w:uiPriority w:val="99"/>
    <w:pPr>
      <w:spacing w:line="360" w:lineRule="exact"/>
      <w:ind w:firstLine="600" w:firstLineChars="250"/>
      <w:jc w:val="left"/>
    </w:pPr>
    <w:rPr>
      <w:sz w:val="24"/>
      <w:szCs w:val="24"/>
    </w:rPr>
  </w:style>
  <w:style w:type="paragraph" w:styleId="29">
    <w:name w:val="Balloon Text"/>
    <w:basedOn w:val="1"/>
    <w:link w:val="81"/>
    <w:semiHidden/>
    <w:qFormat/>
    <w:uiPriority w:val="99"/>
    <w:rPr>
      <w:sz w:val="18"/>
      <w:szCs w:val="18"/>
    </w:rPr>
  </w:style>
  <w:style w:type="paragraph" w:styleId="30">
    <w:name w:val="footer"/>
    <w:basedOn w:val="1"/>
    <w:link w:val="82"/>
    <w:qFormat/>
    <w:uiPriority w:val="99"/>
    <w:pPr>
      <w:tabs>
        <w:tab w:val="center" w:pos="4153"/>
        <w:tab w:val="right" w:pos="8306"/>
      </w:tabs>
      <w:snapToGrid w:val="0"/>
      <w:jc w:val="left"/>
    </w:pPr>
    <w:rPr>
      <w:sz w:val="18"/>
      <w:szCs w:val="18"/>
    </w:rPr>
  </w:style>
  <w:style w:type="paragraph" w:styleId="31">
    <w:name w:val="header"/>
    <w:basedOn w:val="1"/>
    <w:link w:val="83"/>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semiHidden/>
    <w:qFormat/>
    <w:uiPriority w:val="99"/>
    <w:pPr>
      <w:tabs>
        <w:tab w:val="right" w:leader="dot" w:pos="8296"/>
      </w:tabs>
    </w:pPr>
    <w:rPr>
      <w:rFonts w:ascii="宋体" w:eastAsia="楷体_GB2312" w:cs="宋体"/>
      <w:b/>
      <w:bCs/>
      <w:kern w:val="0"/>
      <w:sz w:val="28"/>
      <w:szCs w:val="28"/>
    </w:rPr>
  </w:style>
  <w:style w:type="paragraph" w:styleId="33">
    <w:name w:val="toc 4"/>
    <w:basedOn w:val="1"/>
    <w:next w:val="1"/>
    <w:semiHidden/>
    <w:qFormat/>
    <w:uiPriority w:val="99"/>
    <w:pPr>
      <w:tabs>
        <w:tab w:val="left" w:pos="1890"/>
        <w:tab w:val="right" w:leader="dot" w:pos="8296"/>
      </w:tabs>
      <w:ind w:left="630" w:leftChars="300"/>
    </w:pPr>
    <w:rPr>
      <w:rFonts w:ascii="Calibri" w:hAnsi="Calibri" w:cs="Calibri"/>
    </w:rPr>
  </w:style>
  <w:style w:type="paragraph" w:styleId="34">
    <w:name w:val="Subtitle"/>
    <w:basedOn w:val="1"/>
    <w:next w:val="1"/>
    <w:link w:val="84"/>
    <w:qFormat/>
    <w:uiPriority w:val="99"/>
    <w:pPr>
      <w:spacing w:before="240" w:after="60" w:line="312" w:lineRule="auto"/>
      <w:jc w:val="center"/>
      <w:outlineLvl w:val="1"/>
    </w:pPr>
    <w:rPr>
      <w:rFonts w:ascii="Cambria" w:hAnsi="Cambria" w:cs="Cambria"/>
      <w:b/>
      <w:bCs/>
      <w:kern w:val="28"/>
      <w:sz w:val="32"/>
      <w:szCs w:val="32"/>
    </w:rPr>
  </w:style>
  <w:style w:type="paragraph" w:styleId="35">
    <w:name w:val="footnote text"/>
    <w:basedOn w:val="1"/>
    <w:link w:val="85"/>
    <w:semiHidden/>
    <w:qFormat/>
    <w:uiPriority w:val="99"/>
    <w:rPr>
      <w:sz w:val="20"/>
      <w:szCs w:val="20"/>
    </w:rPr>
  </w:style>
  <w:style w:type="paragraph" w:styleId="36">
    <w:name w:val="toc 6"/>
    <w:basedOn w:val="1"/>
    <w:next w:val="1"/>
    <w:semiHidden/>
    <w:qFormat/>
    <w:uiPriority w:val="99"/>
    <w:pPr>
      <w:ind w:left="2100" w:leftChars="1000"/>
    </w:pPr>
    <w:rPr>
      <w:rFonts w:ascii="Calibri" w:hAnsi="Calibri" w:cs="Calibri"/>
    </w:rPr>
  </w:style>
  <w:style w:type="paragraph" w:styleId="37">
    <w:name w:val="Body Text Indent 3"/>
    <w:basedOn w:val="1"/>
    <w:link w:val="86"/>
    <w:qFormat/>
    <w:uiPriority w:val="99"/>
    <w:pPr>
      <w:spacing w:after="120"/>
      <w:ind w:left="420" w:leftChars="200"/>
    </w:pPr>
    <w:rPr>
      <w:sz w:val="16"/>
      <w:szCs w:val="16"/>
    </w:rPr>
  </w:style>
  <w:style w:type="paragraph" w:styleId="38">
    <w:name w:val="table of figures"/>
    <w:basedOn w:val="1"/>
    <w:next w:val="1"/>
    <w:semiHidden/>
    <w:qFormat/>
    <w:uiPriority w:val="99"/>
    <w:pPr>
      <w:ind w:left="200" w:leftChars="200" w:hanging="200" w:hangingChars="200"/>
    </w:pPr>
  </w:style>
  <w:style w:type="paragraph" w:styleId="39">
    <w:name w:val="toc 2"/>
    <w:basedOn w:val="1"/>
    <w:next w:val="1"/>
    <w:semiHidden/>
    <w:qFormat/>
    <w:uiPriority w:val="99"/>
    <w:pPr>
      <w:ind w:left="420" w:leftChars="200"/>
    </w:pPr>
    <w:rPr>
      <w:rFonts w:ascii="宋体" w:cs="宋体"/>
      <w:b/>
      <w:bCs/>
      <w:sz w:val="28"/>
      <w:szCs w:val="28"/>
    </w:rPr>
  </w:style>
  <w:style w:type="paragraph" w:styleId="40">
    <w:name w:val="toc 9"/>
    <w:basedOn w:val="1"/>
    <w:next w:val="1"/>
    <w:semiHidden/>
    <w:qFormat/>
    <w:uiPriority w:val="99"/>
    <w:pPr>
      <w:ind w:left="3360" w:leftChars="1600"/>
    </w:pPr>
    <w:rPr>
      <w:rFonts w:ascii="Calibri" w:hAnsi="Calibri" w:cs="Calibri"/>
    </w:rPr>
  </w:style>
  <w:style w:type="paragraph" w:styleId="41">
    <w:name w:val="Body Text 2"/>
    <w:basedOn w:val="1"/>
    <w:link w:val="87"/>
    <w:qFormat/>
    <w:uiPriority w:val="99"/>
    <w:pPr>
      <w:spacing w:line="440" w:lineRule="exact"/>
    </w:pPr>
    <w:rPr>
      <w:sz w:val="28"/>
      <w:szCs w:val="28"/>
    </w:rPr>
  </w:style>
  <w:style w:type="paragraph" w:styleId="42">
    <w:name w:val="Normal (Web)"/>
    <w:basedOn w:val="1"/>
    <w:qFormat/>
    <w:uiPriority w:val="99"/>
    <w:pPr>
      <w:widowControl/>
      <w:spacing w:before="100" w:beforeAutospacing="1" w:after="100" w:afterAutospacing="1" w:line="320" w:lineRule="atLeast"/>
      <w:jc w:val="left"/>
    </w:pPr>
    <w:rPr>
      <w:rFonts w:ascii="宋体" w:hAnsi="宋体" w:cs="宋体"/>
      <w:kern w:val="0"/>
      <w:sz w:val="18"/>
      <w:szCs w:val="18"/>
    </w:rPr>
  </w:style>
  <w:style w:type="paragraph" w:styleId="43">
    <w:name w:val="Title"/>
    <w:basedOn w:val="1"/>
    <w:next w:val="1"/>
    <w:link w:val="88"/>
    <w:qFormat/>
    <w:uiPriority w:val="99"/>
    <w:pPr>
      <w:spacing w:before="240" w:after="60"/>
      <w:jc w:val="center"/>
      <w:outlineLvl w:val="0"/>
    </w:pPr>
    <w:rPr>
      <w:rFonts w:ascii="Cambria" w:hAnsi="Cambria" w:cs="Cambria"/>
      <w:b/>
      <w:bCs/>
      <w:sz w:val="32"/>
      <w:szCs w:val="32"/>
    </w:rPr>
  </w:style>
  <w:style w:type="paragraph" w:styleId="44">
    <w:name w:val="annotation subject"/>
    <w:basedOn w:val="18"/>
    <w:next w:val="18"/>
    <w:link w:val="89"/>
    <w:semiHidden/>
    <w:qFormat/>
    <w:uiPriority w:val="99"/>
    <w:rPr>
      <w:rFonts w:ascii="宋体" w:cs="宋体"/>
      <w:b/>
      <w:bCs/>
      <w:kern w:val="0"/>
      <w:sz w:val="28"/>
      <w:szCs w:val="28"/>
    </w:rPr>
  </w:style>
  <w:style w:type="table" w:styleId="46">
    <w:name w:val="Table Grid"/>
    <w:basedOn w:val="4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qFormat/>
    <w:uiPriority w:val="99"/>
    <w:rPr>
      <w:rFonts w:cs="Times New Roman"/>
      <w:b/>
      <w:bCs/>
    </w:rPr>
  </w:style>
  <w:style w:type="character" w:styleId="49">
    <w:name w:val="page number"/>
    <w:basedOn w:val="47"/>
    <w:qFormat/>
    <w:uiPriority w:val="99"/>
    <w:rPr>
      <w:rFonts w:cs="Times New Roman"/>
    </w:rPr>
  </w:style>
  <w:style w:type="character" w:styleId="50">
    <w:name w:val="FollowedHyperlink"/>
    <w:basedOn w:val="47"/>
    <w:qFormat/>
    <w:uiPriority w:val="99"/>
    <w:rPr>
      <w:rFonts w:cs="Times New Roman"/>
      <w:color w:val="333333"/>
      <w:u w:val="none"/>
    </w:rPr>
  </w:style>
  <w:style w:type="character" w:styleId="51">
    <w:name w:val="Emphasis"/>
    <w:basedOn w:val="47"/>
    <w:qFormat/>
    <w:uiPriority w:val="99"/>
    <w:rPr>
      <w:rFonts w:cs="Times New Roman"/>
      <w:color w:val="auto"/>
    </w:rPr>
  </w:style>
  <w:style w:type="character" w:styleId="52">
    <w:name w:val="HTML Definition"/>
    <w:basedOn w:val="47"/>
    <w:qFormat/>
    <w:uiPriority w:val="99"/>
    <w:rPr>
      <w:rFonts w:cs="Times New Roman"/>
    </w:rPr>
  </w:style>
  <w:style w:type="character" w:styleId="53">
    <w:name w:val="HTML Typewriter"/>
    <w:basedOn w:val="47"/>
    <w:qFormat/>
    <w:uiPriority w:val="99"/>
    <w:rPr>
      <w:rFonts w:ascii="monospace" w:hAnsi="monospace" w:cs="monospace"/>
      <w:sz w:val="20"/>
    </w:rPr>
  </w:style>
  <w:style w:type="character" w:styleId="54">
    <w:name w:val="HTML Acronym"/>
    <w:basedOn w:val="47"/>
    <w:qFormat/>
    <w:uiPriority w:val="99"/>
    <w:rPr>
      <w:rFonts w:cs="Times New Roman"/>
    </w:rPr>
  </w:style>
  <w:style w:type="character" w:styleId="55">
    <w:name w:val="HTML Variable"/>
    <w:basedOn w:val="47"/>
    <w:qFormat/>
    <w:uiPriority w:val="99"/>
    <w:rPr>
      <w:rFonts w:cs="Times New Roman"/>
    </w:rPr>
  </w:style>
  <w:style w:type="character" w:styleId="56">
    <w:name w:val="Hyperlink"/>
    <w:basedOn w:val="47"/>
    <w:qFormat/>
    <w:uiPriority w:val="99"/>
    <w:rPr>
      <w:rFonts w:cs="Times New Roman"/>
      <w:color w:val="333333"/>
      <w:u w:val="none"/>
    </w:rPr>
  </w:style>
  <w:style w:type="character" w:styleId="57">
    <w:name w:val="HTML Code"/>
    <w:basedOn w:val="47"/>
    <w:qFormat/>
    <w:uiPriority w:val="99"/>
    <w:rPr>
      <w:rFonts w:ascii="monospace" w:hAnsi="monospace" w:cs="monospace"/>
      <w:sz w:val="20"/>
    </w:rPr>
  </w:style>
  <w:style w:type="character" w:styleId="58">
    <w:name w:val="annotation reference"/>
    <w:basedOn w:val="47"/>
    <w:semiHidden/>
    <w:qFormat/>
    <w:uiPriority w:val="99"/>
    <w:rPr>
      <w:rFonts w:cs="Times New Roman"/>
      <w:sz w:val="21"/>
      <w:szCs w:val="21"/>
    </w:rPr>
  </w:style>
  <w:style w:type="character" w:styleId="59">
    <w:name w:val="HTML Cite"/>
    <w:basedOn w:val="47"/>
    <w:qFormat/>
    <w:uiPriority w:val="99"/>
    <w:rPr>
      <w:rFonts w:cs="Times New Roman"/>
    </w:rPr>
  </w:style>
  <w:style w:type="character" w:styleId="60">
    <w:name w:val="footnote reference"/>
    <w:basedOn w:val="47"/>
    <w:semiHidden/>
    <w:qFormat/>
    <w:uiPriority w:val="99"/>
    <w:rPr>
      <w:rFonts w:cs="Times New Roman"/>
      <w:vertAlign w:val="superscript"/>
    </w:rPr>
  </w:style>
  <w:style w:type="character" w:styleId="61">
    <w:name w:val="HTML Keyboard"/>
    <w:basedOn w:val="47"/>
    <w:qFormat/>
    <w:uiPriority w:val="99"/>
    <w:rPr>
      <w:rFonts w:ascii="monospace" w:hAnsi="monospace" w:cs="monospace"/>
      <w:sz w:val="20"/>
    </w:rPr>
  </w:style>
  <w:style w:type="character" w:styleId="62">
    <w:name w:val="HTML Sample"/>
    <w:basedOn w:val="47"/>
    <w:qFormat/>
    <w:uiPriority w:val="99"/>
    <w:rPr>
      <w:rFonts w:ascii="monospace" w:hAnsi="monospace" w:cs="monospace"/>
    </w:rPr>
  </w:style>
  <w:style w:type="paragraph" w:customStyle="1" w:styleId="63">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character" w:customStyle="1" w:styleId="64">
    <w:name w:val="Heading 1 Char"/>
    <w:basedOn w:val="47"/>
    <w:link w:val="6"/>
    <w:qFormat/>
    <w:locked/>
    <w:uiPriority w:val="99"/>
    <w:rPr>
      <w:rFonts w:ascii="Times New Roman" w:hAnsi="Times New Roman" w:eastAsia="仿宋" w:cs="Times New Roman"/>
      <w:b/>
      <w:bCs/>
      <w:kern w:val="44"/>
      <w:sz w:val="44"/>
      <w:szCs w:val="44"/>
      <w:lang w:val="en-US" w:eastAsia="zh-CN"/>
    </w:rPr>
  </w:style>
  <w:style w:type="character" w:customStyle="1" w:styleId="65">
    <w:name w:val="Heading 2 Char"/>
    <w:basedOn w:val="47"/>
    <w:link w:val="7"/>
    <w:qFormat/>
    <w:locked/>
    <w:uiPriority w:val="99"/>
    <w:rPr>
      <w:rFonts w:ascii="Arial" w:hAnsi="Arial" w:eastAsia="黑体" w:cs="Arial"/>
      <w:b/>
      <w:bCs/>
      <w:kern w:val="2"/>
      <w:sz w:val="32"/>
      <w:szCs w:val="32"/>
      <w:lang w:val="en-US" w:eastAsia="zh-CN"/>
    </w:rPr>
  </w:style>
  <w:style w:type="character" w:customStyle="1" w:styleId="66">
    <w:name w:val="Heading 3 Char"/>
    <w:basedOn w:val="47"/>
    <w:link w:val="8"/>
    <w:qFormat/>
    <w:locked/>
    <w:uiPriority w:val="99"/>
    <w:rPr>
      <w:rFonts w:eastAsia="宋体" w:cs="Times New Roman"/>
      <w:b/>
      <w:bCs/>
      <w:kern w:val="2"/>
      <w:sz w:val="32"/>
      <w:szCs w:val="32"/>
      <w:lang w:val="en-US" w:eastAsia="zh-CN"/>
    </w:rPr>
  </w:style>
  <w:style w:type="character" w:customStyle="1" w:styleId="67">
    <w:name w:val="Heading 4 Char"/>
    <w:basedOn w:val="47"/>
    <w:link w:val="9"/>
    <w:qFormat/>
    <w:locked/>
    <w:uiPriority w:val="99"/>
    <w:rPr>
      <w:rFonts w:ascii="Cambria" w:hAnsi="Cambria" w:eastAsia="宋体" w:cs="Cambria"/>
      <w:b/>
      <w:bCs/>
      <w:kern w:val="2"/>
      <w:sz w:val="28"/>
      <w:szCs w:val="28"/>
      <w:lang w:val="en-US" w:eastAsia="zh-CN"/>
    </w:rPr>
  </w:style>
  <w:style w:type="character" w:customStyle="1" w:styleId="68">
    <w:name w:val="Heading 5 Char"/>
    <w:basedOn w:val="47"/>
    <w:link w:val="10"/>
    <w:qFormat/>
    <w:locked/>
    <w:uiPriority w:val="99"/>
    <w:rPr>
      <w:rFonts w:ascii="Calibri" w:hAnsi="Calibri" w:eastAsia="宋体" w:cs="Calibri"/>
      <w:b/>
      <w:bCs/>
      <w:kern w:val="2"/>
      <w:sz w:val="28"/>
      <w:szCs w:val="28"/>
      <w:lang w:val="en-US" w:eastAsia="zh-CN"/>
    </w:rPr>
  </w:style>
  <w:style w:type="character" w:customStyle="1" w:styleId="69">
    <w:name w:val="Heading 6 Char"/>
    <w:basedOn w:val="47"/>
    <w:link w:val="11"/>
    <w:qFormat/>
    <w:locked/>
    <w:uiPriority w:val="99"/>
    <w:rPr>
      <w:rFonts w:ascii="Cambria" w:hAnsi="Cambria" w:eastAsia="宋体" w:cs="Cambria"/>
      <w:b/>
      <w:bCs/>
      <w:kern w:val="2"/>
      <w:sz w:val="24"/>
      <w:szCs w:val="24"/>
      <w:lang w:val="en-US" w:eastAsia="zh-CN"/>
    </w:rPr>
  </w:style>
  <w:style w:type="character" w:customStyle="1" w:styleId="70">
    <w:name w:val="Heading 7 Char"/>
    <w:basedOn w:val="47"/>
    <w:link w:val="12"/>
    <w:qFormat/>
    <w:locked/>
    <w:uiPriority w:val="99"/>
    <w:rPr>
      <w:rFonts w:ascii="Calibri" w:hAnsi="Calibri" w:eastAsia="宋体" w:cs="Calibri"/>
      <w:b/>
      <w:bCs/>
      <w:kern w:val="2"/>
      <w:sz w:val="24"/>
      <w:szCs w:val="24"/>
      <w:lang w:val="en-US" w:eastAsia="zh-CN"/>
    </w:rPr>
  </w:style>
  <w:style w:type="character" w:customStyle="1" w:styleId="71">
    <w:name w:val="Heading 8 Char"/>
    <w:basedOn w:val="47"/>
    <w:link w:val="13"/>
    <w:qFormat/>
    <w:locked/>
    <w:uiPriority w:val="99"/>
    <w:rPr>
      <w:rFonts w:ascii="Cambria" w:hAnsi="Cambria" w:eastAsia="宋体" w:cs="Cambria"/>
      <w:kern w:val="2"/>
      <w:sz w:val="24"/>
      <w:szCs w:val="24"/>
      <w:lang w:val="en-US" w:eastAsia="zh-CN"/>
    </w:rPr>
  </w:style>
  <w:style w:type="character" w:customStyle="1" w:styleId="72">
    <w:name w:val="Heading 9 Char"/>
    <w:basedOn w:val="47"/>
    <w:link w:val="14"/>
    <w:qFormat/>
    <w:locked/>
    <w:uiPriority w:val="99"/>
    <w:rPr>
      <w:rFonts w:ascii="Cambria" w:hAnsi="Cambria" w:eastAsia="宋体" w:cs="Cambria"/>
      <w:kern w:val="2"/>
      <w:sz w:val="21"/>
      <w:szCs w:val="21"/>
      <w:lang w:val="en-US" w:eastAsia="zh-CN"/>
    </w:rPr>
  </w:style>
  <w:style w:type="character" w:customStyle="1" w:styleId="73">
    <w:name w:val="Document Map Char"/>
    <w:basedOn w:val="47"/>
    <w:link w:val="17"/>
    <w:qFormat/>
    <w:locked/>
    <w:uiPriority w:val="99"/>
    <w:rPr>
      <w:rFonts w:cs="Times New Roman"/>
      <w:sz w:val="24"/>
      <w:szCs w:val="24"/>
      <w:shd w:val="clear" w:color="auto" w:fill="000080"/>
    </w:rPr>
  </w:style>
  <w:style w:type="character" w:customStyle="1" w:styleId="74">
    <w:name w:val="Comment Text Char"/>
    <w:basedOn w:val="47"/>
    <w:link w:val="18"/>
    <w:qFormat/>
    <w:locked/>
    <w:uiPriority w:val="99"/>
    <w:rPr>
      <w:rFonts w:cs="Times New Roman"/>
      <w:kern w:val="2"/>
      <w:sz w:val="22"/>
      <w:szCs w:val="22"/>
    </w:rPr>
  </w:style>
  <w:style w:type="character" w:customStyle="1" w:styleId="75">
    <w:name w:val="Body Text 3 Char"/>
    <w:basedOn w:val="47"/>
    <w:link w:val="19"/>
    <w:semiHidden/>
    <w:qFormat/>
    <w:locked/>
    <w:uiPriority w:val="99"/>
    <w:rPr>
      <w:rFonts w:cs="Times New Roman"/>
      <w:sz w:val="16"/>
      <w:szCs w:val="16"/>
    </w:rPr>
  </w:style>
  <w:style w:type="character" w:customStyle="1" w:styleId="76">
    <w:name w:val="Body Text Char"/>
    <w:basedOn w:val="47"/>
    <w:link w:val="20"/>
    <w:qFormat/>
    <w:locked/>
    <w:uiPriority w:val="99"/>
    <w:rPr>
      <w:rFonts w:eastAsia="宋体" w:cs="Times New Roman"/>
      <w:b/>
      <w:bCs/>
      <w:kern w:val="2"/>
      <w:sz w:val="44"/>
      <w:szCs w:val="44"/>
      <w:lang w:val="en-US" w:eastAsia="zh-CN"/>
    </w:rPr>
  </w:style>
  <w:style w:type="character" w:customStyle="1" w:styleId="77">
    <w:name w:val="Body Text Indent Char"/>
    <w:basedOn w:val="47"/>
    <w:link w:val="3"/>
    <w:semiHidden/>
    <w:qFormat/>
    <w:locked/>
    <w:uiPriority w:val="99"/>
    <w:rPr>
      <w:rFonts w:cs="Times New Roman"/>
      <w:sz w:val="21"/>
      <w:szCs w:val="21"/>
    </w:rPr>
  </w:style>
  <w:style w:type="character" w:customStyle="1" w:styleId="78">
    <w:name w:val="Plain Text Char"/>
    <w:basedOn w:val="47"/>
    <w:link w:val="25"/>
    <w:semiHidden/>
    <w:qFormat/>
    <w:locked/>
    <w:uiPriority w:val="99"/>
    <w:rPr>
      <w:rFonts w:ascii="宋体" w:hAnsi="Courier New" w:cs="Courier New"/>
      <w:sz w:val="21"/>
      <w:szCs w:val="21"/>
    </w:rPr>
  </w:style>
  <w:style w:type="character" w:customStyle="1" w:styleId="79">
    <w:name w:val="Date Char"/>
    <w:basedOn w:val="47"/>
    <w:link w:val="27"/>
    <w:qFormat/>
    <w:locked/>
    <w:uiPriority w:val="99"/>
    <w:rPr>
      <w:rFonts w:ascii="仿宋_GB2312" w:eastAsia="仿宋_GB2312" w:cs="仿宋_GB2312"/>
      <w:kern w:val="2"/>
      <w:sz w:val="30"/>
      <w:szCs w:val="30"/>
      <w:lang w:val="en-US" w:eastAsia="zh-CN"/>
    </w:rPr>
  </w:style>
  <w:style w:type="character" w:customStyle="1" w:styleId="80">
    <w:name w:val="Body Text Indent 2 Char"/>
    <w:basedOn w:val="47"/>
    <w:link w:val="28"/>
    <w:semiHidden/>
    <w:qFormat/>
    <w:locked/>
    <w:uiPriority w:val="99"/>
    <w:rPr>
      <w:rFonts w:cs="Times New Roman"/>
      <w:sz w:val="21"/>
      <w:szCs w:val="21"/>
    </w:rPr>
  </w:style>
  <w:style w:type="character" w:customStyle="1" w:styleId="81">
    <w:name w:val="Balloon Text Char"/>
    <w:basedOn w:val="47"/>
    <w:link w:val="29"/>
    <w:semiHidden/>
    <w:qFormat/>
    <w:locked/>
    <w:uiPriority w:val="99"/>
    <w:rPr>
      <w:rFonts w:cs="Times New Roman"/>
      <w:sz w:val="2"/>
    </w:rPr>
  </w:style>
  <w:style w:type="character" w:customStyle="1" w:styleId="82">
    <w:name w:val="Footer Char"/>
    <w:basedOn w:val="47"/>
    <w:link w:val="30"/>
    <w:qFormat/>
    <w:locked/>
    <w:uiPriority w:val="99"/>
    <w:rPr>
      <w:rFonts w:eastAsia="宋体" w:cs="Times New Roman"/>
      <w:kern w:val="2"/>
      <w:sz w:val="18"/>
      <w:szCs w:val="18"/>
      <w:lang w:val="en-US" w:eastAsia="zh-CN"/>
    </w:rPr>
  </w:style>
  <w:style w:type="character" w:customStyle="1" w:styleId="83">
    <w:name w:val="Header Char"/>
    <w:basedOn w:val="47"/>
    <w:link w:val="31"/>
    <w:qFormat/>
    <w:locked/>
    <w:uiPriority w:val="99"/>
    <w:rPr>
      <w:rFonts w:eastAsia="宋体" w:cs="Times New Roman"/>
      <w:kern w:val="2"/>
      <w:sz w:val="18"/>
      <w:szCs w:val="18"/>
      <w:lang w:val="en-US" w:eastAsia="zh-CN"/>
    </w:rPr>
  </w:style>
  <w:style w:type="character" w:customStyle="1" w:styleId="84">
    <w:name w:val="Subtitle Char"/>
    <w:basedOn w:val="47"/>
    <w:link w:val="34"/>
    <w:qFormat/>
    <w:locked/>
    <w:uiPriority w:val="99"/>
    <w:rPr>
      <w:rFonts w:ascii="Cambria" w:hAnsi="Cambria" w:cs="Cambria"/>
      <w:b/>
      <w:bCs/>
      <w:kern w:val="28"/>
      <w:sz w:val="32"/>
      <w:szCs w:val="32"/>
    </w:rPr>
  </w:style>
  <w:style w:type="character" w:customStyle="1" w:styleId="85">
    <w:name w:val="Footnote Text Char"/>
    <w:basedOn w:val="47"/>
    <w:link w:val="35"/>
    <w:semiHidden/>
    <w:qFormat/>
    <w:locked/>
    <w:uiPriority w:val="99"/>
    <w:rPr>
      <w:rFonts w:cs="Times New Roman"/>
      <w:sz w:val="18"/>
      <w:szCs w:val="18"/>
    </w:rPr>
  </w:style>
  <w:style w:type="character" w:customStyle="1" w:styleId="86">
    <w:name w:val="Body Text Indent 3 Char"/>
    <w:basedOn w:val="47"/>
    <w:link w:val="37"/>
    <w:semiHidden/>
    <w:qFormat/>
    <w:locked/>
    <w:uiPriority w:val="99"/>
    <w:rPr>
      <w:rFonts w:cs="Times New Roman"/>
      <w:sz w:val="16"/>
      <w:szCs w:val="16"/>
    </w:rPr>
  </w:style>
  <w:style w:type="character" w:customStyle="1" w:styleId="87">
    <w:name w:val="Body Text 2 Char"/>
    <w:basedOn w:val="47"/>
    <w:link w:val="41"/>
    <w:semiHidden/>
    <w:qFormat/>
    <w:locked/>
    <w:uiPriority w:val="99"/>
    <w:rPr>
      <w:rFonts w:cs="Times New Roman"/>
      <w:sz w:val="21"/>
      <w:szCs w:val="21"/>
    </w:rPr>
  </w:style>
  <w:style w:type="character" w:customStyle="1" w:styleId="88">
    <w:name w:val="Title Char"/>
    <w:basedOn w:val="47"/>
    <w:link w:val="43"/>
    <w:qFormat/>
    <w:locked/>
    <w:uiPriority w:val="99"/>
    <w:rPr>
      <w:rFonts w:ascii="Cambria" w:hAnsi="Cambria" w:cs="Cambria"/>
      <w:b/>
      <w:bCs/>
      <w:kern w:val="2"/>
      <w:sz w:val="32"/>
      <w:szCs w:val="32"/>
    </w:rPr>
  </w:style>
  <w:style w:type="character" w:customStyle="1" w:styleId="89">
    <w:name w:val="Comment Subject Char"/>
    <w:basedOn w:val="74"/>
    <w:link w:val="44"/>
    <w:qFormat/>
    <w:locked/>
    <w:uiPriority w:val="99"/>
    <w:rPr>
      <w:rFonts w:ascii="宋体" w:cs="宋体"/>
      <w:b/>
      <w:bCs/>
      <w:sz w:val="28"/>
      <w:szCs w:val="28"/>
    </w:rPr>
  </w:style>
  <w:style w:type="character" w:customStyle="1" w:styleId="90">
    <w:name w:val="Body Text First Indent 2 Char"/>
    <w:basedOn w:val="77"/>
    <w:link w:val="2"/>
    <w:semiHidden/>
    <w:qFormat/>
    <w:locked/>
    <w:uiPriority w:val="99"/>
  </w:style>
  <w:style w:type="character" w:customStyle="1" w:styleId="91">
    <w:name w:val="批注文字 Char Char"/>
    <w:qFormat/>
    <w:uiPriority w:val="99"/>
    <w:rPr>
      <w:rFonts w:ascii="宋体" w:hAnsi="Times New Roman" w:eastAsia="宋体"/>
      <w:sz w:val="20"/>
    </w:rPr>
  </w:style>
  <w:style w:type="character" w:customStyle="1" w:styleId="92">
    <w:name w:val="标题 1 Char Char"/>
    <w:qFormat/>
    <w:locked/>
    <w:uiPriority w:val="99"/>
    <w:rPr>
      <w:rFonts w:eastAsia="宋体"/>
      <w:b/>
      <w:kern w:val="44"/>
      <w:sz w:val="44"/>
      <w:lang w:val="en-US" w:eastAsia="zh-CN"/>
    </w:rPr>
  </w:style>
  <w:style w:type="character" w:customStyle="1" w:styleId="93">
    <w:name w:val="Char Char"/>
    <w:qFormat/>
    <w:uiPriority w:val="99"/>
    <w:rPr>
      <w:rFonts w:ascii="Arial" w:hAnsi="Arial" w:eastAsia="黑体"/>
      <w:b/>
      <w:kern w:val="2"/>
      <w:sz w:val="32"/>
      <w:lang w:val="en-US" w:eastAsia="zh-CN"/>
    </w:rPr>
  </w:style>
  <w:style w:type="character" w:customStyle="1" w:styleId="94">
    <w:name w:val="明显参考1"/>
    <w:qFormat/>
    <w:uiPriority w:val="99"/>
    <w:rPr>
      <w:b/>
      <w:smallCaps/>
      <w:color w:val="auto"/>
      <w:spacing w:val="5"/>
      <w:u w:val="single"/>
    </w:rPr>
  </w:style>
  <w:style w:type="character" w:customStyle="1" w:styleId="95">
    <w:name w:val="明显强调1"/>
    <w:qFormat/>
    <w:uiPriority w:val="99"/>
    <w:rPr>
      <w:b/>
      <w:i/>
      <w:color w:val="4F81BD"/>
    </w:rPr>
  </w:style>
  <w:style w:type="character" w:customStyle="1" w:styleId="96">
    <w:name w:val="文档结构图 Char1"/>
    <w:qFormat/>
    <w:uiPriority w:val="99"/>
    <w:rPr>
      <w:rFonts w:ascii="宋体"/>
      <w:kern w:val="2"/>
      <w:sz w:val="18"/>
    </w:rPr>
  </w:style>
  <w:style w:type="character" w:customStyle="1" w:styleId="97">
    <w:name w:val="日期 Char"/>
    <w:qFormat/>
    <w:uiPriority w:val="99"/>
    <w:rPr>
      <w:rFonts w:ascii="仿宋_GB2312" w:eastAsia="仿宋_GB2312"/>
      <w:kern w:val="2"/>
      <w:sz w:val="30"/>
      <w:lang w:val="en-US" w:eastAsia="zh-CN"/>
    </w:rPr>
  </w:style>
  <w:style w:type="character" w:customStyle="1" w:styleId="98">
    <w:name w:val="textcontents"/>
    <w:qFormat/>
    <w:uiPriority w:val="99"/>
  </w:style>
  <w:style w:type="character" w:customStyle="1" w:styleId="99">
    <w:name w:val="引用 Char"/>
    <w:link w:val="100"/>
    <w:qFormat/>
    <w:locked/>
    <w:uiPriority w:val="99"/>
    <w:rPr>
      <w:i/>
      <w:color w:val="000000"/>
      <w:kern w:val="2"/>
      <w:sz w:val="22"/>
    </w:rPr>
  </w:style>
  <w:style w:type="paragraph" w:customStyle="1" w:styleId="100">
    <w:name w:val="引用1"/>
    <w:basedOn w:val="1"/>
    <w:next w:val="1"/>
    <w:link w:val="99"/>
    <w:qFormat/>
    <w:uiPriority w:val="99"/>
    <w:rPr>
      <w:i/>
      <w:color w:val="000000"/>
      <w:sz w:val="22"/>
      <w:szCs w:val="20"/>
    </w:rPr>
  </w:style>
  <w:style w:type="character" w:customStyle="1" w:styleId="101">
    <w:name w:val="日期 Char1"/>
    <w:qFormat/>
    <w:uiPriority w:val="99"/>
    <w:rPr>
      <w:kern w:val="2"/>
      <w:sz w:val="22"/>
    </w:rPr>
  </w:style>
  <w:style w:type="character" w:customStyle="1" w:styleId="102">
    <w:name w:val="不明显参考1"/>
    <w:qFormat/>
    <w:uiPriority w:val="99"/>
    <w:rPr>
      <w:smallCaps/>
      <w:color w:val="auto"/>
      <w:u w:val="single"/>
    </w:rPr>
  </w:style>
  <w:style w:type="character" w:customStyle="1" w:styleId="103">
    <w:name w:val="批注框文本 Char1"/>
    <w:qFormat/>
    <w:uiPriority w:val="99"/>
    <w:rPr>
      <w:kern w:val="2"/>
      <w:sz w:val="18"/>
    </w:rPr>
  </w:style>
  <w:style w:type="character" w:customStyle="1" w:styleId="104">
    <w:name w:val="不明显强调1"/>
    <w:qFormat/>
    <w:uiPriority w:val="99"/>
    <w:rPr>
      <w:i/>
      <w:color w:val="808080"/>
    </w:rPr>
  </w:style>
  <w:style w:type="character" w:customStyle="1" w:styleId="105">
    <w:name w:val="标题4 Char Char"/>
    <w:link w:val="106"/>
    <w:qFormat/>
    <w:locked/>
    <w:uiPriority w:val="99"/>
    <w:rPr>
      <w:rFonts w:ascii="Arial" w:hAnsi="Arial"/>
      <w:b/>
      <w:sz w:val="32"/>
    </w:rPr>
  </w:style>
  <w:style w:type="paragraph" w:customStyle="1" w:styleId="106">
    <w:name w:val="标题4"/>
    <w:basedOn w:val="7"/>
    <w:next w:val="22"/>
    <w:link w:val="105"/>
    <w:qFormat/>
    <w:uiPriority w:val="99"/>
    <w:pPr>
      <w:spacing w:line="413" w:lineRule="auto"/>
    </w:pPr>
    <w:rPr>
      <w:rFonts w:eastAsia="宋体" w:cs="Times New Roman"/>
      <w:bCs w:val="0"/>
      <w:kern w:val="0"/>
      <w:szCs w:val="20"/>
    </w:rPr>
  </w:style>
  <w:style w:type="character" w:customStyle="1" w:styleId="107">
    <w:name w:val="书籍标题1"/>
    <w:qFormat/>
    <w:uiPriority w:val="99"/>
    <w:rPr>
      <w:b/>
      <w:smallCaps/>
      <w:spacing w:val="5"/>
    </w:rPr>
  </w:style>
  <w:style w:type="character" w:customStyle="1" w:styleId="108">
    <w:name w:val="bigfont"/>
    <w:basedOn w:val="47"/>
    <w:qFormat/>
    <w:uiPriority w:val="99"/>
    <w:rPr>
      <w:rFonts w:cs="Times New Roman"/>
    </w:rPr>
  </w:style>
  <w:style w:type="character" w:customStyle="1" w:styleId="109">
    <w:name w:val="news_title1"/>
    <w:qFormat/>
    <w:uiPriority w:val="99"/>
    <w:rPr>
      <w:rFonts w:ascii="宋体" w:hAnsi="宋体" w:eastAsia="宋体"/>
      <w:b/>
      <w:color w:val="000000"/>
      <w:sz w:val="36"/>
      <w:u w:val="none"/>
    </w:rPr>
  </w:style>
  <w:style w:type="character" w:customStyle="1" w:styleId="110">
    <w:name w:val="标题5 Char Char"/>
    <w:link w:val="111"/>
    <w:qFormat/>
    <w:locked/>
    <w:uiPriority w:val="99"/>
    <w:rPr>
      <w:rFonts w:ascii="Arial" w:hAnsi="Arial"/>
      <w:b/>
      <w:sz w:val="32"/>
    </w:rPr>
  </w:style>
  <w:style w:type="paragraph" w:customStyle="1" w:styleId="111">
    <w:name w:val="标题5"/>
    <w:basedOn w:val="8"/>
    <w:link w:val="110"/>
    <w:qFormat/>
    <w:uiPriority w:val="99"/>
    <w:pPr>
      <w:spacing w:line="413" w:lineRule="auto"/>
    </w:pPr>
    <w:rPr>
      <w:rFonts w:ascii="Arial" w:hAnsi="Arial"/>
      <w:bCs w:val="0"/>
      <w:kern w:val="0"/>
      <w:szCs w:val="20"/>
    </w:rPr>
  </w:style>
  <w:style w:type="character" w:customStyle="1" w:styleId="112">
    <w:name w:val="font161"/>
    <w:qFormat/>
    <w:uiPriority w:val="99"/>
    <w:rPr>
      <w:b/>
      <w:sz w:val="32"/>
    </w:rPr>
  </w:style>
  <w:style w:type="character" w:customStyle="1" w:styleId="113">
    <w:name w:val="标题 2 Char Char"/>
    <w:qFormat/>
    <w:locked/>
    <w:uiPriority w:val="99"/>
    <w:rPr>
      <w:rFonts w:ascii="Arial" w:hAnsi="Arial" w:eastAsia="黑体"/>
      <w:b/>
      <w:kern w:val="2"/>
      <w:sz w:val="32"/>
      <w:lang w:val="en-US" w:eastAsia="zh-CN"/>
    </w:rPr>
  </w:style>
  <w:style w:type="character" w:customStyle="1" w:styleId="114">
    <w:name w:val="Char Char1"/>
    <w:qFormat/>
    <w:uiPriority w:val="99"/>
    <w:rPr>
      <w:rFonts w:ascii="宋体" w:hAnsi="Times New Roman"/>
      <w:sz w:val="28"/>
    </w:rPr>
  </w:style>
  <w:style w:type="character" w:customStyle="1" w:styleId="115">
    <w:name w:val="明显引用 Char"/>
    <w:link w:val="116"/>
    <w:qFormat/>
    <w:locked/>
    <w:uiPriority w:val="99"/>
    <w:rPr>
      <w:b/>
      <w:i/>
      <w:color w:val="4F81BD"/>
      <w:kern w:val="2"/>
      <w:sz w:val="22"/>
    </w:rPr>
  </w:style>
  <w:style w:type="paragraph" w:customStyle="1" w:styleId="116">
    <w:name w:val="明显引用1"/>
    <w:basedOn w:val="1"/>
    <w:next w:val="1"/>
    <w:link w:val="115"/>
    <w:qFormat/>
    <w:uiPriority w:val="99"/>
    <w:pPr>
      <w:pBdr>
        <w:bottom w:val="single" w:color="4F81BD" w:sz="4" w:space="4"/>
      </w:pBdr>
      <w:spacing w:before="200" w:after="280"/>
      <w:ind w:left="936" w:right="936"/>
    </w:pPr>
    <w:rPr>
      <w:b/>
      <w:i/>
      <w:color w:val="4F81BD"/>
      <w:sz w:val="22"/>
      <w:szCs w:val="20"/>
    </w:rPr>
  </w:style>
  <w:style w:type="character" w:customStyle="1" w:styleId="117">
    <w:name w:val="批注主题 Char1"/>
    <w:qFormat/>
    <w:uiPriority w:val="99"/>
    <w:rPr>
      <w:b/>
      <w:kern w:val="2"/>
      <w:sz w:val="22"/>
    </w:rPr>
  </w:style>
  <w:style w:type="character" w:customStyle="1" w:styleId="118">
    <w:name w:val="正文文本 Char1"/>
    <w:qFormat/>
    <w:uiPriority w:val="99"/>
    <w:rPr>
      <w:kern w:val="2"/>
      <w:sz w:val="22"/>
    </w:rPr>
  </w:style>
  <w:style w:type="paragraph" w:customStyle="1" w:styleId="119">
    <w:name w:val="默认段落字体 Para Char Char Char Char"/>
    <w:basedOn w:val="1"/>
    <w:qFormat/>
    <w:uiPriority w:val="99"/>
  </w:style>
  <w:style w:type="paragraph" w:customStyle="1" w:styleId="120">
    <w:name w:val="Char Char Char Char Char Char Char Char Char Char Char Char Char"/>
    <w:basedOn w:val="1"/>
    <w:qFormat/>
    <w:uiPriority w:val="99"/>
  </w:style>
  <w:style w:type="paragraph" w:customStyle="1" w:styleId="121">
    <w:name w:val="样式 标题 3 + (中文) 黑体 小四 非加粗 段前: 7.8 磅 段后: 0 磅 行距: 固定值 20 磅"/>
    <w:basedOn w:val="8"/>
    <w:qFormat/>
    <w:uiPriority w:val="99"/>
    <w:pPr>
      <w:spacing w:before="0" w:after="0" w:line="400" w:lineRule="exact"/>
    </w:pPr>
    <w:rPr>
      <w:rFonts w:eastAsia="黑体"/>
      <w:b w:val="0"/>
      <w:bCs w:val="0"/>
      <w:sz w:val="24"/>
      <w:szCs w:val="24"/>
    </w:rPr>
  </w:style>
  <w:style w:type="paragraph" w:customStyle="1" w:styleId="122">
    <w:name w:val="表格文字"/>
    <w:basedOn w:val="1"/>
    <w:qFormat/>
    <w:uiPriority w:val="99"/>
    <w:pPr>
      <w:adjustRightInd w:val="0"/>
      <w:spacing w:line="420" w:lineRule="atLeast"/>
      <w:jc w:val="left"/>
      <w:textAlignment w:val="baseline"/>
    </w:pPr>
    <w:rPr>
      <w:kern w:val="0"/>
    </w:rPr>
  </w:style>
  <w:style w:type="paragraph" w:customStyle="1" w:styleId="123">
    <w:name w:val="修订1"/>
    <w:qFormat/>
    <w:uiPriority w:val="99"/>
    <w:rPr>
      <w:rFonts w:ascii="Times New Roman" w:hAnsi="Times New Roman" w:eastAsia="宋体" w:cs="Times New Roman"/>
      <w:kern w:val="2"/>
      <w:sz w:val="21"/>
      <w:szCs w:val="21"/>
      <w:lang w:val="en-US" w:eastAsia="zh-CN" w:bidi="ar-SA"/>
    </w:rPr>
  </w:style>
  <w:style w:type="paragraph" w:customStyle="1" w:styleId="124">
    <w:name w:val="Char"/>
    <w:basedOn w:val="1"/>
    <w:next w:val="1"/>
    <w:qFormat/>
    <w:uiPriority w:val="99"/>
    <w:pPr>
      <w:widowControl/>
      <w:spacing w:line="360" w:lineRule="auto"/>
      <w:jc w:val="left"/>
    </w:pPr>
    <w:rPr>
      <w:kern w:val="0"/>
      <w:lang w:eastAsia="en-US"/>
    </w:rPr>
  </w:style>
  <w:style w:type="paragraph" w:customStyle="1" w:styleId="125">
    <w:name w:val="样式2"/>
    <w:basedOn w:val="8"/>
    <w:qFormat/>
    <w:uiPriority w:val="99"/>
    <w:pPr>
      <w:spacing w:line="413" w:lineRule="auto"/>
    </w:pPr>
  </w:style>
  <w:style w:type="paragraph" w:customStyle="1" w:styleId="126">
    <w:name w:val="6'"/>
    <w:basedOn w:val="1"/>
    <w:qFormat/>
    <w:uiPriority w:val="99"/>
    <w:pPr>
      <w:autoSpaceDE w:val="0"/>
      <w:autoSpaceDN w:val="0"/>
      <w:adjustRightInd w:val="0"/>
      <w:snapToGrid w:val="0"/>
      <w:spacing w:line="320" w:lineRule="exact"/>
      <w:jc w:val="center"/>
      <w:textAlignment w:val="baseline"/>
    </w:pPr>
    <w:rPr>
      <w:spacing w:val="20"/>
      <w:kern w:val="28"/>
    </w:rPr>
  </w:style>
  <w:style w:type="paragraph" w:customStyle="1" w:styleId="127">
    <w:name w:val="表格"/>
    <w:basedOn w:val="1"/>
    <w:qFormat/>
    <w:uiPriority w:val="99"/>
    <w:pPr>
      <w:jc w:val="center"/>
      <w:textAlignment w:val="center"/>
    </w:pPr>
    <w:rPr>
      <w:rFonts w:ascii="华文细黑" w:hAnsi="华文细黑" w:cs="华文细黑"/>
      <w:kern w:val="0"/>
    </w:rPr>
  </w:style>
  <w:style w:type="paragraph" w:customStyle="1" w:styleId="128">
    <w:name w:val="Blockquote"/>
    <w:basedOn w:val="1"/>
    <w:qFormat/>
    <w:uiPriority w:val="99"/>
    <w:pPr>
      <w:autoSpaceDE w:val="0"/>
      <w:autoSpaceDN w:val="0"/>
      <w:adjustRightInd w:val="0"/>
      <w:spacing w:before="100" w:after="100"/>
      <w:ind w:left="360" w:right="360"/>
      <w:jc w:val="left"/>
    </w:pPr>
    <w:rPr>
      <w:kern w:val="0"/>
      <w:sz w:val="24"/>
      <w:szCs w:val="24"/>
    </w:rPr>
  </w:style>
  <w:style w:type="paragraph" w:customStyle="1" w:styleId="129">
    <w:name w:val="1"/>
    <w:basedOn w:val="1"/>
    <w:next w:val="1"/>
    <w:qFormat/>
    <w:uiPriority w:val="99"/>
  </w:style>
  <w:style w:type="paragraph" w:customStyle="1" w:styleId="130">
    <w:name w:val="样式1"/>
    <w:basedOn w:val="8"/>
    <w:qFormat/>
    <w:uiPriority w:val="99"/>
    <w:pPr>
      <w:spacing w:line="413" w:lineRule="auto"/>
    </w:pPr>
  </w:style>
  <w:style w:type="paragraph" w:customStyle="1" w:styleId="131">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32">
    <w:name w:val="无间隔1"/>
    <w:qFormat/>
    <w:uiPriority w:val="99"/>
    <w:pPr>
      <w:widowControl w:val="0"/>
      <w:jc w:val="both"/>
    </w:pPr>
    <w:rPr>
      <w:rFonts w:ascii="Calibri" w:hAnsi="Calibri" w:eastAsia="宋体" w:cs="Calibri"/>
      <w:kern w:val="2"/>
      <w:sz w:val="21"/>
      <w:szCs w:val="21"/>
      <w:lang w:val="en-US" w:eastAsia="zh-CN" w:bidi="ar-SA"/>
    </w:rPr>
  </w:style>
  <w:style w:type="paragraph" w:customStyle="1" w:styleId="133">
    <w:name w:val="样式4"/>
    <w:basedOn w:val="8"/>
    <w:qFormat/>
    <w:uiPriority w:val="99"/>
    <w:pPr>
      <w:spacing w:line="413" w:lineRule="auto"/>
    </w:pPr>
  </w:style>
  <w:style w:type="paragraph" w:customStyle="1" w:styleId="134">
    <w:name w:val="TOC 标题1"/>
    <w:basedOn w:val="6"/>
    <w:next w:val="1"/>
    <w:qFormat/>
    <w:uiPriority w:val="99"/>
    <w:pPr>
      <w:spacing w:line="576" w:lineRule="auto"/>
      <w:outlineLvl w:val="9"/>
    </w:pPr>
    <w:rPr>
      <w:rFonts w:ascii="Calibri" w:hAnsi="Calibri" w:cs="Calibri"/>
    </w:rPr>
  </w:style>
  <w:style w:type="paragraph" w:customStyle="1" w:styleId="135">
    <w:name w:val="样式 标题 1 + 黑体 三号 非加粗 居中 段前: 6 磅 段后: 6 磅 行距: 固定值 20 磅"/>
    <w:basedOn w:val="6"/>
    <w:qFormat/>
    <w:uiPriority w:val="99"/>
    <w:pPr>
      <w:spacing w:before="120" w:after="120" w:line="400" w:lineRule="exact"/>
    </w:pPr>
    <w:rPr>
      <w:rFonts w:ascii="黑体" w:hAnsi="黑体" w:eastAsia="黑体" w:cs="黑体"/>
      <w:b w:val="0"/>
      <w:bCs w:val="0"/>
      <w:sz w:val="32"/>
      <w:szCs w:val="32"/>
    </w:rPr>
  </w:style>
  <w:style w:type="paragraph" w:customStyle="1" w:styleId="136">
    <w:name w:val="样式 标题 2 + Times New Roman 四号 非加粗 段前: 5 磅 段后: 0 磅 行距: 固定值 20..."/>
    <w:basedOn w:val="7"/>
    <w:qFormat/>
    <w:uiPriority w:val="99"/>
    <w:pPr>
      <w:spacing w:before="100" w:after="0" w:line="400" w:lineRule="exact"/>
    </w:pPr>
    <w:rPr>
      <w:rFonts w:ascii="Times New Roman" w:hAnsi="Times New Roman" w:cs="Times New Roman"/>
      <w:b w:val="0"/>
      <w:bCs w:val="0"/>
      <w:kern w:val="0"/>
      <w:sz w:val="28"/>
      <w:szCs w:val="28"/>
    </w:rPr>
  </w:style>
  <w:style w:type="paragraph" w:customStyle="1" w:styleId="137">
    <w:name w:val="Char Char Char Char Char Char Char Char Char Char Char Char Char1"/>
    <w:basedOn w:val="17"/>
    <w:qFormat/>
    <w:uiPriority w:val="99"/>
    <w:rPr>
      <w:rFonts w:ascii="Tahoma" w:hAnsi="Tahoma" w:cs="Tahoma"/>
      <w:sz w:val="24"/>
      <w:szCs w:val="24"/>
      <w:shd w:val="clear" w:color="auto" w:fill="auto"/>
    </w:rPr>
  </w:style>
  <w:style w:type="paragraph" w:customStyle="1" w:styleId="138">
    <w:name w:val="列出段落1"/>
    <w:basedOn w:val="1"/>
    <w:qFormat/>
    <w:uiPriority w:val="99"/>
    <w:pPr>
      <w:ind w:firstLine="420" w:firstLineChars="200"/>
    </w:pPr>
    <w:rPr>
      <w:rFonts w:ascii="Calibri" w:hAnsi="Calibri" w:cs="Calibri"/>
    </w:rPr>
  </w:style>
  <w:style w:type="paragraph" w:customStyle="1" w:styleId="139">
    <w:name w:val="Char1"/>
    <w:basedOn w:val="1"/>
    <w:qFormat/>
    <w:uiPriority w:val="99"/>
    <w:rPr>
      <w:rFonts w:ascii="Tahoma" w:hAnsi="Tahoma" w:cs="Tahoma"/>
      <w:sz w:val="24"/>
      <w:szCs w:val="24"/>
    </w:rPr>
  </w:style>
  <w:style w:type="paragraph" w:customStyle="1" w:styleId="140">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customStyle="1" w:styleId="141">
    <w:name w:val="样式3"/>
    <w:basedOn w:val="8"/>
    <w:qFormat/>
    <w:uiPriority w:val="99"/>
    <w:pPr>
      <w:spacing w:line="413" w:lineRule="auto"/>
    </w:pPr>
  </w:style>
  <w:style w:type="paragraph" w:customStyle="1" w:styleId="142">
    <w:name w:val="正文1"/>
    <w:qFormat/>
    <w:uiPriority w:val="99"/>
    <w:pPr>
      <w:widowControl w:val="0"/>
      <w:adjustRightInd w:val="0"/>
      <w:spacing w:line="312" w:lineRule="atLeast"/>
      <w:jc w:val="both"/>
      <w:textAlignment w:val="baseline"/>
    </w:pPr>
    <w:rPr>
      <w:rFonts w:ascii="宋体" w:hAnsi="Times New Roman" w:eastAsia="宋体" w:cs="宋体"/>
      <w:kern w:val="0"/>
      <w:sz w:val="24"/>
      <w:szCs w:val="24"/>
      <w:lang w:val="en-US" w:eastAsia="zh-CN" w:bidi="ar-SA"/>
    </w:rPr>
  </w:style>
  <w:style w:type="paragraph" w:customStyle="1" w:styleId="143">
    <w:name w:val="列出段落2"/>
    <w:basedOn w:val="1"/>
    <w:qFormat/>
    <w:uiPriority w:val="99"/>
    <w:pPr>
      <w:ind w:firstLine="200" w:firstLineChars="200"/>
    </w:pPr>
  </w:style>
  <w:style w:type="paragraph" w:customStyle="1" w:styleId="144">
    <w:name w:val="p0"/>
    <w:basedOn w:val="1"/>
    <w:qFormat/>
    <w:uiPriority w:val="99"/>
    <w:pPr>
      <w:widowControl/>
    </w:pPr>
    <w:rPr>
      <w:kern w:val="0"/>
    </w:rPr>
  </w:style>
  <w:style w:type="paragraph" w:customStyle="1" w:styleId="145">
    <w:name w:val="节标题"/>
    <w:basedOn w:val="1"/>
    <w:next w:val="1"/>
    <w:qFormat/>
    <w:uiPriority w:val="99"/>
    <w:pPr>
      <w:widowControl/>
      <w:spacing w:line="289" w:lineRule="atLeast"/>
      <w:jc w:val="center"/>
      <w:textAlignment w:val="baseline"/>
    </w:pPr>
    <w:rPr>
      <w:color w:val="000000"/>
      <w:kern w:val="0"/>
      <w:sz w:val="28"/>
      <w:szCs w:val="20"/>
    </w:rPr>
  </w:style>
  <w:style w:type="paragraph" w:customStyle="1" w:styleId="146">
    <w:name w:val="WPSOffice手动目录 1"/>
    <w:qFormat/>
    <w:uiPriority w:val="99"/>
    <w:rPr>
      <w:rFonts w:ascii="Times New Roman" w:hAnsi="Times New Roman" w:eastAsia="宋体" w:cs="Times New Roman"/>
      <w:kern w:val="0"/>
      <w:sz w:val="20"/>
      <w:szCs w:val="20"/>
      <w:lang w:val="en-US" w:eastAsia="zh-CN" w:bidi="ar-SA"/>
    </w:rPr>
  </w:style>
  <w:style w:type="paragraph" w:customStyle="1" w:styleId="147">
    <w:name w:val="WPSOffice手动目录 2"/>
    <w:qFormat/>
    <w:uiPriority w:val="99"/>
    <w:pPr>
      <w:ind w:left="200" w:leftChars="200"/>
    </w:pPr>
    <w:rPr>
      <w:rFonts w:ascii="Times New Roman" w:hAnsi="Times New Roman" w:eastAsia="宋体" w:cs="Times New Roman"/>
      <w:kern w:val="0"/>
      <w:sz w:val="20"/>
      <w:szCs w:val="20"/>
      <w:lang w:val="en-US" w:eastAsia="zh-CN" w:bidi="ar-SA"/>
    </w:rPr>
  </w:style>
  <w:style w:type="paragraph" w:customStyle="1" w:styleId="148">
    <w:name w:val="WPSOffice手动目录 3"/>
    <w:qFormat/>
    <w:uiPriority w:val="99"/>
    <w:pPr>
      <w:ind w:left="400" w:leftChars="400"/>
    </w:pPr>
    <w:rPr>
      <w:rFonts w:ascii="Times New Roman" w:hAnsi="Times New Roman" w:eastAsia="宋体" w:cs="Times New Roman"/>
      <w:kern w:val="0"/>
      <w:sz w:val="20"/>
      <w:szCs w:val="20"/>
      <w:lang w:val="en-US" w:eastAsia="zh-CN" w:bidi="ar-SA"/>
    </w:rPr>
  </w:style>
  <w:style w:type="character" w:customStyle="1" w:styleId="149">
    <w:name w:val="font12"/>
    <w:basedOn w:val="47"/>
    <w:qFormat/>
    <w:uiPriority w:val="0"/>
    <w:rPr>
      <w:rFonts w:hint="eastAsia" w:ascii="仿宋" w:hAnsi="仿宋" w:eastAsia="仿宋" w:cs="仿宋"/>
      <w:b/>
      <w:color w:val="000000"/>
      <w:sz w:val="32"/>
      <w:szCs w:val="32"/>
      <w:u w:val="none"/>
    </w:rPr>
  </w:style>
  <w:style w:type="paragraph" w:customStyle="1" w:styleId="150">
    <w:name w:val="Char1 Char Char Char"/>
    <w:basedOn w:val="1"/>
    <w:qFormat/>
    <w:uiPriority w:val="0"/>
    <w:pPr>
      <w:widowControl/>
      <w:spacing w:after="160" w:line="240" w:lineRule="exact"/>
      <w:jc w:val="left"/>
    </w:pPr>
    <w:rPr>
      <w:rFonts w:ascii="Verdana" w:hAnsi="Verdana"/>
      <w:kern w:val="0"/>
      <w:sz w:val="30"/>
      <w:szCs w:val="30"/>
      <w:lang w:eastAsia="en-US"/>
    </w:rPr>
  </w:style>
  <w:style w:type="character" w:customStyle="1" w:styleId="151">
    <w:name w:val="font101"/>
    <w:basedOn w:val="47"/>
    <w:qFormat/>
    <w:uiPriority w:val="0"/>
    <w:rPr>
      <w:rFonts w:hint="default" w:ascii="Times New Roman" w:hAnsi="Times New Roman" w:cs="Times New Roman"/>
      <w:color w:val="000000"/>
      <w:sz w:val="24"/>
      <w:szCs w:val="24"/>
      <w:u w:val="none"/>
    </w:rPr>
  </w:style>
  <w:style w:type="character" w:customStyle="1" w:styleId="152">
    <w:name w:val="font111"/>
    <w:basedOn w:val="47"/>
    <w:qFormat/>
    <w:uiPriority w:val="0"/>
    <w:rPr>
      <w:rFonts w:ascii="仿宋_GB2312" w:eastAsia="仿宋_GB2312" w:cs="仿宋_GB2312"/>
      <w:color w:val="000000"/>
      <w:sz w:val="24"/>
      <w:szCs w:val="24"/>
      <w:u w:val="none"/>
    </w:rPr>
  </w:style>
  <w:style w:type="character" w:customStyle="1" w:styleId="153">
    <w:name w:val="font91"/>
    <w:basedOn w:val="47"/>
    <w:qFormat/>
    <w:uiPriority w:val="0"/>
    <w:rPr>
      <w:rFonts w:hint="eastAsia" w:ascii="仿宋" w:hAnsi="仿宋" w:eastAsia="仿宋" w:cs="仿宋"/>
      <w:color w:val="000000"/>
      <w:sz w:val="24"/>
      <w:szCs w:val="24"/>
      <w:u w:val="single"/>
    </w:rPr>
  </w:style>
  <w:style w:type="character" w:customStyle="1" w:styleId="154">
    <w:name w:val="font81"/>
    <w:basedOn w:val="47"/>
    <w:qFormat/>
    <w:uiPriority w:val="0"/>
    <w:rPr>
      <w:rFonts w:hint="eastAsia" w:ascii="仿宋" w:hAnsi="仿宋" w:eastAsia="仿宋" w:cs="仿宋"/>
      <w:color w:val="000000"/>
      <w:sz w:val="24"/>
      <w:szCs w:val="24"/>
      <w:u w:val="none"/>
    </w:rPr>
  </w:style>
  <w:style w:type="character" w:customStyle="1" w:styleId="155">
    <w:name w:val="font61"/>
    <w:basedOn w:val="47"/>
    <w:qFormat/>
    <w:uiPriority w:val="0"/>
    <w:rPr>
      <w:rFonts w:hint="eastAsia" w:ascii="仿宋" w:hAnsi="仿宋" w:eastAsia="仿宋" w:cs="仿宋"/>
      <w:b/>
      <w:color w:val="000000"/>
      <w:sz w:val="32"/>
      <w:szCs w:val="32"/>
      <w:u w:val="none"/>
    </w:rPr>
  </w:style>
  <w:style w:type="character" w:customStyle="1" w:styleId="156">
    <w:name w:val="font21"/>
    <w:basedOn w:val="47"/>
    <w:qFormat/>
    <w:uiPriority w:val="0"/>
    <w:rPr>
      <w:rFonts w:hint="eastAsia" w:ascii="仿宋" w:hAnsi="仿宋" w:eastAsia="仿宋" w:cs="仿宋"/>
      <w:color w:val="000000"/>
      <w:sz w:val="24"/>
      <w:szCs w:val="24"/>
      <w:u w:val="none"/>
    </w:rPr>
  </w:style>
  <w:style w:type="paragraph" w:customStyle="1" w:styleId="157">
    <w:name w:val="纯文本1"/>
    <w:basedOn w:val="1"/>
    <w:qFormat/>
    <w:uiPriority w:val="0"/>
    <w:rPr>
      <w:rFonts w:ascii="宋体"/>
      <w:color w:val="000000"/>
    </w:rPr>
  </w:style>
  <w:style w:type="character" w:customStyle="1" w:styleId="158">
    <w:name w:val="status"/>
    <w:basedOn w:val="47"/>
    <w:qFormat/>
    <w:uiPriority w:val="0"/>
    <w:rPr>
      <w:color w:val="0776DD"/>
    </w:rPr>
  </w:style>
  <w:style w:type="character" w:customStyle="1" w:styleId="159">
    <w:name w:val="time"/>
    <w:basedOn w:val="47"/>
    <w:qFormat/>
    <w:uiPriority w:val="0"/>
  </w:style>
  <w:style w:type="paragraph" w:customStyle="1" w:styleId="160">
    <w:name w:val="Table Paragraph"/>
    <w:basedOn w:val="1"/>
    <w:qFormat/>
    <w:uiPriority w:val="1"/>
    <w:rPr>
      <w:rFonts w:ascii="宋体" w:hAnsi="宋体" w:eastAsia="宋体" w:cs="宋体"/>
      <w:lang w:val="zh-CN" w:eastAsia="zh-CN" w:bidi="zh-CN"/>
    </w:rPr>
  </w:style>
  <w:style w:type="character" w:customStyle="1" w:styleId="161">
    <w:name w:val="15"/>
    <w:basedOn w:val="47"/>
    <w:qFormat/>
    <w:uiPriority w:val="0"/>
    <w:rPr>
      <w:rFonts w:hint="default" w:ascii="Times New Roman" w:hAnsi="Times New Roman" w:cs="Times New Roman"/>
    </w:rPr>
  </w:style>
  <w:style w:type="character" w:customStyle="1" w:styleId="162">
    <w:name w:val="10"/>
    <w:basedOn w:val="4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73</Pages>
  <Words>5919</Words>
  <Characters>6865</Characters>
  <Lines>1</Lines>
  <Paragraphs>1</Paragraphs>
  <TotalTime>18</TotalTime>
  <ScaleCrop>false</ScaleCrop>
  <LinksUpToDate>false</LinksUpToDate>
  <CharactersWithSpaces>6943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2017-05-18T16:09:00Z</dcterms:created>
  <dc:creator>微软用户</dc:creator>
  <cp:lastModifiedBy>关勤勤</cp:lastModifiedBy>
  <cp:lastPrinted>2025-07-14T02:58:00Z</cp:lastPrinted>
  <dcterms:modified xsi:type="dcterms:W3CDTF">2025-07-14T08:07:32Z</dcterms:modified>
  <dc:title>创业园小区9#楼工程施工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5A3721F7F087422CA37BE86F7749D331_13</vt:lpwstr>
  </property>
  <property fmtid="{D5CDD505-2E9C-101B-9397-08002B2CF9AE}" pid="4" name="KSOTemplateDocerSaveRecord">
    <vt:lpwstr>eyJoZGlkIjoiOTc5MDNjMmIyODczM2YwMGZkZTNjYWY1NjIxZTY5YjciLCJ1c2VySWQiOiI1MDM3MjkwOTMifQ==</vt:lpwstr>
  </property>
</Properties>
</file>