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8E66E">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highlight w:val="none"/>
        </w:rPr>
      </w:pPr>
    </w:p>
    <w:p w14:paraId="18F9057D">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highlight w:val="none"/>
        </w:rPr>
      </w:pPr>
    </w:p>
    <w:p w14:paraId="6894174D">
      <w:pPr>
        <w:tabs>
          <w:tab w:val="left" w:pos="315"/>
          <w:tab w:val="left" w:pos="8820"/>
        </w:tabs>
        <w:spacing w:before="240" w:beforeLines="100" w:after="120" w:afterLines="50" w:line="500" w:lineRule="exact"/>
        <w:ind w:right="267" w:rightChars="127"/>
        <w:jc w:val="center"/>
        <w:rPr>
          <w:rFonts w:hint="eastAsia" w:ascii="宋体" w:hAnsi="宋体" w:eastAsia="宋体"/>
          <w:b/>
          <w:bCs/>
          <w:color w:val="auto"/>
          <w:sz w:val="52"/>
          <w:szCs w:val="52"/>
          <w:highlight w:val="none"/>
          <w:lang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2824BDBE">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highlight w:val="none"/>
        </w:rPr>
      </w:pPr>
      <w:r>
        <w:rPr>
          <w:rFonts w:hint="eastAsia" w:ascii="宋体" w:hAnsi="宋体" w:eastAsia="宋体"/>
          <w:b/>
          <w:bCs/>
          <w:color w:val="auto"/>
          <w:sz w:val="52"/>
          <w:szCs w:val="52"/>
          <w:highlight w:val="none"/>
        </w:rPr>
        <w:t>竞争性</w:t>
      </w:r>
      <w:r>
        <w:rPr>
          <w:rFonts w:hint="eastAsia" w:ascii="宋体" w:hAnsi="宋体" w:eastAsia="宋体"/>
          <w:b/>
          <w:bCs/>
          <w:color w:val="auto"/>
          <w:sz w:val="52"/>
          <w:szCs w:val="52"/>
          <w:highlight w:val="none"/>
          <w:lang w:val="en-US" w:eastAsia="zh-CN"/>
        </w:rPr>
        <w:t>磋商</w:t>
      </w:r>
      <w:r>
        <w:rPr>
          <w:rFonts w:hint="eastAsia" w:ascii="宋体" w:hAnsi="宋体" w:eastAsia="宋体"/>
          <w:b/>
          <w:bCs/>
          <w:color w:val="auto"/>
          <w:sz w:val="52"/>
          <w:szCs w:val="52"/>
          <w:highlight w:val="none"/>
        </w:rPr>
        <w:t>文件示范文本（服务类）</w:t>
      </w:r>
    </w:p>
    <w:bookmarkEnd w:id="0"/>
    <w:p w14:paraId="27D45B12">
      <w:pPr>
        <w:tabs>
          <w:tab w:val="left" w:pos="315"/>
          <w:tab w:val="left" w:pos="8820"/>
        </w:tabs>
        <w:spacing w:before="240" w:beforeLines="100" w:after="120" w:afterLines="50" w:line="500" w:lineRule="exact"/>
        <w:ind w:right="267" w:rightChars="127"/>
        <w:jc w:val="center"/>
        <w:rPr>
          <w:rFonts w:hint="eastAsia" w:ascii="宋体" w:hAnsi="宋体" w:eastAsia="宋体"/>
          <w:b/>
          <w:bCs w:val="0"/>
          <w:color w:val="auto"/>
          <w:sz w:val="44"/>
          <w:szCs w:val="44"/>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2026版</w:t>
      </w:r>
      <w:r>
        <w:rPr>
          <w:rFonts w:hint="eastAsia" w:ascii="宋体" w:hAnsi="宋体" w:eastAsia="宋体"/>
          <w:b/>
          <w:bCs/>
          <w:color w:val="auto"/>
          <w:sz w:val="52"/>
          <w:szCs w:val="52"/>
          <w:highlight w:val="none"/>
          <w:lang w:eastAsia="zh-CN"/>
        </w:rPr>
        <w:t>）</w:t>
      </w:r>
    </w:p>
    <w:p w14:paraId="443D2A6E">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49301A41">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682D7FE0">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2AFD2E3B">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7217A853">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4AB49DE6">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40FF4960">
      <w:pPr>
        <w:tabs>
          <w:tab w:val="left" w:pos="2410"/>
        </w:tabs>
        <w:autoSpaceDE w:val="0"/>
        <w:autoSpaceDN w:val="0"/>
        <w:adjustRightInd w:val="0"/>
        <w:snapToGrid w:val="0"/>
        <w:spacing w:line="360" w:lineRule="auto"/>
        <w:rPr>
          <w:rFonts w:hint="eastAsia"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eastAsia="zh-CN"/>
        </w:rPr>
        <w:t>滁州市网络创业培训（直播版）讲师培训班</w:t>
      </w:r>
      <w:r>
        <w:rPr>
          <w:rFonts w:hint="eastAsia" w:ascii="宋体" w:hAnsi="宋体" w:eastAsia="宋体"/>
          <w:b/>
          <w:color w:val="auto"/>
          <w:spacing w:val="20"/>
          <w:kern w:val="0"/>
          <w:sz w:val="32"/>
          <w:szCs w:val="32"/>
          <w:highlight w:val="none"/>
          <w:u w:val="single"/>
          <w:lang w:val="en-US" w:eastAsia="zh-CN"/>
        </w:rPr>
        <w:t>服务</w:t>
      </w:r>
      <w:r>
        <w:rPr>
          <w:rFonts w:hint="eastAsia" w:ascii="宋体" w:hAnsi="宋体" w:eastAsia="宋体"/>
          <w:b/>
          <w:color w:val="auto"/>
          <w:spacing w:val="20"/>
          <w:kern w:val="0"/>
          <w:sz w:val="32"/>
          <w:szCs w:val="32"/>
          <w:highlight w:val="none"/>
          <w:u w:val="single"/>
          <w:lang w:eastAsia="zh-CN"/>
        </w:rPr>
        <w:t>项目</w:t>
      </w:r>
    </w:p>
    <w:p w14:paraId="475A359B">
      <w:pPr>
        <w:tabs>
          <w:tab w:val="left" w:pos="2410"/>
        </w:tabs>
        <w:autoSpaceDE w:val="0"/>
        <w:autoSpaceDN w:val="0"/>
        <w:adjustRightInd w:val="0"/>
        <w:snapToGrid w:val="0"/>
        <w:spacing w:line="360" w:lineRule="auto"/>
        <w:rPr>
          <w:rFonts w:ascii="宋体" w:hAnsi="宋体" w:eastAsia="宋体"/>
          <w:b/>
          <w:color w:val="auto"/>
          <w:spacing w:val="20"/>
          <w:kern w:val="0"/>
          <w:sz w:val="32"/>
          <w:szCs w:val="32"/>
          <w:highlight w:val="none"/>
          <w:u w:val="single"/>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rPr>
        <w:t>HXJY1110001065817001</w:t>
      </w:r>
    </w:p>
    <w:p w14:paraId="3120E25E">
      <w:pPr>
        <w:tabs>
          <w:tab w:val="left" w:pos="2410"/>
        </w:tabs>
        <w:autoSpaceDE w:val="0"/>
        <w:autoSpaceDN w:val="0"/>
        <w:adjustRightInd w:val="0"/>
        <w:snapToGrid w:val="0"/>
        <w:spacing w:line="360" w:lineRule="auto"/>
        <w:rPr>
          <w:rFonts w:hint="default"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lang w:eastAsia="zh-CN"/>
        </w:rPr>
        <w:t>滁州市</w:t>
      </w:r>
      <w:r>
        <w:rPr>
          <w:rFonts w:hint="eastAsia" w:ascii="宋体" w:hAnsi="宋体" w:eastAsia="宋体"/>
          <w:b/>
          <w:color w:val="auto"/>
          <w:spacing w:val="20"/>
          <w:kern w:val="0"/>
          <w:sz w:val="32"/>
          <w:szCs w:val="32"/>
          <w:highlight w:val="none"/>
          <w:u w:val="single"/>
          <w:lang w:val="en-US" w:eastAsia="zh-CN"/>
        </w:rPr>
        <w:t>人力资源和社会保障局</w:t>
      </w:r>
    </w:p>
    <w:p w14:paraId="6711209C">
      <w:pPr>
        <w:tabs>
          <w:tab w:val="left" w:pos="2410"/>
        </w:tabs>
        <w:autoSpaceDE w:val="0"/>
        <w:autoSpaceDN w:val="0"/>
        <w:adjustRightInd w:val="0"/>
        <w:snapToGrid w:val="0"/>
        <w:spacing w:line="360" w:lineRule="auto"/>
        <w:rPr>
          <w:rFonts w:hint="eastAsia" w:ascii="宋体" w:hAnsi="宋体" w:eastAsia="宋体"/>
          <w:b/>
          <w:color w:val="auto"/>
          <w:sz w:val="36"/>
          <w:highlight w:val="none"/>
          <w:u w:val="single"/>
          <w:lang w:val="en-US" w:eastAsia="zh-CN"/>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lang w:eastAsia="zh-CN"/>
        </w:rPr>
        <w:t>滁州</w:t>
      </w:r>
      <w:r>
        <w:rPr>
          <w:rFonts w:hint="eastAsia" w:ascii="宋体" w:hAnsi="宋体" w:eastAsia="宋体"/>
          <w:b/>
          <w:color w:val="auto"/>
          <w:spacing w:val="20"/>
          <w:kern w:val="0"/>
          <w:sz w:val="32"/>
          <w:szCs w:val="32"/>
          <w:highlight w:val="none"/>
          <w:u w:val="single"/>
          <w:lang w:val="en-US" w:eastAsia="zh-CN"/>
        </w:rPr>
        <w:t>市城投工程咨询管理有限公司</w:t>
      </w:r>
    </w:p>
    <w:p w14:paraId="53E2E39B">
      <w:pPr>
        <w:tabs>
          <w:tab w:val="left" w:pos="2410"/>
        </w:tabs>
        <w:autoSpaceDE w:val="0"/>
        <w:autoSpaceDN w:val="0"/>
        <w:adjustRightInd w:val="0"/>
        <w:snapToGrid w:val="0"/>
        <w:spacing w:line="360" w:lineRule="auto"/>
        <w:jc w:val="both"/>
        <w:rPr>
          <w:rFonts w:hint="eastAsia" w:ascii="宋体" w:hAnsi="宋体" w:eastAsia="宋体"/>
          <w:b/>
          <w:color w:val="auto"/>
          <w:sz w:val="36"/>
          <w:highlight w:val="none"/>
          <w:u w:val="single"/>
          <w:lang w:val="en-US" w:eastAsia="zh-CN"/>
        </w:rPr>
      </w:pPr>
    </w:p>
    <w:p w14:paraId="4C919D28">
      <w:pPr>
        <w:tabs>
          <w:tab w:val="left" w:pos="2410"/>
        </w:tabs>
        <w:autoSpaceDE w:val="0"/>
        <w:autoSpaceDN w:val="0"/>
        <w:adjustRightInd w:val="0"/>
        <w:snapToGrid w:val="0"/>
        <w:spacing w:line="360" w:lineRule="auto"/>
        <w:jc w:val="both"/>
        <w:rPr>
          <w:rFonts w:hint="default" w:ascii="宋体" w:hAnsi="宋体" w:eastAsia="宋体"/>
          <w:b/>
          <w:color w:val="auto"/>
          <w:sz w:val="36"/>
          <w:highlight w:val="none"/>
          <w:u w:val="single"/>
          <w:lang w:val="en-US" w:eastAsia="zh-CN"/>
        </w:rPr>
      </w:pPr>
    </w:p>
    <w:p w14:paraId="55503103">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sectPr>
          <w:headerReference r:id="rId3" w:type="default"/>
          <w:footerReference r:id="rId4" w:type="default"/>
          <w:pgSz w:w="11907" w:h="16840"/>
          <w:pgMar w:top="1474" w:right="1814" w:bottom="1474" w:left="1814" w:header="851" w:footer="992" w:gutter="0"/>
          <w:cols w:space="720" w:num="1"/>
          <w:docGrid w:linePitch="462" w:charSpace="0"/>
        </w:sect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rPr>
        <w:t>月</w:t>
      </w:r>
    </w:p>
    <w:p w14:paraId="1EA2C5C8">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16465303">
      <w:pPr>
        <w:pStyle w:val="19"/>
        <w:tabs>
          <w:tab w:val="right" w:leader="dot" w:pos="8279"/>
        </w:tabs>
      </w:pPr>
      <w:r>
        <w:rPr>
          <w:rFonts w:asciiTheme="minorEastAsia" w:hAnsiTheme="minorEastAsia"/>
          <w:b/>
          <w:bCs/>
          <w:color w:val="auto"/>
          <w:sz w:val="24"/>
          <w:szCs w:val="24"/>
          <w:highlight w:val="none"/>
        </w:rPr>
        <w:fldChar w:fldCharType="begin"/>
      </w:r>
      <w:r>
        <w:rPr>
          <w:rFonts w:asciiTheme="minorEastAsia" w:hAnsiTheme="minorEastAsia"/>
          <w:b/>
          <w:bCs/>
          <w:color w:val="auto"/>
          <w:sz w:val="24"/>
          <w:szCs w:val="24"/>
          <w:highlight w:val="none"/>
        </w:rPr>
        <w:instrText xml:space="preserve"> </w:instrText>
      </w:r>
      <w:r>
        <w:rPr>
          <w:rFonts w:hint="eastAsia" w:asciiTheme="minorEastAsia" w:hAnsiTheme="minorEastAsia"/>
          <w:b/>
          <w:bCs/>
          <w:color w:val="auto"/>
          <w:sz w:val="24"/>
          <w:szCs w:val="24"/>
          <w:highlight w:val="none"/>
        </w:rPr>
        <w:instrText xml:space="preserve">TOC \o "1-2" \h \z \u</w:instrText>
      </w:r>
      <w:r>
        <w:rPr>
          <w:rFonts w:asciiTheme="minorEastAsia" w:hAnsiTheme="minorEastAsia"/>
          <w:b/>
          <w:bCs/>
          <w:color w:val="auto"/>
          <w:sz w:val="24"/>
          <w:szCs w:val="24"/>
          <w:highlight w:val="none"/>
        </w:rPr>
        <w:instrText xml:space="preserve"> </w:instrText>
      </w:r>
      <w:r>
        <w:rPr>
          <w:rFonts w:asciiTheme="minorEastAsia" w:hAnsiTheme="minorEastAsia"/>
          <w:b/>
          <w:bCs/>
          <w:color w:val="auto"/>
          <w:sz w:val="24"/>
          <w:szCs w:val="24"/>
          <w:highlight w:val="none"/>
        </w:rPr>
        <w:fldChar w:fldCharType="separate"/>
      </w:r>
    </w:p>
    <w:p w14:paraId="51DC46C5">
      <w:pPr>
        <w:pStyle w:val="19"/>
        <w:tabs>
          <w:tab w:val="right" w:leader="dot" w:pos="8279"/>
        </w:tabs>
      </w:pPr>
      <w:r>
        <w:rPr>
          <w:rFonts w:asciiTheme="minorEastAsia" w:hAnsiTheme="minorEastAsia"/>
          <w:bCs/>
          <w:color w:val="auto"/>
          <w:szCs w:val="24"/>
          <w:highlight w:val="none"/>
        </w:rPr>
        <w:fldChar w:fldCharType="begin"/>
      </w:r>
      <w:r>
        <w:rPr>
          <w:rFonts w:asciiTheme="minorEastAsia" w:hAnsiTheme="minorEastAsia"/>
          <w:bCs/>
          <w:szCs w:val="24"/>
          <w:highlight w:val="none"/>
        </w:rPr>
        <w:instrText xml:space="preserve"> HYPERLINK \l _Toc6611 </w:instrText>
      </w:r>
      <w:r>
        <w:rPr>
          <w:rFonts w:asciiTheme="minorEastAsia" w:hAnsiTheme="minorEastAsia"/>
          <w:bCs/>
          <w:szCs w:val="24"/>
          <w:highlight w:val="none"/>
        </w:rPr>
        <w:fldChar w:fldCharType="separate"/>
      </w:r>
      <w:r>
        <w:rPr>
          <w:rFonts w:hint="eastAsia" w:asciiTheme="minorEastAsia" w:hAnsiTheme="minorEastAsia" w:eastAsiaTheme="minorEastAsia"/>
          <w:highlight w:val="none"/>
        </w:rPr>
        <w:t xml:space="preserve">第一章 </w:t>
      </w:r>
      <w:r>
        <w:rPr>
          <w:rFonts w:asciiTheme="minorEastAsia" w:hAnsiTheme="minorEastAsia" w:eastAsiaTheme="minorEastAsia"/>
          <w:highlight w:val="none"/>
        </w:rPr>
        <w:t xml:space="preserve"> </w:t>
      </w:r>
      <w:r>
        <w:rPr>
          <w:rFonts w:hint="eastAsia" w:asciiTheme="minorEastAsia" w:hAnsiTheme="minorEastAsia"/>
          <w:highlight w:val="none"/>
          <w:lang w:val="en-US" w:eastAsia="zh-CN"/>
        </w:rPr>
        <w:t>磋商</w:t>
      </w:r>
      <w:r>
        <w:rPr>
          <w:rFonts w:hint="eastAsia" w:asciiTheme="minorEastAsia" w:hAnsiTheme="minorEastAsia" w:eastAsiaTheme="minorEastAsia"/>
          <w:highlight w:val="none"/>
        </w:rPr>
        <w:t>邀请</w:t>
      </w:r>
      <w:r>
        <w:tab/>
      </w:r>
      <w:r>
        <w:rPr>
          <w:rFonts w:hint="eastAsia"/>
          <w:lang w:val="en-US" w:eastAsia="zh-CN"/>
        </w:rPr>
        <w:t>3</w:t>
      </w:r>
      <w:r>
        <w:rPr>
          <w:rFonts w:asciiTheme="minorEastAsia" w:hAnsiTheme="minorEastAsia"/>
          <w:bCs/>
          <w:color w:val="auto"/>
          <w:szCs w:val="24"/>
          <w:highlight w:val="none"/>
        </w:rPr>
        <w:fldChar w:fldCharType="end"/>
      </w:r>
    </w:p>
    <w:p w14:paraId="6C4EA232">
      <w:pPr>
        <w:pStyle w:val="19"/>
        <w:tabs>
          <w:tab w:val="right" w:leader="dot" w:pos="8279"/>
        </w:tabs>
      </w:pPr>
      <w:r>
        <w:rPr>
          <w:rFonts w:asciiTheme="minorEastAsia" w:hAnsiTheme="minorEastAsia"/>
          <w:bCs/>
          <w:color w:val="auto"/>
          <w:szCs w:val="24"/>
          <w:highlight w:val="none"/>
        </w:rPr>
        <w:fldChar w:fldCharType="begin"/>
      </w:r>
      <w:r>
        <w:rPr>
          <w:rFonts w:asciiTheme="minorEastAsia" w:hAnsiTheme="minorEastAsia"/>
          <w:bCs/>
          <w:szCs w:val="24"/>
          <w:highlight w:val="none"/>
        </w:rPr>
        <w:instrText xml:space="preserve"> HYPERLINK \l _Toc28407 </w:instrText>
      </w:r>
      <w:r>
        <w:rPr>
          <w:rFonts w:asciiTheme="minorEastAsia" w:hAnsiTheme="minorEastAsia"/>
          <w:bCs/>
          <w:szCs w:val="24"/>
          <w:highlight w:val="none"/>
        </w:rPr>
        <w:fldChar w:fldCharType="separate"/>
      </w:r>
      <w:r>
        <w:rPr>
          <w:rFonts w:hint="eastAsia" w:asciiTheme="minorEastAsia" w:hAnsiTheme="minorEastAsia" w:eastAsiaTheme="minorEastAsia"/>
          <w:highlight w:val="none"/>
        </w:rPr>
        <w:t>第二章</w:t>
      </w:r>
      <w:r>
        <w:rPr>
          <w:rFonts w:asciiTheme="minorEastAsia" w:hAnsiTheme="minorEastAsia" w:eastAsiaTheme="minorEastAsia"/>
          <w:highlight w:val="none"/>
        </w:rPr>
        <w:t xml:space="preserve"> </w:t>
      </w:r>
      <w:r>
        <w:rPr>
          <w:rFonts w:hint="eastAsia" w:asciiTheme="minorEastAsia" w:hAnsiTheme="minorEastAsia" w:eastAsiaTheme="minorEastAsia"/>
          <w:highlight w:val="none"/>
        </w:rPr>
        <w:t xml:space="preserve"> 供应商</w:t>
      </w:r>
      <w:r>
        <w:rPr>
          <w:rFonts w:asciiTheme="minorEastAsia" w:hAnsiTheme="minorEastAsia" w:eastAsiaTheme="minorEastAsia"/>
          <w:highlight w:val="none"/>
        </w:rPr>
        <w:t>须知</w:t>
      </w:r>
      <w:r>
        <w:tab/>
      </w:r>
      <w:r>
        <w:rPr>
          <w:rFonts w:hint="eastAsia"/>
          <w:lang w:val="en-US" w:eastAsia="zh-CN"/>
        </w:rPr>
        <w:t>6</w:t>
      </w:r>
      <w:r>
        <w:rPr>
          <w:rFonts w:asciiTheme="minorEastAsia" w:hAnsiTheme="minorEastAsia"/>
          <w:bCs/>
          <w:color w:val="auto"/>
          <w:szCs w:val="24"/>
          <w:highlight w:val="none"/>
        </w:rPr>
        <w:fldChar w:fldCharType="end"/>
      </w:r>
    </w:p>
    <w:p w14:paraId="2CF4E873">
      <w:pPr>
        <w:pStyle w:val="19"/>
        <w:tabs>
          <w:tab w:val="right" w:leader="dot" w:pos="8279"/>
        </w:tabs>
        <w:rPr>
          <w:rFonts w:hint="eastAsia" w:eastAsiaTheme="minorEastAsia"/>
          <w:lang w:val="en-US" w:eastAsia="zh-CN"/>
        </w:rPr>
      </w:pPr>
      <w:r>
        <w:rPr>
          <w:rFonts w:asciiTheme="minorEastAsia" w:hAnsiTheme="minorEastAsia"/>
          <w:bCs/>
          <w:color w:val="auto"/>
          <w:szCs w:val="24"/>
          <w:highlight w:val="none"/>
        </w:rPr>
        <w:fldChar w:fldCharType="begin"/>
      </w:r>
      <w:r>
        <w:rPr>
          <w:rFonts w:asciiTheme="minorEastAsia" w:hAnsiTheme="minorEastAsia"/>
          <w:bCs/>
          <w:szCs w:val="24"/>
          <w:highlight w:val="none"/>
        </w:rPr>
        <w:instrText xml:space="preserve"> HYPERLINK \l _Toc20514 </w:instrText>
      </w:r>
      <w:r>
        <w:rPr>
          <w:rFonts w:asciiTheme="minorEastAsia" w:hAnsiTheme="minorEastAsia"/>
          <w:bCs/>
          <w:szCs w:val="24"/>
          <w:highlight w:val="none"/>
        </w:rPr>
        <w:fldChar w:fldCharType="separate"/>
      </w:r>
      <w:r>
        <w:rPr>
          <w:rFonts w:hint="eastAsia" w:asciiTheme="minorEastAsia" w:hAnsiTheme="minorEastAsia" w:eastAsiaTheme="minorEastAsia"/>
          <w:highlight w:val="none"/>
        </w:rPr>
        <w:t>第三章  采购需求</w:t>
      </w:r>
      <w:r>
        <w:tab/>
      </w:r>
      <w:r>
        <w:rPr>
          <w:rFonts w:hint="eastAsia"/>
          <w:lang w:val="en-US" w:eastAsia="zh-CN"/>
        </w:rPr>
        <w:t>1</w:t>
      </w:r>
      <w:r>
        <w:rPr>
          <w:rFonts w:asciiTheme="minorEastAsia" w:hAnsiTheme="minorEastAsia"/>
          <w:bCs/>
          <w:color w:val="auto"/>
          <w:szCs w:val="24"/>
          <w:highlight w:val="none"/>
        </w:rPr>
        <w:fldChar w:fldCharType="end"/>
      </w:r>
      <w:r>
        <w:rPr>
          <w:rFonts w:hint="eastAsia" w:asciiTheme="minorEastAsia" w:hAnsiTheme="minorEastAsia"/>
          <w:bCs/>
          <w:color w:val="auto"/>
          <w:szCs w:val="24"/>
          <w:highlight w:val="none"/>
          <w:lang w:val="en-US" w:eastAsia="zh-CN"/>
        </w:rPr>
        <w:t>9</w:t>
      </w:r>
    </w:p>
    <w:p w14:paraId="207323CC">
      <w:pPr>
        <w:pStyle w:val="19"/>
        <w:tabs>
          <w:tab w:val="right" w:leader="dot" w:pos="8279"/>
        </w:tabs>
        <w:rPr>
          <w:rFonts w:hint="eastAsia" w:eastAsiaTheme="minorEastAsia"/>
          <w:lang w:val="en-US" w:eastAsia="zh-CN"/>
        </w:rPr>
      </w:pPr>
      <w:r>
        <w:rPr>
          <w:rFonts w:asciiTheme="minorEastAsia" w:hAnsiTheme="minorEastAsia"/>
          <w:bCs/>
          <w:color w:val="auto"/>
          <w:szCs w:val="24"/>
          <w:highlight w:val="none"/>
        </w:rPr>
        <w:fldChar w:fldCharType="begin"/>
      </w:r>
      <w:r>
        <w:rPr>
          <w:rFonts w:asciiTheme="minorEastAsia" w:hAnsiTheme="minorEastAsia"/>
          <w:bCs/>
          <w:szCs w:val="24"/>
          <w:highlight w:val="none"/>
        </w:rPr>
        <w:instrText xml:space="preserve"> HYPERLINK \l _Toc14289 </w:instrText>
      </w:r>
      <w:r>
        <w:rPr>
          <w:rFonts w:asciiTheme="minorEastAsia" w:hAnsiTheme="minorEastAsia"/>
          <w:bCs/>
          <w:szCs w:val="24"/>
          <w:highlight w:val="none"/>
        </w:rPr>
        <w:fldChar w:fldCharType="separate"/>
      </w:r>
      <w:r>
        <w:rPr>
          <w:rFonts w:hint="eastAsia" w:asciiTheme="minorEastAsia" w:hAnsiTheme="minorEastAsia" w:eastAsiaTheme="minorEastAsia"/>
          <w:highlight w:val="none"/>
        </w:rPr>
        <w:t>第四章  评审方法和标准</w:t>
      </w:r>
      <w:r>
        <w:tab/>
      </w:r>
      <w:r>
        <w:rPr>
          <w:rFonts w:hint="eastAsia"/>
          <w:lang w:val="en-US" w:eastAsia="zh-CN"/>
        </w:rPr>
        <w:t>2</w:t>
      </w:r>
      <w:r>
        <w:rPr>
          <w:rFonts w:asciiTheme="minorEastAsia" w:hAnsiTheme="minorEastAsia"/>
          <w:bCs/>
          <w:color w:val="auto"/>
          <w:szCs w:val="24"/>
          <w:highlight w:val="none"/>
        </w:rPr>
        <w:fldChar w:fldCharType="end"/>
      </w:r>
      <w:r>
        <w:rPr>
          <w:rFonts w:hint="eastAsia" w:asciiTheme="minorEastAsia" w:hAnsiTheme="minorEastAsia"/>
          <w:bCs/>
          <w:color w:val="auto"/>
          <w:szCs w:val="24"/>
          <w:highlight w:val="none"/>
          <w:lang w:val="en-US" w:eastAsia="zh-CN"/>
        </w:rPr>
        <w:t>1</w:t>
      </w:r>
    </w:p>
    <w:p w14:paraId="1555B074">
      <w:pPr>
        <w:pStyle w:val="19"/>
        <w:tabs>
          <w:tab w:val="right" w:leader="dot" w:pos="8279"/>
        </w:tabs>
        <w:rPr>
          <w:rFonts w:hint="eastAsia" w:eastAsiaTheme="minorEastAsia"/>
          <w:lang w:val="en-US" w:eastAsia="zh-CN"/>
        </w:rPr>
      </w:pPr>
      <w:r>
        <w:rPr>
          <w:rFonts w:asciiTheme="minorEastAsia" w:hAnsiTheme="minorEastAsia"/>
          <w:bCs/>
          <w:color w:val="auto"/>
          <w:szCs w:val="24"/>
          <w:highlight w:val="none"/>
        </w:rPr>
        <w:fldChar w:fldCharType="begin"/>
      </w:r>
      <w:r>
        <w:rPr>
          <w:rFonts w:asciiTheme="minorEastAsia" w:hAnsiTheme="minorEastAsia"/>
          <w:bCs/>
          <w:szCs w:val="24"/>
          <w:highlight w:val="none"/>
        </w:rPr>
        <w:instrText xml:space="preserve"> HYPERLINK \l _Toc6151 </w:instrText>
      </w:r>
      <w:r>
        <w:rPr>
          <w:rFonts w:asciiTheme="minorEastAsia" w:hAnsiTheme="minorEastAsia"/>
          <w:bCs/>
          <w:szCs w:val="24"/>
          <w:highlight w:val="none"/>
        </w:rPr>
        <w:fldChar w:fldCharType="separate"/>
      </w:r>
      <w:r>
        <w:rPr>
          <w:rFonts w:hint="eastAsia" w:asciiTheme="minorEastAsia" w:hAnsiTheme="minorEastAsia" w:eastAsiaTheme="minorEastAsia"/>
          <w:highlight w:val="none"/>
        </w:rPr>
        <w:t xml:space="preserve">第五章  </w:t>
      </w:r>
      <w:r>
        <w:rPr>
          <w:rFonts w:asciiTheme="minorEastAsia" w:hAnsiTheme="minorEastAsia" w:eastAsiaTheme="minorEastAsia"/>
          <w:highlight w:val="none"/>
        </w:rPr>
        <w:t>政府采购合同</w:t>
      </w:r>
      <w:r>
        <w:tab/>
      </w:r>
      <w:r>
        <w:rPr>
          <w:rFonts w:hint="eastAsia"/>
          <w:lang w:val="en-US" w:eastAsia="zh-CN"/>
        </w:rPr>
        <w:t>3</w:t>
      </w:r>
      <w:r>
        <w:rPr>
          <w:rFonts w:asciiTheme="minorEastAsia" w:hAnsiTheme="minorEastAsia"/>
          <w:bCs/>
          <w:color w:val="auto"/>
          <w:szCs w:val="24"/>
          <w:highlight w:val="none"/>
        </w:rPr>
        <w:fldChar w:fldCharType="end"/>
      </w:r>
      <w:r>
        <w:rPr>
          <w:rFonts w:hint="eastAsia" w:asciiTheme="minorEastAsia" w:hAnsiTheme="minorEastAsia"/>
          <w:bCs/>
          <w:color w:val="auto"/>
          <w:szCs w:val="24"/>
          <w:highlight w:val="none"/>
          <w:lang w:val="en-US" w:eastAsia="zh-CN"/>
        </w:rPr>
        <w:t>2</w:t>
      </w:r>
    </w:p>
    <w:p w14:paraId="5D25CA12">
      <w:pPr>
        <w:pStyle w:val="19"/>
        <w:tabs>
          <w:tab w:val="right" w:leader="dot" w:pos="8279"/>
        </w:tabs>
        <w:rPr>
          <w:rFonts w:hint="eastAsia" w:eastAsiaTheme="minorEastAsia"/>
          <w:lang w:val="en-US" w:eastAsia="zh-CN"/>
        </w:rPr>
      </w:pPr>
      <w:r>
        <w:rPr>
          <w:rFonts w:asciiTheme="minorEastAsia" w:hAnsiTheme="minorEastAsia"/>
          <w:bCs/>
          <w:color w:val="auto"/>
          <w:szCs w:val="24"/>
          <w:highlight w:val="none"/>
        </w:rPr>
        <w:fldChar w:fldCharType="begin"/>
      </w:r>
      <w:r>
        <w:rPr>
          <w:rFonts w:asciiTheme="minorEastAsia" w:hAnsiTheme="minorEastAsia"/>
          <w:bCs/>
          <w:szCs w:val="24"/>
          <w:highlight w:val="none"/>
        </w:rPr>
        <w:instrText xml:space="preserve"> HYPERLINK \l _Toc8003 </w:instrText>
      </w:r>
      <w:r>
        <w:rPr>
          <w:rFonts w:asciiTheme="minorEastAsia" w:hAnsiTheme="minorEastAsia"/>
          <w:bCs/>
          <w:szCs w:val="24"/>
          <w:highlight w:val="none"/>
        </w:rPr>
        <w:fldChar w:fldCharType="separate"/>
      </w:r>
      <w:r>
        <w:rPr>
          <w:rFonts w:hint="eastAsia" w:asciiTheme="minorEastAsia" w:hAnsiTheme="minorEastAsia" w:eastAsiaTheme="minorEastAsia"/>
          <w:highlight w:val="none"/>
        </w:rPr>
        <w:t>第六章  响应文件格式</w:t>
      </w:r>
      <w:r>
        <w:tab/>
      </w:r>
      <w:r>
        <w:rPr>
          <w:rFonts w:hint="eastAsia"/>
          <w:lang w:val="en-US" w:eastAsia="zh-CN"/>
        </w:rPr>
        <w:t>4</w:t>
      </w:r>
      <w:r>
        <w:rPr>
          <w:rFonts w:asciiTheme="minorEastAsia" w:hAnsiTheme="minorEastAsia"/>
          <w:bCs/>
          <w:color w:val="auto"/>
          <w:szCs w:val="24"/>
          <w:highlight w:val="none"/>
        </w:rPr>
        <w:fldChar w:fldCharType="end"/>
      </w:r>
      <w:r>
        <w:rPr>
          <w:rFonts w:hint="eastAsia" w:asciiTheme="minorEastAsia" w:hAnsiTheme="minorEastAsia"/>
          <w:bCs/>
          <w:color w:val="auto"/>
          <w:szCs w:val="24"/>
          <w:highlight w:val="none"/>
          <w:lang w:val="en-US" w:eastAsia="zh-CN"/>
        </w:rPr>
        <w:t>1</w:t>
      </w:r>
    </w:p>
    <w:p w14:paraId="33598F69">
      <w:pPr>
        <w:pStyle w:val="19"/>
        <w:tabs>
          <w:tab w:val="right" w:leader="dot" w:pos="8279"/>
        </w:tabs>
        <w:rPr>
          <w:rFonts w:hint="eastAsia" w:eastAsiaTheme="minorEastAsia"/>
          <w:lang w:val="en-US" w:eastAsia="zh-CN"/>
        </w:rPr>
      </w:pPr>
      <w:r>
        <w:rPr>
          <w:rFonts w:asciiTheme="minorEastAsia" w:hAnsiTheme="minorEastAsia"/>
          <w:bCs/>
          <w:color w:val="auto"/>
          <w:szCs w:val="24"/>
          <w:highlight w:val="none"/>
        </w:rPr>
        <w:fldChar w:fldCharType="begin"/>
      </w:r>
      <w:r>
        <w:rPr>
          <w:rFonts w:asciiTheme="minorEastAsia" w:hAnsiTheme="minorEastAsia"/>
          <w:bCs/>
          <w:szCs w:val="24"/>
          <w:highlight w:val="none"/>
        </w:rPr>
        <w:instrText xml:space="preserve"> HYPERLINK \l _Toc29710 </w:instrText>
      </w:r>
      <w:r>
        <w:rPr>
          <w:rFonts w:asciiTheme="minorEastAsia" w:hAnsiTheme="minorEastAsia"/>
          <w:bCs/>
          <w:szCs w:val="24"/>
          <w:highlight w:val="none"/>
        </w:rPr>
        <w:fldChar w:fldCharType="separate"/>
      </w:r>
      <w:r>
        <w:rPr>
          <w:rFonts w:hint="eastAsia" w:ascii="宋体" w:hAnsi="宋体" w:eastAsia="宋体"/>
          <w:bCs/>
          <w:highlight w:val="none"/>
        </w:rPr>
        <w:t>第</w:t>
      </w:r>
      <w:r>
        <w:rPr>
          <w:rFonts w:hint="eastAsia" w:ascii="宋体" w:hAnsi="宋体" w:eastAsia="宋体"/>
          <w:bCs/>
          <w:highlight w:val="none"/>
          <w:lang w:val="en-US" w:eastAsia="zh-CN"/>
        </w:rPr>
        <w:t>七</w:t>
      </w:r>
      <w:r>
        <w:rPr>
          <w:rFonts w:hint="eastAsia" w:ascii="宋体" w:hAnsi="宋体" w:eastAsia="宋体"/>
          <w:bCs/>
          <w:highlight w:val="none"/>
        </w:rPr>
        <w:t xml:space="preserve">章 </w:t>
      </w:r>
      <w:r>
        <w:rPr>
          <w:rFonts w:hint="eastAsia"/>
          <w:bCs/>
          <w:highlight w:val="none"/>
        </w:rPr>
        <w:t xml:space="preserve"> </w:t>
      </w:r>
      <w:r>
        <w:rPr>
          <w:rFonts w:hint="eastAsia" w:ascii="宋体" w:hAnsi="宋体" w:eastAsia="宋体"/>
          <w:bCs/>
          <w:highlight w:val="none"/>
        </w:rPr>
        <w:t>政府采购</w:t>
      </w:r>
      <w:r>
        <w:rPr>
          <w:rFonts w:hint="eastAsia" w:asciiTheme="minorEastAsia" w:hAnsiTheme="minorEastAsia" w:eastAsiaTheme="minorEastAsia"/>
          <w:highlight w:val="none"/>
        </w:rPr>
        <w:t>供应</w:t>
      </w:r>
      <w:r>
        <w:rPr>
          <w:rFonts w:hint="eastAsia" w:ascii="宋体" w:hAnsi="宋体" w:eastAsia="宋体"/>
          <w:bCs/>
          <w:highlight w:val="none"/>
        </w:rPr>
        <w:t>商询问函和质疑函范本</w:t>
      </w:r>
      <w:r>
        <w:tab/>
      </w:r>
      <w:r>
        <w:rPr>
          <w:rFonts w:hint="eastAsia"/>
          <w:lang w:val="en-US" w:eastAsia="zh-CN"/>
        </w:rPr>
        <w:t>5</w:t>
      </w:r>
      <w:r>
        <w:rPr>
          <w:rFonts w:asciiTheme="minorEastAsia" w:hAnsiTheme="minorEastAsia"/>
          <w:bCs/>
          <w:color w:val="auto"/>
          <w:szCs w:val="24"/>
          <w:highlight w:val="none"/>
        </w:rPr>
        <w:fldChar w:fldCharType="end"/>
      </w:r>
      <w:r>
        <w:rPr>
          <w:rFonts w:hint="eastAsia" w:asciiTheme="minorEastAsia" w:hAnsiTheme="minorEastAsia"/>
          <w:bCs/>
          <w:color w:val="auto"/>
          <w:szCs w:val="24"/>
          <w:highlight w:val="none"/>
          <w:lang w:val="en-US" w:eastAsia="zh-CN"/>
        </w:rPr>
        <w:t>0</w:t>
      </w:r>
    </w:p>
    <w:p w14:paraId="4F5A8383">
      <w:pPr>
        <w:pStyle w:val="21"/>
        <w:tabs>
          <w:tab w:val="right" w:leader="dot" w:pos="8296"/>
        </w:tabs>
        <w:rPr>
          <w:rFonts w:asciiTheme="minorEastAsia" w:hAnsiTheme="minorEastAsia"/>
          <w:b/>
          <w:color w:val="auto"/>
          <w:sz w:val="32"/>
          <w:highlight w:val="none"/>
        </w:rPr>
      </w:pPr>
      <w:r>
        <w:rPr>
          <w:rFonts w:asciiTheme="minorEastAsia" w:hAnsiTheme="minorEastAsia"/>
          <w:bCs/>
          <w:color w:val="auto"/>
          <w:szCs w:val="24"/>
          <w:highlight w:val="none"/>
        </w:rPr>
        <w:fldChar w:fldCharType="end"/>
      </w:r>
    </w:p>
    <w:p w14:paraId="027C90CE">
      <w:pPr>
        <w:spacing w:line="360" w:lineRule="auto"/>
        <w:jc w:val="center"/>
        <w:outlineLvl w:val="1"/>
        <w:rPr>
          <w:rFonts w:asciiTheme="minorEastAsia" w:hAnsiTheme="minorEastAsia" w:eastAsiaTheme="minorEastAsia"/>
          <w:b/>
          <w:color w:val="auto"/>
          <w:sz w:val="28"/>
          <w:highlight w:val="none"/>
        </w:rPr>
        <w:sectPr>
          <w:pgSz w:w="11907" w:h="16840"/>
          <w:pgMar w:top="1474" w:right="1814" w:bottom="1474" w:left="1814" w:header="851" w:footer="992" w:gutter="0"/>
          <w:cols w:space="720" w:num="1"/>
          <w:docGrid w:linePitch="462" w:charSpace="0"/>
        </w:sectPr>
      </w:pPr>
    </w:p>
    <w:p w14:paraId="7C585850">
      <w:pPr>
        <w:spacing w:line="360" w:lineRule="auto"/>
        <w:jc w:val="center"/>
        <w:outlineLvl w:val="0"/>
        <w:rPr>
          <w:rFonts w:asciiTheme="minorEastAsia" w:hAnsiTheme="minorEastAsia" w:eastAsiaTheme="minorEastAsia"/>
          <w:b/>
          <w:color w:val="auto"/>
          <w:sz w:val="28"/>
          <w:highlight w:val="none"/>
        </w:rPr>
      </w:pPr>
      <w:bookmarkStart w:id="1" w:name="_Toc6611"/>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邀请</w:t>
      </w:r>
      <w:bookmarkEnd w:id="1"/>
    </w:p>
    <w:p w14:paraId="2B113C03">
      <w:pPr>
        <w:spacing w:line="360" w:lineRule="auto"/>
        <w:ind w:firstLine="435"/>
        <w:outlineLvl w:val="1"/>
        <w:rPr>
          <w:rFonts w:ascii="宋体" w:hAnsi="宋体" w:eastAsia="宋体"/>
          <w:b/>
          <w:bCs/>
          <w:color w:val="auto"/>
          <w:sz w:val="24"/>
          <w:szCs w:val="18"/>
          <w:highlight w:val="none"/>
        </w:rPr>
      </w:pPr>
      <w:bookmarkStart w:id="2" w:name="_Toc7340"/>
      <w:bookmarkStart w:id="3" w:name="_Toc21967"/>
      <w:bookmarkStart w:id="4" w:name="_Toc24610"/>
      <w:r>
        <w:rPr>
          <w:rFonts w:hint="eastAsia" w:ascii="宋体" w:hAnsi="宋体" w:eastAsia="宋体"/>
          <w:b/>
          <w:bCs/>
          <w:color w:val="auto"/>
          <w:sz w:val="24"/>
          <w:szCs w:val="18"/>
          <w:highlight w:val="none"/>
        </w:rPr>
        <w:t>一、项目名称及内容</w:t>
      </w:r>
      <w:bookmarkEnd w:id="2"/>
      <w:bookmarkEnd w:id="3"/>
      <w:bookmarkEnd w:id="4"/>
    </w:p>
    <w:p w14:paraId="77A85968">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1.项目编号：</w:t>
      </w:r>
      <w:r>
        <w:rPr>
          <w:rFonts w:hint="eastAsia" w:asciiTheme="minorEastAsia" w:hAnsiTheme="minorEastAsia" w:eastAsiaTheme="minorEastAsia"/>
          <w:color w:val="auto"/>
          <w:sz w:val="24"/>
          <w:highlight w:val="none"/>
          <w:u w:val="single"/>
        </w:rPr>
        <w:t>HXJY1110001065817001</w:t>
      </w:r>
    </w:p>
    <w:p w14:paraId="6400B041">
      <w:pPr>
        <w:autoSpaceDE w:val="0"/>
        <w:autoSpaceDN w:val="0"/>
        <w:adjustRightInd w:val="0"/>
        <w:spacing w:line="360" w:lineRule="auto"/>
        <w:ind w:firstLine="436" w:firstLineChars="182"/>
        <w:jc w:val="left"/>
        <w:rPr>
          <w:rFonts w:hint="eastAsia" w:ascii="宋体" w:hAnsi="宋体" w:eastAsiaTheme="minorEastAsia"/>
          <w:color w:val="auto"/>
          <w:sz w:val="24"/>
          <w:szCs w:val="18"/>
          <w:highlight w:val="none"/>
          <w:u w:val="single"/>
          <w:lang w:eastAsia="zh-CN"/>
        </w:rPr>
      </w:pPr>
      <w:r>
        <w:rPr>
          <w:rFonts w:hint="eastAsia" w:asciiTheme="minorEastAsia" w:hAnsiTheme="minorEastAsia" w:eastAsiaTheme="minorEastAsia"/>
          <w:color w:val="auto"/>
          <w:sz w:val="24"/>
          <w:highlight w:val="none"/>
        </w:rPr>
        <w:t>2.项目名称：</w:t>
      </w:r>
      <w:r>
        <w:rPr>
          <w:rFonts w:hint="eastAsia" w:asciiTheme="minorEastAsia" w:hAnsiTheme="minorEastAsia" w:eastAsiaTheme="minorEastAsia"/>
          <w:color w:val="auto"/>
          <w:sz w:val="24"/>
          <w:highlight w:val="none"/>
          <w:u w:val="single"/>
          <w:lang w:eastAsia="zh-CN"/>
        </w:rPr>
        <w:t>滁州市网络创业培训（直播版）讲师培训班服务项目</w:t>
      </w:r>
    </w:p>
    <w:p w14:paraId="17633DD1">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3.预算金额：</w:t>
      </w:r>
      <w:r>
        <w:rPr>
          <w:rFonts w:hint="eastAsia" w:ascii="宋体" w:hAnsi="宋体" w:eastAsia="宋体"/>
          <w:color w:val="auto"/>
          <w:sz w:val="24"/>
          <w:szCs w:val="18"/>
          <w:highlight w:val="none"/>
          <w:u w:val="single"/>
          <w:lang w:val="en-US" w:eastAsia="zh-CN"/>
        </w:rPr>
        <w:t>150000.00元</w:t>
      </w:r>
    </w:p>
    <w:p w14:paraId="6BA2AA9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4.最高限价</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r>
        <w:rPr>
          <w:rFonts w:hint="eastAsia" w:ascii="宋体" w:hAnsi="宋体" w:eastAsia="宋体"/>
          <w:color w:val="auto"/>
          <w:sz w:val="24"/>
          <w:szCs w:val="18"/>
          <w:highlight w:val="none"/>
          <w:u w:val="single"/>
          <w:lang w:val="en-US" w:eastAsia="zh-CN"/>
        </w:rPr>
        <w:t>150000.00元</w:t>
      </w:r>
    </w:p>
    <w:p w14:paraId="32CE21E8">
      <w:pPr>
        <w:spacing w:line="360" w:lineRule="auto"/>
        <w:ind w:firstLine="435"/>
        <w:rPr>
          <w:rFonts w:hint="default" w:ascii="宋体" w:hAnsi="宋体" w:eastAsia="宋体"/>
          <w:color w:val="auto"/>
          <w:sz w:val="24"/>
          <w:szCs w:val="18"/>
          <w:highlight w:val="none"/>
          <w:u w:val="single"/>
          <w:lang w:val="en-US" w:eastAsia="zh-CN"/>
        </w:rPr>
      </w:pPr>
      <w:r>
        <w:rPr>
          <w:rFonts w:hint="eastAsia" w:asciiTheme="minorEastAsia" w:hAnsiTheme="minorEastAsia" w:eastAsiaTheme="minorEastAsia"/>
          <w:color w:val="auto"/>
          <w:sz w:val="24"/>
          <w:highlight w:val="none"/>
        </w:rPr>
        <w:t>5.采购需求：</w:t>
      </w:r>
      <w:r>
        <w:rPr>
          <w:rFonts w:hint="eastAsia" w:ascii="宋体" w:hAnsi="宋体" w:eastAsia="宋体"/>
          <w:color w:val="auto"/>
          <w:sz w:val="24"/>
          <w:szCs w:val="18"/>
          <w:highlight w:val="none"/>
          <w:u w:val="single"/>
          <w:lang w:val="en-US" w:eastAsia="zh-CN"/>
        </w:rPr>
        <w:t>滁州市网络创业培训（直播版）讲师培训班办班服务,具体详见第三章采购需求</w:t>
      </w:r>
    </w:p>
    <w:p w14:paraId="7714AF65">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6.合同履行期限：</w:t>
      </w:r>
      <w:r>
        <w:rPr>
          <w:rFonts w:hint="eastAsia" w:ascii="宋体" w:hAnsi="宋体" w:eastAsia="宋体"/>
          <w:color w:val="auto"/>
          <w:sz w:val="24"/>
          <w:szCs w:val="18"/>
          <w:highlight w:val="none"/>
          <w:u w:val="single"/>
          <w:lang w:val="en-US" w:eastAsia="zh-CN"/>
        </w:rPr>
        <w:t>自合签订之日起至培训结束</w:t>
      </w:r>
    </w:p>
    <w:p w14:paraId="42AE4A25">
      <w:pPr>
        <w:autoSpaceDE w:val="0"/>
        <w:autoSpaceDN w:val="0"/>
        <w:adjustRightInd w:val="0"/>
        <w:spacing w:line="360" w:lineRule="auto"/>
        <w:ind w:firstLine="436" w:firstLineChars="182"/>
        <w:jc w:val="left"/>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7.本项目</w:t>
      </w:r>
      <w:r>
        <w:rPr>
          <w:rFonts w:hint="eastAsia" w:asciiTheme="minorEastAsia" w:hAnsiTheme="minorEastAsia" w:eastAsiaTheme="minorEastAsia"/>
          <w:color w:val="auto"/>
          <w:sz w:val="24"/>
          <w:highlight w:val="none"/>
          <w:lang w:val="en-US" w:eastAsia="zh-CN"/>
        </w:rPr>
        <w:t>不</w:t>
      </w:r>
      <w:r>
        <w:rPr>
          <w:rFonts w:hint="eastAsia" w:asciiTheme="minorEastAsia" w:hAnsiTheme="minorEastAsia" w:eastAsiaTheme="minorEastAsia"/>
          <w:color w:val="auto"/>
          <w:sz w:val="24"/>
          <w:highlight w:val="none"/>
        </w:rPr>
        <w:t>接受联合体。</w:t>
      </w:r>
    </w:p>
    <w:p w14:paraId="75FF8771">
      <w:pPr>
        <w:spacing w:line="360" w:lineRule="auto"/>
        <w:ind w:firstLine="435"/>
        <w:outlineLvl w:val="1"/>
        <w:rPr>
          <w:rFonts w:ascii="宋体" w:hAnsi="宋体" w:eastAsia="宋体"/>
          <w:b/>
          <w:bCs/>
          <w:color w:val="auto"/>
          <w:sz w:val="24"/>
          <w:szCs w:val="18"/>
          <w:highlight w:val="none"/>
        </w:rPr>
      </w:pPr>
      <w:bookmarkStart w:id="5" w:name="_Toc10226"/>
      <w:bookmarkStart w:id="6" w:name="_Toc9766"/>
      <w:bookmarkStart w:id="7" w:name="_Toc5862"/>
      <w:r>
        <w:rPr>
          <w:rFonts w:hint="eastAsia" w:ascii="宋体" w:hAnsi="宋体" w:eastAsia="宋体"/>
          <w:b/>
          <w:bCs/>
          <w:color w:val="auto"/>
          <w:sz w:val="24"/>
          <w:szCs w:val="18"/>
          <w:highlight w:val="none"/>
        </w:rPr>
        <w:t>二</w:t>
      </w:r>
      <w:r>
        <w:rPr>
          <w:rFonts w:hint="eastAsia" w:asciiTheme="minorEastAsia" w:hAnsiTheme="minorEastAsia" w:eastAsiaTheme="minorEastAsia"/>
          <w:b/>
          <w:color w:val="auto"/>
          <w:sz w:val="24"/>
          <w:highlight w:val="none"/>
        </w:rPr>
        <w:t>、</w:t>
      </w:r>
      <w:bookmarkEnd w:id="5"/>
      <w:r>
        <w:rPr>
          <w:rFonts w:hint="eastAsia" w:ascii="宋体" w:hAnsi="宋体" w:eastAsia="宋体"/>
          <w:b/>
          <w:bCs/>
          <w:color w:val="auto"/>
          <w:sz w:val="24"/>
          <w:szCs w:val="18"/>
          <w:highlight w:val="none"/>
        </w:rPr>
        <w:t>申请人的资格要求</w:t>
      </w:r>
      <w:bookmarkEnd w:id="6"/>
      <w:bookmarkEnd w:id="7"/>
    </w:p>
    <w:p w14:paraId="0ED5DC6F">
      <w:pPr>
        <w:spacing w:line="360" w:lineRule="auto"/>
        <w:ind w:firstLine="435"/>
        <w:outlineLvl w:val="9"/>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供应商具有独立承担责任能力及相应服务能力</w:t>
      </w:r>
      <w:r>
        <w:rPr>
          <w:rFonts w:hint="eastAsia" w:asciiTheme="minorEastAsia" w:hAnsiTheme="minorEastAsia" w:eastAsiaTheme="minorEastAsia"/>
          <w:color w:val="auto"/>
          <w:sz w:val="24"/>
          <w:highlight w:val="none"/>
        </w:rPr>
        <w:t>；</w:t>
      </w:r>
    </w:p>
    <w:p w14:paraId="3BA13CD6">
      <w:pPr>
        <w:spacing w:line="360" w:lineRule="auto"/>
        <w:ind w:firstLine="435"/>
        <w:outlineLvl w:val="1"/>
        <w:rPr>
          <w:rFonts w:ascii="宋体" w:hAnsi="宋体" w:eastAsia="宋体"/>
          <w:b/>
          <w:bCs/>
          <w:color w:val="auto"/>
          <w:sz w:val="24"/>
          <w:szCs w:val="18"/>
          <w:highlight w:val="none"/>
        </w:rPr>
      </w:pPr>
      <w:bookmarkStart w:id="8" w:name="_Toc4607"/>
      <w:bookmarkStart w:id="9" w:name="_Toc31607"/>
      <w:bookmarkStart w:id="10" w:name="_Toc31469"/>
      <w:r>
        <w:rPr>
          <w:rFonts w:hint="eastAsia" w:ascii="宋体" w:hAnsi="宋体" w:eastAsia="宋体"/>
          <w:b/>
          <w:bCs/>
          <w:color w:val="auto"/>
          <w:sz w:val="24"/>
          <w:szCs w:val="18"/>
          <w:highlight w:val="none"/>
        </w:rPr>
        <w:t>三</w:t>
      </w:r>
      <w:r>
        <w:rPr>
          <w:rFonts w:hint="eastAsia" w:asciiTheme="minorEastAsia" w:hAnsiTheme="minorEastAsia" w:eastAsiaTheme="minorEastAsia"/>
          <w:b/>
          <w:color w:val="auto"/>
          <w:sz w:val="24"/>
          <w:highlight w:val="none"/>
        </w:rPr>
        <w:t>、</w:t>
      </w:r>
      <w:bookmarkEnd w:id="8"/>
      <w:r>
        <w:rPr>
          <w:rFonts w:hint="eastAsia" w:asciiTheme="minorEastAsia" w:hAnsiTheme="minorEastAsia" w:eastAsiaTheme="minorEastAsia"/>
          <w:b/>
          <w:color w:val="auto"/>
          <w:sz w:val="24"/>
          <w:highlight w:val="none"/>
        </w:rPr>
        <w:t>获取采购文件</w:t>
      </w:r>
      <w:bookmarkEnd w:id="9"/>
      <w:bookmarkEnd w:id="10"/>
    </w:p>
    <w:p w14:paraId="414F743B">
      <w:pPr>
        <w:spacing w:line="360" w:lineRule="auto"/>
        <w:ind w:firstLine="540"/>
        <w:rPr>
          <w:rFonts w:hint="eastAsia" w:asciiTheme="minorEastAsia" w:hAnsiTheme="minorEastAsia" w:eastAsiaTheme="minorEastAsia" w:cstheme="minorEastAsia"/>
          <w:i/>
          <w:iCs/>
          <w:sz w:val="24"/>
          <w:szCs w:val="24"/>
          <w:highlight w:val="none"/>
        </w:rPr>
      </w:pPr>
      <w:r>
        <w:rPr>
          <w:rFonts w:hint="eastAsia" w:asciiTheme="minorEastAsia" w:hAnsiTheme="minorEastAsia" w:eastAsiaTheme="minorEastAsia" w:cstheme="minorEastAsia"/>
          <w:sz w:val="24"/>
          <w:szCs w:val="24"/>
          <w:highlight w:val="none"/>
        </w:rPr>
        <w:t>时间：</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sz w:val="24"/>
          <w:szCs w:val="24"/>
          <w:u w:val="none"/>
        </w:rPr>
        <w:t>年</w:t>
      </w:r>
      <w:r>
        <w:rPr>
          <w:rFonts w:hint="eastAsia" w:asciiTheme="minorEastAsia" w:hAnsiTheme="minorEastAsia" w:eastAsiaTheme="minorEastAsia" w:cstheme="minorEastAsia"/>
          <w:sz w:val="24"/>
          <w:szCs w:val="24"/>
          <w:u w:val="single"/>
          <w:lang w:val="en-US" w:eastAsia="zh-CN"/>
        </w:rPr>
        <w:t>10</w:t>
      </w:r>
      <w:r>
        <w:rPr>
          <w:rFonts w:hint="eastAsia" w:asciiTheme="minorEastAsia" w:hAnsiTheme="minorEastAsia" w:eastAsiaTheme="minorEastAsia" w:cstheme="minorEastAsia"/>
          <w:sz w:val="24"/>
          <w:szCs w:val="24"/>
          <w:u w:val="none"/>
        </w:rPr>
        <w:t>月</w:t>
      </w:r>
      <w:r>
        <w:rPr>
          <w:rFonts w:hint="eastAsia" w:asciiTheme="minorEastAsia" w:hAnsiTheme="minorEastAsia" w:eastAsiaTheme="minorEastAsia" w:cstheme="minorEastAsia"/>
          <w:sz w:val="24"/>
          <w:szCs w:val="24"/>
          <w:u w:val="single"/>
          <w:lang w:val="en-US" w:eastAsia="zh-CN"/>
        </w:rPr>
        <w:t>28</w:t>
      </w:r>
      <w:r>
        <w:rPr>
          <w:rFonts w:hint="eastAsia" w:asciiTheme="minorEastAsia" w:hAnsiTheme="minorEastAsia" w:eastAsiaTheme="minorEastAsia" w:cstheme="minorEastAsia"/>
          <w:sz w:val="24"/>
          <w:szCs w:val="24"/>
          <w:u w:val="none"/>
        </w:rPr>
        <w:t>日</w:t>
      </w:r>
      <w:r>
        <w:rPr>
          <w:rFonts w:hint="eastAsia" w:asciiTheme="minorEastAsia" w:hAnsiTheme="minorEastAsia" w:eastAsiaTheme="minorEastAsia" w:cstheme="minorEastAsia"/>
          <w:sz w:val="24"/>
          <w:szCs w:val="24"/>
        </w:rPr>
        <w:t>至</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sz w:val="24"/>
          <w:szCs w:val="24"/>
          <w:u w:val="none"/>
        </w:rPr>
        <w:t>年</w:t>
      </w:r>
      <w:r>
        <w:rPr>
          <w:rFonts w:hint="eastAsia" w:asciiTheme="minorEastAsia" w:hAnsiTheme="minorEastAsia" w:eastAsiaTheme="minorEastAsia" w:cstheme="minorEastAsia"/>
          <w:sz w:val="24"/>
          <w:szCs w:val="24"/>
          <w:u w:val="single"/>
          <w:lang w:val="en-US" w:eastAsia="zh-CN"/>
        </w:rPr>
        <w:t>11</w:t>
      </w:r>
      <w:r>
        <w:rPr>
          <w:rFonts w:hint="eastAsia" w:asciiTheme="minorEastAsia" w:hAnsiTheme="minorEastAsia" w:eastAsiaTheme="minorEastAsia" w:cstheme="minorEastAsia"/>
          <w:sz w:val="24"/>
          <w:szCs w:val="24"/>
          <w:u w:val="none"/>
        </w:rPr>
        <w:t>月</w:t>
      </w:r>
      <w:r>
        <w:rPr>
          <w:rFonts w:hint="eastAsia" w:asciiTheme="minorEastAsia" w:hAnsiTheme="minorEastAsia" w:eastAsiaTheme="minorEastAsia" w:cstheme="minorEastAsia"/>
          <w:sz w:val="24"/>
          <w:szCs w:val="24"/>
          <w:u w:val="single"/>
          <w:lang w:val="en-US" w:eastAsia="zh-CN"/>
        </w:rPr>
        <w:t>9</w:t>
      </w:r>
      <w:r>
        <w:rPr>
          <w:rFonts w:hint="eastAsia" w:asciiTheme="minorEastAsia" w:hAnsiTheme="minorEastAsia" w:eastAsiaTheme="minorEastAsia" w:cstheme="minorEastAsia"/>
          <w:sz w:val="24"/>
          <w:szCs w:val="24"/>
          <w:u w:val="none"/>
        </w:rPr>
        <w:t>日</w:t>
      </w:r>
    </w:p>
    <w:p w14:paraId="4C2B01F7">
      <w:pPr>
        <w:spacing w:line="360" w:lineRule="auto"/>
        <w:ind w:firstLine="54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地点：滁州市城投工程咨询管理有限公司网站（https://www.czctgczx.com/）</w:t>
      </w:r>
    </w:p>
    <w:p w14:paraId="70B54BA0">
      <w:pPr>
        <w:spacing w:line="360" w:lineRule="auto"/>
        <w:ind w:firstLine="540"/>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rPr>
        <w:t>方式：</w:t>
      </w:r>
      <w:r>
        <w:rPr>
          <w:rFonts w:hint="eastAsia" w:asciiTheme="minorEastAsia" w:hAnsiTheme="minorEastAsia" w:eastAsiaTheme="minorEastAsia" w:cstheme="minorEastAsia"/>
          <w:color w:val="auto"/>
          <w:sz w:val="24"/>
          <w:szCs w:val="24"/>
          <w:highlight w:val="none"/>
          <w:lang w:val="en-US" w:eastAsia="zh-CN"/>
        </w:rPr>
        <w:t>网上下载</w:t>
      </w:r>
    </w:p>
    <w:p w14:paraId="25763F3E">
      <w:pPr>
        <w:spacing w:line="360" w:lineRule="auto"/>
        <w:ind w:firstLine="435"/>
        <w:outlineLvl w:val="1"/>
        <w:rPr>
          <w:rFonts w:ascii="宋体" w:hAnsi="宋体" w:eastAsia="宋体"/>
          <w:b/>
          <w:bCs/>
          <w:color w:val="auto"/>
          <w:sz w:val="24"/>
          <w:szCs w:val="18"/>
          <w:highlight w:val="none"/>
        </w:rPr>
      </w:pPr>
      <w:bookmarkStart w:id="11" w:name="_Toc19753"/>
      <w:bookmarkStart w:id="12" w:name="_Toc346"/>
      <w:bookmarkStart w:id="13" w:name="_Toc16674"/>
      <w:r>
        <w:rPr>
          <w:rFonts w:hint="eastAsia" w:ascii="宋体" w:hAnsi="宋体" w:eastAsia="宋体"/>
          <w:b/>
          <w:bCs/>
          <w:color w:val="auto"/>
          <w:sz w:val="24"/>
          <w:szCs w:val="18"/>
          <w:highlight w:val="none"/>
        </w:rPr>
        <w:t>四</w:t>
      </w:r>
      <w:r>
        <w:rPr>
          <w:rFonts w:hint="eastAsia" w:asciiTheme="minorEastAsia" w:hAnsiTheme="minorEastAsia" w:eastAsiaTheme="minorEastAsia"/>
          <w:b/>
          <w:color w:val="auto"/>
          <w:sz w:val="24"/>
          <w:highlight w:val="none"/>
        </w:rPr>
        <w:t>、</w:t>
      </w:r>
      <w:bookmarkEnd w:id="11"/>
      <w:r>
        <w:rPr>
          <w:rFonts w:hint="eastAsia" w:ascii="宋体" w:hAnsi="宋体" w:eastAsia="宋体"/>
          <w:b/>
          <w:bCs/>
          <w:color w:val="auto"/>
          <w:sz w:val="24"/>
          <w:highlight w:val="none"/>
        </w:rPr>
        <w:t>响应文件提交</w:t>
      </w:r>
      <w:bookmarkEnd w:id="12"/>
      <w:bookmarkEnd w:id="13"/>
    </w:p>
    <w:p w14:paraId="24AC5F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截止时间：2026年</w:t>
      </w:r>
      <w:r>
        <w:rPr>
          <w:rFonts w:hint="eastAsia" w:asciiTheme="minorEastAsia" w:hAnsiTheme="minorEastAsia" w:eastAsiaTheme="minorEastAsia" w:cstheme="minorEastAsia"/>
          <w:bCs/>
          <w:sz w:val="24"/>
          <w:szCs w:val="24"/>
          <w:highlight w:val="none"/>
          <w:u w:val="none"/>
          <w:lang w:val="en-US" w:eastAsia="zh-CN"/>
        </w:rPr>
        <w:t>11</w:t>
      </w:r>
      <w:r>
        <w:rPr>
          <w:rFonts w:hint="eastAsia" w:asciiTheme="minorEastAsia" w:hAnsiTheme="minorEastAsia" w:eastAsiaTheme="minorEastAsia" w:cstheme="minorEastAsia"/>
          <w:bCs/>
          <w:sz w:val="24"/>
          <w:szCs w:val="24"/>
          <w:highlight w:val="none"/>
          <w:u w:val="none"/>
        </w:rPr>
        <w:t>月</w:t>
      </w:r>
      <w:r>
        <w:rPr>
          <w:rFonts w:hint="eastAsia" w:asciiTheme="minorEastAsia" w:hAnsiTheme="minorEastAsia" w:eastAsiaTheme="minorEastAsia" w:cstheme="minorEastAsia"/>
          <w:bCs/>
          <w:sz w:val="24"/>
          <w:szCs w:val="24"/>
          <w:highlight w:val="none"/>
          <w:u w:val="none"/>
          <w:lang w:val="en-US" w:eastAsia="zh-CN"/>
        </w:rPr>
        <w:t>9</w:t>
      </w:r>
      <w:r>
        <w:rPr>
          <w:rFonts w:hint="eastAsia" w:asciiTheme="minorEastAsia" w:hAnsiTheme="minorEastAsia" w:eastAsiaTheme="minorEastAsia" w:cstheme="minorEastAsia"/>
          <w:bCs/>
          <w:sz w:val="24"/>
          <w:szCs w:val="24"/>
          <w:highlight w:val="none"/>
          <w:u w:val="none"/>
        </w:rPr>
        <w:t>日</w:t>
      </w:r>
      <w:r>
        <w:rPr>
          <w:rFonts w:hint="eastAsia" w:asciiTheme="minorEastAsia" w:hAnsiTheme="minorEastAsia" w:eastAsiaTheme="minorEastAsia" w:cstheme="minorEastAsia"/>
          <w:bCs/>
          <w:sz w:val="24"/>
          <w:szCs w:val="24"/>
          <w:highlight w:val="none"/>
          <w:u w:val="none"/>
          <w:lang w:val="en-US" w:eastAsia="zh-CN"/>
        </w:rPr>
        <w:t>9</w:t>
      </w:r>
      <w:r>
        <w:rPr>
          <w:rFonts w:hint="eastAsia" w:asciiTheme="minorEastAsia" w:hAnsiTheme="minorEastAsia" w:eastAsiaTheme="minorEastAsia" w:cstheme="minorEastAsia"/>
          <w:bCs/>
          <w:sz w:val="24"/>
          <w:szCs w:val="24"/>
          <w:highlight w:val="none"/>
          <w:u w:val="none"/>
        </w:rPr>
        <w:t>点</w:t>
      </w:r>
      <w:r>
        <w:rPr>
          <w:rFonts w:hint="eastAsia" w:asciiTheme="minorEastAsia" w:hAnsiTheme="minorEastAsia" w:eastAsiaTheme="minorEastAsia" w:cstheme="minorEastAsia"/>
          <w:bCs/>
          <w:sz w:val="24"/>
          <w:szCs w:val="24"/>
          <w:highlight w:val="none"/>
          <w:u w:val="none"/>
          <w:lang w:val="en-US" w:eastAsia="zh-CN"/>
        </w:rPr>
        <w:t>00</w:t>
      </w:r>
      <w:r>
        <w:rPr>
          <w:rFonts w:hint="eastAsia" w:asciiTheme="minorEastAsia" w:hAnsiTheme="minorEastAsia" w:eastAsiaTheme="minorEastAsia" w:cstheme="minorEastAsia"/>
          <w:bCs/>
          <w:sz w:val="24"/>
          <w:szCs w:val="24"/>
          <w:highlight w:val="none"/>
          <w:u w:val="none"/>
        </w:rPr>
        <w:t>分（北京时间）</w:t>
      </w:r>
    </w:p>
    <w:p w14:paraId="5AC9A5E2">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stheme="minorEastAsia"/>
          <w:sz w:val="24"/>
          <w:szCs w:val="24"/>
          <w:highlight w:val="none"/>
        </w:rPr>
        <w:t>地点：新点电子交易平台后在【滁州专区】</w:t>
      </w:r>
    </w:p>
    <w:p w14:paraId="7DDE2D61">
      <w:pPr>
        <w:spacing w:line="360" w:lineRule="auto"/>
        <w:ind w:firstLine="435"/>
        <w:outlineLvl w:val="1"/>
        <w:rPr>
          <w:rFonts w:ascii="宋体" w:hAnsi="宋体" w:eastAsia="宋体"/>
          <w:b/>
          <w:bCs/>
          <w:color w:val="auto"/>
          <w:sz w:val="24"/>
          <w:szCs w:val="18"/>
          <w:highlight w:val="none"/>
        </w:rPr>
      </w:pPr>
      <w:bookmarkStart w:id="14" w:name="_Toc8953"/>
      <w:bookmarkStart w:id="15" w:name="_Toc10846"/>
      <w:bookmarkStart w:id="16" w:name="_Toc7959"/>
      <w:r>
        <w:rPr>
          <w:rFonts w:hint="eastAsia" w:ascii="宋体" w:hAnsi="宋体" w:eastAsia="宋体"/>
          <w:b/>
          <w:bCs/>
          <w:color w:val="auto"/>
          <w:sz w:val="24"/>
          <w:szCs w:val="18"/>
          <w:highlight w:val="none"/>
        </w:rPr>
        <w:t>五</w:t>
      </w:r>
      <w:r>
        <w:rPr>
          <w:rFonts w:hint="eastAsia" w:asciiTheme="minorEastAsia" w:hAnsiTheme="minorEastAsia" w:eastAsiaTheme="minorEastAsia"/>
          <w:b/>
          <w:color w:val="auto"/>
          <w:sz w:val="24"/>
          <w:highlight w:val="none"/>
        </w:rPr>
        <w:t>、</w:t>
      </w:r>
      <w:bookmarkEnd w:id="14"/>
      <w:r>
        <w:rPr>
          <w:rFonts w:hint="eastAsia" w:ascii="宋体" w:hAnsi="宋体" w:eastAsia="宋体"/>
          <w:b/>
          <w:bCs/>
          <w:color w:val="auto"/>
          <w:sz w:val="24"/>
          <w:highlight w:val="none"/>
        </w:rPr>
        <w:t>开启</w:t>
      </w:r>
      <w:bookmarkEnd w:id="15"/>
      <w:bookmarkEnd w:id="16"/>
    </w:p>
    <w:p w14:paraId="56F1EB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u w:val="none"/>
        </w:rPr>
        <w:t>时间：2026年</w:t>
      </w:r>
      <w:r>
        <w:rPr>
          <w:rFonts w:hint="eastAsia" w:asciiTheme="minorEastAsia" w:hAnsiTheme="minorEastAsia" w:eastAsiaTheme="minorEastAsia" w:cstheme="minorEastAsia"/>
          <w:bCs/>
          <w:sz w:val="24"/>
          <w:szCs w:val="24"/>
          <w:highlight w:val="none"/>
          <w:u w:val="none"/>
          <w:lang w:val="en-US" w:eastAsia="zh-CN"/>
        </w:rPr>
        <w:t>11</w:t>
      </w:r>
      <w:r>
        <w:rPr>
          <w:rFonts w:hint="eastAsia" w:asciiTheme="minorEastAsia" w:hAnsiTheme="minorEastAsia" w:eastAsiaTheme="minorEastAsia" w:cstheme="minorEastAsia"/>
          <w:bCs/>
          <w:sz w:val="24"/>
          <w:szCs w:val="24"/>
          <w:highlight w:val="none"/>
          <w:u w:val="none"/>
        </w:rPr>
        <w:t>月</w:t>
      </w:r>
      <w:r>
        <w:rPr>
          <w:rFonts w:hint="eastAsia" w:asciiTheme="minorEastAsia" w:hAnsiTheme="minorEastAsia" w:eastAsiaTheme="minorEastAsia" w:cstheme="minorEastAsia"/>
          <w:bCs/>
          <w:sz w:val="24"/>
          <w:szCs w:val="24"/>
          <w:highlight w:val="none"/>
          <w:u w:val="none"/>
          <w:lang w:val="en-US" w:eastAsia="zh-CN"/>
        </w:rPr>
        <w:t>9</w:t>
      </w:r>
      <w:r>
        <w:rPr>
          <w:rFonts w:hint="eastAsia" w:asciiTheme="minorEastAsia" w:hAnsiTheme="minorEastAsia" w:eastAsiaTheme="minorEastAsia" w:cstheme="minorEastAsia"/>
          <w:bCs/>
          <w:sz w:val="24"/>
          <w:szCs w:val="24"/>
          <w:highlight w:val="none"/>
          <w:u w:val="none"/>
        </w:rPr>
        <w:t>日</w:t>
      </w:r>
      <w:r>
        <w:rPr>
          <w:rFonts w:hint="eastAsia" w:asciiTheme="minorEastAsia" w:hAnsiTheme="minorEastAsia" w:eastAsiaTheme="minorEastAsia" w:cstheme="minorEastAsia"/>
          <w:bCs/>
          <w:sz w:val="24"/>
          <w:szCs w:val="24"/>
          <w:highlight w:val="none"/>
          <w:u w:val="none"/>
          <w:lang w:val="en-US" w:eastAsia="zh-CN"/>
        </w:rPr>
        <w:t>9</w:t>
      </w:r>
      <w:r>
        <w:rPr>
          <w:rFonts w:hint="eastAsia" w:asciiTheme="minorEastAsia" w:hAnsiTheme="minorEastAsia" w:eastAsiaTheme="minorEastAsia" w:cstheme="minorEastAsia"/>
          <w:bCs/>
          <w:sz w:val="24"/>
          <w:szCs w:val="24"/>
          <w:highlight w:val="none"/>
          <w:u w:val="none"/>
        </w:rPr>
        <w:t>点</w:t>
      </w:r>
      <w:r>
        <w:rPr>
          <w:rFonts w:hint="eastAsia" w:asciiTheme="minorEastAsia" w:hAnsiTheme="minorEastAsia" w:eastAsiaTheme="minorEastAsia" w:cstheme="minorEastAsia"/>
          <w:bCs/>
          <w:sz w:val="24"/>
          <w:szCs w:val="24"/>
          <w:highlight w:val="none"/>
          <w:u w:val="none"/>
          <w:lang w:val="en-US" w:eastAsia="zh-CN"/>
        </w:rPr>
        <w:t>00</w:t>
      </w:r>
      <w:r>
        <w:rPr>
          <w:rFonts w:hint="eastAsia" w:asciiTheme="minorEastAsia" w:hAnsiTheme="minorEastAsia" w:eastAsiaTheme="minorEastAsia" w:cstheme="minorEastAsia"/>
          <w:bCs/>
          <w:sz w:val="24"/>
          <w:szCs w:val="24"/>
          <w:highlight w:val="none"/>
          <w:u w:val="none"/>
        </w:rPr>
        <w:t>分（北京时间）</w:t>
      </w:r>
    </w:p>
    <w:p w14:paraId="5D701E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auto"/>
          <w:sz w:val="24"/>
          <w:szCs w:val="18"/>
          <w:highlight w:val="none"/>
        </w:rPr>
      </w:pPr>
      <w:r>
        <w:rPr>
          <w:rFonts w:hint="eastAsia" w:asciiTheme="minorEastAsia" w:hAnsiTheme="minorEastAsia" w:eastAsiaTheme="minorEastAsia" w:cstheme="minorEastAsia"/>
          <w:sz w:val="24"/>
          <w:szCs w:val="24"/>
          <w:highlight w:val="none"/>
        </w:rPr>
        <w:t>地点：新点电子交易平台后在【滁州专区】</w:t>
      </w:r>
    </w:p>
    <w:p w14:paraId="20B1FAE1">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17" w:name="_Toc16124"/>
      <w:bookmarkStart w:id="18" w:name="_Toc14575"/>
      <w:bookmarkStart w:id="19" w:name="_Toc16203"/>
      <w:r>
        <w:rPr>
          <w:rFonts w:hint="eastAsia" w:ascii="宋体" w:hAnsi="宋体" w:eastAsia="宋体"/>
          <w:b/>
          <w:bCs/>
          <w:color w:val="auto"/>
          <w:sz w:val="24"/>
          <w:szCs w:val="18"/>
          <w:highlight w:val="none"/>
          <w:lang w:val="en-US" w:eastAsia="zh-CN"/>
        </w:rPr>
        <w:t>六</w:t>
      </w:r>
      <w:r>
        <w:rPr>
          <w:rFonts w:hint="eastAsia" w:ascii="宋体" w:hAnsi="宋体" w:eastAsia="宋体"/>
          <w:b/>
          <w:bCs/>
          <w:color w:val="auto"/>
          <w:sz w:val="24"/>
          <w:szCs w:val="18"/>
          <w:highlight w:val="none"/>
        </w:rPr>
        <w:t>、公告期限</w:t>
      </w:r>
      <w:bookmarkEnd w:id="17"/>
      <w:bookmarkEnd w:id="18"/>
    </w:p>
    <w:p w14:paraId="32F58A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自本公告发布之日起3个工作日。</w:t>
      </w:r>
    </w:p>
    <w:p w14:paraId="681463CF">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20" w:name="_Toc21264"/>
      <w:bookmarkStart w:id="21" w:name="_Toc16366"/>
      <w:bookmarkStart w:id="22" w:name="_Toc35393626"/>
      <w:bookmarkStart w:id="23" w:name="_Toc35393795"/>
      <w:r>
        <w:rPr>
          <w:rFonts w:hint="eastAsia" w:ascii="宋体" w:hAnsi="宋体" w:eastAsia="宋体"/>
          <w:b/>
          <w:bCs/>
          <w:color w:val="auto"/>
          <w:sz w:val="24"/>
          <w:szCs w:val="18"/>
          <w:highlight w:val="none"/>
          <w:lang w:val="en-US" w:eastAsia="zh-CN"/>
        </w:rPr>
        <w:t>七</w:t>
      </w:r>
      <w:r>
        <w:rPr>
          <w:rFonts w:hint="eastAsia" w:ascii="宋体" w:hAnsi="宋体" w:eastAsia="宋体"/>
          <w:b/>
          <w:bCs/>
          <w:color w:val="auto"/>
          <w:sz w:val="24"/>
          <w:szCs w:val="18"/>
          <w:highlight w:val="none"/>
        </w:rPr>
        <w:t>、其他补充事宜</w:t>
      </w:r>
      <w:bookmarkEnd w:id="20"/>
      <w:bookmarkEnd w:id="21"/>
      <w:bookmarkEnd w:id="22"/>
      <w:bookmarkEnd w:id="23"/>
    </w:p>
    <w:p w14:paraId="260772A7">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1.供应商从滁州市城投工程咨询管理有限公司（https://www.czctgczx.com/）下载。供应商自行承担因未按要求获取招标文件导致无法上传电子投标文件的风险。</w:t>
      </w:r>
    </w:p>
    <w:p w14:paraId="5D7B45EE">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式：（1）供应商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18B34509">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供应商登录新点电子交易平台【滁州专区】获取询价文件及其它资料（含澄清和补充说明等）。如在招标文件获取过程中遇到系统问题，请拨打技术支持服务热线0512-58151515（工作日）或者网站首页在线客服。</w:t>
      </w:r>
    </w:p>
    <w:p w14:paraId="09BCAEE3">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2.招标文件及相关资料售价：人民币0元/套。</w:t>
      </w:r>
    </w:p>
    <w:p w14:paraId="512EC86D">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本项目开评标实行全流程电子化，开标活动在线完成。开标时供应商无需到达开标现场，不接受现场解密，实行远程解密和在线询标。各供应商认真学习《新点电子交易平台供应商操作手册》，务必掌握远程解密方法和在线回复询标方法。</w:t>
      </w:r>
    </w:p>
    <w:p w14:paraId="61ABAE30">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4.本项目采用不见面开标，供应商登录滁州市城投工程咨询有限公司不见面开标系统参与网上开标（网址：http://js.etrading.cn/EpointBidOpening/bidopeninghallaction/hall/login）。</w:t>
      </w:r>
    </w:p>
    <w:p w14:paraId="5B2D3030">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供应商应在投标截止时间之前，登录新点电子交易平台【滁州专区】上传投标文件</w:t>
      </w:r>
    </w:p>
    <w:p w14:paraId="2AF97BAB">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5.本项目仅接受加密电子投标文件供应商在投标截止时间前通过新点电子交易平台后在【滁州专区】</w:t>
      </w:r>
    </w:p>
    <w:p w14:paraId="2FCF74C6">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b w:val="0"/>
          <w:bCs w:val="0"/>
          <w:color w:val="auto"/>
          <w:sz w:val="24"/>
          <w:szCs w:val="18"/>
          <w:highlight w:val="none"/>
          <w:lang w:val="en-US" w:eastAsia="zh-CN"/>
        </w:rPr>
      </w:pPr>
      <w:r>
        <w:rPr>
          <w:rFonts w:hint="eastAsia" w:ascii="宋体" w:hAnsi="宋体" w:eastAsia="宋体" w:cs="宋体"/>
          <w:color w:val="auto"/>
          <w:sz w:val="24"/>
          <w:szCs w:val="24"/>
          <w:highlight w:val="none"/>
          <w:lang w:val="en-US" w:eastAsia="zh-CN"/>
        </w:rPr>
        <w:t>（https://www.etrading.cn/BREpointSSO/login/oauth2login?regioncode=DQ_ChuZhou）交易系统递交电子投标文件。</w:t>
      </w:r>
    </w:p>
    <w:p w14:paraId="685F590A">
      <w:pPr>
        <w:spacing w:line="360" w:lineRule="auto"/>
        <w:ind w:firstLine="435"/>
        <w:outlineLvl w:val="1"/>
        <w:rPr>
          <w:rFonts w:ascii="宋体" w:hAnsi="宋体" w:eastAsia="宋体"/>
          <w:b/>
          <w:bCs/>
          <w:color w:val="auto"/>
          <w:sz w:val="24"/>
          <w:szCs w:val="18"/>
          <w:highlight w:val="none"/>
        </w:rPr>
      </w:pPr>
      <w:bookmarkStart w:id="24" w:name="_Toc24122"/>
      <w:bookmarkStart w:id="25" w:name="_Toc7755"/>
      <w:r>
        <w:rPr>
          <w:rFonts w:hint="eastAsia" w:ascii="宋体" w:hAnsi="宋体" w:eastAsia="宋体"/>
          <w:b/>
          <w:bCs/>
          <w:color w:val="auto"/>
          <w:sz w:val="24"/>
          <w:szCs w:val="18"/>
          <w:highlight w:val="none"/>
          <w:lang w:val="en-US" w:eastAsia="zh-CN"/>
        </w:rPr>
        <w:t>八</w:t>
      </w:r>
      <w:r>
        <w:rPr>
          <w:rFonts w:hint="eastAsia" w:asciiTheme="minorEastAsia" w:hAnsiTheme="minorEastAsia" w:eastAsiaTheme="minorEastAsia"/>
          <w:b/>
          <w:color w:val="auto"/>
          <w:sz w:val="24"/>
          <w:highlight w:val="none"/>
        </w:rPr>
        <w:t>、</w:t>
      </w:r>
      <w:bookmarkEnd w:id="19"/>
      <w:r>
        <w:rPr>
          <w:rFonts w:hint="eastAsia" w:ascii="宋体" w:hAnsi="宋体" w:eastAsia="宋体"/>
          <w:b/>
          <w:bCs/>
          <w:color w:val="auto"/>
          <w:sz w:val="24"/>
          <w:szCs w:val="18"/>
          <w:highlight w:val="none"/>
        </w:rPr>
        <w:t>凡对本次采购提出询问，请按以下方式联系</w:t>
      </w:r>
      <w:bookmarkEnd w:id="24"/>
      <w:bookmarkEnd w:id="25"/>
    </w:p>
    <w:p w14:paraId="1028F23E">
      <w:pPr>
        <w:spacing w:line="360" w:lineRule="auto"/>
        <w:ind w:firstLine="435"/>
        <w:outlineLvl w:val="2"/>
        <w:rPr>
          <w:rFonts w:ascii="宋体" w:hAnsi="宋体" w:eastAsia="宋体"/>
          <w:color w:val="auto"/>
          <w:sz w:val="24"/>
          <w:szCs w:val="18"/>
          <w:highlight w:val="none"/>
        </w:rPr>
      </w:pPr>
      <w:r>
        <w:rPr>
          <w:rFonts w:hint="eastAsia" w:ascii="宋体" w:hAnsi="宋体" w:eastAsia="宋体"/>
          <w:color w:val="auto"/>
          <w:sz w:val="24"/>
          <w:szCs w:val="18"/>
          <w:highlight w:val="none"/>
        </w:rPr>
        <w:t>1.采购人</w:t>
      </w:r>
      <w:r>
        <w:rPr>
          <w:rFonts w:hint="eastAsia" w:ascii="宋体" w:hAnsi="宋体" w:eastAsia="宋体"/>
          <w:color w:val="auto"/>
          <w:sz w:val="24"/>
          <w:szCs w:val="18"/>
          <w:highlight w:val="none"/>
          <w:lang w:val="en-US" w:eastAsia="zh-CN"/>
        </w:rPr>
        <w:t>信息</w:t>
      </w:r>
    </w:p>
    <w:p w14:paraId="78682CBC">
      <w:pPr>
        <w:spacing w:line="360" w:lineRule="auto"/>
        <w:ind w:firstLine="435"/>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：滁州市人力资源和社会保障局</w:t>
      </w:r>
    </w:p>
    <w:p w14:paraId="542DB00E">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 xml:space="preserve">地 </w:t>
      </w:r>
      <w:r>
        <w:rPr>
          <w:rFonts w:ascii="宋体" w:hAnsi="宋体" w:eastAsia="宋体"/>
          <w:color w:val="auto"/>
          <w:sz w:val="24"/>
          <w:szCs w:val="18"/>
          <w:highlight w:val="none"/>
        </w:rPr>
        <w:t xml:space="preserve"> </w:t>
      </w:r>
      <w:r>
        <w:rPr>
          <w:rFonts w:hint="eastAsia" w:ascii="宋体" w:hAnsi="宋体" w:eastAsia="宋体"/>
          <w:color w:val="auto"/>
          <w:sz w:val="24"/>
          <w:szCs w:val="18"/>
          <w:highlight w:val="none"/>
        </w:rPr>
        <w:t>址：安徽省滁州市龙蟠大道99号</w:t>
      </w:r>
    </w:p>
    <w:p w14:paraId="27336133">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联系人：倪海林</w:t>
      </w:r>
    </w:p>
    <w:p w14:paraId="50999ED4">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lang w:val="en-US" w:eastAsia="zh-CN"/>
        </w:rPr>
        <w:t>0550-3011053</w:t>
      </w:r>
    </w:p>
    <w:p w14:paraId="4B8C69CE">
      <w:pPr>
        <w:spacing w:line="360" w:lineRule="auto"/>
        <w:ind w:firstLine="437"/>
        <w:outlineLvl w:val="9"/>
        <w:rPr>
          <w:rFonts w:hint="eastAsia" w:ascii="宋体" w:hAnsi="宋体" w:eastAsia="宋体"/>
          <w:color w:val="auto"/>
          <w:sz w:val="24"/>
          <w:szCs w:val="18"/>
          <w:highlight w:val="none"/>
          <w:lang w:val="en-US" w:eastAsia="zh-CN"/>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lang w:val="en-US" w:eastAsia="zh-CN"/>
        </w:rPr>
        <w:t>信息</w:t>
      </w:r>
    </w:p>
    <w:p w14:paraId="1A499250">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：滁州市城投工程咨询管理有限公司</w:t>
      </w:r>
    </w:p>
    <w:p w14:paraId="5EA7EA80">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 xml:space="preserve">  址：</w:t>
      </w:r>
      <w:r>
        <w:rPr>
          <w:rFonts w:hint="eastAsia" w:ascii="宋体" w:hAnsi="宋体" w:eastAsia="宋体"/>
          <w:color w:val="auto"/>
          <w:sz w:val="24"/>
          <w:szCs w:val="18"/>
          <w:highlight w:val="none"/>
        </w:rPr>
        <w:t>滁州市龙蟠大道109号房产大厦6楼</w:t>
      </w:r>
    </w:p>
    <w:p w14:paraId="1D7AE378">
      <w:pPr>
        <w:spacing w:line="360" w:lineRule="auto"/>
        <w:ind w:firstLine="435"/>
        <w:rPr>
          <w:highlight w:val="none"/>
        </w:rPr>
      </w:pPr>
      <w:r>
        <w:rPr>
          <w:rFonts w:hint="eastAsia" w:ascii="宋体" w:hAnsi="宋体" w:eastAsia="宋体"/>
          <w:color w:val="auto"/>
          <w:sz w:val="24"/>
          <w:szCs w:val="18"/>
          <w:highlight w:val="none"/>
          <w:lang w:val="en-US" w:eastAsia="zh-CN"/>
        </w:rPr>
        <w:t>联系人：杨韦</w:t>
      </w:r>
    </w:p>
    <w:p w14:paraId="5005A00D">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：0550-3519590、18005501210</w:t>
      </w:r>
    </w:p>
    <w:p w14:paraId="5F214738">
      <w:pPr>
        <w:spacing w:line="360" w:lineRule="auto"/>
        <w:ind w:firstLine="435"/>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4E8CC6B8">
      <w:pPr>
        <w:spacing w:line="360" w:lineRule="auto"/>
        <w:jc w:val="center"/>
        <w:outlineLvl w:val="0"/>
        <w:rPr>
          <w:rFonts w:asciiTheme="minorEastAsia" w:hAnsiTheme="minorEastAsia" w:eastAsiaTheme="minorEastAsia"/>
          <w:b/>
          <w:color w:val="auto"/>
          <w:sz w:val="28"/>
          <w:highlight w:val="none"/>
        </w:rPr>
      </w:pPr>
      <w:bookmarkStart w:id="26" w:name="_Toc28407"/>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6"/>
    </w:p>
    <w:p w14:paraId="6EE0E584">
      <w:pPr>
        <w:spacing w:line="360" w:lineRule="auto"/>
        <w:jc w:val="center"/>
        <w:outlineLvl w:val="1"/>
        <w:rPr>
          <w:rFonts w:asciiTheme="minorEastAsia" w:hAnsiTheme="minorEastAsia" w:eastAsiaTheme="minorEastAsia"/>
          <w:b/>
          <w:color w:val="auto"/>
          <w:sz w:val="24"/>
          <w:highlight w:val="none"/>
        </w:rPr>
      </w:pPr>
      <w:bookmarkStart w:id="27" w:name="_Toc16645"/>
      <w:bookmarkStart w:id="28" w:name="_Toc19650"/>
      <w:bookmarkStart w:id="29" w:name="_Toc27956"/>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7"/>
      <w:bookmarkEnd w:id="28"/>
      <w:bookmarkEnd w:id="29"/>
    </w:p>
    <w:p w14:paraId="06485791">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本表是本项目的具体要求，是对供应商须知的具体补充和修改，如有不一致，以本表为准。</w:t>
      </w:r>
    </w:p>
    <w:tbl>
      <w:tblPr>
        <w:tblStyle w:val="26"/>
        <w:tblW w:w="51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2"/>
        <w:gridCol w:w="2032"/>
        <w:gridCol w:w="5722"/>
      </w:tblGrid>
      <w:tr w14:paraId="5639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48D2BC59">
            <w:pPr>
              <w:pStyle w:val="34"/>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60" w:type="pct"/>
            <w:vAlign w:val="center"/>
          </w:tcPr>
          <w:p w14:paraId="317C0A81">
            <w:pPr>
              <w:pStyle w:val="34"/>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67" w:type="pct"/>
            <w:vAlign w:val="center"/>
          </w:tcPr>
          <w:p w14:paraId="7C46C8F1">
            <w:pPr>
              <w:pStyle w:val="34"/>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02686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68788D27">
            <w:pPr>
              <w:pStyle w:val="35"/>
              <w:pBdr>
                <w:bottom w:val="none" w:color="auto" w:sz="0" w:space="0"/>
              </w:pBdr>
              <w:tabs>
                <w:tab w:val="clear" w:pos="4153"/>
                <w:tab w:val="clear" w:pos="8306"/>
              </w:tabs>
              <w:adjustRightInd/>
              <w:spacing w:line="360" w:lineRule="auto"/>
              <w:textAlignment w:val="auto"/>
              <w:rPr>
                <w:rFonts w:hint="default" w:ascii="宋体" w:hAnsi="宋体" w:eastAsia="宋体" w:cs="@仿宋_GB2312"/>
                <w:bCs/>
                <w:color w:val="auto"/>
                <w:kern w:val="2"/>
                <w:sz w:val="24"/>
                <w:szCs w:val="20"/>
                <w:highlight w:val="none"/>
                <w:lang w:val="en-US" w:eastAsia="zh-CN" w:bidi="ar-SA"/>
              </w:rPr>
            </w:pPr>
            <w:r>
              <w:rPr>
                <w:rFonts w:hint="eastAsia"/>
                <w:bCs/>
                <w:color w:val="auto"/>
                <w:kern w:val="2"/>
                <w:highlight w:val="none"/>
                <w:lang w:val="en-US" w:eastAsia="zh-CN"/>
              </w:rPr>
              <w:t>5</w:t>
            </w:r>
            <w:r>
              <w:rPr>
                <w:bCs/>
                <w:color w:val="auto"/>
                <w:kern w:val="2"/>
                <w:highlight w:val="none"/>
              </w:rPr>
              <w:t>.</w:t>
            </w:r>
            <w:r>
              <w:rPr>
                <w:rFonts w:hint="eastAsia"/>
                <w:bCs/>
                <w:color w:val="auto"/>
                <w:kern w:val="2"/>
                <w:highlight w:val="none"/>
                <w:lang w:val="en-US" w:eastAsia="zh-CN"/>
              </w:rPr>
              <w:t>2</w:t>
            </w:r>
          </w:p>
        </w:tc>
        <w:tc>
          <w:tcPr>
            <w:tcW w:w="1160" w:type="pct"/>
            <w:vAlign w:val="center"/>
          </w:tcPr>
          <w:p w14:paraId="281C3C99">
            <w:pPr>
              <w:pStyle w:val="34"/>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67" w:type="pct"/>
            <w:vAlign w:val="center"/>
          </w:tcPr>
          <w:p w14:paraId="641C3A65">
            <w:pPr>
              <w:spacing w:line="360" w:lineRule="auto"/>
              <w:rPr>
                <w:rFonts w:ascii="宋体" w:hAnsi="宋体" w:eastAsia="宋体"/>
                <w:b w:val="0"/>
                <w:color w:val="auto"/>
                <w:sz w:val="24"/>
                <w:highlight w:val="none"/>
              </w:rPr>
            </w:pP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tc>
      </w:tr>
      <w:tr w14:paraId="2215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5A728E66">
            <w:pPr>
              <w:pStyle w:val="35"/>
              <w:pBdr>
                <w:bottom w:val="none" w:color="auto" w:sz="0" w:space="0"/>
              </w:pBdr>
              <w:tabs>
                <w:tab w:val="clear" w:pos="4153"/>
                <w:tab w:val="clear" w:pos="8306"/>
              </w:tabs>
              <w:adjustRightInd/>
              <w:spacing w:line="240" w:lineRule="auto"/>
              <w:textAlignment w:val="auto"/>
              <w:rPr>
                <w:rFonts w:hint="default"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6.1</w:t>
            </w:r>
          </w:p>
        </w:tc>
        <w:tc>
          <w:tcPr>
            <w:tcW w:w="1160" w:type="pct"/>
            <w:vAlign w:val="center"/>
          </w:tcPr>
          <w:p w14:paraId="19E06FBB">
            <w:pPr>
              <w:pStyle w:val="34"/>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67" w:type="pct"/>
            <w:vAlign w:val="center"/>
          </w:tcPr>
          <w:p w14:paraId="30F38752">
            <w:pPr>
              <w:pStyle w:val="34"/>
              <w:widowControl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11</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2</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00</w:t>
            </w:r>
            <w:r>
              <w:rPr>
                <w:rFonts w:hint="eastAsia" w:ascii="宋体" w:hAnsi="宋体" w:eastAsia="宋体"/>
                <w:b w:val="0"/>
                <w:color w:val="auto"/>
                <w:sz w:val="24"/>
                <w:highlight w:val="none"/>
              </w:rPr>
              <w:t>分</w:t>
            </w:r>
          </w:p>
        </w:tc>
      </w:tr>
      <w:tr w14:paraId="171B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572" w:type="pct"/>
            <w:vAlign w:val="center"/>
          </w:tcPr>
          <w:p w14:paraId="1BC09E28">
            <w:pPr>
              <w:pStyle w:val="35"/>
              <w:pBdr>
                <w:bottom w:val="none" w:color="auto" w:sz="0" w:space="0"/>
              </w:pBdr>
              <w:tabs>
                <w:tab w:val="clear" w:pos="4153"/>
                <w:tab w:val="clear" w:pos="8306"/>
              </w:tabs>
              <w:adjustRightInd/>
              <w:spacing w:line="240" w:lineRule="auto"/>
              <w:textAlignment w:val="auto"/>
              <w:rPr>
                <w:rFonts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60" w:type="pct"/>
            <w:vAlign w:val="center"/>
          </w:tcPr>
          <w:p w14:paraId="46309837">
            <w:pPr>
              <w:pStyle w:val="34"/>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67" w:type="pct"/>
            <w:vAlign w:val="center"/>
          </w:tcPr>
          <w:p w14:paraId="165BAAF9">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ascii="宋体" w:hAnsi="宋体" w:eastAsia="宋体"/>
                <w:b w:val="0"/>
                <w:color w:val="auto"/>
                <w:sz w:val="24"/>
                <w:highlight w:val="none"/>
              </w:rPr>
              <w:t>不分包</w:t>
            </w:r>
          </w:p>
        </w:tc>
      </w:tr>
      <w:tr w14:paraId="5E45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72" w:type="pct"/>
            <w:vAlign w:val="center"/>
          </w:tcPr>
          <w:p w14:paraId="6FEC9259">
            <w:pPr>
              <w:pStyle w:val="35"/>
              <w:pBdr>
                <w:bottom w:val="none" w:color="auto" w:sz="0" w:space="0"/>
              </w:pBdr>
              <w:tabs>
                <w:tab w:val="clear" w:pos="4153"/>
                <w:tab w:val="clear" w:pos="8306"/>
              </w:tabs>
              <w:adjustRightInd/>
              <w:spacing w:line="240" w:lineRule="auto"/>
              <w:textAlignment w:val="auto"/>
              <w:rPr>
                <w:rFonts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10</w:t>
            </w:r>
            <w:r>
              <w:rPr>
                <w:rFonts w:ascii="宋体" w:hAnsi="宋体" w:eastAsia="宋体"/>
                <w:bCs/>
                <w:color w:val="auto"/>
                <w:kern w:val="2"/>
                <w:highlight w:val="none"/>
              </w:rPr>
              <w:t>.1</w:t>
            </w:r>
          </w:p>
        </w:tc>
        <w:tc>
          <w:tcPr>
            <w:tcW w:w="1160" w:type="pct"/>
            <w:vAlign w:val="center"/>
          </w:tcPr>
          <w:p w14:paraId="0336FCB8">
            <w:pPr>
              <w:pStyle w:val="34"/>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lang w:val="en-US" w:eastAsia="zh-CN"/>
              </w:rPr>
              <w:t>磋商</w:t>
            </w:r>
            <w:r>
              <w:rPr>
                <w:rFonts w:hint="eastAsia" w:ascii="宋体" w:hAnsi="宋体" w:eastAsia="宋体"/>
                <w:b w:val="0"/>
                <w:color w:val="auto"/>
                <w:sz w:val="24"/>
                <w:highlight w:val="none"/>
              </w:rPr>
              <w:t>保证金</w:t>
            </w:r>
          </w:p>
        </w:tc>
        <w:tc>
          <w:tcPr>
            <w:tcW w:w="3267" w:type="pct"/>
            <w:vAlign w:val="center"/>
          </w:tcPr>
          <w:p w14:paraId="71DB77C2">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不收取</w:t>
            </w:r>
          </w:p>
        </w:tc>
      </w:tr>
      <w:tr w14:paraId="652A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537F86CB">
            <w:pPr>
              <w:pStyle w:val="35"/>
              <w:pBdr>
                <w:bottom w:val="none" w:color="auto" w:sz="0" w:space="0"/>
              </w:pBdr>
              <w:tabs>
                <w:tab w:val="clear" w:pos="4153"/>
                <w:tab w:val="clear" w:pos="8306"/>
              </w:tabs>
              <w:adjustRightInd/>
              <w:spacing w:line="240" w:lineRule="auto"/>
              <w:textAlignment w:val="auto"/>
              <w:rPr>
                <w:rFonts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11</w:t>
            </w:r>
            <w:r>
              <w:rPr>
                <w:rFonts w:ascii="宋体" w:hAnsi="宋体" w:eastAsia="宋体"/>
                <w:bCs/>
                <w:color w:val="auto"/>
                <w:kern w:val="2"/>
                <w:highlight w:val="none"/>
              </w:rPr>
              <w:t>.1</w:t>
            </w:r>
          </w:p>
        </w:tc>
        <w:tc>
          <w:tcPr>
            <w:tcW w:w="1160" w:type="pct"/>
            <w:vAlign w:val="center"/>
          </w:tcPr>
          <w:p w14:paraId="151920B6">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lang w:val="en-US" w:eastAsia="zh-CN"/>
              </w:rPr>
              <w:t>磋商</w:t>
            </w:r>
            <w:r>
              <w:rPr>
                <w:rFonts w:hint="eastAsia" w:ascii="宋体" w:hAnsi="宋体" w:eastAsia="宋体"/>
                <w:b w:val="0"/>
                <w:color w:val="auto"/>
                <w:sz w:val="24"/>
                <w:highlight w:val="none"/>
              </w:rPr>
              <w:t>有效期</w:t>
            </w:r>
          </w:p>
        </w:tc>
        <w:tc>
          <w:tcPr>
            <w:tcW w:w="3267" w:type="pct"/>
            <w:vAlign w:val="center"/>
          </w:tcPr>
          <w:p w14:paraId="01AC2FD0">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3701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46BD797B">
            <w:pPr>
              <w:pStyle w:val="35"/>
              <w:pBdr>
                <w:bottom w:val="none" w:color="auto" w:sz="0" w:space="0"/>
              </w:pBdr>
              <w:tabs>
                <w:tab w:val="clear" w:pos="4153"/>
                <w:tab w:val="clear" w:pos="8306"/>
              </w:tabs>
              <w:adjustRightInd/>
              <w:spacing w:line="240" w:lineRule="auto"/>
              <w:textAlignment w:val="auto"/>
              <w:rPr>
                <w:rFonts w:ascii="宋体" w:hAnsi="宋体" w:eastAsia="宋体" w:cs="@仿宋_GB2312"/>
                <w:bCs/>
                <w:color w:val="auto"/>
                <w:kern w:val="2"/>
                <w:sz w:val="24"/>
                <w:szCs w:val="20"/>
                <w:highlight w:val="none"/>
                <w:lang w:val="en-US" w:eastAsia="zh-CN" w:bidi="ar-SA"/>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w:t>
            </w:r>
          </w:p>
        </w:tc>
        <w:tc>
          <w:tcPr>
            <w:tcW w:w="1160" w:type="pct"/>
            <w:vAlign w:val="center"/>
          </w:tcPr>
          <w:p w14:paraId="6647D0DB">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响应文件解密时间</w:t>
            </w:r>
          </w:p>
        </w:tc>
        <w:tc>
          <w:tcPr>
            <w:tcW w:w="3267" w:type="pct"/>
            <w:vAlign w:val="center"/>
          </w:tcPr>
          <w:p w14:paraId="7B8794C8">
            <w:pPr>
              <w:pStyle w:val="34"/>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color w:val="auto"/>
                <w:sz w:val="24"/>
                <w:highlight w:val="none"/>
                <w:u w:val="none"/>
              </w:rPr>
              <w:t>响应文件提交截止时间后</w:t>
            </w:r>
            <w:r>
              <w:rPr>
                <w:rFonts w:hint="eastAsia" w:ascii="宋体" w:hAnsi="宋体" w:eastAsia="宋体"/>
                <w:b w:val="0"/>
                <w:color w:val="auto"/>
                <w:sz w:val="24"/>
                <w:highlight w:val="none"/>
                <w:u w:val="single"/>
                <w:lang w:val="en-US" w:eastAsia="zh-CN"/>
              </w:rPr>
              <w:t xml:space="preserve"> 30 </w:t>
            </w:r>
            <w:r>
              <w:rPr>
                <w:rFonts w:hint="eastAsia" w:ascii="宋体" w:hAnsi="宋体" w:eastAsia="宋体"/>
                <w:b w:val="0"/>
                <w:color w:val="auto"/>
                <w:sz w:val="24"/>
                <w:highlight w:val="none"/>
                <w:u w:val="none"/>
              </w:rPr>
              <w:t>分钟内</w:t>
            </w:r>
          </w:p>
        </w:tc>
      </w:tr>
      <w:tr w14:paraId="196F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71549B4A">
            <w:pPr>
              <w:pStyle w:val="35"/>
              <w:pBdr>
                <w:bottom w:val="none" w:color="auto" w:sz="0" w:space="0"/>
              </w:pBdr>
              <w:tabs>
                <w:tab w:val="clear" w:pos="4153"/>
                <w:tab w:val="clear" w:pos="8306"/>
              </w:tabs>
              <w:adjustRightInd/>
              <w:spacing w:line="240" w:lineRule="auto"/>
              <w:textAlignment w:val="auto"/>
              <w:rPr>
                <w:rFonts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14</w:t>
            </w:r>
            <w:r>
              <w:rPr>
                <w:rFonts w:hint="eastAsia" w:ascii="宋体" w:hAnsi="宋体" w:eastAsia="宋体"/>
                <w:bCs/>
                <w:color w:val="auto"/>
                <w:kern w:val="2"/>
                <w:highlight w:val="none"/>
              </w:rPr>
              <w:t>.3</w:t>
            </w:r>
          </w:p>
        </w:tc>
        <w:tc>
          <w:tcPr>
            <w:tcW w:w="1160" w:type="pct"/>
            <w:vAlign w:val="center"/>
          </w:tcPr>
          <w:p w14:paraId="67B9996F">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评审方法</w:t>
            </w:r>
          </w:p>
        </w:tc>
        <w:tc>
          <w:tcPr>
            <w:tcW w:w="3267" w:type="pct"/>
            <w:vAlign w:val="center"/>
          </w:tcPr>
          <w:p w14:paraId="11E9919B">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none"/>
              </w:rPr>
              <w:t>最低评标价法</w:t>
            </w:r>
          </w:p>
        </w:tc>
      </w:tr>
      <w:tr w14:paraId="0D893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Merge w:val="restart"/>
            <w:vAlign w:val="center"/>
          </w:tcPr>
          <w:p w14:paraId="0671409B">
            <w:pPr>
              <w:pStyle w:val="35"/>
              <w:pBdr>
                <w:bottom w:val="none" w:color="auto" w:sz="0" w:space="0"/>
              </w:pBdr>
              <w:tabs>
                <w:tab w:val="clear" w:pos="4153"/>
                <w:tab w:val="clear" w:pos="8306"/>
              </w:tabs>
              <w:adjustRightInd/>
              <w:spacing w:line="240" w:lineRule="auto"/>
              <w:textAlignment w:val="auto"/>
              <w:rPr>
                <w:rFonts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19</w:t>
            </w:r>
            <w:r>
              <w:rPr>
                <w:rFonts w:ascii="宋体" w:hAnsi="宋体" w:eastAsia="宋体"/>
                <w:bCs/>
                <w:color w:val="auto"/>
                <w:kern w:val="2"/>
                <w:highlight w:val="none"/>
              </w:rPr>
              <w:t>.</w:t>
            </w:r>
            <w:r>
              <w:rPr>
                <w:rFonts w:hint="eastAsia" w:ascii="宋体" w:hAnsi="宋体" w:eastAsia="宋体"/>
                <w:bCs/>
                <w:color w:val="auto"/>
                <w:kern w:val="2"/>
                <w:highlight w:val="none"/>
              </w:rPr>
              <w:t>1</w:t>
            </w:r>
          </w:p>
          <w:p w14:paraId="7EC56245">
            <w:pPr>
              <w:pStyle w:val="3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p>
        </w:tc>
        <w:tc>
          <w:tcPr>
            <w:tcW w:w="1160" w:type="pct"/>
            <w:vMerge w:val="restart"/>
            <w:vAlign w:val="center"/>
          </w:tcPr>
          <w:p w14:paraId="7E003743">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确定成交候选人和成交供应商</w:t>
            </w:r>
          </w:p>
        </w:tc>
        <w:tc>
          <w:tcPr>
            <w:tcW w:w="3267" w:type="pct"/>
            <w:vAlign w:val="center"/>
          </w:tcPr>
          <w:p w14:paraId="68100CDF">
            <w:pPr>
              <w:pStyle w:val="34"/>
              <w:widowControl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磋商</w:t>
            </w:r>
            <w:r>
              <w:rPr>
                <w:rFonts w:hint="eastAsia" w:ascii="宋体" w:hAnsi="宋体" w:eastAsia="宋体"/>
                <w:b w:val="0"/>
                <w:color w:val="auto"/>
                <w:sz w:val="24"/>
                <w:highlight w:val="none"/>
              </w:rPr>
              <w:t>小组推荐成交候选人的</w:t>
            </w:r>
            <w:r>
              <w:rPr>
                <w:rFonts w:ascii="宋体" w:hAnsi="宋体" w:eastAsia="宋体"/>
                <w:b w:val="0"/>
                <w:color w:val="auto"/>
                <w:sz w:val="24"/>
                <w:highlight w:val="none"/>
              </w:rPr>
              <w:t>数量</w:t>
            </w:r>
            <w:r>
              <w:rPr>
                <w:rFonts w:hint="eastAsia" w:ascii="宋体" w:hAnsi="宋体" w:eastAsia="宋体"/>
                <w:b w:val="0"/>
                <w:color w:val="auto"/>
                <w:sz w:val="24"/>
                <w:highlight w:val="none"/>
              </w:rPr>
              <w:t>：3家</w:t>
            </w:r>
          </w:p>
          <w:p w14:paraId="52D68CEF">
            <w:pPr>
              <w:pStyle w:val="34"/>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color w:val="auto"/>
                <w:sz w:val="24"/>
                <w:highlight w:val="none"/>
                <w:lang w:val="en-US" w:eastAsia="zh-CN"/>
              </w:rPr>
              <w:t>注：法律、法规另有规定的，从其规定</w:t>
            </w:r>
          </w:p>
        </w:tc>
      </w:tr>
      <w:tr w14:paraId="147F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Merge w:val="continue"/>
            <w:vAlign w:val="center"/>
          </w:tcPr>
          <w:p w14:paraId="79ABBAB0">
            <w:pPr>
              <w:pStyle w:val="3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p>
        </w:tc>
        <w:tc>
          <w:tcPr>
            <w:tcW w:w="1160" w:type="pct"/>
            <w:vMerge w:val="continue"/>
            <w:vAlign w:val="center"/>
          </w:tcPr>
          <w:p w14:paraId="2BEB852D">
            <w:pPr>
              <w:pStyle w:val="34"/>
              <w:widowControl w:val="0"/>
              <w:spacing w:before="0" w:beforeAutospacing="0" w:after="0" w:afterAutospacing="0" w:line="360" w:lineRule="auto"/>
              <w:jc w:val="both"/>
              <w:rPr>
                <w:rFonts w:ascii="宋体" w:hAnsi="宋体" w:eastAsia="宋体"/>
                <w:b w:val="0"/>
                <w:color w:val="auto"/>
                <w:sz w:val="24"/>
                <w:highlight w:val="none"/>
              </w:rPr>
            </w:pPr>
          </w:p>
        </w:tc>
        <w:tc>
          <w:tcPr>
            <w:tcW w:w="3267" w:type="pct"/>
            <w:vAlign w:val="center"/>
          </w:tcPr>
          <w:p w14:paraId="54A0237C">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确定成交供应商：采购人委托</w:t>
            </w:r>
            <w:r>
              <w:rPr>
                <w:rFonts w:hint="eastAsia" w:ascii="宋体" w:hAnsi="宋体" w:eastAsia="宋体"/>
                <w:b w:val="0"/>
                <w:color w:val="auto"/>
                <w:sz w:val="24"/>
                <w:highlight w:val="none"/>
                <w:lang w:val="en-US" w:eastAsia="zh-CN"/>
              </w:rPr>
              <w:t>磋商</w:t>
            </w:r>
            <w:r>
              <w:rPr>
                <w:rFonts w:hint="eastAsia" w:ascii="宋体" w:hAnsi="宋体" w:eastAsia="宋体"/>
                <w:b w:val="0"/>
                <w:color w:val="auto"/>
                <w:sz w:val="24"/>
                <w:highlight w:val="none"/>
              </w:rPr>
              <w:t>小组确定</w:t>
            </w:r>
          </w:p>
        </w:tc>
      </w:tr>
      <w:tr w14:paraId="390F5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4519740E">
            <w:pPr>
              <w:pStyle w:val="35"/>
              <w:pBdr>
                <w:bottom w:val="none" w:color="auto" w:sz="0" w:space="0"/>
              </w:pBdr>
              <w:tabs>
                <w:tab w:val="clear" w:pos="4153"/>
                <w:tab w:val="clear" w:pos="8306"/>
              </w:tabs>
              <w:adjustRightInd/>
              <w:spacing w:line="240" w:lineRule="auto"/>
              <w:textAlignment w:val="auto"/>
              <w:rPr>
                <w:rFonts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22</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60" w:type="pct"/>
            <w:vAlign w:val="center"/>
          </w:tcPr>
          <w:p w14:paraId="48F37737">
            <w:pPr>
              <w:pStyle w:val="34"/>
              <w:widowControl w:val="0"/>
              <w:spacing w:before="0" w:beforeAutospacing="0" w:after="0" w:afterAutospacing="0" w:line="360" w:lineRule="auto"/>
              <w:jc w:val="both"/>
              <w:rPr>
                <w:rFonts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rPr>
              <w:t>随</w:t>
            </w:r>
            <w:r>
              <w:rPr>
                <w:rFonts w:hint="eastAsia" w:ascii="宋体" w:hAnsi="宋体" w:eastAsia="宋体"/>
                <w:b w:val="0"/>
                <w:color w:val="auto"/>
                <w:sz w:val="24"/>
                <w:highlight w:val="none"/>
                <w:lang w:val="en-US" w:eastAsia="zh-CN"/>
              </w:rPr>
              <w:t>成交</w:t>
            </w:r>
            <w:r>
              <w:rPr>
                <w:rFonts w:hint="eastAsia" w:ascii="宋体" w:hAnsi="宋体" w:eastAsia="宋体"/>
                <w:b w:val="0"/>
                <w:color w:val="auto"/>
                <w:sz w:val="24"/>
                <w:highlight w:val="none"/>
              </w:rPr>
              <w:t>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67" w:type="pct"/>
            <w:vAlign w:val="center"/>
          </w:tcPr>
          <w:p w14:paraId="188906ED">
            <w:pPr>
              <w:pStyle w:val="34"/>
              <w:widowControl w:val="0"/>
              <w:spacing w:before="0" w:beforeAutospacing="0" w:after="0" w:afterAutospacing="0" w:line="360" w:lineRule="auto"/>
              <w:jc w:val="both"/>
              <w:rPr>
                <w:rFonts w:hint="default" w:ascii="宋体" w:hAnsi="宋体" w:eastAsia="宋体" w:cs="@仿宋_GB2312"/>
                <w:b w:val="0"/>
                <w:bCs w:val="0"/>
                <w:color w:val="auto"/>
                <w:kern w:val="0"/>
                <w:sz w:val="24"/>
                <w:szCs w:val="24"/>
                <w:highlight w:val="none"/>
                <w:lang w:val="en-US" w:eastAsia="zh-CN" w:bidi="ar-SA"/>
              </w:rPr>
            </w:pPr>
            <w:r>
              <w:rPr>
                <w:rFonts w:hint="eastAsia" w:ascii="宋体" w:hAnsi="宋体" w:eastAsia="宋体" w:cs="@仿宋_GB2312"/>
                <w:b w:val="0"/>
                <w:bCs w:val="0"/>
                <w:color w:val="auto"/>
                <w:kern w:val="0"/>
                <w:sz w:val="24"/>
                <w:szCs w:val="24"/>
                <w:highlight w:val="none"/>
                <w:lang w:val="en-US" w:eastAsia="zh-CN" w:bidi="ar-SA"/>
              </w:rPr>
              <w:t>无</w:t>
            </w:r>
          </w:p>
        </w:tc>
      </w:tr>
      <w:tr w14:paraId="6919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24BD69F4">
            <w:pPr>
              <w:pStyle w:val="35"/>
              <w:pBdr>
                <w:bottom w:val="none" w:color="auto" w:sz="0" w:space="0"/>
              </w:pBdr>
              <w:tabs>
                <w:tab w:val="clear" w:pos="4153"/>
                <w:tab w:val="clear" w:pos="8306"/>
              </w:tabs>
              <w:adjustRightInd/>
              <w:spacing w:line="240" w:lineRule="auto"/>
              <w:textAlignment w:val="auto"/>
              <w:rPr>
                <w:rFonts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23</w:t>
            </w:r>
            <w:r>
              <w:rPr>
                <w:rFonts w:ascii="宋体" w:hAnsi="宋体" w:eastAsia="宋体"/>
                <w:bCs/>
                <w:color w:val="auto"/>
                <w:kern w:val="2"/>
                <w:highlight w:val="none"/>
              </w:rPr>
              <w:t>.1</w:t>
            </w:r>
          </w:p>
        </w:tc>
        <w:tc>
          <w:tcPr>
            <w:tcW w:w="1160" w:type="pct"/>
            <w:vAlign w:val="center"/>
          </w:tcPr>
          <w:p w14:paraId="5C6A8CBB">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成交通知书发出的形式</w:t>
            </w:r>
          </w:p>
        </w:tc>
        <w:tc>
          <w:tcPr>
            <w:tcW w:w="3267" w:type="pct"/>
            <w:vAlign w:val="center"/>
          </w:tcPr>
          <w:p w14:paraId="1F62A19C">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书面</w:t>
            </w:r>
          </w:p>
          <w:p w14:paraId="5857EBB7">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特别提醒：本项目发布成交结果公告的同时，通过电子交易系统向成交供应商发出成交通知书。成交通知书发出视为已送达，供应商应主动登录电子交易系统查询，采购人和采购代理机构不承担供应商未及时关注相关信息引发的相关责任。</w:t>
            </w:r>
          </w:p>
        </w:tc>
      </w:tr>
      <w:tr w14:paraId="55B6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4E0E3886">
            <w:pPr>
              <w:pStyle w:val="35"/>
              <w:pBdr>
                <w:bottom w:val="none" w:color="auto" w:sz="0" w:space="0"/>
              </w:pBdr>
              <w:tabs>
                <w:tab w:val="clear" w:pos="4153"/>
                <w:tab w:val="clear" w:pos="8306"/>
              </w:tabs>
              <w:adjustRightInd/>
              <w:spacing w:line="240" w:lineRule="auto"/>
              <w:textAlignment w:val="auto"/>
              <w:rPr>
                <w:rFonts w:hint="eastAsia" w:ascii="宋体" w:hAnsi="宋体" w:eastAsia="宋体" w:cs="@仿宋_GB2312"/>
                <w:bCs/>
                <w:color w:val="auto"/>
                <w:kern w:val="2"/>
                <w:sz w:val="24"/>
                <w:szCs w:val="20"/>
                <w:highlight w:val="none"/>
                <w:lang w:val="en-US" w:eastAsia="zh-CN" w:bidi="ar-SA"/>
              </w:rPr>
            </w:pPr>
            <w:r>
              <w:rPr>
                <w:rFonts w:hint="eastAsia" w:ascii="宋体" w:hAnsi="宋体" w:eastAsia="宋体" w:cs="宋体"/>
                <w:b w:val="0"/>
                <w:bCs/>
                <w:color w:val="auto"/>
                <w:sz w:val="24"/>
                <w:szCs w:val="24"/>
                <w:highlight w:val="none"/>
                <w:lang w:val="en-US" w:eastAsia="zh-CN"/>
              </w:rPr>
              <w:t>24.1</w:t>
            </w:r>
          </w:p>
        </w:tc>
        <w:tc>
          <w:tcPr>
            <w:tcW w:w="1160" w:type="pct"/>
            <w:vAlign w:val="center"/>
          </w:tcPr>
          <w:p w14:paraId="7D5F833E">
            <w:pPr>
              <w:pStyle w:val="34"/>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宋体"/>
                <w:b w:val="0"/>
                <w:bCs/>
                <w:color w:val="auto"/>
                <w:sz w:val="24"/>
                <w:szCs w:val="24"/>
                <w:highlight w:val="none"/>
                <w:lang w:val="en-US" w:eastAsia="zh-CN"/>
              </w:rPr>
              <w:t>告知磋商结果的形式</w:t>
            </w:r>
          </w:p>
        </w:tc>
        <w:tc>
          <w:tcPr>
            <w:tcW w:w="3267" w:type="pct"/>
            <w:vAlign w:val="center"/>
          </w:tcPr>
          <w:p w14:paraId="0FC3AF7D">
            <w:pPr>
              <w:pStyle w:val="34"/>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宋体"/>
                <w:b w:val="0"/>
                <w:bCs/>
                <w:color w:val="auto"/>
                <w:sz w:val="24"/>
                <w:szCs w:val="24"/>
                <w:highlight w:val="none"/>
                <w:lang w:val="en-US" w:eastAsia="zh-CN"/>
              </w:rPr>
              <w:t>供应商自行登录电子</w:t>
            </w:r>
            <w:r>
              <w:rPr>
                <w:rFonts w:hint="eastAsia" w:ascii="宋体" w:hAnsi="宋体" w:eastAsia="宋体" w:cs="宋体"/>
                <w:b w:val="0"/>
                <w:bCs w:val="0"/>
                <w:color w:val="auto"/>
                <w:sz w:val="24"/>
                <w:szCs w:val="24"/>
                <w:highlight w:val="none"/>
                <w:lang w:val="en-US" w:eastAsia="zh-CN"/>
              </w:rPr>
              <w:t>交易</w:t>
            </w:r>
            <w:r>
              <w:rPr>
                <w:rFonts w:hint="eastAsia" w:ascii="宋体" w:hAnsi="宋体" w:eastAsia="宋体" w:cs="宋体"/>
                <w:b w:val="0"/>
                <w:bCs/>
                <w:color w:val="auto"/>
                <w:sz w:val="24"/>
                <w:szCs w:val="24"/>
                <w:highlight w:val="none"/>
                <w:lang w:val="en-US" w:eastAsia="zh-CN"/>
              </w:rPr>
              <w:t>系统查看</w:t>
            </w:r>
          </w:p>
        </w:tc>
      </w:tr>
      <w:tr w14:paraId="4B50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03F45593">
            <w:pPr>
              <w:pStyle w:val="35"/>
              <w:pBdr>
                <w:bottom w:val="none" w:color="auto" w:sz="0" w:space="0"/>
              </w:pBdr>
              <w:tabs>
                <w:tab w:val="clear" w:pos="4153"/>
                <w:tab w:val="clear" w:pos="8306"/>
              </w:tabs>
              <w:adjustRightInd/>
              <w:spacing w:line="240" w:lineRule="auto"/>
              <w:textAlignment w:val="auto"/>
              <w:rPr>
                <w:rFonts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60" w:type="pct"/>
            <w:vAlign w:val="center"/>
          </w:tcPr>
          <w:p w14:paraId="77217AFF">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67" w:type="pct"/>
          </w:tcPr>
          <w:p w14:paraId="3E347D8B">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23E9CC0D">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613A6842">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合同价的</w:t>
            </w:r>
            <w:r>
              <w:rPr>
                <w:rFonts w:hint="eastAsia" w:ascii="宋体" w:hAnsi="宋体" w:eastAsia="宋体"/>
                <w:bCs/>
                <w:color w:val="auto"/>
                <w:kern w:val="0"/>
                <w:sz w:val="24"/>
                <w:szCs w:val="28"/>
                <w:highlight w:val="none"/>
                <w:u w:val="single"/>
                <w:lang w:val="en-US" w:eastAsia="zh-CN"/>
              </w:rPr>
              <w:t>2</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12AB88F9">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元</w:t>
            </w:r>
          </w:p>
          <w:p w14:paraId="7E17DECA">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0D189472">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15F6E409">
            <w:pPr>
              <w:numPr>
                <w:ilvl w:val="0"/>
                <w:numId w:val="0"/>
              </w:num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 xml:space="preserve">     </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 xml:space="preserve">              </w:t>
            </w:r>
          </w:p>
          <w:p w14:paraId="195657F8">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 xml:space="preserve">     </w:t>
            </w:r>
            <w:r>
              <w:rPr>
                <w:rFonts w:hint="eastAsia" w:ascii="宋体" w:hAnsi="宋体" w:eastAsia="宋体"/>
                <w:bCs/>
                <w:color w:val="auto"/>
                <w:kern w:val="0"/>
                <w:sz w:val="24"/>
                <w:szCs w:val="28"/>
                <w:highlight w:val="none"/>
                <w:u w:val="single"/>
              </w:rPr>
              <w:t xml:space="preserve">    </w:t>
            </w:r>
          </w:p>
          <w:p w14:paraId="1A622833">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 xml:space="preserve">        </w:t>
            </w:r>
            <w:r>
              <w:rPr>
                <w:rFonts w:hint="eastAsia" w:ascii="宋体" w:hAnsi="宋体" w:eastAsia="宋体"/>
                <w:bCs/>
                <w:color w:val="auto"/>
                <w:kern w:val="0"/>
                <w:sz w:val="24"/>
                <w:szCs w:val="28"/>
                <w:highlight w:val="none"/>
                <w:u w:val="single"/>
              </w:rPr>
              <w:t xml:space="preserve"> </w:t>
            </w:r>
          </w:p>
          <w:p w14:paraId="678D4614">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22620E97">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1BE70B88">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Cs w:val="0"/>
                <w:color w:val="auto"/>
                <w:sz w:val="24"/>
                <w:szCs w:val="24"/>
                <w:highlight w:val="none"/>
              </w:rPr>
              <w:t>（2）以担保函、保证保险形式缴纳履约保证金的，受益人和收取单位须为采购人。</w:t>
            </w:r>
          </w:p>
        </w:tc>
      </w:tr>
      <w:tr w14:paraId="23CA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0E4FA860">
            <w:pPr>
              <w:pStyle w:val="35"/>
              <w:pBdr>
                <w:bottom w:val="none" w:color="auto" w:sz="0" w:space="0"/>
              </w:pBdr>
              <w:tabs>
                <w:tab w:val="clear" w:pos="4153"/>
                <w:tab w:val="clear" w:pos="8306"/>
              </w:tabs>
              <w:adjustRightInd/>
              <w:spacing w:line="240" w:lineRule="auto"/>
              <w:textAlignment w:val="auto"/>
              <w:rPr>
                <w:rFonts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60" w:type="pct"/>
            <w:vAlign w:val="center"/>
          </w:tcPr>
          <w:p w14:paraId="5FE39956">
            <w:pPr>
              <w:pStyle w:val="34"/>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代理费用</w:t>
            </w:r>
          </w:p>
        </w:tc>
        <w:tc>
          <w:tcPr>
            <w:tcW w:w="3267" w:type="pct"/>
            <w:vAlign w:val="center"/>
          </w:tcPr>
          <w:p w14:paraId="5C9AAA84">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ascii="宋体" w:hAnsi="宋体" w:eastAsia="宋体" w:cs="宋体"/>
                <w:sz w:val="24"/>
                <w:szCs w:val="24"/>
                <w:highlight w:val="none"/>
                <w:u w:val="singl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spacing w:val="-12"/>
                <w:sz w:val="24"/>
                <w:szCs w:val="24"/>
                <w:highlight w:val="none"/>
              </w:rPr>
              <w:t>：</w:t>
            </w:r>
            <w:r>
              <w:rPr>
                <w:rFonts w:hint="eastAsia" w:ascii="宋体" w:hAnsi="宋体" w:eastAsia="宋体"/>
                <w:bCs/>
                <w:color w:val="auto"/>
                <w:kern w:val="0"/>
                <w:sz w:val="24"/>
                <w:szCs w:val="28"/>
                <w:highlight w:val="none"/>
                <w:u w:val="single"/>
                <w:lang w:val="en-US" w:eastAsia="zh-CN"/>
              </w:rPr>
              <w:t>成交</w:t>
            </w:r>
            <w:r>
              <w:rPr>
                <w:rFonts w:hint="eastAsia" w:ascii="宋体" w:hAnsi="宋体" w:eastAsia="宋体" w:cs="宋体"/>
                <w:spacing w:val="14"/>
                <w:sz w:val="24"/>
                <w:szCs w:val="24"/>
                <w:highlight w:val="none"/>
                <w:u w:val="single"/>
                <w:lang w:val="en-US" w:eastAsia="zh-CN"/>
              </w:rPr>
              <w:t>供应商</w:t>
            </w:r>
          </w:p>
          <w:p w14:paraId="1979FF33">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hint="eastAsia" w:ascii="宋体" w:hAnsi="宋体" w:eastAsia="宋体"/>
                <w:bCs/>
                <w:color w:val="auto"/>
                <w:kern w:val="0"/>
                <w:sz w:val="24"/>
                <w:szCs w:val="28"/>
                <w:highlight w:val="none"/>
                <w:lang w:eastAsia="zh-CN"/>
              </w:rPr>
              <w:t>：</w:t>
            </w:r>
            <w:r>
              <w:rPr>
                <w:rFonts w:hint="eastAsia" w:ascii="宋体" w:hAnsi="宋体" w:eastAsia="宋体" w:cs="宋体"/>
                <w:sz w:val="24"/>
                <w:szCs w:val="24"/>
                <w:highlight w:val="none"/>
                <w:u w:val="single" w:color="auto"/>
                <w:lang w:val="en-US" w:eastAsia="zh-CN"/>
              </w:rPr>
              <w:t>领取成交通知书前一次性转账代理机构指定账户</w:t>
            </w:r>
          </w:p>
          <w:p w14:paraId="25877D6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宋体" w:hAnsi="宋体" w:eastAsia="宋体" w:cs="@仿宋_GB2312"/>
                <w:b w:val="0"/>
                <w:bCs/>
                <w:color w:val="auto"/>
                <w:kern w:val="0"/>
                <w:sz w:val="24"/>
                <w:szCs w:val="28"/>
                <w:highlight w:val="none"/>
                <w:lang w:val="en-US" w:eastAsia="zh-CN" w:bidi="ar-SA"/>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sz w:val="24"/>
                <w:szCs w:val="24"/>
                <w:highlight w:val="none"/>
                <w:u w:val="single" w:color="auto"/>
                <w:lang w:val="en-US" w:eastAsia="zh-CN"/>
              </w:rPr>
              <w:t>2000元</w:t>
            </w:r>
          </w:p>
        </w:tc>
      </w:tr>
      <w:tr w14:paraId="256A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32D3A10A">
            <w:pPr>
              <w:pStyle w:val="35"/>
              <w:pBdr>
                <w:bottom w:val="none" w:color="auto" w:sz="0" w:space="0"/>
              </w:pBdr>
              <w:tabs>
                <w:tab w:val="clear" w:pos="4153"/>
                <w:tab w:val="clear" w:pos="8306"/>
              </w:tabs>
              <w:adjustRightInd/>
              <w:spacing w:line="360" w:lineRule="auto"/>
              <w:textAlignment w:val="auto"/>
              <w:rPr>
                <w:rFonts w:hint="eastAsia"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27.1</w:t>
            </w:r>
          </w:p>
        </w:tc>
        <w:tc>
          <w:tcPr>
            <w:tcW w:w="1160" w:type="pct"/>
            <w:vAlign w:val="center"/>
          </w:tcPr>
          <w:p w14:paraId="6356A841">
            <w:pPr>
              <w:pStyle w:val="34"/>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签订合同</w:t>
            </w:r>
          </w:p>
        </w:tc>
        <w:tc>
          <w:tcPr>
            <w:tcW w:w="3267" w:type="pct"/>
            <w:vAlign w:val="center"/>
          </w:tcPr>
          <w:p w14:paraId="436C0E82">
            <w:pPr>
              <w:pStyle w:val="34"/>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bCs/>
                <w:color w:val="auto"/>
                <w:sz w:val="24"/>
                <w:highlight w:val="none"/>
                <w:lang w:val="en-US" w:eastAsia="zh-CN"/>
              </w:rPr>
              <w:t>采购人与成交供应商应当自发出成交通知书之日起7个工作日内签订合同，采购合同签订之日起2个工作日内完成政府采购合同公开。</w:t>
            </w:r>
          </w:p>
        </w:tc>
      </w:tr>
      <w:tr w14:paraId="13224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7E5D88B3">
            <w:pPr>
              <w:pStyle w:val="35"/>
              <w:pBdr>
                <w:bottom w:val="none" w:color="auto" w:sz="0" w:space="0"/>
              </w:pBdr>
              <w:tabs>
                <w:tab w:val="clear" w:pos="4153"/>
                <w:tab w:val="clear" w:pos="8306"/>
              </w:tabs>
              <w:adjustRightInd/>
              <w:spacing w:line="240" w:lineRule="auto"/>
              <w:textAlignment w:val="auto"/>
              <w:rPr>
                <w:rFonts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29</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60" w:type="pct"/>
            <w:vAlign w:val="center"/>
          </w:tcPr>
          <w:p w14:paraId="124EEA8A">
            <w:pPr>
              <w:pStyle w:val="34"/>
              <w:widowControl w:val="0"/>
              <w:spacing w:before="0" w:beforeAutospacing="0" w:after="0" w:afterAutospacing="0" w:line="360" w:lineRule="auto"/>
              <w:jc w:val="both"/>
              <w:rPr>
                <w:rFonts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rPr>
              <w:t>质疑函递交方式、接收部门、联系电话和通讯地址</w:t>
            </w:r>
          </w:p>
        </w:tc>
        <w:tc>
          <w:tcPr>
            <w:tcW w:w="3267" w:type="pct"/>
            <w:vAlign w:val="center"/>
          </w:tcPr>
          <w:p w14:paraId="4CB1210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color w:val="auto"/>
                <w:sz w:val="24"/>
                <w:szCs w:val="24"/>
                <w:highlight w:val="none"/>
                <w:u w:val="single"/>
                <w:lang w:val="en-US" w:eastAsia="zh-CN"/>
              </w:rPr>
            </w:pPr>
            <w:r>
              <w:rPr>
                <w:rFonts w:hint="eastAsia" w:ascii="宋体" w:hAnsi="宋体" w:eastAsia="宋体"/>
                <w:b w:val="0"/>
                <w:color w:val="auto"/>
                <w:sz w:val="24"/>
                <w:highlight w:val="none"/>
              </w:rPr>
              <w:t>递交方式：</w:t>
            </w:r>
            <w:r>
              <w:rPr>
                <w:rFonts w:hint="eastAsia" w:ascii="宋体" w:hAnsi="宋体" w:eastAsia="宋体" w:cs="宋体"/>
                <w:b w:val="0"/>
                <w:color w:val="auto"/>
                <w:sz w:val="24"/>
                <w:szCs w:val="24"/>
                <w:highlight w:val="none"/>
                <w:u w:val="single"/>
                <w:lang w:val="en-US" w:eastAsia="zh-CN"/>
              </w:rPr>
              <w:t>书面形式或电子邮件（603727167@qq.com）形式进行质疑</w:t>
            </w:r>
          </w:p>
          <w:p w14:paraId="077B1F9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cs="宋体"/>
                <w:b w:val="0"/>
                <w:color w:val="auto"/>
                <w:sz w:val="24"/>
                <w:szCs w:val="24"/>
                <w:highlight w:val="none"/>
                <w:u w:val="single"/>
                <w:lang w:eastAsia="zh-CN"/>
              </w:rPr>
              <w:t>滁州市公共就业服务管理中心</w:t>
            </w:r>
            <w:r>
              <w:rPr>
                <w:rFonts w:hint="eastAsia" w:ascii="宋体" w:hAnsi="宋体" w:eastAsia="宋体" w:cs="宋体"/>
                <w:b w:val="0"/>
                <w:color w:val="auto"/>
                <w:sz w:val="24"/>
                <w:szCs w:val="24"/>
                <w:highlight w:val="none"/>
                <w:u w:val="single"/>
              </w:rPr>
              <w:t>、</w:t>
            </w:r>
            <w:r>
              <w:rPr>
                <w:rFonts w:hint="eastAsia" w:ascii="宋体" w:hAnsi="宋体" w:eastAsia="宋体" w:cs="宋体"/>
                <w:b w:val="0"/>
                <w:color w:val="auto"/>
                <w:sz w:val="24"/>
                <w:szCs w:val="24"/>
                <w:highlight w:val="none"/>
                <w:u w:val="single"/>
                <w:lang w:val="en-US" w:eastAsia="zh-CN"/>
              </w:rPr>
              <w:t>滁州市城投工程咨询管理有限公司</w:t>
            </w:r>
          </w:p>
          <w:p w14:paraId="383BF701">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bCs w:val="0"/>
                <w:color w:val="auto"/>
                <w:sz w:val="24"/>
                <w:szCs w:val="18"/>
                <w:highlight w:val="none"/>
              </w:rPr>
            </w:pPr>
            <w:r>
              <w:rPr>
                <w:rFonts w:ascii="宋体" w:hAnsi="宋体" w:eastAsia="宋体"/>
                <w:b w:val="0"/>
                <w:color w:val="auto"/>
                <w:sz w:val="24"/>
                <w:highlight w:val="none"/>
              </w:rPr>
              <w:t>联系电话：</w:t>
            </w:r>
            <w:r>
              <w:rPr>
                <w:rFonts w:hint="eastAsia" w:ascii="宋体" w:hAnsi="宋体" w:eastAsia="宋体" w:cs="宋体"/>
                <w:b w:val="0"/>
                <w:color w:val="auto"/>
                <w:sz w:val="24"/>
                <w:szCs w:val="24"/>
                <w:highlight w:val="none"/>
                <w:u w:val="single"/>
                <w:lang w:val="en-US" w:eastAsia="zh-CN"/>
              </w:rPr>
              <w:t>18019876033</w:t>
            </w:r>
            <w:r>
              <w:rPr>
                <w:rFonts w:hint="eastAsia" w:ascii="宋体" w:hAnsi="宋体" w:eastAsia="宋体" w:cs="宋体"/>
                <w:b w:val="0"/>
                <w:color w:val="auto"/>
                <w:sz w:val="24"/>
                <w:szCs w:val="24"/>
                <w:highlight w:val="none"/>
                <w:u w:val="single"/>
              </w:rPr>
              <w:t>、</w:t>
            </w:r>
            <w:r>
              <w:rPr>
                <w:rFonts w:hint="eastAsia" w:ascii="宋体" w:hAnsi="宋体" w:eastAsia="宋体" w:cs="宋体"/>
                <w:b w:val="0"/>
                <w:color w:val="auto"/>
                <w:sz w:val="24"/>
                <w:szCs w:val="24"/>
                <w:highlight w:val="none"/>
                <w:u w:val="single"/>
                <w:lang w:eastAsia="zh-CN"/>
              </w:rPr>
              <w:t>0550-35195</w:t>
            </w:r>
            <w:r>
              <w:rPr>
                <w:rFonts w:hint="eastAsia" w:ascii="宋体" w:hAnsi="宋体" w:eastAsia="宋体" w:cs="宋体"/>
                <w:b w:val="0"/>
                <w:color w:val="auto"/>
                <w:sz w:val="24"/>
                <w:szCs w:val="24"/>
                <w:highlight w:val="none"/>
                <w:u w:val="single"/>
                <w:lang w:val="en-US" w:eastAsia="zh-CN"/>
              </w:rPr>
              <w:t>90、18005501210</w:t>
            </w:r>
          </w:p>
          <w:p w14:paraId="2BE3658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rPr>
              <w:t>通讯地址：</w:t>
            </w:r>
            <w:r>
              <w:rPr>
                <w:rFonts w:hint="eastAsia" w:ascii="宋体" w:hAnsi="宋体" w:eastAsia="宋体" w:cs="宋体"/>
                <w:b w:val="0"/>
                <w:bCs w:val="0"/>
                <w:color w:val="auto"/>
                <w:sz w:val="24"/>
                <w:szCs w:val="24"/>
                <w:highlight w:val="none"/>
                <w:u w:val="single"/>
                <w:lang w:eastAsia="zh-CN"/>
              </w:rPr>
              <w:t>安徽省滁州市龙蟠大道99号</w:t>
            </w:r>
            <w:r>
              <w:rPr>
                <w:rFonts w:hint="eastAsia" w:ascii="宋体" w:hAnsi="宋体" w:eastAsia="宋体" w:cs="宋体"/>
                <w:b w:val="0"/>
                <w:bCs w:val="0"/>
                <w:color w:val="auto"/>
                <w:sz w:val="24"/>
                <w:szCs w:val="24"/>
                <w:highlight w:val="none"/>
                <w:u w:val="single"/>
              </w:rPr>
              <w:t>、滁州市龙蟠大道109号房产大厦</w:t>
            </w:r>
            <w:r>
              <w:rPr>
                <w:rFonts w:hint="eastAsia" w:ascii="宋体" w:hAnsi="宋体" w:eastAsia="宋体" w:cs="宋体"/>
                <w:b w:val="0"/>
                <w:bCs w:val="0"/>
                <w:color w:val="auto"/>
                <w:sz w:val="24"/>
                <w:szCs w:val="24"/>
                <w:highlight w:val="none"/>
                <w:u w:val="single"/>
                <w:lang w:val="en-US" w:eastAsia="zh-CN"/>
              </w:rPr>
              <w:t>6</w:t>
            </w:r>
            <w:r>
              <w:rPr>
                <w:rFonts w:hint="eastAsia" w:ascii="宋体" w:hAnsi="宋体" w:eastAsia="宋体" w:cs="宋体"/>
                <w:b w:val="0"/>
                <w:bCs w:val="0"/>
                <w:color w:val="auto"/>
                <w:sz w:val="24"/>
                <w:szCs w:val="24"/>
                <w:highlight w:val="none"/>
                <w:u w:val="single"/>
              </w:rPr>
              <w:t>楼</w:t>
            </w:r>
          </w:p>
        </w:tc>
      </w:tr>
      <w:tr w14:paraId="6AF6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Align w:val="center"/>
          </w:tcPr>
          <w:p w14:paraId="4D698F36">
            <w:pPr>
              <w:pStyle w:val="35"/>
              <w:pBdr>
                <w:bottom w:val="none" w:color="auto" w:sz="0" w:space="0"/>
              </w:pBdr>
              <w:tabs>
                <w:tab w:val="clear" w:pos="4153"/>
                <w:tab w:val="clear" w:pos="8306"/>
              </w:tabs>
              <w:adjustRightInd/>
              <w:spacing w:line="240" w:lineRule="auto"/>
              <w:textAlignment w:val="auto"/>
              <w:rPr>
                <w:rFonts w:hint="default"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30</w:t>
            </w:r>
          </w:p>
        </w:tc>
        <w:tc>
          <w:tcPr>
            <w:tcW w:w="1160" w:type="pct"/>
            <w:vAlign w:val="center"/>
          </w:tcPr>
          <w:p w14:paraId="0321FFA7">
            <w:pPr>
              <w:pStyle w:val="34"/>
              <w:widowControl w:val="0"/>
              <w:spacing w:before="0" w:beforeAutospacing="0" w:after="0" w:afterAutospacing="0" w:line="360" w:lineRule="auto"/>
              <w:jc w:val="both"/>
              <w:rPr>
                <w:rFonts w:hint="default"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解释权</w:t>
            </w:r>
          </w:p>
        </w:tc>
        <w:tc>
          <w:tcPr>
            <w:tcW w:w="3267" w:type="pct"/>
            <w:vAlign w:val="center"/>
          </w:tcPr>
          <w:p w14:paraId="3BCE498E">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w:t>
            </w:r>
            <w:r>
              <w:rPr>
                <w:rFonts w:hint="eastAsia" w:asciiTheme="minorEastAsia" w:hAnsiTheme="minorEastAsia" w:eastAsiaTheme="minorEastAsia"/>
                <w:bCs/>
                <w:color w:val="auto"/>
                <w:sz w:val="24"/>
                <w:szCs w:val="24"/>
                <w:highlight w:val="none"/>
                <w:lang w:val="en-US" w:eastAsia="zh-CN"/>
              </w:rPr>
              <w:t>磋商</w:t>
            </w:r>
            <w:r>
              <w:rPr>
                <w:rFonts w:asciiTheme="minorEastAsia" w:hAnsiTheme="minorEastAsia" w:eastAsiaTheme="minorEastAsia"/>
                <w:bCs/>
                <w:color w:val="auto"/>
                <w:sz w:val="24"/>
                <w:szCs w:val="24"/>
                <w:highlight w:val="none"/>
              </w:rPr>
              <w:t>文件的各个组成文件应互为解释，互为说明；</w:t>
            </w:r>
          </w:p>
          <w:p w14:paraId="5097E26A">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C38D791">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5353E9B9">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w:t>
            </w:r>
            <w:r>
              <w:rPr>
                <w:rFonts w:hint="eastAsia" w:asciiTheme="minorEastAsia" w:hAnsiTheme="minorEastAsia" w:eastAsiaTheme="minorEastAsia"/>
                <w:bCs/>
                <w:color w:val="auto"/>
                <w:sz w:val="24"/>
                <w:szCs w:val="24"/>
                <w:highlight w:val="none"/>
                <w:lang w:val="en-US" w:eastAsia="zh-CN"/>
              </w:rPr>
              <w:t>磋商</w:t>
            </w:r>
            <w:r>
              <w:rPr>
                <w:rFonts w:asciiTheme="minorEastAsia" w:hAnsiTheme="minorEastAsia" w:eastAsiaTheme="minorEastAsia"/>
                <w:bCs/>
                <w:color w:val="auto"/>
                <w:sz w:val="24"/>
                <w:szCs w:val="24"/>
                <w:highlight w:val="none"/>
              </w:rPr>
              <w:t>文件中有特别规定外，仅适用于</w:t>
            </w:r>
            <w:r>
              <w:rPr>
                <w:rFonts w:hint="eastAsia" w:asciiTheme="minorEastAsia" w:hAnsiTheme="minorEastAsia" w:eastAsiaTheme="minorEastAsia"/>
                <w:bCs/>
                <w:color w:val="auto"/>
                <w:sz w:val="24"/>
                <w:szCs w:val="24"/>
                <w:highlight w:val="none"/>
                <w:lang w:val="en-US" w:eastAsia="zh-CN"/>
              </w:rPr>
              <w:t>磋商</w:t>
            </w:r>
            <w:r>
              <w:rPr>
                <w:rFonts w:hint="eastAsia" w:asciiTheme="minorEastAsia" w:hAnsiTheme="minorEastAsia" w:eastAsiaTheme="minorEastAsia"/>
                <w:bCs/>
                <w:color w:val="auto"/>
                <w:sz w:val="24"/>
                <w:szCs w:val="24"/>
                <w:highlight w:val="none"/>
              </w:rPr>
              <w:t>及响应文件提交</w:t>
            </w:r>
            <w:r>
              <w:rPr>
                <w:rFonts w:asciiTheme="minorEastAsia" w:hAnsiTheme="minorEastAsia" w:eastAsiaTheme="minorEastAsia"/>
                <w:bCs/>
                <w:color w:val="auto"/>
                <w:sz w:val="24"/>
                <w:szCs w:val="24"/>
                <w:highlight w:val="none"/>
              </w:rPr>
              <w:t>阶段的规定，按</w:t>
            </w:r>
            <w:r>
              <w:rPr>
                <w:rFonts w:hint="eastAsia" w:asciiTheme="minorEastAsia" w:hAnsiTheme="minorEastAsia" w:eastAsiaTheme="minorEastAsia"/>
                <w:bCs/>
                <w:color w:val="auto"/>
                <w:sz w:val="24"/>
                <w:szCs w:val="24"/>
                <w:highlight w:val="none"/>
              </w:rPr>
              <w:t>竞争性</w:t>
            </w:r>
            <w:r>
              <w:rPr>
                <w:rFonts w:hint="eastAsia" w:asciiTheme="minorEastAsia" w:hAnsiTheme="minorEastAsia" w:eastAsiaTheme="minorEastAsia"/>
                <w:bCs/>
                <w:color w:val="auto"/>
                <w:sz w:val="24"/>
                <w:szCs w:val="24"/>
                <w:highlight w:val="none"/>
                <w:lang w:val="en-US" w:eastAsia="zh-CN"/>
              </w:rPr>
              <w:t>磋商</w:t>
            </w:r>
            <w:r>
              <w:rPr>
                <w:rFonts w:asciiTheme="minorEastAsia" w:hAnsiTheme="minorEastAsia" w:eastAsiaTheme="minorEastAsia"/>
                <w:bCs/>
                <w:color w:val="auto"/>
                <w:sz w:val="24"/>
                <w:szCs w:val="24"/>
                <w:highlight w:val="none"/>
              </w:rPr>
              <w:t>公告、</w:t>
            </w:r>
            <w:r>
              <w:rPr>
                <w:rFonts w:hint="eastAsia" w:asciiTheme="minorEastAsia" w:hAnsiTheme="minorEastAsia" w:eastAsiaTheme="minorEastAsia"/>
                <w:bCs/>
                <w:color w:val="auto"/>
                <w:sz w:val="24"/>
                <w:szCs w:val="24"/>
                <w:highlight w:val="none"/>
                <w:lang w:val="en-US" w:eastAsia="zh-CN"/>
              </w:rPr>
              <w:t>磋商</w:t>
            </w:r>
            <w:r>
              <w:rPr>
                <w:rFonts w:hint="eastAsia" w:asciiTheme="minorEastAsia" w:hAnsiTheme="minorEastAsia" w:eastAsiaTheme="minorEastAsia"/>
                <w:bCs/>
                <w:color w:val="auto"/>
                <w:sz w:val="24"/>
                <w:szCs w:val="24"/>
                <w:highlight w:val="none"/>
              </w:rPr>
              <w:t>邀请、供应商</w:t>
            </w:r>
            <w:r>
              <w:rPr>
                <w:rFonts w:asciiTheme="minorEastAsia" w:hAnsiTheme="minorEastAsia" w:eastAsiaTheme="minorEastAsia"/>
                <w:bCs/>
                <w:color w:val="auto"/>
                <w:sz w:val="24"/>
                <w:szCs w:val="24"/>
                <w:highlight w:val="none"/>
              </w:rPr>
              <w:t>须知、评</w:t>
            </w:r>
            <w:r>
              <w:rPr>
                <w:rFonts w:hint="eastAsia" w:asciiTheme="minorEastAsia" w:hAnsiTheme="minorEastAsia" w:eastAsiaTheme="minorEastAsia"/>
                <w:bCs/>
                <w:color w:val="auto"/>
                <w:sz w:val="24"/>
                <w:szCs w:val="24"/>
                <w:highlight w:val="none"/>
              </w:rPr>
              <w:t>审方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响应</w:t>
            </w:r>
            <w:r>
              <w:rPr>
                <w:rFonts w:asciiTheme="minorEastAsia" w:hAnsiTheme="minorEastAsia" w:eastAsiaTheme="minorEastAsia"/>
                <w:bCs/>
                <w:color w:val="auto"/>
                <w:sz w:val="24"/>
                <w:szCs w:val="24"/>
                <w:highlight w:val="none"/>
              </w:rPr>
              <w:t>文件格式的先后顺序解释；</w:t>
            </w:r>
          </w:p>
          <w:p w14:paraId="10CE8BC1">
            <w:pPr>
              <w:pStyle w:val="34"/>
              <w:widowControl w:val="0"/>
              <w:numPr>
                <w:ilvl w:val="0"/>
                <w:numId w:val="0"/>
              </w:numPr>
              <w:spacing w:before="0" w:beforeAutospacing="0" w:after="0" w:afterAutospacing="0" w:line="360" w:lineRule="auto"/>
              <w:jc w:val="both"/>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tc>
      </w:tr>
    </w:tbl>
    <w:p w14:paraId="15C1CE28">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20300"/>
      <w:bookmarkStart w:id="31" w:name="_Toc577"/>
      <w:bookmarkStart w:id="32" w:name="_Toc6109"/>
      <w:r>
        <w:rPr>
          <w:rFonts w:hint="eastAsia" w:asciiTheme="minorEastAsia" w:hAnsiTheme="minorEastAsia" w:eastAsiaTheme="minorEastAsia"/>
          <w:b/>
          <w:color w:val="auto"/>
          <w:sz w:val="24"/>
          <w:highlight w:val="none"/>
        </w:rPr>
        <w:t>二、供应商</w:t>
      </w:r>
      <w:r>
        <w:rPr>
          <w:rFonts w:asciiTheme="minorEastAsia" w:hAnsiTheme="minorEastAsia" w:eastAsiaTheme="minorEastAsia"/>
          <w:b/>
          <w:color w:val="auto"/>
          <w:sz w:val="24"/>
          <w:highlight w:val="none"/>
        </w:rPr>
        <w:t>须知</w:t>
      </w:r>
      <w:r>
        <w:rPr>
          <w:rFonts w:hint="eastAsia" w:asciiTheme="minorEastAsia" w:hAnsiTheme="minorEastAsia" w:eastAsiaTheme="minorEastAsia"/>
          <w:b/>
          <w:color w:val="auto"/>
          <w:sz w:val="24"/>
          <w:highlight w:val="none"/>
        </w:rPr>
        <w:t>正文</w:t>
      </w:r>
      <w:bookmarkEnd w:id="30"/>
      <w:bookmarkEnd w:id="31"/>
      <w:bookmarkEnd w:id="32"/>
    </w:p>
    <w:p w14:paraId="13F4E10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6911A91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5E1D501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5B7AAAD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3FCB0AD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w:t>
      </w:r>
      <w:r>
        <w:rPr>
          <w:rFonts w:hint="eastAsia" w:ascii="宋体" w:hAnsi="宋体" w:eastAsia="宋体"/>
          <w:color w:val="auto"/>
          <w:sz w:val="24"/>
          <w:highlight w:val="none"/>
        </w:rPr>
        <w:t>供应商</w:t>
      </w:r>
      <w:r>
        <w:rPr>
          <w:rFonts w:ascii="宋体" w:hAnsi="宋体" w:eastAsia="宋体"/>
          <w:color w:val="auto"/>
          <w:sz w:val="24"/>
          <w:highlight w:val="none"/>
        </w:rPr>
        <w:t>：是指向采购人提供货物、工程或者服务的法人、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bookmarkStart w:id="33" w:name="_Hlk60610946"/>
      <w:r>
        <w:rPr>
          <w:rFonts w:ascii="宋体" w:hAnsi="宋体" w:eastAsia="宋体"/>
          <w:color w:val="auto"/>
          <w:sz w:val="24"/>
          <w:highlight w:val="none"/>
        </w:rPr>
        <w:t>本项目的</w:t>
      </w:r>
      <w:r>
        <w:rPr>
          <w:rFonts w:hint="eastAsia" w:ascii="宋体" w:hAnsi="宋体" w:eastAsia="宋体"/>
          <w:color w:val="auto"/>
          <w:sz w:val="24"/>
          <w:highlight w:val="none"/>
          <w:lang w:val="en-US" w:eastAsia="zh-CN"/>
        </w:rPr>
        <w:t>供应商</w:t>
      </w:r>
      <w:r>
        <w:rPr>
          <w:rFonts w:ascii="宋体" w:hAnsi="宋体" w:eastAsia="宋体"/>
          <w:color w:val="auto"/>
          <w:sz w:val="24"/>
          <w:highlight w:val="none"/>
        </w:rPr>
        <w:t>须满足以下条件：</w:t>
      </w:r>
    </w:p>
    <w:p w14:paraId="7238E99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0FBB178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w:t>
      </w:r>
      <w:r>
        <w:rPr>
          <w:rFonts w:hint="eastAsia" w:asciiTheme="minorEastAsia" w:hAnsiTheme="minorEastAsia" w:eastAsiaTheme="minorEastAsia"/>
          <w:bCs/>
          <w:color w:val="auto"/>
          <w:sz w:val="24"/>
          <w:szCs w:val="24"/>
          <w:highlight w:val="none"/>
          <w:lang w:val="en-US" w:eastAsia="zh-CN"/>
        </w:rPr>
        <w:t>磋商</w:t>
      </w:r>
      <w:r>
        <w:rPr>
          <w:rFonts w:ascii="宋体" w:hAnsi="宋体" w:eastAsia="宋体"/>
          <w:color w:val="auto"/>
          <w:sz w:val="24"/>
          <w:highlight w:val="none"/>
        </w:rPr>
        <w:t>文件。</w:t>
      </w:r>
    </w:p>
    <w:p w14:paraId="12370F2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w:t>
      </w:r>
      <w:r>
        <w:rPr>
          <w:rFonts w:hint="eastAsia" w:ascii="宋体" w:hAnsi="宋体" w:eastAsia="宋体"/>
          <w:color w:val="auto"/>
          <w:sz w:val="24"/>
          <w:highlight w:val="none"/>
          <w:lang w:val="en-US" w:eastAsia="zh-CN"/>
        </w:rPr>
        <w:t>供应商</w:t>
      </w:r>
      <w:r>
        <w:rPr>
          <w:rFonts w:ascii="宋体" w:hAnsi="宋体" w:eastAsia="宋体"/>
          <w:color w:val="auto"/>
          <w:sz w:val="24"/>
          <w:highlight w:val="none"/>
        </w:rPr>
        <w:t>应保证所投产品可履行合法报通关手续进入中国关境内。</w:t>
      </w:r>
    </w:p>
    <w:p w14:paraId="22B3343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w:t>
      </w: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所投产品为进口产品，</w:t>
      </w:r>
      <w:r>
        <w:rPr>
          <w:rFonts w:ascii="宋体" w:hAnsi="宋体" w:eastAsia="宋体"/>
          <w:color w:val="auto"/>
          <w:sz w:val="24"/>
          <w:highlight w:val="none"/>
        </w:rPr>
        <w:t>其</w:t>
      </w:r>
      <w:r>
        <w:rPr>
          <w:rFonts w:hint="eastAsia" w:ascii="宋体" w:hAnsi="宋体" w:eastAsia="宋体"/>
          <w:color w:val="auto"/>
          <w:sz w:val="24"/>
          <w:highlight w:val="none"/>
        </w:rPr>
        <w:t>响应文件将被认定为</w:t>
      </w:r>
      <w:r>
        <w:rPr>
          <w:rFonts w:hint="eastAsia" w:ascii="宋体" w:hAnsi="宋体" w:eastAsia="宋体"/>
          <w:b/>
          <w:color w:val="auto"/>
          <w:sz w:val="24"/>
          <w:highlight w:val="none"/>
          <w:lang w:val="en-US" w:eastAsia="zh-CN"/>
        </w:rPr>
        <w:t>响应</w:t>
      </w:r>
      <w:r>
        <w:rPr>
          <w:rFonts w:hint="eastAsia" w:ascii="宋体" w:hAnsi="宋体" w:eastAsia="宋体"/>
          <w:b/>
          <w:color w:val="auto"/>
          <w:sz w:val="24"/>
          <w:highlight w:val="none"/>
        </w:rPr>
        <w:t>无效</w:t>
      </w:r>
      <w:r>
        <w:rPr>
          <w:rFonts w:hint="eastAsia" w:ascii="宋体" w:hAnsi="宋体" w:eastAsia="宋体"/>
          <w:color w:val="auto"/>
          <w:sz w:val="24"/>
          <w:highlight w:val="none"/>
        </w:rPr>
        <w:t>。</w:t>
      </w:r>
    </w:p>
    <w:bookmarkEnd w:id="33"/>
    <w:p w14:paraId="3682F02D">
      <w:pPr>
        <w:spacing w:line="360" w:lineRule="auto"/>
        <w:ind w:firstLine="435"/>
        <w:rPr>
          <w:rFonts w:ascii="宋体" w:hAnsi="宋体" w:eastAsia="宋体"/>
          <w:color w:val="auto"/>
          <w:sz w:val="24"/>
          <w:highlight w:val="none"/>
        </w:rPr>
      </w:pPr>
      <w:r>
        <w:rPr>
          <w:rFonts w:hint="eastAsia" w:ascii="宋体" w:hAnsi="宋体" w:eastAsia="宋体"/>
          <w:bCs/>
          <w:color w:val="auto"/>
          <w:kern w:val="0"/>
          <w:sz w:val="24"/>
          <w:szCs w:val="28"/>
          <w:highlight w:val="none"/>
          <w:lang w:val="en-US" w:eastAsia="zh-CN"/>
        </w:rPr>
        <w:t>1</w:t>
      </w:r>
      <w:r>
        <w:rPr>
          <w:rFonts w:ascii="宋体" w:hAnsi="宋体" w:eastAsia="宋体"/>
          <w:bCs/>
          <w:color w:val="auto"/>
          <w:kern w:val="0"/>
          <w:sz w:val="24"/>
          <w:szCs w:val="28"/>
          <w:highlight w:val="none"/>
        </w:rPr>
        <w:t>.5</w:t>
      </w:r>
      <w:r>
        <w:rPr>
          <w:rFonts w:hint="eastAsia" w:ascii="宋体" w:hAnsi="宋体" w:eastAsia="宋体"/>
          <w:bCs/>
          <w:color w:val="auto"/>
          <w:kern w:val="0"/>
          <w:sz w:val="24"/>
          <w:szCs w:val="28"/>
          <w:highlight w:val="none"/>
        </w:rPr>
        <w:t>若竞争性</w:t>
      </w:r>
      <w:r>
        <w:rPr>
          <w:rFonts w:hint="eastAsia" w:asciiTheme="minorEastAsia" w:hAnsiTheme="minorEastAsia" w:eastAsiaTheme="minorEastAsia"/>
          <w:bCs/>
          <w:color w:val="auto"/>
          <w:sz w:val="24"/>
          <w:szCs w:val="24"/>
          <w:highlight w:val="none"/>
          <w:lang w:val="en-US" w:eastAsia="zh-CN"/>
        </w:rPr>
        <w:t>磋商</w:t>
      </w:r>
      <w:r>
        <w:rPr>
          <w:rFonts w:hint="eastAsia" w:ascii="宋体" w:hAnsi="宋体" w:eastAsia="宋体"/>
          <w:bCs/>
          <w:color w:val="auto"/>
          <w:kern w:val="0"/>
          <w:sz w:val="24"/>
          <w:szCs w:val="28"/>
          <w:highlight w:val="none"/>
        </w:rPr>
        <w:t>公告</w:t>
      </w:r>
      <w:r>
        <w:rPr>
          <w:rFonts w:ascii="宋体" w:hAnsi="宋体" w:eastAsia="宋体"/>
          <w:bCs/>
          <w:color w:val="auto"/>
          <w:kern w:val="0"/>
          <w:sz w:val="24"/>
          <w:szCs w:val="28"/>
          <w:highlight w:val="none"/>
        </w:rPr>
        <w:t>中允许联合体</w:t>
      </w:r>
      <w:r>
        <w:rPr>
          <w:rFonts w:hint="eastAsia" w:ascii="宋体" w:hAnsi="宋体" w:eastAsia="宋体"/>
          <w:bCs/>
          <w:color w:val="auto"/>
          <w:kern w:val="0"/>
          <w:sz w:val="24"/>
          <w:szCs w:val="28"/>
          <w:highlight w:val="none"/>
        </w:rPr>
        <w:t>参加</w:t>
      </w:r>
      <w:r>
        <w:rPr>
          <w:rFonts w:hint="eastAsia" w:asciiTheme="minorEastAsia" w:hAnsiTheme="minorEastAsia" w:eastAsiaTheme="minorEastAsia"/>
          <w:bCs/>
          <w:color w:val="auto"/>
          <w:sz w:val="24"/>
          <w:szCs w:val="24"/>
          <w:highlight w:val="none"/>
          <w:lang w:val="en-US" w:eastAsia="zh-CN"/>
        </w:rPr>
        <w:t>磋商</w:t>
      </w:r>
      <w:r>
        <w:rPr>
          <w:rFonts w:ascii="宋体" w:hAnsi="宋体" w:eastAsia="宋体"/>
          <w:bCs/>
          <w:color w:val="auto"/>
          <w:kern w:val="0"/>
          <w:sz w:val="24"/>
          <w:szCs w:val="28"/>
          <w:highlight w:val="none"/>
        </w:rPr>
        <w:t>，对联合体规定如下：</w:t>
      </w:r>
    </w:p>
    <w:p w14:paraId="7AD7E8C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.1</w:t>
      </w:r>
      <w:r>
        <w:rPr>
          <w:rFonts w:hint="eastAsia" w:ascii="宋体" w:hAnsi="宋体" w:eastAsia="宋体"/>
          <w:color w:val="auto"/>
          <w:sz w:val="24"/>
          <w:highlight w:val="none"/>
        </w:rPr>
        <w:t>两个以上供应商可以组成一个</w:t>
      </w:r>
      <w:r>
        <w:rPr>
          <w:rFonts w:hint="eastAsia" w:asciiTheme="minorEastAsia" w:hAnsiTheme="minorEastAsia" w:eastAsiaTheme="minorEastAsia"/>
          <w:bCs/>
          <w:color w:val="auto"/>
          <w:sz w:val="24"/>
          <w:szCs w:val="24"/>
          <w:highlight w:val="none"/>
          <w:lang w:val="en-US" w:eastAsia="zh-CN"/>
        </w:rPr>
        <w:t>磋商</w:t>
      </w:r>
      <w:r>
        <w:rPr>
          <w:rFonts w:hint="eastAsia" w:ascii="宋体" w:hAnsi="宋体" w:eastAsia="宋体"/>
          <w:color w:val="auto"/>
          <w:sz w:val="24"/>
          <w:highlight w:val="none"/>
        </w:rPr>
        <w:t>联合体，以一个供应商的身份</w:t>
      </w:r>
      <w:r>
        <w:rPr>
          <w:rFonts w:hint="eastAsia" w:asciiTheme="minorEastAsia" w:hAnsiTheme="minorEastAsia" w:eastAsiaTheme="minorEastAsia"/>
          <w:bCs/>
          <w:color w:val="auto"/>
          <w:sz w:val="24"/>
          <w:szCs w:val="24"/>
          <w:highlight w:val="none"/>
          <w:lang w:val="en-US" w:eastAsia="zh-CN"/>
        </w:rPr>
        <w:t>磋商</w:t>
      </w:r>
      <w:r>
        <w:rPr>
          <w:rFonts w:ascii="宋体" w:hAnsi="宋体" w:eastAsia="宋体"/>
          <w:color w:val="auto"/>
          <w:sz w:val="24"/>
          <w:highlight w:val="none"/>
        </w:rPr>
        <w:t>。</w:t>
      </w:r>
      <w:r>
        <w:rPr>
          <w:rFonts w:hint="eastAsia" w:ascii="宋体" w:hAnsi="宋体" w:eastAsia="宋体"/>
          <w:color w:val="auto"/>
          <w:sz w:val="24"/>
          <w:highlight w:val="none"/>
        </w:rPr>
        <w:t>联合体</w:t>
      </w:r>
      <w:r>
        <w:rPr>
          <w:rFonts w:hint="eastAsia" w:asciiTheme="minorEastAsia" w:hAnsiTheme="minorEastAsia" w:eastAsiaTheme="minorEastAsia"/>
          <w:bCs/>
          <w:color w:val="auto"/>
          <w:sz w:val="24"/>
          <w:szCs w:val="24"/>
          <w:highlight w:val="none"/>
          <w:lang w:val="en-US" w:eastAsia="zh-CN"/>
        </w:rPr>
        <w:t>磋商</w:t>
      </w:r>
      <w:r>
        <w:rPr>
          <w:rFonts w:hint="eastAsia" w:ascii="宋体" w:hAnsi="宋体" w:eastAsia="宋体"/>
          <w:color w:val="auto"/>
          <w:sz w:val="24"/>
          <w:highlight w:val="none"/>
        </w:rPr>
        <w:t>的，</w:t>
      </w:r>
      <w:r>
        <w:rPr>
          <w:rFonts w:hint="eastAsia" w:asciiTheme="minorEastAsia" w:hAnsiTheme="minorEastAsia" w:eastAsiaTheme="minorEastAsia"/>
          <w:bCs/>
          <w:color w:val="auto"/>
          <w:sz w:val="24"/>
          <w:szCs w:val="24"/>
          <w:highlight w:val="none"/>
          <w:lang w:val="en-US" w:eastAsia="zh-CN"/>
        </w:rPr>
        <w:t>磋商</w:t>
      </w:r>
      <w:r>
        <w:rPr>
          <w:rFonts w:hint="eastAsia" w:ascii="宋体" w:hAnsi="宋体" w:eastAsia="宋体"/>
          <w:color w:val="auto"/>
          <w:sz w:val="24"/>
          <w:highlight w:val="none"/>
        </w:rPr>
        <w:t>文件获取手续由联合体中任一成员单位办理均可。</w:t>
      </w:r>
    </w:p>
    <w:p w14:paraId="6CA5138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.2联合体各方均应符合《中华人民共和国政府采购法》第二十二条规定的条件。</w:t>
      </w:r>
    </w:p>
    <w:p w14:paraId="4D8F255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.3采购人根据采购项目对</w:t>
      </w:r>
      <w:r>
        <w:rPr>
          <w:rFonts w:hint="eastAsia" w:ascii="宋体" w:hAnsi="宋体" w:eastAsia="宋体"/>
          <w:color w:val="auto"/>
          <w:sz w:val="24"/>
          <w:highlight w:val="none"/>
        </w:rPr>
        <w:t>供应商</w:t>
      </w:r>
      <w:r>
        <w:rPr>
          <w:rFonts w:ascii="宋体" w:hAnsi="宋体" w:eastAsia="宋体"/>
          <w:color w:val="auto"/>
          <w:sz w:val="24"/>
          <w:highlight w:val="none"/>
        </w:rPr>
        <w:t>的特殊要求，联合体中至少应当有一方符合相关规定。</w:t>
      </w:r>
    </w:p>
    <w:p w14:paraId="750DA0A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w:t>
      </w:r>
      <w:r>
        <w:rPr>
          <w:rFonts w:hint="eastAsia" w:ascii="宋体" w:hAnsi="宋体" w:eastAsia="宋体"/>
          <w:color w:val="auto"/>
          <w:sz w:val="24"/>
          <w:highlight w:val="none"/>
        </w:rPr>
        <w:t>响应</w:t>
      </w:r>
      <w:r>
        <w:rPr>
          <w:rFonts w:ascii="宋体" w:hAnsi="宋体" w:eastAsia="宋体"/>
          <w:color w:val="auto"/>
          <w:sz w:val="24"/>
          <w:highlight w:val="none"/>
        </w:rPr>
        <w:t>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5ADA2B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.5大中型企业、其他自然人、法人或者非法人组织与小型、微型企业组成联合体共同参加</w:t>
      </w:r>
      <w:r>
        <w:rPr>
          <w:rFonts w:hint="eastAsia" w:asciiTheme="minorEastAsia" w:hAnsiTheme="minorEastAsia" w:eastAsiaTheme="minorEastAsia"/>
          <w:bCs/>
          <w:color w:val="auto"/>
          <w:sz w:val="24"/>
          <w:szCs w:val="24"/>
          <w:highlight w:val="none"/>
          <w:lang w:val="en-US" w:eastAsia="zh-CN"/>
        </w:rPr>
        <w:t>磋商</w:t>
      </w:r>
      <w:r>
        <w:rPr>
          <w:rFonts w:ascii="宋体" w:hAnsi="宋体" w:eastAsia="宋体"/>
          <w:color w:val="auto"/>
          <w:sz w:val="24"/>
          <w:highlight w:val="none"/>
        </w:rPr>
        <w:t>，</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联合协议合同</w:t>
      </w:r>
      <w:r>
        <w:rPr>
          <w:rFonts w:ascii="宋体" w:hAnsi="宋体" w:eastAsia="宋体"/>
          <w:color w:val="auto"/>
          <w:sz w:val="24"/>
          <w:highlight w:val="none"/>
        </w:rPr>
        <w:t>总金额的比例。</w:t>
      </w:r>
    </w:p>
    <w:p w14:paraId="706900B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C88FE1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.7以联合体形式参加政府采购活动的，联合体各方不得再单独参加或者与其他供应商另外组成联合体参加本项目</w:t>
      </w:r>
      <w:r>
        <w:rPr>
          <w:rFonts w:hint="eastAsia" w:ascii="宋体" w:hAnsi="宋体" w:eastAsia="宋体"/>
          <w:color w:val="auto"/>
          <w:sz w:val="24"/>
          <w:highlight w:val="none"/>
        </w:rPr>
        <w:t>磋商</w:t>
      </w:r>
      <w:r>
        <w:rPr>
          <w:rFonts w:ascii="宋体" w:hAnsi="宋体" w:eastAsia="宋体"/>
          <w:color w:val="auto"/>
          <w:sz w:val="24"/>
          <w:highlight w:val="none"/>
        </w:rPr>
        <w:t>，否则相关</w:t>
      </w:r>
      <w:r>
        <w:rPr>
          <w:rFonts w:hint="eastAsia" w:ascii="宋体" w:hAnsi="宋体" w:eastAsia="宋体"/>
          <w:color w:val="auto"/>
          <w:sz w:val="24"/>
          <w:highlight w:val="none"/>
        </w:rPr>
        <w:t>响应文件</w:t>
      </w:r>
      <w:r>
        <w:rPr>
          <w:rFonts w:ascii="宋体" w:hAnsi="宋体" w:eastAsia="宋体"/>
          <w:color w:val="auto"/>
          <w:sz w:val="24"/>
          <w:highlight w:val="none"/>
        </w:rPr>
        <w:t>将被认定为</w:t>
      </w:r>
      <w:r>
        <w:rPr>
          <w:rFonts w:hint="eastAsia" w:ascii="宋体" w:hAnsi="宋体" w:eastAsia="宋体"/>
          <w:b/>
          <w:color w:val="auto"/>
          <w:sz w:val="24"/>
          <w:highlight w:val="none"/>
        </w:rPr>
        <w:t>响应</w:t>
      </w:r>
      <w:r>
        <w:rPr>
          <w:rFonts w:ascii="宋体" w:hAnsi="宋体" w:eastAsia="宋体"/>
          <w:b/>
          <w:color w:val="auto"/>
          <w:sz w:val="24"/>
          <w:highlight w:val="none"/>
        </w:rPr>
        <w:t>无效</w:t>
      </w:r>
      <w:r>
        <w:rPr>
          <w:rFonts w:ascii="宋体" w:hAnsi="宋体" w:eastAsia="宋体"/>
          <w:color w:val="auto"/>
          <w:sz w:val="24"/>
          <w:highlight w:val="none"/>
        </w:rPr>
        <w:t>。</w:t>
      </w:r>
    </w:p>
    <w:p w14:paraId="2A1E7AD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.8对联合体参加</w:t>
      </w:r>
      <w:r>
        <w:rPr>
          <w:rFonts w:hint="eastAsia" w:asciiTheme="minorEastAsia" w:hAnsiTheme="minorEastAsia" w:eastAsiaTheme="minorEastAsia"/>
          <w:bCs/>
          <w:color w:val="auto"/>
          <w:sz w:val="24"/>
          <w:szCs w:val="24"/>
          <w:highlight w:val="none"/>
          <w:lang w:val="en-US" w:eastAsia="zh-CN"/>
        </w:rPr>
        <w:t>磋商</w:t>
      </w:r>
      <w:r>
        <w:rPr>
          <w:rFonts w:ascii="宋体" w:hAnsi="宋体" w:eastAsia="宋体"/>
          <w:color w:val="auto"/>
          <w:sz w:val="24"/>
          <w:highlight w:val="none"/>
        </w:rPr>
        <w:t>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285B7DDA">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1D391E6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本项目的采购人已获得足以支付本次</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后所签订的合同项下的资金。</w:t>
      </w:r>
    </w:p>
    <w:p w14:paraId="31A87EE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磋商</w:t>
      </w:r>
      <w:r>
        <w:rPr>
          <w:rFonts w:hint="eastAsia" w:asciiTheme="minorEastAsia" w:hAnsiTheme="minorEastAsia" w:eastAsiaTheme="minorEastAsia"/>
          <w:b/>
          <w:color w:val="auto"/>
          <w:sz w:val="24"/>
          <w:highlight w:val="none"/>
        </w:rPr>
        <w:t>费用</w:t>
      </w:r>
    </w:p>
    <w:p w14:paraId="6E98B47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的结果如何，供应商应承担其所有与准备和参加</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有关的费用。</w:t>
      </w:r>
    </w:p>
    <w:p w14:paraId="78FA342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4E8D288F">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14:paraId="4148877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磋商文件构成</w:t>
      </w:r>
    </w:p>
    <w:p w14:paraId="5B5DFCB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.1磋商文件包括下列内容：</w:t>
      </w:r>
    </w:p>
    <w:p w14:paraId="1351C847">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磋商邀请</w:t>
      </w:r>
    </w:p>
    <w:p w14:paraId="1E9E96EA">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须知</w:t>
      </w:r>
    </w:p>
    <w:p w14:paraId="2517AA64">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0F0A481D">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评审方法</w:t>
      </w:r>
      <w:r>
        <w:rPr>
          <w:rFonts w:asciiTheme="minorEastAsia" w:hAnsiTheme="minorEastAsia" w:eastAsiaTheme="minorEastAsia"/>
          <w:color w:val="auto"/>
          <w:sz w:val="24"/>
          <w:highlight w:val="none"/>
        </w:rPr>
        <w:t>和标准</w:t>
      </w:r>
    </w:p>
    <w:p w14:paraId="5E09E23F">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63CF5DB5">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文件格式</w:t>
      </w:r>
    </w:p>
    <w:p w14:paraId="542BC9E3">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0EF941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踏勘</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58110BF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文件所有的事项、格式、条款和技术规范等。</w:t>
      </w:r>
    </w:p>
    <w:p w14:paraId="3EC1675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磋商文件的澄清与修改</w:t>
      </w:r>
    </w:p>
    <w:p w14:paraId="0948BF4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1供应商</w:t>
      </w:r>
      <w:r>
        <w:rPr>
          <w:rFonts w:asciiTheme="minorEastAsia" w:hAnsiTheme="minorEastAsia" w:eastAsiaTheme="minorEastAsia"/>
          <w:color w:val="auto"/>
          <w:sz w:val="24"/>
          <w:highlight w:val="none"/>
        </w:rPr>
        <w:t>如对</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文件内容有疑问，必须在</w:t>
      </w:r>
      <w:r>
        <w:rPr>
          <w:rFonts w:ascii="宋体" w:hAnsi="宋体" w:eastAsia="宋体"/>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1417F72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时对磋商文件进行澄清与修改。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在滁州市城投工程咨询管理有限公司网站（https://www.czctgczx.com/）以发布更正公告的方式澄清或者修改磋商文件，更正公告的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083BF34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供应商提供的任何书面或口头资料，未经采购代理机构在网上发布或书面通知，均作无效处理，不得作为磋商文件的组成部分。采购代理机构对供应商由此而做出的推论、理解和结论概不负责。</w:t>
      </w:r>
    </w:p>
    <w:p w14:paraId="57B28F39">
      <w:pPr>
        <w:spacing w:line="360" w:lineRule="auto"/>
        <w:ind w:firstLine="435"/>
        <w:rPr>
          <w:rFonts w:asciiTheme="minorEastAsia" w:hAnsiTheme="minorEastAsia" w:eastAsiaTheme="minorEastAsia"/>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询问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w:t>
      </w:r>
      <w:r>
        <w:rPr>
          <w:rFonts w:hint="eastAsia" w:asciiTheme="minorEastAsia" w:hAnsiTheme="minorEastAsia" w:eastAsiaTheme="minorEastAsia"/>
          <w:bCs/>
          <w:color w:val="auto"/>
          <w:sz w:val="24"/>
          <w:szCs w:val="24"/>
          <w:highlight w:val="none"/>
          <w:lang w:val="en-US" w:eastAsia="zh-CN"/>
        </w:rPr>
        <w:t>磋商</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本磋商</w:t>
      </w:r>
      <w:r>
        <w:rPr>
          <w:rFonts w:asciiTheme="minorEastAsia" w:hAnsiTheme="minorEastAsia" w:eastAsiaTheme="minorEastAsia"/>
          <w:color w:val="auto"/>
          <w:sz w:val="24"/>
          <w:highlight w:val="none"/>
        </w:rPr>
        <w:t>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val="0"/>
          <w:iCs/>
          <w:color w:val="auto"/>
          <w:sz w:val="24"/>
          <w:highlight w:val="none"/>
        </w:rPr>
        <w:t>。</w:t>
      </w:r>
    </w:p>
    <w:p w14:paraId="1B844CA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磋商范围及响应文件中标准和计量单位的使用</w:t>
      </w:r>
    </w:p>
    <w:p w14:paraId="3860D0F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参与</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的磋商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72335B3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7.2供应商</w:t>
      </w:r>
      <w:r>
        <w:rPr>
          <w:rFonts w:asciiTheme="minorEastAsia" w:hAnsiTheme="minorEastAsia" w:eastAsiaTheme="minorEastAsia"/>
          <w:color w:val="auto"/>
          <w:sz w:val="24"/>
          <w:highlight w:val="none"/>
        </w:rPr>
        <w:t>应当对所投分包</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lang w:val="en-US" w:eastAsia="zh-CN"/>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2EBDCB2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无论</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文件中是否要求，供应商所投</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及伴随的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和工程均应符合国家强制性标准。</w:t>
      </w:r>
    </w:p>
    <w:p w14:paraId="42C9F73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供应商与采购代理机构之间与</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有关的所有往来通知、函件和响应文件均用中文表述。供应商随响应文件提供的证明文件和资料可以为其它语言，但必须附中文译文。翻译的中文资料与外文资料如果出现差异时，以中文为准。</w:t>
      </w:r>
    </w:p>
    <w:p w14:paraId="1160816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除</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文件中有特殊要求外，响应文件中所使用的计量单位，应采用中华人民共和国法定计量单位。</w:t>
      </w:r>
    </w:p>
    <w:p w14:paraId="7E51572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3F2BF8B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8</w:t>
      </w:r>
      <w:r>
        <w:rPr>
          <w:rFonts w:ascii="宋体" w:hAnsi="宋体" w:eastAsia="宋体"/>
          <w:color w:val="auto"/>
          <w:sz w:val="24"/>
          <w:highlight w:val="none"/>
        </w:rPr>
        <w:t>.1供应商应完整地按</w:t>
      </w:r>
      <w:r>
        <w:rPr>
          <w:rFonts w:hint="eastAsia" w:ascii="宋体" w:hAnsi="宋体" w:eastAsia="宋体"/>
          <w:color w:val="auto"/>
          <w:sz w:val="24"/>
          <w:highlight w:val="none"/>
        </w:rPr>
        <w:t>磋商</w:t>
      </w:r>
      <w:r>
        <w:rPr>
          <w:rFonts w:ascii="宋体" w:hAnsi="宋体" w:eastAsia="宋体"/>
          <w:color w:val="auto"/>
          <w:sz w:val="24"/>
          <w:highlight w:val="none"/>
        </w:rPr>
        <w:t>文件提供的响应文件格式及要求编写响应文件，具体内容详见</w:t>
      </w:r>
      <w:r>
        <w:rPr>
          <w:rFonts w:hint="eastAsia" w:ascii="宋体" w:hAnsi="宋体" w:eastAsia="宋体"/>
          <w:color w:val="auto"/>
          <w:sz w:val="24"/>
          <w:highlight w:val="none"/>
          <w:lang w:val="en-US" w:eastAsia="zh-CN"/>
        </w:rPr>
        <w:t>本项目</w:t>
      </w:r>
      <w:r>
        <w:rPr>
          <w:rFonts w:ascii="宋体" w:hAnsi="宋体" w:eastAsia="宋体"/>
          <w:color w:val="auto"/>
          <w:sz w:val="24"/>
          <w:highlight w:val="none"/>
        </w:rPr>
        <w:t>响应文件格式的相关内容。</w:t>
      </w:r>
    </w:p>
    <w:p w14:paraId="3F326C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8.2</w:t>
      </w:r>
      <w:r>
        <w:rPr>
          <w:rFonts w:hint="eastAsia" w:ascii="宋体" w:hAnsi="宋体" w:eastAsia="宋体"/>
          <w:color w:val="auto"/>
          <w:sz w:val="24"/>
          <w:highlight w:val="none"/>
        </w:rPr>
        <w:t>供应商应提交</w:t>
      </w:r>
      <w:r>
        <w:rPr>
          <w:rFonts w:hint="eastAsia" w:asciiTheme="minorEastAsia" w:hAnsiTheme="minorEastAsia" w:eastAsiaTheme="minorEastAsia"/>
          <w:bCs/>
          <w:color w:val="auto"/>
          <w:sz w:val="24"/>
          <w:szCs w:val="24"/>
          <w:highlight w:val="none"/>
          <w:lang w:val="en-US" w:eastAsia="zh-CN"/>
        </w:rPr>
        <w:t>磋商</w:t>
      </w:r>
      <w:r>
        <w:rPr>
          <w:rFonts w:hint="eastAsia" w:ascii="宋体" w:hAnsi="宋体" w:eastAsia="宋体"/>
          <w:color w:val="auto"/>
          <w:sz w:val="24"/>
          <w:highlight w:val="none"/>
        </w:rPr>
        <w:t>文件要求的证明文件，证明其响应内容符合</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4" w:name="_Hlk11703583"/>
      <w:r>
        <w:rPr>
          <w:rFonts w:hint="eastAsia" w:asciiTheme="minorEastAsia" w:hAnsiTheme="minorEastAsia" w:eastAsiaTheme="minorEastAsia"/>
          <w:color w:val="auto"/>
          <w:sz w:val="24"/>
          <w:highlight w:val="none"/>
        </w:rPr>
        <w:t>。</w:t>
      </w:r>
    </w:p>
    <w:bookmarkEnd w:id="34"/>
    <w:p w14:paraId="72E109F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文件另有规定或说明，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对同一项目</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方案。</w:t>
      </w:r>
    </w:p>
    <w:p w14:paraId="6DC5042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7052D03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除磋商文件另有规定外，</w:t>
      </w:r>
      <w:r>
        <w:rPr>
          <w:rFonts w:hint="eastAsia" w:asciiTheme="minorEastAsia" w:hAnsiTheme="minorEastAsia" w:eastAsiaTheme="minorEastAsia"/>
          <w:color w:val="auto"/>
          <w:sz w:val="24"/>
          <w:highlight w:val="none"/>
        </w:rPr>
        <w:t>所有内容均应以人民币报价，供应商的</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报价应遵守《中华人民共和国价格法》。</w:t>
      </w:r>
    </w:p>
    <w:p w14:paraId="4150C6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.2供应商应</w:t>
      </w:r>
      <w:r>
        <w:rPr>
          <w:rFonts w:hint="eastAsia" w:asciiTheme="minorEastAsia" w:hAnsiTheme="minorEastAsia" w:eastAsiaTheme="minorEastAsia"/>
          <w:color w:val="auto"/>
          <w:sz w:val="24"/>
          <w:highlight w:val="none"/>
        </w:rPr>
        <w:t>在分项报价表上标明分项服务、伴随的货物和工程的价格（如适用）和总价，未标明的视同包含在</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报价中。</w:t>
      </w:r>
    </w:p>
    <w:p w14:paraId="79B8B90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除非</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文件另有规定或经采购人同意支付的，最后报价均不得高于</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文件（公告）列明的项目预算，否则其响应文件将被认定为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AC3ED1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78F76B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3269C01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磋商</w:t>
      </w:r>
      <w:r>
        <w:rPr>
          <w:rFonts w:hint="eastAsia" w:asciiTheme="minorEastAsia" w:hAnsiTheme="minorEastAsia" w:eastAsiaTheme="minorEastAsia"/>
          <w:b/>
          <w:color w:val="auto"/>
          <w:sz w:val="24"/>
          <w:highlight w:val="none"/>
        </w:rPr>
        <w:t>保证金</w:t>
      </w:r>
    </w:p>
    <w:p w14:paraId="1D83D1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10</w:t>
      </w:r>
      <w:r>
        <w:rPr>
          <w:rFonts w:hint="eastAsia" w:asciiTheme="minorEastAsia" w:hAnsiTheme="minorEastAsia" w:eastAsiaTheme="minorEastAsia"/>
          <w:color w:val="auto"/>
          <w:sz w:val="24"/>
          <w:highlight w:val="none"/>
        </w:rPr>
        <w:t>.1本项目不收取</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保证金。</w:t>
      </w:r>
    </w:p>
    <w:p w14:paraId="6C86C7C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磋商</w:t>
      </w:r>
      <w:r>
        <w:rPr>
          <w:rFonts w:hint="eastAsia" w:asciiTheme="minorEastAsia" w:hAnsiTheme="minorEastAsia" w:eastAsiaTheme="minorEastAsia"/>
          <w:b/>
          <w:color w:val="auto"/>
          <w:sz w:val="24"/>
          <w:highlight w:val="none"/>
        </w:rPr>
        <w:t>有效期</w:t>
      </w:r>
    </w:p>
    <w:p w14:paraId="292223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11</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有效期为从响应文件提交截止之日算起的日历天数，</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有效期详见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118458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11</w:t>
      </w:r>
      <w:r>
        <w:rPr>
          <w:rFonts w:asciiTheme="minorEastAsia" w:hAnsiTheme="minorEastAsia" w:eastAsiaTheme="minorEastAsia"/>
          <w:color w:val="auto"/>
          <w:sz w:val="24"/>
          <w:highlight w:val="none"/>
        </w:rPr>
        <w:t>.2在</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有效期内，供应商的</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保持有效，供应商不得要求撤销或修改其响应文件。</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有效期不满足要求的响应，其响应文件将被认定为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1ED8D73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11</w:t>
      </w:r>
      <w:r>
        <w:rPr>
          <w:rFonts w:asciiTheme="minorEastAsia" w:hAnsiTheme="minorEastAsia" w:eastAsiaTheme="minorEastAsia"/>
          <w:color w:val="auto"/>
          <w:sz w:val="24"/>
          <w:highlight w:val="none"/>
        </w:rPr>
        <w:t>.3为保证有充分时间签订合同，采购人或采购代理机构可根据实际情况，在原</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有效期截止之前，要求供应商延长</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有效期。接受该要求的供应商将不会被要求和允许修正其响应文件。供应商可以拒绝延长</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有效期的要求，且不承担任何责任。上述要求和答复都应以书面形式提交。</w:t>
      </w:r>
    </w:p>
    <w:p w14:paraId="15CDA64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3157510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12</w:t>
      </w:r>
      <w:r>
        <w:rPr>
          <w:rFonts w:hint="eastAsia" w:asciiTheme="minorEastAsia" w:hAnsiTheme="minorEastAsia" w:eastAsiaTheme="minorEastAsia"/>
          <w:color w:val="auto"/>
          <w:sz w:val="24"/>
          <w:highlight w:val="none"/>
        </w:rPr>
        <w:t>.1供应商应当在</w:t>
      </w:r>
      <w:r>
        <w:rPr>
          <w:rFonts w:hint="eastAsia" w:asciiTheme="minorEastAsia" w:hAnsiTheme="minorEastAsia" w:eastAsiaTheme="minorEastAsia"/>
          <w:color w:val="auto"/>
          <w:sz w:val="24"/>
          <w:highlight w:val="none"/>
          <w:u w:val="none"/>
          <w:lang w:val="en-US" w:eastAsia="zh-CN"/>
        </w:rPr>
        <w:t>竞争性磋商公告</w:t>
      </w:r>
      <w:r>
        <w:rPr>
          <w:rFonts w:hint="eastAsia" w:asciiTheme="minorEastAsia" w:hAnsiTheme="minorEastAsia" w:eastAsiaTheme="minorEastAsia"/>
          <w:color w:val="auto"/>
          <w:sz w:val="24"/>
          <w:highlight w:val="none"/>
        </w:rPr>
        <w:t>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314ABA1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12</w:t>
      </w:r>
      <w:r>
        <w:rPr>
          <w:rFonts w:hint="eastAsia" w:asciiTheme="minorEastAsia" w:hAnsiTheme="minorEastAsia" w:eastAsiaTheme="minorEastAsia"/>
          <w:color w:val="auto"/>
          <w:sz w:val="24"/>
          <w:highlight w:val="none"/>
        </w:rPr>
        <w:t>.2供应商应当在响应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提交截止时间前完成响应文件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传输提交（以接收到电子签收凭证为准），并可以补充、修改或者撤回响应文件。响应文件提交截止时间前未完成响应文件传输的，视为撤回响应文件。未按规定加密或响应文件提交截止时间后送达的响应文件，电子交易系统应当拒收</w:t>
      </w:r>
      <w:r>
        <w:rPr>
          <w:rFonts w:asciiTheme="minorEastAsia" w:hAnsiTheme="minorEastAsia" w:eastAsiaTheme="minorEastAsia"/>
          <w:color w:val="auto"/>
          <w:sz w:val="24"/>
          <w:highlight w:val="none"/>
        </w:rPr>
        <w:t>。</w:t>
      </w:r>
    </w:p>
    <w:p w14:paraId="4E180B8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w:t>
      </w:r>
      <w:r>
        <w:rPr>
          <w:rFonts w:hint="eastAsia" w:asciiTheme="minorEastAsia" w:hAnsiTheme="minorEastAsia" w:eastAsiaTheme="minorEastAsia"/>
          <w:color w:val="auto"/>
          <w:sz w:val="24"/>
          <w:highlight w:val="none"/>
          <w:lang w:val="en-US" w:eastAsia="zh-CN"/>
        </w:rPr>
        <w:t>其</w:t>
      </w:r>
      <w:r>
        <w:rPr>
          <w:rFonts w:hint="eastAsia" w:asciiTheme="minorEastAsia" w:hAnsiTheme="minorEastAsia" w:eastAsiaTheme="minorEastAsia"/>
          <w:color w:val="auto"/>
          <w:sz w:val="24"/>
          <w:highlight w:val="none"/>
        </w:rPr>
        <w:t>响应文件进行解密。</w:t>
      </w:r>
      <w:r>
        <w:rPr>
          <w:rFonts w:hint="eastAsia" w:asciiTheme="minorEastAsia" w:hAnsiTheme="minorEastAsia" w:eastAsiaTheme="minorEastAsia"/>
          <w:color w:val="auto"/>
          <w:sz w:val="24"/>
          <w:highlight w:val="none"/>
          <w:lang w:val="en-US" w:eastAsia="zh-CN"/>
        </w:rPr>
        <w:t>未在规定时间内进行解密的，</w:t>
      </w:r>
      <w:r>
        <w:rPr>
          <w:rFonts w:hint="eastAsia" w:asciiTheme="minorEastAsia" w:hAnsiTheme="minorEastAsia" w:eastAsiaTheme="minorEastAsia"/>
          <w:b/>
          <w:bCs/>
          <w:color w:val="auto"/>
          <w:sz w:val="24"/>
          <w:highlight w:val="none"/>
          <w:lang w:val="en-US" w:eastAsia="zh-CN"/>
        </w:rPr>
        <w:t>响应无效</w:t>
      </w:r>
      <w:r>
        <w:rPr>
          <w:rFonts w:hint="eastAsia" w:asciiTheme="minorEastAsia" w:hAnsiTheme="minorEastAsia" w:eastAsiaTheme="minorEastAsia"/>
          <w:color w:val="auto"/>
          <w:sz w:val="24"/>
          <w:highlight w:val="none"/>
          <w:lang w:val="en-US" w:eastAsia="zh-CN"/>
        </w:rPr>
        <w:t>。</w:t>
      </w:r>
    </w:p>
    <w:p w14:paraId="07D1C53C">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12</w:t>
      </w:r>
      <w:r>
        <w:rPr>
          <w:rFonts w:hint="eastAsia" w:asciiTheme="minorEastAsia" w:hAnsiTheme="minorEastAsia" w:eastAsiaTheme="minorEastAsia"/>
          <w:color w:val="auto"/>
          <w:sz w:val="24"/>
          <w:highlight w:val="none"/>
        </w:rPr>
        <w:t>.4在响应文件提交截止时间之后，供应商不得对其响应文件做任何修改。</w:t>
      </w:r>
      <w:r>
        <w:rPr>
          <w:rFonts w:hint="eastAsia" w:ascii="宋体" w:hAnsi="宋体" w:eastAsia="宋体"/>
          <w:color w:val="auto"/>
          <w:sz w:val="24"/>
          <w:highlight w:val="none"/>
        </w:rPr>
        <w:t>但属于</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小组在评审中发现的计算错误并进行核实的修改、按照</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文件的变动情况和</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小组的要求重新提交响应文件的，不在此列。</w:t>
      </w:r>
    </w:p>
    <w:p w14:paraId="0C7FEA5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磋商</w:t>
      </w:r>
      <w:r>
        <w:rPr>
          <w:rFonts w:hint="eastAsia" w:asciiTheme="minorEastAsia" w:hAnsiTheme="minorEastAsia" w:eastAsiaTheme="minorEastAsia"/>
          <w:b/>
          <w:color w:val="auto"/>
          <w:sz w:val="24"/>
          <w:highlight w:val="none"/>
        </w:rPr>
        <w:t>小组</w:t>
      </w:r>
    </w:p>
    <w:p w14:paraId="35B23C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.1本项目将依法组建</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小组，</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小组成员由3人以上单数组成，</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小组及其成员应当依照政府采购的有关规定履行相关职责和义务。</w:t>
      </w:r>
    </w:p>
    <w:p w14:paraId="13C795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小组依法对响应文件进行评审，并根据</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文件规定的程序、评定成交的标准等事项与实质性响应</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文件要求的供应商进行</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w:t>
      </w:r>
    </w:p>
    <w:p w14:paraId="47FD819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小组应当从质量和服务均能满足</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文件实质性响应要求的供应商中，按照</w:t>
      </w:r>
      <w:r>
        <w:rPr>
          <w:rFonts w:hint="eastAsia" w:asciiTheme="minorEastAsia" w:hAnsiTheme="minorEastAsia" w:eastAsiaTheme="minorEastAsia"/>
          <w:color w:val="auto"/>
          <w:sz w:val="24"/>
          <w:highlight w:val="none"/>
        </w:rPr>
        <w:t>评审方法和标准推荐</w:t>
      </w:r>
      <w:r>
        <w:rPr>
          <w:rFonts w:asciiTheme="minorEastAsia" w:hAnsiTheme="minorEastAsia" w:eastAsiaTheme="minorEastAsia"/>
          <w:color w:val="auto"/>
          <w:sz w:val="24"/>
          <w:highlight w:val="none"/>
        </w:rPr>
        <w:t>成交候选人，并编写</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报告。</w:t>
      </w:r>
    </w:p>
    <w:p w14:paraId="652CFD07">
      <w:pPr>
        <w:spacing w:line="360" w:lineRule="auto"/>
        <w:ind w:firstLine="437"/>
        <w:outlineLvl w:val="2"/>
        <w:rPr>
          <w:rFonts w:hint="eastAsia" w:asciiTheme="minorEastAsia" w:hAnsiTheme="minorEastAsia" w:eastAsiaTheme="minorEastAsia"/>
          <w:b/>
          <w:color w:val="auto"/>
          <w:sz w:val="24"/>
          <w:highlight w:val="none"/>
          <w:lang w:eastAsia="zh-CN"/>
        </w:rPr>
      </w:pP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.响应文件的评审与</w:t>
      </w:r>
      <w:r>
        <w:rPr>
          <w:rFonts w:hint="eastAsia" w:asciiTheme="minorEastAsia" w:hAnsiTheme="minorEastAsia" w:eastAsiaTheme="minorEastAsia"/>
          <w:b/>
          <w:color w:val="auto"/>
          <w:sz w:val="24"/>
          <w:highlight w:val="none"/>
          <w:lang w:eastAsia="zh-CN"/>
        </w:rPr>
        <w:t>磋商</w:t>
      </w:r>
    </w:p>
    <w:p w14:paraId="0ECFEC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1采购人和采购代理机构将在</w:t>
      </w:r>
      <w:r>
        <w:rPr>
          <w:rFonts w:hint="eastAsia" w:asciiTheme="minorEastAsia" w:hAnsiTheme="minorEastAsia" w:eastAsiaTheme="minorEastAsia"/>
          <w:color w:val="auto"/>
          <w:sz w:val="24"/>
          <w:highlight w:val="none"/>
          <w:u w:val="none"/>
          <w:lang w:val="en-US" w:eastAsia="zh-CN"/>
        </w:rPr>
        <w:t>竞争性磋商公告</w:t>
      </w:r>
      <w:r>
        <w:rPr>
          <w:rFonts w:hint="eastAsia" w:asciiTheme="minorEastAsia" w:hAnsiTheme="minorEastAsia" w:eastAsiaTheme="minorEastAsia"/>
          <w:color w:val="auto"/>
          <w:sz w:val="24"/>
          <w:highlight w:val="none"/>
        </w:rPr>
        <w:t>规定的时间和地点组织</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w:t>
      </w:r>
    </w:p>
    <w:p w14:paraId="394D372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 竞争性</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采用最低评标价法评审。</w:t>
      </w:r>
    </w:p>
    <w:p w14:paraId="4B97F52B">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综合评分法，是指响应文件满足磋商文件全部实质性要求且按评审因素的量化指标评审得分最高的供应商为成交候选供应商的评审方法。</w:t>
      </w:r>
    </w:p>
    <w:p w14:paraId="3CFB32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小组将按照</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文件规定的评审方法和标准对供应商独立进行评审。评审程序如下：</w:t>
      </w:r>
    </w:p>
    <w:p w14:paraId="147AA48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.3.1初审。</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小组对供应商必须满足和实质性响应的内容进行评审，供应商未实质性响应</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文件要求导致响应无效的，</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小组将以书面询标的方式告知有关供应商。</w:t>
      </w:r>
    </w:p>
    <w:p w14:paraId="098884EC">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0EA012AF">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1AFCC06B">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p w14:paraId="59FA0EB4">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.3.2</w:t>
      </w:r>
      <w:r>
        <w:rPr>
          <w:rFonts w:hint="eastAsia" w:asciiTheme="minorEastAsia" w:hAnsiTheme="minorEastAsia" w:eastAsiaTheme="minorEastAsia"/>
          <w:b/>
          <w:color w:val="auto"/>
          <w:sz w:val="24"/>
          <w:highlight w:val="none"/>
        </w:rPr>
        <w:t>磋商</w:t>
      </w:r>
      <w:r>
        <w:rPr>
          <w:rFonts w:hint="eastAsia" w:asciiTheme="minorEastAsia" w:hAnsiTheme="minorEastAsia" w:eastAsiaTheme="minorEastAsia"/>
          <w:color w:val="auto"/>
          <w:sz w:val="24"/>
          <w:highlight w:val="none"/>
        </w:rPr>
        <w:t>。初审合格后，磋商小组将按网上加密电子响应文件提交顺序集中与单一供应商分别进行磋商，并给予所有参加磋商的供应商平等的磋商机会。</w:t>
      </w:r>
    </w:p>
    <w:p w14:paraId="0F9C20AA">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.3.3</w:t>
      </w:r>
      <w:r>
        <w:rPr>
          <w:rFonts w:asciiTheme="minorEastAsia" w:hAnsiTheme="minorEastAsia" w:eastAsiaTheme="minorEastAsia"/>
          <w:b/>
          <w:color w:val="auto"/>
          <w:sz w:val="24"/>
          <w:highlight w:val="none"/>
        </w:rPr>
        <w:t>报价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磋商结束后，磋商小组应当要求所有</w:t>
      </w:r>
      <w:r>
        <w:rPr>
          <w:rFonts w:hint="eastAsia" w:asciiTheme="minorEastAsia" w:hAnsiTheme="minorEastAsia" w:eastAsiaTheme="minorEastAsia"/>
          <w:color w:val="auto"/>
          <w:sz w:val="24"/>
          <w:highlight w:val="none"/>
        </w:rPr>
        <w:t>实质性响应</w:t>
      </w:r>
      <w:r>
        <w:rPr>
          <w:rFonts w:asciiTheme="minorEastAsia" w:hAnsiTheme="minorEastAsia" w:eastAsiaTheme="minorEastAsia"/>
          <w:color w:val="auto"/>
          <w:sz w:val="24"/>
          <w:highlight w:val="none"/>
        </w:rPr>
        <w:t>的供应商在规定时间内提交最后报价</w:t>
      </w:r>
      <w:r>
        <w:rPr>
          <w:rFonts w:hint="eastAsia" w:ascii="宋体" w:hAnsi="宋体" w:eastAsia="宋体"/>
          <w:color w:val="auto"/>
          <w:sz w:val="24"/>
          <w:highlight w:val="none"/>
        </w:rPr>
        <w:t>。</w:t>
      </w:r>
    </w:p>
    <w:p w14:paraId="16D0E951">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color w:val="auto"/>
          <w:highlight w:val="none"/>
        </w:rPr>
      </w:pPr>
      <w:r>
        <w:rPr>
          <w:rFonts w:hint="eastAsia" w:asciiTheme="minorEastAsia" w:hAnsiTheme="minorEastAsia" w:eastAsiaTheme="minorEastAsia"/>
          <w:color w:val="auto"/>
          <w:sz w:val="24"/>
          <w:highlight w:val="none"/>
          <w:lang w:val="en-US" w:eastAsia="zh-CN"/>
        </w:rPr>
        <w:t xml:space="preserve">14.3.4 </w:t>
      </w:r>
      <w:r>
        <w:rPr>
          <w:rFonts w:hint="eastAsia" w:asciiTheme="minorEastAsia" w:hAnsiTheme="minorEastAsia" w:eastAsiaTheme="minorEastAsia"/>
          <w:b/>
          <w:bCs/>
          <w:color w:val="auto"/>
          <w:sz w:val="24"/>
          <w:highlight w:val="none"/>
          <w:lang w:val="en-US" w:eastAsia="zh-CN"/>
        </w:rPr>
        <w:t>异常低价响应审查。</w:t>
      </w: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关于推进解决政府采购异常低价问题的通知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磋商小组进行异常低价响应审查。</w:t>
      </w:r>
    </w:p>
    <w:p w14:paraId="533CDB96">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b/>
          <w:color w:val="auto"/>
          <w:sz w:val="24"/>
          <w:highlight w:val="none"/>
        </w:rPr>
        <w:t>综合评分</w:t>
      </w:r>
      <w:r>
        <w:rPr>
          <w:rFonts w:hint="eastAsia" w:asciiTheme="minorEastAsia" w:hAnsiTheme="minorEastAsia" w:eastAsiaTheme="minorEastAsia"/>
          <w:color w:val="auto"/>
          <w:sz w:val="24"/>
          <w:highlight w:val="none"/>
        </w:rPr>
        <w:t>。磋商小组只对通过初审</w:t>
      </w:r>
      <w:r>
        <w:rPr>
          <w:rFonts w:hint="eastAsia" w:asciiTheme="minorEastAsia" w:hAnsiTheme="minorEastAsia" w:eastAsiaTheme="minorEastAsia"/>
          <w:color w:val="auto"/>
          <w:sz w:val="24"/>
          <w:highlight w:val="none"/>
          <w:lang w:eastAsia="zh-CN"/>
        </w:rPr>
        <w:t>、</w:t>
      </w:r>
      <w:r>
        <w:rPr>
          <w:rFonts w:hint="eastAsia" w:ascii="宋体" w:hAnsi="宋体" w:eastAsia="宋体"/>
          <w:color w:val="auto"/>
          <w:sz w:val="24"/>
          <w:highlight w:val="none"/>
          <w:lang w:val="en-US" w:eastAsia="zh-CN"/>
        </w:rPr>
        <w:t>异常低价响应审查</w:t>
      </w:r>
      <w:r>
        <w:rPr>
          <w:rFonts w:hint="eastAsia" w:asciiTheme="minorEastAsia" w:hAnsiTheme="minorEastAsia" w:eastAsiaTheme="minorEastAsia"/>
          <w:color w:val="auto"/>
          <w:sz w:val="24"/>
          <w:highlight w:val="none"/>
        </w:rPr>
        <w:t>，实质上响应磋商文件要求的响应文件进行综合评分。经磋商确定最终采购需求和提交最后报价的供应商后，由磋商小组采用综合评分法对提交最后报价的供应商的响应文件和最后报价进行综合评分。</w:t>
      </w:r>
    </w:p>
    <w:p w14:paraId="01ED3C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.4相关说明。</w:t>
      </w:r>
    </w:p>
    <w:p w14:paraId="1AF4E9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.4.1为保证</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活动顺利进行，供应商可派相关技术人员进行网上答疑；</w:t>
      </w:r>
    </w:p>
    <w:p w14:paraId="120FCD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.4.2</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小组根据与</w:t>
      </w:r>
      <w:r>
        <w:rPr>
          <w:rFonts w:hint="eastAsia"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情况可能实质性变动</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文件</w:t>
      </w:r>
      <w:r>
        <w:rPr>
          <w:rFonts w:asciiTheme="minorEastAsia" w:hAnsiTheme="minorEastAsia" w:eastAsiaTheme="minorEastAsia"/>
          <w:color w:val="auto"/>
          <w:sz w:val="24"/>
          <w:highlight w:val="none"/>
        </w:rPr>
        <w:t>的内容，包括采购需求中的技术、服务要求以及合同草案条款。</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文件有实质性变动的，</w:t>
      </w:r>
      <w:r>
        <w:rPr>
          <w:rFonts w:hint="eastAsia" w:asciiTheme="minorEastAsia" w:hAnsiTheme="minorEastAsia" w:eastAsiaTheme="minorEastAsia"/>
          <w:color w:val="auto"/>
          <w:sz w:val="24"/>
          <w:highlight w:val="none"/>
        </w:rPr>
        <w:t>经采购人代表确认作为</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文件的有效组成部分，</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小组</w:t>
      </w:r>
      <w:r>
        <w:rPr>
          <w:rFonts w:hint="eastAsia" w:asciiTheme="minorEastAsia" w:hAnsiTheme="minorEastAsia" w:eastAsiaTheme="minorEastAsia"/>
          <w:color w:val="auto"/>
          <w:sz w:val="24"/>
          <w:highlight w:val="none"/>
        </w:rPr>
        <w:t>将</w:t>
      </w:r>
      <w:r>
        <w:rPr>
          <w:rFonts w:asciiTheme="minorEastAsia" w:hAnsiTheme="minorEastAsia" w:eastAsiaTheme="minorEastAsia"/>
          <w:color w:val="auto"/>
          <w:sz w:val="24"/>
          <w:highlight w:val="none"/>
        </w:rPr>
        <w:t>以书面形式通知所有参加</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的供应商。</w:t>
      </w:r>
    </w:p>
    <w:p w14:paraId="5BC36B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无论何种原因，即使供应商</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时携带了证书材料的原件，但响应文件中未提供与之内容完全一致的</w:t>
      </w:r>
      <w:r>
        <w:rPr>
          <w:rFonts w:hint="eastAsia" w:asciiTheme="minorEastAsia" w:hAnsiTheme="minorEastAsia" w:eastAsiaTheme="minorEastAsia"/>
          <w:color w:val="auto"/>
          <w:sz w:val="24"/>
          <w:highlight w:val="none"/>
        </w:rPr>
        <w:t>扫描件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小组可以视同其未提供。</w:t>
      </w:r>
    </w:p>
    <w:p w14:paraId="7FDA0F2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小组决定响应文件的响应性及符合性只根据响应文件本身的内容，而不寻求其他外部证据。</w:t>
      </w:r>
    </w:p>
    <w:p w14:paraId="7D4C479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w:t>
      </w:r>
      <w:r>
        <w:rPr>
          <w:rFonts w:asciiTheme="minorEastAsia" w:hAnsiTheme="minorEastAsia" w:eastAsiaTheme="minorEastAsia"/>
          <w:color w:val="auto"/>
          <w:sz w:val="24"/>
          <w:highlight w:val="none"/>
        </w:rPr>
        <w:t>代表对</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过程</w:t>
      </w:r>
      <w:r>
        <w:rPr>
          <w:rFonts w:asciiTheme="minorEastAsia" w:hAnsiTheme="minorEastAsia" w:eastAsiaTheme="minorEastAsia"/>
          <w:color w:val="auto"/>
          <w:sz w:val="24"/>
          <w:highlight w:val="none"/>
        </w:rPr>
        <w:t>有疑义，以及认为采购人、采购代理机构相关工作人员有需要回避的情形的，应当场提出询问或者回避申请</w:t>
      </w:r>
      <w:r>
        <w:rPr>
          <w:rFonts w:hint="eastAsia" w:asciiTheme="minorEastAsia" w:hAnsiTheme="minorEastAsia" w:eastAsiaTheme="minorEastAsia"/>
          <w:color w:val="auto"/>
          <w:sz w:val="24"/>
          <w:highlight w:val="none"/>
        </w:rPr>
        <w:t>，并说明理由。</w:t>
      </w:r>
      <w:r>
        <w:rPr>
          <w:rFonts w:asciiTheme="minorEastAsia" w:hAnsiTheme="minorEastAsia" w:eastAsiaTheme="minorEastAsia"/>
          <w:color w:val="auto"/>
          <w:sz w:val="24"/>
          <w:highlight w:val="none"/>
        </w:rPr>
        <w:t xml:space="preserve"> </w:t>
      </w:r>
    </w:p>
    <w:p w14:paraId="42E69E9B">
      <w:pPr>
        <w:spacing w:line="360" w:lineRule="auto"/>
        <w:ind w:firstLine="437"/>
        <w:outlineLvl w:val="2"/>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.终止竞争性</w:t>
      </w:r>
      <w:r>
        <w:rPr>
          <w:rFonts w:hint="eastAsia" w:asciiTheme="minorEastAsia" w:hAnsiTheme="minorEastAsia" w:eastAsiaTheme="minorEastAsia"/>
          <w:b/>
          <w:color w:val="auto"/>
          <w:sz w:val="24"/>
          <w:highlight w:val="none"/>
          <w:lang w:eastAsia="zh-CN"/>
        </w:rPr>
        <w:t>磋商</w:t>
      </w:r>
    </w:p>
    <w:p w14:paraId="01374A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.1出现下列情况之一时，采购人和采购代理机构有权宣布终止竞争性</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采购，并将理由通知所有供应商：</w:t>
      </w:r>
    </w:p>
    <w:p w14:paraId="542BD19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（1）有效供应商数量不足，导致本次</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缺乏竞争的；</w:t>
      </w:r>
    </w:p>
    <w:p w14:paraId="211FEA5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（2）出现影响采购公正的违法、违规行为的；</w:t>
      </w:r>
    </w:p>
    <w:p w14:paraId="627208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（3）因重大变故，采购任务取消的；</w:t>
      </w:r>
    </w:p>
    <w:p w14:paraId="3E38F2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（4）政府采购法律法规规定的其他情形。</w:t>
      </w:r>
    </w:p>
    <w:p w14:paraId="5AC3816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080FB878">
      <w:pPr>
        <w:spacing w:line="360" w:lineRule="auto"/>
        <w:ind w:firstLine="470" w:firstLineChars="196"/>
        <w:rPr>
          <w:rFonts w:ascii="宋体" w:hAnsi="宋体" w:eastAsia="宋体"/>
          <w:color w:val="auto"/>
          <w:sz w:val="24"/>
          <w:highlight w:val="none"/>
        </w:rPr>
      </w:pPr>
      <w:r>
        <w:rPr>
          <w:rFonts w:hint="eastAsia" w:ascii="宋体" w:hAnsi="宋体" w:eastAsia="宋体"/>
          <w:color w:val="auto"/>
          <w:sz w:val="24"/>
          <w:highlight w:val="none"/>
          <w:lang w:val="en-US" w:eastAsia="zh-CN"/>
        </w:rPr>
        <w:t>16</w:t>
      </w:r>
      <w:r>
        <w:rPr>
          <w:rFonts w:hint="eastAsia" w:ascii="宋体" w:hAnsi="宋体" w:eastAsia="宋体"/>
          <w:color w:val="auto"/>
          <w:sz w:val="24"/>
          <w:highlight w:val="none"/>
        </w:rPr>
        <w:t>.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77B746B1">
      <w:pPr>
        <w:spacing w:line="360" w:lineRule="auto"/>
        <w:ind w:firstLine="470" w:firstLineChars="196"/>
        <w:rPr>
          <w:rFonts w:ascii="宋体" w:hAnsi="宋体" w:eastAsia="宋体"/>
          <w:color w:val="auto"/>
          <w:sz w:val="24"/>
          <w:highlight w:val="none"/>
        </w:rPr>
      </w:pPr>
      <w:r>
        <w:rPr>
          <w:rFonts w:hint="eastAsia" w:ascii="宋体" w:hAnsi="宋体" w:eastAsia="宋体"/>
          <w:color w:val="auto"/>
          <w:sz w:val="24"/>
          <w:highlight w:val="none"/>
          <w:lang w:val="en-US" w:eastAsia="zh-CN"/>
        </w:rPr>
        <w:t>16</w:t>
      </w:r>
      <w:r>
        <w:rPr>
          <w:rFonts w:hint="eastAsia" w:ascii="宋体" w:hAnsi="宋体" w:eastAsia="宋体"/>
          <w:color w:val="auto"/>
          <w:sz w:val="24"/>
          <w:highlight w:val="none"/>
        </w:rPr>
        <w:t>.2</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小组要求供应商澄清、说明或者更正响应文件应当以书面形式（询标）作出。供应商的澄清、说明或者更正应当由法定代表人或其授权代表签字或者加盖公章</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电子签章</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w:t>
      </w:r>
    </w:p>
    <w:p w14:paraId="3F17280E">
      <w:pPr>
        <w:spacing w:line="360" w:lineRule="auto"/>
        <w:ind w:firstLine="435"/>
        <w:rPr>
          <w:rFonts w:ascii="宋体" w:hAnsi="宋体" w:eastAsia="宋体"/>
          <w:color w:val="auto"/>
          <w:sz w:val="24"/>
          <w:highlight w:val="none"/>
        </w:rPr>
      </w:pPr>
      <w:r>
        <w:rPr>
          <w:rFonts w:hint="eastAsia" w:ascii="宋体" w:hAnsi="宋体" w:eastAsia="宋体"/>
          <w:b/>
          <w:color w:val="auto"/>
          <w:sz w:val="24"/>
          <w:highlight w:val="none"/>
        </w:rPr>
        <w:t>如有询标，授权代表（或法定代表人）可通过远程登录的方式接受网上询标，也可凭本人有效身份证明参加询标。因授权代表联系不上</w:t>
      </w:r>
      <w:r>
        <w:rPr>
          <w:rFonts w:hint="eastAsia" w:ascii="宋体" w:hAnsi="宋体" w:eastAsia="宋体"/>
          <w:b/>
          <w:bCs/>
          <w:color w:val="auto"/>
          <w:sz w:val="24"/>
          <w:highlight w:val="none"/>
        </w:rPr>
        <w:t>、没有及时登录系统等情形</w:t>
      </w:r>
      <w:r>
        <w:rPr>
          <w:rFonts w:hint="eastAsia" w:ascii="宋体" w:hAnsi="宋体" w:eastAsia="宋体"/>
          <w:b/>
          <w:color w:val="auto"/>
          <w:sz w:val="24"/>
          <w:highlight w:val="none"/>
        </w:rPr>
        <w:t>而无法接受</w:t>
      </w:r>
      <w:r>
        <w:rPr>
          <w:rFonts w:hint="eastAsia" w:ascii="宋体" w:hAnsi="宋体" w:eastAsia="宋体"/>
          <w:b/>
          <w:color w:val="auto"/>
          <w:sz w:val="24"/>
          <w:highlight w:val="none"/>
          <w:lang w:eastAsia="zh-CN"/>
        </w:rPr>
        <w:t>磋商</w:t>
      </w:r>
      <w:r>
        <w:rPr>
          <w:rFonts w:hint="eastAsia" w:ascii="宋体" w:hAnsi="宋体" w:eastAsia="宋体"/>
          <w:b/>
          <w:color w:val="auto"/>
          <w:sz w:val="24"/>
          <w:highlight w:val="none"/>
        </w:rPr>
        <w:t>小组询标的，供应商自行承担相关风险。</w:t>
      </w:r>
    </w:p>
    <w:p w14:paraId="234BE6D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.最后报价</w:t>
      </w:r>
    </w:p>
    <w:p w14:paraId="1607EF80">
      <w:pPr>
        <w:spacing w:line="360" w:lineRule="auto"/>
        <w:ind w:firstLine="435"/>
        <w:rPr>
          <w:rFonts w:hint="default" w:asciiTheme="minorEastAsia" w:hAnsiTheme="minorEastAsia" w:eastAsiaTheme="minorEastAsia"/>
          <w:color w:val="auto"/>
          <w:sz w:val="24"/>
          <w:highlight w:val="yellow"/>
          <w:lang w:val="en-US" w:eastAsia="zh-CN"/>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并不限定只进行二轮报价，如果</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小组认为有必要，可以要求供应商进行多轮报价。</w:t>
      </w:r>
      <w:r>
        <w:rPr>
          <w:rFonts w:hint="eastAsia" w:asciiTheme="minorEastAsia" w:hAnsiTheme="minorEastAsia" w:eastAsiaTheme="minorEastAsia"/>
          <w:b/>
          <w:bCs/>
          <w:color w:val="auto"/>
          <w:sz w:val="24"/>
          <w:highlight w:val="none"/>
          <w:lang w:val="en-US" w:eastAsia="zh-CN"/>
        </w:rPr>
        <w:t>未在规定时间内进行报价的，视为退出本次竞争性磋商。</w:t>
      </w:r>
    </w:p>
    <w:p w14:paraId="598F01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内容不做实质性变更或重大调整的前提下，供应商下轮报价不得高于上一轮报价</w:t>
      </w:r>
      <w:r>
        <w:rPr>
          <w:rFonts w:hint="eastAsia" w:asciiTheme="minorEastAsia" w:hAnsiTheme="minorEastAsia" w:eastAsiaTheme="minorEastAsia"/>
          <w:color w:val="auto"/>
          <w:sz w:val="24"/>
          <w:highlight w:val="none"/>
        </w:rPr>
        <w:t>。</w:t>
      </w:r>
    </w:p>
    <w:p w14:paraId="641E1212">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最后报价是供应商响应文件的有效组成部分，最后报价也是签订合同的依据。</w:t>
      </w:r>
    </w:p>
    <w:p w14:paraId="3489BD9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0229BB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磋商小组依据本项目磋商文件所约定的评审方法和标准，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0BE30A8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47093DB1">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 xml:space="preserve">1 </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小组按照最后报价由低到高的顺序和</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w:t>
      </w:r>
      <w:r>
        <w:rPr>
          <w:rFonts w:hint="eastAsia" w:ascii="宋体" w:hAnsi="宋体" w:eastAsia="宋体"/>
          <w:color w:val="auto"/>
          <w:sz w:val="24"/>
          <w:highlight w:val="none"/>
        </w:rPr>
        <w:t>确定成交候选人，并标明排列顺序。</w:t>
      </w:r>
      <w:r>
        <w:rPr>
          <w:rFonts w:hint="eastAsia" w:asciiTheme="minorEastAsia" w:hAnsiTheme="minorEastAsia" w:eastAsiaTheme="minorEastAsia"/>
          <w:color w:val="auto"/>
          <w:sz w:val="24"/>
          <w:highlight w:val="none"/>
        </w:rPr>
        <w:t>按</w:t>
      </w:r>
      <w:r>
        <w:rPr>
          <w:rFonts w:hint="eastAsia" w:asciiTheme="minorEastAsia" w:hAnsiTheme="minorEastAsia" w:eastAsiaTheme="minorEastAsia"/>
          <w:color w:val="auto"/>
          <w:sz w:val="24"/>
          <w:highlight w:val="none"/>
          <w:u w:val="single"/>
          <w:lang w:val="en-US" w:eastAsia="zh-CN"/>
        </w:rPr>
        <w:t>供应商</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w:t>
      </w:r>
      <w:r>
        <w:rPr>
          <w:rFonts w:hint="eastAsia" w:asciiTheme="minorEastAsia" w:hAnsiTheme="minorEastAsia" w:eastAsiaTheme="minorEastAsia"/>
          <w:color w:val="auto"/>
          <w:sz w:val="24"/>
          <w:highlight w:val="none"/>
          <w:lang w:val="en-US" w:eastAsia="zh-CN"/>
        </w:rPr>
        <w:t>磋商小组</w:t>
      </w:r>
      <w:r>
        <w:rPr>
          <w:rFonts w:asciiTheme="minorEastAsia" w:hAnsiTheme="minorEastAsia" w:eastAsiaTheme="minorEastAsia"/>
          <w:color w:val="auto"/>
          <w:sz w:val="24"/>
          <w:highlight w:val="none"/>
        </w:rPr>
        <w:t>或采购人确定</w:t>
      </w:r>
      <w:r>
        <w:rPr>
          <w:rFonts w:hint="eastAsia" w:asciiTheme="minorEastAsia" w:hAnsiTheme="minorEastAsia" w:eastAsiaTheme="minorEastAsia"/>
          <w:color w:val="auto"/>
          <w:sz w:val="24"/>
          <w:highlight w:val="none"/>
          <w:lang w:val="en-US" w:eastAsia="zh-CN"/>
        </w:rPr>
        <w:t>成交供应商</w:t>
      </w:r>
      <w:r>
        <w:rPr>
          <w:rFonts w:asciiTheme="minorEastAsia" w:hAnsiTheme="minorEastAsia" w:eastAsiaTheme="minorEastAsia"/>
          <w:color w:val="auto"/>
          <w:sz w:val="24"/>
          <w:highlight w:val="none"/>
        </w:rPr>
        <w:t>。</w:t>
      </w:r>
    </w:p>
    <w:p w14:paraId="23328D82">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20</w:t>
      </w:r>
      <w:r>
        <w:rPr>
          <w:rFonts w:asciiTheme="minorEastAsia" w:hAnsiTheme="minorEastAsia" w:eastAsiaTheme="minorEastAsia"/>
          <w:b/>
          <w:color w:val="auto"/>
          <w:sz w:val="24"/>
          <w:highlight w:val="none"/>
        </w:rPr>
        <w:t>.编写评审报告</w:t>
      </w:r>
    </w:p>
    <w:p w14:paraId="040FBBF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w:t>
      </w:r>
      <w:r>
        <w:rPr>
          <w:rFonts w:hint="eastAsia" w:asciiTheme="minorEastAsia" w:hAnsiTheme="minorEastAsia" w:eastAsiaTheme="minorEastAsia"/>
          <w:color w:val="auto"/>
          <w:sz w:val="24"/>
          <w:highlight w:val="none"/>
        </w:rPr>
        <w:t>.1评审报告是根据全体</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小组成员签字的原始评审记录和评审结果编写的报告，评审报告由</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小组全体成员签字。对评审结论持有异议的</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小组成员可以书面方式阐述其不同意见和理由。</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小组成员拒绝在评审报告上签字且不陈述其不同意见和理由的，视为同意评审结论。</w:t>
      </w:r>
    </w:p>
    <w:p w14:paraId="4DF3BC5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685E9D98">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.1评审将在严格保密的情况下进行。</w:t>
      </w:r>
    </w:p>
    <w:p w14:paraId="7E2A60DA">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w:t>
      </w:r>
      <w:r>
        <w:rPr>
          <w:rFonts w:hint="eastAsia" w:ascii="宋体" w:hAnsi="宋体" w:eastAsia="宋体"/>
          <w:color w:val="auto"/>
          <w:sz w:val="24"/>
          <w:highlight w:val="none"/>
        </w:rPr>
        <w:t>评审</w:t>
      </w:r>
      <w:r>
        <w:rPr>
          <w:rFonts w:ascii="宋体" w:hAnsi="宋体" w:eastAsia="宋体"/>
          <w:color w:val="auto"/>
          <w:sz w:val="24"/>
          <w:highlight w:val="none"/>
        </w:rPr>
        <w:t>工作纪律，不得</w:t>
      </w:r>
      <w:r>
        <w:rPr>
          <w:rFonts w:hint="eastAsia" w:ascii="宋体" w:hAnsi="宋体" w:eastAsia="宋体"/>
          <w:color w:val="auto"/>
          <w:sz w:val="24"/>
          <w:highlight w:val="none"/>
        </w:rPr>
        <w:t>泄露评审文件</w:t>
      </w:r>
      <w:r>
        <w:rPr>
          <w:rFonts w:ascii="宋体" w:hAnsi="宋体" w:eastAsia="宋体"/>
          <w:color w:val="auto"/>
          <w:sz w:val="24"/>
          <w:highlight w:val="none"/>
        </w:rPr>
        <w:t>、</w:t>
      </w:r>
      <w:r>
        <w:rPr>
          <w:rFonts w:hint="eastAsia" w:ascii="宋体" w:hAnsi="宋体" w:eastAsia="宋体"/>
          <w:color w:val="auto"/>
          <w:sz w:val="24"/>
          <w:highlight w:val="none"/>
        </w:rPr>
        <w:t>评审</w:t>
      </w:r>
      <w:r>
        <w:rPr>
          <w:rFonts w:ascii="宋体" w:hAnsi="宋体" w:eastAsia="宋体"/>
          <w:color w:val="auto"/>
          <w:sz w:val="24"/>
          <w:highlight w:val="none"/>
        </w:rPr>
        <w:t>情况和</w:t>
      </w:r>
      <w:r>
        <w:rPr>
          <w:rFonts w:hint="eastAsia" w:ascii="宋体" w:hAnsi="宋体" w:eastAsia="宋体"/>
          <w:color w:val="auto"/>
          <w:sz w:val="24"/>
          <w:highlight w:val="none"/>
        </w:rPr>
        <w:t>评审</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71801A25">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7</w:t>
      </w:r>
      <w:r>
        <w:rPr>
          <w:rFonts w:asciiTheme="minorEastAsia" w:hAnsiTheme="minorEastAsia" w:eastAsiaTheme="minorEastAsia"/>
          <w:b/>
          <w:color w:val="auto"/>
          <w:sz w:val="24"/>
          <w:highlight w:val="none"/>
        </w:rPr>
        <w:t>.成交结果公告</w:t>
      </w:r>
    </w:p>
    <w:p w14:paraId="5109847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.1为体现“公开、公平、公正”的原则，</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结束后，</w:t>
      </w:r>
      <w:r>
        <w:rPr>
          <w:rFonts w:hint="eastAsia" w:asciiTheme="minorEastAsia" w:hAnsiTheme="minorEastAsia" w:eastAsiaTheme="minorEastAsia"/>
          <w:color w:val="auto"/>
          <w:sz w:val="24"/>
          <w:highlight w:val="none"/>
        </w:rPr>
        <w:t>采购代理机构将</w:t>
      </w:r>
      <w:r>
        <w:rPr>
          <w:rFonts w:hint="eastAsia" w:ascii="宋体" w:hAnsi="宋体" w:eastAsia="宋体"/>
          <w:color w:val="auto"/>
          <w:sz w:val="24"/>
          <w:szCs w:val="18"/>
          <w:highlight w:val="none"/>
        </w:rPr>
        <w:t>在滁州市城投工程咨询管理有限公司网站（https://www.czctgczx.com/）上</w:t>
      </w:r>
      <w:r>
        <w:rPr>
          <w:rFonts w:asciiTheme="minorEastAsia" w:hAnsiTheme="minorEastAsia" w:eastAsiaTheme="minorEastAsia"/>
          <w:color w:val="auto"/>
          <w:sz w:val="24"/>
          <w:highlight w:val="none"/>
        </w:rPr>
        <w:t>发布成交结果公告。</w:t>
      </w:r>
    </w:p>
    <w:p w14:paraId="71FD5F3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成交结果公告内容应当包括采购人及其委托的采购代理机构的名称、地址、联系方式，项目名称和项目编号，成交供应商名称、地址和成交金额，主要成交标的的名称、规格型号、数量、单价、服务要求，成交结果公告期限、评审专家名单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51A3915E">
      <w:pPr>
        <w:spacing w:line="360" w:lineRule="auto"/>
        <w:ind w:firstLine="437"/>
        <w:outlineLvl w:val="2"/>
        <w:rPr>
          <w:rFonts w:ascii="宋体" w:hAnsi="宋体" w:eastAsia="宋体"/>
          <w:b/>
          <w:color w:val="auto"/>
          <w:sz w:val="24"/>
          <w:highlight w:val="none"/>
        </w:rPr>
      </w:pPr>
      <w:r>
        <w:rPr>
          <w:rFonts w:ascii="宋体" w:hAnsi="宋体" w:eastAsia="宋体"/>
          <w:b/>
          <w:color w:val="auto"/>
          <w:sz w:val="24"/>
          <w:highlight w:val="none"/>
        </w:rPr>
        <w:t>2</w:t>
      </w:r>
      <w:r>
        <w:rPr>
          <w:rFonts w:hint="eastAsia" w:ascii="宋体" w:hAnsi="宋体" w:eastAsia="宋体"/>
          <w:b/>
          <w:color w:val="auto"/>
          <w:sz w:val="24"/>
          <w:highlight w:val="none"/>
          <w:lang w:val="en-US" w:eastAsia="zh-CN"/>
        </w:rPr>
        <w:t>3</w:t>
      </w:r>
      <w:r>
        <w:rPr>
          <w:rFonts w:ascii="宋体" w:hAnsi="宋体" w:eastAsia="宋体"/>
          <w:b/>
          <w:color w:val="auto"/>
          <w:sz w:val="24"/>
          <w:highlight w:val="none"/>
        </w:rPr>
        <w:t>.成交通知书</w:t>
      </w:r>
    </w:p>
    <w:p w14:paraId="03B6F535">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.1采购代理机构发布成交结果公告的同时</w:t>
      </w:r>
      <w:r>
        <w:rPr>
          <w:rFonts w:asciiTheme="minorEastAsia" w:hAnsiTheme="minorEastAsia" w:eastAsiaTheme="minorEastAsia"/>
          <w:color w:val="auto"/>
          <w:sz w:val="24"/>
          <w:highlight w:val="none"/>
        </w:rPr>
        <w:t>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ascii="宋体" w:hAnsi="宋体" w:eastAsia="宋体"/>
          <w:color w:val="auto"/>
          <w:sz w:val="24"/>
          <w:highlight w:val="none"/>
        </w:rPr>
        <w:t>向成交供应商发出成交通知书。</w:t>
      </w:r>
    </w:p>
    <w:p w14:paraId="57CA3957">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.2成交通知书对采购人和成交供应商具有同等法律效力。成交通知书发出以后，采购人改变成交结果或者成交供应商放弃成交资格，应当承担相应的法律责任。</w:t>
      </w:r>
    </w:p>
    <w:p w14:paraId="3F80F1A6">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.3成交通知书是合同的组成部分。</w:t>
      </w:r>
    </w:p>
    <w:p w14:paraId="75AA1272">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w:t>
      </w:r>
      <w:r>
        <w:rPr>
          <w:rFonts w:hint="eastAsia" w:ascii="宋体" w:hAnsi="宋体" w:eastAsia="宋体"/>
          <w:b/>
          <w:color w:val="auto"/>
          <w:sz w:val="24"/>
          <w:highlight w:val="none"/>
          <w:lang w:val="en-US" w:eastAsia="zh-CN"/>
        </w:rPr>
        <w:t>4</w:t>
      </w:r>
      <w:r>
        <w:rPr>
          <w:rFonts w:ascii="宋体" w:hAnsi="宋体" w:eastAsia="宋体"/>
          <w:b/>
          <w:color w:val="auto"/>
          <w:sz w:val="24"/>
          <w:highlight w:val="none"/>
        </w:rPr>
        <w:t>.告知</w:t>
      </w:r>
      <w:r>
        <w:rPr>
          <w:rFonts w:hint="eastAsia" w:ascii="宋体" w:hAnsi="宋体" w:eastAsia="宋体"/>
          <w:b/>
          <w:color w:val="auto"/>
          <w:sz w:val="24"/>
          <w:highlight w:val="none"/>
          <w:lang w:eastAsia="zh-CN"/>
        </w:rPr>
        <w:t>磋商</w:t>
      </w:r>
      <w:r>
        <w:rPr>
          <w:rFonts w:ascii="宋体" w:hAnsi="宋体" w:eastAsia="宋体"/>
          <w:b/>
          <w:color w:val="auto"/>
          <w:sz w:val="24"/>
          <w:highlight w:val="none"/>
        </w:rPr>
        <w:t>结果</w:t>
      </w:r>
    </w:p>
    <w:p w14:paraId="1CBE08C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61A02154">
      <w:pPr>
        <w:spacing w:line="360" w:lineRule="auto"/>
        <w:ind w:firstLine="435"/>
        <w:rPr>
          <w:rFonts w:ascii="宋体" w:hAnsi="宋体" w:eastAsia="宋体"/>
          <w:color w:val="auto"/>
          <w:sz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采购代理机构对未成交的供应商不做未成交原因的解释。</w:t>
      </w:r>
    </w:p>
    <w:p w14:paraId="347CA465">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25</w:t>
      </w:r>
      <w:r>
        <w:rPr>
          <w:rFonts w:ascii="宋体" w:hAnsi="宋体" w:eastAsia="宋体"/>
          <w:b/>
          <w:color w:val="auto"/>
          <w:sz w:val="24"/>
          <w:highlight w:val="none"/>
        </w:rPr>
        <w:t>.履约</w:t>
      </w:r>
      <w:r>
        <w:rPr>
          <w:rFonts w:asciiTheme="minorEastAsia" w:hAnsiTheme="minorEastAsia" w:eastAsiaTheme="minorEastAsia"/>
          <w:b/>
          <w:color w:val="auto"/>
          <w:sz w:val="24"/>
          <w:highlight w:val="none"/>
        </w:rPr>
        <w:t>保证金</w:t>
      </w:r>
    </w:p>
    <w:p w14:paraId="45B9452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25</w:t>
      </w:r>
      <w:r>
        <w:rPr>
          <w:rFonts w:ascii="宋体" w:hAnsi="宋体" w:eastAsia="宋体"/>
          <w:color w:val="auto"/>
          <w:sz w:val="24"/>
          <w:highlight w:val="none"/>
        </w:rPr>
        <w:t>.1成交供应商应按照</w:t>
      </w:r>
      <w:r>
        <w:rPr>
          <w:rFonts w:ascii="宋体" w:hAnsi="宋体" w:eastAsia="宋体"/>
          <w:color w:val="auto"/>
          <w:sz w:val="24"/>
          <w:highlight w:val="none"/>
          <w:u w:val="single"/>
        </w:rPr>
        <w:t>供应商须知前附表</w:t>
      </w:r>
      <w:r>
        <w:rPr>
          <w:rFonts w:ascii="宋体" w:hAnsi="宋体" w:eastAsia="宋体"/>
          <w:color w:val="auto"/>
          <w:sz w:val="24"/>
          <w:highlight w:val="none"/>
        </w:rPr>
        <w:t>规定</w:t>
      </w:r>
      <w:r>
        <w:rPr>
          <w:rFonts w:hint="eastAsia" w:ascii="宋体" w:hAnsi="宋体" w:eastAsia="宋体"/>
          <w:color w:val="auto"/>
          <w:sz w:val="24"/>
          <w:highlight w:val="none"/>
        </w:rPr>
        <w:t>缴纳</w:t>
      </w:r>
      <w:r>
        <w:rPr>
          <w:rFonts w:ascii="宋体" w:hAnsi="宋体" w:eastAsia="宋体"/>
          <w:color w:val="auto"/>
          <w:sz w:val="24"/>
          <w:highlight w:val="none"/>
        </w:rPr>
        <w:t>履约保证金。</w:t>
      </w:r>
    </w:p>
    <w:p w14:paraId="1B7E2F2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25</w:t>
      </w:r>
      <w:r>
        <w:rPr>
          <w:rFonts w:ascii="宋体" w:hAnsi="宋体" w:eastAsia="宋体"/>
          <w:color w:val="auto"/>
          <w:sz w:val="24"/>
          <w:highlight w:val="none"/>
        </w:rPr>
        <w:t>.2如果成交供应商没有按照上述履约保证金的规定执行，将视为放弃成交资格。在此情况下，采购人可确定下一成交候选人为成交供应商，也可以重新开展采购活动。</w:t>
      </w:r>
    </w:p>
    <w:p w14:paraId="1E3BB156">
      <w:pPr>
        <w:spacing w:line="360" w:lineRule="auto"/>
        <w:ind w:firstLine="437"/>
        <w:outlineLvl w:val="2"/>
        <w:rPr>
          <w:rFonts w:hint="eastAsia" w:ascii="宋体" w:hAnsi="宋体" w:eastAsia="宋体"/>
          <w:b/>
          <w:color w:val="auto"/>
          <w:sz w:val="24"/>
          <w:highlight w:val="none"/>
          <w:lang w:eastAsia="zh-CN"/>
        </w:rPr>
      </w:pPr>
      <w:r>
        <w:rPr>
          <w:rFonts w:hint="eastAsia" w:ascii="宋体" w:hAnsi="宋体" w:eastAsia="宋体"/>
          <w:b/>
          <w:color w:val="auto"/>
          <w:sz w:val="24"/>
          <w:highlight w:val="none"/>
          <w:lang w:val="en-US" w:eastAsia="zh-CN"/>
        </w:rPr>
        <w:t>26</w:t>
      </w:r>
      <w:r>
        <w:rPr>
          <w:rFonts w:ascii="宋体" w:hAnsi="宋体" w:eastAsia="宋体"/>
          <w:b/>
          <w:color w:val="auto"/>
          <w:sz w:val="24"/>
          <w:highlight w:val="none"/>
        </w:rPr>
        <w:t>.</w:t>
      </w:r>
      <w:r>
        <w:rPr>
          <w:rFonts w:hint="eastAsia" w:ascii="宋体" w:hAnsi="宋体" w:eastAsia="宋体"/>
          <w:b/>
          <w:color w:val="auto"/>
          <w:sz w:val="24"/>
          <w:highlight w:val="none"/>
          <w:lang w:val="en-US" w:eastAsia="zh-CN"/>
        </w:rPr>
        <w:t>代理费用</w:t>
      </w:r>
    </w:p>
    <w:p w14:paraId="7BE4D49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26</w:t>
      </w:r>
      <w:r>
        <w:rPr>
          <w:rFonts w:ascii="宋体" w:hAnsi="宋体" w:eastAsia="宋体"/>
          <w:color w:val="auto"/>
          <w:sz w:val="24"/>
          <w:highlight w:val="none"/>
        </w:rPr>
        <w:t>.1本项目</w:t>
      </w:r>
      <w:r>
        <w:rPr>
          <w:rFonts w:hint="eastAsia" w:ascii="宋体" w:hAnsi="宋体" w:eastAsia="宋体"/>
          <w:color w:val="auto"/>
          <w:sz w:val="24"/>
          <w:highlight w:val="none"/>
          <w:lang w:val="en-US" w:eastAsia="zh-CN"/>
        </w:rPr>
        <w:t>代理费用</w:t>
      </w:r>
      <w:r>
        <w:rPr>
          <w:rFonts w:ascii="宋体" w:hAnsi="宋体" w:eastAsia="宋体"/>
          <w:color w:val="auto"/>
          <w:sz w:val="24"/>
          <w:highlight w:val="none"/>
        </w:rPr>
        <w:t>的收取按</w:t>
      </w:r>
      <w:r>
        <w:rPr>
          <w:rFonts w:hint="eastAsia" w:ascii="宋体" w:hAnsi="宋体" w:eastAsia="宋体"/>
          <w:color w:val="auto"/>
          <w:sz w:val="24"/>
          <w:highlight w:val="none"/>
          <w:u w:val="single"/>
        </w:rPr>
        <w:t>供应商</w:t>
      </w:r>
      <w:r>
        <w:rPr>
          <w:rFonts w:ascii="宋体" w:hAnsi="宋体" w:eastAsia="宋体"/>
          <w:color w:val="auto"/>
          <w:sz w:val="24"/>
          <w:highlight w:val="none"/>
          <w:u w:val="single"/>
        </w:rPr>
        <w:t>须知前附表</w:t>
      </w:r>
      <w:r>
        <w:rPr>
          <w:rFonts w:ascii="宋体" w:hAnsi="宋体" w:eastAsia="宋体"/>
          <w:color w:val="auto"/>
          <w:sz w:val="24"/>
          <w:highlight w:val="none"/>
        </w:rPr>
        <w:t>的规定执行。</w:t>
      </w:r>
    </w:p>
    <w:p w14:paraId="2877B7A4">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27</w:t>
      </w:r>
      <w:r>
        <w:rPr>
          <w:rFonts w:ascii="宋体" w:hAnsi="宋体" w:eastAsia="宋体"/>
          <w:b/>
          <w:color w:val="auto"/>
          <w:sz w:val="24"/>
          <w:highlight w:val="none"/>
        </w:rPr>
        <w:t>.签订合同</w:t>
      </w:r>
    </w:p>
    <w:p w14:paraId="3FD21FF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32CF097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ascii="宋体" w:hAnsi="宋体" w:eastAsia="宋体"/>
          <w:color w:val="auto"/>
          <w:sz w:val="24"/>
          <w:highlight w:val="none"/>
        </w:rPr>
        <w:t>.2</w:t>
      </w:r>
      <w:r>
        <w:rPr>
          <w:rFonts w:hint="eastAsia" w:ascii="宋体" w:hAnsi="宋体" w:eastAsia="宋体"/>
          <w:color w:val="auto"/>
          <w:sz w:val="24"/>
          <w:highlight w:val="none"/>
          <w:lang w:eastAsia="zh-CN"/>
        </w:rPr>
        <w:t>磋商</w:t>
      </w:r>
      <w:r>
        <w:rPr>
          <w:rFonts w:ascii="宋体" w:hAnsi="宋体" w:eastAsia="宋体"/>
          <w:color w:val="auto"/>
          <w:sz w:val="24"/>
          <w:highlight w:val="none"/>
        </w:rPr>
        <w:t>文件、成交供应商的响应文件及其澄清文件等，均为签订合同的依据。</w:t>
      </w:r>
    </w:p>
    <w:p w14:paraId="5835E29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ascii="宋体" w:hAnsi="宋体" w:eastAsia="宋体"/>
          <w:color w:val="auto"/>
          <w:sz w:val="24"/>
          <w:highlight w:val="none"/>
        </w:rPr>
        <w:t>.3 成交供应商拒绝与采购人签订合同的，采购人可以按照评审报告推荐的成交候选人名单排序，确定下一成交候选人为成交供应商，也可以重新开展采购活动。</w:t>
      </w:r>
      <w:r>
        <w:rPr>
          <w:rFonts w:hint="eastAsia" w:ascii="宋体" w:hAnsi="宋体" w:eastAsia="宋体"/>
          <w:color w:val="auto"/>
          <w:sz w:val="24"/>
          <w:highlight w:val="none"/>
        </w:rPr>
        <w:t>成交供应商拒绝签订政府采购合同的不得参加对该项目重新开展的采购活动。</w:t>
      </w:r>
    </w:p>
    <w:p w14:paraId="1DBFB8D4">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28</w:t>
      </w:r>
      <w:r>
        <w:rPr>
          <w:rFonts w:ascii="宋体" w:hAnsi="宋体" w:eastAsia="宋体"/>
          <w:b/>
          <w:color w:val="auto"/>
          <w:sz w:val="24"/>
          <w:highlight w:val="none"/>
        </w:rPr>
        <w:t>.廉洁自律规定</w:t>
      </w:r>
    </w:p>
    <w:p w14:paraId="085920B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.1采购代理机构工作人员不得以不正当手段获取政府采购代理业务，不得与采购人、供应商恶意串通。</w:t>
      </w:r>
    </w:p>
    <w:p w14:paraId="63DE5B0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.2采购代理机构工作人员不得接受采购人或者供应商组织的宴请、旅游、娱乐，不得收受礼品、现金、有价证券等，不得向采购人或者供应商报销应当由个人承担的费用。</w:t>
      </w:r>
    </w:p>
    <w:p w14:paraId="69E5B2D9">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29</w:t>
      </w:r>
      <w:r>
        <w:rPr>
          <w:rFonts w:ascii="宋体" w:hAnsi="宋体" w:eastAsia="宋体"/>
          <w:b/>
          <w:color w:val="auto"/>
          <w:sz w:val="24"/>
          <w:highlight w:val="none"/>
        </w:rPr>
        <w:t>.质疑的提出与接收</w:t>
      </w:r>
    </w:p>
    <w:p w14:paraId="50C5BD7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29</w:t>
      </w:r>
      <w:r>
        <w:rPr>
          <w:rFonts w:hint="eastAsia" w:ascii="宋体" w:hAnsi="宋体" w:eastAsia="宋体"/>
          <w:color w:val="auto"/>
          <w:sz w:val="24"/>
          <w:highlight w:val="none"/>
        </w:rPr>
        <w:t>.1供应商认为</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文件、采购过程和成交结果使自己的权益受到损害的，可以在知道或者应知其权益受到损害之日起七个工作日内，以书面形式向采购人或其委托的采购代理机构提出质疑。</w:t>
      </w:r>
    </w:p>
    <w:p w14:paraId="23DA219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29</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2C28ABD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29</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供应商须知前附表</w:t>
      </w:r>
      <w:r>
        <w:rPr>
          <w:rFonts w:hint="eastAsia" w:ascii="宋体" w:hAnsi="宋体" w:eastAsia="宋体"/>
          <w:color w:val="auto"/>
          <w:sz w:val="24"/>
          <w:highlight w:val="none"/>
        </w:rPr>
        <w:t>。</w:t>
      </w:r>
    </w:p>
    <w:p w14:paraId="5D45B80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3CDD99E8">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30</w:t>
      </w:r>
      <w:r>
        <w:rPr>
          <w:rFonts w:ascii="宋体" w:hAnsi="宋体" w:eastAsia="宋体"/>
          <w:b/>
          <w:color w:val="auto"/>
          <w:sz w:val="24"/>
          <w:highlight w:val="none"/>
        </w:rPr>
        <w:t>.需要补充的其他内容</w:t>
      </w:r>
    </w:p>
    <w:p w14:paraId="34F59D4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需要补充的其他内容，见</w:t>
      </w:r>
      <w:r>
        <w:rPr>
          <w:rFonts w:hint="eastAsia" w:ascii="宋体" w:hAnsi="宋体" w:eastAsia="宋体"/>
          <w:color w:val="auto"/>
          <w:sz w:val="24"/>
          <w:highlight w:val="none"/>
          <w:u w:val="single"/>
        </w:rPr>
        <w:t>供应商须知前附表</w:t>
      </w:r>
      <w:r>
        <w:rPr>
          <w:rFonts w:hint="eastAsia" w:ascii="宋体" w:hAnsi="宋体" w:eastAsia="宋体"/>
          <w:color w:val="auto"/>
          <w:sz w:val="24"/>
          <w:highlight w:val="none"/>
        </w:rPr>
        <w:t>。</w:t>
      </w:r>
    </w:p>
    <w:p w14:paraId="6E7AFAC2">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7C5BDC52">
      <w:pPr>
        <w:spacing w:line="360" w:lineRule="auto"/>
        <w:jc w:val="center"/>
        <w:outlineLvl w:val="0"/>
        <w:rPr>
          <w:rFonts w:asciiTheme="minorEastAsia" w:hAnsiTheme="minorEastAsia" w:eastAsiaTheme="minorEastAsia"/>
          <w:b/>
          <w:color w:val="auto"/>
          <w:sz w:val="28"/>
          <w:highlight w:val="none"/>
        </w:rPr>
      </w:pPr>
      <w:bookmarkStart w:id="35" w:name="_Toc20514"/>
      <w:r>
        <w:rPr>
          <w:rFonts w:hint="eastAsia" w:asciiTheme="minorEastAsia" w:hAnsiTheme="minorEastAsia" w:eastAsiaTheme="minorEastAsia"/>
          <w:b/>
          <w:color w:val="auto"/>
          <w:sz w:val="28"/>
          <w:highlight w:val="none"/>
        </w:rPr>
        <w:t>第三章  采购需求</w:t>
      </w:r>
      <w:bookmarkEnd w:id="35"/>
    </w:p>
    <w:p w14:paraId="49CA97B4">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1F0F3252">
      <w:pPr>
        <w:spacing w:line="360" w:lineRule="auto"/>
        <w:ind w:firstLine="435"/>
        <w:rPr>
          <w:rFonts w:hint="eastAsia" w:ascii="宋体" w:hAnsi="宋体" w:eastAsia="宋体" w:cs="宋体"/>
          <w:color w:val="auto"/>
          <w:sz w:val="24"/>
          <w:szCs w:val="24"/>
          <w:highlight w:val="none"/>
        </w:rPr>
      </w:pPr>
      <w:bookmarkStart w:id="36" w:name="_Toc4514"/>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可以进行优化，提供满足采购人实际需要的更优（或者性能实质上不低于的）服务方案，且此方案须经</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评审认可。</w:t>
      </w:r>
    </w:p>
    <w:p w14:paraId="27DD1E06">
      <w:pPr>
        <w:spacing w:line="360" w:lineRule="auto"/>
        <w:ind w:firstLine="437"/>
        <w:outlineLvl w:val="1"/>
        <w:rPr>
          <w:rFonts w:ascii="宋体" w:hAnsi="宋体" w:eastAsia="宋体"/>
          <w:b/>
          <w:color w:val="auto"/>
          <w:sz w:val="24"/>
          <w:szCs w:val="18"/>
          <w:highlight w:val="none"/>
        </w:rPr>
      </w:pPr>
      <w:bookmarkStart w:id="37" w:name="_Toc24918"/>
      <w:bookmarkStart w:id="38" w:name="_Toc24499"/>
      <w:r>
        <w:rPr>
          <w:rFonts w:hint="eastAsia" w:ascii="宋体" w:hAnsi="宋体" w:eastAsia="宋体"/>
          <w:b/>
          <w:color w:val="auto"/>
          <w:sz w:val="24"/>
          <w:szCs w:val="18"/>
          <w:highlight w:val="none"/>
        </w:rPr>
        <w:t>一、采购需求前附表</w:t>
      </w:r>
      <w:bookmarkEnd w:id="36"/>
      <w:bookmarkEnd w:id="37"/>
      <w:bookmarkEnd w:id="38"/>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69EC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644D34AD">
            <w:pPr>
              <w:pStyle w:val="35"/>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5D452580">
            <w:pPr>
              <w:pStyle w:val="34"/>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765B5D3A">
            <w:pPr>
              <w:pStyle w:val="34"/>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5FE1D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27D28D54">
            <w:pPr>
              <w:pStyle w:val="3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3975F945">
            <w:pPr>
              <w:pStyle w:val="34"/>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7EFC235D">
            <w:pPr>
              <w:pStyle w:val="34"/>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培训结束并验收合格后，一次性付清合同价款</w:t>
            </w:r>
            <w:r>
              <w:rPr>
                <w:rFonts w:hint="eastAsia" w:ascii="宋体" w:hAnsi="宋体" w:eastAsia="宋体" w:cs="宋体"/>
                <w:b w:val="0"/>
                <w:bCs w:val="0"/>
                <w:color w:val="auto"/>
                <w:kern w:val="2"/>
                <w:sz w:val="24"/>
                <w:szCs w:val="24"/>
                <w:highlight w:val="none"/>
                <w:lang w:val="en-US" w:eastAsia="zh-CN" w:bidi="ar-SA"/>
              </w:rPr>
              <w:t>。</w:t>
            </w:r>
          </w:p>
        </w:tc>
      </w:tr>
      <w:tr w14:paraId="47F8A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A0C0F32">
            <w:pPr>
              <w:pStyle w:val="3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5288FAC2">
            <w:pPr>
              <w:pStyle w:val="34"/>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服务地点</w:t>
            </w:r>
          </w:p>
        </w:tc>
        <w:tc>
          <w:tcPr>
            <w:tcW w:w="3217" w:type="pct"/>
            <w:vAlign w:val="center"/>
          </w:tcPr>
          <w:p w14:paraId="0D189D7D">
            <w:pPr>
              <w:pStyle w:val="34"/>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采购人指定地点，培训地点为中共滁州市委党校</w:t>
            </w:r>
          </w:p>
        </w:tc>
      </w:tr>
      <w:tr w14:paraId="3FBD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90F65F4">
            <w:pPr>
              <w:pStyle w:val="3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5A76C41D">
            <w:pPr>
              <w:pStyle w:val="34"/>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服务期限</w:t>
            </w:r>
          </w:p>
        </w:tc>
        <w:tc>
          <w:tcPr>
            <w:tcW w:w="3217" w:type="pct"/>
            <w:vAlign w:val="center"/>
          </w:tcPr>
          <w:p w14:paraId="38F4CACC">
            <w:pPr>
              <w:pStyle w:val="3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自合签订之日起至培训结束</w:t>
            </w:r>
          </w:p>
        </w:tc>
      </w:tr>
    </w:tbl>
    <w:p w14:paraId="0824A49D">
      <w:pPr>
        <w:spacing w:line="360" w:lineRule="auto"/>
        <w:ind w:firstLine="482" w:firstLineChars="200"/>
        <w:outlineLvl w:val="1"/>
        <w:rPr>
          <w:rFonts w:ascii="宋体" w:hAnsi="宋体" w:eastAsia="宋体"/>
          <w:b/>
          <w:color w:val="auto"/>
          <w:sz w:val="24"/>
          <w:szCs w:val="18"/>
          <w:highlight w:val="none"/>
        </w:rPr>
      </w:pPr>
      <w:bookmarkStart w:id="39" w:name="_Toc14453"/>
      <w:bookmarkStart w:id="40" w:name="_Toc12926"/>
      <w:bookmarkStart w:id="41" w:name="_Toc9389"/>
      <w:bookmarkStart w:id="42" w:name="_Hlk16461016"/>
      <w:r>
        <w:rPr>
          <w:rFonts w:hint="eastAsia" w:ascii="宋体" w:hAnsi="宋体" w:eastAsia="宋体"/>
          <w:b/>
          <w:color w:val="auto"/>
          <w:sz w:val="24"/>
          <w:szCs w:val="18"/>
          <w:highlight w:val="none"/>
        </w:rPr>
        <w:t>二、项目概况</w:t>
      </w:r>
      <w:bookmarkEnd w:id="39"/>
      <w:bookmarkEnd w:id="40"/>
      <w:bookmarkEnd w:id="41"/>
    </w:p>
    <w:p w14:paraId="708CB23C">
      <w:pPr>
        <w:spacing w:line="360" w:lineRule="auto"/>
        <w:ind w:firstLine="435"/>
        <w:rPr>
          <w:rFonts w:hint="eastAsia" w:ascii="宋体" w:hAnsi="宋体" w:eastAsia="宋体" w:cs="宋体"/>
          <w:color w:val="auto"/>
          <w:sz w:val="24"/>
          <w:szCs w:val="24"/>
          <w:highlight w:val="none"/>
          <w:lang w:val="en-US" w:eastAsia="zh-CN"/>
        </w:rPr>
      </w:pPr>
      <w:bookmarkStart w:id="43" w:name="_Toc7872"/>
      <w:bookmarkStart w:id="44" w:name="_Toc4312"/>
      <w:bookmarkStart w:id="45" w:name="_Toc24967"/>
      <w:r>
        <w:rPr>
          <w:rFonts w:hint="default" w:ascii="宋体" w:hAnsi="宋体" w:eastAsia="宋体" w:cs="宋体"/>
          <w:color w:val="auto"/>
          <w:sz w:val="24"/>
          <w:szCs w:val="24"/>
          <w:highlight w:val="none"/>
          <w:lang w:val="en-US" w:eastAsia="zh-CN"/>
        </w:rPr>
        <w:t>为扎实推进省、市关于创业人员培训工作部署，加强全市创业培训师资队伍建设，不断改善师资队伍结构，提高师资队伍专业化水平，拟举办滁州市网络创业培训（直播版）讲师培训班，助力创业培训讲师丰富专业知识、精进技术能力，推动培训供给与创业需求高效匹配。</w:t>
      </w:r>
    </w:p>
    <w:p w14:paraId="6F2E473B">
      <w:pPr>
        <w:spacing w:line="360" w:lineRule="auto"/>
        <w:ind w:firstLine="482" w:firstLineChars="200"/>
        <w:outlineLvl w:val="1"/>
        <w:rPr>
          <w:rFonts w:hint="eastAsia" w:ascii="宋体" w:hAnsi="宋体" w:eastAsia="宋体"/>
          <w:b/>
          <w:color w:val="auto"/>
          <w:sz w:val="24"/>
          <w:szCs w:val="18"/>
          <w:highlight w:val="none"/>
        </w:rPr>
      </w:pPr>
      <w:r>
        <w:rPr>
          <w:rFonts w:hint="eastAsia" w:ascii="宋体" w:hAnsi="宋体" w:eastAsia="宋体"/>
          <w:b/>
          <w:color w:val="auto"/>
          <w:sz w:val="24"/>
          <w:szCs w:val="18"/>
          <w:highlight w:val="none"/>
        </w:rPr>
        <w:t>三、服务需求</w:t>
      </w:r>
      <w:bookmarkEnd w:id="43"/>
      <w:bookmarkEnd w:id="44"/>
      <w:bookmarkEnd w:id="45"/>
    </w:p>
    <w:p w14:paraId="4A3D3346">
      <w:pPr>
        <w:spacing w:line="360" w:lineRule="auto"/>
        <w:ind w:firstLine="435"/>
        <w:rPr>
          <w:rFonts w:hint="default" w:ascii="宋体" w:hAnsi="宋体" w:eastAsia="宋体" w:cs="宋体"/>
          <w:color w:val="auto"/>
          <w:sz w:val="24"/>
          <w:szCs w:val="24"/>
          <w:highlight w:val="none"/>
          <w:lang w:val="en-US" w:eastAsia="zh-CN"/>
        </w:rPr>
      </w:pPr>
      <w:bookmarkStart w:id="46" w:name="_Toc30537"/>
      <w:bookmarkStart w:id="47" w:name="_Toc15927"/>
      <w:bookmarkStart w:id="48" w:name="_Toc17755"/>
      <w:r>
        <w:rPr>
          <w:rFonts w:hint="default" w:ascii="宋体" w:hAnsi="宋体" w:eastAsia="宋体" w:cs="宋体"/>
          <w:color w:val="auto"/>
          <w:sz w:val="24"/>
          <w:szCs w:val="24"/>
          <w:highlight w:val="none"/>
          <w:lang w:val="en-US" w:eastAsia="zh-CN"/>
        </w:rPr>
        <w:t>（一）培训计划</w:t>
      </w:r>
    </w:p>
    <w:p w14:paraId="7F7ED1A9">
      <w:pPr>
        <w:spacing w:line="360" w:lineRule="auto"/>
        <w:ind w:firstLine="435"/>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根据省就业局工作安排，联系滁州创业讲师培训工作实际，计划</w:t>
      </w:r>
      <w:r>
        <w:rPr>
          <w:rFonts w:hint="eastAsia" w:ascii="宋体" w:hAnsi="宋体" w:eastAsia="宋体" w:cs="宋体"/>
          <w:color w:val="auto"/>
          <w:sz w:val="24"/>
          <w:szCs w:val="24"/>
          <w:highlight w:val="none"/>
          <w:lang w:val="en-US" w:eastAsia="zh-CN"/>
        </w:rPr>
        <w:t>11月</w:t>
      </w:r>
      <w:r>
        <w:rPr>
          <w:rFonts w:hint="default" w:ascii="宋体" w:hAnsi="宋体" w:eastAsia="宋体" w:cs="宋体"/>
          <w:color w:val="auto"/>
          <w:sz w:val="24"/>
          <w:szCs w:val="24"/>
          <w:highlight w:val="none"/>
          <w:lang w:val="en-US" w:eastAsia="zh-CN"/>
        </w:rPr>
        <w:t>开展1期滁州市网络创业培训（直播版）讲师培训班，</w:t>
      </w:r>
      <w:r>
        <w:rPr>
          <w:rFonts w:hint="default" w:ascii="宋体" w:hAnsi="宋体" w:eastAsia="宋体" w:cs="宋体"/>
          <w:color w:val="auto"/>
          <w:sz w:val="24"/>
          <w:szCs w:val="24"/>
          <w:highlight w:val="none"/>
          <w:lang w:val="zh-CN" w:eastAsia="zh-CN"/>
        </w:rPr>
        <w:t>师资培训报名面向全省，师资培训</w:t>
      </w:r>
      <w:r>
        <w:rPr>
          <w:rFonts w:hint="default" w:ascii="宋体" w:hAnsi="宋体" w:eastAsia="宋体" w:cs="宋体"/>
          <w:color w:val="auto"/>
          <w:sz w:val="24"/>
          <w:szCs w:val="24"/>
          <w:highlight w:val="none"/>
          <w:lang w:val="en-US" w:eastAsia="zh-CN"/>
        </w:rPr>
        <w:t>拟开设1期1个</w:t>
      </w:r>
      <w:r>
        <w:rPr>
          <w:rFonts w:hint="default" w:ascii="宋体" w:hAnsi="宋体" w:eastAsia="宋体" w:cs="宋体"/>
          <w:color w:val="auto"/>
          <w:sz w:val="24"/>
          <w:szCs w:val="24"/>
          <w:highlight w:val="none"/>
          <w:lang w:val="zh-CN" w:eastAsia="zh-CN"/>
        </w:rPr>
        <w:t>班，</w:t>
      </w:r>
      <w:r>
        <w:rPr>
          <w:rFonts w:hint="default" w:ascii="宋体" w:hAnsi="宋体" w:eastAsia="宋体" w:cs="宋体"/>
          <w:color w:val="auto"/>
          <w:sz w:val="24"/>
          <w:szCs w:val="24"/>
          <w:highlight w:val="none"/>
          <w:lang w:val="en-US" w:eastAsia="zh-CN"/>
        </w:rPr>
        <w:t>培训人数</w:t>
      </w:r>
      <w:r>
        <w:rPr>
          <w:rFonts w:hint="default" w:ascii="宋体" w:hAnsi="宋体" w:eastAsia="宋体" w:cs="宋体"/>
          <w:color w:val="auto"/>
          <w:sz w:val="24"/>
          <w:szCs w:val="24"/>
          <w:highlight w:val="none"/>
          <w:lang w:val="zh-CN" w:eastAsia="zh-CN"/>
        </w:rPr>
        <w:t>30人，以滁州市现场专家授课和集中网络授课学习为主，培训时长和培训内容按照国家、省级文件规定执行。</w:t>
      </w:r>
      <w:r>
        <w:rPr>
          <w:rFonts w:hint="default" w:ascii="宋体" w:hAnsi="宋体" w:eastAsia="宋体" w:cs="宋体"/>
          <w:color w:val="auto"/>
          <w:sz w:val="24"/>
          <w:szCs w:val="24"/>
          <w:highlight w:val="none"/>
          <w:lang w:val="en-US" w:eastAsia="zh-CN"/>
        </w:rPr>
        <w:t>根据要求</w:t>
      </w:r>
      <w:r>
        <w:rPr>
          <w:rFonts w:hint="default" w:ascii="宋体" w:hAnsi="宋体" w:eastAsia="宋体" w:cs="宋体"/>
          <w:color w:val="auto"/>
          <w:sz w:val="24"/>
          <w:szCs w:val="24"/>
          <w:highlight w:val="none"/>
          <w:lang w:val="zh-CN" w:eastAsia="zh-CN"/>
        </w:rPr>
        <w:t>本地学员数量不超过当期培训总人数的50%，另外50%参训名额平均分配给其他各市，由各市从师资培养对象中择优推荐。</w:t>
      </w:r>
      <w:r>
        <w:rPr>
          <w:rFonts w:hint="eastAsia" w:ascii="宋体" w:hAnsi="宋体" w:eastAsia="宋体" w:cs="宋体"/>
          <w:color w:val="auto"/>
          <w:sz w:val="24"/>
          <w:szCs w:val="24"/>
          <w:highlight w:val="none"/>
          <w:lang w:val="en-US" w:eastAsia="zh-CN"/>
        </w:rPr>
        <w:t>服务商需提供培训动员通知、培训组织实施、培训验收准备等全流程服务。</w:t>
      </w:r>
    </w:p>
    <w:p w14:paraId="0B2A9F88">
      <w:pPr>
        <w:spacing w:line="360" w:lineRule="auto"/>
        <w:ind w:firstLine="435"/>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（二）培训内容</w:t>
      </w:r>
    </w:p>
    <w:p w14:paraId="46509C0C">
      <w:pPr>
        <w:spacing w:line="360" w:lineRule="auto"/>
        <w:ind w:firstLine="435"/>
        <w:rPr>
          <w:rFonts w:hint="default" w:ascii="宋体" w:hAnsi="宋体" w:eastAsia="宋体" w:cs="宋体"/>
          <w:color w:val="auto"/>
          <w:sz w:val="24"/>
          <w:szCs w:val="24"/>
          <w:highlight w:val="none"/>
          <w:lang w:val="zh-CN" w:eastAsia="zh-CN"/>
        </w:rPr>
      </w:pPr>
      <w:r>
        <w:rPr>
          <w:rFonts w:hint="default" w:ascii="宋体" w:hAnsi="宋体" w:eastAsia="宋体" w:cs="宋体"/>
          <w:color w:val="auto"/>
          <w:sz w:val="24"/>
          <w:szCs w:val="24"/>
          <w:highlight w:val="none"/>
          <w:lang w:val="en-US" w:eastAsia="zh-CN"/>
        </w:rPr>
        <w:t>培训工作根据《关于印发〈马兰花创业培训项目组织实施规程〉等技术文件的通知》（中就培函〔2025〕62号）、《关于印发〈安徽省网络创业培训（直播版）技术规程（试行）〉的通知》（皖劳就服〔2026〕5号）开展，</w:t>
      </w:r>
      <w:r>
        <w:rPr>
          <w:rFonts w:hint="default" w:ascii="宋体" w:hAnsi="宋体" w:eastAsia="宋体" w:cs="宋体"/>
          <w:color w:val="auto"/>
          <w:sz w:val="24"/>
          <w:szCs w:val="24"/>
          <w:highlight w:val="none"/>
          <w:lang w:val="zh-CN" w:eastAsia="zh-CN"/>
        </w:rPr>
        <w:t>师资培训管理要求及技术标准按人社部《关于规范创业培训机构认定等有关工作的通知》（人社厅函〔2009〕331号）执行。</w:t>
      </w:r>
    </w:p>
    <w:p w14:paraId="3717EC0F">
      <w:pPr>
        <w:spacing w:line="360" w:lineRule="auto"/>
        <w:ind w:firstLine="435"/>
        <w:rPr>
          <w:rFonts w:hint="eastAsia" w:ascii="宋体" w:hAnsi="宋体" w:eastAsia="宋体"/>
          <w:b/>
          <w:color w:val="auto"/>
          <w:sz w:val="24"/>
          <w:szCs w:val="18"/>
          <w:highlight w:val="none"/>
        </w:rPr>
      </w:pPr>
      <w:r>
        <w:rPr>
          <w:rFonts w:hint="eastAsia" w:ascii="宋体" w:hAnsi="宋体" w:eastAsia="宋体"/>
          <w:b/>
          <w:color w:val="auto"/>
          <w:sz w:val="24"/>
          <w:szCs w:val="18"/>
          <w:highlight w:val="none"/>
        </w:rPr>
        <w:t>四、报价要求</w:t>
      </w:r>
      <w:bookmarkEnd w:id="46"/>
      <w:bookmarkEnd w:id="47"/>
      <w:bookmarkEnd w:id="48"/>
    </w:p>
    <w:p w14:paraId="6537719F">
      <w:pPr>
        <w:spacing w:line="360" w:lineRule="auto"/>
        <w:ind w:firstLine="480" w:firstLineChars="200"/>
        <w:jc w:val="both"/>
        <w:outlineLv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本项目磋商按总价报价，服务费用采用包干制。投标报价中包括师资课酬、交通费、资料费、餐饮费、服务费等培训正常开展所需经费。</w:t>
      </w:r>
      <w:bookmarkEnd w:id="42"/>
      <w:bookmarkStart w:id="49" w:name="_Toc14289"/>
    </w:p>
    <w:p w14:paraId="5183C76E">
      <w:pPr>
        <w:spacing w:line="360" w:lineRule="auto"/>
        <w:ind w:firstLine="482" w:firstLineChars="200"/>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五、验收要求</w:t>
      </w:r>
    </w:p>
    <w:p w14:paraId="3AE8742C">
      <w:pPr>
        <w:spacing w:line="360" w:lineRule="auto"/>
        <w:ind w:firstLine="480" w:firstLineChars="200"/>
        <w:jc w:val="both"/>
        <w:outlineLvl w:val="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default" w:ascii="宋体" w:hAnsi="宋体" w:eastAsia="宋体" w:cs="宋体"/>
          <w:color w:val="auto"/>
          <w:sz w:val="24"/>
          <w:szCs w:val="24"/>
          <w:highlight w:val="none"/>
          <w:lang w:val="en-US" w:eastAsia="zh-CN"/>
        </w:rPr>
        <w:t>供应商已按照合同规定提供全部技术资料和服务成果（完整的培训档案、不少于50张活动照片、3分钟左右活动</w:t>
      </w:r>
      <w:r>
        <w:rPr>
          <w:rFonts w:hint="eastAsia" w:ascii="宋体" w:hAnsi="宋体" w:eastAsia="宋体" w:cs="宋体"/>
          <w:color w:val="auto"/>
          <w:sz w:val="24"/>
          <w:szCs w:val="24"/>
          <w:highlight w:val="none"/>
          <w:lang w:val="en-US" w:eastAsia="zh-CN"/>
        </w:rPr>
        <w:t>剪辑</w:t>
      </w:r>
      <w:r>
        <w:rPr>
          <w:rFonts w:hint="default" w:ascii="宋体" w:hAnsi="宋体" w:eastAsia="宋体" w:cs="宋体"/>
          <w:color w:val="auto"/>
          <w:sz w:val="24"/>
          <w:szCs w:val="24"/>
          <w:highlight w:val="none"/>
          <w:lang w:val="en-US" w:eastAsia="zh-CN"/>
        </w:rPr>
        <w:t>视频、培训总结报告等）</w:t>
      </w:r>
      <w:r>
        <w:rPr>
          <w:rFonts w:hint="eastAsia" w:ascii="宋体" w:hAnsi="宋体" w:eastAsia="宋体" w:cs="宋体"/>
          <w:color w:val="auto"/>
          <w:sz w:val="24"/>
          <w:szCs w:val="24"/>
          <w:highlight w:val="none"/>
          <w:lang w:val="en-US" w:eastAsia="zh-CN"/>
        </w:rPr>
        <w:t>。</w:t>
      </w:r>
    </w:p>
    <w:p w14:paraId="1875E87D">
      <w:pPr>
        <w:spacing w:line="360" w:lineRule="auto"/>
        <w:ind w:firstLine="480" w:firstLineChars="200"/>
        <w:jc w:val="both"/>
        <w:outlineLvl w:val="0"/>
      </w:pPr>
      <w:r>
        <w:rPr>
          <w:rFonts w:hint="eastAsia" w:ascii="宋体" w:hAnsi="宋体" w:eastAsia="宋体" w:cs="宋体"/>
          <w:color w:val="auto"/>
          <w:sz w:val="24"/>
          <w:szCs w:val="24"/>
          <w:highlight w:val="none"/>
          <w:lang w:val="en-US" w:eastAsia="zh-CN"/>
        </w:rPr>
        <w:t>2.</w:t>
      </w:r>
      <w:r>
        <w:rPr>
          <w:rFonts w:hint="default" w:ascii="宋体" w:hAnsi="宋体" w:eastAsia="宋体" w:cs="宋体"/>
          <w:color w:val="auto"/>
          <w:sz w:val="24"/>
          <w:szCs w:val="24"/>
          <w:highlight w:val="none"/>
          <w:lang w:val="en-US" w:eastAsia="zh-CN"/>
        </w:rPr>
        <w:t>服务项目符合采购需求及招标文件要求；采购单位对服务内容无异议。</w:t>
      </w:r>
    </w:p>
    <w:p w14:paraId="65472F01">
      <w:pPr>
        <w:spacing w:line="360" w:lineRule="auto"/>
        <w:ind w:firstLine="480" w:firstLineChars="200"/>
        <w:jc w:val="both"/>
        <w:outlineLvl w:val="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3.其他验收材料以“（二）培训内容”中所列的文件要求为准。</w:t>
      </w:r>
    </w:p>
    <w:p w14:paraId="5CF5BEE7">
      <w:pPr>
        <w:numPr>
          <w:ilvl w:val="0"/>
          <w:numId w:val="1"/>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p>
    <w:p w14:paraId="5F137B9B">
      <w:pPr>
        <w:spacing w:line="360" w:lineRule="auto"/>
        <w:jc w:val="center"/>
        <w:outlineLvl w:val="0"/>
        <w:rPr>
          <w:rFonts w:asciiTheme="minorEastAsia" w:hAnsiTheme="minorEastAsia" w:eastAsiaTheme="minorEastAsia"/>
          <w:color w:val="auto"/>
          <w:sz w:val="24"/>
          <w:highlight w:val="none"/>
        </w:rPr>
      </w:pPr>
      <w:r>
        <w:rPr>
          <w:rFonts w:hint="eastAsia" w:asciiTheme="minorEastAsia" w:hAnsiTheme="minorEastAsia" w:eastAsiaTheme="minorEastAsia"/>
          <w:b/>
          <w:color w:val="auto"/>
          <w:sz w:val="28"/>
          <w:highlight w:val="none"/>
        </w:rPr>
        <w:t>第四章  评审方法和标准</w:t>
      </w:r>
      <w:bookmarkEnd w:id="49"/>
    </w:p>
    <w:p w14:paraId="21BCE158">
      <w:pPr>
        <w:spacing w:line="360" w:lineRule="auto"/>
        <w:ind w:firstLine="437"/>
        <w:outlineLvl w:val="1"/>
        <w:rPr>
          <w:rFonts w:asciiTheme="minorEastAsia" w:hAnsiTheme="minorEastAsia" w:eastAsiaTheme="minorEastAsia"/>
          <w:b/>
          <w:color w:val="auto"/>
          <w:sz w:val="24"/>
          <w:highlight w:val="none"/>
        </w:rPr>
      </w:pPr>
      <w:bookmarkStart w:id="50" w:name="_Toc138"/>
      <w:bookmarkStart w:id="51" w:name="_Toc20577"/>
      <w:bookmarkStart w:id="52" w:name="_Toc16905"/>
      <w:r>
        <w:rPr>
          <w:rFonts w:hint="eastAsia" w:asciiTheme="minorEastAsia" w:hAnsiTheme="minorEastAsia" w:eastAsiaTheme="minorEastAsia"/>
          <w:b/>
          <w:color w:val="auto"/>
          <w:sz w:val="24"/>
          <w:highlight w:val="none"/>
        </w:rPr>
        <w:t>一、总则</w:t>
      </w:r>
      <w:bookmarkEnd w:id="50"/>
      <w:bookmarkEnd w:id="51"/>
      <w:bookmarkEnd w:id="52"/>
    </w:p>
    <w:p w14:paraId="2F32649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文件第二章 供应商须知的相关要求</w:t>
      </w:r>
      <w:r>
        <w:rPr>
          <w:rFonts w:asciiTheme="minorEastAsia" w:hAnsiTheme="minorEastAsia" w:eastAsiaTheme="minorEastAsia"/>
          <w:color w:val="auto"/>
          <w:sz w:val="24"/>
          <w:highlight w:val="none"/>
        </w:rPr>
        <w:t>及本章的规定</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w:t>
      </w:r>
    </w:p>
    <w:p w14:paraId="2F466801">
      <w:pPr>
        <w:spacing w:line="360" w:lineRule="auto"/>
        <w:ind w:firstLine="437"/>
        <w:outlineLvl w:val="1"/>
        <w:rPr>
          <w:rFonts w:asciiTheme="minorEastAsia" w:hAnsiTheme="minorEastAsia" w:eastAsiaTheme="minorEastAsia"/>
          <w:b/>
          <w:color w:val="auto"/>
          <w:sz w:val="24"/>
          <w:highlight w:val="none"/>
        </w:rPr>
      </w:pPr>
      <w:bookmarkStart w:id="53" w:name="_Toc14705"/>
      <w:bookmarkStart w:id="54" w:name="_Toc28634"/>
      <w:bookmarkStart w:id="55" w:name="_Toc8097"/>
      <w:r>
        <w:rPr>
          <w:rFonts w:hint="eastAsia" w:asciiTheme="minorEastAsia" w:hAnsiTheme="minorEastAsia" w:eastAsiaTheme="minorEastAsia"/>
          <w:b/>
          <w:color w:val="auto"/>
          <w:sz w:val="24"/>
          <w:highlight w:val="none"/>
        </w:rPr>
        <w:t>二、评审方法</w:t>
      </w:r>
      <w:bookmarkEnd w:id="53"/>
      <w:bookmarkEnd w:id="54"/>
      <w:bookmarkEnd w:id="55"/>
    </w:p>
    <w:p w14:paraId="3B808F81">
      <w:pPr>
        <w:spacing w:line="360" w:lineRule="auto"/>
        <w:ind w:firstLine="435"/>
        <w:rPr>
          <w:rFonts w:hint="eastAsia" w:asciiTheme="minorEastAsia" w:hAnsiTheme="minorEastAsia" w:eastAsiaTheme="minorEastAsia"/>
          <w:b w:val="0"/>
          <w:bCs w:val="0"/>
          <w:color w:val="auto"/>
          <w:sz w:val="24"/>
          <w:highlight w:val="none"/>
        </w:rPr>
      </w:pPr>
      <w:r>
        <w:rPr>
          <w:rFonts w:hint="eastAsia" w:asciiTheme="minorEastAsia" w:hAnsiTheme="minorEastAsia" w:eastAsiaTheme="minorEastAsia"/>
          <w:b w:val="0"/>
          <w:bCs w:val="0"/>
          <w:color w:val="auto"/>
          <w:sz w:val="24"/>
          <w:highlight w:val="none"/>
        </w:rPr>
        <w:t>2.1初审</w:t>
      </w:r>
    </w:p>
    <w:p w14:paraId="3623E2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小组对供应商的响应文件进行初审，以确定其是否满足</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文件的实质性要求。初审表如下：</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553"/>
        <w:gridCol w:w="4413"/>
        <w:gridCol w:w="1856"/>
      </w:tblGrid>
      <w:tr w14:paraId="362E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651100D0">
            <w:pPr>
              <w:adjustRightInd w:val="0"/>
              <w:snapToGrid w:val="0"/>
              <w:spacing w:line="360" w:lineRule="auto"/>
              <w:ind w:right="-10"/>
              <w:jc w:val="center"/>
              <w:rPr>
                <w:rFonts w:ascii="宋体" w:hAnsi="宋体" w:eastAsia="宋体"/>
                <w:color w:val="auto"/>
                <w:sz w:val="24"/>
                <w:highlight w:val="none"/>
              </w:rPr>
            </w:pPr>
            <w:bookmarkStart w:id="56" w:name="_Hlk60612144"/>
            <w:r>
              <w:rPr>
                <w:rFonts w:hint="eastAsia" w:ascii="宋体" w:hAnsi="宋体" w:eastAsia="宋体"/>
                <w:b/>
                <w:color w:val="auto"/>
                <w:sz w:val="24"/>
                <w:szCs w:val="22"/>
                <w:highlight w:val="none"/>
              </w:rPr>
              <w:t>初审表</w:t>
            </w:r>
          </w:p>
        </w:tc>
      </w:tr>
      <w:tr w14:paraId="743E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14:paraId="3EA2C5D4">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911" w:type="pct"/>
            <w:tcBorders>
              <w:bottom w:val="single" w:color="auto" w:sz="4" w:space="0"/>
            </w:tcBorders>
            <w:vAlign w:val="center"/>
          </w:tcPr>
          <w:p w14:paraId="111381E0">
            <w:pPr>
              <w:pStyle w:val="35"/>
              <w:pBdr>
                <w:bottom w:val="none" w:color="auto" w:sz="0" w:space="0"/>
              </w:pBdr>
              <w:tabs>
                <w:tab w:val="clear" w:pos="4153"/>
                <w:tab w:val="clear" w:pos="8306"/>
              </w:tabs>
              <w:snapToGrid w:val="0"/>
              <w:spacing w:line="360" w:lineRule="auto"/>
              <w:ind w:right="-10"/>
              <w:textAlignment w:val="auto"/>
              <w:rPr>
                <w:rFonts w:ascii="宋体" w:hAnsi="宋体" w:eastAsia="宋体"/>
                <w:color w:val="auto"/>
                <w:kern w:val="2"/>
                <w:szCs w:val="24"/>
                <w:highlight w:val="none"/>
              </w:rPr>
            </w:pPr>
            <w:r>
              <w:rPr>
                <w:rFonts w:hint="eastAsia" w:ascii="宋体" w:hAnsi="宋体" w:eastAsia="宋体"/>
                <w:color w:val="auto"/>
                <w:kern w:val="2"/>
                <w:szCs w:val="24"/>
                <w:highlight w:val="none"/>
                <w:lang w:val="en-US" w:eastAsia="zh-CN"/>
              </w:rPr>
              <w:t>审查</w:t>
            </w:r>
            <w:r>
              <w:rPr>
                <w:rFonts w:hint="eastAsia" w:ascii="宋体" w:hAnsi="宋体" w:eastAsia="宋体"/>
                <w:color w:val="auto"/>
                <w:kern w:val="2"/>
                <w:szCs w:val="24"/>
                <w:highlight w:val="none"/>
              </w:rPr>
              <w:t>指标</w:t>
            </w:r>
          </w:p>
        </w:tc>
        <w:tc>
          <w:tcPr>
            <w:tcW w:w="2589" w:type="pct"/>
            <w:tcBorders>
              <w:bottom w:val="single" w:color="auto" w:sz="4" w:space="0"/>
            </w:tcBorders>
            <w:vAlign w:val="center"/>
          </w:tcPr>
          <w:p w14:paraId="73141059">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lang w:val="en-US" w:eastAsia="zh-CN"/>
              </w:rPr>
              <w:t>审查</w:t>
            </w:r>
            <w:r>
              <w:rPr>
                <w:rFonts w:hint="eastAsia" w:ascii="宋体" w:hAnsi="宋体" w:eastAsia="宋体"/>
                <w:color w:val="auto"/>
                <w:sz w:val="24"/>
                <w:highlight w:val="none"/>
              </w:rPr>
              <w:t>标准</w:t>
            </w:r>
          </w:p>
        </w:tc>
        <w:tc>
          <w:tcPr>
            <w:tcW w:w="1087" w:type="pct"/>
            <w:tcBorders>
              <w:bottom w:val="single" w:color="auto" w:sz="4" w:space="0"/>
            </w:tcBorders>
            <w:vAlign w:val="center"/>
          </w:tcPr>
          <w:p w14:paraId="1FF6F72C">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6EC8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11" w:type="pct"/>
            <w:tcBorders>
              <w:bottom w:val="single" w:color="auto" w:sz="4" w:space="0"/>
            </w:tcBorders>
            <w:vAlign w:val="center"/>
          </w:tcPr>
          <w:p w14:paraId="413177F6">
            <w:pPr>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11" w:type="pct"/>
            <w:tcBorders>
              <w:bottom w:val="single" w:color="auto" w:sz="4" w:space="0"/>
            </w:tcBorders>
            <w:vAlign w:val="center"/>
          </w:tcPr>
          <w:p w14:paraId="446B7DAF">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spacing w:val="9"/>
                <w:sz w:val="24"/>
                <w:szCs w:val="24"/>
                <w:highlight w:val="none"/>
              </w:rPr>
              <w:t>营业执照等证明</w:t>
            </w:r>
            <w:r>
              <w:rPr>
                <w:rFonts w:ascii="宋体" w:hAnsi="宋体" w:eastAsia="宋体" w:cs="宋体"/>
                <w:spacing w:val="-3"/>
                <w:sz w:val="24"/>
                <w:szCs w:val="24"/>
                <w:highlight w:val="none"/>
              </w:rPr>
              <w:t>文件</w:t>
            </w:r>
          </w:p>
        </w:tc>
        <w:tc>
          <w:tcPr>
            <w:tcW w:w="2589" w:type="pct"/>
            <w:tcBorders>
              <w:bottom w:val="single" w:color="auto" w:sz="4" w:space="0"/>
            </w:tcBorders>
            <w:vAlign w:val="center"/>
          </w:tcPr>
          <w:p w14:paraId="15945AB9">
            <w:pPr>
              <w:spacing w:after="50" w:line="360" w:lineRule="auto"/>
              <w:ind w:right="-10" w:rightChars="0"/>
              <w:jc w:val="left"/>
              <w:rPr>
                <w:rFonts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供应商</w:t>
            </w:r>
            <w:r>
              <w:rPr>
                <w:rFonts w:ascii="宋体" w:hAnsi="宋体" w:eastAsia="宋体" w:cs="宋体"/>
                <w:sz w:val="24"/>
                <w:szCs w:val="24"/>
                <w:highlight w:val="none"/>
              </w:rPr>
              <w:t>为企业（包括合伙企业）的，应</w:t>
            </w: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供有效的营业执照；</w:t>
            </w:r>
          </w:p>
          <w:p w14:paraId="771C9E68">
            <w:pPr>
              <w:spacing w:after="50" w:line="360" w:lineRule="auto"/>
              <w:ind w:right="-10" w:rightChars="0"/>
              <w:jc w:val="left"/>
              <w:rPr>
                <w:rFonts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供应商</w:t>
            </w:r>
            <w:r>
              <w:rPr>
                <w:rFonts w:ascii="宋体" w:hAnsi="宋体" w:eastAsia="宋体" w:cs="宋体"/>
                <w:sz w:val="24"/>
                <w:szCs w:val="24"/>
                <w:highlight w:val="none"/>
              </w:rPr>
              <w:t>为事业单位的，应</w:t>
            </w: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供有效的事业单位法人证书；</w:t>
            </w:r>
          </w:p>
          <w:p w14:paraId="67A31F97">
            <w:pPr>
              <w:spacing w:after="50" w:line="360" w:lineRule="auto"/>
              <w:ind w:right="-10" w:rightChars="0"/>
              <w:jc w:val="left"/>
              <w:rPr>
                <w:rFonts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供应商</w:t>
            </w:r>
            <w:r>
              <w:rPr>
                <w:rFonts w:ascii="宋体" w:hAnsi="宋体" w:eastAsia="宋体" w:cs="宋体"/>
                <w:sz w:val="24"/>
                <w:szCs w:val="24"/>
                <w:highlight w:val="none"/>
              </w:rPr>
              <w:t>是非企业机构的，应</w:t>
            </w: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供有效的执业许可证</w:t>
            </w:r>
            <w:r>
              <w:rPr>
                <w:rFonts w:hint="eastAsia" w:ascii="宋体" w:hAnsi="宋体" w:eastAsia="宋体" w:cs="宋体"/>
                <w:sz w:val="24"/>
                <w:szCs w:val="24"/>
                <w:highlight w:val="none"/>
                <w:lang w:val="en-US" w:eastAsia="zh-CN"/>
              </w:rPr>
              <w:t>或</w:t>
            </w:r>
            <w:r>
              <w:rPr>
                <w:rFonts w:ascii="宋体" w:hAnsi="宋体" w:eastAsia="宋体" w:cs="宋体"/>
                <w:sz w:val="24"/>
                <w:szCs w:val="24"/>
                <w:highlight w:val="none"/>
              </w:rPr>
              <w:t>登记证书等证明文件；</w:t>
            </w:r>
          </w:p>
          <w:p w14:paraId="0337A5CB">
            <w:pPr>
              <w:spacing w:after="50" w:line="360" w:lineRule="auto"/>
              <w:ind w:right="-10" w:rightChars="0"/>
              <w:jc w:val="left"/>
              <w:rPr>
                <w:rFonts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供应商</w:t>
            </w:r>
            <w:r>
              <w:rPr>
                <w:rFonts w:ascii="宋体" w:hAnsi="宋体" w:eastAsia="宋体" w:cs="宋体"/>
                <w:sz w:val="24"/>
                <w:szCs w:val="24"/>
                <w:highlight w:val="none"/>
              </w:rPr>
              <w:t>是个体工商户的，应</w:t>
            </w: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供有效的个体工商户营业执照；</w:t>
            </w:r>
          </w:p>
          <w:p w14:paraId="5AC46555">
            <w:pPr>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供应商</w:t>
            </w:r>
            <w:r>
              <w:rPr>
                <w:rFonts w:ascii="宋体" w:hAnsi="宋体" w:eastAsia="宋体" w:cs="宋体"/>
                <w:sz w:val="24"/>
                <w:szCs w:val="24"/>
                <w:highlight w:val="none"/>
              </w:rPr>
              <w:t>是自然人的，应</w:t>
            </w: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供有效的自然人身份证明</w:t>
            </w:r>
            <w:r>
              <w:rPr>
                <w:rFonts w:hint="eastAsia" w:ascii="宋体" w:hAnsi="宋体" w:eastAsia="宋体" w:cs="宋体"/>
                <w:sz w:val="24"/>
                <w:szCs w:val="24"/>
                <w:highlight w:val="none"/>
                <w:lang w:eastAsia="zh-CN"/>
              </w:rPr>
              <w:t>；</w:t>
            </w:r>
          </w:p>
        </w:tc>
        <w:tc>
          <w:tcPr>
            <w:tcW w:w="1087" w:type="pct"/>
            <w:vAlign w:val="center"/>
          </w:tcPr>
          <w:p w14:paraId="1095C13F">
            <w:pPr>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w:t>
            </w:r>
            <w:r>
              <w:rPr>
                <w:rFonts w:hint="eastAsia" w:ascii="宋体" w:hAnsi="宋体" w:eastAsia="宋体"/>
                <w:color w:val="auto"/>
                <w:sz w:val="24"/>
                <w:highlight w:val="none"/>
              </w:rPr>
              <w:t>参加</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lang w:val="en-US" w:eastAsia="zh-CN"/>
              </w:rPr>
              <w:t>的</w:t>
            </w:r>
            <w:r>
              <w:rPr>
                <w:rFonts w:hint="eastAsia" w:ascii="宋体" w:hAnsi="宋体" w:eastAsia="宋体" w:cs="宋体"/>
                <w:b w:val="0"/>
                <w:bCs w:val="0"/>
                <w:color w:val="auto"/>
                <w:sz w:val="24"/>
                <w:szCs w:val="24"/>
                <w:highlight w:val="none"/>
              </w:rPr>
              <w:t>联合体各方均须提供。</w:t>
            </w:r>
          </w:p>
        </w:tc>
      </w:tr>
      <w:tr w14:paraId="2658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14:paraId="3750F68D">
            <w:pPr>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11" w:type="pct"/>
            <w:tcBorders>
              <w:bottom w:val="single" w:color="auto" w:sz="4" w:space="0"/>
            </w:tcBorders>
            <w:vAlign w:val="center"/>
          </w:tcPr>
          <w:p w14:paraId="3D8B32E2">
            <w:pPr>
              <w:spacing w:after="50" w:line="360" w:lineRule="auto"/>
              <w:ind w:right="-10" w:rightChars="0"/>
              <w:jc w:val="center"/>
              <w:rPr>
                <w:rFonts w:hint="default" w:ascii="宋体" w:hAnsi="宋体" w:eastAsia="宋体" w:cs="@仿宋_GB2312"/>
                <w:color w:val="auto"/>
                <w:kern w:val="2"/>
                <w:sz w:val="24"/>
                <w:szCs w:val="28"/>
                <w:highlight w:val="none"/>
                <w:lang w:val="en-US" w:eastAsia="zh-CN" w:bidi="ar-SA"/>
              </w:rPr>
            </w:pPr>
            <w:r>
              <w:rPr>
                <w:rFonts w:hint="eastAsia" w:ascii="宋体" w:hAnsi="宋体" w:eastAsia="宋体"/>
                <w:color w:val="auto"/>
                <w:sz w:val="24"/>
                <w:szCs w:val="18"/>
                <w:highlight w:val="none"/>
                <w:lang w:val="en-US" w:eastAsia="zh-CN"/>
              </w:rPr>
              <w:t>供应商资格声明书</w:t>
            </w:r>
          </w:p>
        </w:tc>
        <w:tc>
          <w:tcPr>
            <w:tcW w:w="2589" w:type="pct"/>
            <w:tcBorders>
              <w:bottom w:val="single" w:color="auto" w:sz="4" w:space="0"/>
            </w:tcBorders>
            <w:vAlign w:val="center"/>
          </w:tcPr>
          <w:p w14:paraId="5B772F61">
            <w:pPr>
              <w:spacing w:after="50" w:line="360" w:lineRule="auto"/>
              <w:ind w:right="-10" w:rightChars="0"/>
              <w:jc w:val="left"/>
              <w:rPr>
                <w:rFonts w:hint="eastAsia" w:ascii="宋体" w:hAnsi="宋体" w:eastAsia="宋体" w:cs="@仿宋_GB2312"/>
                <w:color w:val="auto"/>
                <w:kern w:val="2"/>
                <w:sz w:val="24"/>
                <w:szCs w:val="28"/>
                <w:highlight w:val="none"/>
                <w:lang w:val="en-US" w:eastAsia="zh-CN" w:bidi="ar-SA"/>
              </w:rPr>
            </w:pP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供符合</w:t>
            </w:r>
            <w:r>
              <w:rPr>
                <w:rFonts w:hint="eastAsia" w:ascii="宋体" w:hAnsi="宋体" w:eastAsia="宋体" w:cs="宋体"/>
                <w:sz w:val="24"/>
                <w:szCs w:val="24"/>
                <w:highlight w:val="none"/>
                <w:lang w:val="en-US" w:eastAsia="zh-CN"/>
              </w:rPr>
              <w:t>磋商</w:t>
            </w:r>
            <w:r>
              <w:rPr>
                <w:rFonts w:ascii="宋体" w:hAnsi="宋体" w:eastAsia="宋体" w:cs="宋体"/>
                <w:sz w:val="24"/>
                <w:szCs w:val="24"/>
                <w:highlight w:val="none"/>
              </w:rPr>
              <w:t>文件要求的《</w:t>
            </w:r>
            <w:r>
              <w:rPr>
                <w:rFonts w:hint="eastAsia" w:ascii="宋体" w:hAnsi="宋体" w:eastAsia="宋体" w:cs="宋体"/>
                <w:sz w:val="24"/>
                <w:szCs w:val="24"/>
                <w:highlight w:val="none"/>
                <w:lang w:val="en-US" w:eastAsia="zh-CN"/>
              </w:rPr>
              <w:t>供应商</w:t>
            </w:r>
            <w:r>
              <w:rPr>
                <w:rFonts w:ascii="宋体" w:hAnsi="宋体" w:eastAsia="宋体" w:cs="宋体"/>
                <w:sz w:val="24"/>
                <w:szCs w:val="24"/>
                <w:highlight w:val="none"/>
              </w:rPr>
              <w:t>资格声明书》</w:t>
            </w:r>
            <w:r>
              <w:rPr>
                <w:rFonts w:hint="eastAsia" w:ascii="宋体" w:hAnsi="宋体" w:eastAsia="宋体" w:cs="宋体"/>
                <w:sz w:val="24"/>
                <w:szCs w:val="24"/>
                <w:highlight w:val="none"/>
                <w:lang w:eastAsia="zh-CN"/>
              </w:rPr>
              <w:t>。</w:t>
            </w:r>
          </w:p>
        </w:tc>
        <w:tc>
          <w:tcPr>
            <w:tcW w:w="1087" w:type="pct"/>
            <w:tcBorders>
              <w:bottom w:val="single" w:color="auto" w:sz="4" w:space="0"/>
            </w:tcBorders>
            <w:vAlign w:val="center"/>
          </w:tcPr>
          <w:p w14:paraId="0E30A0DB">
            <w:pPr>
              <w:spacing w:line="360" w:lineRule="auto"/>
              <w:jc w:val="left"/>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6DF7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14:paraId="21E4F7AD">
            <w:pPr>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3</w:t>
            </w:r>
          </w:p>
        </w:tc>
        <w:tc>
          <w:tcPr>
            <w:tcW w:w="911" w:type="pct"/>
            <w:tcBorders>
              <w:bottom w:val="single" w:color="auto" w:sz="4" w:space="0"/>
            </w:tcBorders>
            <w:vAlign w:val="center"/>
          </w:tcPr>
          <w:p w14:paraId="6AE2D664">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w:t>
            </w:r>
          </w:p>
        </w:tc>
        <w:tc>
          <w:tcPr>
            <w:tcW w:w="2589" w:type="pct"/>
            <w:tcBorders>
              <w:bottom w:val="single" w:color="auto" w:sz="4" w:space="0"/>
            </w:tcBorders>
            <w:vAlign w:val="center"/>
          </w:tcPr>
          <w:p w14:paraId="7F34DC4B">
            <w:pPr>
              <w:spacing w:after="50" w:line="360" w:lineRule="auto"/>
              <w:ind w:right="-10" w:rightChars="0"/>
              <w:jc w:val="left"/>
              <w:rPr>
                <w:rFonts w:ascii="@仿宋_GB2312" w:hAnsi="@仿宋_GB2312" w:eastAsia="@仿宋_GB2312" w:cs="@仿宋_GB2312"/>
                <w:kern w:val="2"/>
                <w:sz w:val="21"/>
                <w:highlight w:val="none"/>
                <w:lang w:val="en-US" w:eastAsia="zh-CN" w:bidi="ar-SA"/>
              </w:rPr>
            </w:pP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val="zh-CN" w:eastAsia="zh-CN"/>
              </w:rPr>
              <w:t>不得存在</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val="zh-CN" w:eastAsia="zh-CN"/>
              </w:rPr>
              <w:t>须知正文第</w:t>
            </w:r>
            <w:r>
              <w:rPr>
                <w:rFonts w:hint="eastAsia" w:ascii="宋体" w:hAnsi="宋体" w:eastAsia="宋体" w:cs="宋体"/>
                <w:sz w:val="24"/>
                <w:szCs w:val="24"/>
                <w:highlight w:val="none"/>
                <w:lang w:val="en-US" w:eastAsia="zh-CN"/>
              </w:rPr>
              <w:t>14.3.1条中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87" w:type="pct"/>
            <w:tcBorders>
              <w:bottom w:val="single" w:color="auto" w:sz="4" w:space="0"/>
            </w:tcBorders>
            <w:vAlign w:val="center"/>
          </w:tcPr>
          <w:p w14:paraId="4F8B6CD9">
            <w:pPr>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s="宋体"/>
                <w:sz w:val="24"/>
                <w:szCs w:val="24"/>
                <w:highlight w:val="none"/>
              </w:rPr>
              <w:t>无须</w:t>
            </w:r>
            <w:r>
              <w:rPr>
                <w:rFonts w:hint="eastAsia" w:ascii="宋体" w:hAnsi="宋体" w:eastAsia="宋体" w:cs="宋体"/>
                <w:sz w:val="24"/>
                <w:szCs w:val="24"/>
                <w:highlight w:val="none"/>
                <w:lang w:val="en-US" w:eastAsia="zh-CN"/>
              </w:rPr>
              <w:t>供应商提</w:t>
            </w:r>
            <w:r>
              <w:rPr>
                <w:rFonts w:hint="eastAsia" w:ascii="宋体" w:hAnsi="宋体" w:eastAsia="宋体" w:cs="宋体"/>
                <w:sz w:val="24"/>
                <w:szCs w:val="24"/>
                <w:highlight w:val="none"/>
              </w:rPr>
              <w:t>供，由采购人或采购代理机构查询。</w:t>
            </w:r>
          </w:p>
        </w:tc>
      </w:tr>
      <w:tr w14:paraId="6E3E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14:paraId="745AFC1B">
            <w:pPr>
              <w:adjustRightInd w:val="0"/>
              <w:snapToGrid w:val="0"/>
              <w:spacing w:line="360" w:lineRule="auto"/>
              <w:ind w:right="-10" w:rightChars="0"/>
              <w:jc w:val="center"/>
              <w:rPr>
                <w:rFonts w:hint="eastAsia" w:cs="@仿宋_GB2312" w:asciiTheme="majorEastAsia" w:hAnsiTheme="majorEastAsia" w:eastAsiaTheme="maj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4</w:t>
            </w:r>
          </w:p>
        </w:tc>
        <w:tc>
          <w:tcPr>
            <w:tcW w:w="911" w:type="pct"/>
            <w:vAlign w:val="center"/>
          </w:tcPr>
          <w:p w14:paraId="1DB5FC48">
            <w:pPr>
              <w:spacing w:after="50" w:line="360" w:lineRule="auto"/>
              <w:ind w:right="-10" w:rightChars="0"/>
              <w:jc w:val="both"/>
              <w:rPr>
                <w:rFonts w:ascii="宋体" w:hAnsi="宋体" w:eastAsia="宋体" w:cs="宋体"/>
                <w:spacing w:val="10"/>
                <w:kern w:val="2"/>
                <w:sz w:val="24"/>
                <w:szCs w:val="24"/>
                <w:highlight w:val="none"/>
                <w:lang w:val="en-US" w:eastAsia="zh-CN" w:bidi="ar-SA"/>
              </w:rPr>
            </w:pPr>
            <w:r>
              <w:rPr>
                <w:rFonts w:hint="eastAsia" w:ascii="宋体" w:hAnsi="宋体" w:eastAsia="宋体" w:cs="宋体"/>
                <w:spacing w:val="10"/>
                <w:sz w:val="24"/>
                <w:szCs w:val="24"/>
                <w:highlight w:val="none"/>
                <w:lang w:eastAsia="zh-CN"/>
              </w:rPr>
              <w:t>本项目的</w:t>
            </w:r>
            <w:r>
              <w:rPr>
                <w:rFonts w:ascii="宋体" w:hAnsi="宋体" w:eastAsia="宋体" w:cs="宋体"/>
                <w:spacing w:val="10"/>
                <w:sz w:val="24"/>
                <w:szCs w:val="24"/>
                <w:highlight w:val="none"/>
              </w:rPr>
              <w:t>特定资格要求</w:t>
            </w:r>
          </w:p>
        </w:tc>
        <w:tc>
          <w:tcPr>
            <w:tcW w:w="2589" w:type="pct"/>
            <w:vAlign w:val="center"/>
          </w:tcPr>
          <w:p w14:paraId="29FC88A2">
            <w:pPr>
              <w:spacing w:after="50" w:line="360" w:lineRule="auto"/>
              <w:ind w:right="-10" w:rightChars="0"/>
              <w:jc w:val="both"/>
              <w:rPr>
                <w:rFonts w:ascii="宋体" w:hAnsi="宋体" w:eastAsia="宋体" w:cs="宋体"/>
                <w:spacing w:val="10"/>
                <w:kern w:val="2"/>
                <w:sz w:val="24"/>
                <w:szCs w:val="24"/>
                <w:highlight w:val="none"/>
                <w:lang w:val="en-US" w:eastAsia="zh-CN" w:bidi="ar-SA"/>
              </w:rPr>
            </w:pPr>
            <w:r>
              <w:rPr>
                <w:rFonts w:ascii="宋体" w:hAnsi="宋体" w:eastAsia="宋体" w:cs="宋体"/>
                <w:spacing w:val="10"/>
                <w:sz w:val="24"/>
                <w:szCs w:val="24"/>
                <w:highlight w:val="none"/>
              </w:rPr>
              <w:t>如有，见第一章《</w:t>
            </w:r>
            <w:r>
              <w:rPr>
                <w:rFonts w:hint="eastAsia" w:ascii="宋体" w:hAnsi="宋体" w:eastAsia="宋体" w:cs="宋体"/>
                <w:spacing w:val="10"/>
                <w:sz w:val="24"/>
                <w:szCs w:val="24"/>
                <w:highlight w:val="none"/>
                <w:lang w:val="en-US" w:eastAsia="zh-CN"/>
              </w:rPr>
              <w:t>磋商</w:t>
            </w:r>
            <w:r>
              <w:rPr>
                <w:rFonts w:ascii="宋体" w:hAnsi="宋体" w:eastAsia="宋体" w:cs="宋体"/>
                <w:spacing w:val="10"/>
                <w:sz w:val="24"/>
                <w:szCs w:val="24"/>
                <w:highlight w:val="none"/>
              </w:rPr>
              <w:t>邀请》</w:t>
            </w:r>
          </w:p>
        </w:tc>
        <w:tc>
          <w:tcPr>
            <w:tcW w:w="1087" w:type="pct"/>
            <w:vAlign w:val="center"/>
          </w:tcPr>
          <w:p w14:paraId="361D1D0C">
            <w:pPr>
              <w:spacing w:after="50" w:line="360" w:lineRule="auto"/>
              <w:ind w:right="-10" w:rightChars="0"/>
              <w:jc w:val="both"/>
              <w:rPr>
                <w:rFonts w:ascii="宋体" w:hAnsi="宋体" w:eastAsia="宋体" w:cs="宋体"/>
                <w:spacing w:val="10"/>
                <w:kern w:val="2"/>
                <w:sz w:val="24"/>
                <w:szCs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734C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14:paraId="753B9804">
            <w:pPr>
              <w:adjustRightInd w:val="0"/>
              <w:snapToGrid w:val="0"/>
              <w:spacing w:line="360" w:lineRule="auto"/>
              <w:ind w:right="-10" w:rightChars="0"/>
              <w:jc w:val="center"/>
              <w:rPr>
                <w:rFonts w:hint="eastAsia" w:cs="@仿宋_GB2312" w:asciiTheme="majorEastAsia" w:hAnsiTheme="majorEastAsia" w:eastAsiaTheme="maj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5</w:t>
            </w:r>
          </w:p>
        </w:tc>
        <w:tc>
          <w:tcPr>
            <w:tcW w:w="911" w:type="pct"/>
            <w:vAlign w:val="center"/>
          </w:tcPr>
          <w:p w14:paraId="663D8E95">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lang w:val="en-US" w:eastAsia="zh-CN"/>
              </w:rPr>
              <w:t>磋商响应</w:t>
            </w:r>
            <w:r>
              <w:rPr>
                <w:rFonts w:hint="eastAsia" w:asciiTheme="minorEastAsia" w:hAnsiTheme="minorEastAsia" w:eastAsiaTheme="minorEastAsia"/>
                <w:color w:val="auto"/>
                <w:sz w:val="24"/>
                <w:szCs w:val="28"/>
                <w:highlight w:val="none"/>
              </w:rPr>
              <w:t>函</w:t>
            </w:r>
          </w:p>
        </w:tc>
        <w:tc>
          <w:tcPr>
            <w:tcW w:w="2589" w:type="pct"/>
            <w:vAlign w:val="center"/>
          </w:tcPr>
          <w:p w14:paraId="1DC65FA1">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磋商</w:t>
            </w:r>
            <w:r>
              <w:rPr>
                <w:rFonts w:hint="eastAsia" w:asciiTheme="minorEastAsia" w:hAnsiTheme="minorEastAsia" w:eastAsiaTheme="minorEastAsia"/>
                <w:color w:val="auto"/>
                <w:sz w:val="24"/>
                <w:szCs w:val="28"/>
                <w:highlight w:val="none"/>
              </w:rPr>
              <w:t>文件规定并加盖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87" w:type="pct"/>
            <w:vAlign w:val="center"/>
          </w:tcPr>
          <w:p w14:paraId="2B3C95C5">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3089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14:paraId="1A8B9894">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6</w:t>
            </w:r>
          </w:p>
        </w:tc>
        <w:tc>
          <w:tcPr>
            <w:tcW w:w="911" w:type="pct"/>
            <w:vAlign w:val="center"/>
          </w:tcPr>
          <w:p w14:paraId="1CBB17BA">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授权书</w:t>
            </w:r>
          </w:p>
        </w:tc>
        <w:tc>
          <w:tcPr>
            <w:tcW w:w="2589" w:type="pct"/>
            <w:vAlign w:val="center"/>
          </w:tcPr>
          <w:p w14:paraId="58D30324">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磋商</w:t>
            </w:r>
            <w:r>
              <w:rPr>
                <w:rFonts w:hint="eastAsia" w:asciiTheme="minorEastAsia" w:hAnsiTheme="minorEastAsia" w:eastAsiaTheme="minorEastAsia"/>
                <w:color w:val="auto"/>
                <w:sz w:val="24"/>
                <w:szCs w:val="28"/>
                <w:highlight w:val="none"/>
              </w:rPr>
              <w:t>文件规定并加盖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87" w:type="pct"/>
            <w:vAlign w:val="center"/>
          </w:tcPr>
          <w:p w14:paraId="657C7EBC">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color w:val="auto"/>
                <w:sz w:val="24"/>
                <w:highlight w:val="none"/>
              </w:rPr>
              <w:t>法定代表人参加</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的无需此件，提供身份证明即可。</w:t>
            </w: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00382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14:paraId="48B0EAD2">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7</w:t>
            </w:r>
          </w:p>
        </w:tc>
        <w:tc>
          <w:tcPr>
            <w:tcW w:w="911" w:type="pct"/>
            <w:vAlign w:val="center"/>
          </w:tcPr>
          <w:p w14:paraId="2A5F36FC">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lang w:val="en-US" w:eastAsia="zh-CN"/>
              </w:rPr>
              <w:t>磋商</w:t>
            </w:r>
            <w:r>
              <w:rPr>
                <w:rFonts w:hint="eastAsia" w:asciiTheme="minorEastAsia" w:hAnsiTheme="minorEastAsia" w:eastAsiaTheme="minorEastAsia"/>
                <w:color w:val="auto"/>
                <w:sz w:val="24"/>
                <w:szCs w:val="28"/>
                <w:highlight w:val="none"/>
              </w:rPr>
              <w:t>报价</w:t>
            </w:r>
          </w:p>
        </w:tc>
        <w:tc>
          <w:tcPr>
            <w:tcW w:w="2589" w:type="pct"/>
            <w:vAlign w:val="center"/>
          </w:tcPr>
          <w:p w14:paraId="5C0AC34E">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087" w:type="pct"/>
            <w:vAlign w:val="center"/>
          </w:tcPr>
          <w:p w14:paraId="530B5B5A">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5309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14:paraId="277D0F0F">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8</w:t>
            </w:r>
          </w:p>
        </w:tc>
        <w:tc>
          <w:tcPr>
            <w:tcW w:w="911" w:type="pct"/>
            <w:vAlign w:val="center"/>
          </w:tcPr>
          <w:p w14:paraId="32D232B1">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商务响应情况</w:t>
            </w:r>
          </w:p>
        </w:tc>
        <w:tc>
          <w:tcPr>
            <w:tcW w:w="2589" w:type="pct"/>
            <w:vAlign w:val="center"/>
          </w:tcPr>
          <w:p w14:paraId="036784D9">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szCs w:val="28"/>
                <w:highlight w:val="none"/>
              </w:rPr>
              <w:t>文件采购需求中对付款方式、</w:t>
            </w:r>
            <w:r>
              <w:rPr>
                <w:rFonts w:hint="eastAsia" w:asciiTheme="minorEastAsia" w:hAnsiTheme="minorEastAsia" w:eastAsiaTheme="minorEastAsia"/>
                <w:color w:val="auto"/>
                <w:sz w:val="24"/>
                <w:szCs w:val="28"/>
                <w:highlight w:val="none"/>
                <w:lang w:val="en-US" w:eastAsia="zh-CN"/>
              </w:rPr>
              <w:t>服务地点</w:t>
            </w:r>
            <w:r>
              <w:rPr>
                <w:rFonts w:hint="eastAsia" w:asciiTheme="minorEastAsia" w:hAnsiTheme="minorEastAsia" w:eastAsiaTheme="minorEastAsia"/>
                <w:color w:val="auto"/>
                <w:sz w:val="24"/>
                <w:szCs w:val="28"/>
                <w:highlight w:val="none"/>
              </w:rPr>
              <w:t>、</w:t>
            </w:r>
            <w:r>
              <w:rPr>
                <w:rFonts w:hint="eastAsia" w:asciiTheme="minorEastAsia" w:hAnsiTheme="minorEastAsia" w:eastAsiaTheme="minorEastAsia"/>
                <w:color w:val="auto"/>
                <w:sz w:val="24"/>
                <w:szCs w:val="28"/>
                <w:highlight w:val="none"/>
                <w:lang w:val="en-US" w:eastAsia="zh-CN"/>
              </w:rPr>
              <w:t>服务期限等实质性</w:t>
            </w:r>
            <w:r>
              <w:rPr>
                <w:rFonts w:hint="eastAsia" w:asciiTheme="minorEastAsia" w:hAnsiTheme="minorEastAsia" w:eastAsiaTheme="minorEastAsia"/>
                <w:color w:val="auto"/>
                <w:sz w:val="24"/>
                <w:szCs w:val="28"/>
                <w:highlight w:val="none"/>
              </w:rPr>
              <w:t>要求</w:t>
            </w:r>
          </w:p>
        </w:tc>
        <w:tc>
          <w:tcPr>
            <w:tcW w:w="1087" w:type="pct"/>
            <w:vAlign w:val="center"/>
          </w:tcPr>
          <w:p w14:paraId="1176C802">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199D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14:paraId="702E8E6B">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9</w:t>
            </w:r>
          </w:p>
        </w:tc>
        <w:tc>
          <w:tcPr>
            <w:tcW w:w="911" w:type="pct"/>
            <w:vAlign w:val="center"/>
          </w:tcPr>
          <w:p w14:paraId="55944838">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其他要求</w:t>
            </w:r>
          </w:p>
        </w:tc>
        <w:tc>
          <w:tcPr>
            <w:tcW w:w="2589" w:type="pct"/>
            <w:vAlign w:val="center"/>
          </w:tcPr>
          <w:p w14:paraId="74BEF8A7">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val="en-US" w:eastAsia="zh-CN"/>
              </w:rPr>
              <w:t>磋商</w:t>
            </w:r>
            <w:r>
              <w:rPr>
                <w:rFonts w:hint="eastAsia" w:asciiTheme="minorEastAsia" w:hAnsiTheme="minorEastAsia" w:eastAsiaTheme="minorEastAsia"/>
                <w:color w:val="auto"/>
                <w:sz w:val="24"/>
                <w:szCs w:val="28"/>
                <w:highlight w:val="none"/>
              </w:rPr>
              <w:t>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087" w:type="pct"/>
            <w:vAlign w:val="center"/>
          </w:tcPr>
          <w:p w14:paraId="0DAEBFD4">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p>
        </w:tc>
      </w:tr>
      <w:bookmarkEnd w:id="56"/>
    </w:tbl>
    <w:p w14:paraId="3C938A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初审指标通过标准：</w:t>
      </w:r>
      <w:r>
        <w:rPr>
          <w:rFonts w:hint="eastAsia" w:asciiTheme="minorEastAsia" w:hAnsiTheme="minorEastAsia" w:eastAsiaTheme="minorEastAsia"/>
          <w:color w:val="auto"/>
          <w:sz w:val="24"/>
          <w:highlight w:val="none"/>
        </w:rPr>
        <w:t>供应商必须通过初审表中的全部评审指标。</w:t>
      </w:r>
    </w:p>
    <w:p w14:paraId="32A459D7">
      <w:pPr>
        <w:spacing w:line="360" w:lineRule="auto"/>
        <w:ind w:firstLine="435"/>
        <w:outlineLvl w:val="2"/>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2.2</w:t>
      </w:r>
      <w:r>
        <w:rPr>
          <w:rFonts w:hint="eastAsia" w:asciiTheme="minorEastAsia" w:hAnsiTheme="minorEastAsia" w:eastAsiaTheme="minorEastAsia"/>
          <w:sz w:val="24"/>
          <w:highlight w:val="none"/>
        </w:rPr>
        <w:t>异常低价</w:t>
      </w:r>
      <w:r>
        <w:rPr>
          <w:rFonts w:hint="eastAsia" w:asciiTheme="minorEastAsia" w:hAnsiTheme="minorEastAsia" w:eastAsiaTheme="minorEastAsia"/>
          <w:sz w:val="24"/>
          <w:highlight w:val="none"/>
          <w:lang w:val="en-US" w:eastAsia="zh-CN"/>
        </w:rPr>
        <w:t>响应</w:t>
      </w:r>
      <w:r>
        <w:rPr>
          <w:rFonts w:hint="eastAsia" w:asciiTheme="minorEastAsia" w:hAnsiTheme="minorEastAsia" w:eastAsiaTheme="minorEastAsia"/>
          <w:sz w:val="24"/>
          <w:highlight w:val="none"/>
        </w:rPr>
        <w:t>审查</w:t>
      </w:r>
    </w:p>
    <w:tbl>
      <w:tblPr>
        <w:tblStyle w:val="26"/>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adjustRightInd w:val="0"/>
              <w:snapToGrid w:val="0"/>
              <w:spacing w:line="360" w:lineRule="auto"/>
              <w:ind w:right="-10" w:rightChars="0"/>
              <w:jc w:val="center"/>
              <w:rPr>
                <w:rFonts w:ascii="宋体" w:hAnsi="宋体" w:eastAsia="宋体"/>
                <w:sz w:val="24"/>
                <w:highlight w:val="none"/>
              </w:rPr>
            </w:pPr>
            <w:r>
              <w:rPr>
                <w:rFonts w:hint="eastAsia" w:ascii="宋体" w:hAnsi="宋体" w:eastAsia="宋体" w:cs="Times New Roman"/>
                <w:b/>
                <w:bCs/>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序号</w:t>
            </w:r>
          </w:p>
        </w:tc>
        <w:tc>
          <w:tcPr>
            <w:tcW w:w="1450" w:type="dxa"/>
            <w:tcBorders>
              <w:bottom w:val="single" w:color="auto" w:sz="4" w:space="0"/>
            </w:tcBorders>
            <w:vAlign w:val="center"/>
          </w:tcPr>
          <w:p w14:paraId="242D7536">
            <w:pPr>
              <w:spacing w:line="360" w:lineRule="auto"/>
              <w:ind w:firstLine="240" w:firstLineChars="100"/>
              <w:jc w:val="center"/>
              <w:rPr>
                <w:rFonts w:ascii="宋体" w:hAnsi="宋体" w:eastAsia="宋体"/>
                <w:kern w:val="2"/>
                <w:szCs w:val="24"/>
                <w:highlight w:val="none"/>
              </w:rPr>
            </w:pPr>
            <w:r>
              <w:rPr>
                <w:rFonts w:hint="eastAsia" w:ascii="宋体" w:hAnsi="宋体" w:eastAsia="宋体" w:cs="Times New Roman"/>
                <w:sz w:val="24"/>
                <w:highlight w:val="none"/>
                <w:lang w:val="en-US" w:eastAsia="zh-CN"/>
              </w:rPr>
              <w:t>评审指标</w:t>
            </w:r>
          </w:p>
        </w:tc>
        <w:tc>
          <w:tcPr>
            <w:tcW w:w="4439" w:type="dxa"/>
            <w:tcBorders>
              <w:bottom w:val="single" w:color="auto" w:sz="4" w:space="0"/>
            </w:tcBorders>
            <w:vAlign w:val="center"/>
          </w:tcPr>
          <w:p w14:paraId="63EC8315">
            <w:pP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805" w:type="dxa"/>
            <w:tcBorders>
              <w:bottom w:val="single" w:color="auto" w:sz="4" w:space="0"/>
            </w:tcBorders>
            <w:vAlign w:val="center"/>
          </w:tcPr>
          <w:p w14:paraId="53262601">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p>
        </w:tc>
        <w:tc>
          <w:tcPr>
            <w:tcW w:w="1450" w:type="dxa"/>
            <w:tcBorders>
              <w:bottom w:val="single" w:color="auto" w:sz="4" w:space="0"/>
            </w:tcBorders>
            <w:vAlign w:val="center"/>
          </w:tcPr>
          <w:p w14:paraId="4828CEF5">
            <w:pPr>
              <w:spacing w:line="360" w:lineRule="auto"/>
              <w:rPr>
                <w:rFonts w:hint="eastAsia" w:ascii="宋体" w:hAnsi="宋体" w:eastAsia="宋体" w:cs="宋体"/>
                <w:sz w:val="24"/>
                <w:szCs w:val="28"/>
                <w:highlight w:val="none"/>
              </w:rPr>
            </w:pPr>
            <w:r>
              <w:rPr>
                <w:rFonts w:hint="eastAsia" w:ascii="宋体" w:hAnsi="宋体" w:eastAsia="宋体" w:cs="宋体"/>
                <w:sz w:val="24"/>
                <w:highlight w:val="none"/>
                <w:lang w:val="en-US" w:eastAsia="zh-CN"/>
              </w:rPr>
              <w:t>异常低价响应审查</w:t>
            </w:r>
          </w:p>
        </w:tc>
        <w:tc>
          <w:tcPr>
            <w:tcW w:w="4439" w:type="dxa"/>
            <w:tcBorders>
              <w:bottom w:val="single" w:color="auto" w:sz="4" w:space="0"/>
            </w:tcBorders>
            <w:vAlign w:val="center"/>
          </w:tcPr>
          <w:p w14:paraId="14855D12">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12D6E1A2">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auto"/>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595C90C5">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auto"/>
                <w:sz w:val="24"/>
                <w:szCs w:val="24"/>
                <w:highlight w:val="none"/>
                <w:u w:val="single"/>
                <w:lang w:val="en-US" w:eastAsia="zh-CN"/>
              </w:rPr>
              <w:t>45%</w:t>
            </w:r>
            <w:r>
              <w:rPr>
                <w:rFonts w:hint="eastAsia" w:ascii="宋体" w:hAnsi="宋体" w:eastAsia="宋体" w:cs="宋体"/>
                <w:b w:val="0"/>
                <w:bCs w:val="0"/>
                <w:i w:val="0"/>
                <w:iCs w:val="0"/>
                <w:color w:val="auto"/>
                <w:sz w:val="24"/>
                <w:szCs w:val="24"/>
                <w:highlight w:val="none"/>
                <w:u w:val="none"/>
                <w:lang w:val="en-US" w:eastAsia="zh-CN"/>
              </w:rPr>
              <w:t>；</w:t>
            </w:r>
          </w:p>
          <w:p w14:paraId="6545F9B4">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（4）磋商小组基于专业判断</w:t>
            </w:r>
            <w:r>
              <w:rPr>
                <w:rFonts w:hint="eastAsia" w:ascii="宋体" w:hAnsi="宋体" w:eastAsia="宋体" w:cs="宋体"/>
                <w:b w:val="0"/>
                <w:bCs w:val="0"/>
                <w:i w:val="0"/>
                <w:iCs w:val="0"/>
                <w:sz w:val="24"/>
                <w:szCs w:val="24"/>
                <w:highlight w:val="none"/>
                <w:u w:val="none"/>
                <w:lang w:val="en-US" w:eastAsia="zh-CN"/>
              </w:rPr>
              <w:t>，认为供应商报价过低，有可能影响产品质量或者不能诚信履约的其他情形。</w:t>
            </w:r>
          </w:p>
          <w:p w14:paraId="14FCFEF9">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提醒：</w:t>
            </w:r>
          </w:p>
          <w:p w14:paraId="0BE4D07D">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73304083">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（2）上述第（1）项至第（2）项中的供应商响应报价为最后承诺报价。</w:t>
            </w:r>
          </w:p>
        </w:tc>
        <w:tc>
          <w:tcPr>
            <w:tcW w:w="2260" w:type="dxa"/>
            <w:vAlign w:val="center"/>
          </w:tcPr>
          <w:p w14:paraId="4F4E35CC">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sz w:val="24"/>
          <w:highlight w:val="none"/>
          <w:lang w:val="en-US" w:eastAsia="zh-CN"/>
        </w:rPr>
      </w:pPr>
      <w:r>
        <w:rPr>
          <w:rFonts w:hint="eastAsia" w:ascii="宋体" w:hAnsi="宋体" w:eastAsia="宋体" w:cs="Times New Roman"/>
          <w:sz w:val="24"/>
          <w:highlight w:val="none"/>
          <w:lang w:val="en-US" w:eastAsia="zh-CN"/>
        </w:rPr>
        <w:t>注：</w:t>
      </w:r>
    </w:p>
    <w:p w14:paraId="57170614">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lang w:val="en-US" w:eastAsia="zh-CN"/>
        </w:rPr>
      </w:pPr>
      <w:r>
        <w:rPr>
          <w:rFonts w:hint="eastAsia" w:ascii="宋体" w:hAnsi="宋体" w:eastAsia="宋体"/>
          <w:sz w:val="24"/>
          <w:highlight w:val="none"/>
        </w:rPr>
        <w:t>根据《关于推进解决政府采购异常低价问题的通知》（财库〔2026〕2号），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磋商</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0B411230">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highlight w:val="none"/>
        </w:rPr>
      </w:pPr>
      <w:r>
        <w:rPr>
          <w:rFonts w:hint="eastAsia" w:ascii="宋体" w:hAnsi="宋体" w:eastAsia="宋体"/>
          <w:sz w:val="24"/>
          <w:highlight w:val="none"/>
          <w:lang w:val="en-US" w:eastAsia="zh-CN"/>
        </w:rPr>
        <w:t>磋商</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磋商</w:t>
      </w:r>
      <w:r>
        <w:rPr>
          <w:rFonts w:hint="eastAsia" w:ascii="宋体" w:hAnsi="宋体" w:eastAsia="宋体"/>
          <w:sz w:val="24"/>
          <w:highlight w:val="none"/>
        </w:rPr>
        <w:t xml:space="preserve">小组应当将其作为无效响应处理。 </w:t>
      </w:r>
    </w:p>
    <w:p w14:paraId="03E83FE5">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color w:val="auto"/>
          <w:sz w:val="24"/>
          <w:highlight w:val="none"/>
        </w:rPr>
      </w:pPr>
      <w:r>
        <w:rPr>
          <w:rFonts w:hint="eastAsia" w:ascii="宋体" w:hAnsi="宋体" w:eastAsia="宋体" w:cs="Arial"/>
          <w:kern w:val="2"/>
          <w:sz w:val="24"/>
          <w:highlight w:val="none"/>
          <w:lang w:val="en-US" w:eastAsia="zh-CN" w:bidi="ar-SA"/>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r>
        <w:rPr>
          <w:rFonts w:hint="eastAsia" w:asciiTheme="minorEastAsia" w:hAnsiTheme="minorEastAsia" w:eastAsiaTheme="minorEastAsia"/>
          <w:color w:val="auto"/>
          <w:sz w:val="24"/>
          <w:highlight w:val="none"/>
        </w:rPr>
        <w:t>。</w:t>
      </w:r>
    </w:p>
    <w:p w14:paraId="32C934FB">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综合评分</w:t>
      </w:r>
    </w:p>
    <w:p w14:paraId="72ACC5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磋商小组按照下表对</w:t>
      </w:r>
      <w:r>
        <w:rPr>
          <w:rFonts w:hint="eastAsia" w:ascii="宋体" w:hAnsi="宋体" w:eastAsia="宋体"/>
          <w:color w:val="auto"/>
          <w:sz w:val="24"/>
          <w:highlight w:val="none"/>
        </w:rPr>
        <w:t>进入综合评分的所有供应商的</w:t>
      </w:r>
      <w:r>
        <w:rPr>
          <w:rFonts w:hint="eastAsia" w:asciiTheme="minorEastAsia" w:hAnsiTheme="minorEastAsia" w:eastAsiaTheme="minorEastAsia"/>
          <w:color w:val="auto"/>
          <w:sz w:val="24"/>
          <w:highlight w:val="none"/>
        </w:rPr>
        <w:t>响应文件进行综合评分。</w:t>
      </w:r>
    </w:p>
    <w:p w14:paraId="0C15846E">
      <w:pPr>
        <w:spacing w:line="360" w:lineRule="auto"/>
        <w:ind w:firstLine="435"/>
        <w:rPr>
          <w:color w:val="auto"/>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w:t>
      </w:r>
      <w:r>
        <w:rPr>
          <w:rFonts w:hint="eastAsia" w:asciiTheme="minorEastAsia" w:hAnsiTheme="minorEastAsia" w:eastAsiaTheme="minorEastAsia"/>
          <w:color w:val="auto"/>
          <w:sz w:val="24"/>
          <w:highlight w:val="none"/>
          <w:u w:val="single"/>
          <w:lang w:val="en-US" w:eastAsia="zh-CN"/>
        </w:rPr>
        <w:t>89</w:t>
      </w:r>
      <w:r>
        <w:rPr>
          <w:rFonts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u w:val="single"/>
          <w:lang w:val="en-US" w:eastAsia="zh-CN"/>
        </w:rPr>
        <w:t>11</w:t>
      </w:r>
      <w:r>
        <w:rPr>
          <w:rFonts w:asciiTheme="minorEastAsia" w:hAnsiTheme="minorEastAsia" w:eastAsiaTheme="minorEastAsia"/>
          <w:color w:val="auto"/>
          <w:sz w:val="24"/>
          <w:highlight w:val="none"/>
        </w:rPr>
        <w:t>%。具体评分细则如下：</w:t>
      </w:r>
    </w:p>
    <w:tbl>
      <w:tblPr>
        <w:tblStyle w:val="26"/>
        <w:tblW w:w="55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1"/>
        <w:gridCol w:w="1270"/>
        <w:gridCol w:w="5861"/>
        <w:gridCol w:w="1186"/>
      </w:tblGrid>
      <w:tr w14:paraId="0A07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03" w:type="pct"/>
            <w:tcBorders>
              <w:top w:val="single" w:color="auto" w:sz="4" w:space="0"/>
              <w:left w:val="single" w:color="auto" w:sz="4" w:space="0"/>
              <w:bottom w:val="single" w:color="auto" w:sz="4" w:space="0"/>
              <w:right w:val="single" w:color="auto" w:sz="4" w:space="0"/>
            </w:tcBorders>
            <w:vAlign w:val="center"/>
          </w:tcPr>
          <w:p w14:paraId="58BEA5D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类别</w:t>
            </w:r>
          </w:p>
        </w:tc>
        <w:tc>
          <w:tcPr>
            <w:tcW w:w="671" w:type="pct"/>
            <w:tcBorders>
              <w:top w:val="single" w:color="auto" w:sz="4" w:space="0"/>
              <w:left w:val="single" w:color="auto" w:sz="4" w:space="0"/>
              <w:bottom w:val="single" w:color="auto" w:sz="4" w:space="0"/>
              <w:right w:val="single" w:color="auto" w:sz="4" w:space="0"/>
            </w:tcBorders>
            <w:vAlign w:val="center"/>
          </w:tcPr>
          <w:p w14:paraId="5E953DB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评分内容</w:t>
            </w:r>
          </w:p>
        </w:tc>
        <w:tc>
          <w:tcPr>
            <w:tcW w:w="3098" w:type="pct"/>
            <w:tcBorders>
              <w:top w:val="single" w:color="auto" w:sz="4" w:space="0"/>
              <w:left w:val="single" w:color="auto" w:sz="4" w:space="0"/>
              <w:bottom w:val="single" w:color="auto" w:sz="4" w:space="0"/>
              <w:right w:val="single" w:color="auto" w:sz="4" w:space="0"/>
            </w:tcBorders>
            <w:vAlign w:val="center"/>
          </w:tcPr>
          <w:p w14:paraId="2F09672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评分标准</w:t>
            </w:r>
          </w:p>
        </w:tc>
        <w:tc>
          <w:tcPr>
            <w:tcW w:w="626" w:type="pct"/>
            <w:tcBorders>
              <w:top w:val="single" w:color="auto" w:sz="4" w:space="0"/>
              <w:left w:val="single" w:color="auto" w:sz="4" w:space="0"/>
              <w:bottom w:val="single" w:color="auto" w:sz="4" w:space="0"/>
              <w:right w:val="single" w:color="auto" w:sz="4" w:space="0"/>
            </w:tcBorders>
            <w:vAlign w:val="center"/>
          </w:tcPr>
          <w:p w14:paraId="23695DC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分值范围</w:t>
            </w:r>
          </w:p>
        </w:tc>
      </w:tr>
      <w:tr w14:paraId="01A79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restart"/>
            <w:tcBorders>
              <w:top w:val="single" w:color="auto" w:sz="4" w:space="0"/>
              <w:left w:val="single" w:color="auto" w:sz="4" w:space="0"/>
              <w:right w:val="single" w:color="auto" w:sz="4" w:space="0"/>
            </w:tcBorders>
            <w:vAlign w:val="center"/>
          </w:tcPr>
          <w:p w14:paraId="248965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技术资信分</w:t>
            </w:r>
          </w:p>
          <w:p w14:paraId="0AE8F6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lang w:val="en-US" w:eastAsia="zh-CN"/>
              </w:rPr>
              <w:t>89</w:t>
            </w:r>
            <w:r>
              <w:rPr>
                <w:rFonts w:hint="eastAsia" w:asciiTheme="minorEastAsia" w:hAnsiTheme="minorEastAsia" w:eastAsiaTheme="minorEastAsia" w:cstheme="minorEastAsia"/>
                <w:color w:val="auto"/>
                <w:sz w:val="24"/>
                <w:szCs w:val="24"/>
                <w:highlight w:val="none"/>
              </w:rPr>
              <w:t>分）</w:t>
            </w:r>
          </w:p>
        </w:tc>
        <w:tc>
          <w:tcPr>
            <w:tcW w:w="671" w:type="pct"/>
            <w:tcBorders>
              <w:top w:val="single" w:color="auto" w:sz="4" w:space="0"/>
              <w:left w:val="single" w:color="auto" w:sz="4" w:space="0"/>
              <w:bottom w:val="single" w:color="auto" w:sz="4" w:space="0"/>
              <w:right w:val="single" w:color="auto" w:sz="4" w:space="0"/>
            </w:tcBorders>
            <w:vAlign w:val="center"/>
          </w:tcPr>
          <w:p w14:paraId="35FB8D5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供应商业绩</w:t>
            </w:r>
          </w:p>
        </w:tc>
        <w:tc>
          <w:tcPr>
            <w:tcW w:w="3098" w:type="pct"/>
            <w:tcBorders>
              <w:top w:val="single" w:color="auto" w:sz="4" w:space="0"/>
              <w:left w:val="single" w:color="auto" w:sz="4" w:space="0"/>
              <w:bottom w:val="single" w:color="auto" w:sz="4" w:space="0"/>
              <w:right w:val="single" w:color="auto" w:sz="4" w:space="0"/>
            </w:tcBorders>
            <w:vAlign w:val="center"/>
          </w:tcPr>
          <w:p w14:paraId="312154D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供应商</w:t>
            </w:r>
            <w:r>
              <w:rPr>
                <w:rFonts w:hint="eastAsia" w:asciiTheme="minorEastAsia" w:hAnsiTheme="minorEastAsia" w:eastAsiaTheme="minorEastAsia" w:cstheme="minorEastAsia"/>
                <w:color w:val="auto"/>
                <w:kern w:val="0"/>
                <w:sz w:val="24"/>
                <w:szCs w:val="24"/>
                <w:highlight w:val="none"/>
              </w:rPr>
              <w:t>202</w:t>
            </w:r>
            <w:r>
              <w:rPr>
                <w:rFonts w:hint="eastAsia" w:asciiTheme="minorEastAsia" w:hAnsiTheme="minorEastAsia" w:eastAsiaTheme="minorEastAsia" w:cstheme="minorEastAsia"/>
                <w:color w:val="auto"/>
                <w:kern w:val="0"/>
                <w:sz w:val="24"/>
                <w:szCs w:val="24"/>
                <w:highlight w:val="none"/>
                <w:lang w:val="en-US" w:eastAsia="zh-CN"/>
              </w:rPr>
              <w:t>3</w:t>
            </w:r>
            <w:r>
              <w:rPr>
                <w:rFonts w:hint="eastAsia" w:asciiTheme="minorEastAsia" w:hAnsiTheme="minorEastAsia" w:eastAsiaTheme="minorEastAsia" w:cstheme="minorEastAsia"/>
                <w:color w:val="auto"/>
                <w:kern w:val="0"/>
                <w:sz w:val="24"/>
                <w:szCs w:val="24"/>
                <w:highlight w:val="none"/>
              </w:rPr>
              <w:t>年1月1日以来，</w:t>
            </w:r>
            <w:r>
              <w:rPr>
                <w:rFonts w:hint="eastAsia" w:asciiTheme="minorEastAsia" w:hAnsiTheme="minorEastAsia" w:eastAsiaTheme="minorEastAsia" w:cstheme="minorEastAsia"/>
                <w:color w:val="auto"/>
                <w:kern w:val="0"/>
                <w:sz w:val="24"/>
                <w:szCs w:val="24"/>
                <w:highlight w:val="none"/>
                <w:lang w:val="en-US" w:eastAsia="zh-CN"/>
              </w:rPr>
              <w:t>每提供一个创业讲师培训班业绩的</w:t>
            </w:r>
            <w:r>
              <w:rPr>
                <w:rFonts w:hint="eastAsia" w:asciiTheme="minorEastAsia" w:hAnsiTheme="minorEastAsia" w:eastAsiaTheme="minorEastAsia" w:cstheme="minorEastAsia"/>
                <w:color w:val="auto"/>
                <w:kern w:val="0"/>
                <w:sz w:val="24"/>
                <w:szCs w:val="24"/>
                <w:highlight w:val="none"/>
              </w:rPr>
              <w:t>得</w:t>
            </w: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kern w:val="0"/>
                <w:sz w:val="24"/>
                <w:szCs w:val="24"/>
                <w:highlight w:val="none"/>
              </w:rPr>
              <w:t>分</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满分</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w:t>
            </w:r>
            <w:r>
              <w:rPr>
                <w:rFonts w:hint="eastAsia" w:asciiTheme="minorEastAsia" w:hAnsiTheme="minorEastAsia" w:eastAsiaTheme="minorEastAsia" w:cstheme="minorEastAsia"/>
                <w:color w:val="auto"/>
                <w:kern w:val="0"/>
                <w:sz w:val="24"/>
                <w:szCs w:val="24"/>
                <w:highlight w:val="none"/>
                <w:lang w:eastAsia="zh-CN"/>
              </w:rPr>
              <w:t>。</w:t>
            </w:r>
          </w:p>
          <w:p w14:paraId="2BDA5BF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rPr>
              <w:t>注：须提供合同有效证明材料</w:t>
            </w:r>
            <w:r>
              <w:rPr>
                <w:rFonts w:hint="eastAsia" w:asciiTheme="minorEastAsia" w:hAnsiTheme="minorEastAsia" w:eastAsiaTheme="minorEastAsia" w:cstheme="minorEastAsia"/>
                <w:b/>
                <w:bCs/>
                <w:color w:val="auto"/>
                <w:kern w:val="0"/>
                <w:sz w:val="24"/>
                <w:szCs w:val="24"/>
                <w:highlight w:val="none"/>
                <w:lang w:val="en-US" w:eastAsia="zh-CN"/>
              </w:rPr>
              <w:t>扫描</w:t>
            </w:r>
            <w:r>
              <w:rPr>
                <w:rFonts w:hint="eastAsia" w:asciiTheme="minorEastAsia" w:hAnsiTheme="minorEastAsia" w:eastAsiaTheme="minorEastAsia" w:cstheme="minorEastAsia"/>
                <w:b/>
                <w:bCs/>
                <w:color w:val="auto"/>
                <w:kern w:val="0"/>
                <w:sz w:val="24"/>
                <w:szCs w:val="24"/>
                <w:highlight w:val="none"/>
              </w:rPr>
              <w:t>件以供评审，否则不得分。如合同不能反映服务</w:t>
            </w:r>
            <w:r>
              <w:rPr>
                <w:rFonts w:hint="eastAsia" w:asciiTheme="minorEastAsia" w:hAnsiTheme="minorEastAsia" w:eastAsiaTheme="minorEastAsia" w:cstheme="minorEastAsia"/>
                <w:b/>
                <w:bCs/>
                <w:color w:val="auto"/>
                <w:kern w:val="0"/>
                <w:sz w:val="24"/>
                <w:szCs w:val="24"/>
                <w:highlight w:val="none"/>
                <w:lang w:val="en-US" w:eastAsia="zh-CN"/>
              </w:rPr>
              <w:t>内容</w:t>
            </w:r>
            <w:r>
              <w:rPr>
                <w:rFonts w:hint="eastAsia" w:asciiTheme="minorEastAsia" w:hAnsiTheme="minorEastAsia" w:eastAsiaTheme="minorEastAsia" w:cstheme="minorEastAsia"/>
                <w:b/>
                <w:bCs/>
                <w:color w:val="auto"/>
                <w:kern w:val="0"/>
                <w:sz w:val="24"/>
                <w:szCs w:val="24"/>
                <w:highlight w:val="none"/>
              </w:rPr>
              <w:t>，提供业主证明材料，否则不予认可。</w:t>
            </w:r>
          </w:p>
        </w:tc>
        <w:tc>
          <w:tcPr>
            <w:tcW w:w="626" w:type="pct"/>
            <w:tcBorders>
              <w:top w:val="single" w:color="auto" w:sz="4" w:space="0"/>
              <w:left w:val="single" w:color="auto" w:sz="4" w:space="0"/>
              <w:bottom w:val="single" w:color="auto" w:sz="4" w:space="0"/>
              <w:right w:val="single" w:color="auto" w:sz="4" w:space="0"/>
            </w:tcBorders>
            <w:vAlign w:val="center"/>
          </w:tcPr>
          <w:p w14:paraId="3CCBACA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0-10分</w:t>
            </w:r>
          </w:p>
        </w:tc>
      </w:tr>
      <w:tr w14:paraId="114A6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48E0BE3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041517A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履约能力</w:t>
            </w:r>
          </w:p>
        </w:tc>
        <w:tc>
          <w:tcPr>
            <w:tcW w:w="3098" w:type="pct"/>
            <w:tcBorders>
              <w:top w:val="single" w:color="auto" w:sz="4" w:space="0"/>
              <w:left w:val="single" w:color="auto" w:sz="4" w:space="0"/>
              <w:bottom w:val="single" w:color="auto" w:sz="4" w:space="0"/>
              <w:right w:val="single" w:color="auto" w:sz="4" w:space="0"/>
            </w:tcBorders>
            <w:shd w:val="clear" w:color="auto" w:fill="auto"/>
            <w:vAlign w:val="center"/>
          </w:tcPr>
          <w:p w14:paraId="4678F2C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供应商具有具有网络创业培训教学辅助平台的得2分，提供该平台使用教程的得2分，满分4分。</w:t>
            </w:r>
          </w:p>
          <w:p w14:paraId="384FB4B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t>注：须提供软著证书等证明材料扫描件</w:t>
            </w:r>
          </w:p>
        </w:tc>
        <w:tc>
          <w:tcPr>
            <w:tcW w:w="626" w:type="pct"/>
            <w:tcBorders>
              <w:top w:val="single" w:color="auto" w:sz="4" w:space="0"/>
              <w:left w:val="single" w:color="auto" w:sz="4" w:space="0"/>
              <w:bottom w:val="single" w:color="auto" w:sz="4" w:space="0"/>
              <w:right w:val="single" w:color="auto" w:sz="4" w:space="0"/>
            </w:tcBorders>
            <w:shd w:val="clear" w:color="auto" w:fill="auto"/>
            <w:vAlign w:val="center"/>
          </w:tcPr>
          <w:p w14:paraId="0AF1C82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0-4分</w:t>
            </w:r>
          </w:p>
        </w:tc>
      </w:tr>
      <w:tr w14:paraId="5A2F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4883C25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vAlign w:val="center"/>
          </w:tcPr>
          <w:p w14:paraId="0EE09FC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人员配备</w:t>
            </w:r>
          </w:p>
        </w:tc>
        <w:tc>
          <w:tcPr>
            <w:tcW w:w="3098" w:type="pct"/>
            <w:tcBorders>
              <w:top w:val="single" w:color="auto" w:sz="4" w:space="0"/>
              <w:left w:val="single" w:color="auto" w:sz="4" w:space="0"/>
              <w:bottom w:val="single" w:color="auto" w:sz="4" w:space="0"/>
              <w:right w:val="single" w:color="auto" w:sz="4" w:space="0"/>
            </w:tcBorders>
            <w:vAlign w:val="center"/>
          </w:tcPr>
          <w:p w14:paraId="253DB91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针对本项目供应商配备的项目团队具有人社部门颁发的创业培训师资证书，每提供一个证书得5分，满分15分。</w:t>
            </w:r>
          </w:p>
          <w:p w14:paraId="3CB54276">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t>注：须提供人员有效身份证、近三个月</w:t>
            </w:r>
            <w:bookmarkStart w:id="265" w:name="_GoBack"/>
            <w:r>
              <w:rPr>
                <w:rFonts w:hint="eastAsia" w:asciiTheme="minorEastAsia" w:hAnsiTheme="minorEastAsia" w:eastAsiaTheme="minorEastAsia" w:cstheme="minorEastAsia"/>
                <w:b/>
                <w:bCs/>
                <w:color w:val="auto"/>
                <w:kern w:val="0"/>
                <w:sz w:val="24"/>
                <w:szCs w:val="24"/>
                <w:highlight w:val="none"/>
                <w:lang w:val="en-US" w:eastAsia="zh-CN"/>
              </w:rPr>
              <w:t>社保</w:t>
            </w:r>
            <w:bookmarkEnd w:id="265"/>
            <w:r>
              <w:rPr>
                <w:rFonts w:hint="eastAsia" w:asciiTheme="minorEastAsia" w:hAnsiTheme="minorEastAsia" w:eastAsiaTheme="minorEastAsia" w:cstheme="minorEastAsia"/>
                <w:b/>
                <w:bCs/>
                <w:color w:val="auto"/>
                <w:kern w:val="0"/>
                <w:sz w:val="24"/>
                <w:szCs w:val="24"/>
                <w:highlight w:val="none"/>
                <w:lang w:val="en-US" w:eastAsia="zh-CN"/>
              </w:rPr>
              <w:t>证明及证书扫描件</w:t>
            </w:r>
          </w:p>
        </w:tc>
        <w:tc>
          <w:tcPr>
            <w:tcW w:w="626" w:type="pct"/>
            <w:tcBorders>
              <w:top w:val="single" w:color="auto" w:sz="4" w:space="0"/>
              <w:left w:val="single" w:color="auto" w:sz="4" w:space="0"/>
              <w:bottom w:val="single" w:color="auto" w:sz="4" w:space="0"/>
              <w:right w:val="single" w:color="auto" w:sz="4" w:space="0"/>
            </w:tcBorders>
            <w:vAlign w:val="center"/>
          </w:tcPr>
          <w:p w14:paraId="4C245725">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0-15分</w:t>
            </w:r>
          </w:p>
        </w:tc>
      </w:tr>
      <w:tr w14:paraId="5112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5BF3ACB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vAlign w:val="center"/>
          </w:tcPr>
          <w:p w14:paraId="3CD0F1AE">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default" w:asciiTheme="minorEastAsia" w:hAnsiTheme="minorEastAsia" w:eastAsiaTheme="minorEastAsia" w:cstheme="minorEastAsia"/>
                <w:bCs/>
                <w:color w:val="auto"/>
                <w:sz w:val="24"/>
                <w:szCs w:val="24"/>
                <w:highlight w:val="none"/>
                <w:lang w:val="en-US" w:eastAsia="zh-CN"/>
              </w:rPr>
            </w:pPr>
            <w:r>
              <w:rPr>
                <w:rFonts w:hint="eastAsia" w:ascii="宋体" w:hAnsi="宋体" w:eastAsia="宋体" w:cs="宋体"/>
                <w:spacing w:val="4"/>
                <w:sz w:val="24"/>
                <w:szCs w:val="24"/>
                <w:lang w:val="en-US" w:eastAsia="zh-CN"/>
              </w:rPr>
              <w:t>1.培训方案</w:t>
            </w:r>
          </w:p>
        </w:tc>
        <w:tc>
          <w:tcPr>
            <w:tcW w:w="3098" w:type="pct"/>
            <w:tcBorders>
              <w:top w:val="single" w:color="auto" w:sz="4" w:space="0"/>
              <w:left w:val="single" w:color="auto" w:sz="4" w:space="0"/>
              <w:bottom w:val="single" w:color="auto" w:sz="4" w:space="0"/>
              <w:right w:val="single" w:color="auto" w:sz="4" w:space="0"/>
            </w:tcBorders>
            <w:vAlign w:val="center"/>
          </w:tcPr>
          <w:p w14:paraId="0DF8BCF9">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根据供应商提供的培训方案情况，由磋商小组进行综合评审。</w:t>
            </w:r>
          </w:p>
          <w:p w14:paraId="20CCA3D0">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1.方案各部分有深入的表述，培训方案内容完整，切实可行，保障措施得力的得5分；</w:t>
            </w:r>
          </w:p>
          <w:p w14:paraId="08DF0503">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2.方案符合实际情况，内容完整、保障措施完善的得4分；</w:t>
            </w:r>
          </w:p>
          <w:p w14:paraId="27AF999F">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3.方案保障措施不完整，内容有待完善的得3分；</w:t>
            </w:r>
          </w:p>
          <w:p w14:paraId="201B3605">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4.未提供的不得分。</w:t>
            </w:r>
          </w:p>
        </w:tc>
        <w:tc>
          <w:tcPr>
            <w:tcW w:w="626" w:type="pct"/>
            <w:tcBorders>
              <w:top w:val="single" w:color="auto" w:sz="4" w:space="0"/>
              <w:left w:val="single" w:color="auto" w:sz="4" w:space="0"/>
              <w:bottom w:val="single" w:color="auto" w:sz="4" w:space="0"/>
              <w:right w:val="single" w:color="auto" w:sz="4" w:space="0"/>
            </w:tcBorders>
            <w:vAlign w:val="center"/>
          </w:tcPr>
          <w:p w14:paraId="6187A75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0-5分</w:t>
            </w:r>
          </w:p>
        </w:tc>
      </w:tr>
      <w:tr w14:paraId="101F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3C8F5122">
            <w:pPr>
              <w:keepNext w:val="0"/>
              <w:keepLines w:val="0"/>
              <w:pageBreakBefore w:val="0"/>
              <w:widowControl w:val="0"/>
              <w:kinsoku/>
              <w:wordWrap/>
              <w:overflowPunct/>
              <w:topLinePunct w:val="0"/>
              <w:autoSpaceDE/>
              <w:autoSpaceDN/>
              <w:bidi w:val="0"/>
              <w:adjustRightInd/>
              <w:snapToGrid/>
              <w:spacing w:line="50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vAlign w:val="center"/>
          </w:tcPr>
          <w:p w14:paraId="56FE77E0">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default" w:ascii="宋体" w:hAnsi="宋体" w:eastAsia="宋体" w:cs="宋体"/>
                <w:color w:val="auto"/>
                <w:spacing w:val="4"/>
                <w:sz w:val="24"/>
                <w:szCs w:val="24"/>
                <w:lang w:val="en-US" w:eastAsia="zh-CN"/>
              </w:rPr>
            </w:pPr>
            <w:r>
              <w:rPr>
                <w:rFonts w:hint="eastAsia" w:ascii="宋体" w:hAnsi="宋体" w:eastAsia="宋体" w:cs="宋体"/>
                <w:color w:val="auto"/>
                <w:spacing w:val="4"/>
                <w:sz w:val="24"/>
                <w:szCs w:val="24"/>
                <w:lang w:val="en-US" w:eastAsia="zh-CN"/>
              </w:rPr>
              <w:t>2.学员组织方案</w:t>
            </w:r>
          </w:p>
        </w:tc>
        <w:tc>
          <w:tcPr>
            <w:tcW w:w="3098" w:type="pct"/>
            <w:tcBorders>
              <w:top w:val="single" w:color="auto" w:sz="4" w:space="0"/>
              <w:left w:val="single" w:color="auto" w:sz="4" w:space="0"/>
              <w:bottom w:val="single" w:color="auto" w:sz="4" w:space="0"/>
              <w:right w:val="single" w:color="auto" w:sz="4" w:space="0"/>
            </w:tcBorders>
            <w:vAlign w:val="center"/>
          </w:tcPr>
          <w:p w14:paraId="5CA39ED7">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根据供应商提供的培训人员组织方案情况，由磋商小组进行综合评审。</w:t>
            </w:r>
          </w:p>
          <w:p w14:paraId="402E8A27">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1.方案各部分有深入的表述，人员组织方案内容完整，切实可行，保障措施得力的得5分；</w:t>
            </w:r>
          </w:p>
          <w:p w14:paraId="6ACEDF2C">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2.方案符合实际情况，内容完整、组织措施完善的得4分；</w:t>
            </w:r>
          </w:p>
          <w:p w14:paraId="32D7CA6F">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3.方案组织措施不完整，内容有待完善的得3分；</w:t>
            </w:r>
          </w:p>
          <w:p w14:paraId="0D2AA0BB">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4.未提供的不得分。</w:t>
            </w:r>
          </w:p>
        </w:tc>
        <w:tc>
          <w:tcPr>
            <w:tcW w:w="626" w:type="pct"/>
            <w:tcBorders>
              <w:top w:val="single" w:color="auto" w:sz="4" w:space="0"/>
              <w:left w:val="single" w:color="auto" w:sz="4" w:space="0"/>
              <w:bottom w:val="single" w:color="auto" w:sz="4" w:space="0"/>
              <w:right w:val="single" w:color="auto" w:sz="4" w:space="0"/>
            </w:tcBorders>
            <w:vAlign w:val="center"/>
          </w:tcPr>
          <w:p w14:paraId="248D597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0-5分</w:t>
            </w:r>
          </w:p>
        </w:tc>
      </w:tr>
      <w:tr w14:paraId="0227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6629B288">
            <w:pPr>
              <w:keepNext w:val="0"/>
              <w:keepLines w:val="0"/>
              <w:pageBreakBefore w:val="0"/>
              <w:widowControl w:val="0"/>
              <w:kinsoku/>
              <w:wordWrap/>
              <w:overflowPunct/>
              <w:topLinePunct w:val="0"/>
              <w:autoSpaceDE/>
              <w:autoSpaceDN/>
              <w:bidi w:val="0"/>
              <w:adjustRightInd/>
              <w:snapToGrid/>
              <w:spacing w:line="50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vAlign w:val="center"/>
          </w:tcPr>
          <w:p w14:paraId="606409DE">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default" w:ascii="宋体" w:hAnsi="宋体" w:eastAsia="宋体" w:cs="宋体"/>
                <w:color w:val="auto"/>
                <w:spacing w:val="4"/>
                <w:sz w:val="24"/>
                <w:szCs w:val="24"/>
                <w:lang w:val="en-US" w:eastAsia="zh-CN"/>
              </w:rPr>
            </w:pPr>
            <w:r>
              <w:rPr>
                <w:rFonts w:hint="eastAsia" w:ascii="宋体" w:hAnsi="宋体" w:eastAsia="宋体" w:cs="宋体"/>
                <w:color w:val="auto"/>
                <w:spacing w:val="4"/>
                <w:sz w:val="24"/>
                <w:szCs w:val="24"/>
                <w:lang w:val="en-US" w:eastAsia="zh-CN"/>
              </w:rPr>
              <w:t>3.培训师资建议方案</w:t>
            </w:r>
          </w:p>
        </w:tc>
        <w:tc>
          <w:tcPr>
            <w:tcW w:w="3098" w:type="pct"/>
            <w:tcBorders>
              <w:top w:val="single" w:color="auto" w:sz="4" w:space="0"/>
              <w:left w:val="single" w:color="auto" w:sz="4" w:space="0"/>
              <w:bottom w:val="single" w:color="auto" w:sz="4" w:space="0"/>
              <w:right w:val="single" w:color="auto" w:sz="4" w:space="0"/>
            </w:tcBorders>
            <w:vAlign w:val="center"/>
          </w:tcPr>
          <w:p w14:paraId="6967C700">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根据上述“</w:t>
            </w:r>
            <w:r>
              <w:rPr>
                <w:rFonts w:hint="eastAsia" w:ascii="宋体" w:hAnsi="宋体" w:eastAsia="宋体"/>
                <w:b/>
                <w:color w:val="auto"/>
                <w:sz w:val="24"/>
                <w:szCs w:val="18"/>
                <w:highlight w:val="none"/>
              </w:rPr>
              <w:t>三、服务需求</w:t>
            </w:r>
            <w:r>
              <w:rPr>
                <w:rFonts w:hint="default" w:ascii="宋体" w:hAnsi="宋体" w:eastAsia="宋体" w:cs="宋体"/>
                <w:color w:val="auto"/>
                <w:sz w:val="24"/>
                <w:szCs w:val="24"/>
                <w:highlight w:val="none"/>
                <w:lang w:val="en-US" w:eastAsia="zh-CN"/>
              </w:rPr>
              <w:t>（二）培训内容</w:t>
            </w:r>
            <w:r>
              <w:rPr>
                <w:rFonts w:hint="eastAsia" w:asciiTheme="minorEastAsia" w:hAnsiTheme="minorEastAsia" w:eastAsiaTheme="minorEastAsia" w:cstheme="minorEastAsia"/>
                <w:color w:val="auto"/>
                <w:kern w:val="0"/>
                <w:sz w:val="24"/>
                <w:szCs w:val="24"/>
                <w:highlight w:val="none"/>
                <w:lang w:val="en-US" w:eastAsia="zh-CN" w:bidi="ar-SA"/>
              </w:rPr>
              <w:t>”要求，研判培训所需师资，提出师资建议（邀请）方案，由磋商小组进行综合评审。</w:t>
            </w:r>
          </w:p>
          <w:p w14:paraId="6E8E746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1.对本项目特点和难点理解透彻，培训师资方案完全满足本项目采购需求，建议方案完整、详细、全面的得5分；</w:t>
            </w:r>
          </w:p>
          <w:p w14:paraId="0EAACA0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2.对本项目特点和难点理解准确，培训师资方案适合本项目采购需求，建议方案完整、详实的得4分；</w:t>
            </w:r>
          </w:p>
          <w:p w14:paraId="145873E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3.对本项目特点和难点理解有待提升，培训师资方案部分适合本项目采购需求，建议方案部分缺失、有待改善，得3分；</w:t>
            </w:r>
          </w:p>
          <w:p w14:paraId="3650D7C4">
            <w:pPr>
              <w:keepNext w:val="0"/>
              <w:keepLines w:val="0"/>
              <w:pageBreakBefore w:val="0"/>
              <w:widowControl w:val="0"/>
              <w:kinsoku/>
              <w:wordWrap/>
              <w:overflowPunct/>
              <w:topLinePunct w:val="0"/>
              <w:autoSpaceDE/>
              <w:autoSpaceDN/>
              <w:bidi w:val="0"/>
              <w:adjustRightInd/>
              <w:snapToGrid/>
              <w:spacing w:line="360" w:lineRule="auto"/>
              <w:ind w:right="0" w:rightChars="0" w:firstLine="0" w:firstLineChars="0"/>
              <w:textAlignment w:val="auto"/>
              <w:rPr>
                <w:rFonts w:hint="default"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4.未提供的不得分。</w:t>
            </w:r>
          </w:p>
        </w:tc>
        <w:tc>
          <w:tcPr>
            <w:tcW w:w="626" w:type="pct"/>
            <w:tcBorders>
              <w:top w:val="single" w:color="auto" w:sz="4" w:space="0"/>
              <w:left w:val="single" w:color="auto" w:sz="4" w:space="0"/>
              <w:bottom w:val="single" w:color="auto" w:sz="4" w:space="0"/>
              <w:right w:val="single" w:color="auto" w:sz="4" w:space="0"/>
            </w:tcBorders>
            <w:vAlign w:val="center"/>
          </w:tcPr>
          <w:p w14:paraId="12695AC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0-5分</w:t>
            </w:r>
          </w:p>
        </w:tc>
      </w:tr>
      <w:tr w14:paraId="1EB6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2B3E5D7B">
            <w:pPr>
              <w:keepNext w:val="0"/>
              <w:keepLines w:val="0"/>
              <w:pageBreakBefore w:val="0"/>
              <w:widowControl w:val="0"/>
              <w:kinsoku/>
              <w:wordWrap/>
              <w:overflowPunct/>
              <w:topLinePunct w:val="0"/>
              <w:autoSpaceDE/>
              <w:autoSpaceDN/>
              <w:bidi w:val="0"/>
              <w:adjustRightInd/>
              <w:snapToGrid/>
              <w:spacing w:line="50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vAlign w:val="center"/>
          </w:tcPr>
          <w:p w14:paraId="4FAD8BBD">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宋体" w:hAnsi="宋体" w:eastAsia="宋体" w:cs="宋体"/>
                <w:color w:val="auto"/>
                <w:spacing w:val="4"/>
                <w:sz w:val="24"/>
                <w:szCs w:val="24"/>
                <w:lang w:val="en-US" w:eastAsia="zh-CN"/>
              </w:rPr>
              <w:t>4.课程设计方案</w:t>
            </w:r>
          </w:p>
        </w:tc>
        <w:tc>
          <w:tcPr>
            <w:tcW w:w="3098" w:type="pct"/>
            <w:tcBorders>
              <w:top w:val="single" w:color="auto" w:sz="4" w:space="0"/>
              <w:left w:val="single" w:color="auto" w:sz="4" w:space="0"/>
              <w:bottom w:val="single" w:color="auto" w:sz="4" w:space="0"/>
              <w:right w:val="single" w:color="auto" w:sz="4" w:space="0"/>
            </w:tcBorders>
            <w:vAlign w:val="center"/>
          </w:tcPr>
          <w:p w14:paraId="02F3141C">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根据供应商提供的课程设计方案，由磋商小组进行综合评审。</w:t>
            </w:r>
          </w:p>
          <w:p w14:paraId="1DF2D474">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1.设计方案新颖、课程重难点表述完整、全面，具备切实可行的保障措施的得5分；</w:t>
            </w:r>
          </w:p>
          <w:p w14:paraId="42CA2EE4">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2.设计方案有特色，内容表述清晰，能够满足项目要求的得4分；</w:t>
            </w:r>
          </w:p>
          <w:p w14:paraId="587A052F">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3.设计方案内容简单、考虑了一定的保障措施的3分；</w:t>
            </w:r>
          </w:p>
          <w:p w14:paraId="3F6EC8E6">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4.未提供的不得分。</w:t>
            </w:r>
          </w:p>
        </w:tc>
        <w:tc>
          <w:tcPr>
            <w:tcW w:w="626" w:type="pct"/>
            <w:tcBorders>
              <w:top w:val="single" w:color="auto" w:sz="4" w:space="0"/>
              <w:left w:val="single" w:color="auto" w:sz="4" w:space="0"/>
              <w:bottom w:val="single" w:color="auto" w:sz="4" w:space="0"/>
              <w:right w:val="single" w:color="auto" w:sz="4" w:space="0"/>
            </w:tcBorders>
            <w:vAlign w:val="center"/>
          </w:tcPr>
          <w:p w14:paraId="50AC3B5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0-5分</w:t>
            </w:r>
          </w:p>
        </w:tc>
      </w:tr>
      <w:tr w14:paraId="0C94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679ADD42">
            <w:pPr>
              <w:keepNext w:val="0"/>
              <w:keepLines w:val="0"/>
              <w:pageBreakBefore w:val="0"/>
              <w:widowControl w:val="0"/>
              <w:kinsoku/>
              <w:wordWrap/>
              <w:overflowPunct/>
              <w:topLinePunct w:val="0"/>
              <w:autoSpaceDE/>
              <w:autoSpaceDN/>
              <w:bidi w:val="0"/>
              <w:adjustRightInd/>
              <w:snapToGrid/>
              <w:spacing w:line="50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71FC9761">
            <w:pPr>
              <w:keepNext w:val="0"/>
              <w:keepLines w:val="0"/>
              <w:pageBreakBefore w:val="0"/>
              <w:widowControl w:val="0"/>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sz w:val="24"/>
                <w:szCs w:val="24"/>
              </w:rPr>
            </w:pPr>
          </w:p>
          <w:p w14:paraId="5758ABB0">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pacing w:val="-3"/>
                <w:sz w:val="24"/>
                <w:szCs w:val="24"/>
                <w:lang w:val="en-US" w:eastAsia="zh-CN"/>
              </w:rPr>
              <w:t>5.场地方案</w:t>
            </w:r>
          </w:p>
        </w:tc>
        <w:tc>
          <w:tcPr>
            <w:tcW w:w="3098" w:type="pct"/>
            <w:tcBorders>
              <w:top w:val="single" w:color="auto" w:sz="4" w:space="0"/>
              <w:left w:val="single" w:color="auto" w:sz="4" w:space="0"/>
              <w:bottom w:val="single" w:color="auto" w:sz="4" w:space="0"/>
              <w:right w:val="single" w:color="auto" w:sz="4" w:space="0"/>
            </w:tcBorders>
            <w:shd w:val="clear" w:color="auto" w:fill="auto"/>
            <w:vAlign w:val="center"/>
          </w:tcPr>
          <w:p w14:paraId="7344BE03">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根据采购人要求的培训场地（中共滁州市委党校），考察提出场地保障方案，由磋商小组进行综合评审。</w:t>
            </w:r>
          </w:p>
          <w:p w14:paraId="4CC5E586">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1.方案覆盖全面、要点突出、内容完整详实，表述清晰，与本项目实际需求适应度高，利于项目实施的得5分；</w:t>
            </w:r>
          </w:p>
          <w:p w14:paraId="0F58095C">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2.方案覆盖全面、内容完整，符合项目实施要求的得4分 ；</w:t>
            </w:r>
          </w:p>
          <w:p w14:paraId="1B3CFE2F">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3.覆盖不全面，要点突出不够明显，具体细节有待完善的得3分；</w:t>
            </w:r>
          </w:p>
          <w:p w14:paraId="01F1B673">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4.未提供的不得分。</w:t>
            </w:r>
          </w:p>
        </w:tc>
        <w:tc>
          <w:tcPr>
            <w:tcW w:w="626" w:type="pct"/>
            <w:tcBorders>
              <w:top w:val="single" w:color="auto" w:sz="4" w:space="0"/>
              <w:left w:val="single" w:color="auto" w:sz="4" w:space="0"/>
              <w:bottom w:val="single" w:color="auto" w:sz="4" w:space="0"/>
              <w:right w:val="single" w:color="auto" w:sz="4" w:space="0"/>
            </w:tcBorders>
            <w:shd w:val="clear" w:color="auto" w:fill="auto"/>
            <w:vAlign w:val="center"/>
          </w:tcPr>
          <w:p w14:paraId="03B64EA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en-US" w:bidi="ar-SA"/>
              </w:rPr>
              <w:t>0-5分</w:t>
            </w:r>
          </w:p>
        </w:tc>
      </w:tr>
      <w:tr w14:paraId="436F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71421EC9">
            <w:pPr>
              <w:keepNext w:val="0"/>
              <w:keepLines w:val="0"/>
              <w:pageBreakBefore w:val="0"/>
              <w:widowControl w:val="0"/>
              <w:kinsoku/>
              <w:wordWrap/>
              <w:overflowPunct/>
              <w:topLinePunct w:val="0"/>
              <w:autoSpaceDE/>
              <w:autoSpaceDN/>
              <w:bidi w:val="0"/>
              <w:adjustRightInd/>
              <w:snapToGrid/>
              <w:spacing w:line="50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4011F474">
            <w:pPr>
              <w:pStyle w:val="61"/>
              <w:keepNext w:val="0"/>
              <w:keepLines w:val="0"/>
              <w:pageBreakBefore w:val="0"/>
              <w:widowControl w:val="0"/>
              <w:kinsoku/>
              <w:wordWrap/>
              <w:overflowPunct/>
              <w:topLinePunct w:val="0"/>
              <w:autoSpaceDE/>
              <w:autoSpaceDN/>
              <w:bidi w:val="0"/>
              <w:adjustRightInd/>
              <w:snapToGrid/>
              <w:spacing w:line="500" w:lineRule="exact"/>
              <w:ind w:left="100" w:leftChars="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pacing w:val="3"/>
                <w:sz w:val="24"/>
                <w:szCs w:val="24"/>
                <w:lang w:val="en-US" w:eastAsia="zh-CN"/>
              </w:rPr>
              <w:t>6.</w:t>
            </w:r>
            <w:r>
              <w:rPr>
                <w:rFonts w:hint="eastAsia" w:ascii="宋体" w:hAnsi="宋体" w:eastAsia="宋体" w:cs="宋体"/>
                <w:spacing w:val="3"/>
                <w:sz w:val="24"/>
                <w:szCs w:val="24"/>
              </w:rPr>
              <w:t>管理制度</w:t>
            </w:r>
          </w:p>
        </w:tc>
        <w:tc>
          <w:tcPr>
            <w:tcW w:w="3098" w:type="pct"/>
            <w:tcBorders>
              <w:top w:val="single" w:color="auto" w:sz="4" w:space="0"/>
              <w:left w:val="single" w:color="auto" w:sz="4" w:space="0"/>
              <w:bottom w:val="single" w:color="auto" w:sz="4" w:space="0"/>
              <w:right w:val="single" w:color="auto" w:sz="4" w:space="0"/>
            </w:tcBorders>
            <w:shd w:val="clear" w:color="auto" w:fill="auto"/>
            <w:vAlign w:val="top"/>
          </w:tcPr>
          <w:p w14:paraId="5C7BA6A0">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根据磋商文件要求及供应商提供的管理制度情况，由磋商小组进行综合评审。</w:t>
            </w:r>
          </w:p>
          <w:p w14:paraId="1530446E">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1.管理制度健全、详细，完全符合现状要求的得5分；</w:t>
            </w:r>
          </w:p>
          <w:p w14:paraId="30C82C30">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2.管理制度完整，符合现状要求得 4 分；</w:t>
            </w:r>
          </w:p>
          <w:p w14:paraId="23139C64">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3.管理制度满足现状要求，内容有待完善的得 3 分；</w:t>
            </w:r>
          </w:p>
          <w:p w14:paraId="21821FB4">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4.未提供的不得分。</w:t>
            </w:r>
          </w:p>
        </w:tc>
        <w:tc>
          <w:tcPr>
            <w:tcW w:w="626" w:type="pct"/>
            <w:tcBorders>
              <w:top w:val="single" w:color="auto" w:sz="4" w:space="0"/>
              <w:left w:val="single" w:color="auto" w:sz="4" w:space="0"/>
              <w:bottom w:val="single" w:color="auto" w:sz="4" w:space="0"/>
              <w:right w:val="single" w:color="auto" w:sz="4" w:space="0"/>
            </w:tcBorders>
            <w:shd w:val="clear" w:color="auto" w:fill="auto"/>
            <w:vAlign w:val="center"/>
          </w:tcPr>
          <w:p w14:paraId="42FABDA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en-US" w:bidi="ar-SA"/>
              </w:rPr>
              <w:t>0-5分</w:t>
            </w:r>
          </w:p>
        </w:tc>
      </w:tr>
      <w:tr w14:paraId="74B4C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48977D6C">
            <w:pPr>
              <w:keepNext w:val="0"/>
              <w:keepLines w:val="0"/>
              <w:pageBreakBefore w:val="0"/>
              <w:widowControl w:val="0"/>
              <w:kinsoku/>
              <w:wordWrap/>
              <w:overflowPunct/>
              <w:topLinePunct w:val="0"/>
              <w:autoSpaceDE/>
              <w:autoSpaceDN/>
              <w:bidi w:val="0"/>
              <w:adjustRightInd/>
              <w:snapToGrid/>
              <w:spacing w:line="50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285E26F0">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pacing w:val="3"/>
                <w:sz w:val="24"/>
                <w:szCs w:val="24"/>
                <w:lang w:val="en-US" w:eastAsia="zh-CN"/>
              </w:rPr>
              <w:t>7.</w:t>
            </w:r>
            <w:r>
              <w:rPr>
                <w:rFonts w:hint="eastAsia" w:ascii="宋体" w:hAnsi="宋体" w:eastAsia="宋体" w:cs="宋体"/>
                <w:spacing w:val="3"/>
                <w:sz w:val="24"/>
                <w:szCs w:val="24"/>
              </w:rPr>
              <w:t>保障制度</w:t>
            </w:r>
          </w:p>
        </w:tc>
        <w:tc>
          <w:tcPr>
            <w:tcW w:w="3098" w:type="pct"/>
            <w:tcBorders>
              <w:top w:val="single" w:color="auto" w:sz="4" w:space="0"/>
              <w:left w:val="single" w:color="auto" w:sz="4" w:space="0"/>
              <w:bottom w:val="single" w:color="auto" w:sz="4" w:space="0"/>
              <w:right w:val="single" w:color="auto" w:sz="4" w:space="0"/>
            </w:tcBorders>
            <w:shd w:val="clear" w:color="auto" w:fill="auto"/>
            <w:vAlign w:val="top"/>
          </w:tcPr>
          <w:p w14:paraId="405C7174">
            <w:pPr>
              <w:pStyle w:val="61"/>
              <w:keepNext w:val="0"/>
              <w:keepLines w:val="0"/>
              <w:pageBreakBefore w:val="0"/>
              <w:widowControl w:val="0"/>
              <w:kinsoku/>
              <w:wordWrap/>
              <w:overflowPunct/>
              <w:topLinePunct w:val="0"/>
              <w:autoSpaceDE/>
              <w:autoSpaceDN/>
              <w:bidi w:val="0"/>
              <w:adjustRightInd/>
              <w:snapToGrid/>
              <w:spacing w:line="500" w:lineRule="exact"/>
              <w:ind w:left="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根据磋商文件要求及供应商提供的保障制度情况进行综合评分：</w:t>
            </w:r>
          </w:p>
          <w:p w14:paraId="55697FF5">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1.各项保障制度完全符合本项目采购需求，思路清晰、准确、完整、内容全面的得5分；</w:t>
            </w:r>
          </w:p>
          <w:p w14:paraId="614BBD85">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2.各项保障制度的编制思路清晰、具有实施性的得4分；</w:t>
            </w:r>
          </w:p>
          <w:p w14:paraId="1B87B67F">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3.方案无明显逻辑错误，内容存在不足的得3分；</w:t>
            </w:r>
          </w:p>
          <w:p w14:paraId="5BA1F5EE">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4.未提供的不得分。</w:t>
            </w:r>
          </w:p>
        </w:tc>
        <w:tc>
          <w:tcPr>
            <w:tcW w:w="626" w:type="pct"/>
            <w:tcBorders>
              <w:top w:val="single" w:color="auto" w:sz="4" w:space="0"/>
              <w:left w:val="single" w:color="auto" w:sz="4" w:space="0"/>
              <w:bottom w:val="single" w:color="auto" w:sz="4" w:space="0"/>
              <w:right w:val="single" w:color="auto" w:sz="4" w:space="0"/>
            </w:tcBorders>
            <w:shd w:val="clear" w:color="auto" w:fill="auto"/>
            <w:vAlign w:val="center"/>
          </w:tcPr>
          <w:p w14:paraId="1DBFDAB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en-US" w:bidi="ar-SA"/>
              </w:rPr>
              <w:t>0-5分</w:t>
            </w:r>
          </w:p>
        </w:tc>
      </w:tr>
      <w:tr w14:paraId="443C4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71FE0BBB">
            <w:pPr>
              <w:keepNext w:val="0"/>
              <w:keepLines w:val="0"/>
              <w:pageBreakBefore w:val="0"/>
              <w:widowControl w:val="0"/>
              <w:kinsoku/>
              <w:wordWrap/>
              <w:overflowPunct/>
              <w:topLinePunct w:val="0"/>
              <w:autoSpaceDE/>
              <w:autoSpaceDN/>
              <w:bidi w:val="0"/>
              <w:adjustRightInd/>
              <w:snapToGrid/>
              <w:spacing w:line="50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5C96E515">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8.结业考核方案</w:t>
            </w:r>
          </w:p>
        </w:tc>
        <w:tc>
          <w:tcPr>
            <w:tcW w:w="3098" w:type="pct"/>
            <w:tcBorders>
              <w:top w:val="single" w:color="auto" w:sz="4" w:space="0"/>
              <w:left w:val="single" w:color="auto" w:sz="4" w:space="0"/>
              <w:bottom w:val="single" w:color="auto" w:sz="4" w:space="0"/>
              <w:right w:val="single" w:color="auto" w:sz="4" w:space="0"/>
            </w:tcBorders>
            <w:shd w:val="clear" w:color="auto" w:fill="auto"/>
            <w:vAlign w:val="top"/>
          </w:tcPr>
          <w:p w14:paraId="551FAACB">
            <w:pPr>
              <w:pStyle w:val="61"/>
              <w:keepNext w:val="0"/>
              <w:keepLines w:val="0"/>
              <w:pageBreakBefore w:val="0"/>
              <w:widowControl w:val="0"/>
              <w:kinsoku/>
              <w:wordWrap/>
              <w:overflowPunct/>
              <w:topLinePunct w:val="0"/>
              <w:autoSpaceDE/>
              <w:autoSpaceDN/>
              <w:bidi w:val="0"/>
              <w:adjustRightInd/>
              <w:snapToGrid/>
              <w:spacing w:line="500" w:lineRule="exact"/>
              <w:ind w:left="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根据磋商文件和培训上级文件要求，供应商提供结业考核方案，由磋商小组进行综合评分：</w:t>
            </w:r>
          </w:p>
          <w:p w14:paraId="3595D81C">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1.各项方案考核措施完全符合本项目采购需求，思路清晰、准确、完整、内容全面的得5分；</w:t>
            </w:r>
          </w:p>
          <w:p w14:paraId="1A31C6B5">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2.各项方案考核措施的编制思路清晰、具有实施性的得4分；</w:t>
            </w:r>
          </w:p>
          <w:p w14:paraId="319F4D56">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3.方案无明显逻辑错误，内容存在不足的得3分；</w:t>
            </w:r>
          </w:p>
          <w:p w14:paraId="0A7D242F">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4.未提供的不得分。</w:t>
            </w:r>
          </w:p>
        </w:tc>
        <w:tc>
          <w:tcPr>
            <w:tcW w:w="626" w:type="pct"/>
            <w:tcBorders>
              <w:top w:val="single" w:color="auto" w:sz="4" w:space="0"/>
              <w:left w:val="single" w:color="auto" w:sz="4" w:space="0"/>
              <w:bottom w:val="single" w:color="auto" w:sz="4" w:space="0"/>
              <w:right w:val="single" w:color="auto" w:sz="4" w:space="0"/>
            </w:tcBorders>
            <w:shd w:val="clear" w:color="auto" w:fill="auto"/>
            <w:vAlign w:val="center"/>
          </w:tcPr>
          <w:p w14:paraId="07F2DF0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pacing w:val="-3"/>
                <w:kern w:val="2"/>
                <w:sz w:val="24"/>
                <w:szCs w:val="24"/>
                <w:highlight w:val="none"/>
                <w:lang w:val="en-US" w:eastAsia="en-US" w:bidi="ar-SA"/>
              </w:rPr>
            </w:pPr>
            <w:r>
              <w:rPr>
                <w:rFonts w:hint="eastAsia" w:ascii="宋体" w:hAnsi="宋体" w:eastAsia="宋体" w:cs="宋体"/>
                <w:spacing w:val="-3"/>
                <w:kern w:val="2"/>
                <w:sz w:val="24"/>
                <w:szCs w:val="24"/>
                <w:highlight w:val="none"/>
                <w:lang w:val="en-US" w:eastAsia="en-US" w:bidi="ar-SA"/>
              </w:rPr>
              <w:t>0-5分</w:t>
            </w:r>
          </w:p>
        </w:tc>
      </w:tr>
      <w:tr w14:paraId="41F7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020F4330">
            <w:pPr>
              <w:keepNext w:val="0"/>
              <w:keepLines w:val="0"/>
              <w:pageBreakBefore w:val="0"/>
              <w:widowControl w:val="0"/>
              <w:kinsoku/>
              <w:wordWrap/>
              <w:overflowPunct/>
              <w:topLinePunct w:val="0"/>
              <w:autoSpaceDE/>
              <w:autoSpaceDN/>
              <w:bidi w:val="0"/>
              <w:adjustRightInd/>
              <w:snapToGrid/>
              <w:spacing w:line="50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1C20A2EC">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pacing w:val="3"/>
                <w:sz w:val="24"/>
                <w:szCs w:val="24"/>
                <w:lang w:val="en-US" w:eastAsia="zh-CN"/>
              </w:rPr>
              <w:t>9.</w:t>
            </w:r>
            <w:r>
              <w:rPr>
                <w:rFonts w:hint="eastAsia" w:ascii="宋体" w:hAnsi="宋体" w:eastAsia="宋体" w:cs="宋体"/>
                <w:spacing w:val="3"/>
                <w:sz w:val="24"/>
                <w:szCs w:val="24"/>
              </w:rPr>
              <w:t>后勤保障方案</w:t>
            </w:r>
          </w:p>
        </w:tc>
        <w:tc>
          <w:tcPr>
            <w:tcW w:w="3098" w:type="pct"/>
            <w:tcBorders>
              <w:top w:val="single" w:color="auto" w:sz="4" w:space="0"/>
              <w:left w:val="single" w:color="auto" w:sz="4" w:space="0"/>
              <w:bottom w:val="single" w:color="auto" w:sz="4" w:space="0"/>
              <w:right w:val="single" w:color="auto" w:sz="4" w:space="0"/>
            </w:tcBorders>
            <w:shd w:val="clear" w:color="auto" w:fill="auto"/>
            <w:vAlign w:val="top"/>
          </w:tcPr>
          <w:p w14:paraId="5E959367">
            <w:pPr>
              <w:pStyle w:val="61"/>
              <w:keepNext w:val="0"/>
              <w:keepLines w:val="0"/>
              <w:pageBreakBefore w:val="0"/>
              <w:widowControl w:val="0"/>
              <w:kinsoku/>
              <w:wordWrap/>
              <w:overflowPunct/>
              <w:topLinePunct w:val="0"/>
              <w:autoSpaceDE/>
              <w:autoSpaceDN/>
              <w:bidi w:val="0"/>
              <w:adjustRightInd/>
              <w:snapToGrid/>
              <w:spacing w:line="500" w:lineRule="exact"/>
              <w:ind w:left="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对供应商在响应文件中提供的后勤保障方案从住宿要求标准间，清洁卫生、设施齐全；合理安排训练营期间具体菜单；训练期间全面保障学员安全，训练期间后勤保障物资配备等，进行评审。</w:t>
            </w:r>
          </w:p>
          <w:p w14:paraId="0B67CA17">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1.方案内容全面、贴合需求、阐述分析准确，完全满足招标要求，得 5 分；</w:t>
            </w:r>
          </w:p>
          <w:p w14:paraId="2B32C8C6">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2.方案内容完整、能够满足采购需求的，得4分；</w:t>
            </w:r>
          </w:p>
          <w:p w14:paraId="0DBAE23C">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3.方案内容空洞、简单，难以保障项目实施，得 3分；</w:t>
            </w:r>
          </w:p>
          <w:p w14:paraId="3041AA02">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4.未提供的不得分。</w:t>
            </w:r>
          </w:p>
        </w:tc>
        <w:tc>
          <w:tcPr>
            <w:tcW w:w="626" w:type="pct"/>
            <w:tcBorders>
              <w:top w:val="single" w:color="auto" w:sz="4" w:space="0"/>
              <w:left w:val="single" w:color="auto" w:sz="4" w:space="0"/>
              <w:bottom w:val="single" w:color="auto" w:sz="4" w:space="0"/>
              <w:right w:val="single" w:color="auto" w:sz="4" w:space="0"/>
            </w:tcBorders>
            <w:shd w:val="clear" w:color="auto" w:fill="auto"/>
            <w:vAlign w:val="center"/>
          </w:tcPr>
          <w:p w14:paraId="7054B18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en-US" w:bidi="ar-SA"/>
              </w:rPr>
              <w:t>0-5分</w:t>
            </w:r>
          </w:p>
        </w:tc>
      </w:tr>
      <w:tr w14:paraId="148B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6A334796">
            <w:pPr>
              <w:keepNext w:val="0"/>
              <w:keepLines w:val="0"/>
              <w:pageBreakBefore w:val="0"/>
              <w:widowControl w:val="0"/>
              <w:kinsoku/>
              <w:wordWrap/>
              <w:overflowPunct/>
              <w:topLinePunct w:val="0"/>
              <w:autoSpaceDE/>
              <w:autoSpaceDN/>
              <w:bidi w:val="0"/>
              <w:adjustRightInd/>
              <w:snapToGrid/>
              <w:spacing w:line="50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vAlign w:val="center"/>
          </w:tcPr>
          <w:p w14:paraId="1D61A7E1">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10.应急预案</w:t>
            </w:r>
          </w:p>
          <w:p w14:paraId="034C0F09">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宋体" w:hAnsi="宋体" w:eastAsia="宋体" w:cs="宋体"/>
                <w:color w:val="auto"/>
                <w:spacing w:val="4"/>
                <w:sz w:val="24"/>
                <w:szCs w:val="24"/>
                <w:lang w:val="en-US" w:eastAsia="zh-CN"/>
              </w:rPr>
            </w:pPr>
          </w:p>
        </w:tc>
        <w:tc>
          <w:tcPr>
            <w:tcW w:w="3098" w:type="pct"/>
            <w:tcBorders>
              <w:top w:val="single" w:color="auto" w:sz="4" w:space="0"/>
              <w:left w:val="single" w:color="auto" w:sz="4" w:space="0"/>
              <w:bottom w:val="single" w:color="auto" w:sz="4" w:space="0"/>
              <w:right w:val="single" w:color="auto" w:sz="4" w:space="0"/>
            </w:tcBorders>
            <w:vAlign w:val="top"/>
          </w:tcPr>
          <w:p w14:paraId="6E6B418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根据磋商文件要求及供应商提供应急预案情况，包括且不限于：①服务项目服务安全预案；②应急处理保证措施；③自然灾害、突发事故；④事故灾难类突发事件等应急处理措施等进行综合评分：</w:t>
            </w:r>
          </w:p>
          <w:p w14:paraId="1357D7C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1.对本项目特点和难点理解透彻，培训应急预案完全满足本项目采购需求，</w:t>
            </w:r>
            <w:r>
              <w:rPr>
                <w:rFonts w:hint="eastAsia" w:asciiTheme="minorEastAsia" w:hAnsiTheme="minorEastAsia" w:eastAsiaTheme="minorEastAsia" w:cstheme="minorEastAsia"/>
                <w:color w:val="auto"/>
                <w:kern w:val="0"/>
                <w:sz w:val="24"/>
                <w:szCs w:val="24"/>
                <w:highlight w:val="none"/>
                <w:lang w:val="zh-CN" w:eastAsia="zh-CN" w:bidi="ar-SA"/>
              </w:rPr>
              <w:t>应急预案</w:t>
            </w:r>
            <w:r>
              <w:rPr>
                <w:rFonts w:hint="eastAsia" w:asciiTheme="minorEastAsia" w:hAnsiTheme="minorEastAsia" w:eastAsiaTheme="minorEastAsia" w:cstheme="minorEastAsia"/>
                <w:color w:val="auto"/>
                <w:kern w:val="0"/>
                <w:sz w:val="24"/>
                <w:szCs w:val="24"/>
                <w:highlight w:val="none"/>
                <w:lang w:val="en-US" w:eastAsia="zh-CN" w:bidi="ar-SA"/>
              </w:rPr>
              <w:t>完整、详细、全面的得5分；</w:t>
            </w:r>
          </w:p>
          <w:p w14:paraId="0FC529A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2.对本项目特点和难点理解准确，培训应急预案适合本项目采购需求，</w:t>
            </w:r>
            <w:r>
              <w:rPr>
                <w:rFonts w:hint="eastAsia" w:asciiTheme="minorEastAsia" w:hAnsiTheme="minorEastAsia" w:eastAsiaTheme="minorEastAsia" w:cstheme="minorEastAsia"/>
                <w:color w:val="auto"/>
                <w:kern w:val="0"/>
                <w:sz w:val="24"/>
                <w:szCs w:val="24"/>
                <w:highlight w:val="none"/>
                <w:lang w:val="zh-CN" w:eastAsia="zh-CN" w:bidi="ar-SA"/>
              </w:rPr>
              <w:t>应急预案</w:t>
            </w:r>
            <w:r>
              <w:rPr>
                <w:rFonts w:hint="eastAsia" w:asciiTheme="minorEastAsia" w:hAnsiTheme="minorEastAsia" w:eastAsiaTheme="minorEastAsia" w:cstheme="minorEastAsia"/>
                <w:color w:val="auto"/>
                <w:kern w:val="0"/>
                <w:sz w:val="24"/>
                <w:szCs w:val="24"/>
                <w:highlight w:val="none"/>
                <w:lang w:val="en-US" w:eastAsia="zh-CN" w:bidi="ar-SA"/>
              </w:rPr>
              <w:t>完整、详实的得4分；</w:t>
            </w:r>
          </w:p>
          <w:p w14:paraId="0038F3F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3.对本项目特点和难点理解有待提升，培训应急预案部分适合本项目采购需求，</w:t>
            </w:r>
            <w:r>
              <w:rPr>
                <w:rFonts w:hint="eastAsia" w:asciiTheme="minorEastAsia" w:hAnsiTheme="minorEastAsia" w:eastAsiaTheme="minorEastAsia" w:cstheme="minorEastAsia"/>
                <w:color w:val="auto"/>
                <w:kern w:val="0"/>
                <w:sz w:val="24"/>
                <w:szCs w:val="24"/>
                <w:highlight w:val="none"/>
                <w:lang w:val="zh-CN" w:eastAsia="zh-CN" w:bidi="ar-SA"/>
              </w:rPr>
              <w:t>应急预案</w:t>
            </w:r>
            <w:r>
              <w:rPr>
                <w:rFonts w:hint="eastAsia" w:asciiTheme="minorEastAsia" w:hAnsiTheme="minorEastAsia" w:eastAsiaTheme="minorEastAsia" w:cstheme="minorEastAsia"/>
                <w:color w:val="auto"/>
                <w:kern w:val="0"/>
                <w:sz w:val="24"/>
                <w:szCs w:val="24"/>
                <w:highlight w:val="none"/>
                <w:lang w:val="en-US" w:eastAsia="zh-CN" w:bidi="ar-SA"/>
              </w:rPr>
              <w:t>部分缺失、有待改善，得3分；</w:t>
            </w:r>
          </w:p>
          <w:p w14:paraId="4308A32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4.未提供的不得分。</w:t>
            </w:r>
          </w:p>
        </w:tc>
        <w:tc>
          <w:tcPr>
            <w:tcW w:w="626" w:type="pct"/>
            <w:tcBorders>
              <w:top w:val="single" w:color="auto" w:sz="4" w:space="0"/>
              <w:left w:val="single" w:color="auto" w:sz="4" w:space="0"/>
              <w:bottom w:val="single" w:color="auto" w:sz="4" w:space="0"/>
              <w:right w:val="single" w:color="auto" w:sz="4" w:space="0"/>
            </w:tcBorders>
            <w:vAlign w:val="center"/>
          </w:tcPr>
          <w:p w14:paraId="2CAF51E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0-5分</w:t>
            </w:r>
          </w:p>
        </w:tc>
      </w:tr>
      <w:tr w14:paraId="35B1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63EB3122">
            <w:pPr>
              <w:keepNext w:val="0"/>
              <w:keepLines w:val="0"/>
              <w:pageBreakBefore w:val="0"/>
              <w:widowControl w:val="0"/>
              <w:kinsoku/>
              <w:wordWrap/>
              <w:overflowPunct/>
              <w:topLinePunct w:val="0"/>
              <w:autoSpaceDE/>
              <w:autoSpaceDN/>
              <w:bidi w:val="0"/>
              <w:adjustRightInd/>
              <w:snapToGrid/>
              <w:spacing w:line="50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6683CD22">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pacing w:val="3"/>
                <w:sz w:val="24"/>
                <w:szCs w:val="24"/>
                <w:lang w:val="en-US" w:eastAsia="zh-CN"/>
              </w:rPr>
              <w:t>11.</w:t>
            </w:r>
            <w:r>
              <w:rPr>
                <w:rFonts w:hint="eastAsia" w:ascii="宋体" w:hAnsi="宋体" w:eastAsia="宋体" w:cs="宋体"/>
                <w:spacing w:val="3"/>
                <w:sz w:val="24"/>
                <w:szCs w:val="24"/>
              </w:rPr>
              <w:t>培训效果</w:t>
            </w:r>
            <w:r>
              <w:rPr>
                <w:rFonts w:hint="eastAsia" w:ascii="宋体" w:hAnsi="宋体" w:eastAsia="宋体" w:cs="宋体"/>
                <w:spacing w:val="-2"/>
                <w:sz w:val="24"/>
                <w:szCs w:val="24"/>
              </w:rPr>
              <w:t>评价方案</w:t>
            </w:r>
          </w:p>
        </w:tc>
        <w:tc>
          <w:tcPr>
            <w:tcW w:w="3098" w:type="pct"/>
            <w:tcBorders>
              <w:top w:val="single" w:color="auto" w:sz="4" w:space="0"/>
              <w:left w:val="single" w:color="auto" w:sz="4" w:space="0"/>
              <w:bottom w:val="single" w:color="auto" w:sz="4" w:space="0"/>
              <w:right w:val="single" w:color="auto" w:sz="4" w:space="0"/>
            </w:tcBorders>
            <w:shd w:val="clear" w:color="auto" w:fill="auto"/>
            <w:vAlign w:val="top"/>
          </w:tcPr>
          <w:p w14:paraId="76A76098">
            <w:pPr>
              <w:pStyle w:val="61"/>
              <w:keepNext w:val="0"/>
              <w:keepLines w:val="0"/>
              <w:pageBreakBefore w:val="0"/>
              <w:widowControl w:val="0"/>
              <w:kinsoku/>
              <w:wordWrap/>
              <w:overflowPunct/>
              <w:topLinePunct w:val="0"/>
              <w:autoSpaceDE/>
              <w:autoSpaceDN/>
              <w:bidi w:val="0"/>
              <w:adjustRightInd/>
              <w:snapToGrid/>
              <w:spacing w:line="500" w:lineRule="exact"/>
              <w:ind w:left="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对供应商在响应文件中提供的培训效果评价方案，从参训人员学习后的自我评价、供应商服务后评价、采购人对培训情况的评价等方面，满足参训学员实际培训需求。审查其培训效果评价方案的完整性，缜密性、可行性。</w:t>
            </w:r>
          </w:p>
          <w:p w14:paraId="1F97C458">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1.方案思路清晰完整、明确、切实可行的得5分；</w:t>
            </w:r>
          </w:p>
          <w:p w14:paraId="2A41B92A">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2.方案思路清晰完整、可行性高的得4分；</w:t>
            </w:r>
          </w:p>
          <w:p w14:paraId="648F3E0C">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3.方案内容欠缺、思路不清晰，可行性有待提高的得3分；</w:t>
            </w:r>
          </w:p>
          <w:p w14:paraId="0DF73C8B">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4.不提供不得分。</w:t>
            </w:r>
          </w:p>
        </w:tc>
        <w:tc>
          <w:tcPr>
            <w:tcW w:w="626" w:type="pct"/>
            <w:tcBorders>
              <w:top w:val="single" w:color="auto" w:sz="4" w:space="0"/>
              <w:left w:val="single" w:color="auto" w:sz="4" w:space="0"/>
              <w:bottom w:val="single" w:color="auto" w:sz="4" w:space="0"/>
              <w:right w:val="single" w:color="auto" w:sz="4" w:space="0"/>
            </w:tcBorders>
            <w:shd w:val="clear" w:color="auto" w:fill="auto"/>
            <w:vAlign w:val="center"/>
          </w:tcPr>
          <w:p w14:paraId="003C5B1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0-5分</w:t>
            </w:r>
          </w:p>
        </w:tc>
      </w:tr>
      <w:tr w14:paraId="1A7A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Merge w:val="continue"/>
            <w:tcBorders>
              <w:left w:val="single" w:color="auto" w:sz="4" w:space="0"/>
              <w:right w:val="single" w:color="auto" w:sz="4" w:space="0"/>
            </w:tcBorders>
            <w:vAlign w:val="center"/>
          </w:tcPr>
          <w:p w14:paraId="5B75BD4C">
            <w:pPr>
              <w:keepNext w:val="0"/>
              <w:keepLines w:val="0"/>
              <w:pageBreakBefore w:val="0"/>
              <w:widowControl w:val="0"/>
              <w:kinsoku/>
              <w:wordWrap/>
              <w:overflowPunct/>
              <w:topLinePunct w:val="0"/>
              <w:autoSpaceDE/>
              <w:autoSpaceDN/>
              <w:bidi w:val="0"/>
              <w:adjustRightInd/>
              <w:snapToGrid/>
              <w:spacing w:line="50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04DFF49D">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pacing w:val="-3"/>
                <w:sz w:val="24"/>
                <w:szCs w:val="24"/>
                <w:lang w:val="en-US" w:eastAsia="zh-CN"/>
              </w:rPr>
              <w:t>12.</w:t>
            </w:r>
            <w:r>
              <w:rPr>
                <w:rFonts w:hint="eastAsia" w:ascii="宋体" w:hAnsi="宋体" w:eastAsia="宋体" w:cs="宋体"/>
                <w:spacing w:val="-3"/>
                <w:sz w:val="24"/>
                <w:szCs w:val="24"/>
              </w:rPr>
              <w:t>后续服</w:t>
            </w:r>
            <w:r>
              <w:rPr>
                <w:rFonts w:hint="eastAsia" w:ascii="宋体" w:hAnsi="宋体" w:eastAsia="宋体" w:cs="宋体"/>
                <w:spacing w:val="-3"/>
                <w:sz w:val="24"/>
                <w:szCs w:val="24"/>
                <w:lang w:val="en-US" w:eastAsia="zh-CN"/>
              </w:rPr>
              <w:t>务</w:t>
            </w:r>
          </w:p>
        </w:tc>
        <w:tc>
          <w:tcPr>
            <w:tcW w:w="3098" w:type="pct"/>
            <w:tcBorders>
              <w:top w:val="single" w:color="auto" w:sz="4" w:space="0"/>
              <w:left w:val="single" w:color="auto" w:sz="4" w:space="0"/>
              <w:bottom w:val="single" w:color="auto" w:sz="4" w:space="0"/>
              <w:right w:val="single" w:color="auto" w:sz="4" w:space="0"/>
            </w:tcBorders>
            <w:shd w:val="clear" w:color="auto" w:fill="auto"/>
            <w:vAlign w:val="top"/>
          </w:tcPr>
          <w:p w14:paraId="5B2E6559">
            <w:pPr>
              <w:pStyle w:val="61"/>
              <w:keepNext w:val="0"/>
              <w:keepLines w:val="0"/>
              <w:pageBreakBefore w:val="0"/>
              <w:widowControl w:val="0"/>
              <w:kinsoku/>
              <w:wordWrap/>
              <w:overflowPunct/>
              <w:topLinePunct w:val="0"/>
              <w:autoSpaceDE/>
              <w:autoSpaceDN/>
              <w:bidi w:val="0"/>
              <w:adjustRightInd/>
              <w:snapToGrid/>
              <w:spacing w:line="500" w:lineRule="exact"/>
              <w:ind w:left="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后续服务方案要明确、合理、完备，可实施性强，要坚持效果导向，须对后续服务开展情况进行绩效分析并提供报告模板。后续服务方案要有针对性，须为不同类型、不同行业、不同需求的学员提供个性化服务方案，须为每位学员建立后续服务档案并提供档案模板。后续服务方案中服务形式要多样化，可包含但不限于提供创业开业指导、资源对接、政策推送、跟踪辅导等具体举措。对其全面性、突出性、针对性等方面进行综合评比。</w:t>
            </w:r>
          </w:p>
          <w:p w14:paraId="2A96E3EC">
            <w:pPr>
              <w:pStyle w:val="61"/>
              <w:keepNext w:val="0"/>
              <w:keepLines w:val="0"/>
              <w:pageBreakBefore w:val="0"/>
              <w:widowControl w:val="0"/>
              <w:kinsoku/>
              <w:wordWrap/>
              <w:overflowPunct/>
              <w:topLinePunct w:val="0"/>
              <w:autoSpaceDE/>
              <w:autoSpaceDN/>
              <w:bidi w:val="0"/>
              <w:adjustRightInd/>
              <w:snapToGrid/>
              <w:spacing w:line="500" w:lineRule="exact"/>
              <w:ind w:left="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1.方案覆盖全面、要点突出、内容完整详实，表述清晰，与本项目实际需求适应度高，利于项目实施的得5分；</w:t>
            </w:r>
          </w:p>
          <w:p w14:paraId="385DCEDE">
            <w:pPr>
              <w:pStyle w:val="61"/>
              <w:keepNext w:val="0"/>
              <w:keepLines w:val="0"/>
              <w:pageBreakBefore w:val="0"/>
              <w:widowControl w:val="0"/>
              <w:kinsoku/>
              <w:wordWrap/>
              <w:overflowPunct/>
              <w:topLinePunct w:val="0"/>
              <w:autoSpaceDE/>
              <w:autoSpaceDN/>
              <w:bidi w:val="0"/>
              <w:adjustRightInd/>
              <w:snapToGrid/>
              <w:spacing w:line="500" w:lineRule="exact"/>
              <w:ind w:left="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2.方案覆盖全面、内容完整，符合项目实施要求的得4分；</w:t>
            </w:r>
          </w:p>
          <w:p w14:paraId="49084A1A">
            <w:pPr>
              <w:pStyle w:val="61"/>
              <w:keepNext w:val="0"/>
              <w:keepLines w:val="0"/>
              <w:pageBreakBefore w:val="0"/>
              <w:widowControl w:val="0"/>
              <w:kinsoku/>
              <w:wordWrap/>
              <w:overflowPunct/>
              <w:topLinePunct w:val="0"/>
              <w:autoSpaceDE/>
              <w:autoSpaceDN/>
              <w:bidi w:val="0"/>
              <w:adjustRightInd/>
              <w:snapToGrid/>
              <w:spacing w:line="500" w:lineRule="exact"/>
              <w:ind w:left="0" w:right="0" w:firstLine="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3.方案覆盖不全面，要点突出不够明显，具体细节有待完善的得3分；</w:t>
            </w:r>
          </w:p>
          <w:p w14:paraId="2C23B67D">
            <w:pPr>
              <w:pStyle w:val="6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4.不提供不得分。</w:t>
            </w:r>
          </w:p>
        </w:tc>
        <w:tc>
          <w:tcPr>
            <w:tcW w:w="626" w:type="pct"/>
            <w:tcBorders>
              <w:top w:val="single" w:color="auto" w:sz="4" w:space="0"/>
              <w:left w:val="single" w:color="auto" w:sz="4" w:space="0"/>
              <w:bottom w:val="single" w:color="auto" w:sz="4" w:space="0"/>
              <w:right w:val="single" w:color="auto" w:sz="4" w:space="0"/>
            </w:tcBorders>
            <w:shd w:val="clear" w:color="auto" w:fill="auto"/>
            <w:vAlign w:val="center"/>
          </w:tcPr>
          <w:p w14:paraId="5462E2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0-5分</w:t>
            </w:r>
          </w:p>
        </w:tc>
      </w:tr>
      <w:tr w14:paraId="24A7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tcBorders>
              <w:left w:val="single" w:color="auto" w:sz="4" w:space="0"/>
              <w:right w:val="single" w:color="auto" w:sz="4" w:space="0"/>
            </w:tcBorders>
            <w:vAlign w:val="center"/>
          </w:tcPr>
          <w:p w14:paraId="44CD836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价格分</w:t>
            </w:r>
          </w:p>
          <w:p w14:paraId="51ADC90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lang w:val="en-US" w:eastAsia="zh-CN"/>
              </w:rPr>
              <w:t>11</w:t>
            </w:r>
            <w:r>
              <w:rPr>
                <w:rFonts w:hint="eastAsia" w:asciiTheme="minorEastAsia" w:hAnsiTheme="minorEastAsia" w:eastAsiaTheme="minorEastAsia" w:cstheme="minorEastAsia"/>
                <w:color w:val="auto"/>
                <w:sz w:val="24"/>
                <w:szCs w:val="24"/>
                <w:highlight w:val="none"/>
              </w:rPr>
              <w:t>分）</w:t>
            </w:r>
          </w:p>
        </w:tc>
        <w:tc>
          <w:tcPr>
            <w:tcW w:w="4396" w:type="pct"/>
            <w:gridSpan w:val="3"/>
            <w:tcBorders>
              <w:top w:val="single" w:color="auto" w:sz="4" w:space="0"/>
              <w:left w:val="single" w:color="auto" w:sz="4" w:space="0"/>
              <w:bottom w:val="single" w:color="auto" w:sz="4" w:space="0"/>
              <w:right w:val="single" w:color="auto" w:sz="4" w:space="0"/>
            </w:tcBorders>
            <w:vAlign w:val="center"/>
          </w:tcPr>
          <w:p w14:paraId="05A7C84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价格分统一采用低价优先法，即满足磋商文件要求且最后报价最低的供应商的价格为磋商基准价，其价格分为满分</w:t>
            </w:r>
            <w:r>
              <w:rPr>
                <w:rFonts w:hint="eastAsia" w:asciiTheme="minorEastAsia" w:hAnsiTheme="minorEastAsia" w:eastAsiaTheme="minorEastAsia" w:cstheme="minorEastAsia"/>
                <w:color w:val="auto"/>
                <w:sz w:val="24"/>
                <w:szCs w:val="24"/>
                <w:highlight w:val="none"/>
                <w:u w:val="single"/>
                <w:lang w:val="en-US" w:eastAsia="zh-CN"/>
              </w:rPr>
              <w:t>11</w:t>
            </w:r>
            <w:r>
              <w:rPr>
                <w:rFonts w:hint="eastAsia" w:asciiTheme="minorEastAsia" w:hAnsiTheme="minorEastAsia" w:eastAsiaTheme="minorEastAsia" w:cstheme="minorEastAsia"/>
                <w:color w:val="auto"/>
                <w:sz w:val="24"/>
                <w:szCs w:val="24"/>
                <w:highlight w:val="none"/>
              </w:rPr>
              <w:t>分。其他供应商的价格分统一按照下列公式计算：</w:t>
            </w:r>
          </w:p>
          <w:p w14:paraId="1792855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磋商报价得分＝（磋商基准价/最后磋商报价）×</w:t>
            </w:r>
            <w:r>
              <w:rPr>
                <w:rFonts w:hint="eastAsia" w:asciiTheme="minorEastAsia" w:hAnsiTheme="minorEastAsia" w:eastAsiaTheme="minorEastAsia" w:cstheme="minorEastAsia"/>
                <w:color w:val="auto"/>
                <w:sz w:val="24"/>
                <w:szCs w:val="24"/>
                <w:highlight w:val="none"/>
                <w:u w:val="single"/>
                <w:lang w:val="en-US" w:eastAsia="zh-CN"/>
              </w:rPr>
              <w:t>11</w:t>
            </w:r>
            <w:r>
              <w:rPr>
                <w:rFonts w:hint="eastAsia" w:asciiTheme="minorEastAsia" w:hAnsiTheme="minorEastAsia" w:eastAsiaTheme="minorEastAsia" w:cstheme="minorEastAsia"/>
                <w:color w:val="auto"/>
                <w:sz w:val="24"/>
                <w:szCs w:val="24"/>
                <w:highlight w:val="none"/>
              </w:rPr>
              <w:t>％×100</w:t>
            </w:r>
          </w:p>
        </w:tc>
      </w:tr>
    </w:tbl>
    <w:p w14:paraId="4059006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1AAA19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1）磋商小组各成员应当独立对每个有效响应的文件进行评价、打分，然后汇总每个供应商每项评分因素的得分，再取各位评委评分之平均值，四舍五入保留至小数点后两位数，得到该供应商的技术资信分。</w:t>
      </w:r>
    </w:p>
    <w:p w14:paraId="7FB67BD5">
      <w:pPr>
        <w:spacing w:line="360" w:lineRule="auto"/>
        <w:ind w:firstLine="435"/>
        <w:rPr>
          <w:rFonts w:hint="eastAsia" w:ascii="宋体" w:hAnsi="宋体" w:eastAsia="宋体" w:cs="宋体"/>
          <w:b/>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2）将每个供应商的技术资信分加上根据上述标准计算出的价格分，即为</w:t>
      </w:r>
      <w:r>
        <w:rPr>
          <w:rFonts w:hint="eastAsia" w:asciiTheme="minorEastAsia" w:hAnsiTheme="minorEastAsia" w:eastAsiaTheme="minorEastAsia"/>
          <w:color w:val="auto"/>
          <w:sz w:val="24"/>
          <w:highlight w:val="none"/>
        </w:rPr>
        <w:t>该供应商的综合总得分。</w:t>
      </w:r>
    </w:p>
    <w:p w14:paraId="6D3444FE">
      <w:pPr>
        <w:spacing w:line="360" w:lineRule="auto"/>
        <w:ind w:firstLine="435"/>
        <w:rPr>
          <w:rFonts w:ascii="宋体" w:hAnsi="宋体" w:eastAsia="宋体" w:cs="宋体"/>
          <w:b/>
          <w:color w:val="auto"/>
          <w:sz w:val="24"/>
          <w:highlight w:val="none"/>
        </w:rPr>
      </w:pPr>
      <w:r>
        <w:rPr>
          <w:rFonts w:hint="eastAsia" w:ascii="宋体" w:hAnsi="宋体" w:eastAsia="宋体" w:cs="宋体"/>
          <w:b/>
          <w:color w:val="auto"/>
          <w:sz w:val="24"/>
          <w:highlight w:val="none"/>
        </w:rPr>
        <w:t>三、无效投标条款</w:t>
      </w:r>
    </w:p>
    <w:p w14:paraId="0947C3F4">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3.1响应文件有下列情形之一的,其响应文件拒收:</w:t>
      </w:r>
    </w:p>
    <w:p w14:paraId="21352EE6">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 未在开启截止时间前通过网上招标投标系统递交有效电子响应文件的，开标系统不予接收，磋商将被拒绝。</w:t>
      </w:r>
    </w:p>
    <w:p w14:paraId="1054FD6E">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(2)供应商接到远程解密指令后，须在规定时间内解密。因供应商自身原因导致响应文件在规定时间内未能解密、解密失败或解密超时，响应文件无效；解密时间：从本项目解密程序开始时计时，至完成响应文件解密时间，不得超过30分钟，否则响应文件将被拒绝。</w:t>
      </w:r>
    </w:p>
    <w:p w14:paraId="278B3091">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3.2供应商有下列情形之一的,资格审查后其磋商作无效响应处理：</w:t>
      </w:r>
    </w:p>
    <w:p w14:paraId="21D2E8B8">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(1)供应商为本项目提供招标代理服务的；</w:t>
      </w:r>
    </w:p>
    <w:p w14:paraId="33369D9B">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(2)供应商与在本项目代理机构存在相互任职或工作的；</w:t>
      </w:r>
    </w:p>
    <w:p w14:paraId="51491714">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(3)与采购人存在利害关系可能影响采购公正性的法人、其他组织或者个人；</w:t>
      </w:r>
    </w:p>
    <w:p w14:paraId="7C0736F3">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(4)招标公告写明专门面向中小企业采购，供应商提供的货物非中小企业制造的；</w:t>
      </w:r>
    </w:p>
    <w:p w14:paraId="3BD3FC91">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(5)要求供应商以联合体形式参加采购活动，供应商非联合体或者联合协议中中小企业合同金额未达到应当达到的比例；</w:t>
      </w:r>
    </w:p>
    <w:p w14:paraId="4E8D1CEB">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(6)要求获得采购合同的供应商向中小企业分包，供应商未提供分包意向协议或者分包意向协议中中小企业合同金额未达到应当达到的比例；</w:t>
      </w:r>
    </w:p>
    <w:p w14:paraId="169B3FD6">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(7)评标专家无法查看并检验电子响应标文件中相关资料的；</w:t>
      </w:r>
    </w:p>
    <w:p w14:paraId="5CECADC3">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(8)联合体投标未提交联合体协议的；</w:t>
      </w:r>
    </w:p>
    <w:p w14:paraId="7ED2F471">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(9)责令停产停业的；</w:t>
      </w:r>
    </w:p>
    <w:p w14:paraId="7DF894C0">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(10)暂停或者取消参与政府采购项目资格的；</w:t>
      </w:r>
    </w:p>
    <w:p w14:paraId="446F73C6">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(11)供应商单位负责人为同一人或者存在直接控股、管理关系的不同单位的；</w:t>
      </w:r>
    </w:p>
    <w:p w14:paraId="02B94DAC">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(12)供应商基本资格条件和特定资格条件中有一项及以上不符合要求的；</w:t>
      </w:r>
    </w:p>
    <w:p w14:paraId="19E571B0">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(13)开标时查询投标文件制作机器码、文件创建标识码及造价软件加密锁号。若存在投标文件制作机器码或创建标识码或造价软件加密锁号信息与其他供应商雷同的，投标无效；</w:t>
      </w:r>
    </w:p>
    <w:p w14:paraId="12473B3E">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(14)其它情形，经磋商小组委提出按无效投标处理的；</w:t>
      </w:r>
    </w:p>
    <w:p w14:paraId="51B87CE2">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(15)供应商投标MAC地址一致，由磋商小组否决其投标；</w:t>
      </w:r>
    </w:p>
    <w:p w14:paraId="2D9BCF42">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(16)供应商单方面出现其他供应商材料的；</w:t>
      </w:r>
    </w:p>
    <w:p w14:paraId="4D6AD2B2">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(17)供应商联系人或联系电话相同的，由磋商小组否决其投标；</w:t>
      </w:r>
    </w:p>
    <w:p w14:paraId="1621C797">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(18)磋商公告未写明允许采购进口产品，供应商所投产品为进口产品的；</w:t>
      </w:r>
    </w:p>
    <w:p w14:paraId="28F2A5ED">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(19)磋商文件规定的其它无效投标情形。</w:t>
      </w:r>
    </w:p>
    <w:p w14:paraId="7FD4462B">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3.3 供应商有下列情形之一的,符合性审查后其磋商按无效响应处理：</w:t>
      </w:r>
    </w:p>
    <w:p w14:paraId="0D94CDFE">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(1)响应文件签字、盖章不全，经磋商小组一致认定对开评标内容有实质性影响的；</w:t>
      </w:r>
    </w:p>
    <w:p w14:paraId="20AF522E">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(2)未按规定的格式填写导致实质性内容不全以及实质上不响应，或者关键字迹模糊、无法辨认的；</w:t>
      </w:r>
    </w:p>
    <w:p w14:paraId="00F07E70">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(3)同一供应商提交两个以上不同的投标文件或者投标报价，但招标文件规定提交备选方案的除外；</w:t>
      </w:r>
    </w:p>
    <w:p w14:paraId="252F4C5B">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(4)投标文件没有对招标文件的实质性要求和条件作出响应;</w:t>
      </w:r>
    </w:p>
    <w:p w14:paraId="22910558">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(5)投标报价超出规定的投标限价或公布的采购预算的；</w:t>
      </w:r>
    </w:p>
    <w:p w14:paraId="3086CE7C">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(6)不按磋商小组要求澄清、说明或补正的，或者磋商小组根据招标文件的规定对投标文件的计算错误进行修正后，供应商不接受修正的投标报价的。</w:t>
      </w:r>
    </w:p>
    <w:p w14:paraId="3EAC2E25">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(7)其它情形，经磋商小组委提出按无效投标处理的；</w:t>
      </w:r>
    </w:p>
    <w:p w14:paraId="6E732162">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(8)响应文件含有采购人不能接受的附加条件的；</w:t>
      </w:r>
    </w:p>
    <w:p w14:paraId="51D4B053">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(9)磋商文件规定的其它无效投标情形。</w:t>
      </w:r>
    </w:p>
    <w:p w14:paraId="677D4694">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3.4 供应商有下列情形之一的, 详细评审后其磋商按无效响应处理：</w:t>
      </w:r>
    </w:p>
    <w:p w14:paraId="4C098138">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(1)所供产品不符合必须强制执行的国家标准的；</w:t>
      </w:r>
    </w:p>
    <w:p w14:paraId="23AF18F0">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(2)供应商有串通投标、弄虚作假、行贿等违法行为；</w:t>
      </w:r>
    </w:p>
    <w:p w14:paraId="0F5C6FA1">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(3)响应文件含有违反国家法律、法规的内容，或附有采购人不能接受的条件的；</w:t>
      </w:r>
    </w:p>
    <w:p w14:paraId="68332F0E">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(4)拒不确认磋商小组评审修正的投标无效；</w:t>
      </w:r>
    </w:p>
    <w:p w14:paraId="0EA11570">
      <w:pPr>
        <w:spacing w:line="360" w:lineRule="auto"/>
        <w:ind w:firstLine="435"/>
        <w:rPr>
          <w:rFonts w:hint="eastAsia" w:ascii="宋体" w:hAnsi="宋体" w:eastAsia="宋体" w:cs="Arial"/>
          <w:kern w:val="2"/>
          <w:sz w:val="24"/>
          <w:highlight w:val="none"/>
          <w:lang w:val="en-US" w:eastAsia="zh-CN" w:bidi="ar-SA"/>
        </w:rPr>
      </w:pPr>
      <w:r>
        <w:rPr>
          <w:rFonts w:hint="eastAsia" w:ascii="宋体" w:hAnsi="宋体" w:eastAsia="宋体" w:cs="Arial"/>
          <w:kern w:val="2"/>
          <w:sz w:val="24"/>
          <w:highlight w:val="none"/>
          <w:lang w:val="en-US" w:eastAsia="zh-CN" w:bidi="ar-SA"/>
        </w:rPr>
        <w:t>(5)其它情形，经磋商小组委提出按无效投标处理的；</w:t>
      </w:r>
    </w:p>
    <w:p w14:paraId="7BEBED9A">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Arial"/>
          <w:kern w:val="2"/>
          <w:sz w:val="24"/>
          <w:highlight w:val="none"/>
          <w:lang w:val="en-US" w:eastAsia="zh-CN" w:bidi="ar-SA"/>
        </w:rPr>
        <w:t>(6)磋商文件规定的其它无效投标情形。</w:t>
      </w:r>
      <w:r>
        <w:rPr>
          <w:rFonts w:asciiTheme="minorEastAsia" w:hAnsiTheme="minorEastAsia" w:eastAsiaTheme="minorEastAsia"/>
          <w:color w:val="auto"/>
          <w:sz w:val="24"/>
          <w:highlight w:val="none"/>
        </w:rPr>
        <w:br w:type="page"/>
      </w:r>
    </w:p>
    <w:p w14:paraId="1C818252">
      <w:pPr>
        <w:spacing w:line="360" w:lineRule="auto"/>
        <w:jc w:val="center"/>
        <w:outlineLvl w:val="0"/>
        <w:rPr>
          <w:rFonts w:hint="eastAsia" w:ascii="宋体" w:hAnsi="宋体" w:eastAsia="宋体" w:cs="宋体"/>
          <w:b/>
          <w:bCs/>
          <w:spacing w:val="-20"/>
          <w:kern w:val="44"/>
          <w:sz w:val="24"/>
          <w:szCs w:val="24"/>
          <w:highlight w:val="none"/>
        </w:rPr>
      </w:pPr>
      <w:bookmarkStart w:id="57" w:name="_Toc6151"/>
      <w:bookmarkStart w:id="58" w:name="_Toc8170"/>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57"/>
    </w:p>
    <w:p w14:paraId="7353A1C1">
      <w:pPr>
        <w:spacing w:line="480" w:lineRule="auto"/>
        <w:jc w:val="center"/>
        <w:outlineLvl w:val="1"/>
        <w:rPr>
          <w:rFonts w:ascii="宋体" w:hAnsi="宋体" w:eastAsia="宋体"/>
          <w:b/>
          <w:sz w:val="32"/>
          <w:szCs w:val="32"/>
          <w:highlight w:val="none"/>
        </w:rPr>
      </w:pPr>
      <w:bookmarkStart w:id="59" w:name="_Toc10629"/>
      <w:r>
        <w:rPr>
          <w:rFonts w:ascii="宋体" w:hAnsi="宋体" w:eastAsia="宋体"/>
          <w:b/>
          <w:sz w:val="32"/>
          <w:szCs w:val="32"/>
          <w:highlight w:val="none"/>
        </w:rPr>
        <w:t>政府采购合同</w:t>
      </w:r>
      <w:r>
        <w:rPr>
          <w:rFonts w:hint="eastAsia" w:ascii="宋体" w:hAnsi="宋体" w:eastAsia="宋体"/>
          <w:b/>
          <w:sz w:val="32"/>
          <w:szCs w:val="32"/>
          <w:highlight w:val="none"/>
        </w:rPr>
        <w:t>参考范本</w:t>
      </w:r>
      <w:bookmarkEnd w:id="58"/>
      <w:bookmarkEnd w:id="59"/>
    </w:p>
    <w:p w14:paraId="34EA457D">
      <w:pPr>
        <w:spacing w:line="480" w:lineRule="auto"/>
        <w:jc w:val="center"/>
        <w:outlineLvl w:val="1"/>
        <w:rPr>
          <w:rFonts w:ascii="宋体" w:hAnsi="宋体" w:eastAsia="宋体"/>
          <w:b/>
          <w:sz w:val="32"/>
          <w:szCs w:val="32"/>
          <w:highlight w:val="none"/>
        </w:rPr>
      </w:pPr>
      <w:bookmarkStart w:id="60" w:name="_Toc15041"/>
      <w:bookmarkStart w:id="61" w:name="_Toc20975"/>
      <w:r>
        <w:rPr>
          <w:rFonts w:hint="eastAsia" w:ascii="宋体" w:hAnsi="宋体" w:eastAsia="宋体"/>
          <w:b/>
          <w:sz w:val="32"/>
          <w:szCs w:val="32"/>
          <w:highlight w:val="none"/>
        </w:rPr>
        <w:t>（服务类）</w:t>
      </w:r>
      <w:bookmarkEnd w:id="60"/>
      <w:bookmarkEnd w:id="61"/>
    </w:p>
    <w:p w14:paraId="2EE5B37D">
      <w:pPr>
        <w:spacing w:line="480" w:lineRule="auto"/>
        <w:jc w:val="center"/>
        <w:rPr>
          <w:rFonts w:ascii="宋体" w:hAnsi="宋体" w:eastAsia="宋体"/>
          <w:b/>
          <w:sz w:val="24"/>
          <w:highlight w:val="none"/>
        </w:rPr>
      </w:pPr>
    </w:p>
    <w:p w14:paraId="0C233069">
      <w:pPr>
        <w:spacing w:line="480" w:lineRule="auto"/>
        <w:jc w:val="center"/>
        <w:rPr>
          <w:rFonts w:ascii="宋体" w:hAnsi="宋体" w:eastAsia="宋体"/>
          <w:b/>
          <w:sz w:val="24"/>
          <w:highlight w:val="none"/>
        </w:rPr>
      </w:pPr>
    </w:p>
    <w:p w14:paraId="3929B9F1">
      <w:pPr>
        <w:spacing w:line="480" w:lineRule="auto"/>
        <w:jc w:val="center"/>
        <w:rPr>
          <w:rFonts w:ascii="宋体" w:hAnsi="宋体" w:eastAsia="宋体"/>
          <w:b/>
          <w:sz w:val="24"/>
          <w:highlight w:val="none"/>
        </w:rPr>
      </w:pPr>
    </w:p>
    <w:p w14:paraId="5880F9A5">
      <w:pPr>
        <w:spacing w:line="360" w:lineRule="auto"/>
        <w:jc w:val="center"/>
        <w:outlineLvl w:val="1"/>
        <w:rPr>
          <w:rFonts w:ascii="宋体" w:hAnsi="宋体" w:eastAsia="宋体"/>
          <w:b/>
          <w:sz w:val="24"/>
          <w:highlight w:val="none"/>
        </w:rPr>
      </w:pPr>
      <w:bookmarkStart w:id="62" w:name="_Toc30604"/>
      <w:bookmarkStart w:id="63" w:name="_Toc6962"/>
      <w:r>
        <w:rPr>
          <w:rFonts w:hint="eastAsia" w:ascii="宋体" w:hAnsi="宋体" w:eastAsia="宋体"/>
          <w:b/>
          <w:sz w:val="24"/>
          <w:highlight w:val="none"/>
        </w:rPr>
        <w:t>第一部分 合同书</w:t>
      </w:r>
      <w:bookmarkEnd w:id="62"/>
      <w:bookmarkEnd w:id="63"/>
    </w:p>
    <w:p w14:paraId="44053C61">
      <w:pPr>
        <w:spacing w:line="480" w:lineRule="auto"/>
        <w:jc w:val="center"/>
        <w:rPr>
          <w:rFonts w:ascii="宋体" w:hAnsi="宋体" w:eastAsia="宋体"/>
          <w:b/>
          <w:sz w:val="24"/>
          <w:highlight w:val="none"/>
        </w:rPr>
      </w:pPr>
    </w:p>
    <w:p w14:paraId="00A6EF0E">
      <w:pPr>
        <w:spacing w:line="480" w:lineRule="auto"/>
        <w:jc w:val="center"/>
        <w:rPr>
          <w:rFonts w:ascii="宋体" w:hAnsi="宋体" w:eastAsia="宋体"/>
          <w:b/>
          <w:sz w:val="24"/>
          <w:highlight w:val="none"/>
        </w:rPr>
      </w:pPr>
    </w:p>
    <w:p w14:paraId="00924FF6">
      <w:pPr>
        <w:spacing w:line="480" w:lineRule="auto"/>
        <w:jc w:val="center"/>
        <w:rPr>
          <w:rFonts w:ascii="宋体" w:hAnsi="宋体" w:eastAsia="宋体"/>
          <w:b/>
          <w:sz w:val="24"/>
          <w:highlight w:val="none"/>
        </w:rPr>
      </w:pPr>
    </w:p>
    <w:p w14:paraId="5B5F6A36">
      <w:pPr>
        <w:spacing w:before="120" w:line="480" w:lineRule="auto"/>
        <w:ind w:left="960"/>
        <w:rPr>
          <w:rFonts w:hint="eastAsia" w:ascii="宋体" w:hAnsi="宋体" w:eastAsia="宋体"/>
          <w:i/>
          <w:iCs/>
          <w:sz w:val="24"/>
          <w:highlight w:val="none"/>
          <w:lang w:val="en-US" w:eastAsia="zh-CN"/>
        </w:rPr>
      </w:pPr>
      <w:r>
        <w:rPr>
          <w:rFonts w:hint="eastAsia" w:ascii="宋体" w:hAnsi="宋体" w:eastAsia="宋体"/>
          <w:sz w:val="24"/>
          <w:highlight w:val="none"/>
        </w:rPr>
        <w:t>项目名称：</w:t>
      </w:r>
      <w:r>
        <w:rPr>
          <w:rFonts w:hint="eastAsia" w:asciiTheme="minorEastAsia" w:hAnsiTheme="minorEastAsia" w:eastAsiaTheme="minorEastAsia"/>
          <w:sz w:val="24"/>
          <w:highlight w:val="none"/>
          <w:u w:val="single"/>
          <w:lang w:val="en-US" w:eastAsia="zh-CN"/>
        </w:rPr>
        <w:t xml:space="preserve">                                      </w:t>
      </w:r>
      <w:r>
        <w:rPr>
          <w:rFonts w:hint="eastAsia" w:ascii="宋体" w:hAnsi="宋体" w:eastAsia="宋体"/>
          <w:i/>
          <w:iCs/>
          <w:sz w:val="24"/>
          <w:highlight w:val="none"/>
          <w:lang w:val="en-US" w:eastAsia="zh-CN"/>
        </w:rPr>
        <w:t xml:space="preserve">  </w:t>
      </w:r>
    </w:p>
    <w:p w14:paraId="34C22367">
      <w:pPr>
        <w:spacing w:before="120" w:line="480" w:lineRule="auto"/>
        <w:ind w:left="960"/>
        <w:rPr>
          <w:rFonts w:ascii="宋体" w:hAnsi="宋体" w:eastAsia="宋体"/>
          <w:sz w:val="24"/>
          <w:highlight w:val="none"/>
        </w:rPr>
      </w:pPr>
      <w:r>
        <w:rPr>
          <w:rFonts w:hint="eastAsia" w:ascii="宋体" w:hAnsi="宋体" w:eastAsia="宋体"/>
          <w:sz w:val="24"/>
          <w:highlight w:val="none"/>
        </w:rPr>
        <w:t>项目编号：</w:t>
      </w:r>
      <w:r>
        <w:rPr>
          <w:rFonts w:hint="eastAsia" w:asciiTheme="minorEastAsia" w:hAnsiTheme="minorEastAsia" w:eastAsiaTheme="minorEastAsia"/>
          <w:sz w:val="24"/>
          <w:highlight w:val="none"/>
          <w:u w:val="single"/>
          <w:lang w:val="en-US" w:eastAsia="zh-CN"/>
        </w:rPr>
        <w:t xml:space="preserve">                                       </w:t>
      </w:r>
    </w:p>
    <w:p w14:paraId="1B8CA4F4">
      <w:pPr>
        <w:spacing w:before="120" w:line="480" w:lineRule="auto"/>
        <w:ind w:left="960"/>
        <w:rPr>
          <w:rFonts w:ascii="宋体" w:hAnsi="宋体" w:eastAsia="宋体"/>
          <w:sz w:val="24"/>
          <w:highlight w:val="none"/>
          <w:u w:val="single"/>
        </w:rPr>
      </w:pPr>
      <w:r>
        <w:rPr>
          <w:rFonts w:hint="eastAsia" w:ascii="宋体" w:hAnsi="宋体" w:eastAsia="宋体"/>
          <w:sz w:val="24"/>
          <w:highlight w:val="none"/>
        </w:rPr>
        <w:t>甲方（采购人）：</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 xml:space="preserve">    </w:t>
      </w:r>
      <w:r>
        <w:rPr>
          <w:rFonts w:hint="eastAsia" w:ascii="宋体" w:hAnsi="宋体" w:eastAsia="宋体"/>
          <w:sz w:val="24"/>
          <w:highlight w:val="none"/>
          <w:u w:val="single"/>
        </w:rPr>
        <w:t xml:space="preserve">   </w:t>
      </w:r>
    </w:p>
    <w:p w14:paraId="70916A2F">
      <w:pPr>
        <w:spacing w:before="120" w:line="480" w:lineRule="auto"/>
        <w:ind w:left="960"/>
        <w:rPr>
          <w:rFonts w:ascii="宋体" w:hAnsi="宋体" w:eastAsia="宋体"/>
          <w:sz w:val="24"/>
          <w:highlight w:val="none"/>
          <w:u w:val="single"/>
        </w:rPr>
      </w:pPr>
      <w:r>
        <w:rPr>
          <w:rFonts w:hint="eastAsia" w:ascii="宋体" w:hAnsi="宋体" w:eastAsia="宋体"/>
          <w:sz w:val="24"/>
          <w:highlight w:val="none"/>
        </w:rPr>
        <w:t>乙方（成交供应商）：</w:t>
      </w:r>
      <w:r>
        <w:rPr>
          <w:rFonts w:ascii="宋体" w:hAnsi="宋体" w:eastAsia="宋体"/>
          <w:sz w:val="24"/>
          <w:highlight w:val="none"/>
          <w:u w:val="single"/>
        </w:rPr>
        <w:t xml:space="preserve">        </w:t>
      </w:r>
      <w:r>
        <w:rPr>
          <w:rFonts w:hint="eastAsia" w:ascii="宋体" w:hAnsi="宋体" w:eastAsia="宋体"/>
          <w:sz w:val="24"/>
          <w:highlight w:val="none"/>
          <w:u w:val="single"/>
        </w:rPr>
        <w:t xml:space="preserve"> </w:t>
      </w:r>
      <w:r>
        <w:rPr>
          <w:rFonts w:ascii="宋体" w:hAnsi="宋体" w:eastAsia="宋体"/>
          <w:sz w:val="24"/>
          <w:highlight w:val="none"/>
          <w:u w:val="single"/>
        </w:rPr>
        <w:t xml:space="preserve">   </w:t>
      </w:r>
      <w:r>
        <w:rPr>
          <w:rFonts w:hint="eastAsia" w:ascii="宋体" w:hAnsi="宋体" w:eastAsia="宋体"/>
          <w:sz w:val="24"/>
          <w:highlight w:val="none"/>
          <w:u w:val="single"/>
        </w:rPr>
        <w:t xml:space="preserve">                  </w:t>
      </w:r>
    </w:p>
    <w:p w14:paraId="1C21A754">
      <w:pPr>
        <w:spacing w:before="120" w:line="480" w:lineRule="auto"/>
        <w:ind w:firstLine="960" w:firstLineChars="400"/>
        <w:rPr>
          <w:rFonts w:ascii="宋体" w:hAnsi="宋体" w:eastAsia="宋体"/>
          <w:sz w:val="24"/>
          <w:highlight w:val="none"/>
          <w:u w:val="single"/>
        </w:rPr>
      </w:pPr>
      <w:r>
        <w:rPr>
          <w:rFonts w:hint="eastAsia" w:ascii="宋体" w:hAnsi="宋体" w:eastAsia="宋体"/>
          <w:sz w:val="24"/>
          <w:highlight w:val="none"/>
        </w:rPr>
        <w:t>签订地：</w:t>
      </w:r>
      <w:r>
        <w:rPr>
          <w:rFonts w:hint="eastAsia" w:ascii="宋体" w:hAnsi="宋体" w:eastAsia="宋体"/>
          <w:sz w:val="24"/>
          <w:highlight w:val="none"/>
          <w:u w:val="single"/>
        </w:rPr>
        <w:t xml:space="preserve">                                     </w:t>
      </w:r>
    </w:p>
    <w:p w14:paraId="5AE64D68">
      <w:pPr>
        <w:spacing w:before="120" w:line="480" w:lineRule="auto"/>
        <w:ind w:firstLine="960" w:firstLineChars="400"/>
        <w:rPr>
          <w:rFonts w:ascii="宋体" w:hAnsi="宋体" w:eastAsia="宋体"/>
          <w:sz w:val="24"/>
          <w:highlight w:val="none"/>
        </w:rPr>
      </w:pPr>
      <w:r>
        <w:rPr>
          <w:rFonts w:hint="eastAsia" w:ascii="宋体" w:hAnsi="宋体" w:eastAsia="宋体"/>
          <w:sz w:val="24"/>
          <w:highlight w:val="none"/>
        </w:rPr>
        <w:t>签订日期：</w:t>
      </w:r>
      <w:r>
        <w:rPr>
          <w:rFonts w:hint="eastAsia" w:ascii="宋体" w:hAnsi="宋体" w:eastAsia="宋体"/>
          <w:sz w:val="24"/>
          <w:highlight w:val="none"/>
          <w:u w:val="single"/>
        </w:rPr>
        <w:t xml:space="preserve">               </w:t>
      </w:r>
      <w:r>
        <w:rPr>
          <w:rFonts w:hint="eastAsia" w:ascii="宋体" w:hAnsi="宋体" w:eastAsia="宋体"/>
          <w:sz w:val="24"/>
          <w:highlight w:val="none"/>
        </w:rPr>
        <w:t>年</w:t>
      </w:r>
      <w:r>
        <w:rPr>
          <w:rFonts w:hint="eastAsia" w:ascii="宋体" w:hAnsi="宋体" w:eastAsia="宋体"/>
          <w:sz w:val="24"/>
          <w:highlight w:val="none"/>
          <w:u w:val="single"/>
        </w:rPr>
        <w:t xml:space="preserve">       </w:t>
      </w:r>
      <w:r>
        <w:rPr>
          <w:rFonts w:hint="eastAsia" w:ascii="宋体" w:hAnsi="宋体" w:eastAsia="宋体"/>
          <w:sz w:val="24"/>
          <w:highlight w:val="none"/>
        </w:rPr>
        <w:t>月</w:t>
      </w:r>
      <w:r>
        <w:rPr>
          <w:rFonts w:hint="eastAsia" w:ascii="宋体" w:hAnsi="宋体" w:eastAsia="宋体"/>
          <w:sz w:val="24"/>
          <w:highlight w:val="none"/>
          <w:u w:val="single"/>
        </w:rPr>
        <w:t xml:space="preserve">       </w:t>
      </w:r>
      <w:r>
        <w:rPr>
          <w:rFonts w:hint="eastAsia" w:ascii="宋体" w:hAnsi="宋体" w:eastAsia="宋体"/>
          <w:sz w:val="24"/>
          <w:highlight w:val="none"/>
        </w:rPr>
        <w:t>日</w:t>
      </w:r>
    </w:p>
    <w:p w14:paraId="726EC100">
      <w:pPr>
        <w:widowControl/>
        <w:jc w:val="left"/>
        <w:rPr>
          <w:rFonts w:ascii="宋体" w:hAnsi="宋体" w:eastAsia="宋体"/>
          <w:sz w:val="24"/>
          <w:highlight w:val="none"/>
        </w:rPr>
      </w:pPr>
      <w:r>
        <w:rPr>
          <w:rFonts w:ascii="宋体" w:hAnsi="宋体" w:eastAsia="宋体"/>
          <w:sz w:val="24"/>
          <w:highlight w:val="none"/>
        </w:rPr>
        <w:br w:type="page"/>
      </w:r>
    </w:p>
    <w:p w14:paraId="5B0CBAB1">
      <w:pPr>
        <w:spacing w:line="360" w:lineRule="auto"/>
        <w:ind w:firstLine="435"/>
        <w:rPr>
          <w:rFonts w:ascii="宋体" w:hAnsi="宋体" w:eastAsia="宋体"/>
          <w:sz w:val="24"/>
          <w:highlight w:val="none"/>
        </w:rPr>
      </w:pPr>
      <w:r>
        <w:rPr>
          <w:rFonts w:hint="eastAsia" w:asciiTheme="minorEastAsia" w:hAnsiTheme="minorEastAsia" w:eastAsiaTheme="minorEastAsia"/>
          <w:sz w:val="24"/>
          <w:highlight w:val="none"/>
          <w:u w:val="single"/>
          <w:lang w:val="en-US" w:eastAsia="zh-CN"/>
        </w:rPr>
        <w:t xml:space="preserve">      </w:t>
      </w:r>
      <w:r>
        <w:rPr>
          <w:rFonts w:hint="eastAsia" w:ascii="宋体" w:hAnsi="宋体" w:eastAsia="宋体"/>
          <w:sz w:val="24"/>
          <w:highlight w:val="none"/>
        </w:rPr>
        <w:t>（</w:t>
      </w:r>
      <w:r>
        <w:rPr>
          <w:rFonts w:hint="eastAsia" w:ascii="宋体" w:hAnsi="宋体" w:eastAsia="宋体"/>
          <w:sz w:val="24"/>
          <w:highlight w:val="none"/>
          <w:lang w:val="zh-CN"/>
        </w:rPr>
        <w:t>以下简称：甲方</w:t>
      </w:r>
      <w:r>
        <w:rPr>
          <w:rFonts w:hint="eastAsia" w:ascii="宋体" w:hAnsi="宋体" w:eastAsia="宋体"/>
          <w:sz w:val="24"/>
          <w:highlight w:val="none"/>
        </w:rPr>
        <w:t>）通过</w:t>
      </w:r>
      <w:r>
        <w:rPr>
          <w:rFonts w:hint="eastAsia" w:asciiTheme="minorEastAsia" w:hAnsiTheme="minorEastAsia" w:eastAsiaTheme="minorEastAsia"/>
          <w:sz w:val="24"/>
          <w:highlight w:val="none"/>
          <w:u w:val="single"/>
          <w:lang w:val="en-US" w:eastAsia="zh-CN"/>
        </w:rPr>
        <w:t xml:space="preserve">      </w:t>
      </w:r>
      <w:r>
        <w:rPr>
          <w:rFonts w:hint="eastAsia" w:ascii="宋体" w:hAnsi="宋体" w:eastAsia="宋体"/>
          <w:sz w:val="24"/>
          <w:highlight w:val="none"/>
        </w:rPr>
        <w:t>组织的</w:t>
      </w:r>
      <w:r>
        <w:rPr>
          <w:rFonts w:hint="eastAsia" w:ascii="宋体" w:hAnsi="宋体" w:eastAsia="宋体"/>
          <w:sz w:val="24"/>
          <w:highlight w:val="none"/>
          <w:u w:val="none"/>
        </w:rPr>
        <w:t>竞争性</w:t>
      </w:r>
      <w:r>
        <w:rPr>
          <w:rFonts w:hint="eastAsia" w:ascii="宋体" w:hAnsi="宋体" w:eastAsia="宋体"/>
          <w:sz w:val="24"/>
          <w:highlight w:val="none"/>
          <w:u w:val="none"/>
          <w:lang w:eastAsia="zh-CN"/>
        </w:rPr>
        <w:t>磋商</w:t>
      </w:r>
      <w:r>
        <w:rPr>
          <w:rFonts w:hint="eastAsia" w:ascii="宋体" w:hAnsi="宋体" w:eastAsia="宋体"/>
          <w:sz w:val="24"/>
          <w:highlight w:val="none"/>
          <w:u w:val="none"/>
        </w:rPr>
        <w:t>方式采购活动，经</w:t>
      </w:r>
      <w:r>
        <w:rPr>
          <w:rFonts w:hint="eastAsia" w:ascii="宋体" w:hAnsi="宋体" w:eastAsia="宋体"/>
          <w:sz w:val="24"/>
          <w:highlight w:val="none"/>
          <w:u w:val="none"/>
          <w:lang w:eastAsia="zh-CN"/>
        </w:rPr>
        <w:t>磋商</w:t>
      </w:r>
      <w:r>
        <w:rPr>
          <w:rFonts w:hint="eastAsia" w:ascii="宋体" w:hAnsi="宋体" w:eastAsia="宋体"/>
          <w:sz w:val="24"/>
          <w:highlight w:val="none"/>
          <w:u w:val="none"/>
        </w:rPr>
        <w:t>小组评</w:t>
      </w:r>
      <w:r>
        <w:rPr>
          <w:rFonts w:hint="eastAsia" w:ascii="宋体" w:hAnsi="宋体" w:eastAsia="宋体"/>
          <w:sz w:val="24"/>
          <w:highlight w:val="none"/>
        </w:rPr>
        <w:t>定，</w:t>
      </w:r>
      <w:r>
        <w:rPr>
          <w:rFonts w:hint="eastAsia" w:asciiTheme="minorEastAsia" w:hAnsiTheme="minorEastAsia" w:eastAsiaTheme="minorEastAsia"/>
          <w:sz w:val="24"/>
          <w:highlight w:val="none"/>
          <w:u w:val="single"/>
          <w:lang w:val="en-US" w:eastAsia="zh-CN"/>
        </w:rPr>
        <w:t xml:space="preserve">      </w:t>
      </w:r>
      <w:r>
        <w:rPr>
          <w:rFonts w:hint="eastAsia" w:ascii="宋体" w:hAnsi="宋体" w:eastAsia="宋体"/>
          <w:sz w:val="24"/>
          <w:highlight w:val="none"/>
        </w:rPr>
        <w:t>（</w:t>
      </w:r>
      <w:r>
        <w:rPr>
          <w:rFonts w:hint="eastAsia" w:ascii="宋体" w:hAnsi="宋体" w:eastAsia="宋体"/>
          <w:sz w:val="24"/>
          <w:highlight w:val="none"/>
          <w:lang w:val="zh-CN"/>
        </w:rPr>
        <w:t>以下简称：乙方</w:t>
      </w:r>
      <w:r>
        <w:rPr>
          <w:rFonts w:hint="eastAsia" w:ascii="宋体" w:hAnsi="宋体" w:eastAsia="宋体"/>
          <w:sz w:val="24"/>
          <w:highlight w:val="none"/>
        </w:rPr>
        <w:t>）为本项目成交供应商，现按照采购文件确定的事项签订本合同。</w:t>
      </w:r>
    </w:p>
    <w:p w14:paraId="4AC52AA8">
      <w:pPr>
        <w:spacing w:line="360" w:lineRule="auto"/>
        <w:ind w:firstLine="435"/>
        <w:rPr>
          <w:rFonts w:ascii="宋体" w:hAnsi="宋体" w:eastAsia="宋体"/>
          <w:sz w:val="24"/>
          <w:highlight w:val="none"/>
          <w:lang w:val="zh-CN"/>
        </w:rPr>
      </w:pPr>
      <w:r>
        <w:rPr>
          <w:rFonts w:hint="eastAsia" w:ascii="宋体" w:hAnsi="宋体" w:eastAsia="宋体"/>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5291B49F">
      <w:pPr>
        <w:spacing w:line="360" w:lineRule="auto"/>
        <w:ind w:firstLine="437"/>
        <w:outlineLvl w:val="2"/>
        <w:rPr>
          <w:rFonts w:ascii="宋体" w:hAnsi="宋体" w:eastAsia="宋体"/>
          <w:b/>
          <w:bCs/>
          <w:sz w:val="24"/>
          <w:highlight w:val="none"/>
          <w:lang w:val="zh-CN"/>
        </w:rPr>
      </w:pPr>
      <w:bookmarkStart w:id="64" w:name="_Toc24059"/>
      <w:bookmarkStart w:id="65" w:name="_Toc3029"/>
      <w:bookmarkStart w:id="66" w:name="_Toc2232"/>
      <w:r>
        <w:rPr>
          <w:rFonts w:hint="eastAsia" w:ascii="宋体" w:hAnsi="宋体" w:eastAsia="宋体"/>
          <w:b/>
          <w:bCs/>
          <w:sz w:val="24"/>
          <w:highlight w:val="none"/>
          <w:lang w:val="zh-CN"/>
        </w:rPr>
        <w:t>1.1</w:t>
      </w:r>
      <w:r>
        <w:rPr>
          <w:rFonts w:ascii="宋体" w:hAnsi="宋体" w:eastAsia="宋体"/>
          <w:b/>
          <w:bCs/>
          <w:sz w:val="24"/>
          <w:highlight w:val="none"/>
          <w:lang w:val="zh-CN"/>
        </w:rPr>
        <w:t xml:space="preserve"> </w:t>
      </w:r>
      <w:r>
        <w:rPr>
          <w:rFonts w:hint="eastAsia" w:ascii="宋体" w:hAnsi="宋体" w:eastAsia="宋体"/>
          <w:b/>
          <w:bCs/>
          <w:sz w:val="24"/>
          <w:highlight w:val="none"/>
          <w:lang w:val="zh-CN"/>
        </w:rPr>
        <w:t>合同组成部分</w:t>
      </w:r>
      <w:bookmarkEnd w:id="64"/>
      <w:bookmarkEnd w:id="65"/>
      <w:bookmarkEnd w:id="66"/>
    </w:p>
    <w:p w14:paraId="6B59720B">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880CDB7">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1.1.1本合同及其补充合同、变更协议；</w:t>
      </w:r>
    </w:p>
    <w:p w14:paraId="3270D5EF">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1.1.2成交通知书；</w:t>
      </w:r>
    </w:p>
    <w:p w14:paraId="2DA24F8F">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1.1.3响应文件（含澄清或者说明文件）；</w:t>
      </w:r>
    </w:p>
    <w:p w14:paraId="7B74737B">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1.1.4磋商文件（含澄清或者修改文件）；</w:t>
      </w:r>
    </w:p>
    <w:p w14:paraId="4E4865D2">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1.1.5其他相关采购文件。</w:t>
      </w:r>
    </w:p>
    <w:p w14:paraId="080F9C90">
      <w:pPr>
        <w:spacing w:line="360" w:lineRule="auto"/>
        <w:ind w:firstLine="437"/>
        <w:outlineLvl w:val="2"/>
        <w:rPr>
          <w:rFonts w:ascii="宋体" w:hAnsi="宋体" w:eastAsia="宋体"/>
          <w:b/>
          <w:bCs/>
          <w:sz w:val="24"/>
          <w:highlight w:val="none"/>
          <w:lang w:val="zh-CN"/>
        </w:rPr>
      </w:pPr>
      <w:bookmarkStart w:id="67" w:name="_Toc18585"/>
      <w:bookmarkStart w:id="68" w:name="_Toc6773"/>
      <w:bookmarkStart w:id="69" w:name="_Toc2918"/>
      <w:bookmarkStart w:id="70" w:name="_Toc22185"/>
      <w:bookmarkStart w:id="71" w:name="_Toc6311"/>
      <w:r>
        <w:rPr>
          <w:rFonts w:hint="eastAsia" w:ascii="宋体" w:hAnsi="宋体" w:eastAsia="宋体"/>
          <w:b/>
          <w:bCs/>
          <w:sz w:val="24"/>
          <w:highlight w:val="none"/>
          <w:lang w:val="zh-CN"/>
        </w:rPr>
        <w:t xml:space="preserve">1.2 </w:t>
      </w:r>
      <w:bookmarkEnd w:id="67"/>
      <w:bookmarkEnd w:id="68"/>
      <w:bookmarkEnd w:id="69"/>
      <w:bookmarkEnd w:id="70"/>
      <w:bookmarkEnd w:id="71"/>
      <w:r>
        <w:rPr>
          <w:rFonts w:hint="eastAsia" w:ascii="宋体" w:hAnsi="宋体" w:eastAsia="宋体"/>
          <w:b/>
          <w:bCs/>
          <w:sz w:val="24"/>
          <w:highlight w:val="none"/>
          <w:lang w:val="zh-CN"/>
        </w:rPr>
        <w:t>服务</w:t>
      </w:r>
    </w:p>
    <w:p w14:paraId="38C09D97">
      <w:pPr>
        <w:spacing w:line="360" w:lineRule="auto"/>
        <w:ind w:firstLine="435"/>
        <w:rPr>
          <w:rFonts w:ascii="宋体" w:hAnsi="宋体" w:eastAsia="宋体"/>
          <w:sz w:val="24"/>
          <w:highlight w:val="none"/>
          <w:u w:val="single"/>
        </w:rPr>
      </w:pPr>
      <w:r>
        <w:rPr>
          <w:rFonts w:hint="eastAsia" w:ascii="宋体" w:hAnsi="宋体" w:eastAsia="宋体"/>
          <w:sz w:val="24"/>
          <w:highlight w:val="none"/>
        </w:rPr>
        <w:t>1.2.1服务</w:t>
      </w:r>
      <w:r>
        <w:rPr>
          <w:rFonts w:ascii="宋体" w:hAnsi="宋体" w:eastAsia="宋体"/>
          <w:sz w:val="24"/>
          <w:highlight w:val="none"/>
        </w:rPr>
        <w:t>名称：</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4B7FEBEF">
      <w:pPr>
        <w:spacing w:line="360" w:lineRule="auto"/>
        <w:ind w:firstLine="435"/>
        <w:rPr>
          <w:rFonts w:ascii="宋体" w:hAnsi="宋体" w:eastAsia="宋体"/>
          <w:sz w:val="24"/>
          <w:highlight w:val="none"/>
          <w:u w:val="single"/>
        </w:rPr>
      </w:pPr>
      <w:r>
        <w:rPr>
          <w:rFonts w:hint="eastAsia" w:ascii="宋体" w:hAnsi="宋体" w:eastAsia="宋体"/>
          <w:sz w:val="24"/>
          <w:highlight w:val="none"/>
        </w:rPr>
        <w:t>1.2.2服务内容</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705C9EB5">
      <w:pPr>
        <w:spacing w:line="360" w:lineRule="auto"/>
        <w:ind w:firstLine="435"/>
        <w:rPr>
          <w:rFonts w:ascii="宋体" w:hAnsi="宋体" w:eastAsia="宋体"/>
          <w:sz w:val="24"/>
          <w:highlight w:val="none"/>
        </w:rPr>
      </w:pPr>
      <w:r>
        <w:rPr>
          <w:rFonts w:hint="eastAsia" w:ascii="宋体" w:hAnsi="宋体" w:eastAsia="宋体"/>
          <w:sz w:val="24"/>
          <w:highlight w:val="none"/>
        </w:rPr>
        <w:t>1.2.3服务质量：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77F77195">
      <w:pPr>
        <w:spacing w:line="360" w:lineRule="auto"/>
        <w:ind w:firstLine="437"/>
        <w:outlineLvl w:val="2"/>
        <w:rPr>
          <w:rFonts w:ascii="宋体" w:hAnsi="宋体" w:eastAsia="宋体"/>
          <w:b/>
          <w:bCs/>
          <w:sz w:val="24"/>
          <w:highlight w:val="none"/>
          <w:lang w:val="zh-CN"/>
        </w:rPr>
      </w:pPr>
      <w:bookmarkStart w:id="72" w:name="_Toc21551"/>
      <w:bookmarkStart w:id="73" w:name="_Toc23292"/>
      <w:bookmarkStart w:id="74" w:name="_Toc21631"/>
      <w:r>
        <w:rPr>
          <w:rFonts w:hint="eastAsia" w:ascii="宋体" w:hAnsi="宋体" w:eastAsia="宋体"/>
          <w:b/>
          <w:bCs/>
          <w:sz w:val="24"/>
          <w:highlight w:val="none"/>
          <w:lang w:val="zh-CN"/>
        </w:rPr>
        <w:t>1.</w:t>
      </w:r>
      <w:r>
        <w:rPr>
          <w:rFonts w:ascii="宋体" w:hAnsi="宋体" w:eastAsia="宋体"/>
          <w:b/>
          <w:bCs/>
          <w:sz w:val="24"/>
          <w:highlight w:val="none"/>
          <w:lang w:val="zh-CN"/>
        </w:rPr>
        <w:t xml:space="preserve">3 </w:t>
      </w:r>
      <w:r>
        <w:rPr>
          <w:rFonts w:hint="eastAsia" w:ascii="宋体" w:hAnsi="宋体" w:eastAsia="宋体"/>
          <w:b/>
          <w:bCs/>
          <w:sz w:val="24"/>
          <w:highlight w:val="none"/>
          <w:lang w:val="zh-CN"/>
        </w:rPr>
        <w:t>价款</w:t>
      </w:r>
      <w:bookmarkEnd w:id="72"/>
      <w:bookmarkEnd w:id="73"/>
      <w:bookmarkEnd w:id="74"/>
    </w:p>
    <w:p w14:paraId="2358CFAF">
      <w:pPr>
        <w:spacing w:line="360" w:lineRule="auto"/>
        <w:ind w:firstLine="435"/>
        <w:rPr>
          <w:rFonts w:ascii="宋体" w:hAnsi="宋体" w:eastAsia="宋体"/>
          <w:sz w:val="24"/>
          <w:highlight w:val="none"/>
        </w:rPr>
      </w:pPr>
      <w:r>
        <w:rPr>
          <w:rFonts w:ascii="宋体" w:hAnsi="宋体" w:eastAsia="宋体"/>
          <w:sz w:val="24"/>
          <w:highlight w:val="none"/>
        </w:rPr>
        <w:t>本合同总价为</w:t>
      </w:r>
      <w:r>
        <w:rPr>
          <w:rFonts w:hint="eastAsia" w:ascii="宋体" w:hAnsi="宋体" w:eastAsia="宋体"/>
          <w:sz w:val="24"/>
          <w:highlight w:val="none"/>
        </w:rPr>
        <w:t>：￥</w:t>
      </w:r>
      <w:r>
        <w:rPr>
          <w:rFonts w:hint="eastAsia" w:ascii="宋体" w:hAnsi="宋体" w:eastAsia="宋体"/>
          <w:sz w:val="24"/>
          <w:highlight w:val="none"/>
          <w:u w:val="single"/>
        </w:rPr>
        <w:t xml:space="preserve">           </w:t>
      </w:r>
      <w:r>
        <w:rPr>
          <w:rFonts w:ascii="宋体" w:hAnsi="宋体" w:eastAsia="宋体"/>
          <w:sz w:val="24"/>
          <w:highlight w:val="none"/>
        </w:rPr>
        <w:t>元</w:t>
      </w:r>
      <w:r>
        <w:rPr>
          <w:rFonts w:hint="eastAsia" w:ascii="宋体" w:hAnsi="宋体" w:eastAsia="宋体"/>
          <w:sz w:val="24"/>
          <w:highlight w:val="none"/>
        </w:rPr>
        <w:t>（大写：人民币</w:t>
      </w:r>
      <w:r>
        <w:rPr>
          <w:rFonts w:hint="eastAsia" w:ascii="宋体" w:hAnsi="宋体" w:eastAsia="宋体"/>
          <w:sz w:val="24"/>
          <w:highlight w:val="none"/>
          <w:u w:val="single"/>
        </w:rPr>
        <w:t xml:space="preserve">                 </w:t>
      </w:r>
      <w:r>
        <w:rPr>
          <w:rFonts w:hint="eastAsia" w:ascii="宋体" w:hAnsi="宋体" w:eastAsia="宋体"/>
          <w:sz w:val="24"/>
          <w:highlight w:val="none"/>
        </w:rPr>
        <w:t>元）</w:t>
      </w:r>
      <w:r>
        <w:rPr>
          <w:rFonts w:ascii="宋体" w:hAnsi="宋体" w:eastAsia="宋体"/>
          <w:sz w:val="24"/>
          <w:highlight w:val="none"/>
        </w:rPr>
        <w:t>。</w:t>
      </w:r>
    </w:p>
    <w:p w14:paraId="7CBA6534">
      <w:pPr>
        <w:spacing w:line="360" w:lineRule="auto"/>
        <w:ind w:firstLine="435"/>
        <w:rPr>
          <w:rFonts w:ascii="宋体" w:hAnsi="宋体" w:eastAsia="宋体"/>
          <w:sz w:val="24"/>
          <w:highlight w:val="none"/>
          <w:u w:val="single"/>
        </w:rPr>
      </w:pPr>
      <w:r>
        <w:rPr>
          <w:rFonts w:ascii="宋体" w:hAnsi="宋体" w:eastAsia="宋体"/>
          <w:sz w:val="24"/>
          <w:highlight w:val="none"/>
        </w:rPr>
        <w:t>分项价格：</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4316"/>
        <w:gridCol w:w="12"/>
        <w:gridCol w:w="3225"/>
        <w:gridCol w:w="12"/>
      </w:tblGrid>
      <w:tr w14:paraId="080A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vAlign w:val="center"/>
          </w:tcPr>
          <w:p w14:paraId="2EDB973D">
            <w:pPr>
              <w:jc w:val="center"/>
              <w:rPr>
                <w:rFonts w:ascii="宋体" w:hAnsi="宋体" w:eastAsia="宋体"/>
                <w:sz w:val="24"/>
                <w:highlight w:val="none"/>
                <w:lang w:val="zh-CN"/>
              </w:rPr>
            </w:pPr>
            <w:r>
              <w:rPr>
                <w:rFonts w:ascii="宋体" w:hAnsi="宋体" w:eastAsia="宋体"/>
                <w:sz w:val="24"/>
                <w:highlight w:val="none"/>
                <w:lang w:val="zh-CN"/>
              </w:rPr>
              <w:t>序号</w:t>
            </w:r>
          </w:p>
        </w:tc>
        <w:tc>
          <w:tcPr>
            <w:tcW w:w="2532" w:type="pct"/>
            <w:vAlign w:val="center"/>
          </w:tcPr>
          <w:p w14:paraId="67D91B35">
            <w:pPr>
              <w:pStyle w:val="47"/>
              <w:ind w:firstLine="200"/>
              <w:jc w:val="center"/>
              <w:rPr>
                <w:rFonts w:ascii="宋体" w:hAnsi="宋体" w:eastAsia="宋体"/>
                <w:sz w:val="24"/>
                <w:szCs w:val="24"/>
                <w:highlight w:val="none"/>
              </w:rPr>
            </w:pPr>
            <w:r>
              <w:rPr>
                <w:rFonts w:hint="eastAsia" w:ascii="宋体" w:hAnsi="宋体" w:eastAsia="宋体"/>
                <w:sz w:val="24"/>
                <w:szCs w:val="24"/>
                <w:highlight w:val="none"/>
              </w:rPr>
              <w:t>分项名称</w:t>
            </w:r>
          </w:p>
        </w:tc>
        <w:tc>
          <w:tcPr>
            <w:tcW w:w="1899" w:type="pct"/>
            <w:gridSpan w:val="2"/>
            <w:vAlign w:val="center"/>
          </w:tcPr>
          <w:p w14:paraId="532BF7C3">
            <w:pPr>
              <w:pStyle w:val="47"/>
              <w:jc w:val="center"/>
              <w:rPr>
                <w:rFonts w:ascii="宋体" w:hAnsi="宋体" w:eastAsia="宋体"/>
                <w:sz w:val="24"/>
                <w:szCs w:val="24"/>
                <w:highlight w:val="none"/>
              </w:rPr>
            </w:pPr>
            <w:r>
              <w:rPr>
                <w:rFonts w:ascii="宋体" w:hAnsi="宋体" w:eastAsia="宋体"/>
                <w:sz w:val="24"/>
                <w:szCs w:val="24"/>
                <w:highlight w:val="none"/>
              </w:rPr>
              <w:t>分项价格</w:t>
            </w:r>
          </w:p>
        </w:tc>
      </w:tr>
      <w:tr w14:paraId="352E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397FC349">
            <w:pPr>
              <w:jc w:val="center"/>
              <w:rPr>
                <w:rFonts w:ascii="宋体" w:hAnsi="宋体" w:eastAsia="宋体"/>
                <w:sz w:val="24"/>
                <w:highlight w:val="none"/>
                <w:lang w:val="zh-CN"/>
              </w:rPr>
            </w:pPr>
            <w:r>
              <w:rPr>
                <w:rFonts w:hint="eastAsia" w:ascii="宋体" w:hAnsi="宋体" w:eastAsia="宋体"/>
                <w:sz w:val="24"/>
                <w:highlight w:val="none"/>
                <w:lang w:val="zh-CN"/>
              </w:rPr>
              <w:t>1</w:t>
            </w:r>
          </w:p>
        </w:tc>
        <w:tc>
          <w:tcPr>
            <w:tcW w:w="2532" w:type="pct"/>
            <w:vAlign w:val="center"/>
          </w:tcPr>
          <w:p w14:paraId="4D18EA71">
            <w:pPr>
              <w:pStyle w:val="47"/>
              <w:ind w:firstLine="200"/>
              <w:jc w:val="center"/>
              <w:rPr>
                <w:rFonts w:ascii="宋体" w:hAnsi="宋体" w:eastAsia="宋体"/>
                <w:sz w:val="24"/>
                <w:szCs w:val="24"/>
                <w:highlight w:val="none"/>
              </w:rPr>
            </w:pPr>
          </w:p>
        </w:tc>
        <w:tc>
          <w:tcPr>
            <w:tcW w:w="1899" w:type="pct"/>
            <w:gridSpan w:val="2"/>
            <w:vAlign w:val="center"/>
          </w:tcPr>
          <w:p w14:paraId="72FA41FD">
            <w:pPr>
              <w:pStyle w:val="47"/>
              <w:ind w:firstLine="200"/>
              <w:jc w:val="center"/>
              <w:rPr>
                <w:rFonts w:ascii="宋体" w:hAnsi="宋体" w:eastAsia="宋体"/>
                <w:sz w:val="24"/>
                <w:szCs w:val="24"/>
                <w:highlight w:val="none"/>
              </w:rPr>
            </w:pPr>
          </w:p>
        </w:tc>
      </w:tr>
      <w:tr w14:paraId="0946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07DF85FA">
            <w:pPr>
              <w:jc w:val="center"/>
              <w:rPr>
                <w:rFonts w:ascii="宋体" w:hAnsi="宋体" w:eastAsia="宋体"/>
                <w:sz w:val="24"/>
                <w:highlight w:val="none"/>
                <w:lang w:val="zh-CN"/>
              </w:rPr>
            </w:pPr>
            <w:r>
              <w:rPr>
                <w:rFonts w:hint="eastAsia" w:ascii="宋体" w:hAnsi="宋体" w:eastAsia="宋体"/>
                <w:sz w:val="24"/>
                <w:highlight w:val="none"/>
                <w:lang w:val="zh-CN"/>
              </w:rPr>
              <w:t>2</w:t>
            </w:r>
          </w:p>
        </w:tc>
        <w:tc>
          <w:tcPr>
            <w:tcW w:w="2532" w:type="pct"/>
            <w:vAlign w:val="center"/>
          </w:tcPr>
          <w:p w14:paraId="17B83FE9">
            <w:pPr>
              <w:pStyle w:val="47"/>
              <w:ind w:firstLine="200"/>
              <w:jc w:val="center"/>
              <w:rPr>
                <w:rFonts w:ascii="宋体" w:hAnsi="宋体" w:eastAsia="宋体"/>
                <w:sz w:val="24"/>
                <w:szCs w:val="24"/>
                <w:highlight w:val="none"/>
              </w:rPr>
            </w:pPr>
          </w:p>
        </w:tc>
        <w:tc>
          <w:tcPr>
            <w:tcW w:w="1899" w:type="pct"/>
            <w:gridSpan w:val="2"/>
            <w:vAlign w:val="center"/>
          </w:tcPr>
          <w:p w14:paraId="24367CB1">
            <w:pPr>
              <w:pStyle w:val="47"/>
              <w:ind w:firstLine="200"/>
              <w:jc w:val="center"/>
              <w:rPr>
                <w:rFonts w:ascii="宋体" w:hAnsi="宋体" w:eastAsia="宋体"/>
                <w:sz w:val="24"/>
                <w:szCs w:val="24"/>
                <w:highlight w:val="none"/>
              </w:rPr>
            </w:pPr>
          </w:p>
        </w:tc>
      </w:tr>
      <w:tr w14:paraId="4385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0E3B2601">
            <w:pPr>
              <w:jc w:val="center"/>
              <w:rPr>
                <w:rFonts w:ascii="宋体" w:hAnsi="宋体" w:eastAsia="宋体"/>
                <w:sz w:val="24"/>
                <w:highlight w:val="none"/>
                <w:lang w:val="zh-CN"/>
              </w:rPr>
            </w:pPr>
            <w:r>
              <w:rPr>
                <w:rFonts w:ascii="宋体" w:hAnsi="宋体" w:eastAsia="宋体"/>
                <w:sz w:val="24"/>
                <w:highlight w:val="none"/>
                <w:lang w:val="zh-CN"/>
              </w:rPr>
              <w:t>3</w:t>
            </w:r>
          </w:p>
        </w:tc>
        <w:tc>
          <w:tcPr>
            <w:tcW w:w="2532" w:type="pct"/>
            <w:vAlign w:val="center"/>
          </w:tcPr>
          <w:p w14:paraId="166F4369">
            <w:pPr>
              <w:pStyle w:val="47"/>
              <w:ind w:firstLine="200"/>
              <w:jc w:val="center"/>
              <w:rPr>
                <w:rFonts w:ascii="宋体" w:hAnsi="宋体" w:eastAsia="宋体"/>
                <w:sz w:val="24"/>
                <w:szCs w:val="24"/>
                <w:highlight w:val="none"/>
              </w:rPr>
            </w:pPr>
          </w:p>
        </w:tc>
        <w:tc>
          <w:tcPr>
            <w:tcW w:w="1899" w:type="pct"/>
            <w:gridSpan w:val="2"/>
            <w:vAlign w:val="center"/>
          </w:tcPr>
          <w:p w14:paraId="40CB8832">
            <w:pPr>
              <w:pStyle w:val="47"/>
              <w:ind w:firstLine="200"/>
              <w:jc w:val="center"/>
              <w:rPr>
                <w:rFonts w:ascii="宋体" w:hAnsi="宋体" w:eastAsia="宋体"/>
                <w:sz w:val="24"/>
                <w:szCs w:val="24"/>
                <w:highlight w:val="none"/>
              </w:rPr>
            </w:pPr>
          </w:p>
        </w:tc>
      </w:tr>
      <w:tr w14:paraId="6C796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71859DD8">
            <w:pPr>
              <w:jc w:val="center"/>
              <w:rPr>
                <w:rFonts w:ascii="宋体" w:hAnsi="宋体" w:eastAsia="宋体"/>
                <w:sz w:val="24"/>
                <w:highlight w:val="none"/>
                <w:lang w:val="zh-CN"/>
              </w:rPr>
            </w:pPr>
            <w:r>
              <w:rPr>
                <w:rFonts w:hint="eastAsia" w:ascii="宋体" w:hAnsi="宋体" w:eastAsia="宋体"/>
                <w:sz w:val="24"/>
                <w:highlight w:val="none"/>
                <w:lang w:val="zh-CN"/>
              </w:rPr>
              <w:t>……</w:t>
            </w:r>
          </w:p>
        </w:tc>
        <w:tc>
          <w:tcPr>
            <w:tcW w:w="2532" w:type="pct"/>
            <w:vAlign w:val="center"/>
          </w:tcPr>
          <w:p w14:paraId="0EE80191">
            <w:pPr>
              <w:pStyle w:val="47"/>
              <w:ind w:firstLine="200"/>
              <w:jc w:val="center"/>
              <w:rPr>
                <w:rFonts w:ascii="宋体" w:hAnsi="宋体" w:eastAsia="宋体"/>
                <w:sz w:val="24"/>
                <w:szCs w:val="24"/>
                <w:highlight w:val="none"/>
              </w:rPr>
            </w:pPr>
          </w:p>
        </w:tc>
        <w:tc>
          <w:tcPr>
            <w:tcW w:w="1899" w:type="pct"/>
            <w:gridSpan w:val="2"/>
            <w:vAlign w:val="center"/>
          </w:tcPr>
          <w:p w14:paraId="736EF114">
            <w:pPr>
              <w:pStyle w:val="47"/>
              <w:ind w:firstLine="200"/>
              <w:jc w:val="center"/>
              <w:rPr>
                <w:rFonts w:ascii="宋体" w:hAnsi="宋体" w:eastAsia="宋体"/>
                <w:sz w:val="24"/>
                <w:szCs w:val="24"/>
                <w:highlight w:val="none"/>
              </w:rPr>
            </w:pPr>
          </w:p>
        </w:tc>
      </w:tr>
      <w:tr w14:paraId="75CC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01" w:type="pct"/>
            <w:gridSpan w:val="3"/>
            <w:vAlign w:val="center"/>
          </w:tcPr>
          <w:p w14:paraId="3EDDBAFD">
            <w:pPr>
              <w:pStyle w:val="47"/>
              <w:ind w:firstLine="200"/>
              <w:jc w:val="center"/>
              <w:rPr>
                <w:rFonts w:ascii="宋体" w:hAnsi="宋体" w:eastAsia="宋体"/>
                <w:sz w:val="24"/>
                <w:szCs w:val="24"/>
                <w:highlight w:val="none"/>
              </w:rPr>
            </w:pPr>
            <w:r>
              <w:rPr>
                <w:rFonts w:hint="eastAsia" w:ascii="宋体" w:hAnsi="宋体" w:eastAsia="宋体"/>
                <w:sz w:val="24"/>
                <w:szCs w:val="24"/>
                <w:highlight w:val="none"/>
              </w:rPr>
              <w:t>总价</w:t>
            </w:r>
          </w:p>
        </w:tc>
        <w:tc>
          <w:tcPr>
            <w:tcW w:w="1899" w:type="pct"/>
            <w:gridSpan w:val="2"/>
            <w:vAlign w:val="center"/>
          </w:tcPr>
          <w:p w14:paraId="1B274665">
            <w:pPr>
              <w:pStyle w:val="47"/>
              <w:ind w:firstLine="200"/>
              <w:jc w:val="center"/>
              <w:rPr>
                <w:rFonts w:ascii="宋体" w:hAnsi="宋体" w:eastAsia="宋体"/>
                <w:sz w:val="24"/>
                <w:szCs w:val="24"/>
                <w:highlight w:val="none"/>
              </w:rPr>
            </w:pPr>
          </w:p>
        </w:tc>
      </w:tr>
    </w:tbl>
    <w:p w14:paraId="6165769B">
      <w:pPr>
        <w:spacing w:line="360" w:lineRule="auto"/>
        <w:ind w:firstLine="437"/>
        <w:outlineLvl w:val="2"/>
        <w:rPr>
          <w:rFonts w:ascii="宋体" w:hAnsi="宋体" w:eastAsia="宋体"/>
          <w:b/>
          <w:bCs/>
          <w:sz w:val="24"/>
          <w:highlight w:val="none"/>
          <w:lang w:val="zh-CN"/>
        </w:rPr>
      </w:pPr>
      <w:bookmarkStart w:id="75" w:name="_Toc22618"/>
      <w:bookmarkStart w:id="76" w:name="_Toc10340"/>
      <w:bookmarkStart w:id="77" w:name="_Toc1814"/>
      <w:r>
        <w:rPr>
          <w:rFonts w:hint="eastAsia" w:ascii="宋体" w:hAnsi="宋体" w:eastAsia="宋体"/>
          <w:b/>
          <w:bCs/>
          <w:sz w:val="24"/>
          <w:highlight w:val="none"/>
          <w:lang w:val="zh-CN"/>
        </w:rPr>
        <w:t>1.</w:t>
      </w:r>
      <w:r>
        <w:rPr>
          <w:rFonts w:ascii="宋体" w:hAnsi="宋体" w:eastAsia="宋体"/>
          <w:b/>
          <w:bCs/>
          <w:sz w:val="24"/>
          <w:highlight w:val="none"/>
          <w:lang w:val="zh-CN"/>
        </w:rPr>
        <w:t>4 付款方式和发票开具方式</w:t>
      </w:r>
      <w:bookmarkEnd w:id="75"/>
      <w:bookmarkEnd w:id="76"/>
      <w:bookmarkEnd w:id="77"/>
    </w:p>
    <w:p w14:paraId="5F27E95F">
      <w:pPr>
        <w:spacing w:line="360" w:lineRule="auto"/>
        <w:ind w:firstLine="435"/>
        <w:rPr>
          <w:rFonts w:ascii="宋体" w:hAnsi="宋体" w:eastAsia="宋体"/>
          <w:sz w:val="24"/>
          <w:highlight w:val="none"/>
        </w:rPr>
      </w:pPr>
      <w:r>
        <w:rPr>
          <w:rFonts w:hint="eastAsia" w:ascii="宋体" w:hAnsi="宋体" w:eastAsia="宋体"/>
          <w:sz w:val="24"/>
          <w:highlight w:val="none"/>
        </w:rPr>
        <w:t>1.4.1</w:t>
      </w:r>
      <w:r>
        <w:rPr>
          <w:rFonts w:ascii="宋体" w:hAnsi="宋体" w:eastAsia="宋体"/>
          <w:sz w:val="24"/>
          <w:highlight w:val="none"/>
        </w:rPr>
        <w:t>付款方式：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40A779E6">
      <w:pPr>
        <w:spacing w:line="360" w:lineRule="auto"/>
        <w:ind w:firstLine="435"/>
        <w:rPr>
          <w:rFonts w:ascii="宋体" w:hAnsi="宋体" w:eastAsia="宋体"/>
          <w:sz w:val="24"/>
          <w:highlight w:val="none"/>
        </w:rPr>
      </w:pPr>
      <w:r>
        <w:rPr>
          <w:rFonts w:hint="eastAsia" w:ascii="宋体" w:hAnsi="宋体" w:eastAsia="宋体"/>
          <w:sz w:val="24"/>
          <w:highlight w:val="none"/>
        </w:rPr>
        <w:t>1.4.2发票开具方式：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606E140C">
      <w:pPr>
        <w:spacing w:line="360" w:lineRule="auto"/>
        <w:ind w:firstLine="437"/>
        <w:outlineLvl w:val="2"/>
        <w:rPr>
          <w:rFonts w:ascii="宋体" w:hAnsi="宋体" w:eastAsia="宋体"/>
          <w:b/>
          <w:bCs/>
          <w:sz w:val="24"/>
          <w:highlight w:val="none"/>
          <w:lang w:val="zh-CN"/>
        </w:rPr>
      </w:pPr>
      <w:bookmarkStart w:id="78" w:name="_Toc2846"/>
      <w:bookmarkStart w:id="79" w:name="_Toc19304"/>
      <w:bookmarkStart w:id="80" w:name="_Toc32071"/>
      <w:r>
        <w:rPr>
          <w:rFonts w:hint="eastAsia" w:ascii="宋体" w:hAnsi="宋体" w:eastAsia="宋体"/>
          <w:b/>
          <w:bCs/>
          <w:sz w:val="24"/>
          <w:highlight w:val="none"/>
          <w:lang w:val="zh-CN"/>
        </w:rPr>
        <w:t>1.</w:t>
      </w:r>
      <w:r>
        <w:rPr>
          <w:rFonts w:ascii="宋体" w:hAnsi="宋体" w:eastAsia="宋体"/>
          <w:b/>
          <w:bCs/>
          <w:sz w:val="24"/>
          <w:highlight w:val="none"/>
          <w:lang w:val="zh-CN"/>
        </w:rPr>
        <w:t xml:space="preserve">5 </w:t>
      </w:r>
      <w:r>
        <w:rPr>
          <w:rFonts w:hint="eastAsia" w:ascii="宋体" w:hAnsi="宋体" w:eastAsia="宋体"/>
          <w:b/>
          <w:bCs/>
          <w:sz w:val="24"/>
          <w:highlight w:val="none"/>
          <w:lang w:val="zh-CN"/>
        </w:rPr>
        <w:t>服务</w:t>
      </w:r>
      <w:r>
        <w:rPr>
          <w:rFonts w:ascii="宋体" w:hAnsi="宋体" w:eastAsia="宋体"/>
          <w:b/>
          <w:bCs/>
          <w:sz w:val="24"/>
          <w:highlight w:val="none"/>
          <w:lang w:val="zh-CN"/>
        </w:rPr>
        <w:t>期限</w:t>
      </w:r>
      <w:r>
        <w:rPr>
          <w:rFonts w:hint="eastAsia" w:ascii="宋体" w:hAnsi="宋体" w:eastAsia="宋体"/>
          <w:b/>
          <w:bCs/>
          <w:sz w:val="24"/>
          <w:highlight w:val="none"/>
          <w:lang w:val="zh-CN"/>
        </w:rPr>
        <w:t>、地点和方式</w:t>
      </w:r>
      <w:bookmarkEnd w:id="78"/>
      <w:bookmarkEnd w:id="79"/>
      <w:bookmarkEnd w:id="80"/>
    </w:p>
    <w:p w14:paraId="6D106E6C">
      <w:pPr>
        <w:spacing w:line="360" w:lineRule="auto"/>
        <w:ind w:firstLine="435"/>
        <w:rPr>
          <w:rFonts w:ascii="宋体" w:hAnsi="宋体" w:eastAsia="宋体"/>
          <w:sz w:val="24"/>
          <w:highlight w:val="none"/>
          <w:u w:val="single"/>
        </w:rPr>
      </w:pPr>
      <w:r>
        <w:rPr>
          <w:rFonts w:hint="eastAsia" w:ascii="宋体" w:hAnsi="宋体" w:eastAsia="宋体"/>
          <w:sz w:val="24"/>
          <w:highlight w:val="none"/>
        </w:rPr>
        <w:t>1.5.1服务期限</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31C55BE1">
      <w:pPr>
        <w:spacing w:line="360" w:lineRule="auto"/>
        <w:ind w:firstLine="435"/>
        <w:rPr>
          <w:rFonts w:ascii="宋体" w:hAnsi="宋体" w:eastAsia="宋体"/>
          <w:sz w:val="24"/>
          <w:highlight w:val="none"/>
        </w:rPr>
      </w:pPr>
      <w:r>
        <w:rPr>
          <w:rFonts w:hint="eastAsia" w:ascii="宋体" w:hAnsi="宋体" w:eastAsia="宋体"/>
          <w:sz w:val="24"/>
          <w:highlight w:val="none"/>
        </w:rPr>
        <w:t>1.5.2服务地点</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5CD0576D">
      <w:pPr>
        <w:spacing w:line="360" w:lineRule="auto"/>
        <w:ind w:firstLine="435"/>
        <w:rPr>
          <w:rFonts w:ascii="宋体" w:hAnsi="宋体" w:eastAsia="宋体"/>
          <w:sz w:val="24"/>
          <w:highlight w:val="none"/>
        </w:rPr>
      </w:pPr>
      <w:r>
        <w:rPr>
          <w:rFonts w:hint="eastAsia" w:ascii="宋体" w:hAnsi="宋体" w:eastAsia="宋体"/>
          <w:sz w:val="24"/>
          <w:highlight w:val="none"/>
        </w:rPr>
        <w:t>1.5.3服务方式：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6852E574">
      <w:pPr>
        <w:spacing w:line="360" w:lineRule="auto"/>
        <w:ind w:firstLine="437"/>
        <w:outlineLvl w:val="2"/>
        <w:rPr>
          <w:rFonts w:ascii="宋体" w:hAnsi="宋体" w:eastAsia="宋体"/>
          <w:b/>
          <w:bCs/>
          <w:sz w:val="24"/>
          <w:highlight w:val="none"/>
          <w:lang w:val="zh-CN"/>
        </w:rPr>
      </w:pPr>
      <w:bookmarkStart w:id="81" w:name="_Toc27250"/>
      <w:bookmarkStart w:id="82" w:name="_Toc21423"/>
      <w:bookmarkStart w:id="83" w:name="_Toc19554"/>
      <w:r>
        <w:rPr>
          <w:rFonts w:hint="eastAsia" w:ascii="宋体" w:hAnsi="宋体" w:eastAsia="宋体"/>
          <w:b/>
          <w:bCs/>
          <w:sz w:val="24"/>
          <w:highlight w:val="none"/>
          <w:lang w:val="zh-CN"/>
        </w:rPr>
        <w:t>1.6 违约责任</w:t>
      </w:r>
      <w:bookmarkEnd w:id="81"/>
      <w:bookmarkEnd w:id="82"/>
      <w:bookmarkEnd w:id="83"/>
    </w:p>
    <w:p w14:paraId="756DA74C">
      <w:pPr>
        <w:spacing w:line="360" w:lineRule="auto"/>
        <w:ind w:firstLine="435"/>
        <w:rPr>
          <w:rFonts w:ascii="宋体" w:hAnsi="宋体" w:eastAsia="宋体"/>
          <w:sz w:val="24"/>
          <w:highlight w:val="none"/>
        </w:rPr>
      </w:pPr>
      <w:r>
        <w:rPr>
          <w:rFonts w:hint="eastAsia" w:ascii="宋体" w:hAnsi="宋体" w:eastAsia="宋体"/>
          <w:sz w:val="24"/>
          <w:highlight w:val="none"/>
        </w:rPr>
        <w:t>1.6.1</w:t>
      </w:r>
      <w:r>
        <w:rPr>
          <w:rFonts w:ascii="宋体" w:hAnsi="宋体" w:eastAsia="宋体"/>
          <w:sz w:val="24"/>
          <w:highlight w:val="none"/>
        </w:rPr>
        <w:t>除不可抗力外，如果乙方没有按照本合同约定的期限</w:t>
      </w:r>
      <w:r>
        <w:rPr>
          <w:rFonts w:hint="eastAsia" w:ascii="宋体" w:hAnsi="宋体" w:eastAsia="宋体"/>
          <w:sz w:val="24"/>
          <w:highlight w:val="none"/>
        </w:rPr>
        <w:t>、</w:t>
      </w:r>
      <w:r>
        <w:rPr>
          <w:rFonts w:ascii="宋体" w:hAnsi="宋体" w:eastAsia="宋体"/>
          <w:sz w:val="24"/>
          <w:highlight w:val="none"/>
        </w:rPr>
        <w:t>地点和方式</w:t>
      </w:r>
      <w:r>
        <w:rPr>
          <w:rFonts w:hint="eastAsia" w:ascii="宋体" w:hAnsi="宋体" w:eastAsia="宋体"/>
          <w:sz w:val="24"/>
          <w:highlight w:val="none"/>
        </w:rPr>
        <w:t>履行</w:t>
      </w:r>
      <w:r>
        <w:rPr>
          <w:rFonts w:ascii="宋体" w:hAnsi="宋体" w:eastAsia="宋体"/>
          <w:sz w:val="24"/>
          <w:highlight w:val="none"/>
        </w:rPr>
        <w:t>，那么甲方可要求乙方支付违约金</w:t>
      </w:r>
      <w:r>
        <w:rPr>
          <w:rFonts w:hint="eastAsia" w:ascii="宋体" w:hAnsi="宋体" w:eastAsia="宋体"/>
          <w:sz w:val="24"/>
          <w:highlight w:val="none"/>
        </w:rPr>
        <w:t>，</w:t>
      </w:r>
      <w:r>
        <w:rPr>
          <w:rFonts w:ascii="宋体" w:hAnsi="宋体" w:eastAsia="宋体"/>
          <w:sz w:val="24"/>
          <w:highlight w:val="none"/>
        </w:rPr>
        <w:t>违约金按每迟延</w:t>
      </w:r>
      <w:r>
        <w:rPr>
          <w:rFonts w:hint="eastAsia" w:ascii="宋体" w:hAnsi="宋体" w:eastAsia="宋体"/>
          <w:sz w:val="24"/>
          <w:highlight w:val="none"/>
        </w:rPr>
        <w:t>履行</w:t>
      </w:r>
      <w:r>
        <w:rPr>
          <w:rFonts w:ascii="宋体" w:hAnsi="宋体" w:eastAsia="宋体"/>
          <w:sz w:val="24"/>
          <w:highlight w:val="none"/>
        </w:rPr>
        <w:t>一日的应提供而未</w:t>
      </w:r>
      <w:r>
        <w:rPr>
          <w:rFonts w:hint="eastAsia" w:ascii="宋体" w:hAnsi="宋体" w:eastAsia="宋体"/>
          <w:sz w:val="24"/>
          <w:highlight w:val="none"/>
        </w:rPr>
        <w:t>提供</w:t>
      </w:r>
      <w:r>
        <w:rPr>
          <w:rFonts w:ascii="宋体" w:hAnsi="宋体" w:eastAsia="宋体"/>
          <w:sz w:val="24"/>
          <w:highlight w:val="none"/>
        </w:rPr>
        <w:t>服务价格的</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0.5</w:t>
      </w:r>
      <w:r>
        <w:rPr>
          <w:rFonts w:hint="eastAsia" w:ascii="宋体" w:hAnsi="宋体" w:eastAsia="宋体"/>
          <w:sz w:val="24"/>
          <w:highlight w:val="none"/>
          <w:u w:val="single"/>
        </w:rPr>
        <w:t xml:space="preserve"> </w:t>
      </w:r>
      <w:r>
        <w:rPr>
          <w:rFonts w:ascii="宋体" w:hAnsi="宋体" w:eastAsia="宋体"/>
          <w:sz w:val="24"/>
          <w:highlight w:val="none"/>
        </w:rPr>
        <w:t>%计算</w:t>
      </w:r>
      <w:r>
        <w:rPr>
          <w:rFonts w:hint="eastAsia" w:ascii="宋体" w:hAnsi="宋体" w:eastAsia="宋体"/>
          <w:sz w:val="24"/>
          <w:highlight w:val="none"/>
        </w:rPr>
        <w:t>，</w:t>
      </w:r>
      <w:r>
        <w:rPr>
          <w:rFonts w:ascii="宋体" w:hAnsi="宋体" w:eastAsia="宋体"/>
          <w:sz w:val="24"/>
          <w:highlight w:val="none"/>
        </w:rPr>
        <w:t>最高限额为</w:t>
      </w:r>
      <w:r>
        <w:rPr>
          <w:rFonts w:hint="eastAsia" w:ascii="宋体" w:hAnsi="宋体" w:eastAsia="宋体"/>
          <w:sz w:val="24"/>
          <w:highlight w:val="none"/>
        </w:rPr>
        <w:t>本</w:t>
      </w:r>
      <w:r>
        <w:rPr>
          <w:rFonts w:ascii="宋体" w:hAnsi="宋体" w:eastAsia="宋体"/>
          <w:sz w:val="24"/>
          <w:highlight w:val="none"/>
        </w:rPr>
        <w:t>合同总价的</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10</w:t>
      </w:r>
      <w:r>
        <w:rPr>
          <w:rFonts w:hint="eastAsia" w:ascii="宋体" w:hAnsi="宋体" w:eastAsia="宋体"/>
          <w:sz w:val="24"/>
          <w:highlight w:val="none"/>
          <w:u w:val="single"/>
        </w:rPr>
        <w:t xml:space="preserve"> </w:t>
      </w:r>
      <w:r>
        <w:rPr>
          <w:rFonts w:ascii="宋体" w:hAnsi="宋体" w:eastAsia="宋体"/>
          <w:sz w:val="24"/>
          <w:highlight w:val="none"/>
        </w:rPr>
        <w:t>%</w:t>
      </w:r>
      <w:r>
        <w:rPr>
          <w:rFonts w:hint="eastAsia" w:ascii="宋体" w:hAnsi="宋体" w:eastAsia="宋体"/>
          <w:sz w:val="24"/>
          <w:highlight w:val="none"/>
        </w:rPr>
        <w:t>；</w:t>
      </w:r>
      <w:r>
        <w:rPr>
          <w:rFonts w:ascii="宋体" w:hAnsi="宋体" w:eastAsia="宋体"/>
          <w:sz w:val="24"/>
          <w:highlight w:val="none"/>
        </w:rPr>
        <w:t>迟延</w:t>
      </w:r>
      <w:r>
        <w:rPr>
          <w:rFonts w:hint="eastAsia" w:ascii="宋体" w:hAnsi="宋体" w:eastAsia="宋体"/>
          <w:sz w:val="24"/>
          <w:highlight w:val="none"/>
        </w:rPr>
        <w:t>履行</w:t>
      </w:r>
      <w:r>
        <w:rPr>
          <w:rFonts w:ascii="宋体" w:hAnsi="宋体" w:eastAsia="宋体"/>
          <w:sz w:val="24"/>
          <w:highlight w:val="none"/>
        </w:rPr>
        <w:t>的违约金计算数额达到前述最高限额之日起</w:t>
      </w:r>
      <w:r>
        <w:rPr>
          <w:rFonts w:hint="eastAsia" w:ascii="宋体" w:hAnsi="宋体" w:eastAsia="宋体"/>
          <w:sz w:val="24"/>
          <w:highlight w:val="none"/>
        </w:rPr>
        <w:t>，</w:t>
      </w:r>
      <w:r>
        <w:rPr>
          <w:rFonts w:ascii="宋体" w:hAnsi="宋体" w:eastAsia="宋体"/>
          <w:sz w:val="24"/>
          <w:highlight w:val="none"/>
        </w:rPr>
        <w:t>甲方有权在要求乙方支付违约金的同时</w:t>
      </w:r>
      <w:r>
        <w:rPr>
          <w:rFonts w:hint="eastAsia" w:ascii="宋体" w:hAnsi="宋体" w:eastAsia="宋体"/>
          <w:sz w:val="24"/>
          <w:highlight w:val="none"/>
        </w:rPr>
        <w:t>，书面通知乙方</w:t>
      </w:r>
      <w:r>
        <w:rPr>
          <w:rFonts w:ascii="宋体" w:hAnsi="宋体" w:eastAsia="宋体"/>
          <w:sz w:val="24"/>
          <w:highlight w:val="none"/>
        </w:rPr>
        <w:t>解除本合同</w:t>
      </w:r>
      <w:r>
        <w:rPr>
          <w:rFonts w:hint="eastAsia" w:ascii="宋体" w:hAnsi="宋体" w:eastAsia="宋体"/>
          <w:sz w:val="24"/>
          <w:highlight w:val="none"/>
        </w:rPr>
        <w:t>；</w:t>
      </w:r>
    </w:p>
    <w:p w14:paraId="2F20890E">
      <w:pPr>
        <w:spacing w:line="360" w:lineRule="auto"/>
        <w:ind w:firstLine="435"/>
        <w:rPr>
          <w:rFonts w:ascii="宋体" w:hAnsi="宋体" w:eastAsia="宋体"/>
          <w:sz w:val="24"/>
          <w:highlight w:val="none"/>
        </w:rPr>
      </w:pPr>
      <w:r>
        <w:rPr>
          <w:rFonts w:hint="eastAsia" w:ascii="宋体" w:hAnsi="宋体" w:eastAsia="宋体"/>
          <w:sz w:val="24"/>
          <w:highlight w:val="none"/>
        </w:rPr>
        <w:t>1.6.2</w:t>
      </w:r>
      <w:r>
        <w:rPr>
          <w:rFonts w:ascii="宋体" w:hAnsi="宋体" w:eastAsia="宋体"/>
          <w:sz w:val="24"/>
          <w:highlight w:val="none"/>
        </w:rPr>
        <w:t>除不可抗力外，如果甲方没有按照本合同约定的付款方式付款，那么乙方可要求甲方支付违约金</w:t>
      </w:r>
      <w:r>
        <w:rPr>
          <w:rFonts w:hint="eastAsia" w:ascii="宋体" w:hAnsi="宋体" w:eastAsia="宋体"/>
          <w:sz w:val="24"/>
          <w:highlight w:val="none"/>
        </w:rPr>
        <w:t>，</w:t>
      </w:r>
      <w:r>
        <w:rPr>
          <w:rFonts w:ascii="宋体" w:hAnsi="宋体" w:eastAsia="宋体"/>
          <w:sz w:val="24"/>
          <w:highlight w:val="none"/>
        </w:rPr>
        <w:t>违约金按每迟延</w:t>
      </w:r>
      <w:r>
        <w:rPr>
          <w:rFonts w:hint="eastAsia" w:ascii="宋体" w:hAnsi="宋体" w:eastAsia="宋体"/>
          <w:sz w:val="24"/>
          <w:highlight w:val="none"/>
        </w:rPr>
        <w:t>付款</w:t>
      </w:r>
      <w:r>
        <w:rPr>
          <w:rFonts w:ascii="宋体" w:hAnsi="宋体" w:eastAsia="宋体"/>
          <w:sz w:val="24"/>
          <w:highlight w:val="none"/>
        </w:rPr>
        <w:t>一日的应付而未付款的</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0.05</w:t>
      </w:r>
      <w:r>
        <w:rPr>
          <w:rFonts w:hint="eastAsia" w:ascii="宋体" w:hAnsi="宋体" w:eastAsia="宋体"/>
          <w:sz w:val="24"/>
          <w:highlight w:val="none"/>
          <w:u w:val="single"/>
        </w:rPr>
        <w:t xml:space="preserve"> </w:t>
      </w:r>
      <w:r>
        <w:rPr>
          <w:rFonts w:ascii="宋体" w:hAnsi="宋体" w:eastAsia="宋体"/>
          <w:sz w:val="24"/>
          <w:highlight w:val="none"/>
        </w:rPr>
        <w:t>%计算</w:t>
      </w:r>
      <w:r>
        <w:rPr>
          <w:rFonts w:hint="eastAsia" w:ascii="宋体" w:hAnsi="宋体" w:eastAsia="宋体"/>
          <w:sz w:val="24"/>
          <w:highlight w:val="none"/>
        </w:rPr>
        <w:t>，</w:t>
      </w:r>
      <w:r>
        <w:rPr>
          <w:rFonts w:ascii="宋体" w:hAnsi="宋体" w:eastAsia="宋体"/>
          <w:sz w:val="24"/>
          <w:highlight w:val="none"/>
        </w:rPr>
        <w:t>最高限额为</w:t>
      </w:r>
      <w:r>
        <w:rPr>
          <w:rFonts w:hint="eastAsia" w:ascii="宋体" w:hAnsi="宋体" w:eastAsia="宋体"/>
          <w:sz w:val="24"/>
          <w:highlight w:val="none"/>
        </w:rPr>
        <w:t>本</w:t>
      </w:r>
      <w:r>
        <w:rPr>
          <w:rFonts w:ascii="宋体" w:hAnsi="宋体" w:eastAsia="宋体"/>
          <w:sz w:val="24"/>
          <w:highlight w:val="none"/>
        </w:rPr>
        <w:t>合同总价的</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 xml:space="preserve">0.1 </w:t>
      </w:r>
      <w:r>
        <w:rPr>
          <w:rFonts w:ascii="宋体" w:hAnsi="宋体" w:eastAsia="宋体"/>
          <w:sz w:val="24"/>
          <w:highlight w:val="none"/>
        </w:rPr>
        <w:t>%</w:t>
      </w:r>
      <w:r>
        <w:rPr>
          <w:rFonts w:hint="eastAsia" w:ascii="宋体" w:hAnsi="宋体" w:eastAsia="宋体"/>
          <w:sz w:val="24"/>
          <w:highlight w:val="none"/>
        </w:rPr>
        <w:t>；</w:t>
      </w:r>
      <w:r>
        <w:rPr>
          <w:rFonts w:ascii="宋体" w:hAnsi="宋体" w:eastAsia="宋体"/>
          <w:sz w:val="24"/>
          <w:highlight w:val="none"/>
        </w:rPr>
        <w:t>迟延</w:t>
      </w:r>
      <w:r>
        <w:rPr>
          <w:rFonts w:hint="eastAsia" w:ascii="宋体" w:hAnsi="宋体" w:eastAsia="宋体"/>
          <w:sz w:val="24"/>
          <w:highlight w:val="none"/>
        </w:rPr>
        <w:t>付款</w:t>
      </w:r>
      <w:r>
        <w:rPr>
          <w:rFonts w:ascii="宋体" w:hAnsi="宋体" w:eastAsia="宋体"/>
          <w:sz w:val="24"/>
          <w:highlight w:val="none"/>
        </w:rPr>
        <w:t>的违约金计算数额达到前述最高限额之日起</w:t>
      </w:r>
      <w:r>
        <w:rPr>
          <w:rFonts w:hint="eastAsia" w:ascii="宋体" w:hAnsi="宋体" w:eastAsia="宋体"/>
          <w:sz w:val="24"/>
          <w:highlight w:val="none"/>
        </w:rPr>
        <w:t>，乙</w:t>
      </w:r>
      <w:r>
        <w:rPr>
          <w:rFonts w:ascii="宋体" w:hAnsi="宋体" w:eastAsia="宋体"/>
          <w:sz w:val="24"/>
          <w:highlight w:val="none"/>
        </w:rPr>
        <w:t>方有权在要求甲方支付违约金的同时</w:t>
      </w:r>
      <w:r>
        <w:rPr>
          <w:rFonts w:hint="eastAsia" w:ascii="宋体" w:hAnsi="宋体" w:eastAsia="宋体"/>
          <w:sz w:val="24"/>
          <w:highlight w:val="none"/>
        </w:rPr>
        <w:t>，书面通知甲方</w:t>
      </w:r>
      <w:r>
        <w:rPr>
          <w:rFonts w:ascii="宋体" w:hAnsi="宋体" w:eastAsia="宋体"/>
          <w:sz w:val="24"/>
          <w:highlight w:val="none"/>
        </w:rPr>
        <w:t>解除本合同</w:t>
      </w:r>
      <w:r>
        <w:rPr>
          <w:rFonts w:hint="eastAsia" w:ascii="宋体" w:hAnsi="宋体" w:eastAsia="宋体"/>
          <w:sz w:val="24"/>
          <w:highlight w:val="none"/>
        </w:rPr>
        <w:t>；</w:t>
      </w:r>
    </w:p>
    <w:p w14:paraId="7C510EA2">
      <w:pPr>
        <w:spacing w:line="360" w:lineRule="auto"/>
        <w:ind w:firstLine="435"/>
        <w:rPr>
          <w:rFonts w:ascii="宋体" w:hAnsi="宋体" w:eastAsia="宋体"/>
          <w:sz w:val="24"/>
          <w:highlight w:val="none"/>
        </w:rPr>
      </w:pPr>
      <w:r>
        <w:rPr>
          <w:rFonts w:hint="eastAsia" w:ascii="宋体" w:hAnsi="宋体" w:eastAsia="宋体"/>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74419936">
      <w:pPr>
        <w:spacing w:line="360" w:lineRule="auto"/>
        <w:ind w:firstLine="435"/>
        <w:rPr>
          <w:rFonts w:ascii="宋体" w:hAnsi="宋体" w:eastAsia="宋体"/>
          <w:sz w:val="24"/>
          <w:highlight w:val="none"/>
        </w:rPr>
      </w:pPr>
      <w:r>
        <w:rPr>
          <w:rFonts w:hint="eastAsia" w:ascii="宋体" w:hAnsi="宋体" w:eastAsia="宋体"/>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7134942">
      <w:pPr>
        <w:spacing w:line="360" w:lineRule="auto"/>
        <w:ind w:firstLine="435"/>
        <w:rPr>
          <w:rFonts w:ascii="宋体" w:hAnsi="宋体" w:eastAsia="宋体"/>
          <w:sz w:val="24"/>
          <w:highlight w:val="none"/>
        </w:rPr>
      </w:pPr>
      <w:r>
        <w:rPr>
          <w:rFonts w:hint="eastAsia" w:ascii="宋体" w:hAnsi="宋体" w:eastAsia="宋体"/>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11D2CD9">
      <w:pPr>
        <w:spacing w:line="360" w:lineRule="auto"/>
        <w:ind w:firstLine="435"/>
        <w:rPr>
          <w:rFonts w:ascii="宋体" w:hAnsi="宋体" w:eastAsia="宋体"/>
          <w:sz w:val="24"/>
          <w:highlight w:val="none"/>
        </w:rPr>
      </w:pPr>
      <w:r>
        <w:rPr>
          <w:rFonts w:hint="eastAsia" w:ascii="宋体" w:hAnsi="宋体" w:eastAsia="宋体"/>
          <w:sz w:val="24"/>
          <w:highlight w:val="none"/>
        </w:rPr>
        <w:t>1.6.6如果出现政府采购监督管理部门在处理投诉事项期间，书面通知甲方暂停采购活动的情形，或者询问或质疑事项可能影响成交结果的，导致甲方中止履行合同的情形，均不视为甲方违约。</w:t>
      </w:r>
    </w:p>
    <w:p w14:paraId="6A1CFC4A">
      <w:pPr>
        <w:spacing w:line="360" w:lineRule="auto"/>
        <w:ind w:firstLine="435"/>
        <w:rPr>
          <w:rFonts w:hint="eastAsia" w:cs="Times New Roman" w:asciiTheme="minorEastAsia" w:hAnsiTheme="minorEastAsia" w:eastAsiaTheme="minorEastAsia"/>
          <w:sz w:val="24"/>
          <w:szCs w:val="24"/>
          <w:highlight w:val="none"/>
        </w:rPr>
      </w:pPr>
      <w:bookmarkStart w:id="84" w:name="_Toc28375"/>
      <w:bookmarkStart w:id="85" w:name="_Toc16021"/>
      <w:bookmarkStart w:id="86" w:name="_Toc15583"/>
      <w:r>
        <w:rPr>
          <w:rFonts w:hint="eastAsia" w:cs="Times New Roman" w:asciiTheme="minorEastAsia" w:hAnsiTheme="minorEastAsia" w:eastAsiaTheme="minorEastAsia"/>
          <w:sz w:val="24"/>
          <w:szCs w:val="24"/>
          <w:highlight w:val="none"/>
        </w:rPr>
        <w:t>1.6.7</w:t>
      </w:r>
      <w:r>
        <w:rPr>
          <w:rFonts w:cs="Times New Roman" w:asciiTheme="minorEastAsia" w:hAnsiTheme="minorEastAsia" w:eastAsiaTheme="minorEastAsia"/>
          <w:color w:val="000000" w:themeColor="text1"/>
          <w:sz w:val="24"/>
          <w:szCs w:val="24"/>
          <w:highlight w:val="none"/>
          <w14:textFill>
            <w14:solidFill>
              <w14:schemeClr w14:val="tx1"/>
            </w14:solidFill>
          </w14:textFill>
        </w:rPr>
        <w:t>因甲方未按合同约定支付价款、未按合同约定受领标的物、擅自解除合同</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cs="Times New Roman" w:asciiTheme="minorEastAsia" w:hAnsiTheme="minorEastAsia" w:eastAsiaTheme="minorEastAsia"/>
          <w:color w:val="000000" w:themeColor="text1"/>
          <w:sz w:val="24"/>
          <w:szCs w:val="24"/>
          <w:highlight w:val="none"/>
          <w14:textFill>
            <w14:solidFill>
              <w14:schemeClr w14:val="tx1"/>
            </w14:solidFill>
          </w14:textFill>
        </w:rPr>
        <w:t>导致乙方遭受的直接损失，乙方可向甲方申请赔偿，赔偿金额由双方协商一致；</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针对因政策变化等原因不能签订合同或解除合同时，造成乙方合法利益受损的情形，可以给予乙方合理补偿，补偿金额不得超过乙方的直接损失。</w:t>
      </w:r>
    </w:p>
    <w:p w14:paraId="05C59F96">
      <w:pPr>
        <w:spacing w:line="360" w:lineRule="auto"/>
        <w:ind w:firstLine="437"/>
        <w:outlineLvl w:val="2"/>
        <w:rPr>
          <w:rFonts w:ascii="宋体" w:hAnsi="宋体" w:eastAsia="宋体"/>
          <w:b/>
          <w:bCs/>
          <w:sz w:val="24"/>
          <w:highlight w:val="none"/>
          <w:lang w:val="zh-CN"/>
        </w:rPr>
      </w:pPr>
      <w:r>
        <w:rPr>
          <w:rFonts w:hint="eastAsia" w:ascii="宋体" w:hAnsi="宋体" w:eastAsia="宋体"/>
          <w:b/>
          <w:bCs/>
          <w:sz w:val="24"/>
          <w:highlight w:val="none"/>
          <w:lang w:val="zh-CN"/>
        </w:rPr>
        <w:t>1.7</w:t>
      </w:r>
      <w:r>
        <w:rPr>
          <w:rFonts w:ascii="宋体" w:hAnsi="宋体" w:eastAsia="宋体"/>
          <w:b/>
          <w:bCs/>
          <w:sz w:val="24"/>
          <w:highlight w:val="none"/>
          <w:lang w:val="zh-CN"/>
        </w:rPr>
        <w:t xml:space="preserve"> </w:t>
      </w:r>
      <w:r>
        <w:rPr>
          <w:rFonts w:hint="eastAsia" w:ascii="宋体" w:hAnsi="宋体" w:eastAsia="宋体"/>
          <w:b/>
          <w:bCs/>
          <w:sz w:val="24"/>
          <w:highlight w:val="none"/>
          <w:lang w:val="zh-CN"/>
        </w:rPr>
        <w:t>合同</w:t>
      </w:r>
      <w:r>
        <w:rPr>
          <w:rFonts w:ascii="宋体" w:hAnsi="宋体" w:eastAsia="宋体"/>
          <w:b/>
          <w:bCs/>
          <w:sz w:val="24"/>
          <w:highlight w:val="none"/>
          <w:lang w:val="zh-CN"/>
        </w:rPr>
        <w:t>争议的解决</w:t>
      </w:r>
      <w:bookmarkEnd w:id="84"/>
      <w:bookmarkEnd w:id="85"/>
      <w:bookmarkEnd w:id="86"/>
    </w:p>
    <w:p w14:paraId="1FA4B0DE">
      <w:pPr>
        <w:spacing w:line="360" w:lineRule="auto"/>
        <w:ind w:firstLine="435"/>
        <w:rPr>
          <w:rFonts w:ascii="宋体" w:hAnsi="宋体" w:eastAsia="宋体"/>
          <w:sz w:val="24"/>
          <w:highlight w:val="none"/>
        </w:rPr>
      </w:pPr>
      <w:r>
        <w:rPr>
          <w:rFonts w:hint="eastAsia" w:ascii="宋体" w:hAnsi="宋体" w:eastAsia="宋体"/>
          <w:sz w:val="24"/>
          <w:highlight w:val="none"/>
        </w:rPr>
        <w:t>本合</w:t>
      </w:r>
      <w:r>
        <w:rPr>
          <w:rFonts w:ascii="宋体" w:hAnsi="宋体" w:eastAsia="宋体"/>
          <w:sz w:val="24"/>
          <w:highlight w:val="none"/>
        </w:rPr>
        <w:t>同履行过程中发生的任何争议，双方当事人均可</w:t>
      </w:r>
      <w:r>
        <w:rPr>
          <w:rFonts w:hint="eastAsia" w:ascii="宋体" w:hAnsi="宋体" w:eastAsia="宋体"/>
          <w:sz w:val="24"/>
          <w:highlight w:val="none"/>
        </w:rPr>
        <w:t>通过和解或者调解解决；不愿和解、调解或者和解、调解不成的，可以选择下列第</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1</w:t>
      </w:r>
      <w:r>
        <w:rPr>
          <w:rFonts w:hint="eastAsia" w:ascii="宋体" w:hAnsi="宋体" w:eastAsia="宋体"/>
          <w:sz w:val="24"/>
          <w:highlight w:val="none"/>
          <w:u w:val="single"/>
        </w:rPr>
        <w:t xml:space="preserve"> </w:t>
      </w:r>
      <w:r>
        <w:rPr>
          <w:rFonts w:hint="eastAsia" w:ascii="宋体" w:hAnsi="宋体" w:eastAsia="宋体"/>
          <w:sz w:val="24"/>
          <w:highlight w:val="none"/>
        </w:rPr>
        <w:t>种方式解决：</w:t>
      </w:r>
    </w:p>
    <w:p w14:paraId="02EA30E1">
      <w:pPr>
        <w:spacing w:line="360" w:lineRule="auto"/>
        <w:ind w:firstLine="435"/>
        <w:rPr>
          <w:rFonts w:ascii="宋体" w:hAnsi="宋体" w:eastAsia="宋体"/>
          <w:sz w:val="24"/>
          <w:highlight w:val="none"/>
        </w:rPr>
      </w:pPr>
      <w:r>
        <w:rPr>
          <w:rFonts w:hint="eastAsia" w:ascii="宋体" w:hAnsi="宋体" w:eastAsia="宋体"/>
          <w:sz w:val="24"/>
          <w:highlight w:val="none"/>
        </w:rPr>
        <w:t>1.7.1将争议提交</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滁州</w:t>
      </w:r>
      <w:r>
        <w:rPr>
          <w:rFonts w:hint="eastAsia" w:ascii="宋体" w:hAnsi="宋体" w:eastAsia="宋体"/>
          <w:sz w:val="24"/>
          <w:highlight w:val="none"/>
          <w:u w:val="single"/>
        </w:rPr>
        <w:t xml:space="preserve">    </w:t>
      </w:r>
      <w:r>
        <w:rPr>
          <w:rFonts w:hint="eastAsia" w:ascii="宋体" w:hAnsi="宋体" w:eastAsia="宋体"/>
          <w:sz w:val="24"/>
          <w:highlight w:val="none"/>
        </w:rPr>
        <w:t>仲裁委员会依申请仲裁时其现行有效的仲裁规则裁决；</w:t>
      </w:r>
    </w:p>
    <w:p w14:paraId="438B1A17">
      <w:pPr>
        <w:spacing w:line="360" w:lineRule="auto"/>
        <w:ind w:firstLine="435"/>
        <w:rPr>
          <w:rFonts w:ascii="宋体" w:hAnsi="宋体" w:eastAsia="宋体"/>
          <w:sz w:val="24"/>
          <w:highlight w:val="none"/>
        </w:rPr>
      </w:pPr>
      <w:r>
        <w:rPr>
          <w:rFonts w:hint="eastAsia" w:ascii="宋体" w:hAnsi="宋体" w:eastAsia="宋体"/>
          <w:sz w:val="24"/>
          <w:highlight w:val="none"/>
        </w:rPr>
        <w:t>1.7.2向</w:t>
      </w:r>
      <w:r>
        <w:rPr>
          <w:rFonts w:hint="eastAsia" w:ascii="宋体" w:hAnsi="宋体" w:eastAsia="宋体"/>
          <w:sz w:val="24"/>
          <w:highlight w:val="none"/>
          <w:u w:val="single"/>
        </w:rPr>
        <w:t xml:space="preserve">      </w:t>
      </w:r>
      <w:r>
        <w:rPr>
          <w:rFonts w:ascii="宋体" w:hAnsi="宋体" w:eastAsia="宋体"/>
          <w:sz w:val="24"/>
          <w:highlight w:val="none"/>
          <w:u w:val="single"/>
        </w:rPr>
        <w:t xml:space="preserve">              </w:t>
      </w:r>
      <w:r>
        <w:rPr>
          <w:rFonts w:hint="eastAsia" w:ascii="宋体" w:hAnsi="宋体" w:eastAsia="宋体"/>
          <w:sz w:val="24"/>
          <w:highlight w:val="none"/>
        </w:rPr>
        <w:t>人民法院起诉。</w:t>
      </w:r>
    </w:p>
    <w:p w14:paraId="72E1AABE">
      <w:pPr>
        <w:spacing w:line="360" w:lineRule="auto"/>
        <w:ind w:firstLine="437"/>
        <w:outlineLvl w:val="2"/>
        <w:rPr>
          <w:rFonts w:ascii="宋体" w:hAnsi="宋体" w:eastAsia="宋体"/>
          <w:b/>
          <w:bCs/>
          <w:sz w:val="24"/>
          <w:highlight w:val="none"/>
          <w:lang w:val="zh-CN"/>
        </w:rPr>
      </w:pPr>
      <w:bookmarkStart w:id="87" w:name="_Toc11173"/>
      <w:bookmarkStart w:id="88" w:name="_Toc15322"/>
      <w:bookmarkStart w:id="89" w:name="_Toc7245"/>
      <w:r>
        <w:rPr>
          <w:rFonts w:hint="eastAsia" w:ascii="宋体" w:hAnsi="宋体" w:eastAsia="宋体"/>
          <w:b/>
          <w:bCs/>
          <w:sz w:val="24"/>
          <w:highlight w:val="none"/>
          <w:lang w:val="zh-CN"/>
        </w:rPr>
        <w:t>1.8</w:t>
      </w:r>
      <w:r>
        <w:rPr>
          <w:rFonts w:ascii="宋体" w:hAnsi="宋体" w:eastAsia="宋体"/>
          <w:b/>
          <w:bCs/>
          <w:sz w:val="24"/>
          <w:highlight w:val="none"/>
          <w:lang w:val="zh-CN"/>
        </w:rPr>
        <w:t xml:space="preserve"> 合同生效</w:t>
      </w:r>
      <w:bookmarkEnd w:id="87"/>
      <w:bookmarkEnd w:id="88"/>
      <w:bookmarkEnd w:id="89"/>
    </w:p>
    <w:p w14:paraId="4735C5EF">
      <w:pPr>
        <w:spacing w:line="360" w:lineRule="auto"/>
        <w:ind w:firstLine="435"/>
        <w:rPr>
          <w:rFonts w:ascii="宋体" w:hAnsi="宋体" w:eastAsia="宋体"/>
          <w:sz w:val="24"/>
          <w:highlight w:val="none"/>
        </w:rPr>
      </w:pPr>
      <w:r>
        <w:rPr>
          <w:rFonts w:ascii="宋体" w:hAnsi="宋体" w:eastAsia="宋体"/>
          <w:sz w:val="24"/>
          <w:highlight w:val="none"/>
        </w:rPr>
        <w:t>本合同自</w:t>
      </w:r>
      <w:r>
        <w:rPr>
          <w:rFonts w:hint="eastAsia" w:ascii="宋体" w:hAnsi="宋体" w:eastAsia="宋体"/>
          <w:sz w:val="24"/>
          <w:highlight w:val="none"/>
        </w:rPr>
        <w:t>双方当事人盖章时</w:t>
      </w:r>
      <w:r>
        <w:rPr>
          <w:rFonts w:ascii="宋体" w:hAnsi="宋体" w:eastAsia="宋体"/>
          <w:sz w:val="24"/>
          <w:highlight w:val="none"/>
        </w:rPr>
        <w:t>生效。</w:t>
      </w:r>
    </w:p>
    <w:p w14:paraId="6AB23B9B">
      <w:pPr>
        <w:autoSpaceDE w:val="0"/>
        <w:autoSpaceDN w:val="0"/>
        <w:adjustRightInd w:val="0"/>
        <w:spacing w:line="560" w:lineRule="exact"/>
        <w:rPr>
          <w:rFonts w:ascii="宋体" w:hAnsi="宋体" w:eastAsia="宋体"/>
          <w:sz w:val="24"/>
          <w:highlight w:val="none"/>
          <w:lang w:val="zh-CN"/>
        </w:rPr>
      </w:pPr>
    </w:p>
    <w:p w14:paraId="6C738DFA">
      <w:pPr>
        <w:autoSpaceDE w:val="0"/>
        <w:autoSpaceDN w:val="0"/>
        <w:adjustRightInd w:val="0"/>
        <w:spacing w:line="560" w:lineRule="exact"/>
        <w:rPr>
          <w:rFonts w:ascii="宋体" w:hAnsi="宋体" w:eastAsia="宋体"/>
          <w:sz w:val="24"/>
          <w:highlight w:val="none"/>
          <w:lang w:val="zh-CN"/>
        </w:rPr>
      </w:pPr>
    </w:p>
    <w:p w14:paraId="1815C707">
      <w:pPr>
        <w:autoSpaceDE w:val="0"/>
        <w:autoSpaceDN w:val="0"/>
        <w:adjustRightInd w:val="0"/>
        <w:spacing w:line="560" w:lineRule="exact"/>
        <w:rPr>
          <w:rFonts w:ascii="宋体" w:hAnsi="宋体" w:eastAsia="宋体"/>
          <w:sz w:val="24"/>
          <w:highlight w:val="none"/>
          <w:lang w:val="zh-CN"/>
        </w:rPr>
      </w:pPr>
    </w:p>
    <w:p w14:paraId="02213D20">
      <w:pPr>
        <w:autoSpaceDE w:val="0"/>
        <w:autoSpaceDN w:val="0"/>
        <w:adjustRightInd w:val="0"/>
        <w:spacing w:line="560" w:lineRule="exact"/>
        <w:rPr>
          <w:rFonts w:cs="Times New Roman" w:asciiTheme="minorEastAsia" w:hAnsiTheme="minorEastAsia" w:eastAsiaTheme="minorEastAsia"/>
          <w:bCs/>
          <w:sz w:val="24"/>
          <w:szCs w:val="24"/>
          <w:highlight w:val="none"/>
          <w:lang w:val="zh-CN"/>
        </w:rPr>
      </w:pPr>
      <w:bookmarkStart w:id="90" w:name="_Toc331685783"/>
      <w:r>
        <w:rPr>
          <w:rFonts w:hint="eastAsia" w:cs="Times New Roman" w:asciiTheme="minorEastAsia" w:hAnsiTheme="minorEastAsia" w:eastAsiaTheme="minorEastAsia"/>
          <w:bCs/>
          <w:sz w:val="24"/>
          <w:szCs w:val="24"/>
          <w:highlight w:val="none"/>
          <w:lang w:val="zh-CN"/>
        </w:rPr>
        <w:t xml:space="preserve">甲 </w:t>
      </w:r>
      <w:r>
        <w:rPr>
          <w:rFonts w:cs="Times New Roman" w:asciiTheme="minorEastAsia" w:hAnsiTheme="minorEastAsia" w:eastAsiaTheme="minorEastAsia"/>
          <w:bCs/>
          <w:sz w:val="24"/>
          <w:szCs w:val="24"/>
          <w:highlight w:val="none"/>
          <w:lang w:val="zh-CN"/>
        </w:rPr>
        <w:t xml:space="preserve">   </w:t>
      </w:r>
      <w:r>
        <w:rPr>
          <w:rFonts w:hint="eastAsia" w:cs="Times New Roman" w:asciiTheme="minorEastAsia" w:hAnsiTheme="minorEastAsia" w:eastAsiaTheme="minorEastAsia"/>
          <w:bCs/>
          <w:sz w:val="24"/>
          <w:szCs w:val="24"/>
          <w:highlight w:val="none"/>
          <w:lang w:val="zh-CN"/>
        </w:rPr>
        <w:t>方：</w:t>
      </w:r>
      <w:r>
        <w:rPr>
          <w:rFonts w:hint="eastAsia" w:cs="Times New Roman" w:asciiTheme="minorEastAsia" w:hAnsiTheme="minorEastAsia" w:eastAsiaTheme="minorEastAsia"/>
          <w:bCs/>
          <w:sz w:val="24"/>
          <w:szCs w:val="24"/>
          <w:highlight w:val="none"/>
          <w:u w:val="single"/>
          <w:lang w:val="zh-CN"/>
        </w:rPr>
        <w:t xml:space="preserve">    （单位盖章）     </w:t>
      </w:r>
      <w:r>
        <w:rPr>
          <w:rFonts w:hint="eastAsia" w:cs="Times New Roman" w:asciiTheme="minorEastAsia" w:hAnsiTheme="minorEastAsia" w:eastAsiaTheme="minorEastAsia"/>
          <w:bCs/>
          <w:sz w:val="24"/>
          <w:szCs w:val="24"/>
          <w:highlight w:val="none"/>
          <w:lang w:val="zh-CN"/>
        </w:rPr>
        <w:t xml:space="preserve">          乙方：</w:t>
      </w:r>
      <w:r>
        <w:rPr>
          <w:rFonts w:hint="eastAsia" w:cs="Times New Roman" w:asciiTheme="minorEastAsia" w:hAnsiTheme="minorEastAsia" w:eastAsiaTheme="minorEastAsia"/>
          <w:bCs/>
          <w:sz w:val="24"/>
          <w:szCs w:val="24"/>
          <w:highlight w:val="none"/>
          <w:u w:val="single"/>
          <w:lang w:val="zh-CN"/>
        </w:rPr>
        <w:t xml:space="preserve">    （单位盖章）     </w:t>
      </w:r>
    </w:p>
    <w:p w14:paraId="115BA5B6">
      <w:pPr>
        <w:autoSpaceDE w:val="0"/>
        <w:autoSpaceDN w:val="0"/>
        <w:adjustRightInd w:val="0"/>
        <w:spacing w:line="560" w:lineRule="exact"/>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 xml:space="preserve">法定代表人                             </w:t>
      </w:r>
      <w:r>
        <w:rPr>
          <w:rFonts w:cs="Times New Roman" w:asciiTheme="minorEastAsia" w:hAnsiTheme="minorEastAsia" w:eastAsiaTheme="minorEastAsia"/>
          <w:sz w:val="24"/>
          <w:szCs w:val="24"/>
          <w:highlight w:val="none"/>
          <w:lang w:val="zh-CN"/>
        </w:rPr>
        <w:t xml:space="preserve">  </w:t>
      </w:r>
      <w:r>
        <w:rPr>
          <w:rFonts w:hint="eastAsia" w:cs="Times New Roman" w:asciiTheme="minorEastAsia" w:hAnsiTheme="minorEastAsia" w:eastAsiaTheme="minorEastAsia"/>
          <w:sz w:val="24"/>
          <w:szCs w:val="24"/>
          <w:highlight w:val="none"/>
          <w:lang w:val="zh-CN"/>
        </w:rPr>
        <w:t>法定代表人</w:t>
      </w:r>
    </w:p>
    <w:p w14:paraId="35906CC7">
      <w:pPr>
        <w:autoSpaceDE w:val="0"/>
        <w:autoSpaceDN w:val="0"/>
        <w:adjustRightInd w:val="0"/>
        <w:spacing w:line="560" w:lineRule="exact"/>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或授权代表（签字）：                      或授权代表（签字）：</w:t>
      </w:r>
    </w:p>
    <w:p w14:paraId="64CAE70A">
      <w:pPr>
        <w:widowControl/>
        <w:spacing w:line="560" w:lineRule="exact"/>
        <w:jc w:val="left"/>
        <w:rPr>
          <w:rFonts w:hint="eastAsia" w:cs="Times New Roman" w:asciiTheme="minorEastAsia" w:hAnsiTheme="minorEastAsia" w:eastAsiaTheme="minorEastAsia"/>
          <w:bCs/>
          <w:sz w:val="24"/>
          <w:szCs w:val="24"/>
          <w:highlight w:val="none"/>
        </w:rPr>
      </w:pPr>
      <w:r>
        <w:rPr>
          <w:rFonts w:hint="eastAsia" w:cs="Times New Roman" w:asciiTheme="minorEastAsia" w:hAnsiTheme="minorEastAsia" w:eastAsiaTheme="minorEastAsia"/>
          <w:bCs/>
          <w:sz w:val="24"/>
          <w:szCs w:val="24"/>
          <w:highlight w:val="none"/>
        </w:rPr>
        <w:t>时间：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月</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日               时间：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月</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日</w:t>
      </w:r>
    </w:p>
    <w:p w14:paraId="1A3C25A9">
      <w:pPr>
        <w:widowControl/>
        <w:spacing w:line="560" w:lineRule="exact"/>
        <w:jc w:val="left"/>
        <w:rPr>
          <w:rFonts w:hint="eastAsia" w:cs="Times New Roman" w:asciiTheme="minorEastAsia" w:hAnsiTheme="minorEastAsia" w:eastAsiaTheme="minorEastAsia"/>
          <w:bCs/>
          <w:sz w:val="24"/>
          <w:szCs w:val="24"/>
          <w:highlight w:val="non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乙方账户信息</w:t>
      </w:r>
    </w:p>
    <w:p w14:paraId="57C6A664">
      <w:pPr>
        <w:widowControl/>
        <w:spacing w:line="560" w:lineRule="exact"/>
        <w:jc w:val="left"/>
        <w:rPr>
          <w:rFonts w:hint="eastAsia"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户名：</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65B9BBA5">
      <w:pPr>
        <w:widowControl/>
        <w:spacing w:line="560" w:lineRule="exact"/>
        <w:jc w:val="left"/>
        <w:rPr>
          <w:rFonts w:hint="eastAsia"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 xml:space="preserve">                                        账号：</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7C2F2870">
      <w:pPr>
        <w:widowControl/>
        <w:spacing w:line="560" w:lineRule="exact"/>
        <w:jc w:val="left"/>
        <w:rPr>
          <w:rFonts w:ascii="宋体" w:hAnsi="宋体" w:eastAsia="宋体"/>
          <w:b/>
          <w:sz w:val="24"/>
          <w:highlight w:val="non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 xml:space="preserve"> 开户银行：</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43245CB3">
      <w:pPr>
        <w:spacing w:line="360" w:lineRule="auto"/>
        <w:jc w:val="center"/>
        <w:outlineLvl w:val="1"/>
        <w:rPr>
          <w:rFonts w:ascii="宋体" w:hAnsi="宋体" w:eastAsia="宋体"/>
          <w:b/>
          <w:sz w:val="24"/>
          <w:highlight w:val="none"/>
        </w:rPr>
      </w:pPr>
      <w:bookmarkStart w:id="91" w:name="_Toc11347"/>
      <w:bookmarkStart w:id="92" w:name="_Toc8809"/>
      <w:r>
        <w:rPr>
          <w:rFonts w:hint="eastAsia" w:ascii="宋体" w:hAnsi="宋体" w:eastAsia="宋体"/>
          <w:b/>
          <w:sz w:val="24"/>
          <w:highlight w:val="none"/>
        </w:rPr>
        <w:t>第二部分</w:t>
      </w:r>
      <w:r>
        <w:rPr>
          <w:rFonts w:ascii="宋体" w:hAnsi="宋体" w:eastAsia="宋体"/>
          <w:b/>
          <w:sz w:val="24"/>
          <w:highlight w:val="none"/>
        </w:rPr>
        <w:t xml:space="preserve"> </w:t>
      </w:r>
      <w:r>
        <w:rPr>
          <w:rFonts w:hint="eastAsia" w:ascii="宋体" w:hAnsi="宋体" w:eastAsia="宋体"/>
          <w:b/>
          <w:sz w:val="24"/>
          <w:highlight w:val="none"/>
        </w:rPr>
        <w:t>合同一般条款</w:t>
      </w:r>
      <w:bookmarkEnd w:id="90"/>
      <w:bookmarkEnd w:id="91"/>
      <w:bookmarkEnd w:id="92"/>
    </w:p>
    <w:p w14:paraId="7FA7BDEF">
      <w:pPr>
        <w:spacing w:line="360" w:lineRule="auto"/>
        <w:ind w:firstLine="437"/>
        <w:outlineLvl w:val="2"/>
        <w:rPr>
          <w:rFonts w:ascii="宋体" w:hAnsi="宋体" w:eastAsia="宋体"/>
          <w:b/>
          <w:bCs/>
          <w:sz w:val="24"/>
          <w:highlight w:val="none"/>
          <w:lang w:val="zh-CN"/>
        </w:rPr>
      </w:pPr>
      <w:bookmarkStart w:id="93" w:name="_Toc487900349"/>
      <w:bookmarkStart w:id="94" w:name="_Toc19614"/>
      <w:bookmarkStart w:id="95" w:name="_Ref467379195"/>
      <w:bookmarkStart w:id="96" w:name="_Ref467379109"/>
      <w:bookmarkStart w:id="97" w:name="_Toc16917"/>
      <w:bookmarkStart w:id="98" w:name="_Ref467379214"/>
      <w:bookmarkStart w:id="99" w:name="_Toc28763"/>
      <w:bookmarkStart w:id="100" w:name="_Ref467378499"/>
      <w:bookmarkStart w:id="101" w:name="_Ref467379101"/>
      <w:bookmarkStart w:id="102" w:name="_Toc259093669"/>
      <w:bookmarkStart w:id="103" w:name="_Ref467378404"/>
      <w:bookmarkStart w:id="104" w:name="_Ref467379205"/>
      <w:bookmarkStart w:id="105" w:name="_Toc279701240"/>
      <w:bookmarkStart w:id="106" w:name="_Ref467378463"/>
      <w:bookmarkStart w:id="107" w:name="_Ref467379094"/>
      <w:bookmarkStart w:id="108" w:name="_Ref467379225"/>
      <w:r>
        <w:rPr>
          <w:rFonts w:hint="eastAsia" w:ascii="宋体" w:hAnsi="宋体" w:eastAsia="宋体"/>
          <w:b/>
          <w:bCs/>
          <w:sz w:val="24"/>
          <w:highlight w:val="none"/>
          <w:lang w:val="zh-CN"/>
        </w:rPr>
        <w:t>2.1</w:t>
      </w:r>
      <w:r>
        <w:rPr>
          <w:rFonts w:ascii="宋体" w:hAnsi="宋体" w:eastAsia="宋体"/>
          <w:b/>
          <w:bCs/>
          <w:sz w:val="24"/>
          <w:highlight w:val="none"/>
          <w:lang w:val="zh-CN"/>
        </w:rPr>
        <w:t xml:space="preserve"> 定义</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7334883F">
      <w:pPr>
        <w:spacing w:line="360" w:lineRule="auto"/>
        <w:ind w:firstLine="435"/>
        <w:rPr>
          <w:rFonts w:ascii="宋体" w:hAnsi="宋体" w:eastAsia="宋体"/>
          <w:sz w:val="24"/>
          <w:highlight w:val="none"/>
        </w:rPr>
      </w:pPr>
      <w:r>
        <w:rPr>
          <w:rFonts w:ascii="宋体" w:hAnsi="宋体" w:eastAsia="宋体"/>
          <w:sz w:val="24"/>
          <w:highlight w:val="none"/>
        </w:rPr>
        <w:t>本合同中的下列</w:t>
      </w:r>
      <w:r>
        <w:rPr>
          <w:rFonts w:hint="eastAsia" w:ascii="宋体" w:hAnsi="宋体" w:eastAsia="宋体"/>
          <w:sz w:val="24"/>
          <w:highlight w:val="none"/>
        </w:rPr>
        <w:t>词</w:t>
      </w:r>
      <w:r>
        <w:rPr>
          <w:rFonts w:ascii="宋体" w:hAnsi="宋体" w:eastAsia="宋体"/>
          <w:sz w:val="24"/>
          <w:highlight w:val="none"/>
        </w:rPr>
        <w:t>语应</w:t>
      </w:r>
      <w:r>
        <w:rPr>
          <w:rFonts w:hint="eastAsia" w:ascii="宋体" w:hAnsi="宋体" w:eastAsia="宋体"/>
          <w:sz w:val="24"/>
          <w:highlight w:val="none"/>
        </w:rPr>
        <w:t>按以下内容进行</w:t>
      </w:r>
      <w:r>
        <w:rPr>
          <w:rFonts w:ascii="宋体" w:hAnsi="宋体" w:eastAsia="宋体"/>
          <w:sz w:val="24"/>
          <w:highlight w:val="none"/>
        </w:rPr>
        <w:t>解释：</w:t>
      </w:r>
    </w:p>
    <w:p w14:paraId="00264799">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.1</w:t>
      </w:r>
      <w:r>
        <w:rPr>
          <w:rFonts w:hint="eastAsia" w:ascii="宋体" w:hAnsi="宋体" w:eastAsia="宋体"/>
          <w:sz w:val="24"/>
          <w:highlight w:val="none"/>
        </w:rPr>
        <w:t>.1</w:t>
      </w:r>
      <w:r>
        <w:rPr>
          <w:rFonts w:ascii="宋体" w:hAnsi="宋体" w:eastAsia="宋体"/>
          <w:sz w:val="24"/>
          <w:highlight w:val="none"/>
        </w:rPr>
        <w:t>“合同”系指采购人和成交供应商签订的载明双方当事人所达成的协议，并包括所有的附件、附录和构成合同的其他文件。</w:t>
      </w:r>
    </w:p>
    <w:p w14:paraId="67041C26">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1.2“合同价”系指根据合同约定，成交供应商在完全履行合同义务后</w:t>
      </w:r>
      <w:r>
        <w:rPr>
          <w:rFonts w:hint="eastAsia" w:ascii="宋体" w:hAnsi="宋体" w:eastAsia="宋体"/>
          <w:sz w:val="24"/>
          <w:highlight w:val="none"/>
        </w:rPr>
        <w:t>，</w:t>
      </w:r>
      <w:r>
        <w:rPr>
          <w:rFonts w:ascii="宋体" w:hAnsi="宋体" w:eastAsia="宋体"/>
          <w:sz w:val="24"/>
          <w:highlight w:val="none"/>
        </w:rPr>
        <w:t>采购人应支付给成交供应商的价格。</w:t>
      </w:r>
    </w:p>
    <w:p w14:paraId="47A96C4F">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1.3“</w:t>
      </w:r>
      <w:r>
        <w:rPr>
          <w:rFonts w:hint="eastAsia" w:ascii="宋体" w:hAnsi="宋体" w:eastAsia="宋体"/>
          <w:sz w:val="24"/>
          <w:highlight w:val="none"/>
        </w:rPr>
        <w:t>服务</w:t>
      </w:r>
      <w:r>
        <w:rPr>
          <w:rFonts w:ascii="宋体" w:hAnsi="宋体" w:eastAsia="宋体"/>
          <w:sz w:val="24"/>
          <w:highlight w:val="none"/>
        </w:rPr>
        <w:t>”系指</w:t>
      </w:r>
      <w:r>
        <w:rPr>
          <w:rFonts w:hint="eastAsia" w:ascii="宋体" w:hAnsi="宋体" w:eastAsia="宋体"/>
          <w:sz w:val="24"/>
          <w:highlight w:val="none"/>
        </w:rPr>
        <w:t>成交供应商</w:t>
      </w:r>
      <w:r>
        <w:rPr>
          <w:rFonts w:ascii="宋体" w:hAnsi="宋体" w:eastAsia="宋体"/>
          <w:sz w:val="24"/>
          <w:highlight w:val="none"/>
        </w:rPr>
        <w:t>根据合同约定应向采购人</w:t>
      </w:r>
      <w:r>
        <w:rPr>
          <w:rFonts w:hint="eastAsia" w:ascii="宋体" w:hAnsi="宋体" w:eastAsia="宋体"/>
          <w:sz w:val="24"/>
          <w:highlight w:val="none"/>
        </w:rPr>
        <w:t>履行</w:t>
      </w:r>
      <w:r>
        <w:rPr>
          <w:rFonts w:ascii="宋体" w:hAnsi="宋体" w:eastAsia="宋体"/>
          <w:sz w:val="24"/>
          <w:highlight w:val="none"/>
        </w:rPr>
        <w:t>的</w:t>
      </w:r>
      <w:r>
        <w:rPr>
          <w:rFonts w:hint="eastAsia" w:ascii="宋体" w:hAnsi="宋体" w:eastAsia="宋体"/>
          <w:sz w:val="24"/>
          <w:highlight w:val="none"/>
        </w:rPr>
        <w:t>除货物和工程以外的其他政府采购对象，包括采购人自身需要的服务和向社会公众提供的公共服务。</w:t>
      </w:r>
    </w:p>
    <w:p w14:paraId="659363C7">
      <w:pPr>
        <w:spacing w:line="360" w:lineRule="auto"/>
        <w:ind w:firstLine="435"/>
        <w:rPr>
          <w:rFonts w:ascii="宋体" w:hAnsi="宋体" w:eastAsia="宋体"/>
          <w:sz w:val="24"/>
          <w:highlight w:val="none"/>
        </w:rPr>
      </w:pPr>
      <w:bookmarkStart w:id="109" w:name="_Ref467378840"/>
      <w:r>
        <w:rPr>
          <w:rFonts w:hint="eastAsia" w:ascii="宋体" w:hAnsi="宋体" w:eastAsia="宋体"/>
          <w:sz w:val="24"/>
          <w:highlight w:val="none"/>
        </w:rPr>
        <w:t>2.</w:t>
      </w:r>
      <w:r>
        <w:rPr>
          <w:rFonts w:ascii="宋体" w:hAnsi="宋体" w:eastAsia="宋体"/>
          <w:sz w:val="24"/>
          <w:highlight w:val="none"/>
        </w:rPr>
        <w:t>1.</w:t>
      </w:r>
      <w:r>
        <w:rPr>
          <w:rFonts w:hint="eastAsia" w:ascii="宋体" w:hAnsi="宋体" w:eastAsia="宋体"/>
          <w:sz w:val="24"/>
          <w:highlight w:val="none"/>
        </w:rPr>
        <w:t>4</w:t>
      </w:r>
      <w:r>
        <w:rPr>
          <w:rFonts w:ascii="宋体" w:hAnsi="宋体" w:eastAsia="宋体"/>
          <w:sz w:val="24"/>
          <w:highlight w:val="none"/>
        </w:rPr>
        <w:t>“</w:t>
      </w:r>
      <w:r>
        <w:rPr>
          <w:rFonts w:hint="eastAsia" w:ascii="宋体" w:hAnsi="宋体" w:eastAsia="宋体"/>
          <w:sz w:val="24"/>
          <w:highlight w:val="none"/>
        </w:rPr>
        <w:t>甲方</w:t>
      </w:r>
      <w:r>
        <w:rPr>
          <w:rFonts w:ascii="宋体" w:hAnsi="宋体" w:eastAsia="宋体"/>
          <w:sz w:val="24"/>
          <w:highlight w:val="none"/>
        </w:rPr>
        <w:t>”系指与</w:t>
      </w:r>
      <w:r>
        <w:rPr>
          <w:rFonts w:hint="eastAsia" w:ascii="宋体" w:hAnsi="宋体" w:eastAsia="宋体"/>
          <w:sz w:val="24"/>
          <w:highlight w:val="none"/>
        </w:rPr>
        <w:t>成交供应商</w:t>
      </w:r>
      <w:r>
        <w:rPr>
          <w:rFonts w:ascii="宋体" w:hAnsi="宋体" w:eastAsia="宋体"/>
          <w:sz w:val="24"/>
          <w:highlight w:val="none"/>
        </w:rPr>
        <w:t>签署合同的采购人</w:t>
      </w:r>
      <w:bookmarkEnd w:id="109"/>
      <w:r>
        <w:rPr>
          <w:rFonts w:hint="eastAsia" w:ascii="宋体" w:hAnsi="宋体" w:eastAsia="宋体"/>
          <w:sz w:val="24"/>
          <w:highlight w:val="none"/>
        </w:rPr>
        <w:t>；采购人委托采购代理机构代表其与乙方签订合同的，采购人的授权委托书作为合同附件。</w:t>
      </w:r>
    </w:p>
    <w:p w14:paraId="2ACBDAFD">
      <w:pPr>
        <w:spacing w:line="360" w:lineRule="auto"/>
        <w:ind w:firstLine="435"/>
        <w:rPr>
          <w:rFonts w:ascii="宋体" w:hAnsi="宋体" w:eastAsia="宋体"/>
          <w:sz w:val="24"/>
          <w:highlight w:val="none"/>
        </w:rPr>
      </w:pPr>
      <w:bookmarkStart w:id="110" w:name="_Ref467379400"/>
      <w:r>
        <w:rPr>
          <w:rFonts w:hint="eastAsia" w:ascii="宋体" w:hAnsi="宋体" w:eastAsia="宋体"/>
          <w:sz w:val="24"/>
          <w:highlight w:val="none"/>
        </w:rPr>
        <w:t>2.</w:t>
      </w:r>
      <w:r>
        <w:rPr>
          <w:rFonts w:ascii="宋体" w:hAnsi="宋体" w:eastAsia="宋体"/>
          <w:sz w:val="24"/>
          <w:highlight w:val="none"/>
        </w:rPr>
        <w:t>1.</w:t>
      </w:r>
      <w:r>
        <w:rPr>
          <w:rFonts w:hint="eastAsia" w:ascii="宋体" w:hAnsi="宋体" w:eastAsia="宋体"/>
          <w:sz w:val="24"/>
          <w:highlight w:val="none"/>
        </w:rPr>
        <w:t>5</w:t>
      </w:r>
      <w:r>
        <w:rPr>
          <w:rFonts w:ascii="宋体" w:hAnsi="宋体" w:eastAsia="宋体"/>
          <w:sz w:val="24"/>
          <w:highlight w:val="none"/>
        </w:rPr>
        <w:t>“乙方”系指根据合同约定</w:t>
      </w:r>
      <w:r>
        <w:rPr>
          <w:rFonts w:hint="eastAsia" w:ascii="宋体" w:hAnsi="宋体" w:eastAsia="宋体"/>
          <w:sz w:val="24"/>
          <w:highlight w:val="none"/>
        </w:rPr>
        <w:t>提供服务</w:t>
      </w:r>
      <w:r>
        <w:rPr>
          <w:rFonts w:ascii="宋体" w:hAnsi="宋体" w:eastAsia="宋体"/>
          <w:sz w:val="24"/>
          <w:highlight w:val="none"/>
        </w:rPr>
        <w:t>的成交供应商</w:t>
      </w:r>
      <w:bookmarkEnd w:id="110"/>
      <w:r>
        <w:rPr>
          <w:rFonts w:hint="eastAsia" w:ascii="宋体" w:hAnsi="宋体" w:eastAsia="宋体"/>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4640E44E">
      <w:pPr>
        <w:spacing w:line="360" w:lineRule="auto"/>
        <w:ind w:firstLine="435"/>
        <w:rPr>
          <w:rFonts w:ascii="宋体" w:hAnsi="宋体" w:eastAsia="宋体"/>
          <w:sz w:val="24"/>
          <w:highlight w:val="none"/>
        </w:rPr>
      </w:pPr>
      <w:bookmarkStart w:id="111" w:name="_Ref467379436"/>
      <w:r>
        <w:rPr>
          <w:rFonts w:hint="eastAsia" w:ascii="宋体" w:hAnsi="宋体" w:eastAsia="宋体"/>
          <w:sz w:val="24"/>
          <w:highlight w:val="none"/>
        </w:rPr>
        <w:t>2.</w:t>
      </w:r>
      <w:r>
        <w:rPr>
          <w:rFonts w:ascii="宋体" w:hAnsi="宋体" w:eastAsia="宋体"/>
          <w:sz w:val="24"/>
          <w:highlight w:val="none"/>
        </w:rPr>
        <w:t>1.</w:t>
      </w:r>
      <w:r>
        <w:rPr>
          <w:rFonts w:hint="eastAsia" w:ascii="宋体" w:hAnsi="宋体" w:eastAsia="宋体"/>
          <w:sz w:val="24"/>
          <w:highlight w:val="none"/>
        </w:rPr>
        <w:t>6</w:t>
      </w:r>
      <w:r>
        <w:rPr>
          <w:rFonts w:ascii="宋体" w:hAnsi="宋体" w:eastAsia="宋体"/>
          <w:sz w:val="24"/>
          <w:highlight w:val="none"/>
        </w:rPr>
        <w:t>“现场”系指合同约定</w:t>
      </w:r>
      <w:r>
        <w:rPr>
          <w:rFonts w:hint="eastAsia" w:ascii="宋体" w:hAnsi="宋体" w:eastAsia="宋体"/>
          <w:sz w:val="24"/>
          <w:highlight w:val="none"/>
        </w:rPr>
        <w:t>提供服务</w:t>
      </w:r>
      <w:r>
        <w:rPr>
          <w:rFonts w:ascii="宋体" w:hAnsi="宋体" w:eastAsia="宋体"/>
          <w:sz w:val="24"/>
          <w:highlight w:val="none"/>
        </w:rPr>
        <w:t>的地点。</w:t>
      </w:r>
      <w:bookmarkEnd w:id="111"/>
    </w:p>
    <w:p w14:paraId="0AE6910B">
      <w:pPr>
        <w:spacing w:line="360" w:lineRule="auto"/>
        <w:ind w:firstLine="437"/>
        <w:outlineLvl w:val="2"/>
        <w:rPr>
          <w:rFonts w:ascii="宋体" w:hAnsi="宋体" w:eastAsia="宋体"/>
          <w:b/>
          <w:bCs/>
          <w:sz w:val="24"/>
          <w:highlight w:val="none"/>
          <w:lang w:val="zh-CN"/>
        </w:rPr>
      </w:pPr>
      <w:bookmarkStart w:id="112" w:name="_Toc32504"/>
      <w:bookmarkStart w:id="113" w:name="_Toc487900350"/>
      <w:bookmarkStart w:id="114" w:name="_Toc13336"/>
      <w:bookmarkStart w:id="115" w:name="_Toc259093670"/>
      <w:bookmarkStart w:id="116" w:name="_Toc279701241"/>
      <w:bookmarkStart w:id="117" w:name="_Toc27635"/>
      <w:r>
        <w:rPr>
          <w:rFonts w:hint="eastAsia" w:ascii="宋体" w:hAnsi="宋体" w:eastAsia="宋体"/>
          <w:b/>
          <w:bCs/>
          <w:sz w:val="24"/>
          <w:highlight w:val="none"/>
          <w:lang w:val="zh-CN"/>
        </w:rPr>
        <w:t>2.</w:t>
      </w:r>
      <w:r>
        <w:rPr>
          <w:rFonts w:ascii="宋体" w:hAnsi="宋体" w:eastAsia="宋体"/>
          <w:b/>
          <w:bCs/>
          <w:sz w:val="24"/>
          <w:highlight w:val="none"/>
          <w:lang w:val="zh-CN"/>
        </w:rPr>
        <w:t>2 技术规范</w:t>
      </w:r>
      <w:bookmarkEnd w:id="112"/>
      <w:bookmarkEnd w:id="113"/>
      <w:bookmarkEnd w:id="114"/>
      <w:bookmarkEnd w:id="115"/>
      <w:bookmarkEnd w:id="116"/>
      <w:bookmarkEnd w:id="117"/>
    </w:p>
    <w:p w14:paraId="20BBB9F4">
      <w:pPr>
        <w:spacing w:line="360" w:lineRule="auto"/>
        <w:ind w:firstLine="435"/>
        <w:rPr>
          <w:rFonts w:ascii="宋体" w:hAnsi="宋体" w:eastAsia="宋体"/>
          <w:sz w:val="24"/>
          <w:highlight w:val="none"/>
        </w:rPr>
      </w:pPr>
      <w:r>
        <w:rPr>
          <w:rFonts w:ascii="宋体" w:hAnsi="宋体" w:eastAsia="宋体"/>
          <w:sz w:val="24"/>
          <w:highlight w:val="none"/>
        </w:rPr>
        <w:t>货物所应遵守的技术规范应与采购文件规定的技术规范和技术规范附件(如果有的话)及其技术规范偏差表(如果被甲方接受的话)相一致</w:t>
      </w:r>
      <w:r>
        <w:rPr>
          <w:rFonts w:hint="eastAsia" w:ascii="宋体" w:hAnsi="宋体" w:eastAsia="宋体"/>
          <w:sz w:val="24"/>
          <w:highlight w:val="none"/>
        </w:rPr>
        <w:t>；</w:t>
      </w:r>
      <w:r>
        <w:rPr>
          <w:rFonts w:ascii="宋体" w:hAnsi="宋体" w:eastAsia="宋体"/>
          <w:sz w:val="24"/>
          <w:highlight w:val="none"/>
        </w:rPr>
        <w:t>如果采购文件中没有技术规范的相应说明，那么应以国家有关部门最新颁布的相应标准</w:t>
      </w:r>
      <w:r>
        <w:rPr>
          <w:rFonts w:hint="eastAsia" w:ascii="宋体" w:hAnsi="宋体" w:eastAsia="宋体"/>
          <w:sz w:val="24"/>
          <w:highlight w:val="none"/>
        </w:rPr>
        <w:t>和</w:t>
      </w:r>
      <w:r>
        <w:rPr>
          <w:rFonts w:ascii="宋体" w:hAnsi="宋体" w:eastAsia="宋体"/>
          <w:sz w:val="24"/>
          <w:highlight w:val="none"/>
        </w:rPr>
        <w:t>规范为准。</w:t>
      </w:r>
    </w:p>
    <w:p w14:paraId="23539963">
      <w:pPr>
        <w:spacing w:line="360" w:lineRule="auto"/>
        <w:ind w:firstLine="437"/>
        <w:outlineLvl w:val="2"/>
        <w:rPr>
          <w:rFonts w:ascii="宋体" w:hAnsi="宋体" w:eastAsia="宋体"/>
          <w:b/>
          <w:bCs/>
          <w:sz w:val="24"/>
          <w:highlight w:val="none"/>
          <w:lang w:val="zh-CN"/>
        </w:rPr>
      </w:pPr>
      <w:bookmarkStart w:id="118" w:name="_Toc31634"/>
      <w:bookmarkStart w:id="119" w:name="_Toc487900351"/>
      <w:bookmarkStart w:id="120" w:name="_Toc259093671"/>
      <w:bookmarkStart w:id="121" w:name="_Toc279701242"/>
      <w:bookmarkStart w:id="122" w:name="_Toc9829"/>
      <w:bookmarkStart w:id="123" w:name="_Toc27853"/>
      <w:r>
        <w:rPr>
          <w:rFonts w:hint="eastAsia" w:ascii="宋体" w:hAnsi="宋体" w:eastAsia="宋体"/>
          <w:b/>
          <w:bCs/>
          <w:sz w:val="24"/>
          <w:highlight w:val="none"/>
          <w:lang w:val="zh-CN"/>
        </w:rPr>
        <w:t>2.</w:t>
      </w:r>
      <w:r>
        <w:rPr>
          <w:rFonts w:ascii="宋体" w:hAnsi="宋体" w:eastAsia="宋体"/>
          <w:b/>
          <w:bCs/>
          <w:sz w:val="24"/>
          <w:highlight w:val="none"/>
          <w:lang w:val="zh-CN"/>
        </w:rPr>
        <w:t>3 知识产权</w:t>
      </w:r>
      <w:bookmarkEnd w:id="118"/>
      <w:bookmarkEnd w:id="119"/>
      <w:bookmarkEnd w:id="120"/>
      <w:bookmarkEnd w:id="121"/>
      <w:bookmarkEnd w:id="122"/>
      <w:bookmarkEnd w:id="123"/>
    </w:p>
    <w:p w14:paraId="2B2622EB">
      <w:pPr>
        <w:spacing w:line="360" w:lineRule="auto"/>
        <w:ind w:firstLine="435"/>
        <w:rPr>
          <w:rFonts w:ascii="宋体" w:hAnsi="宋体" w:eastAsia="宋体"/>
          <w:sz w:val="24"/>
          <w:highlight w:val="none"/>
        </w:rPr>
      </w:pPr>
      <w:r>
        <w:rPr>
          <w:rFonts w:hint="eastAsia" w:ascii="宋体" w:hAnsi="宋体" w:eastAsia="宋体"/>
          <w:sz w:val="24"/>
          <w:highlight w:val="none"/>
        </w:rPr>
        <w:t>2.3.1乙</w:t>
      </w:r>
      <w:r>
        <w:rPr>
          <w:rFonts w:ascii="宋体" w:hAnsi="宋体" w:eastAsia="宋体"/>
          <w:sz w:val="24"/>
          <w:highlight w:val="none"/>
        </w:rPr>
        <w:t>方应保证</w:t>
      </w:r>
      <w:r>
        <w:rPr>
          <w:rFonts w:hint="eastAsia" w:ascii="宋体" w:hAnsi="宋体" w:eastAsia="宋体"/>
          <w:sz w:val="24"/>
          <w:highlight w:val="none"/>
        </w:rPr>
        <w:t>其提供的服务</w:t>
      </w:r>
      <w:r>
        <w:rPr>
          <w:rFonts w:ascii="宋体" w:hAnsi="宋体" w:eastAsia="宋体"/>
          <w:sz w:val="24"/>
          <w:highlight w:val="none"/>
        </w:rPr>
        <w:t>不受任何第三方提出的侵犯其著作权、商标权、专利权等知识产权方面的起诉</w:t>
      </w:r>
      <w:r>
        <w:rPr>
          <w:rFonts w:hint="eastAsia" w:ascii="宋体" w:hAnsi="宋体" w:eastAsia="宋体"/>
          <w:sz w:val="24"/>
          <w:highlight w:val="none"/>
        </w:rPr>
        <w:t>；</w:t>
      </w:r>
      <w:r>
        <w:rPr>
          <w:rFonts w:ascii="宋体" w:hAnsi="宋体" w:eastAsia="宋体"/>
          <w:sz w:val="24"/>
          <w:highlight w:val="none"/>
        </w:rPr>
        <w:t>如果任何第三方提出侵权</w:t>
      </w:r>
      <w:r>
        <w:rPr>
          <w:rFonts w:hint="eastAsia" w:ascii="宋体" w:hAnsi="宋体" w:eastAsia="宋体"/>
          <w:sz w:val="24"/>
          <w:highlight w:val="none"/>
        </w:rPr>
        <w:t>指控</w:t>
      </w:r>
      <w:r>
        <w:rPr>
          <w:rFonts w:ascii="宋体" w:hAnsi="宋体" w:eastAsia="宋体"/>
          <w:sz w:val="24"/>
          <w:highlight w:val="none"/>
        </w:rPr>
        <w:t>，那么乙方须与该第三方交涉并承担由此发生的一切责任、费用和赔偿</w:t>
      </w:r>
      <w:r>
        <w:rPr>
          <w:rFonts w:hint="eastAsia" w:ascii="宋体" w:hAnsi="宋体" w:eastAsia="宋体"/>
          <w:sz w:val="24"/>
          <w:highlight w:val="none"/>
        </w:rPr>
        <w:t>；</w:t>
      </w:r>
    </w:p>
    <w:p w14:paraId="4876489E">
      <w:pPr>
        <w:spacing w:line="360" w:lineRule="auto"/>
        <w:ind w:firstLine="435"/>
        <w:rPr>
          <w:rFonts w:ascii="宋体" w:hAnsi="宋体" w:eastAsia="宋体"/>
          <w:sz w:val="24"/>
          <w:highlight w:val="none"/>
        </w:rPr>
      </w:pPr>
      <w:r>
        <w:rPr>
          <w:rFonts w:hint="eastAsia" w:ascii="宋体" w:hAnsi="宋体" w:eastAsia="宋体"/>
          <w:sz w:val="24"/>
          <w:highlight w:val="none"/>
        </w:rPr>
        <w:t>2.3.2具有知识产权的计算机软件等货物的知识产权归属，</w:t>
      </w:r>
      <w:r>
        <w:rPr>
          <w:rFonts w:ascii="宋体" w:hAnsi="宋体" w:eastAsia="宋体"/>
          <w:sz w:val="24"/>
          <w:highlight w:val="none"/>
        </w:rPr>
        <w:t>详见</w:t>
      </w:r>
      <w:r>
        <w:rPr>
          <w:rFonts w:ascii="宋体" w:hAnsi="宋体" w:eastAsia="宋体"/>
          <w:b/>
          <w:i/>
          <w:sz w:val="24"/>
          <w:highlight w:val="none"/>
          <w:u w:val="single"/>
        </w:rPr>
        <w:t>合同专用条款</w:t>
      </w:r>
      <w:r>
        <w:rPr>
          <w:rFonts w:ascii="宋体" w:hAnsi="宋体" w:eastAsia="宋体"/>
          <w:sz w:val="24"/>
          <w:highlight w:val="none"/>
        </w:rPr>
        <w:t>。</w:t>
      </w:r>
    </w:p>
    <w:p w14:paraId="2868B08E">
      <w:pPr>
        <w:spacing w:line="360" w:lineRule="auto"/>
        <w:ind w:firstLine="437"/>
        <w:outlineLvl w:val="2"/>
        <w:rPr>
          <w:rFonts w:ascii="宋体" w:hAnsi="宋体" w:eastAsia="宋体"/>
          <w:b/>
          <w:bCs/>
          <w:sz w:val="24"/>
          <w:highlight w:val="none"/>
          <w:lang w:val="zh-CN"/>
        </w:rPr>
      </w:pPr>
      <w:bookmarkStart w:id="124" w:name="_Ref467378541"/>
      <w:bookmarkStart w:id="125" w:name="_Toc259093674"/>
      <w:bookmarkStart w:id="126" w:name="_Toc487900354"/>
      <w:bookmarkStart w:id="127" w:name="_Toc279701245"/>
      <w:bookmarkStart w:id="128" w:name="_Ref467379536"/>
      <w:bookmarkStart w:id="129" w:name="_Ref467378591"/>
      <w:bookmarkStart w:id="130" w:name="_Ref467379527"/>
      <w:bookmarkStart w:id="131" w:name="_Ref467379542"/>
      <w:bookmarkStart w:id="132" w:name="_Toc26182"/>
      <w:bookmarkStart w:id="133" w:name="_Toc19074"/>
      <w:bookmarkStart w:id="134" w:name="_Toc30272"/>
      <w:r>
        <w:rPr>
          <w:rFonts w:hint="eastAsia" w:ascii="宋体" w:hAnsi="宋体" w:eastAsia="宋体"/>
          <w:b/>
          <w:bCs/>
          <w:sz w:val="24"/>
          <w:highlight w:val="none"/>
          <w:lang w:val="zh-CN"/>
        </w:rPr>
        <w:t>2.</w:t>
      </w:r>
      <w:bookmarkEnd w:id="124"/>
      <w:bookmarkEnd w:id="125"/>
      <w:bookmarkEnd w:id="126"/>
      <w:bookmarkEnd w:id="127"/>
      <w:bookmarkEnd w:id="128"/>
      <w:bookmarkEnd w:id="129"/>
      <w:bookmarkEnd w:id="130"/>
      <w:bookmarkEnd w:id="131"/>
      <w:r>
        <w:rPr>
          <w:rFonts w:ascii="宋体" w:hAnsi="宋体" w:eastAsia="宋体"/>
          <w:b/>
          <w:bCs/>
          <w:sz w:val="24"/>
          <w:highlight w:val="none"/>
          <w:lang w:val="zh-CN"/>
        </w:rPr>
        <w:t xml:space="preserve">4 </w:t>
      </w:r>
      <w:r>
        <w:rPr>
          <w:rFonts w:hint="eastAsia" w:ascii="宋体" w:hAnsi="宋体" w:eastAsia="宋体"/>
          <w:b/>
          <w:bCs/>
          <w:sz w:val="24"/>
          <w:highlight w:val="none"/>
          <w:lang w:val="zh-CN"/>
        </w:rPr>
        <w:t>履约检查和问题反馈</w:t>
      </w:r>
      <w:bookmarkEnd w:id="132"/>
      <w:bookmarkEnd w:id="133"/>
      <w:bookmarkEnd w:id="134"/>
    </w:p>
    <w:p w14:paraId="427D3173">
      <w:pPr>
        <w:spacing w:line="360" w:lineRule="auto"/>
        <w:ind w:firstLine="435"/>
        <w:rPr>
          <w:rFonts w:ascii="宋体" w:hAnsi="宋体" w:eastAsia="宋体"/>
          <w:sz w:val="24"/>
          <w:highlight w:val="none"/>
        </w:rPr>
      </w:pPr>
      <w:bookmarkStart w:id="135" w:name="_Toc186431854"/>
      <w:bookmarkStart w:id="136" w:name="_Toc259093676"/>
      <w:bookmarkStart w:id="137" w:name="_Toc487900357"/>
      <w:bookmarkStart w:id="138" w:name="_Toc279701247"/>
      <w:bookmarkStart w:id="139" w:name="_Ref467379793"/>
      <w:bookmarkStart w:id="140" w:name="_Ref467379807"/>
      <w:r>
        <w:rPr>
          <w:rFonts w:hint="eastAsia" w:ascii="宋体" w:hAnsi="宋体" w:eastAsia="宋体"/>
          <w:sz w:val="24"/>
          <w:highlight w:val="none"/>
        </w:rPr>
        <w:t>2.4</w:t>
      </w:r>
      <w:r>
        <w:rPr>
          <w:rFonts w:ascii="宋体" w:hAnsi="宋体" w:eastAsia="宋体"/>
          <w:sz w:val="24"/>
          <w:highlight w:val="none"/>
        </w:rPr>
        <w:t>.1甲方</w:t>
      </w:r>
      <w:r>
        <w:rPr>
          <w:rFonts w:hint="eastAsia" w:ascii="宋体" w:hAnsi="宋体" w:eastAsia="宋体"/>
          <w:sz w:val="24"/>
          <w:highlight w:val="none"/>
        </w:rPr>
        <w:t>有权</w:t>
      </w:r>
      <w:r>
        <w:rPr>
          <w:rFonts w:ascii="宋体" w:hAnsi="宋体" w:eastAsia="宋体"/>
          <w:sz w:val="24"/>
          <w:highlight w:val="none"/>
        </w:rPr>
        <w:t>在其认为必要时</w:t>
      </w:r>
      <w:r>
        <w:rPr>
          <w:rFonts w:hint="eastAsia" w:ascii="宋体" w:hAnsi="宋体" w:eastAsia="宋体"/>
          <w:sz w:val="24"/>
          <w:highlight w:val="none"/>
        </w:rPr>
        <w:t>，对乙方是否能够按照合同约定提供服务进行履约检查，以确保乙方所提供的服务能够依约满足甲方项目需求，但不得因履约检查妨碍乙方的正常工作，乙方应予积极配合；</w:t>
      </w:r>
    </w:p>
    <w:p w14:paraId="38C35431">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4</w:t>
      </w:r>
      <w:r>
        <w:rPr>
          <w:rFonts w:hint="eastAsia" w:ascii="宋体" w:hAnsi="宋体" w:eastAsia="宋体"/>
          <w:sz w:val="24"/>
          <w:highlight w:val="none"/>
        </w:rPr>
        <w:t>.2合同履行期间，甲方有权将履行过程中出现的问题反馈给乙方，双方当事人应以书面形式约定需要完善和改进的内容</w:t>
      </w:r>
      <w:bookmarkEnd w:id="135"/>
      <w:bookmarkStart w:id="141" w:name="_Toc186431855"/>
      <w:r>
        <w:rPr>
          <w:rFonts w:hint="eastAsia" w:ascii="宋体" w:hAnsi="宋体" w:eastAsia="宋体"/>
          <w:sz w:val="24"/>
          <w:highlight w:val="none"/>
        </w:rPr>
        <w:t>。</w:t>
      </w:r>
    </w:p>
    <w:bookmarkEnd w:id="141"/>
    <w:p w14:paraId="3B3868E2">
      <w:pPr>
        <w:spacing w:line="360" w:lineRule="auto"/>
        <w:ind w:firstLine="437"/>
        <w:outlineLvl w:val="2"/>
        <w:rPr>
          <w:rFonts w:ascii="宋体" w:hAnsi="宋体" w:eastAsia="宋体"/>
          <w:b/>
          <w:bCs/>
          <w:sz w:val="24"/>
          <w:highlight w:val="none"/>
          <w:lang w:val="zh-CN"/>
        </w:rPr>
      </w:pPr>
      <w:bookmarkStart w:id="142" w:name="_Toc7836"/>
      <w:bookmarkStart w:id="143" w:name="_Toc19219"/>
      <w:bookmarkStart w:id="144" w:name="_Toc28451"/>
      <w:r>
        <w:rPr>
          <w:rFonts w:hint="eastAsia" w:ascii="宋体" w:hAnsi="宋体" w:eastAsia="宋体"/>
          <w:b/>
          <w:bCs/>
          <w:sz w:val="24"/>
          <w:highlight w:val="none"/>
          <w:lang w:val="zh-CN"/>
        </w:rPr>
        <w:t>2.</w:t>
      </w:r>
      <w:r>
        <w:rPr>
          <w:rFonts w:ascii="宋体" w:hAnsi="宋体" w:eastAsia="宋体"/>
          <w:b/>
          <w:bCs/>
          <w:sz w:val="24"/>
          <w:highlight w:val="none"/>
          <w:lang w:val="zh-CN"/>
        </w:rPr>
        <w:t>5</w:t>
      </w:r>
      <w:r>
        <w:rPr>
          <w:rFonts w:hint="eastAsia" w:ascii="宋体" w:hAnsi="宋体" w:eastAsia="宋体"/>
          <w:b/>
          <w:bCs/>
          <w:sz w:val="24"/>
          <w:highlight w:val="none"/>
          <w:lang w:val="zh-CN"/>
        </w:rPr>
        <w:t xml:space="preserve"> </w:t>
      </w:r>
      <w:r>
        <w:rPr>
          <w:rFonts w:ascii="宋体" w:hAnsi="宋体" w:eastAsia="宋体"/>
          <w:b/>
          <w:bCs/>
          <w:sz w:val="24"/>
          <w:highlight w:val="none"/>
          <w:lang w:val="zh-CN"/>
        </w:rPr>
        <w:t>结算方式和付款条件</w:t>
      </w:r>
      <w:bookmarkEnd w:id="136"/>
      <w:bookmarkEnd w:id="137"/>
      <w:bookmarkEnd w:id="138"/>
      <w:bookmarkEnd w:id="139"/>
      <w:bookmarkEnd w:id="140"/>
      <w:bookmarkEnd w:id="142"/>
      <w:bookmarkEnd w:id="143"/>
      <w:bookmarkEnd w:id="144"/>
    </w:p>
    <w:p w14:paraId="5820A219">
      <w:pPr>
        <w:spacing w:line="360" w:lineRule="auto"/>
        <w:ind w:firstLine="435"/>
        <w:rPr>
          <w:rFonts w:ascii="宋体" w:hAnsi="宋体" w:eastAsia="宋体"/>
          <w:sz w:val="24"/>
          <w:highlight w:val="none"/>
        </w:rPr>
      </w:pPr>
      <w:r>
        <w:rPr>
          <w:rFonts w:ascii="宋体" w:hAnsi="宋体" w:eastAsia="宋体"/>
          <w:sz w:val="24"/>
          <w:highlight w:val="none"/>
        </w:rPr>
        <w:t>详见</w:t>
      </w:r>
      <w:r>
        <w:rPr>
          <w:rFonts w:ascii="宋体" w:hAnsi="宋体" w:eastAsia="宋体"/>
          <w:b/>
          <w:i/>
          <w:sz w:val="24"/>
          <w:highlight w:val="none"/>
          <w:u w:val="single"/>
        </w:rPr>
        <w:t>合同专用条款</w:t>
      </w:r>
      <w:r>
        <w:rPr>
          <w:rFonts w:ascii="宋体" w:hAnsi="宋体" w:eastAsia="宋体"/>
          <w:sz w:val="24"/>
          <w:highlight w:val="none"/>
        </w:rPr>
        <w:t>。</w:t>
      </w:r>
    </w:p>
    <w:p w14:paraId="2DA91845">
      <w:pPr>
        <w:spacing w:line="360" w:lineRule="auto"/>
        <w:ind w:firstLine="437"/>
        <w:outlineLvl w:val="2"/>
        <w:rPr>
          <w:rFonts w:ascii="宋体" w:hAnsi="宋体" w:eastAsia="宋体"/>
          <w:b/>
          <w:bCs/>
          <w:sz w:val="24"/>
          <w:highlight w:val="none"/>
          <w:lang w:val="zh-CN"/>
        </w:rPr>
      </w:pPr>
      <w:bookmarkStart w:id="145" w:name="_Ref467379852"/>
      <w:bookmarkStart w:id="146" w:name="_Toc487900358"/>
      <w:bookmarkStart w:id="147" w:name="_Toc259093677"/>
      <w:bookmarkStart w:id="148" w:name="_Ref467379863"/>
      <w:bookmarkStart w:id="149" w:name="_Ref467379923"/>
      <w:bookmarkStart w:id="150" w:name="_Toc279701248"/>
      <w:bookmarkStart w:id="151" w:name="_Toc3225"/>
      <w:bookmarkStart w:id="152" w:name="_Toc16110"/>
      <w:bookmarkStart w:id="153" w:name="_Toc774"/>
      <w:r>
        <w:rPr>
          <w:rFonts w:hint="eastAsia" w:ascii="宋体" w:hAnsi="宋体" w:eastAsia="宋体"/>
          <w:b/>
          <w:bCs/>
          <w:sz w:val="24"/>
          <w:highlight w:val="none"/>
          <w:lang w:val="zh-CN"/>
        </w:rPr>
        <w:t>2.</w:t>
      </w:r>
      <w:r>
        <w:rPr>
          <w:rFonts w:ascii="宋体" w:hAnsi="宋体" w:eastAsia="宋体"/>
          <w:b/>
          <w:bCs/>
          <w:sz w:val="24"/>
          <w:highlight w:val="none"/>
          <w:lang w:val="zh-CN"/>
        </w:rPr>
        <w:t>6</w:t>
      </w:r>
      <w:r>
        <w:rPr>
          <w:rFonts w:hint="eastAsia" w:ascii="宋体" w:hAnsi="宋体" w:eastAsia="宋体"/>
          <w:b/>
          <w:bCs/>
          <w:sz w:val="24"/>
          <w:highlight w:val="none"/>
          <w:lang w:val="zh-CN"/>
        </w:rPr>
        <w:t xml:space="preserve"> </w:t>
      </w:r>
      <w:r>
        <w:rPr>
          <w:rFonts w:ascii="宋体" w:hAnsi="宋体" w:eastAsia="宋体"/>
          <w:b/>
          <w:bCs/>
          <w:sz w:val="24"/>
          <w:highlight w:val="none"/>
          <w:lang w:val="zh-CN"/>
        </w:rPr>
        <w:t>技术资料</w:t>
      </w:r>
      <w:bookmarkEnd w:id="145"/>
      <w:bookmarkEnd w:id="146"/>
      <w:bookmarkEnd w:id="147"/>
      <w:bookmarkEnd w:id="148"/>
      <w:bookmarkEnd w:id="149"/>
      <w:bookmarkEnd w:id="150"/>
      <w:r>
        <w:rPr>
          <w:rFonts w:ascii="宋体" w:hAnsi="宋体" w:eastAsia="宋体"/>
          <w:b/>
          <w:bCs/>
          <w:sz w:val="24"/>
          <w:highlight w:val="none"/>
          <w:lang w:val="zh-CN"/>
        </w:rPr>
        <w:t>和保密义务</w:t>
      </w:r>
      <w:bookmarkEnd w:id="151"/>
      <w:bookmarkEnd w:id="152"/>
      <w:bookmarkEnd w:id="153"/>
    </w:p>
    <w:p w14:paraId="1C4E2E8A">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6.1</w:t>
      </w:r>
      <w:r>
        <w:rPr>
          <w:rFonts w:hint="eastAsia" w:ascii="宋体" w:hAnsi="宋体" w:eastAsia="宋体"/>
          <w:sz w:val="24"/>
          <w:highlight w:val="none"/>
        </w:rPr>
        <w:t>乙方有权依据合同约定和项目需要，向甲方了解有关情况，调阅有关资料等，甲方应予积极配合；</w:t>
      </w:r>
    </w:p>
    <w:p w14:paraId="2D6AEDAC">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6</w:t>
      </w:r>
      <w:r>
        <w:rPr>
          <w:rFonts w:hint="eastAsia" w:ascii="宋体" w:hAnsi="宋体" w:eastAsia="宋体"/>
          <w:sz w:val="24"/>
          <w:highlight w:val="none"/>
        </w:rPr>
        <w:t>.2乙方有义务妥善保管和保护由甲方提供的前款信息和资料等；</w:t>
      </w:r>
    </w:p>
    <w:p w14:paraId="7D35CC38">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6.</w:t>
      </w:r>
      <w:r>
        <w:rPr>
          <w:rFonts w:hint="eastAsia" w:ascii="宋体" w:hAnsi="宋体" w:eastAsia="宋体"/>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宋体" w:hAnsi="宋体" w:eastAsia="宋体"/>
          <w:sz w:val="24"/>
          <w:highlight w:val="none"/>
        </w:rPr>
        <w:t>技术情报</w:t>
      </w:r>
      <w:r>
        <w:rPr>
          <w:rFonts w:hint="eastAsia" w:ascii="宋体" w:hAnsi="宋体" w:eastAsia="宋体"/>
          <w:sz w:val="24"/>
          <w:highlight w:val="none"/>
        </w:rPr>
        <w:t>、</w:t>
      </w:r>
      <w:r>
        <w:rPr>
          <w:rFonts w:ascii="宋体" w:hAnsi="宋体" w:eastAsia="宋体"/>
          <w:sz w:val="24"/>
          <w:highlight w:val="none"/>
        </w:rPr>
        <w:t>技术资料</w:t>
      </w:r>
      <w:r>
        <w:rPr>
          <w:rFonts w:hint="eastAsia" w:ascii="宋体" w:hAnsi="宋体" w:eastAsia="宋体"/>
          <w:sz w:val="24"/>
          <w:highlight w:val="none"/>
        </w:rPr>
        <w:t>、商业秘密和商业信息等，并采取一切合理和必要措施和方式防止任何第三方接触到对方当事人的上述保密信息和资料。</w:t>
      </w:r>
    </w:p>
    <w:p w14:paraId="0ED32C41">
      <w:pPr>
        <w:spacing w:line="360" w:lineRule="auto"/>
        <w:ind w:firstLine="437"/>
        <w:outlineLvl w:val="2"/>
        <w:rPr>
          <w:rFonts w:ascii="宋体" w:hAnsi="宋体" w:eastAsia="宋体"/>
          <w:b/>
          <w:bCs/>
          <w:sz w:val="24"/>
          <w:highlight w:val="none"/>
          <w:lang w:val="zh-CN"/>
        </w:rPr>
      </w:pPr>
      <w:bookmarkStart w:id="154" w:name="_Toc7860"/>
      <w:r>
        <w:rPr>
          <w:rFonts w:ascii="宋体" w:hAnsi="宋体" w:eastAsia="宋体"/>
          <w:b/>
          <w:bCs/>
          <w:sz w:val="24"/>
          <w:highlight w:val="none"/>
          <w:lang w:val="zh-CN"/>
        </w:rPr>
        <w:t>2.7 质量保证</w:t>
      </w:r>
      <w:bookmarkEnd w:id="154"/>
    </w:p>
    <w:p w14:paraId="5B04A6AC">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7</w:t>
      </w:r>
      <w:r>
        <w:rPr>
          <w:rFonts w:hint="eastAsia" w:ascii="宋体" w:hAnsi="宋体" w:eastAsia="宋体"/>
          <w:sz w:val="24"/>
          <w:highlight w:val="none"/>
        </w:rPr>
        <w:t>.1乙方应建立和完善履行合同的内部质量保证体系，并提供相关内部规章制度给甲方，以便甲方进行监督检查；</w:t>
      </w:r>
    </w:p>
    <w:p w14:paraId="589A240B">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7</w:t>
      </w:r>
      <w:r>
        <w:rPr>
          <w:rFonts w:hint="eastAsia" w:ascii="宋体" w:hAnsi="宋体" w:eastAsia="宋体"/>
          <w:sz w:val="24"/>
          <w:highlight w:val="none"/>
        </w:rPr>
        <w:t>.2乙方应保证履行合同的人员数量和素质、软件和硬件设备的配置、场地、环境和设施等满足全面履行合同的要求，并应接受甲方的监督检查。</w:t>
      </w:r>
    </w:p>
    <w:p w14:paraId="6D868E51">
      <w:pPr>
        <w:spacing w:line="360" w:lineRule="auto"/>
        <w:ind w:firstLine="437"/>
        <w:outlineLvl w:val="2"/>
        <w:rPr>
          <w:rFonts w:ascii="宋体" w:hAnsi="宋体" w:eastAsia="宋体"/>
          <w:b/>
          <w:sz w:val="24"/>
          <w:highlight w:val="none"/>
        </w:rPr>
      </w:pPr>
      <w:bookmarkStart w:id="155" w:name="_Toc22267"/>
      <w:r>
        <w:rPr>
          <w:rFonts w:hint="eastAsia" w:ascii="宋体" w:hAnsi="宋体" w:eastAsia="宋体"/>
          <w:b/>
          <w:sz w:val="24"/>
          <w:highlight w:val="none"/>
        </w:rPr>
        <w:t>2.8 延迟履行</w:t>
      </w:r>
      <w:bookmarkEnd w:id="155"/>
    </w:p>
    <w:p w14:paraId="72F13103">
      <w:pPr>
        <w:spacing w:line="360" w:lineRule="auto"/>
        <w:ind w:firstLine="435"/>
        <w:rPr>
          <w:rFonts w:ascii="宋体" w:hAnsi="宋体" w:eastAsia="宋体"/>
          <w:sz w:val="24"/>
          <w:highlight w:val="none"/>
        </w:rPr>
      </w:pPr>
      <w:r>
        <w:rPr>
          <w:rFonts w:ascii="宋体" w:hAnsi="宋体" w:eastAsia="宋体"/>
          <w:sz w:val="24"/>
          <w:highlight w:val="none"/>
        </w:rPr>
        <w:t>在合同履行过程中，如果乙方遇到不能按时</w:t>
      </w:r>
      <w:r>
        <w:rPr>
          <w:rFonts w:hint="eastAsia" w:ascii="宋体" w:hAnsi="宋体" w:eastAsia="宋体"/>
          <w:sz w:val="24"/>
          <w:highlight w:val="none"/>
        </w:rPr>
        <w:t>提供服务</w:t>
      </w:r>
      <w:r>
        <w:rPr>
          <w:rFonts w:ascii="宋体" w:hAnsi="宋体" w:eastAsia="宋体"/>
          <w:sz w:val="24"/>
          <w:highlight w:val="none"/>
        </w:rPr>
        <w:t>的情况，应及时以书面形式将不能按时</w:t>
      </w:r>
      <w:r>
        <w:rPr>
          <w:rFonts w:hint="eastAsia" w:ascii="宋体" w:hAnsi="宋体" w:eastAsia="宋体"/>
          <w:sz w:val="24"/>
          <w:highlight w:val="none"/>
        </w:rPr>
        <w:t>提供服务</w:t>
      </w:r>
      <w:r>
        <w:rPr>
          <w:rFonts w:ascii="宋体" w:hAnsi="宋体" w:eastAsia="宋体"/>
          <w:sz w:val="24"/>
          <w:highlight w:val="none"/>
        </w:rPr>
        <w:t>的理由、预期延误时间通知甲方</w:t>
      </w:r>
      <w:r>
        <w:rPr>
          <w:rFonts w:hint="eastAsia" w:ascii="宋体" w:hAnsi="宋体" w:eastAsia="宋体"/>
          <w:sz w:val="24"/>
          <w:highlight w:val="none"/>
        </w:rPr>
        <w:t>；甲</w:t>
      </w:r>
      <w:r>
        <w:rPr>
          <w:rFonts w:ascii="宋体" w:hAnsi="宋体" w:eastAsia="宋体"/>
          <w:sz w:val="24"/>
          <w:highlight w:val="none"/>
        </w:rPr>
        <w:t>方收到乙方通知后，认为其理由正当的，可以书面形式酌情同意乙方可以延长</w:t>
      </w:r>
      <w:r>
        <w:rPr>
          <w:rFonts w:hint="eastAsia" w:ascii="宋体" w:hAnsi="宋体" w:eastAsia="宋体"/>
          <w:sz w:val="24"/>
          <w:highlight w:val="none"/>
        </w:rPr>
        <w:t>履行</w:t>
      </w:r>
      <w:r>
        <w:rPr>
          <w:rFonts w:ascii="宋体" w:hAnsi="宋体" w:eastAsia="宋体"/>
          <w:sz w:val="24"/>
          <w:highlight w:val="none"/>
        </w:rPr>
        <w:t>的具体时间。</w:t>
      </w:r>
    </w:p>
    <w:p w14:paraId="1E23FD1E">
      <w:pPr>
        <w:spacing w:line="360" w:lineRule="auto"/>
        <w:ind w:firstLine="437"/>
        <w:outlineLvl w:val="2"/>
        <w:rPr>
          <w:rFonts w:ascii="宋体" w:hAnsi="宋体" w:eastAsia="宋体"/>
          <w:b/>
          <w:bCs/>
          <w:sz w:val="24"/>
          <w:highlight w:val="none"/>
          <w:lang w:val="zh-CN"/>
        </w:rPr>
      </w:pPr>
      <w:bookmarkStart w:id="156" w:name="_Toc7502"/>
      <w:bookmarkStart w:id="157" w:name="_Toc259093683"/>
      <w:bookmarkStart w:id="158" w:name="_Ref467378121"/>
      <w:bookmarkStart w:id="159" w:name="_Toc279701254"/>
      <w:bookmarkStart w:id="160" w:name="_Toc487900364"/>
      <w:r>
        <w:rPr>
          <w:rFonts w:ascii="宋体" w:hAnsi="宋体" w:eastAsia="宋体"/>
          <w:b/>
          <w:bCs/>
          <w:sz w:val="24"/>
          <w:highlight w:val="none"/>
          <w:lang w:val="zh-CN"/>
        </w:rPr>
        <w:t>2.9 合同变更</w:t>
      </w:r>
      <w:bookmarkEnd w:id="156"/>
    </w:p>
    <w:p w14:paraId="37F0826A">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9</w:t>
      </w:r>
      <w:r>
        <w:rPr>
          <w:rFonts w:hint="eastAsia" w:ascii="宋体" w:hAnsi="宋体" w:eastAsia="宋体"/>
          <w:sz w:val="24"/>
          <w:highlight w:val="none"/>
        </w:rPr>
        <w:t>.1双方当事人协商一致，可以签订书面补充合同的形式变更合同，但不得违背采购文件确定的事项；</w:t>
      </w:r>
    </w:p>
    <w:p w14:paraId="3A2D713D">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9</w:t>
      </w:r>
      <w:r>
        <w:rPr>
          <w:rFonts w:hint="eastAsia" w:ascii="宋体" w:hAnsi="宋体" w:eastAsia="宋体"/>
          <w:sz w:val="24"/>
          <w:highlight w:val="none"/>
        </w:rPr>
        <w:t>.2合同继续履行将损害国家利益和社会公共利益的，双方当事人应当以书面形式变更合同。有过错的一方应当承担赔偿责任，双方当事人都有过错的，各自承担相应的责任。</w:t>
      </w:r>
      <w:bookmarkStart w:id="161" w:name="_Toc259093688"/>
      <w:bookmarkStart w:id="162" w:name="_Toc279701259"/>
      <w:bookmarkStart w:id="163" w:name="_Toc487900369"/>
    </w:p>
    <w:p w14:paraId="776F34A0">
      <w:pPr>
        <w:spacing w:line="360" w:lineRule="auto"/>
        <w:ind w:firstLine="437"/>
        <w:outlineLvl w:val="2"/>
        <w:rPr>
          <w:rFonts w:ascii="宋体" w:hAnsi="宋体" w:eastAsia="宋体"/>
          <w:b/>
          <w:bCs/>
          <w:sz w:val="24"/>
          <w:highlight w:val="none"/>
          <w:lang w:val="zh-CN"/>
        </w:rPr>
      </w:pPr>
      <w:bookmarkStart w:id="164" w:name="_Toc10366"/>
      <w:bookmarkStart w:id="165" w:name="_Toc15237"/>
      <w:bookmarkStart w:id="166" w:name="_Toc22955"/>
      <w:r>
        <w:rPr>
          <w:rFonts w:hint="eastAsia" w:ascii="宋体" w:hAnsi="宋体" w:eastAsia="宋体"/>
          <w:b/>
          <w:bCs/>
          <w:sz w:val="24"/>
          <w:highlight w:val="none"/>
          <w:lang w:val="zh-CN"/>
        </w:rPr>
        <w:t>2.1</w:t>
      </w:r>
      <w:r>
        <w:rPr>
          <w:rFonts w:ascii="宋体" w:hAnsi="宋体" w:eastAsia="宋体"/>
          <w:b/>
          <w:bCs/>
          <w:sz w:val="24"/>
          <w:highlight w:val="none"/>
          <w:lang w:val="zh-CN"/>
        </w:rPr>
        <w:t>0</w:t>
      </w:r>
      <w:r>
        <w:rPr>
          <w:rFonts w:hint="eastAsia" w:ascii="宋体" w:hAnsi="宋体" w:eastAsia="宋体"/>
          <w:b/>
          <w:bCs/>
          <w:sz w:val="24"/>
          <w:highlight w:val="none"/>
          <w:lang w:val="zh-CN"/>
        </w:rPr>
        <w:t xml:space="preserve"> </w:t>
      </w:r>
      <w:r>
        <w:rPr>
          <w:rFonts w:ascii="宋体" w:hAnsi="宋体" w:eastAsia="宋体"/>
          <w:b/>
          <w:bCs/>
          <w:sz w:val="24"/>
          <w:highlight w:val="none"/>
          <w:lang w:val="zh-CN"/>
        </w:rPr>
        <w:t>合同转让</w:t>
      </w:r>
      <w:bookmarkEnd w:id="161"/>
      <w:bookmarkEnd w:id="162"/>
      <w:bookmarkEnd w:id="163"/>
      <w:r>
        <w:rPr>
          <w:rFonts w:ascii="宋体" w:hAnsi="宋体" w:eastAsia="宋体"/>
          <w:b/>
          <w:bCs/>
          <w:sz w:val="24"/>
          <w:highlight w:val="none"/>
          <w:lang w:val="zh-CN"/>
        </w:rPr>
        <w:t>和分包</w:t>
      </w:r>
      <w:bookmarkEnd w:id="164"/>
      <w:bookmarkEnd w:id="165"/>
      <w:bookmarkEnd w:id="166"/>
    </w:p>
    <w:p w14:paraId="74BD934E">
      <w:pPr>
        <w:spacing w:line="360" w:lineRule="auto"/>
        <w:ind w:firstLine="435"/>
        <w:rPr>
          <w:rFonts w:ascii="宋体" w:hAnsi="宋体" w:eastAsia="宋体"/>
          <w:sz w:val="24"/>
          <w:highlight w:val="none"/>
        </w:rPr>
      </w:pPr>
      <w:r>
        <w:rPr>
          <w:rFonts w:ascii="宋体" w:hAnsi="宋体" w:eastAsia="宋体"/>
          <w:sz w:val="24"/>
          <w:highlight w:val="none"/>
        </w:rPr>
        <w:t>合同的权利义务依法不</w:t>
      </w:r>
      <w:r>
        <w:rPr>
          <w:rFonts w:hint="eastAsia" w:ascii="宋体" w:hAnsi="宋体" w:eastAsia="宋体"/>
          <w:sz w:val="24"/>
          <w:highlight w:val="none"/>
        </w:rPr>
        <w:t>得</w:t>
      </w:r>
      <w:r>
        <w:rPr>
          <w:rFonts w:ascii="宋体" w:hAnsi="宋体" w:eastAsia="宋体"/>
          <w:sz w:val="24"/>
          <w:highlight w:val="none"/>
        </w:rPr>
        <w:t>转让</w:t>
      </w:r>
      <w:r>
        <w:rPr>
          <w:rFonts w:hint="eastAsia" w:ascii="宋体" w:hAnsi="宋体" w:eastAsia="宋体"/>
          <w:sz w:val="24"/>
          <w:highlight w:val="none"/>
        </w:rPr>
        <w:t>，</w:t>
      </w:r>
      <w:r>
        <w:rPr>
          <w:rFonts w:ascii="宋体" w:hAnsi="宋体" w:eastAsia="宋体"/>
          <w:sz w:val="24"/>
          <w:highlight w:val="none"/>
        </w:rPr>
        <w:t>但经甲方</w:t>
      </w:r>
      <w:r>
        <w:rPr>
          <w:rFonts w:hint="eastAsia" w:ascii="宋体" w:hAnsi="宋体" w:eastAsia="宋体"/>
          <w:sz w:val="24"/>
          <w:highlight w:val="none"/>
        </w:rPr>
        <w:t>同意，乙方可以依法采取分包方式履行合同，即：依法可以</w:t>
      </w:r>
      <w:r>
        <w:rPr>
          <w:rFonts w:ascii="宋体" w:hAnsi="宋体" w:eastAsia="宋体"/>
          <w:sz w:val="24"/>
          <w:highlight w:val="none"/>
        </w:rPr>
        <w:t>将合同项下的部分非主体、非关键性工作分包给他人完成</w:t>
      </w:r>
      <w:r>
        <w:rPr>
          <w:rFonts w:hint="eastAsia" w:ascii="宋体" w:hAnsi="宋体" w:eastAsia="宋体"/>
          <w:sz w:val="24"/>
          <w:highlight w:val="none"/>
        </w:rPr>
        <w:t>，</w:t>
      </w:r>
      <w:r>
        <w:rPr>
          <w:rFonts w:ascii="宋体" w:hAnsi="宋体" w:eastAsia="宋体"/>
          <w:sz w:val="24"/>
          <w:highlight w:val="none"/>
        </w:rPr>
        <w:t>接受分包的人应当具备相应的资格条件，并不得再次分包</w:t>
      </w:r>
      <w:r>
        <w:rPr>
          <w:rFonts w:hint="eastAsia" w:ascii="宋体" w:hAnsi="宋体" w:eastAsia="宋体"/>
          <w:sz w:val="24"/>
          <w:highlight w:val="none"/>
        </w:rPr>
        <w:t>，</w:t>
      </w:r>
      <w:r>
        <w:rPr>
          <w:rFonts w:ascii="宋体" w:hAnsi="宋体" w:eastAsia="宋体"/>
          <w:sz w:val="24"/>
          <w:highlight w:val="none"/>
        </w:rPr>
        <w:t>且乙方应就分包项目向甲方负责</w:t>
      </w:r>
      <w:r>
        <w:rPr>
          <w:rFonts w:hint="eastAsia" w:ascii="宋体" w:hAnsi="宋体" w:eastAsia="宋体"/>
          <w:sz w:val="24"/>
          <w:highlight w:val="none"/>
        </w:rPr>
        <w:t>，</w:t>
      </w:r>
      <w:r>
        <w:rPr>
          <w:rFonts w:ascii="宋体" w:hAnsi="宋体" w:eastAsia="宋体"/>
          <w:sz w:val="24"/>
          <w:highlight w:val="none"/>
        </w:rPr>
        <w:t>并</w:t>
      </w:r>
      <w:r>
        <w:rPr>
          <w:rFonts w:hint="eastAsia" w:ascii="宋体" w:hAnsi="宋体" w:eastAsia="宋体"/>
          <w:sz w:val="24"/>
          <w:highlight w:val="none"/>
        </w:rPr>
        <w:t>与分包供应商就分包项目向甲方承担连带责任。</w:t>
      </w:r>
    </w:p>
    <w:p w14:paraId="1ED271C3">
      <w:pPr>
        <w:spacing w:line="360" w:lineRule="auto"/>
        <w:ind w:firstLine="437"/>
        <w:outlineLvl w:val="2"/>
        <w:rPr>
          <w:rFonts w:ascii="宋体" w:hAnsi="宋体" w:eastAsia="宋体"/>
          <w:b/>
          <w:bCs/>
          <w:sz w:val="24"/>
          <w:highlight w:val="none"/>
          <w:lang w:val="zh-CN"/>
        </w:rPr>
      </w:pPr>
      <w:bookmarkStart w:id="167" w:name="_Toc16508"/>
      <w:bookmarkStart w:id="168" w:name="_Toc13566"/>
      <w:bookmarkStart w:id="169" w:name="_Toc14066"/>
      <w:r>
        <w:rPr>
          <w:rFonts w:hint="eastAsia" w:ascii="宋体" w:hAnsi="宋体" w:eastAsia="宋体"/>
          <w:b/>
          <w:bCs/>
          <w:sz w:val="24"/>
          <w:highlight w:val="none"/>
          <w:lang w:val="zh-CN"/>
        </w:rPr>
        <w:t>2.1</w:t>
      </w:r>
      <w:r>
        <w:rPr>
          <w:rFonts w:ascii="宋体" w:hAnsi="宋体" w:eastAsia="宋体"/>
          <w:b/>
          <w:bCs/>
          <w:sz w:val="24"/>
          <w:highlight w:val="none"/>
          <w:lang w:val="zh-CN"/>
        </w:rPr>
        <w:t>1 不可抗力</w:t>
      </w:r>
      <w:bookmarkEnd w:id="167"/>
      <w:bookmarkEnd w:id="168"/>
      <w:bookmarkEnd w:id="169"/>
    </w:p>
    <w:p w14:paraId="09B5E2FD">
      <w:pPr>
        <w:spacing w:line="360" w:lineRule="auto"/>
        <w:ind w:firstLine="435"/>
        <w:rPr>
          <w:rFonts w:ascii="宋体" w:hAnsi="宋体" w:eastAsia="宋体"/>
          <w:sz w:val="24"/>
          <w:highlight w:val="none"/>
        </w:rPr>
      </w:pPr>
      <w:r>
        <w:rPr>
          <w:rFonts w:hint="eastAsia" w:ascii="宋体" w:hAnsi="宋体" w:eastAsia="宋体"/>
          <w:sz w:val="24"/>
          <w:highlight w:val="none"/>
        </w:rPr>
        <w:t>2.1</w:t>
      </w:r>
      <w:r>
        <w:rPr>
          <w:rFonts w:ascii="宋体" w:hAnsi="宋体" w:eastAsia="宋体"/>
          <w:sz w:val="24"/>
          <w:highlight w:val="none"/>
        </w:rPr>
        <w:t>1.1如果任何一方遭遇法律规定的不可抗力，致使合同履行受阻时，履行合同的期限应予延长，延长的期限应相当于不可抗力所影响的时间</w:t>
      </w:r>
      <w:r>
        <w:rPr>
          <w:rFonts w:hint="eastAsia" w:ascii="宋体" w:hAnsi="宋体" w:eastAsia="宋体"/>
          <w:sz w:val="24"/>
          <w:highlight w:val="none"/>
        </w:rPr>
        <w:t>；</w:t>
      </w:r>
    </w:p>
    <w:p w14:paraId="74D015A5">
      <w:pPr>
        <w:spacing w:line="360" w:lineRule="auto"/>
        <w:ind w:firstLine="435"/>
        <w:rPr>
          <w:rFonts w:ascii="宋体" w:hAnsi="宋体" w:eastAsia="宋体"/>
          <w:sz w:val="24"/>
          <w:highlight w:val="none"/>
        </w:rPr>
      </w:pPr>
      <w:r>
        <w:rPr>
          <w:rFonts w:hint="eastAsia" w:ascii="宋体" w:hAnsi="宋体" w:eastAsia="宋体"/>
          <w:sz w:val="24"/>
          <w:highlight w:val="none"/>
        </w:rPr>
        <w:t>2.1</w:t>
      </w:r>
      <w:r>
        <w:rPr>
          <w:rFonts w:ascii="宋体" w:hAnsi="宋体" w:eastAsia="宋体"/>
          <w:sz w:val="24"/>
          <w:highlight w:val="none"/>
        </w:rPr>
        <w:t>1</w:t>
      </w:r>
      <w:r>
        <w:rPr>
          <w:rFonts w:hint="eastAsia" w:ascii="宋体" w:hAnsi="宋体" w:eastAsia="宋体"/>
          <w:sz w:val="24"/>
          <w:highlight w:val="none"/>
        </w:rPr>
        <w:t>.2因不可抗力致使不能实现合同目的的，当事人可以解除合同；</w:t>
      </w:r>
    </w:p>
    <w:p w14:paraId="5FFC51C5">
      <w:pPr>
        <w:spacing w:line="360" w:lineRule="auto"/>
        <w:ind w:firstLine="435"/>
        <w:rPr>
          <w:rFonts w:ascii="宋体" w:hAnsi="宋体" w:eastAsia="宋体"/>
          <w:sz w:val="24"/>
          <w:highlight w:val="none"/>
        </w:rPr>
      </w:pPr>
      <w:r>
        <w:rPr>
          <w:rFonts w:hint="eastAsia" w:ascii="宋体" w:hAnsi="宋体" w:eastAsia="宋体"/>
          <w:sz w:val="24"/>
          <w:highlight w:val="none"/>
        </w:rPr>
        <w:t>2.1</w:t>
      </w:r>
      <w:r>
        <w:rPr>
          <w:rFonts w:ascii="宋体" w:hAnsi="宋体" w:eastAsia="宋体"/>
          <w:sz w:val="24"/>
          <w:highlight w:val="none"/>
        </w:rPr>
        <w:t>1</w:t>
      </w:r>
      <w:r>
        <w:rPr>
          <w:rFonts w:hint="eastAsia" w:ascii="宋体" w:hAnsi="宋体" w:eastAsia="宋体"/>
          <w:sz w:val="24"/>
          <w:highlight w:val="none"/>
        </w:rPr>
        <w:t>.3因</w:t>
      </w:r>
      <w:r>
        <w:rPr>
          <w:rFonts w:ascii="宋体" w:hAnsi="宋体" w:eastAsia="宋体"/>
          <w:sz w:val="24"/>
          <w:highlight w:val="none"/>
        </w:rPr>
        <w:t>不可抗力致使合同有变更必要的，双方当事人应在</w:t>
      </w:r>
      <w:r>
        <w:rPr>
          <w:rFonts w:ascii="宋体" w:hAnsi="宋体" w:eastAsia="宋体"/>
          <w:b/>
          <w:i/>
          <w:sz w:val="24"/>
          <w:highlight w:val="none"/>
          <w:u w:val="single"/>
        </w:rPr>
        <w:t>合同专用条款</w:t>
      </w:r>
      <w:r>
        <w:rPr>
          <w:rFonts w:ascii="宋体" w:hAnsi="宋体" w:eastAsia="宋体"/>
          <w:sz w:val="24"/>
          <w:highlight w:val="none"/>
        </w:rPr>
        <w:t>约定时间内以书面形式变更合同</w:t>
      </w:r>
      <w:r>
        <w:rPr>
          <w:rFonts w:hint="eastAsia" w:ascii="宋体" w:hAnsi="宋体" w:eastAsia="宋体"/>
          <w:sz w:val="24"/>
          <w:highlight w:val="none"/>
        </w:rPr>
        <w:t>；</w:t>
      </w:r>
    </w:p>
    <w:p w14:paraId="0902BAC9">
      <w:pPr>
        <w:spacing w:line="360" w:lineRule="auto"/>
        <w:ind w:firstLine="435"/>
        <w:rPr>
          <w:rFonts w:ascii="宋体" w:hAnsi="宋体" w:eastAsia="宋体"/>
          <w:sz w:val="24"/>
          <w:highlight w:val="none"/>
        </w:rPr>
      </w:pPr>
      <w:r>
        <w:rPr>
          <w:rFonts w:hint="eastAsia" w:ascii="宋体" w:hAnsi="宋体" w:eastAsia="宋体"/>
          <w:sz w:val="24"/>
          <w:highlight w:val="none"/>
        </w:rPr>
        <w:t>2.1</w:t>
      </w:r>
      <w:r>
        <w:rPr>
          <w:rFonts w:ascii="宋体" w:hAnsi="宋体" w:eastAsia="宋体"/>
          <w:sz w:val="24"/>
          <w:highlight w:val="none"/>
        </w:rPr>
        <w:t>1.</w:t>
      </w:r>
      <w:r>
        <w:rPr>
          <w:rFonts w:hint="eastAsia" w:ascii="宋体" w:hAnsi="宋体" w:eastAsia="宋体"/>
          <w:sz w:val="24"/>
          <w:highlight w:val="none"/>
        </w:rPr>
        <w:t>4</w:t>
      </w:r>
      <w:r>
        <w:rPr>
          <w:rFonts w:ascii="宋体" w:hAnsi="宋体" w:eastAsia="宋体"/>
          <w:sz w:val="24"/>
          <w:highlight w:val="none"/>
        </w:rPr>
        <w:t>受</w:t>
      </w:r>
      <w:r>
        <w:rPr>
          <w:rFonts w:hint="eastAsia" w:ascii="宋体" w:hAnsi="宋体" w:eastAsia="宋体"/>
          <w:sz w:val="24"/>
          <w:highlight w:val="none"/>
        </w:rPr>
        <w:t>不可抗力</w:t>
      </w:r>
      <w:r>
        <w:rPr>
          <w:rFonts w:ascii="宋体" w:hAnsi="宋体" w:eastAsia="宋体"/>
          <w:sz w:val="24"/>
          <w:highlight w:val="none"/>
        </w:rPr>
        <w:t>影响的一方在不可抗力发生后</w:t>
      </w:r>
      <w:r>
        <w:rPr>
          <w:rFonts w:hint="eastAsia" w:ascii="宋体" w:hAnsi="宋体" w:eastAsia="宋体"/>
          <w:sz w:val="24"/>
          <w:highlight w:val="none"/>
        </w:rPr>
        <w:t>，</w:t>
      </w:r>
      <w:r>
        <w:rPr>
          <w:rFonts w:ascii="宋体" w:hAnsi="宋体" w:eastAsia="宋体"/>
          <w:sz w:val="24"/>
          <w:highlight w:val="none"/>
        </w:rPr>
        <w:t>应在</w:t>
      </w:r>
      <w:r>
        <w:rPr>
          <w:rFonts w:ascii="宋体" w:hAnsi="宋体" w:eastAsia="宋体"/>
          <w:b/>
          <w:i/>
          <w:sz w:val="24"/>
          <w:highlight w:val="none"/>
          <w:u w:val="single"/>
        </w:rPr>
        <w:t>合同专用条款</w:t>
      </w:r>
      <w:r>
        <w:rPr>
          <w:rFonts w:ascii="宋体" w:hAnsi="宋体" w:eastAsia="宋体"/>
          <w:sz w:val="24"/>
          <w:highlight w:val="none"/>
        </w:rPr>
        <w:t>约定时间内以书面形式通知</w:t>
      </w:r>
      <w:r>
        <w:rPr>
          <w:rFonts w:hint="eastAsia" w:ascii="宋体" w:hAnsi="宋体" w:eastAsia="宋体"/>
          <w:sz w:val="24"/>
          <w:highlight w:val="none"/>
        </w:rPr>
        <w:t>对</w:t>
      </w:r>
      <w:r>
        <w:rPr>
          <w:rFonts w:ascii="宋体" w:hAnsi="宋体" w:eastAsia="宋体"/>
          <w:sz w:val="24"/>
          <w:highlight w:val="none"/>
        </w:rPr>
        <w:t>方当事人，并在</w:t>
      </w:r>
      <w:r>
        <w:rPr>
          <w:rFonts w:ascii="宋体" w:hAnsi="宋体" w:eastAsia="宋体"/>
          <w:b/>
          <w:i/>
          <w:sz w:val="24"/>
          <w:highlight w:val="none"/>
          <w:u w:val="single"/>
        </w:rPr>
        <w:t>合同专用条款</w:t>
      </w:r>
      <w:r>
        <w:rPr>
          <w:rFonts w:ascii="宋体" w:hAnsi="宋体" w:eastAsia="宋体"/>
          <w:sz w:val="24"/>
          <w:highlight w:val="none"/>
        </w:rPr>
        <w:t>约定时间内，将有关部门出具的证明文件送达</w:t>
      </w:r>
      <w:r>
        <w:rPr>
          <w:rFonts w:hint="eastAsia" w:ascii="宋体" w:hAnsi="宋体" w:eastAsia="宋体"/>
          <w:sz w:val="24"/>
          <w:highlight w:val="none"/>
        </w:rPr>
        <w:t>对方当事人</w:t>
      </w:r>
      <w:r>
        <w:rPr>
          <w:rFonts w:ascii="宋体" w:hAnsi="宋体" w:eastAsia="宋体"/>
          <w:sz w:val="24"/>
          <w:highlight w:val="none"/>
        </w:rPr>
        <w:t>。</w:t>
      </w:r>
    </w:p>
    <w:p w14:paraId="1AEC888D">
      <w:pPr>
        <w:spacing w:line="360" w:lineRule="auto"/>
        <w:ind w:firstLine="437"/>
        <w:outlineLvl w:val="2"/>
        <w:rPr>
          <w:rFonts w:ascii="宋体" w:hAnsi="宋体" w:eastAsia="宋体"/>
          <w:b/>
          <w:bCs/>
          <w:sz w:val="24"/>
          <w:highlight w:val="none"/>
          <w:lang w:val="zh-CN"/>
        </w:rPr>
      </w:pPr>
      <w:bookmarkStart w:id="170" w:name="_Toc689"/>
      <w:bookmarkStart w:id="171" w:name="_Toc30676"/>
      <w:bookmarkStart w:id="172" w:name="_Toc487900365"/>
      <w:bookmarkStart w:id="173" w:name="_Toc6969"/>
      <w:bookmarkStart w:id="174" w:name="_Toc279701255"/>
      <w:bookmarkStart w:id="175" w:name="_Toc259093684"/>
      <w:r>
        <w:rPr>
          <w:rFonts w:hint="eastAsia" w:ascii="宋体" w:hAnsi="宋体" w:eastAsia="宋体"/>
          <w:b/>
          <w:bCs/>
          <w:sz w:val="24"/>
          <w:highlight w:val="none"/>
          <w:lang w:val="zh-CN"/>
        </w:rPr>
        <w:t>2.</w:t>
      </w:r>
      <w:r>
        <w:rPr>
          <w:rFonts w:ascii="宋体" w:hAnsi="宋体" w:eastAsia="宋体"/>
          <w:b/>
          <w:bCs/>
          <w:sz w:val="24"/>
          <w:highlight w:val="none"/>
          <w:lang w:val="zh-CN"/>
        </w:rPr>
        <w:t>12</w:t>
      </w:r>
      <w:r>
        <w:rPr>
          <w:rFonts w:hint="eastAsia" w:ascii="宋体" w:hAnsi="宋体" w:eastAsia="宋体"/>
          <w:b/>
          <w:bCs/>
          <w:sz w:val="24"/>
          <w:highlight w:val="none"/>
          <w:lang w:val="zh-CN"/>
        </w:rPr>
        <w:t xml:space="preserve"> </w:t>
      </w:r>
      <w:r>
        <w:rPr>
          <w:rFonts w:ascii="宋体" w:hAnsi="宋体" w:eastAsia="宋体"/>
          <w:b/>
          <w:bCs/>
          <w:sz w:val="24"/>
          <w:highlight w:val="none"/>
          <w:lang w:val="zh-CN"/>
        </w:rPr>
        <w:t>税费</w:t>
      </w:r>
      <w:bookmarkEnd w:id="170"/>
      <w:bookmarkEnd w:id="171"/>
      <w:bookmarkEnd w:id="172"/>
      <w:bookmarkEnd w:id="173"/>
      <w:bookmarkEnd w:id="174"/>
      <w:bookmarkEnd w:id="175"/>
    </w:p>
    <w:p w14:paraId="1D7F69B6">
      <w:pPr>
        <w:spacing w:line="360" w:lineRule="auto"/>
        <w:ind w:firstLine="435"/>
        <w:rPr>
          <w:rFonts w:ascii="宋体" w:hAnsi="宋体" w:eastAsia="宋体"/>
          <w:sz w:val="24"/>
          <w:highlight w:val="none"/>
        </w:rPr>
      </w:pPr>
      <w:r>
        <w:rPr>
          <w:rFonts w:ascii="宋体" w:hAnsi="宋体" w:eastAsia="宋体"/>
          <w:sz w:val="24"/>
          <w:highlight w:val="none"/>
        </w:rPr>
        <w:t>与合同有关的一切税费</w:t>
      </w:r>
      <w:r>
        <w:rPr>
          <w:rFonts w:hint="eastAsia" w:ascii="宋体" w:hAnsi="宋体" w:eastAsia="宋体"/>
          <w:sz w:val="24"/>
          <w:highlight w:val="none"/>
        </w:rPr>
        <w:t>，</w:t>
      </w:r>
      <w:r>
        <w:rPr>
          <w:rFonts w:ascii="宋体" w:hAnsi="宋体" w:eastAsia="宋体"/>
          <w:sz w:val="24"/>
          <w:highlight w:val="none"/>
        </w:rPr>
        <w:t>均按照中华人民共和国法律的相关规定</w:t>
      </w:r>
      <w:r>
        <w:rPr>
          <w:rFonts w:hint="eastAsia" w:ascii="宋体" w:hAnsi="宋体" w:eastAsia="宋体"/>
          <w:sz w:val="24"/>
          <w:highlight w:val="none"/>
        </w:rPr>
        <w:t>缴纳</w:t>
      </w:r>
      <w:r>
        <w:rPr>
          <w:rFonts w:ascii="宋体" w:hAnsi="宋体" w:eastAsia="宋体"/>
          <w:sz w:val="24"/>
          <w:highlight w:val="none"/>
        </w:rPr>
        <w:t>。</w:t>
      </w:r>
    </w:p>
    <w:p w14:paraId="6295CF28">
      <w:pPr>
        <w:spacing w:line="360" w:lineRule="auto"/>
        <w:ind w:firstLine="437"/>
        <w:outlineLvl w:val="2"/>
        <w:rPr>
          <w:rFonts w:ascii="宋体" w:hAnsi="宋体" w:eastAsia="宋体"/>
          <w:b/>
          <w:bCs/>
          <w:sz w:val="24"/>
          <w:highlight w:val="none"/>
          <w:lang w:val="zh-CN"/>
        </w:rPr>
      </w:pPr>
      <w:bookmarkStart w:id="176" w:name="_Toc279701258"/>
      <w:bookmarkStart w:id="177" w:name="_Toc487900368"/>
      <w:bookmarkStart w:id="178" w:name="_Toc16959"/>
      <w:bookmarkStart w:id="179" w:name="_Toc259093687"/>
      <w:bookmarkStart w:id="180" w:name="_Toc7102"/>
      <w:bookmarkStart w:id="181" w:name="_Toc8298"/>
      <w:r>
        <w:rPr>
          <w:rFonts w:hint="eastAsia" w:ascii="宋体" w:hAnsi="宋体" w:eastAsia="宋体"/>
          <w:b/>
          <w:bCs/>
          <w:sz w:val="24"/>
          <w:highlight w:val="none"/>
          <w:lang w:val="zh-CN"/>
        </w:rPr>
        <w:t>2.</w:t>
      </w:r>
      <w:r>
        <w:rPr>
          <w:rFonts w:ascii="宋体" w:hAnsi="宋体" w:eastAsia="宋体"/>
          <w:b/>
          <w:bCs/>
          <w:sz w:val="24"/>
          <w:highlight w:val="none"/>
          <w:lang w:val="zh-CN"/>
        </w:rPr>
        <w:t>13</w:t>
      </w:r>
      <w:r>
        <w:rPr>
          <w:rFonts w:hint="eastAsia" w:ascii="宋体" w:hAnsi="宋体" w:eastAsia="宋体"/>
          <w:b/>
          <w:bCs/>
          <w:sz w:val="24"/>
          <w:highlight w:val="none"/>
          <w:lang w:val="zh-CN"/>
        </w:rPr>
        <w:t xml:space="preserve"> </w:t>
      </w:r>
      <w:r>
        <w:rPr>
          <w:rFonts w:ascii="宋体" w:hAnsi="宋体" w:eastAsia="宋体"/>
          <w:b/>
          <w:bCs/>
          <w:sz w:val="24"/>
          <w:highlight w:val="none"/>
          <w:lang w:val="zh-CN"/>
        </w:rPr>
        <w:t>乙方破产</w:t>
      </w:r>
      <w:bookmarkEnd w:id="176"/>
      <w:bookmarkEnd w:id="177"/>
      <w:bookmarkEnd w:id="178"/>
      <w:bookmarkEnd w:id="179"/>
      <w:bookmarkEnd w:id="180"/>
      <w:bookmarkEnd w:id="181"/>
    </w:p>
    <w:p w14:paraId="01533138">
      <w:pPr>
        <w:spacing w:line="360" w:lineRule="auto"/>
        <w:ind w:firstLine="435"/>
        <w:rPr>
          <w:rFonts w:ascii="宋体" w:hAnsi="宋体" w:eastAsia="宋体"/>
          <w:sz w:val="24"/>
          <w:highlight w:val="none"/>
        </w:rPr>
      </w:pPr>
      <w:r>
        <w:rPr>
          <w:rFonts w:ascii="宋体" w:hAnsi="宋体" w:eastAsia="宋体"/>
          <w:sz w:val="24"/>
          <w:highlight w:val="none"/>
        </w:rPr>
        <w:t>如果乙方破产导致合同无法履行时，甲方可以书面形式通知乙方终止合同且不给予乙方任何补偿和赔偿</w:t>
      </w:r>
      <w:r>
        <w:rPr>
          <w:rFonts w:hint="eastAsia" w:ascii="宋体" w:hAnsi="宋体" w:eastAsia="宋体"/>
          <w:sz w:val="24"/>
          <w:highlight w:val="none"/>
        </w:rPr>
        <w:t>，但合同的</w:t>
      </w:r>
      <w:r>
        <w:rPr>
          <w:rFonts w:ascii="宋体" w:hAnsi="宋体" w:eastAsia="宋体"/>
          <w:sz w:val="24"/>
          <w:highlight w:val="none"/>
        </w:rPr>
        <w:t>终止不损害或不影响甲方已经采取或将要采取的任何要求乙方支付违约金</w:t>
      </w:r>
      <w:r>
        <w:rPr>
          <w:rFonts w:hint="eastAsia" w:ascii="宋体" w:hAnsi="宋体" w:eastAsia="宋体"/>
          <w:sz w:val="24"/>
          <w:highlight w:val="none"/>
        </w:rPr>
        <w:t>、</w:t>
      </w:r>
      <w:r>
        <w:rPr>
          <w:rFonts w:ascii="宋体" w:hAnsi="宋体" w:eastAsia="宋体"/>
          <w:sz w:val="24"/>
          <w:highlight w:val="none"/>
        </w:rPr>
        <w:t>赔偿损失等的行动或补救措施的权利</w:t>
      </w:r>
      <w:r>
        <w:rPr>
          <w:rFonts w:hint="eastAsia" w:ascii="宋体" w:hAnsi="宋体" w:eastAsia="宋体"/>
          <w:sz w:val="24"/>
          <w:highlight w:val="none"/>
        </w:rPr>
        <w:t>。</w:t>
      </w:r>
    </w:p>
    <w:p w14:paraId="7A4F9CD1">
      <w:pPr>
        <w:spacing w:line="360" w:lineRule="auto"/>
        <w:ind w:firstLine="437"/>
        <w:outlineLvl w:val="2"/>
        <w:rPr>
          <w:rFonts w:ascii="宋体" w:hAnsi="宋体" w:eastAsia="宋体"/>
          <w:b/>
          <w:sz w:val="24"/>
          <w:highlight w:val="none"/>
        </w:rPr>
      </w:pPr>
      <w:bookmarkStart w:id="182" w:name="_Toc6134"/>
      <w:bookmarkStart w:id="183" w:name="_Toc29333"/>
      <w:bookmarkStart w:id="184" w:name="_Toc15387"/>
      <w:r>
        <w:rPr>
          <w:rFonts w:hint="eastAsia" w:ascii="宋体" w:hAnsi="宋体" w:eastAsia="宋体"/>
          <w:b/>
          <w:bCs/>
          <w:sz w:val="24"/>
          <w:highlight w:val="none"/>
          <w:lang w:val="zh-CN"/>
        </w:rPr>
        <w:t>2.1</w:t>
      </w:r>
      <w:r>
        <w:rPr>
          <w:rFonts w:ascii="宋体" w:hAnsi="宋体" w:eastAsia="宋体"/>
          <w:b/>
          <w:bCs/>
          <w:sz w:val="24"/>
          <w:highlight w:val="none"/>
          <w:lang w:val="zh-CN"/>
        </w:rPr>
        <w:t>4</w:t>
      </w:r>
      <w:r>
        <w:rPr>
          <w:rFonts w:hint="eastAsia" w:ascii="宋体" w:hAnsi="宋体" w:eastAsia="宋体"/>
          <w:b/>
          <w:bCs/>
          <w:sz w:val="24"/>
          <w:highlight w:val="none"/>
          <w:lang w:val="zh-CN"/>
        </w:rPr>
        <w:t xml:space="preserve"> 合同中止、终止</w:t>
      </w:r>
      <w:bookmarkEnd w:id="182"/>
      <w:bookmarkEnd w:id="183"/>
      <w:bookmarkEnd w:id="184"/>
    </w:p>
    <w:p w14:paraId="5F229F1F">
      <w:pPr>
        <w:spacing w:line="360" w:lineRule="auto"/>
        <w:ind w:firstLine="435"/>
        <w:rPr>
          <w:rFonts w:ascii="宋体" w:hAnsi="宋体" w:eastAsia="宋体"/>
          <w:sz w:val="24"/>
          <w:highlight w:val="none"/>
        </w:rPr>
      </w:pPr>
      <w:r>
        <w:rPr>
          <w:rFonts w:hint="eastAsia" w:ascii="宋体" w:hAnsi="宋体" w:eastAsia="宋体"/>
          <w:sz w:val="24"/>
          <w:highlight w:val="none"/>
        </w:rPr>
        <w:t>2.1</w:t>
      </w:r>
      <w:r>
        <w:rPr>
          <w:rFonts w:ascii="宋体" w:hAnsi="宋体" w:eastAsia="宋体"/>
          <w:sz w:val="24"/>
          <w:highlight w:val="none"/>
        </w:rPr>
        <w:t>4</w:t>
      </w:r>
      <w:r>
        <w:rPr>
          <w:rFonts w:hint="eastAsia" w:ascii="宋体" w:hAnsi="宋体" w:eastAsia="宋体"/>
          <w:sz w:val="24"/>
          <w:highlight w:val="none"/>
        </w:rPr>
        <w:t>.1双方当事人不得擅自中止或者终止合同；</w:t>
      </w:r>
    </w:p>
    <w:p w14:paraId="31B9DB2E">
      <w:pPr>
        <w:spacing w:line="360" w:lineRule="auto"/>
        <w:ind w:firstLine="435"/>
        <w:rPr>
          <w:rFonts w:ascii="宋体" w:hAnsi="宋体" w:eastAsia="宋体"/>
          <w:sz w:val="24"/>
          <w:highlight w:val="none"/>
        </w:rPr>
      </w:pPr>
      <w:r>
        <w:rPr>
          <w:rFonts w:hint="eastAsia" w:ascii="宋体" w:hAnsi="宋体" w:eastAsia="宋体"/>
          <w:sz w:val="24"/>
          <w:highlight w:val="none"/>
        </w:rPr>
        <w:t>2.1</w:t>
      </w:r>
      <w:r>
        <w:rPr>
          <w:rFonts w:ascii="宋体" w:hAnsi="宋体" w:eastAsia="宋体"/>
          <w:sz w:val="24"/>
          <w:highlight w:val="none"/>
        </w:rPr>
        <w:t>4</w:t>
      </w:r>
      <w:r>
        <w:rPr>
          <w:rFonts w:hint="eastAsia" w:ascii="宋体" w:hAnsi="宋体" w:eastAsia="宋体"/>
          <w:sz w:val="24"/>
          <w:highlight w:val="none"/>
        </w:rPr>
        <w:t>.2合同继续履行将损害国家利益和社会公共利益的，双方当事人应当中止或者终止合同。有过错的一方应当承担赔偿责任，双方当事人都有过错的，各自承担相应的责任。</w:t>
      </w:r>
    </w:p>
    <w:p w14:paraId="7A3EF991">
      <w:pPr>
        <w:spacing w:line="360" w:lineRule="auto"/>
        <w:ind w:firstLine="437"/>
        <w:outlineLvl w:val="2"/>
        <w:rPr>
          <w:rFonts w:ascii="宋体" w:hAnsi="宋体" w:eastAsia="宋体"/>
          <w:b/>
          <w:bCs/>
          <w:sz w:val="24"/>
          <w:highlight w:val="none"/>
          <w:lang w:val="zh-CN"/>
        </w:rPr>
      </w:pPr>
      <w:bookmarkStart w:id="185" w:name="_Toc6596"/>
      <w:bookmarkStart w:id="186" w:name="_Toc14563"/>
      <w:bookmarkStart w:id="187" w:name="_Toc1125"/>
      <w:r>
        <w:rPr>
          <w:rFonts w:hint="eastAsia" w:ascii="宋体" w:hAnsi="宋体" w:eastAsia="宋体"/>
          <w:b/>
          <w:bCs/>
          <w:sz w:val="24"/>
          <w:highlight w:val="none"/>
          <w:lang w:val="zh-CN"/>
        </w:rPr>
        <w:t>2.1</w:t>
      </w:r>
      <w:r>
        <w:rPr>
          <w:rFonts w:ascii="宋体" w:hAnsi="宋体" w:eastAsia="宋体"/>
          <w:b/>
          <w:bCs/>
          <w:sz w:val="24"/>
          <w:highlight w:val="none"/>
          <w:lang w:val="zh-CN"/>
        </w:rPr>
        <w:t>5</w:t>
      </w:r>
      <w:r>
        <w:rPr>
          <w:rFonts w:hint="eastAsia" w:ascii="宋体" w:hAnsi="宋体" w:eastAsia="宋体"/>
          <w:b/>
          <w:bCs/>
          <w:sz w:val="24"/>
          <w:highlight w:val="none"/>
          <w:lang w:val="zh-CN"/>
        </w:rPr>
        <w:t xml:space="preserve"> 检验和验收</w:t>
      </w:r>
      <w:bookmarkEnd w:id="185"/>
      <w:bookmarkEnd w:id="186"/>
      <w:bookmarkEnd w:id="187"/>
    </w:p>
    <w:p w14:paraId="44105B3B">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1</w:t>
      </w:r>
      <w:r>
        <w:rPr>
          <w:rFonts w:hint="eastAsia" w:ascii="宋体" w:hAnsi="宋体" w:eastAsia="宋体"/>
          <w:sz w:val="24"/>
          <w:highlight w:val="none"/>
        </w:rPr>
        <w:t>5</w:t>
      </w:r>
      <w:r>
        <w:rPr>
          <w:rFonts w:ascii="宋体" w:hAnsi="宋体" w:eastAsia="宋体"/>
          <w:sz w:val="24"/>
          <w:highlight w:val="none"/>
        </w:rPr>
        <w:t>.</w:t>
      </w:r>
      <w:r>
        <w:rPr>
          <w:rFonts w:hint="eastAsia" w:ascii="宋体" w:hAnsi="宋体" w:eastAsia="宋体"/>
          <w:sz w:val="24"/>
          <w:highlight w:val="none"/>
        </w:rPr>
        <w:t>1乙方按照</w:t>
      </w:r>
      <w:r>
        <w:rPr>
          <w:rFonts w:ascii="宋体" w:hAnsi="宋体" w:eastAsia="宋体"/>
          <w:b/>
          <w:i/>
          <w:sz w:val="24"/>
          <w:highlight w:val="none"/>
          <w:u w:val="single"/>
        </w:rPr>
        <w:t>合同专用条款</w:t>
      </w:r>
      <w:r>
        <w:rPr>
          <w:rFonts w:ascii="宋体" w:hAnsi="宋体" w:eastAsia="宋体"/>
          <w:sz w:val="24"/>
          <w:highlight w:val="none"/>
        </w:rPr>
        <w:t>的约定</w:t>
      </w:r>
      <w:r>
        <w:rPr>
          <w:rFonts w:hint="eastAsia" w:ascii="宋体" w:hAnsi="宋体" w:eastAsia="宋体"/>
          <w:sz w:val="24"/>
          <w:highlight w:val="none"/>
        </w:rPr>
        <w:t>，</w:t>
      </w:r>
      <w:r>
        <w:rPr>
          <w:rFonts w:ascii="宋体" w:hAnsi="宋体" w:eastAsia="宋体"/>
          <w:sz w:val="24"/>
          <w:highlight w:val="none"/>
        </w:rPr>
        <w:t>定期提交服务报告</w:t>
      </w:r>
      <w:r>
        <w:rPr>
          <w:rFonts w:hint="eastAsia" w:ascii="宋体" w:hAnsi="宋体" w:eastAsia="宋体"/>
          <w:sz w:val="24"/>
          <w:highlight w:val="none"/>
        </w:rPr>
        <w:t>，甲方按照</w:t>
      </w:r>
      <w:r>
        <w:rPr>
          <w:rFonts w:ascii="宋体" w:hAnsi="宋体" w:eastAsia="宋体"/>
          <w:b/>
          <w:i/>
          <w:sz w:val="24"/>
          <w:highlight w:val="none"/>
          <w:u w:val="single"/>
        </w:rPr>
        <w:t>合同专用条款</w:t>
      </w:r>
      <w:r>
        <w:rPr>
          <w:rFonts w:ascii="宋体" w:hAnsi="宋体" w:eastAsia="宋体"/>
          <w:sz w:val="24"/>
          <w:highlight w:val="none"/>
        </w:rPr>
        <w:t>的约定进行定期验收</w:t>
      </w:r>
      <w:r>
        <w:rPr>
          <w:rFonts w:hint="eastAsia" w:ascii="宋体" w:hAnsi="宋体" w:eastAsia="宋体"/>
          <w:sz w:val="24"/>
          <w:highlight w:val="none"/>
        </w:rPr>
        <w:t>；</w:t>
      </w:r>
    </w:p>
    <w:p w14:paraId="69601994">
      <w:pPr>
        <w:spacing w:line="360" w:lineRule="auto"/>
        <w:ind w:firstLine="435"/>
        <w:rPr>
          <w:rFonts w:ascii="宋体" w:hAnsi="宋体" w:eastAsia="宋体"/>
          <w:sz w:val="24"/>
          <w:highlight w:val="none"/>
        </w:rPr>
      </w:pPr>
      <w:r>
        <w:rPr>
          <w:rFonts w:hint="eastAsia" w:ascii="宋体" w:hAnsi="宋体" w:eastAsia="宋体"/>
          <w:sz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35CA2A5D">
      <w:pPr>
        <w:spacing w:line="360" w:lineRule="auto"/>
        <w:ind w:firstLine="435"/>
        <w:rPr>
          <w:rFonts w:ascii="宋体" w:hAnsi="宋体" w:eastAsia="宋体"/>
          <w:sz w:val="24"/>
          <w:highlight w:val="none"/>
        </w:rPr>
      </w:pPr>
      <w:r>
        <w:rPr>
          <w:rFonts w:hint="eastAsia" w:ascii="宋体" w:hAnsi="宋体" w:eastAsia="宋体"/>
          <w:sz w:val="24"/>
          <w:highlight w:val="none"/>
        </w:rPr>
        <w:t>2.15.3检验和验收标准、程序等具体内容以及前述验收书的效力详见</w:t>
      </w:r>
      <w:r>
        <w:rPr>
          <w:rFonts w:ascii="宋体" w:hAnsi="宋体" w:eastAsia="宋体"/>
          <w:b/>
          <w:i/>
          <w:sz w:val="24"/>
          <w:highlight w:val="none"/>
          <w:u w:val="single"/>
        </w:rPr>
        <w:t>合同专用条款</w:t>
      </w:r>
      <w:r>
        <w:rPr>
          <w:rFonts w:hint="eastAsia" w:ascii="宋体" w:hAnsi="宋体" w:eastAsia="宋体"/>
          <w:i/>
          <w:sz w:val="24"/>
          <w:highlight w:val="none"/>
        </w:rPr>
        <w:t>。</w:t>
      </w:r>
    </w:p>
    <w:bookmarkEnd w:id="157"/>
    <w:bookmarkEnd w:id="158"/>
    <w:bookmarkEnd w:id="159"/>
    <w:bookmarkEnd w:id="160"/>
    <w:p w14:paraId="2E4B35D3">
      <w:pPr>
        <w:spacing w:line="360" w:lineRule="auto"/>
        <w:ind w:firstLine="437"/>
        <w:outlineLvl w:val="2"/>
        <w:rPr>
          <w:rFonts w:ascii="宋体" w:hAnsi="宋体" w:eastAsia="宋体"/>
          <w:b/>
          <w:bCs/>
          <w:sz w:val="24"/>
          <w:highlight w:val="none"/>
        </w:rPr>
      </w:pPr>
      <w:bookmarkStart w:id="188" w:name="_Toc259093692"/>
      <w:bookmarkStart w:id="189" w:name="_Toc12773"/>
      <w:bookmarkStart w:id="190" w:name="_Toc487900373"/>
      <w:bookmarkStart w:id="191" w:name="_Toc279701263"/>
      <w:bookmarkStart w:id="192" w:name="_Toc18567"/>
      <w:bookmarkStart w:id="193" w:name="_Toc10330"/>
      <w:r>
        <w:rPr>
          <w:rFonts w:hint="eastAsia" w:ascii="宋体" w:hAnsi="宋体" w:eastAsia="宋体"/>
          <w:b/>
          <w:bCs/>
          <w:sz w:val="24"/>
          <w:highlight w:val="none"/>
        </w:rPr>
        <w:t>2.</w:t>
      </w:r>
      <w:r>
        <w:rPr>
          <w:rFonts w:ascii="宋体" w:hAnsi="宋体" w:eastAsia="宋体"/>
          <w:b/>
          <w:bCs/>
          <w:sz w:val="24"/>
          <w:highlight w:val="none"/>
        </w:rPr>
        <w:t>16</w:t>
      </w:r>
      <w:r>
        <w:rPr>
          <w:rFonts w:hint="eastAsia" w:ascii="宋体" w:hAnsi="宋体" w:eastAsia="宋体"/>
          <w:b/>
          <w:bCs/>
          <w:sz w:val="24"/>
          <w:highlight w:val="none"/>
        </w:rPr>
        <w:t xml:space="preserve"> </w:t>
      </w:r>
      <w:r>
        <w:rPr>
          <w:rFonts w:hint="eastAsia" w:ascii="宋体" w:hAnsi="宋体" w:eastAsia="宋体"/>
          <w:b/>
          <w:bCs/>
          <w:sz w:val="24"/>
          <w:highlight w:val="none"/>
          <w:lang w:val="zh-CN"/>
        </w:rPr>
        <w:t>合同使用的文字和</w:t>
      </w:r>
      <w:r>
        <w:rPr>
          <w:rFonts w:ascii="宋体" w:hAnsi="宋体" w:eastAsia="宋体"/>
          <w:b/>
          <w:bCs/>
          <w:sz w:val="24"/>
          <w:highlight w:val="none"/>
          <w:lang w:val="zh-CN"/>
        </w:rPr>
        <w:t>适用的法律</w:t>
      </w:r>
      <w:bookmarkEnd w:id="188"/>
      <w:bookmarkEnd w:id="189"/>
      <w:bookmarkEnd w:id="190"/>
      <w:bookmarkEnd w:id="191"/>
      <w:bookmarkEnd w:id="192"/>
      <w:bookmarkEnd w:id="193"/>
    </w:p>
    <w:p w14:paraId="289A8D02">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16.1合同使用汉语书就</w:t>
      </w:r>
      <w:r>
        <w:rPr>
          <w:rFonts w:hint="eastAsia" w:ascii="宋体" w:hAnsi="宋体" w:eastAsia="宋体"/>
          <w:sz w:val="24"/>
          <w:highlight w:val="none"/>
        </w:rPr>
        <w:t>、</w:t>
      </w:r>
      <w:r>
        <w:rPr>
          <w:rFonts w:ascii="宋体" w:hAnsi="宋体" w:eastAsia="宋体"/>
          <w:sz w:val="24"/>
          <w:highlight w:val="none"/>
        </w:rPr>
        <w:t>变更和解释</w:t>
      </w:r>
      <w:r>
        <w:rPr>
          <w:rFonts w:hint="eastAsia" w:ascii="宋体" w:hAnsi="宋体" w:eastAsia="宋体"/>
          <w:sz w:val="24"/>
          <w:highlight w:val="none"/>
        </w:rPr>
        <w:t>；</w:t>
      </w:r>
    </w:p>
    <w:p w14:paraId="17D51A62">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16</w:t>
      </w:r>
      <w:r>
        <w:rPr>
          <w:rFonts w:hint="eastAsia" w:ascii="宋体" w:hAnsi="宋体" w:eastAsia="宋体"/>
          <w:sz w:val="24"/>
          <w:highlight w:val="none"/>
        </w:rPr>
        <w:t>.2合同适用</w:t>
      </w:r>
      <w:r>
        <w:rPr>
          <w:rFonts w:ascii="宋体" w:hAnsi="宋体" w:eastAsia="宋体"/>
          <w:sz w:val="24"/>
          <w:highlight w:val="none"/>
        </w:rPr>
        <w:t>中华人民共和国法律。</w:t>
      </w:r>
    </w:p>
    <w:p w14:paraId="67E85F38">
      <w:pPr>
        <w:spacing w:line="360" w:lineRule="auto"/>
        <w:ind w:firstLine="437"/>
        <w:outlineLvl w:val="2"/>
        <w:rPr>
          <w:rFonts w:ascii="宋体" w:hAnsi="宋体" w:eastAsia="宋体"/>
          <w:b/>
          <w:sz w:val="24"/>
          <w:highlight w:val="none"/>
        </w:rPr>
      </w:pPr>
      <w:bookmarkStart w:id="194" w:name="_Toc3148"/>
      <w:bookmarkStart w:id="195" w:name="_Toc279701264"/>
      <w:bookmarkStart w:id="196" w:name="_Toc16673"/>
      <w:bookmarkStart w:id="197" w:name="_Toc12004"/>
      <w:bookmarkStart w:id="198" w:name="_Toc259093693"/>
      <w:bookmarkStart w:id="199" w:name="_Toc487900374"/>
      <w:r>
        <w:rPr>
          <w:rFonts w:hint="eastAsia" w:ascii="宋体" w:hAnsi="宋体" w:eastAsia="宋体"/>
          <w:b/>
          <w:bCs/>
          <w:sz w:val="24"/>
          <w:highlight w:val="none"/>
          <w:lang w:val="zh-CN"/>
        </w:rPr>
        <w:t>2.</w:t>
      </w:r>
      <w:r>
        <w:rPr>
          <w:rFonts w:ascii="宋体" w:hAnsi="宋体" w:eastAsia="宋体"/>
          <w:b/>
          <w:bCs/>
          <w:sz w:val="24"/>
          <w:highlight w:val="none"/>
          <w:lang w:val="zh-CN"/>
        </w:rPr>
        <w:t>17</w:t>
      </w:r>
      <w:r>
        <w:rPr>
          <w:rFonts w:hint="eastAsia" w:ascii="宋体" w:hAnsi="宋体" w:eastAsia="宋体"/>
          <w:b/>
          <w:bCs/>
          <w:sz w:val="24"/>
          <w:highlight w:val="none"/>
          <w:lang w:val="zh-CN"/>
        </w:rPr>
        <w:t xml:space="preserve"> </w:t>
      </w:r>
      <w:r>
        <w:rPr>
          <w:rFonts w:ascii="宋体" w:hAnsi="宋体" w:eastAsia="宋体"/>
          <w:b/>
          <w:bCs/>
          <w:sz w:val="24"/>
          <w:highlight w:val="none"/>
          <w:lang w:val="zh-CN"/>
        </w:rPr>
        <w:t>履约保证金</w:t>
      </w:r>
      <w:bookmarkEnd w:id="194"/>
      <w:bookmarkEnd w:id="195"/>
      <w:bookmarkEnd w:id="196"/>
      <w:bookmarkEnd w:id="197"/>
      <w:bookmarkEnd w:id="198"/>
    </w:p>
    <w:p w14:paraId="098745A7">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17</w:t>
      </w:r>
      <w:r>
        <w:rPr>
          <w:rFonts w:hint="eastAsia" w:ascii="宋体" w:hAnsi="宋体" w:eastAsia="宋体"/>
          <w:sz w:val="24"/>
          <w:highlight w:val="none"/>
        </w:rPr>
        <w:t>.1采购文件要求乙方提交履约保证金的，乙方</w:t>
      </w:r>
      <w:r>
        <w:rPr>
          <w:rFonts w:ascii="宋体" w:hAnsi="宋体" w:eastAsia="宋体"/>
          <w:sz w:val="24"/>
          <w:highlight w:val="none"/>
        </w:rPr>
        <w:t>应按</w:t>
      </w:r>
      <w:r>
        <w:rPr>
          <w:rFonts w:ascii="宋体" w:hAnsi="宋体" w:eastAsia="宋体"/>
          <w:b/>
          <w:i/>
          <w:sz w:val="24"/>
          <w:highlight w:val="none"/>
          <w:u w:val="single"/>
        </w:rPr>
        <w:t>合同专用条款</w:t>
      </w:r>
      <w:r>
        <w:rPr>
          <w:rFonts w:ascii="宋体" w:hAnsi="宋体" w:eastAsia="宋体"/>
          <w:sz w:val="24"/>
          <w:highlight w:val="none"/>
        </w:rPr>
        <w:t>约定的方式</w:t>
      </w:r>
      <w:r>
        <w:rPr>
          <w:rFonts w:hint="eastAsia" w:ascii="宋体" w:hAnsi="宋体" w:eastAsia="宋体"/>
          <w:sz w:val="24"/>
          <w:highlight w:val="none"/>
        </w:rPr>
        <w:t>，以支票、汇票、本票或者金融机构、担保机构出具的保函等非现金形式提交；</w:t>
      </w:r>
    </w:p>
    <w:p w14:paraId="5C887CBF">
      <w:pPr>
        <w:spacing w:line="360" w:lineRule="auto"/>
        <w:ind w:firstLine="435"/>
        <w:rPr>
          <w:rFonts w:ascii="宋体" w:hAnsi="宋体" w:eastAsia="宋体"/>
          <w:sz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2.</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17</w:t>
      </w:r>
      <w:r>
        <w:rPr>
          <w:rFonts w:cs="Times New Roman" w:asciiTheme="minorEastAsia" w:hAnsiTheme="minorEastAsia" w:eastAsiaTheme="minorEastAsia"/>
          <w:color w:val="000000" w:themeColor="text1"/>
          <w:sz w:val="24"/>
          <w:szCs w:val="24"/>
          <w:highlight w:val="none"/>
          <w14:textFill>
            <w14:solidFill>
              <w14:schemeClr w14:val="tx1"/>
            </w14:solidFill>
          </w14:textFill>
        </w:rPr>
        <w:t>.2履约保证金在</w:t>
      </w:r>
      <w:r>
        <w:rPr>
          <w:rFonts w:cs="Times New Roman" w:asciiTheme="minorEastAsia" w:hAnsiTheme="minorEastAsia" w:eastAsiaTheme="minorEastAsia"/>
          <w:b/>
          <w:i/>
          <w:color w:val="000000" w:themeColor="text1"/>
          <w:sz w:val="24"/>
          <w:szCs w:val="24"/>
          <w:highlight w:val="none"/>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highlight w:val="none"/>
          <w14:textFill>
            <w14:solidFill>
              <w14:schemeClr w14:val="tx1"/>
            </w14:solidFill>
          </w14:textFill>
        </w:rPr>
        <w:t>约定期间内或者货物质量保证期内不予退还或者应完全有效</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，前述约定期间届满或者</w:t>
      </w:r>
      <w:r>
        <w:rPr>
          <w:rFonts w:cs="Times New Roman" w:asciiTheme="minorEastAsia" w:hAnsiTheme="minorEastAsia" w:eastAsiaTheme="minorEastAsia"/>
          <w:color w:val="000000" w:themeColor="text1"/>
          <w:sz w:val="24"/>
          <w:szCs w:val="24"/>
          <w:highlight w:val="none"/>
          <w14:textFill>
            <w14:solidFill>
              <w14:schemeClr w14:val="tx1"/>
            </w14:solidFill>
          </w14:textFill>
        </w:rPr>
        <w:t>货物质量保证期届满之日起</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个</w:t>
      </w:r>
      <w:r>
        <w:rPr>
          <w:rFonts w:cs="Times New Roman" w:asciiTheme="minorEastAsia" w:hAnsiTheme="minorEastAsia" w:eastAsiaTheme="minorEastAsia"/>
          <w:color w:val="000000" w:themeColor="text1"/>
          <w:sz w:val="24"/>
          <w:szCs w:val="24"/>
          <w:highlight w:val="none"/>
          <w14:textFill>
            <w14:solidFill>
              <w14:schemeClr w14:val="tx1"/>
            </w14:solidFill>
          </w14:textFill>
        </w:rPr>
        <w:t>工作日内，甲方应将履约保证金退还乙方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甲方</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应承担违约责任。</w:t>
      </w:r>
    </w:p>
    <w:p w14:paraId="50E9EA6B">
      <w:pPr>
        <w:spacing w:line="360" w:lineRule="auto"/>
        <w:ind w:firstLine="435"/>
        <w:rPr>
          <w:rFonts w:ascii="宋体" w:hAnsi="宋体" w:eastAsia="宋体"/>
          <w:sz w:val="24"/>
          <w:highlight w:val="none"/>
        </w:rPr>
      </w:pPr>
      <w:r>
        <w:rPr>
          <w:rFonts w:hint="eastAsia" w:ascii="宋体" w:hAnsi="宋体" w:eastAsia="宋体"/>
          <w:sz w:val="24"/>
          <w:highlight w:val="none"/>
        </w:rPr>
        <w:t>2.</w:t>
      </w:r>
      <w:r>
        <w:rPr>
          <w:rFonts w:ascii="宋体" w:hAnsi="宋体" w:eastAsia="宋体"/>
          <w:sz w:val="24"/>
          <w:highlight w:val="none"/>
        </w:rPr>
        <w:t>17</w:t>
      </w:r>
      <w:r>
        <w:rPr>
          <w:rFonts w:hint="eastAsia" w:ascii="宋体" w:hAnsi="宋体" w:eastAsia="宋体"/>
          <w:sz w:val="24"/>
          <w:highlight w:val="none"/>
        </w:rPr>
        <w:t>.3</w:t>
      </w:r>
      <w:r>
        <w:rPr>
          <w:rFonts w:ascii="宋体" w:hAnsi="宋体" w:eastAsia="宋体"/>
          <w:sz w:val="24"/>
          <w:highlight w:val="none"/>
        </w:rPr>
        <w:t>如果乙方不履行合同</w:t>
      </w:r>
      <w:r>
        <w:rPr>
          <w:rFonts w:hint="eastAsia" w:ascii="宋体" w:hAnsi="宋体" w:eastAsia="宋体"/>
          <w:sz w:val="24"/>
          <w:highlight w:val="none"/>
        </w:rPr>
        <w:t>，履约保证金不予退还；如果乙方</w:t>
      </w:r>
      <w:r>
        <w:rPr>
          <w:rFonts w:ascii="宋体" w:hAnsi="宋体" w:eastAsia="宋体"/>
          <w:sz w:val="24"/>
          <w:highlight w:val="none"/>
        </w:rPr>
        <w:t>未能按合同</w:t>
      </w:r>
      <w:r>
        <w:rPr>
          <w:rFonts w:hint="eastAsia" w:ascii="宋体" w:hAnsi="宋体" w:eastAsia="宋体"/>
          <w:sz w:val="24"/>
          <w:highlight w:val="none"/>
        </w:rPr>
        <w:t>约</w:t>
      </w:r>
      <w:r>
        <w:rPr>
          <w:rFonts w:ascii="宋体" w:hAnsi="宋体" w:eastAsia="宋体"/>
          <w:sz w:val="24"/>
          <w:highlight w:val="none"/>
        </w:rPr>
        <w:t>定全面履行义务，那么甲方有权从履约保证金中取得补偿或赔偿</w:t>
      </w:r>
      <w:r>
        <w:rPr>
          <w:rFonts w:hint="eastAsia" w:ascii="宋体" w:hAnsi="宋体" w:eastAsia="宋体"/>
          <w:sz w:val="24"/>
          <w:highlight w:val="none"/>
        </w:rPr>
        <w:t>，同时不影响甲方要求乙方承担合同约定的超过履约保证金的违约责任的权利。</w:t>
      </w:r>
    </w:p>
    <w:bookmarkEnd w:id="199"/>
    <w:p w14:paraId="60504DB7">
      <w:pPr>
        <w:spacing w:line="360" w:lineRule="auto"/>
        <w:ind w:firstLine="437"/>
        <w:outlineLvl w:val="2"/>
        <w:rPr>
          <w:rFonts w:ascii="宋体" w:hAnsi="宋体" w:eastAsia="宋体"/>
          <w:b/>
          <w:sz w:val="24"/>
          <w:highlight w:val="none"/>
        </w:rPr>
      </w:pPr>
      <w:bookmarkStart w:id="200" w:name="_Toc14001"/>
      <w:bookmarkStart w:id="201" w:name="_Toc19890"/>
      <w:bookmarkStart w:id="202" w:name="_Toc6885"/>
      <w:r>
        <w:rPr>
          <w:rFonts w:hint="eastAsia" w:ascii="宋体" w:hAnsi="宋体" w:eastAsia="宋体"/>
          <w:b/>
          <w:bCs/>
          <w:sz w:val="24"/>
          <w:highlight w:val="none"/>
          <w:lang w:val="zh-CN"/>
        </w:rPr>
        <w:t>2.</w:t>
      </w:r>
      <w:r>
        <w:rPr>
          <w:rFonts w:ascii="宋体" w:hAnsi="宋体" w:eastAsia="宋体"/>
          <w:b/>
          <w:bCs/>
          <w:sz w:val="24"/>
          <w:highlight w:val="none"/>
          <w:lang w:val="zh-CN"/>
        </w:rPr>
        <w:t>18</w:t>
      </w:r>
      <w:r>
        <w:rPr>
          <w:rFonts w:hint="eastAsia" w:ascii="宋体" w:hAnsi="宋体" w:eastAsia="宋体"/>
          <w:b/>
          <w:bCs/>
          <w:sz w:val="24"/>
          <w:highlight w:val="none"/>
          <w:lang w:val="zh-CN"/>
        </w:rPr>
        <w:t xml:space="preserve"> 合同份数</w:t>
      </w:r>
      <w:bookmarkEnd w:id="200"/>
      <w:bookmarkEnd w:id="201"/>
      <w:bookmarkEnd w:id="202"/>
    </w:p>
    <w:p w14:paraId="017C8739">
      <w:pPr>
        <w:spacing w:line="360" w:lineRule="auto"/>
        <w:ind w:firstLine="435"/>
        <w:rPr>
          <w:rFonts w:ascii="宋体" w:hAnsi="宋体" w:eastAsia="宋体"/>
          <w:sz w:val="24"/>
          <w:highlight w:val="none"/>
        </w:rPr>
      </w:pPr>
      <w:r>
        <w:rPr>
          <w:rFonts w:ascii="宋体" w:hAnsi="宋体" w:eastAsia="宋体"/>
          <w:sz w:val="24"/>
          <w:highlight w:val="none"/>
        </w:rPr>
        <w:t>合同份数按</w:t>
      </w:r>
      <w:r>
        <w:rPr>
          <w:rFonts w:ascii="宋体" w:hAnsi="宋体" w:eastAsia="宋体"/>
          <w:b/>
          <w:i/>
          <w:sz w:val="24"/>
          <w:highlight w:val="none"/>
          <w:u w:val="single"/>
        </w:rPr>
        <w:t>合同专用条款</w:t>
      </w:r>
      <w:r>
        <w:rPr>
          <w:rFonts w:ascii="宋体" w:hAnsi="宋体" w:eastAsia="宋体"/>
          <w:sz w:val="24"/>
          <w:highlight w:val="none"/>
        </w:rPr>
        <w:t>规定</w:t>
      </w:r>
      <w:r>
        <w:rPr>
          <w:rFonts w:hint="eastAsia" w:ascii="宋体" w:hAnsi="宋体" w:eastAsia="宋体"/>
          <w:sz w:val="24"/>
          <w:highlight w:val="none"/>
        </w:rPr>
        <w:t>，</w:t>
      </w:r>
      <w:r>
        <w:rPr>
          <w:rFonts w:ascii="宋体" w:hAnsi="宋体" w:eastAsia="宋体"/>
          <w:sz w:val="24"/>
          <w:highlight w:val="none"/>
        </w:rPr>
        <w:t>每份均具有同等法律效力</w:t>
      </w:r>
      <w:r>
        <w:rPr>
          <w:rFonts w:hint="eastAsia" w:ascii="宋体" w:hAnsi="宋体" w:eastAsia="宋体"/>
          <w:sz w:val="24"/>
          <w:highlight w:val="none"/>
        </w:rPr>
        <w:t>。</w:t>
      </w:r>
    </w:p>
    <w:p w14:paraId="4DC0EE40">
      <w:pPr>
        <w:spacing w:line="360" w:lineRule="auto"/>
        <w:jc w:val="center"/>
        <w:outlineLvl w:val="1"/>
        <w:rPr>
          <w:rFonts w:ascii="宋体" w:hAnsi="宋体" w:eastAsia="宋体"/>
          <w:b/>
          <w:sz w:val="24"/>
          <w:highlight w:val="none"/>
        </w:rPr>
      </w:pPr>
      <w:r>
        <w:rPr>
          <w:rFonts w:ascii="宋体" w:hAnsi="宋体" w:eastAsia="宋体"/>
          <w:sz w:val="24"/>
          <w:highlight w:val="none"/>
        </w:rPr>
        <w:br w:type="page"/>
      </w:r>
      <w:bookmarkStart w:id="203" w:name="_Toc8839"/>
      <w:bookmarkStart w:id="204" w:name="_Toc21732"/>
      <w:bookmarkStart w:id="205" w:name="_Toc331685784"/>
      <w:r>
        <w:rPr>
          <w:rFonts w:hint="eastAsia" w:ascii="宋体" w:hAnsi="宋体" w:eastAsia="宋体"/>
          <w:b/>
          <w:sz w:val="24"/>
          <w:highlight w:val="none"/>
        </w:rPr>
        <w:t>第三部分</w:t>
      </w:r>
      <w:r>
        <w:rPr>
          <w:rFonts w:ascii="宋体" w:hAnsi="宋体" w:eastAsia="宋体"/>
          <w:b/>
          <w:sz w:val="24"/>
          <w:highlight w:val="none"/>
        </w:rPr>
        <w:t xml:space="preserve"> </w:t>
      </w:r>
      <w:r>
        <w:rPr>
          <w:rFonts w:hint="eastAsia" w:ascii="宋体" w:hAnsi="宋体" w:eastAsia="宋体"/>
          <w:b/>
          <w:sz w:val="24"/>
          <w:highlight w:val="none"/>
        </w:rPr>
        <w:t>合同专用条款</w:t>
      </w:r>
      <w:bookmarkEnd w:id="203"/>
      <w:bookmarkEnd w:id="204"/>
      <w:bookmarkEnd w:id="205"/>
    </w:p>
    <w:p w14:paraId="652B2256">
      <w:pPr>
        <w:spacing w:line="360" w:lineRule="auto"/>
        <w:ind w:firstLine="435"/>
        <w:rPr>
          <w:rFonts w:ascii="宋体" w:hAnsi="宋体" w:eastAsia="宋体"/>
          <w:sz w:val="24"/>
          <w:highlight w:val="none"/>
        </w:rPr>
      </w:pPr>
      <w:r>
        <w:rPr>
          <w:rFonts w:hint="eastAsia" w:ascii="宋体" w:hAnsi="宋体" w:eastAsia="宋体"/>
          <w:sz w:val="24"/>
          <w:highlight w:val="none"/>
        </w:rPr>
        <w:t>本部分</w:t>
      </w:r>
      <w:r>
        <w:rPr>
          <w:rFonts w:ascii="宋体" w:hAnsi="宋体" w:eastAsia="宋体"/>
          <w:sz w:val="24"/>
          <w:highlight w:val="none"/>
        </w:rPr>
        <w:t>是对</w:t>
      </w:r>
      <w:r>
        <w:rPr>
          <w:rFonts w:hint="eastAsia" w:ascii="宋体" w:hAnsi="宋体" w:eastAsia="宋体"/>
          <w:sz w:val="24"/>
          <w:highlight w:val="none"/>
        </w:rPr>
        <w:t>前两</w:t>
      </w:r>
      <w:r>
        <w:rPr>
          <w:rFonts w:ascii="宋体" w:hAnsi="宋体" w:eastAsia="宋体"/>
          <w:sz w:val="24"/>
          <w:highlight w:val="none"/>
        </w:rPr>
        <w:t>部分的补充和修改</w:t>
      </w:r>
      <w:r>
        <w:rPr>
          <w:rFonts w:hint="eastAsia" w:ascii="宋体" w:hAnsi="宋体" w:eastAsia="宋体"/>
          <w:sz w:val="24"/>
          <w:highlight w:val="none"/>
        </w:rPr>
        <w:t>，</w:t>
      </w:r>
      <w:r>
        <w:rPr>
          <w:rFonts w:ascii="宋体" w:hAnsi="宋体" w:eastAsia="宋体"/>
          <w:sz w:val="24"/>
          <w:highlight w:val="none"/>
        </w:rPr>
        <w:t>如果</w:t>
      </w:r>
      <w:r>
        <w:rPr>
          <w:rFonts w:hint="eastAsia" w:ascii="宋体" w:hAnsi="宋体" w:eastAsia="宋体"/>
          <w:sz w:val="24"/>
          <w:highlight w:val="none"/>
        </w:rPr>
        <w:t>前两</w:t>
      </w:r>
      <w:r>
        <w:rPr>
          <w:rFonts w:ascii="宋体" w:hAnsi="宋体" w:eastAsia="宋体"/>
          <w:sz w:val="24"/>
          <w:highlight w:val="none"/>
        </w:rPr>
        <w:t>部分和本部分的约定不一致</w:t>
      </w:r>
      <w:r>
        <w:rPr>
          <w:rFonts w:hint="eastAsia" w:ascii="宋体" w:hAnsi="宋体" w:eastAsia="宋体"/>
          <w:sz w:val="24"/>
          <w:highlight w:val="none"/>
        </w:rPr>
        <w:t>，</w:t>
      </w:r>
      <w:r>
        <w:rPr>
          <w:rFonts w:ascii="宋体" w:hAnsi="宋体" w:eastAsia="宋体"/>
          <w:sz w:val="24"/>
          <w:highlight w:val="none"/>
        </w:rPr>
        <w:t>应以本部分的约定为准</w:t>
      </w:r>
      <w:r>
        <w:rPr>
          <w:rFonts w:hint="eastAsia" w:ascii="宋体" w:hAnsi="宋体" w:eastAsia="宋体"/>
          <w:sz w:val="24"/>
          <w:highlight w:val="none"/>
        </w:rPr>
        <w:t>。</w:t>
      </w:r>
      <w:r>
        <w:rPr>
          <w:rFonts w:ascii="宋体" w:hAnsi="宋体" w:eastAsia="宋体"/>
          <w:sz w:val="24"/>
          <w:highlight w:val="none"/>
        </w:rPr>
        <w:t>本部分的条款号应与</w:t>
      </w:r>
      <w:r>
        <w:rPr>
          <w:rFonts w:hint="eastAsia" w:ascii="宋体" w:hAnsi="宋体" w:eastAsia="宋体"/>
          <w:sz w:val="24"/>
          <w:highlight w:val="none"/>
        </w:rPr>
        <w:t>前两部分</w:t>
      </w:r>
      <w:r>
        <w:rPr>
          <w:rFonts w:ascii="宋体" w:hAnsi="宋体" w:eastAsia="宋体"/>
          <w:sz w:val="24"/>
          <w:highlight w:val="none"/>
        </w:rPr>
        <w:t>的条款号保持对应</w:t>
      </w:r>
      <w:r>
        <w:rPr>
          <w:rFonts w:hint="eastAsia" w:ascii="宋体" w:hAnsi="宋体" w:eastAsia="宋体"/>
          <w:sz w:val="24"/>
          <w:highlight w:val="none"/>
        </w:rPr>
        <w:t>；与前两部分</w:t>
      </w:r>
      <w:r>
        <w:rPr>
          <w:rFonts w:ascii="宋体" w:hAnsi="宋体" w:eastAsia="宋体"/>
          <w:sz w:val="24"/>
          <w:highlight w:val="none"/>
        </w:rPr>
        <w:t>无对应关系的内容可另行编制条款号</w:t>
      </w:r>
      <w:r>
        <w:rPr>
          <w:rFonts w:hint="eastAsia" w:ascii="宋体" w:hAnsi="宋体" w:eastAsia="宋体"/>
          <w:sz w:val="24"/>
          <w:highlight w:val="none"/>
        </w:rPr>
        <w:t>。</w:t>
      </w:r>
    </w:p>
    <w:tbl>
      <w:tblPr>
        <w:tblStyle w:val="26"/>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794"/>
        <w:gridCol w:w="7568"/>
      </w:tblGrid>
      <w:tr w14:paraId="60989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475" w:type="pct"/>
            <w:tcBorders>
              <w:left w:val="single" w:color="auto" w:sz="4" w:space="0"/>
            </w:tcBorders>
            <w:vAlign w:val="center"/>
          </w:tcPr>
          <w:p w14:paraId="1E67B312">
            <w:pPr>
              <w:jc w:val="center"/>
              <w:rPr>
                <w:rFonts w:ascii="宋体" w:hAnsi="宋体" w:eastAsia="宋体"/>
                <w:b/>
                <w:sz w:val="24"/>
                <w:highlight w:val="none"/>
              </w:rPr>
            </w:pPr>
            <w:r>
              <w:rPr>
                <w:rFonts w:ascii="宋体" w:hAnsi="宋体" w:eastAsia="宋体"/>
                <w:b/>
                <w:sz w:val="24"/>
                <w:highlight w:val="none"/>
              </w:rPr>
              <w:t>条款号</w:t>
            </w:r>
          </w:p>
        </w:tc>
        <w:tc>
          <w:tcPr>
            <w:tcW w:w="4525" w:type="pct"/>
            <w:vAlign w:val="center"/>
          </w:tcPr>
          <w:p w14:paraId="4BBB51BD">
            <w:pPr>
              <w:jc w:val="center"/>
              <w:rPr>
                <w:rFonts w:ascii="宋体" w:hAnsi="宋体" w:eastAsia="宋体"/>
                <w:b/>
                <w:sz w:val="24"/>
                <w:highlight w:val="none"/>
              </w:rPr>
            </w:pPr>
            <w:r>
              <w:rPr>
                <w:rFonts w:ascii="宋体" w:hAnsi="宋体" w:eastAsia="宋体"/>
                <w:b/>
                <w:sz w:val="24"/>
                <w:highlight w:val="none"/>
              </w:rPr>
              <w:t>约定内容</w:t>
            </w:r>
          </w:p>
        </w:tc>
      </w:tr>
      <w:tr w14:paraId="40148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475" w:type="pct"/>
            <w:tcBorders>
              <w:left w:val="single" w:color="auto" w:sz="4" w:space="0"/>
            </w:tcBorders>
            <w:vAlign w:val="center"/>
          </w:tcPr>
          <w:p w14:paraId="36989B44">
            <w:pPr>
              <w:spacing w:line="560" w:lineRule="exact"/>
              <w:rPr>
                <w:rFonts w:ascii="宋体" w:hAnsi="宋体" w:eastAsia="宋体"/>
                <w:sz w:val="24"/>
                <w:highlight w:val="none"/>
              </w:rPr>
            </w:pPr>
          </w:p>
        </w:tc>
        <w:tc>
          <w:tcPr>
            <w:tcW w:w="4525" w:type="pct"/>
            <w:vAlign w:val="center"/>
          </w:tcPr>
          <w:p w14:paraId="3B43FC87">
            <w:pPr>
              <w:spacing w:line="560" w:lineRule="exact"/>
              <w:rPr>
                <w:rFonts w:ascii="宋体" w:hAnsi="宋体" w:eastAsia="宋体"/>
                <w:sz w:val="24"/>
                <w:highlight w:val="none"/>
              </w:rPr>
            </w:pPr>
          </w:p>
        </w:tc>
      </w:tr>
      <w:tr w14:paraId="52237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5" w:type="pct"/>
            <w:tcBorders>
              <w:left w:val="single" w:color="auto" w:sz="4" w:space="0"/>
            </w:tcBorders>
            <w:vAlign w:val="center"/>
          </w:tcPr>
          <w:p w14:paraId="2152423F">
            <w:pPr>
              <w:spacing w:line="560" w:lineRule="exact"/>
              <w:rPr>
                <w:rFonts w:ascii="宋体" w:hAnsi="宋体" w:eastAsia="宋体"/>
                <w:sz w:val="24"/>
                <w:highlight w:val="none"/>
              </w:rPr>
            </w:pPr>
          </w:p>
        </w:tc>
        <w:tc>
          <w:tcPr>
            <w:tcW w:w="4525" w:type="pct"/>
            <w:vAlign w:val="center"/>
          </w:tcPr>
          <w:p w14:paraId="4A4E3658">
            <w:pPr>
              <w:spacing w:line="560" w:lineRule="exact"/>
              <w:rPr>
                <w:rFonts w:ascii="宋体" w:hAnsi="宋体" w:eastAsia="宋体"/>
                <w:sz w:val="24"/>
                <w:highlight w:val="none"/>
              </w:rPr>
            </w:pPr>
          </w:p>
        </w:tc>
      </w:tr>
      <w:tr w14:paraId="07024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5" w:type="pct"/>
            <w:tcBorders>
              <w:left w:val="single" w:color="auto" w:sz="4" w:space="0"/>
            </w:tcBorders>
            <w:vAlign w:val="center"/>
          </w:tcPr>
          <w:p w14:paraId="1AF3D7C5">
            <w:pPr>
              <w:spacing w:line="560" w:lineRule="exact"/>
              <w:rPr>
                <w:rFonts w:ascii="宋体" w:hAnsi="宋体" w:eastAsia="宋体"/>
                <w:sz w:val="24"/>
                <w:highlight w:val="none"/>
              </w:rPr>
            </w:pPr>
          </w:p>
        </w:tc>
        <w:tc>
          <w:tcPr>
            <w:tcW w:w="4525" w:type="pct"/>
            <w:vAlign w:val="center"/>
          </w:tcPr>
          <w:p w14:paraId="3CF4ED97">
            <w:pPr>
              <w:spacing w:line="560" w:lineRule="exact"/>
              <w:rPr>
                <w:rFonts w:ascii="宋体" w:hAnsi="宋体" w:eastAsia="宋体"/>
                <w:sz w:val="24"/>
                <w:highlight w:val="none"/>
              </w:rPr>
            </w:pPr>
          </w:p>
        </w:tc>
      </w:tr>
      <w:tr w14:paraId="7204D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5" w:type="pct"/>
            <w:tcBorders>
              <w:left w:val="single" w:color="auto" w:sz="4" w:space="0"/>
            </w:tcBorders>
            <w:vAlign w:val="center"/>
          </w:tcPr>
          <w:p w14:paraId="784D5997">
            <w:pPr>
              <w:spacing w:line="560" w:lineRule="exact"/>
              <w:rPr>
                <w:rFonts w:ascii="宋体" w:hAnsi="宋体" w:eastAsia="宋体"/>
                <w:sz w:val="24"/>
                <w:highlight w:val="none"/>
              </w:rPr>
            </w:pPr>
          </w:p>
        </w:tc>
        <w:tc>
          <w:tcPr>
            <w:tcW w:w="4525" w:type="pct"/>
            <w:vAlign w:val="center"/>
          </w:tcPr>
          <w:p w14:paraId="19D371D0">
            <w:pPr>
              <w:spacing w:line="560" w:lineRule="exact"/>
              <w:rPr>
                <w:rFonts w:ascii="宋体" w:hAnsi="宋体" w:eastAsia="宋体"/>
                <w:sz w:val="24"/>
                <w:highlight w:val="none"/>
              </w:rPr>
            </w:pPr>
          </w:p>
        </w:tc>
      </w:tr>
      <w:tr w14:paraId="50E83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5" w:type="pct"/>
            <w:tcBorders>
              <w:left w:val="single" w:color="auto" w:sz="4" w:space="0"/>
            </w:tcBorders>
            <w:vAlign w:val="center"/>
          </w:tcPr>
          <w:p w14:paraId="04A445D9">
            <w:pPr>
              <w:spacing w:line="560" w:lineRule="exact"/>
              <w:rPr>
                <w:rFonts w:ascii="宋体" w:hAnsi="宋体" w:eastAsia="宋体"/>
                <w:sz w:val="24"/>
                <w:highlight w:val="none"/>
              </w:rPr>
            </w:pPr>
          </w:p>
        </w:tc>
        <w:tc>
          <w:tcPr>
            <w:tcW w:w="4525" w:type="pct"/>
            <w:vAlign w:val="center"/>
          </w:tcPr>
          <w:p w14:paraId="1F933E30">
            <w:pPr>
              <w:spacing w:line="560" w:lineRule="exact"/>
              <w:rPr>
                <w:rFonts w:ascii="宋体" w:hAnsi="宋体" w:eastAsia="宋体"/>
                <w:sz w:val="24"/>
                <w:highlight w:val="none"/>
                <w:u w:val="single"/>
              </w:rPr>
            </w:pPr>
          </w:p>
        </w:tc>
      </w:tr>
      <w:tr w14:paraId="5E885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5" w:type="pct"/>
            <w:tcBorders>
              <w:left w:val="single" w:color="auto" w:sz="4" w:space="0"/>
            </w:tcBorders>
            <w:vAlign w:val="center"/>
          </w:tcPr>
          <w:p w14:paraId="4D864F9B">
            <w:pPr>
              <w:spacing w:line="560" w:lineRule="exact"/>
              <w:rPr>
                <w:rFonts w:ascii="宋体" w:hAnsi="宋体" w:eastAsia="宋体"/>
                <w:sz w:val="24"/>
                <w:highlight w:val="none"/>
              </w:rPr>
            </w:pPr>
          </w:p>
        </w:tc>
        <w:tc>
          <w:tcPr>
            <w:tcW w:w="4525" w:type="pct"/>
            <w:vAlign w:val="center"/>
          </w:tcPr>
          <w:p w14:paraId="79EE8106">
            <w:pPr>
              <w:spacing w:line="560" w:lineRule="exact"/>
              <w:rPr>
                <w:rFonts w:ascii="宋体" w:hAnsi="宋体" w:eastAsia="宋体"/>
                <w:sz w:val="24"/>
                <w:highlight w:val="none"/>
              </w:rPr>
            </w:pPr>
          </w:p>
        </w:tc>
      </w:tr>
      <w:tr w14:paraId="60641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5" w:type="pct"/>
            <w:tcBorders>
              <w:left w:val="single" w:color="auto" w:sz="4" w:space="0"/>
            </w:tcBorders>
            <w:vAlign w:val="center"/>
          </w:tcPr>
          <w:p w14:paraId="0E53952B">
            <w:pPr>
              <w:spacing w:line="560" w:lineRule="exact"/>
              <w:rPr>
                <w:rFonts w:ascii="宋体" w:hAnsi="宋体" w:eastAsia="宋体"/>
                <w:sz w:val="24"/>
                <w:highlight w:val="none"/>
              </w:rPr>
            </w:pPr>
          </w:p>
        </w:tc>
        <w:tc>
          <w:tcPr>
            <w:tcW w:w="4525" w:type="pct"/>
            <w:vAlign w:val="center"/>
          </w:tcPr>
          <w:p w14:paraId="1CBD0332">
            <w:pPr>
              <w:spacing w:line="560" w:lineRule="exact"/>
              <w:rPr>
                <w:rFonts w:ascii="宋体" w:hAnsi="宋体" w:eastAsia="宋体"/>
                <w:sz w:val="24"/>
                <w:highlight w:val="none"/>
                <w:u w:val="single"/>
              </w:rPr>
            </w:pPr>
          </w:p>
        </w:tc>
      </w:tr>
      <w:tr w14:paraId="044DA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5" w:type="pct"/>
            <w:tcBorders>
              <w:left w:val="single" w:color="auto" w:sz="4" w:space="0"/>
            </w:tcBorders>
            <w:vAlign w:val="center"/>
          </w:tcPr>
          <w:p w14:paraId="305454EC">
            <w:pPr>
              <w:spacing w:line="560" w:lineRule="exact"/>
              <w:rPr>
                <w:rFonts w:ascii="宋体" w:hAnsi="宋体" w:eastAsia="宋体"/>
                <w:sz w:val="24"/>
                <w:highlight w:val="none"/>
              </w:rPr>
            </w:pPr>
          </w:p>
        </w:tc>
        <w:tc>
          <w:tcPr>
            <w:tcW w:w="4525" w:type="pct"/>
            <w:vAlign w:val="center"/>
          </w:tcPr>
          <w:p w14:paraId="7B8C70A6">
            <w:pPr>
              <w:spacing w:line="560" w:lineRule="exact"/>
              <w:rPr>
                <w:rFonts w:ascii="宋体" w:hAnsi="宋体" w:eastAsia="宋体"/>
                <w:sz w:val="24"/>
                <w:highlight w:val="none"/>
              </w:rPr>
            </w:pPr>
          </w:p>
        </w:tc>
      </w:tr>
      <w:tr w14:paraId="73E13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5" w:type="pct"/>
            <w:tcBorders>
              <w:left w:val="single" w:color="auto" w:sz="4" w:space="0"/>
            </w:tcBorders>
            <w:vAlign w:val="center"/>
          </w:tcPr>
          <w:p w14:paraId="3771F586">
            <w:pPr>
              <w:spacing w:line="560" w:lineRule="exact"/>
              <w:rPr>
                <w:rFonts w:ascii="宋体" w:hAnsi="宋体" w:eastAsia="宋体"/>
                <w:sz w:val="24"/>
                <w:highlight w:val="none"/>
              </w:rPr>
            </w:pPr>
          </w:p>
        </w:tc>
        <w:tc>
          <w:tcPr>
            <w:tcW w:w="4525" w:type="pct"/>
            <w:vAlign w:val="center"/>
          </w:tcPr>
          <w:p w14:paraId="2F83C6E4">
            <w:pPr>
              <w:spacing w:line="560" w:lineRule="exact"/>
              <w:rPr>
                <w:rFonts w:ascii="宋体" w:hAnsi="宋体" w:eastAsia="宋体"/>
                <w:sz w:val="24"/>
                <w:highlight w:val="none"/>
              </w:rPr>
            </w:pPr>
          </w:p>
        </w:tc>
      </w:tr>
      <w:tr w14:paraId="6B352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5" w:type="pct"/>
            <w:tcBorders>
              <w:left w:val="single" w:color="auto" w:sz="4" w:space="0"/>
            </w:tcBorders>
            <w:vAlign w:val="center"/>
          </w:tcPr>
          <w:p w14:paraId="1E45DEDD">
            <w:pPr>
              <w:spacing w:line="560" w:lineRule="exact"/>
              <w:rPr>
                <w:rFonts w:ascii="宋体" w:hAnsi="宋体" w:eastAsia="宋体"/>
                <w:sz w:val="24"/>
                <w:highlight w:val="none"/>
              </w:rPr>
            </w:pPr>
          </w:p>
        </w:tc>
        <w:tc>
          <w:tcPr>
            <w:tcW w:w="4525" w:type="pct"/>
            <w:vAlign w:val="center"/>
          </w:tcPr>
          <w:p w14:paraId="0B532E49">
            <w:pPr>
              <w:spacing w:line="560" w:lineRule="exact"/>
              <w:rPr>
                <w:rFonts w:ascii="宋体" w:hAnsi="宋体" w:eastAsia="宋体"/>
                <w:sz w:val="24"/>
                <w:highlight w:val="none"/>
              </w:rPr>
            </w:pPr>
          </w:p>
        </w:tc>
      </w:tr>
      <w:tr w14:paraId="0F15B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5" w:hRule="atLeast"/>
          <w:jc w:val="center"/>
        </w:trPr>
        <w:tc>
          <w:tcPr>
            <w:tcW w:w="475" w:type="pct"/>
            <w:tcBorders>
              <w:top w:val="single" w:color="auto" w:sz="6" w:space="0"/>
              <w:left w:val="single" w:color="auto" w:sz="4" w:space="0"/>
              <w:bottom w:val="single" w:color="auto" w:sz="6" w:space="0"/>
              <w:right w:val="single" w:color="auto" w:sz="6" w:space="0"/>
            </w:tcBorders>
            <w:vAlign w:val="center"/>
          </w:tcPr>
          <w:p w14:paraId="5472D197">
            <w:pPr>
              <w:spacing w:line="560" w:lineRule="exact"/>
              <w:rPr>
                <w:rFonts w:ascii="宋体" w:hAnsi="宋体" w:eastAsia="宋体"/>
                <w:sz w:val="24"/>
                <w:highlight w:val="none"/>
              </w:rPr>
            </w:pPr>
          </w:p>
        </w:tc>
        <w:tc>
          <w:tcPr>
            <w:tcW w:w="4525" w:type="pct"/>
            <w:tcBorders>
              <w:top w:val="single" w:color="auto" w:sz="6" w:space="0"/>
              <w:left w:val="single" w:color="auto" w:sz="6" w:space="0"/>
              <w:bottom w:val="single" w:color="auto" w:sz="6" w:space="0"/>
              <w:right w:val="single" w:color="auto" w:sz="6" w:space="0"/>
            </w:tcBorders>
            <w:vAlign w:val="center"/>
          </w:tcPr>
          <w:p w14:paraId="57FFA9BE">
            <w:pPr>
              <w:spacing w:line="560" w:lineRule="exact"/>
              <w:rPr>
                <w:rFonts w:ascii="宋体" w:hAnsi="宋体" w:eastAsia="宋体"/>
                <w:sz w:val="24"/>
                <w:highlight w:val="none"/>
              </w:rPr>
            </w:pPr>
          </w:p>
        </w:tc>
      </w:tr>
      <w:tr w14:paraId="56953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5" w:type="pct"/>
            <w:tcBorders>
              <w:top w:val="single" w:color="auto" w:sz="6" w:space="0"/>
              <w:left w:val="single" w:color="auto" w:sz="4" w:space="0"/>
              <w:bottom w:val="single" w:color="auto" w:sz="6" w:space="0"/>
              <w:right w:val="single" w:color="auto" w:sz="6" w:space="0"/>
            </w:tcBorders>
            <w:vAlign w:val="center"/>
          </w:tcPr>
          <w:p w14:paraId="06201F1F">
            <w:pPr>
              <w:spacing w:line="560" w:lineRule="exact"/>
              <w:rPr>
                <w:rFonts w:ascii="宋体" w:hAnsi="宋体" w:eastAsia="宋体"/>
                <w:sz w:val="24"/>
                <w:highlight w:val="none"/>
              </w:rPr>
            </w:pPr>
          </w:p>
        </w:tc>
        <w:tc>
          <w:tcPr>
            <w:tcW w:w="4525" w:type="pct"/>
            <w:tcBorders>
              <w:top w:val="single" w:color="auto" w:sz="6" w:space="0"/>
              <w:left w:val="single" w:color="auto" w:sz="6" w:space="0"/>
              <w:bottom w:val="single" w:color="auto" w:sz="6" w:space="0"/>
              <w:right w:val="single" w:color="auto" w:sz="6" w:space="0"/>
            </w:tcBorders>
            <w:vAlign w:val="center"/>
          </w:tcPr>
          <w:p w14:paraId="640C3379">
            <w:pPr>
              <w:spacing w:line="560" w:lineRule="exact"/>
              <w:rPr>
                <w:rFonts w:ascii="宋体" w:hAnsi="宋体" w:eastAsia="宋体"/>
                <w:sz w:val="24"/>
                <w:highlight w:val="none"/>
              </w:rPr>
            </w:pPr>
          </w:p>
        </w:tc>
      </w:tr>
    </w:tbl>
    <w:p w14:paraId="6124AF37">
      <w:pPr>
        <w:widowControl/>
        <w:jc w:val="left"/>
        <w:rPr>
          <w:rFonts w:asciiTheme="minorEastAsia" w:hAnsiTheme="minorEastAsia" w:eastAsiaTheme="minorEastAsia"/>
          <w:sz w:val="24"/>
          <w:highlight w:val="none"/>
        </w:rPr>
      </w:pPr>
      <w:r>
        <w:rPr>
          <w:rFonts w:asciiTheme="minorEastAsia" w:hAnsiTheme="minorEastAsia" w:eastAsiaTheme="minorEastAsia"/>
          <w:sz w:val="24"/>
          <w:highlight w:val="none"/>
        </w:rPr>
        <w:br w:type="page"/>
      </w:r>
    </w:p>
    <w:p w14:paraId="7B1BFBE9">
      <w:pPr>
        <w:spacing w:line="360" w:lineRule="auto"/>
        <w:jc w:val="center"/>
        <w:outlineLvl w:val="0"/>
        <w:rPr>
          <w:rFonts w:asciiTheme="minorEastAsia" w:hAnsiTheme="minorEastAsia" w:eastAsiaTheme="minorEastAsia"/>
          <w:b/>
          <w:color w:val="auto"/>
          <w:sz w:val="28"/>
          <w:highlight w:val="none"/>
        </w:rPr>
      </w:pPr>
      <w:bookmarkStart w:id="206" w:name="_Toc8003"/>
      <w:r>
        <w:rPr>
          <w:rFonts w:hint="eastAsia" w:asciiTheme="minorEastAsia" w:hAnsiTheme="minorEastAsia" w:eastAsiaTheme="minorEastAsia"/>
          <w:b/>
          <w:color w:val="auto"/>
          <w:sz w:val="28"/>
          <w:highlight w:val="none"/>
        </w:rPr>
        <w:t>第六章  响应文件格式</w:t>
      </w:r>
      <w:bookmarkEnd w:id="206"/>
    </w:p>
    <w:p w14:paraId="134C99D8">
      <w:pPr>
        <w:spacing w:line="500" w:lineRule="exact"/>
        <w:jc w:val="center"/>
        <w:outlineLvl w:val="1"/>
        <w:rPr>
          <w:rFonts w:asciiTheme="minorEastAsia" w:hAnsiTheme="minorEastAsia" w:eastAsiaTheme="minorEastAsia"/>
          <w:b/>
          <w:color w:val="auto"/>
          <w:sz w:val="32"/>
          <w:highlight w:val="none"/>
        </w:rPr>
      </w:pPr>
    </w:p>
    <w:p w14:paraId="3DE7D9A2">
      <w:pPr>
        <w:spacing w:line="900" w:lineRule="exact"/>
        <w:jc w:val="center"/>
        <w:rPr>
          <w:rFonts w:asciiTheme="minorEastAsia" w:hAnsiTheme="minorEastAsia" w:eastAsiaTheme="minorEastAsia"/>
          <w:b/>
          <w:color w:val="auto"/>
          <w:sz w:val="72"/>
          <w:highlight w:val="none"/>
        </w:rPr>
      </w:pPr>
    </w:p>
    <w:p w14:paraId="34812D00">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5A0C6809">
      <w:pPr>
        <w:spacing w:line="900" w:lineRule="exact"/>
        <w:jc w:val="center"/>
        <w:rPr>
          <w:rFonts w:asciiTheme="minorEastAsia" w:hAnsiTheme="minorEastAsia" w:eastAsiaTheme="minorEastAsia"/>
          <w:b/>
          <w:color w:val="auto"/>
          <w:sz w:val="72"/>
          <w:highlight w:val="none"/>
        </w:rPr>
      </w:pPr>
    </w:p>
    <w:p w14:paraId="09492ECA">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1901C52B">
      <w:pPr>
        <w:spacing w:line="900" w:lineRule="exact"/>
        <w:jc w:val="center"/>
        <w:rPr>
          <w:rFonts w:asciiTheme="minorEastAsia" w:hAnsiTheme="minorEastAsia" w:eastAsiaTheme="minorEastAsia"/>
          <w:b/>
          <w:color w:val="auto"/>
          <w:sz w:val="72"/>
          <w:highlight w:val="none"/>
        </w:rPr>
      </w:pPr>
    </w:p>
    <w:p w14:paraId="309B2787">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55ABECDD">
      <w:pPr>
        <w:spacing w:line="900" w:lineRule="exact"/>
        <w:jc w:val="center"/>
        <w:rPr>
          <w:rFonts w:asciiTheme="minorEastAsia" w:hAnsiTheme="minorEastAsia" w:eastAsiaTheme="minorEastAsia"/>
          <w:b/>
          <w:color w:val="auto"/>
          <w:sz w:val="72"/>
          <w:highlight w:val="none"/>
        </w:rPr>
      </w:pPr>
    </w:p>
    <w:p w14:paraId="39B2E5C8">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6E6326DD">
      <w:pPr>
        <w:spacing w:after="156" w:afterLines="50"/>
        <w:jc w:val="center"/>
        <w:rPr>
          <w:rFonts w:asciiTheme="minorEastAsia" w:hAnsiTheme="minorEastAsia" w:eastAsiaTheme="minorEastAsia"/>
          <w:b/>
          <w:color w:val="auto"/>
          <w:sz w:val="72"/>
          <w:highlight w:val="none"/>
        </w:rPr>
      </w:pPr>
    </w:p>
    <w:p w14:paraId="4A813AA4">
      <w:pPr>
        <w:spacing w:after="156" w:afterLines="50" w:line="500" w:lineRule="exact"/>
        <w:jc w:val="center"/>
        <w:rPr>
          <w:rFonts w:asciiTheme="minorEastAsia" w:hAnsiTheme="minorEastAsia" w:eastAsiaTheme="minorEastAsia"/>
          <w:b/>
          <w:color w:val="auto"/>
          <w:sz w:val="28"/>
          <w:szCs w:val="28"/>
          <w:highlight w:val="none"/>
        </w:rPr>
      </w:pPr>
    </w:p>
    <w:p w14:paraId="18DE3DBC">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0DD29652">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093C976">
      <w:pPr>
        <w:spacing w:after="156" w:afterLines="50" w:line="500" w:lineRule="exact"/>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162956C5">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207" w:name="_Toc25570"/>
      <w:bookmarkStart w:id="208" w:name="_Toc3338"/>
      <w:bookmarkStart w:id="209" w:name="_Toc22772"/>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207"/>
      <w:bookmarkEnd w:id="208"/>
      <w:bookmarkEnd w:id="209"/>
    </w:p>
    <w:p w14:paraId="67FEE3D4">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018EE5F7">
      <w:pPr>
        <w:spacing w:line="360" w:lineRule="auto"/>
        <w:jc w:val="center"/>
        <w:outlineLvl w:val="1"/>
        <w:rPr>
          <w:rFonts w:asciiTheme="minorEastAsia" w:hAnsiTheme="minorEastAsia" w:eastAsiaTheme="minorEastAsia"/>
          <w:b/>
          <w:color w:val="auto"/>
          <w:sz w:val="24"/>
          <w:highlight w:val="none"/>
        </w:rPr>
      </w:pPr>
      <w:bookmarkStart w:id="210" w:name="_Toc6837"/>
      <w:bookmarkStart w:id="211" w:name="_Toc20957"/>
      <w:bookmarkStart w:id="212" w:name="_Toc17899"/>
      <w:r>
        <w:rPr>
          <w:rFonts w:hint="eastAsia" w:asciiTheme="minorEastAsia" w:hAnsiTheme="minorEastAsia" w:eastAsiaTheme="minorEastAsia"/>
          <w:b/>
          <w:color w:val="auto"/>
          <w:sz w:val="24"/>
          <w:highlight w:val="none"/>
        </w:rPr>
        <w:t>一、报价表格式</w:t>
      </w:r>
      <w:bookmarkEnd w:id="210"/>
      <w:bookmarkEnd w:id="211"/>
      <w:bookmarkEnd w:id="212"/>
    </w:p>
    <w:p w14:paraId="3B4AB18B">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0BD4C3A7">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p>
    <w:p w14:paraId="7CC6A818">
      <w:pPr>
        <w:snapToGrid w:val="0"/>
        <w:spacing w:after="156" w:afterLines="50" w:line="360" w:lineRule="auto"/>
        <w:jc w:val="left"/>
        <w:rPr>
          <w:rFonts w:ascii="宋体" w:hAnsi="宋体" w:eastAsia="宋体"/>
          <w:b/>
          <w:bCs/>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6DE0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0CC3245B">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33BA5CDF">
            <w:pPr>
              <w:spacing w:line="360" w:lineRule="auto"/>
              <w:rPr>
                <w:rFonts w:ascii="宋体" w:hAnsi="宋体" w:eastAsia="宋体"/>
                <w:b/>
                <w:color w:val="auto"/>
                <w:sz w:val="24"/>
                <w:highlight w:val="none"/>
              </w:rPr>
            </w:pPr>
          </w:p>
        </w:tc>
      </w:tr>
      <w:tr w14:paraId="03CA7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3891143">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lang w:eastAsia="zh-CN"/>
              </w:rPr>
              <w:t>磋商</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3F0E805E">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FC1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7622938">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188E238B">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5D94B84D">
            <w:pPr>
              <w:snapToGrid w:val="0"/>
              <w:spacing w:line="360" w:lineRule="auto"/>
              <w:rPr>
                <w:rFonts w:ascii="宋体" w:hAnsi="宋体" w:eastAsia="宋体"/>
                <w:color w:val="auto"/>
                <w:sz w:val="24"/>
                <w:szCs w:val="28"/>
                <w:highlight w:val="none"/>
              </w:rPr>
            </w:pPr>
          </w:p>
          <w:p w14:paraId="267CBB46">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536B4DFA">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p w14:paraId="2CFC9906">
            <w:pPr>
              <w:snapToGrid w:val="0"/>
              <w:spacing w:line="360" w:lineRule="auto"/>
              <w:rPr>
                <w:rFonts w:ascii="宋体" w:hAnsi="宋体" w:eastAsia="宋体"/>
                <w:b/>
                <w:color w:val="auto"/>
                <w:sz w:val="24"/>
                <w:highlight w:val="none"/>
              </w:rPr>
            </w:pPr>
          </w:p>
        </w:tc>
      </w:tr>
      <w:tr w14:paraId="6745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239DC0E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0CB06EB">
            <w:pPr>
              <w:spacing w:line="360" w:lineRule="auto"/>
              <w:rPr>
                <w:rFonts w:ascii="宋体" w:hAnsi="宋体" w:eastAsia="宋体"/>
                <w:b/>
                <w:color w:val="auto"/>
                <w:sz w:val="24"/>
                <w:highlight w:val="none"/>
              </w:rPr>
            </w:pPr>
          </w:p>
        </w:tc>
      </w:tr>
    </w:tbl>
    <w:p w14:paraId="33CB26AA">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A02626F">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47A6B4E0">
      <w:pPr>
        <w:snapToGrid w:val="0"/>
        <w:spacing w:line="360" w:lineRule="auto"/>
        <w:ind w:left="5550"/>
        <w:jc w:val="center"/>
        <w:rPr>
          <w:rFonts w:ascii="宋体" w:hAnsi="宋体" w:eastAsia="宋体"/>
          <w:color w:val="auto"/>
          <w:sz w:val="24"/>
          <w:highlight w:val="none"/>
        </w:rPr>
      </w:pPr>
      <w:r>
        <w:rPr>
          <w:rFonts w:hint="eastAsia" w:ascii="宋体" w:hAnsi="宋体" w:eastAsia="宋体"/>
          <w:color w:val="auto"/>
          <w:sz w:val="24"/>
          <w:highlight w:val="none"/>
        </w:rPr>
        <w:t xml:space="preserve"> </w:t>
      </w:r>
    </w:p>
    <w:p w14:paraId="64AB3353">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60133F43">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w:t>
      </w:r>
      <w:r>
        <w:rPr>
          <w:rFonts w:hint="eastAsia" w:ascii="宋体" w:hAnsi="宋体" w:eastAsia="宋体"/>
          <w:b/>
          <w:bCs/>
          <w:color w:val="auto"/>
          <w:sz w:val="24"/>
          <w:szCs w:val="28"/>
          <w:highlight w:val="none"/>
          <w:lang w:eastAsia="zh-CN"/>
        </w:rPr>
        <w:t>磋商</w:t>
      </w:r>
      <w:r>
        <w:rPr>
          <w:rFonts w:hint="eastAsia" w:ascii="宋体" w:hAnsi="宋体" w:eastAsia="宋体"/>
          <w:b/>
          <w:bCs/>
          <w:color w:val="auto"/>
          <w:sz w:val="24"/>
          <w:szCs w:val="28"/>
          <w:highlight w:val="none"/>
        </w:rPr>
        <w:t>文件要求包括了服务及其配套的设计、采购、制造、检测、试验、运输、保险、仓储、税费以及现场落地、安装及安装耗损、调试、培训、技术服务（包括技术资料、图纸的提供）质保期内的售后服务保障等所有费用。</w:t>
      </w:r>
    </w:p>
    <w:p w14:paraId="7E6295AE">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796A19AB">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3.表中大写金额与小写金额不一致的，以大写金额为准。</w:t>
      </w:r>
    </w:p>
    <w:p w14:paraId="082C81AD">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12B6B50A">
      <w:pPr>
        <w:spacing w:line="360" w:lineRule="auto"/>
        <w:jc w:val="center"/>
        <w:outlineLvl w:val="1"/>
        <w:rPr>
          <w:rFonts w:asciiTheme="minorEastAsia" w:hAnsiTheme="minorEastAsia" w:eastAsiaTheme="minorEastAsia"/>
          <w:b/>
          <w:color w:val="auto"/>
          <w:sz w:val="24"/>
          <w:highlight w:val="none"/>
        </w:rPr>
      </w:pPr>
      <w:bookmarkStart w:id="213" w:name="_Toc15369"/>
      <w:bookmarkStart w:id="214" w:name="_Toc16379"/>
      <w:bookmarkStart w:id="215" w:name="_Toc30153"/>
      <w:r>
        <w:rPr>
          <w:rFonts w:hint="eastAsia" w:asciiTheme="minorEastAsia" w:hAnsiTheme="minorEastAsia" w:eastAsiaTheme="minorEastAsia"/>
          <w:b/>
          <w:color w:val="auto"/>
          <w:sz w:val="24"/>
          <w:highlight w:val="none"/>
        </w:rPr>
        <w:t>二、最后承诺报价表</w:t>
      </w:r>
      <w:bookmarkEnd w:id="213"/>
      <w:bookmarkEnd w:id="214"/>
      <w:bookmarkEnd w:id="215"/>
    </w:p>
    <w:p w14:paraId="351B0E56">
      <w:pPr>
        <w:spacing w:before="156" w:beforeLines="50" w:after="156" w:afterLines="50" w:line="360" w:lineRule="auto"/>
        <w:ind w:firstLine="236" w:firstLineChars="98"/>
        <w:jc w:val="center"/>
        <w:rPr>
          <w:rFonts w:ascii="宋体" w:hAnsi="宋体" w:eastAsia="宋体"/>
          <w:b/>
          <w:color w:val="auto"/>
          <w:sz w:val="24"/>
          <w:szCs w:val="28"/>
          <w:highlight w:val="none"/>
        </w:rPr>
      </w:pPr>
      <w:r>
        <w:rPr>
          <w:rFonts w:hint="eastAsia" w:ascii="宋体" w:hAnsi="宋体" w:eastAsia="宋体"/>
          <w:b/>
          <w:color w:val="auto"/>
          <w:sz w:val="24"/>
          <w:szCs w:val="28"/>
          <w:highlight w:val="none"/>
        </w:rPr>
        <w:t>（第</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rPr>
        <w:t>次报价书）</w:t>
      </w:r>
    </w:p>
    <w:p w14:paraId="3C6EA395">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p>
    <w:p w14:paraId="78683BF0">
      <w:pPr>
        <w:snapToGrid w:val="0"/>
        <w:spacing w:after="156" w:afterLines="50" w:line="360" w:lineRule="auto"/>
        <w:jc w:val="left"/>
        <w:rPr>
          <w:rFonts w:ascii="宋体" w:hAnsi="宋体" w:eastAsia="宋体"/>
          <w:b/>
          <w:bCs/>
          <w:color w:val="auto"/>
          <w:sz w:val="24"/>
          <w:szCs w:val="28"/>
          <w:highlight w:val="non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2689F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908FBB7">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14B99B0B">
            <w:pPr>
              <w:spacing w:line="360" w:lineRule="auto"/>
              <w:rPr>
                <w:rFonts w:ascii="宋体" w:hAnsi="宋体" w:eastAsia="宋体"/>
                <w:b/>
                <w:color w:val="auto"/>
                <w:sz w:val="24"/>
                <w:highlight w:val="none"/>
              </w:rPr>
            </w:pPr>
          </w:p>
        </w:tc>
      </w:tr>
      <w:tr w14:paraId="5E87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F14A9CE">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lang w:eastAsia="zh-CN"/>
              </w:rPr>
              <w:t>磋商</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0FA90083">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478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27F02CFE">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13B1131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5CEE0A7C">
            <w:pPr>
              <w:snapToGrid w:val="0"/>
              <w:spacing w:line="360" w:lineRule="auto"/>
              <w:rPr>
                <w:rFonts w:ascii="宋体" w:hAnsi="宋体" w:eastAsia="宋体"/>
                <w:color w:val="auto"/>
                <w:sz w:val="24"/>
                <w:szCs w:val="28"/>
                <w:highlight w:val="none"/>
              </w:rPr>
            </w:pPr>
          </w:p>
          <w:p w14:paraId="67E39F5D">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48995EA9">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p w14:paraId="777503AD">
            <w:pPr>
              <w:snapToGrid w:val="0"/>
              <w:spacing w:line="360" w:lineRule="auto"/>
              <w:rPr>
                <w:rFonts w:ascii="宋体" w:hAnsi="宋体" w:eastAsia="宋体"/>
                <w:b/>
                <w:color w:val="auto"/>
                <w:sz w:val="24"/>
                <w:highlight w:val="none"/>
              </w:rPr>
            </w:pPr>
          </w:p>
        </w:tc>
      </w:tr>
      <w:tr w14:paraId="13E7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443" w:type="pct"/>
            <w:vAlign w:val="center"/>
          </w:tcPr>
          <w:p w14:paraId="2F25B4A8">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429BDA5F">
            <w:pPr>
              <w:spacing w:line="360" w:lineRule="auto"/>
              <w:rPr>
                <w:rFonts w:ascii="宋体" w:hAnsi="宋体" w:eastAsia="宋体"/>
                <w:b/>
                <w:color w:val="auto"/>
                <w:sz w:val="24"/>
                <w:highlight w:val="none"/>
              </w:rPr>
            </w:pPr>
            <w:r>
              <w:rPr>
                <w:rFonts w:hint="eastAsia" w:ascii="宋体" w:hAnsi="宋体" w:eastAsia="宋体"/>
                <w:b/>
                <w:i/>
                <w:color w:val="auto"/>
                <w:sz w:val="24"/>
                <w:highlight w:val="none"/>
              </w:rPr>
              <w:t>（此处可补充</w:t>
            </w:r>
            <w:r>
              <w:rPr>
                <w:rFonts w:hint="eastAsia" w:ascii="宋体" w:hAnsi="宋体" w:eastAsia="宋体"/>
                <w:b/>
                <w:i/>
                <w:color w:val="auto"/>
                <w:sz w:val="24"/>
                <w:highlight w:val="none"/>
                <w:lang w:eastAsia="zh-CN"/>
              </w:rPr>
              <w:t>磋商</w:t>
            </w:r>
            <w:r>
              <w:rPr>
                <w:rFonts w:hint="eastAsia" w:ascii="宋体" w:hAnsi="宋体" w:eastAsia="宋体"/>
                <w:b/>
                <w:i/>
                <w:color w:val="auto"/>
                <w:sz w:val="24"/>
                <w:highlight w:val="none"/>
              </w:rPr>
              <w:t>小组根据与供应商</w:t>
            </w:r>
            <w:r>
              <w:rPr>
                <w:rFonts w:hint="eastAsia" w:ascii="宋体" w:hAnsi="宋体" w:eastAsia="宋体"/>
                <w:b/>
                <w:i/>
                <w:color w:val="auto"/>
                <w:sz w:val="24"/>
                <w:highlight w:val="none"/>
                <w:lang w:eastAsia="zh-CN"/>
              </w:rPr>
              <w:t>磋商</w:t>
            </w:r>
            <w:r>
              <w:rPr>
                <w:rFonts w:hint="eastAsia" w:ascii="宋体" w:hAnsi="宋体" w:eastAsia="宋体"/>
                <w:b/>
                <w:i/>
                <w:color w:val="auto"/>
                <w:sz w:val="24"/>
                <w:highlight w:val="none"/>
              </w:rPr>
              <w:t>情况变动的</w:t>
            </w:r>
            <w:r>
              <w:rPr>
                <w:rFonts w:hint="eastAsia" w:ascii="宋体" w:hAnsi="宋体" w:eastAsia="宋体"/>
                <w:b/>
                <w:i/>
                <w:color w:val="auto"/>
                <w:sz w:val="24"/>
                <w:highlight w:val="none"/>
                <w:lang w:eastAsia="zh-CN"/>
              </w:rPr>
              <w:t>磋商</w:t>
            </w:r>
            <w:r>
              <w:rPr>
                <w:rFonts w:hint="eastAsia" w:ascii="宋体" w:hAnsi="宋体" w:eastAsia="宋体"/>
                <w:b/>
                <w:i/>
                <w:color w:val="auto"/>
                <w:sz w:val="24"/>
                <w:highlight w:val="none"/>
              </w:rPr>
              <w:t>文件的内容，包括采购需求中的技术、服务要求以及合同草案条款。）</w:t>
            </w:r>
          </w:p>
        </w:tc>
      </w:tr>
      <w:tr w14:paraId="64D4A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443" w:type="pct"/>
            <w:vAlign w:val="center"/>
          </w:tcPr>
          <w:p w14:paraId="76A1A5A4">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lang w:eastAsia="zh-CN"/>
              </w:rPr>
              <w:t>磋商</w:t>
            </w:r>
            <w:r>
              <w:rPr>
                <w:rFonts w:hint="eastAsia" w:ascii="宋体" w:hAnsi="宋体" w:eastAsia="宋体"/>
                <w:b/>
                <w:bCs/>
                <w:color w:val="auto"/>
                <w:sz w:val="24"/>
                <w:szCs w:val="28"/>
                <w:highlight w:val="none"/>
              </w:rPr>
              <w:t>小组</w:t>
            </w:r>
            <w:r>
              <w:rPr>
                <w:rFonts w:ascii="宋体" w:hAnsi="宋体" w:eastAsia="宋体"/>
                <w:b/>
                <w:bCs/>
                <w:color w:val="auto"/>
                <w:sz w:val="24"/>
                <w:szCs w:val="28"/>
                <w:highlight w:val="none"/>
              </w:rPr>
              <w:t>签字</w:t>
            </w:r>
          </w:p>
        </w:tc>
        <w:tc>
          <w:tcPr>
            <w:tcW w:w="3557" w:type="pct"/>
          </w:tcPr>
          <w:p w14:paraId="588B7771">
            <w:pPr>
              <w:spacing w:line="360" w:lineRule="auto"/>
              <w:rPr>
                <w:rFonts w:ascii="宋体" w:hAnsi="宋体" w:eastAsia="宋体"/>
                <w:b/>
                <w:color w:val="auto"/>
                <w:sz w:val="24"/>
                <w:highlight w:val="none"/>
              </w:rPr>
            </w:pPr>
          </w:p>
        </w:tc>
      </w:tr>
    </w:tbl>
    <w:p w14:paraId="53CB338B">
      <w:pPr>
        <w:spacing w:line="360" w:lineRule="auto"/>
        <w:ind w:firstLine="1680" w:firstLineChars="700"/>
        <w:jc w:val="left"/>
        <w:rPr>
          <w:rFonts w:ascii="宋体" w:hAnsi="宋体" w:eastAsia="宋体"/>
          <w:color w:val="auto"/>
          <w:sz w:val="24"/>
          <w:highlight w:val="none"/>
        </w:rPr>
      </w:pPr>
      <w:r>
        <w:rPr>
          <w:rFonts w:hint="eastAsia" w:ascii="宋体" w:hAnsi="宋体" w:eastAsia="宋体"/>
          <w:color w:val="auto"/>
          <w:sz w:val="24"/>
          <w:highlight w:val="none"/>
        </w:rPr>
        <w:t xml:space="preserve">           供应商公章或授权代表签字：</w:t>
      </w:r>
      <w:r>
        <w:rPr>
          <w:rFonts w:hint="eastAsia" w:ascii="宋体" w:hAnsi="宋体" w:eastAsia="宋体"/>
          <w:color w:val="auto"/>
          <w:sz w:val="24"/>
          <w:highlight w:val="none"/>
          <w:u w:val="single"/>
        </w:rPr>
        <w:t xml:space="preserve">                  </w:t>
      </w:r>
    </w:p>
    <w:p w14:paraId="44AA4F8E">
      <w:pPr>
        <w:spacing w:line="360" w:lineRule="auto"/>
        <w:ind w:firstLine="4200" w:firstLineChars="1750"/>
        <w:jc w:val="left"/>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DF8A827">
      <w:pPr>
        <w:adjustRightInd w:val="0"/>
        <w:snapToGrid w:val="0"/>
        <w:spacing w:line="360" w:lineRule="auto"/>
        <w:ind w:firstLine="482" w:firstLineChars="200"/>
        <w:rPr>
          <w:rFonts w:ascii="宋体" w:hAnsi="宋体" w:eastAsia="宋体"/>
          <w:b/>
          <w:bCs/>
          <w:color w:val="auto"/>
          <w:sz w:val="24"/>
          <w:szCs w:val="28"/>
          <w:highlight w:val="none"/>
        </w:rPr>
      </w:pPr>
    </w:p>
    <w:p w14:paraId="579F3BEE">
      <w:pPr>
        <w:adjustRightInd w:val="0"/>
        <w:snapToGrid w:val="0"/>
        <w:spacing w:line="360" w:lineRule="auto"/>
        <w:ind w:firstLine="482" w:firstLineChars="200"/>
        <w:rPr>
          <w:rFonts w:ascii="宋体" w:hAnsi="宋体" w:eastAsia="宋体"/>
          <w:bCs/>
          <w:color w:val="auto"/>
          <w:sz w:val="24"/>
          <w:szCs w:val="28"/>
          <w:highlight w:val="none"/>
        </w:rPr>
      </w:pPr>
      <w:r>
        <w:rPr>
          <w:rFonts w:hint="eastAsia" w:ascii="宋体" w:hAnsi="宋体" w:eastAsia="宋体"/>
          <w:b/>
          <w:bCs/>
          <w:color w:val="auto"/>
          <w:sz w:val="24"/>
          <w:szCs w:val="28"/>
          <w:highlight w:val="none"/>
        </w:rPr>
        <w:t>注：1.</w:t>
      </w:r>
      <w:r>
        <w:rPr>
          <w:rFonts w:hint="eastAsia" w:ascii="宋体" w:hAnsi="宋体" w:eastAsia="宋体"/>
          <w:b/>
          <w:bCs/>
          <w:color w:val="auto"/>
          <w:sz w:val="24"/>
          <w:highlight w:val="none"/>
        </w:rPr>
        <w:t>本页《报价表》由供应商在接到报价通知后依据</w:t>
      </w:r>
      <w:r>
        <w:rPr>
          <w:rFonts w:hint="eastAsia" w:ascii="宋体" w:hAnsi="宋体" w:eastAsia="宋体"/>
          <w:b/>
          <w:bCs/>
          <w:color w:val="auto"/>
          <w:sz w:val="24"/>
          <w:highlight w:val="none"/>
          <w:lang w:eastAsia="zh-CN"/>
        </w:rPr>
        <w:t>磋商</w:t>
      </w:r>
      <w:r>
        <w:rPr>
          <w:rFonts w:hint="eastAsia" w:ascii="宋体" w:hAnsi="宋体" w:eastAsia="宋体"/>
          <w:b/>
          <w:bCs/>
          <w:color w:val="auto"/>
          <w:sz w:val="24"/>
          <w:highlight w:val="none"/>
        </w:rPr>
        <w:t>情况填写,并在规定时间内提交。</w:t>
      </w:r>
      <w:r>
        <w:rPr>
          <w:rFonts w:hint="eastAsia" w:ascii="宋体" w:hAnsi="宋体" w:eastAsia="宋体"/>
          <w:bCs/>
          <w:color w:val="auto"/>
          <w:sz w:val="24"/>
          <w:szCs w:val="28"/>
          <w:highlight w:val="none"/>
        </w:rPr>
        <w:t>考虑</w:t>
      </w:r>
      <w:r>
        <w:rPr>
          <w:rFonts w:hint="eastAsia" w:ascii="宋体" w:hAnsi="宋体" w:eastAsia="宋体"/>
          <w:bCs/>
          <w:color w:val="auto"/>
          <w:sz w:val="24"/>
          <w:szCs w:val="28"/>
          <w:highlight w:val="none"/>
          <w:lang w:eastAsia="zh-CN"/>
        </w:rPr>
        <w:t>磋商</w:t>
      </w:r>
      <w:r>
        <w:rPr>
          <w:rFonts w:hint="eastAsia" w:ascii="宋体" w:hAnsi="宋体" w:eastAsia="宋体"/>
          <w:bCs/>
          <w:color w:val="auto"/>
          <w:sz w:val="24"/>
          <w:szCs w:val="28"/>
          <w:highlight w:val="none"/>
        </w:rPr>
        <w:t>报价的方便，供应商在填写最后承诺报价后，（第一次报价-最后承诺报价）除以第一次报价后得出的优惠率视同为需求表中全部分项设备、工程量或服务的优惠浮动值（特定分项优惠除外），而不考虑措施项目清单和规费税金清单的金额改变。此优惠率调整原则适用于合同内价格的计算及项目增减、变更时价格的计算。</w:t>
      </w:r>
    </w:p>
    <w:p w14:paraId="5DA8E911">
      <w:pPr>
        <w:adjustRightInd w:val="0"/>
        <w:snapToGrid w:val="0"/>
        <w:spacing w:line="360" w:lineRule="auto"/>
        <w:ind w:firstLine="482" w:firstLineChars="200"/>
        <w:rPr>
          <w:rFonts w:asciiTheme="minorEastAsia" w:hAnsiTheme="minorEastAsia" w:eastAsiaTheme="minorEastAsia"/>
          <w:b/>
          <w:color w:val="auto"/>
          <w:sz w:val="24"/>
          <w:highlight w:val="none"/>
        </w:rPr>
      </w:pPr>
      <w:r>
        <w:rPr>
          <w:rFonts w:hint="eastAsia" w:ascii="宋体" w:hAnsi="宋体" w:eastAsia="宋体"/>
          <w:b/>
          <w:color w:val="auto"/>
          <w:sz w:val="24"/>
          <w:szCs w:val="28"/>
          <w:highlight w:val="none"/>
        </w:rPr>
        <w:t>2.表中大写金额与小写金额不一致的，以大写金额为准。</w:t>
      </w:r>
      <w:r>
        <w:rPr>
          <w:rFonts w:asciiTheme="minorEastAsia" w:hAnsiTheme="minorEastAsia" w:eastAsiaTheme="minorEastAsia"/>
          <w:b/>
          <w:color w:val="auto"/>
          <w:sz w:val="24"/>
          <w:highlight w:val="none"/>
        </w:rPr>
        <w:br w:type="page"/>
      </w:r>
    </w:p>
    <w:p w14:paraId="6724FA79">
      <w:pPr>
        <w:spacing w:line="360" w:lineRule="auto"/>
        <w:jc w:val="center"/>
        <w:outlineLvl w:val="1"/>
        <w:rPr>
          <w:rFonts w:asciiTheme="minorEastAsia" w:hAnsiTheme="minorEastAsia" w:eastAsiaTheme="minorEastAsia"/>
          <w:b/>
          <w:color w:val="auto"/>
          <w:sz w:val="24"/>
          <w:highlight w:val="none"/>
        </w:rPr>
      </w:pPr>
      <w:bookmarkStart w:id="216" w:name="_Toc10325"/>
      <w:bookmarkStart w:id="217" w:name="_Toc17915"/>
      <w:bookmarkStart w:id="218" w:name="_Toc9887"/>
      <w:r>
        <w:rPr>
          <w:rFonts w:hint="eastAsia" w:asciiTheme="minorEastAsia" w:hAnsiTheme="minorEastAsia" w:eastAsiaTheme="minorEastAsia"/>
          <w:b/>
          <w:color w:val="auto"/>
          <w:sz w:val="24"/>
          <w:highlight w:val="none"/>
        </w:rPr>
        <w:t>三、</w:t>
      </w:r>
      <w:r>
        <w:rPr>
          <w:rFonts w:hint="eastAsia" w:asciiTheme="minorEastAsia" w:hAnsiTheme="minorEastAsia" w:eastAsiaTheme="minorEastAsia"/>
          <w:b/>
          <w:color w:val="auto"/>
          <w:sz w:val="24"/>
          <w:highlight w:val="none"/>
          <w:lang w:eastAsia="zh-CN"/>
        </w:rPr>
        <w:t>磋商</w:t>
      </w:r>
      <w:r>
        <w:rPr>
          <w:rFonts w:hint="eastAsia" w:asciiTheme="minorEastAsia" w:hAnsiTheme="minorEastAsia" w:eastAsiaTheme="minorEastAsia"/>
          <w:b/>
          <w:color w:val="auto"/>
          <w:sz w:val="24"/>
          <w:highlight w:val="none"/>
        </w:rPr>
        <w:t>响应函</w:t>
      </w:r>
      <w:bookmarkEnd w:id="216"/>
      <w:bookmarkEnd w:id="217"/>
      <w:bookmarkEnd w:id="218"/>
    </w:p>
    <w:p w14:paraId="07AFE7F1">
      <w:pPr>
        <w:pStyle w:val="14"/>
        <w:spacing w:line="360" w:lineRule="auto"/>
        <w:rPr>
          <w:rFonts w:hint="eastAsia" w:ascii="宋体" w:hAnsi="宋体" w:eastAsia="宋体"/>
          <w:color w:val="auto"/>
          <w:sz w:val="24"/>
          <w:highlight w:val="none"/>
          <w:lang w:eastAsia="zh-CN"/>
        </w:rPr>
      </w:pPr>
      <w:r>
        <w:rPr>
          <w:rFonts w:hint="eastAsia" w:ascii="宋体" w:hAnsi="宋体"/>
          <w:color w:val="auto"/>
          <w:sz w:val="24"/>
          <w:highlight w:val="none"/>
        </w:rPr>
        <w:t>致：</w:t>
      </w:r>
      <w:r>
        <w:rPr>
          <w:rFonts w:hint="eastAsia" w:ascii="宋体" w:hAnsi="宋体"/>
          <w:color w:val="auto"/>
          <w:sz w:val="24"/>
          <w:szCs w:val="24"/>
          <w:highlight w:val="none"/>
          <w:u w:val="none"/>
          <w:lang w:eastAsia="zh-CN"/>
        </w:rPr>
        <w:t>采购人</w:t>
      </w:r>
    </w:p>
    <w:p w14:paraId="4489D106">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19" w:name="_Hlk44287576"/>
      <w:r>
        <w:rPr>
          <w:rFonts w:hint="eastAsia" w:ascii="宋体" w:hAnsi="宋体" w:eastAsia="宋体"/>
          <w:color w:val="auto"/>
          <w:sz w:val="24"/>
          <w:highlight w:val="none"/>
        </w:rPr>
        <w:t>竞争性</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公告和</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邀请</w:t>
      </w:r>
      <w:bookmarkEnd w:id="219"/>
      <w:r>
        <w:rPr>
          <w:rFonts w:hint="eastAsia" w:ascii="宋体" w:hAnsi="宋体" w:eastAsia="宋体"/>
          <w:color w:val="auto"/>
          <w:sz w:val="24"/>
          <w:highlight w:val="none"/>
        </w:rPr>
        <w:t>，我方兹宣布同意如下：</w:t>
      </w:r>
    </w:p>
    <w:p w14:paraId="311987F1">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1.我方根据本次</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626C1E6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文件，包括</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文件，并对</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文件各项条款、规定及要求均无异议。</w:t>
      </w:r>
    </w:p>
    <w:p w14:paraId="5C1F84B2">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日期起遵循本</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文件，并在供应商须知规定的</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有效期之前均具有约束力。</w:t>
      </w:r>
    </w:p>
    <w:p w14:paraId="4E1F79DE">
      <w:pPr>
        <w:spacing w:line="360" w:lineRule="auto"/>
        <w:ind w:firstLine="480" w:firstLineChars="200"/>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有关的任何证据、数据或资料。</w:t>
      </w:r>
    </w:p>
    <w:p w14:paraId="20B2BD3A">
      <w:pPr>
        <w:spacing w:line="360" w:lineRule="auto"/>
        <w:ind w:firstLine="3600" w:firstLineChars="1500"/>
        <w:rPr>
          <w:rFonts w:ascii="宋体" w:hAnsi="宋体" w:eastAsia="宋体"/>
          <w:color w:val="auto"/>
          <w:sz w:val="24"/>
          <w:highlight w:val="none"/>
        </w:rPr>
      </w:pPr>
    </w:p>
    <w:p w14:paraId="6A6270E4">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供应商电子签章：</w:t>
      </w:r>
      <w:r>
        <w:rPr>
          <w:rFonts w:hint="eastAsia" w:ascii="宋体" w:hAnsi="宋体" w:eastAsia="宋体"/>
          <w:color w:val="auto"/>
          <w:sz w:val="24"/>
          <w:highlight w:val="none"/>
          <w:u w:val="single"/>
        </w:rPr>
        <w:t xml:space="preserve">                      </w:t>
      </w:r>
    </w:p>
    <w:p w14:paraId="19671720">
      <w:pPr>
        <w:spacing w:line="360" w:lineRule="auto"/>
        <w:ind w:firstLine="3600" w:firstLineChars="15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1EFAD9CE">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58827BE5">
      <w:pPr>
        <w:spacing w:line="360" w:lineRule="auto"/>
        <w:jc w:val="center"/>
        <w:outlineLvl w:val="1"/>
        <w:rPr>
          <w:rFonts w:hint="eastAsia" w:asciiTheme="minorEastAsia" w:hAnsiTheme="minorEastAsia" w:eastAsiaTheme="minorEastAsia"/>
          <w:b/>
          <w:color w:val="auto"/>
          <w:sz w:val="24"/>
          <w:highlight w:val="none"/>
        </w:rPr>
      </w:pPr>
      <w:bookmarkStart w:id="220" w:name="_Toc15886"/>
      <w:bookmarkStart w:id="221" w:name="_Toc14638"/>
      <w:bookmarkStart w:id="222" w:name="_Toc27496"/>
      <w:r>
        <w:rPr>
          <w:rFonts w:hint="eastAsia" w:asciiTheme="minorEastAsia" w:hAnsiTheme="minorEastAsia" w:eastAsiaTheme="minorEastAsia"/>
          <w:b/>
          <w:color w:val="auto"/>
          <w:sz w:val="24"/>
          <w:highlight w:val="none"/>
        </w:rPr>
        <w:t>四、</w:t>
      </w:r>
      <w:bookmarkEnd w:id="220"/>
      <w:r>
        <w:rPr>
          <w:rFonts w:hint="eastAsia" w:asciiTheme="minorEastAsia" w:hAnsiTheme="minorEastAsia" w:eastAsiaTheme="minorEastAsia"/>
          <w:b/>
          <w:color w:val="auto"/>
          <w:sz w:val="24"/>
          <w:highlight w:val="none"/>
          <w:lang w:val="en-US" w:eastAsia="zh-CN"/>
        </w:rPr>
        <w:t>供应商资格声明书</w:t>
      </w:r>
      <w:bookmarkEnd w:id="221"/>
      <w:bookmarkEnd w:id="222"/>
      <w:r>
        <w:rPr>
          <w:rFonts w:hint="eastAsia" w:asciiTheme="minorEastAsia" w:hAnsiTheme="minorEastAsia" w:eastAsiaTheme="minorEastAsia"/>
          <w:b/>
          <w:color w:val="auto"/>
          <w:sz w:val="24"/>
          <w:highlight w:val="none"/>
          <w:lang w:val="en-US" w:eastAsia="zh-CN"/>
        </w:rPr>
        <w:t xml:space="preserve"> </w:t>
      </w:r>
    </w:p>
    <w:p w14:paraId="6BF49868">
      <w:pPr>
        <w:pStyle w:val="14"/>
        <w:spacing w:line="360" w:lineRule="auto"/>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eastAsia="zh-CN"/>
        </w:rPr>
        <w:t>采购人</w:t>
      </w:r>
    </w:p>
    <w:p w14:paraId="2AE7DF1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在参与本次项目磋商中，我单位承诺：</w:t>
      </w:r>
    </w:p>
    <w:p w14:paraId="51286D5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395C5D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405FB23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2AC53C9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A59E3E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1C60F48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3"/>
        <w:gridCol w:w="4445"/>
        <w:gridCol w:w="2841"/>
      </w:tblGrid>
      <w:tr w14:paraId="3C1A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2B1DD7AF">
            <w:pPr>
              <w:keepNext w:val="0"/>
              <w:keepLines w:val="0"/>
              <w:pageBreakBefore w:val="0"/>
              <w:widowControl/>
              <w:suppressLineNumbers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608" w:type="pct"/>
            <w:vAlign w:val="center"/>
          </w:tcPr>
          <w:p w14:paraId="6E50B841">
            <w:pPr>
              <w:pStyle w:val="8"/>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1667" w:type="pct"/>
            <w:vAlign w:val="center"/>
          </w:tcPr>
          <w:p w14:paraId="74238D29">
            <w:pPr>
              <w:pStyle w:val="8"/>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3E43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4DDA8A03">
            <w:pPr>
              <w:pStyle w:val="8"/>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608" w:type="pct"/>
            <w:vAlign w:val="center"/>
          </w:tcPr>
          <w:p w14:paraId="77A0C06D">
            <w:pPr>
              <w:pStyle w:val="8"/>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04F43285">
            <w:pPr>
              <w:pStyle w:val="8"/>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65B7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4577C7B8">
            <w:pPr>
              <w:pStyle w:val="8"/>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608" w:type="pct"/>
            <w:vAlign w:val="center"/>
          </w:tcPr>
          <w:p w14:paraId="19BBCB29">
            <w:pPr>
              <w:pStyle w:val="8"/>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74DBF82F">
            <w:pPr>
              <w:pStyle w:val="8"/>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5175FF4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2E065DD6">
      <w:pPr>
        <w:spacing w:line="360" w:lineRule="auto"/>
        <w:ind w:firstLine="4800" w:firstLineChars="2000"/>
        <w:rPr>
          <w:rFonts w:hint="eastAsia" w:ascii="宋体" w:hAnsi="宋体" w:eastAsia="宋体"/>
          <w:color w:val="auto"/>
          <w:sz w:val="24"/>
          <w:highlight w:val="none"/>
          <w:lang w:val="en-US" w:eastAsia="zh-CN"/>
        </w:rPr>
      </w:pPr>
    </w:p>
    <w:p w14:paraId="2D1A2963">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ECA7BDC">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FF3FD38">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1DD1878B">
      <w:pPr>
        <w:spacing w:line="360" w:lineRule="auto"/>
        <w:jc w:val="center"/>
        <w:outlineLvl w:val="1"/>
        <w:rPr>
          <w:rFonts w:asciiTheme="minorEastAsia" w:hAnsiTheme="minorEastAsia" w:eastAsiaTheme="minorEastAsia"/>
          <w:b/>
          <w:color w:val="auto"/>
          <w:sz w:val="24"/>
          <w:highlight w:val="none"/>
        </w:rPr>
      </w:pPr>
      <w:bookmarkStart w:id="223" w:name="_Toc19132"/>
      <w:bookmarkStart w:id="224" w:name="_Toc3425"/>
      <w:bookmarkStart w:id="225" w:name="_Toc11565"/>
      <w:r>
        <w:rPr>
          <w:rFonts w:hint="eastAsia" w:asciiTheme="minorEastAsia" w:hAnsiTheme="minorEastAsia" w:eastAsiaTheme="minorEastAsia"/>
          <w:b/>
          <w:color w:val="auto"/>
          <w:sz w:val="24"/>
          <w:highlight w:val="none"/>
        </w:rPr>
        <w:t>五、授权书</w:t>
      </w:r>
      <w:bookmarkEnd w:id="223"/>
      <w:bookmarkEnd w:id="224"/>
      <w:bookmarkEnd w:id="225"/>
    </w:p>
    <w:p w14:paraId="32C32CF6">
      <w:pPr>
        <w:pStyle w:val="13"/>
        <w:snapToGrid w:val="0"/>
        <w:spacing w:line="360" w:lineRule="auto"/>
        <w:ind w:firstLine="480" w:firstLineChars="200"/>
        <w:jc w:val="left"/>
        <w:rPr>
          <w:rFonts w:hAnsi="宋体" w:eastAsia="宋体"/>
          <w:color w:val="auto"/>
          <w:sz w:val="24"/>
          <w:szCs w:val="28"/>
          <w:highlight w:val="none"/>
        </w:rPr>
      </w:pPr>
    </w:p>
    <w:p w14:paraId="5D55D2B7">
      <w:pPr>
        <w:pStyle w:val="13"/>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w:t>
      </w:r>
      <w:r>
        <w:rPr>
          <w:rFonts w:hint="eastAsia" w:hAnsi="宋体" w:eastAsia="宋体"/>
          <w:color w:val="auto"/>
          <w:sz w:val="24"/>
          <w:szCs w:val="28"/>
          <w:highlight w:val="none"/>
          <w:lang w:eastAsia="zh-CN"/>
        </w:rPr>
        <w:t>磋商</w:t>
      </w:r>
      <w:r>
        <w:rPr>
          <w:rFonts w:hint="eastAsia" w:hAnsi="宋体" w:eastAsia="宋体"/>
          <w:color w:val="auto"/>
          <w:sz w:val="24"/>
          <w:szCs w:val="28"/>
          <w:highlight w:val="none"/>
        </w:rPr>
        <w:t>过程的一切事宜，包括但不限于：提交响应文件、参与</w:t>
      </w:r>
      <w:r>
        <w:rPr>
          <w:rFonts w:hint="eastAsia" w:hAnsi="宋体" w:eastAsia="宋体"/>
          <w:color w:val="auto"/>
          <w:sz w:val="24"/>
          <w:szCs w:val="28"/>
          <w:highlight w:val="none"/>
          <w:lang w:eastAsia="zh-CN"/>
        </w:rPr>
        <w:t>磋商</w:t>
      </w:r>
      <w:r>
        <w:rPr>
          <w:rFonts w:hint="eastAsia" w:hAnsi="宋体" w:eastAsia="宋体"/>
          <w:color w:val="auto"/>
          <w:sz w:val="24"/>
          <w:szCs w:val="28"/>
          <w:highlight w:val="none"/>
        </w:rPr>
        <w:t>、签约等。供应商授权代表在采购活动过程中所签署的一切文件和处理与之有关的一切事务，本公司均予以认可并对此承担责任。供应商授权代表无转委托权。特此授权。</w:t>
      </w:r>
    </w:p>
    <w:p w14:paraId="1D63DA42">
      <w:pPr>
        <w:pStyle w:val="13"/>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27F5E5AD">
      <w:pPr>
        <w:pStyle w:val="13"/>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718F3306">
      <w:pPr>
        <w:pStyle w:val="13"/>
        <w:snapToGrid w:val="0"/>
        <w:spacing w:line="360" w:lineRule="auto"/>
        <w:ind w:firstLine="480" w:firstLineChars="200"/>
        <w:jc w:val="left"/>
        <w:rPr>
          <w:rFonts w:hAnsi="宋体" w:eastAsia="宋体"/>
          <w:color w:val="auto"/>
          <w:sz w:val="24"/>
          <w:highlight w:val="none"/>
        </w:rPr>
      </w:pPr>
    </w:p>
    <w:p w14:paraId="7A78606B">
      <w:pPr>
        <w:pStyle w:val="13"/>
        <w:snapToGrid w:val="0"/>
        <w:spacing w:line="360" w:lineRule="auto"/>
        <w:ind w:firstLine="480" w:firstLineChars="200"/>
        <w:jc w:val="left"/>
        <w:rPr>
          <w:rFonts w:hAnsi="宋体" w:eastAsia="宋体"/>
          <w:color w:val="auto"/>
          <w:sz w:val="24"/>
          <w:highlight w:val="none"/>
        </w:rPr>
      </w:pPr>
    </w:p>
    <w:p w14:paraId="5F23DFAD">
      <w:pPr>
        <w:pStyle w:val="13"/>
        <w:snapToGrid w:val="0"/>
        <w:spacing w:line="360" w:lineRule="auto"/>
        <w:ind w:firstLine="480" w:firstLineChars="200"/>
        <w:jc w:val="left"/>
        <w:rPr>
          <w:rFonts w:hAnsi="宋体" w:eastAsia="宋体"/>
          <w:color w:val="auto"/>
          <w:sz w:val="24"/>
          <w:highlight w:val="none"/>
        </w:rPr>
      </w:pPr>
    </w:p>
    <w:p w14:paraId="5A1E0FEB">
      <w:pPr>
        <w:pStyle w:val="13"/>
        <w:snapToGrid w:val="0"/>
        <w:spacing w:line="360" w:lineRule="auto"/>
        <w:ind w:firstLine="480" w:firstLineChars="200"/>
        <w:jc w:val="left"/>
        <w:rPr>
          <w:rFonts w:hAnsi="宋体" w:eastAsia="宋体"/>
          <w:color w:val="auto"/>
          <w:sz w:val="24"/>
          <w:highlight w:val="none"/>
        </w:rPr>
      </w:pPr>
    </w:p>
    <w:p w14:paraId="1E6A3619">
      <w:pPr>
        <w:pStyle w:val="13"/>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01BA743C">
      <w:pPr>
        <w:pStyle w:val="13"/>
        <w:snapToGrid w:val="0"/>
        <w:spacing w:line="360" w:lineRule="auto"/>
        <w:ind w:firstLine="480" w:firstLineChars="200"/>
        <w:jc w:val="left"/>
        <w:rPr>
          <w:rFonts w:hAnsi="宋体" w:eastAsia="宋体"/>
          <w:color w:val="auto"/>
          <w:sz w:val="24"/>
          <w:szCs w:val="28"/>
          <w:highlight w:val="none"/>
        </w:rPr>
      </w:pPr>
    </w:p>
    <w:p w14:paraId="52CF4CE5">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2B3F4A39">
      <w:pPr>
        <w:spacing w:line="360" w:lineRule="auto"/>
        <w:rPr>
          <w:rFonts w:ascii="宋体" w:hAnsi="宋体" w:eastAsia="宋体"/>
          <w:color w:val="auto"/>
          <w:sz w:val="24"/>
          <w:szCs w:val="28"/>
          <w:highlight w:val="none"/>
        </w:rPr>
      </w:pPr>
    </w:p>
    <w:p w14:paraId="7026FE8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0CBD013">
      <w:pPr>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70C43667">
      <w:pPr>
        <w:spacing w:line="360" w:lineRule="auto"/>
        <w:rPr>
          <w:rFonts w:ascii="宋体" w:hAnsi="宋体" w:eastAsia="宋体"/>
          <w:color w:val="auto"/>
          <w:sz w:val="24"/>
          <w:szCs w:val="28"/>
          <w:highlight w:val="none"/>
        </w:rPr>
      </w:pPr>
    </w:p>
    <w:p w14:paraId="28920CE5">
      <w:pPr>
        <w:spacing w:line="360" w:lineRule="auto"/>
        <w:rPr>
          <w:rFonts w:ascii="宋体" w:hAnsi="宋体" w:eastAsia="宋体"/>
          <w:color w:val="auto"/>
          <w:sz w:val="24"/>
          <w:szCs w:val="28"/>
          <w:highlight w:val="none"/>
        </w:rPr>
      </w:pPr>
    </w:p>
    <w:p w14:paraId="0D71002E">
      <w:pPr>
        <w:pStyle w:val="13"/>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74997C13">
      <w:pPr>
        <w:pStyle w:val="13"/>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002A762C">
      <w:pPr>
        <w:pStyle w:val="13"/>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2.法定代表人参加</w:t>
      </w:r>
      <w:r>
        <w:rPr>
          <w:rFonts w:hint="eastAsia" w:hAnsi="宋体" w:eastAsia="宋体"/>
          <w:color w:val="auto"/>
          <w:sz w:val="24"/>
          <w:szCs w:val="28"/>
          <w:highlight w:val="none"/>
          <w:lang w:eastAsia="zh-CN"/>
        </w:rPr>
        <w:t>磋商</w:t>
      </w:r>
      <w:r>
        <w:rPr>
          <w:rFonts w:hint="eastAsia" w:hAnsi="宋体" w:eastAsia="宋体"/>
          <w:color w:val="auto"/>
          <w:sz w:val="24"/>
          <w:szCs w:val="28"/>
          <w:highlight w:val="none"/>
        </w:rPr>
        <w:t>的无需提供授权书，仅提供身份证明扫描件。</w:t>
      </w:r>
    </w:p>
    <w:p w14:paraId="579939CD">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62942CEB">
      <w:pPr>
        <w:spacing w:line="360" w:lineRule="auto"/>
        <w:jc w:val="center"/>
        <w:outlineLvl w:val="1"/>
        <w:rPr>
          <w:rFonts w:asciiTheme="minorEastAsia" w:hAnsiTheme="minorEastAsia" w:eastAsiaTheme="minorEastAsia"/>
          <w:b/>
          <w:color w:val="auto"/>
          <w:sz w:val="24"/>
          <w:highlight w:val="none"/>
        </w:rPr>
      </w:pPr>
      <w:bookmarkStart w:id="226" w:name="_Toc1834"/>
      <w:bookmarkStart w:id="227" w:name="_Toc31060"/>
      <w:bookmarkStart w:id="228" w:name="_Toc9820"/>
      <w:r>
        <w:rPr>
          <w:rFonts w:hint="eastAsia" w:asciiTheme="minorEastAsia" w:hAnsiTheme="minorEastAsia" w:eastAsiaTheme="minorEastAsia"/>
          <w:b/>
          <w:color w:val="auto"/>
          <w:sz w:val="24"/>
          <w:highlight w:val="none"/>
        </w:rPr>
        <w:t>六、</w:t>
      </w:r>
      <w:bookmarkEnd w:id="226"/>
      <w:bookmarkEnd w:id="227"/>
      <w:r>
        <w:rPr>
          <w:rFonts w:hint="eastAsia" w:asciiTheme="minorEastAsia" w:hAnsiTheme="minorEastAsia" w:eastAsiaTheme="minorEastAsia"/>
          <w:b/>
          <w:color w:val="auto"/>
          <w:sz w:val="24"/>
          <w:highlight w:val="none"/>
          <w:lang w:val="en-US" w:eastAsia="zh-CN"/>
        </w:rPr>
        <w:t>磋商</w:t>
      </w:r>
      <w:r>
        <w:rPr>
          <w:rFonts w:hint="eastAsia" w:asciiTheme="minorEastAsia" w:hAnsiTheme="minorEastAsia" w:eastAsiaTheme="minorEastAsia"/>
          <w:b/>
          <w:color w:val="auto"/>
          <w:sz w:val="24"/>
          <w:highlight w:val="none"/>
        </w:rPr>
        <w:t>响应表</w:t>
      </w:r>
      <w:bookmarkEnd w:id="228"/>
    </w:p>
    <w:p w14:paraId="2C9E2B2A">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3F18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749380D3">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7865E9A1">
            <w:pPr>
              <w:pStyle w:val="1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15FFBCFE">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磋商文件</w:t>
            </w:r>
            <w:r>
              <w:rPr>
                <w:rFonts w:hint="eastAsia" w:cs="Wingdings" w:asciiTheme="minorEastAsia" w:hAnsiTheme="minorEastAsia"/>
                <w:b/>
                <w:color w:val="auto"/>
                <w:sz w:val="24"/>
                <w:highlight w:val="none"/>
              </w:rPr>
              <w:t>要求</w:t>
            </w:r>
          </w:p>
        </w:tc>
        <w:tc>
          <w:tcPr>
            <w:tcW w:w="1510" w:type="pct"/>
            <w:vAlign w:val="center"/>
          </w:tcPr>
          <w:p w14:paraId="0E109D37">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供应商</w:t>
            </w:r>
            <w:r>
              <w:rPr>
                <w:rFonts w:hint="eastAsia" w:cs="Wingdings" w:asciiTheme="minorEastAsia" w:hAnsiTheme="minorEastAsia"/>
                <w:b/>
                <w:color w:val="auto"/>
                <w:sz w:val="24"/>
                <w:highlight w:val="none"/>
              </w:rPr>
              <w:t>承诺</w:t>
            </w:r>
          </w:p>
        </w:tc>
        <w:tc>
          <w:tcPr>
            <w:tcW w:w="475" w:type="pct"/>
            <w:vAlign w:val="center"/>
          </w:tcPr>
          <w:p w14:paraId="6FD74FCA">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712A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5C78AE3">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ED66A87">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3B2D3DE9">
            <w:pPr>
              <w:jc w:val="center"/>
              <w:rPr>
                <w:rFonts w:asciiTheme="minorEastAsia" w:hAnsiTheme="minorEastAsia" w:eastAsiaTheme="minorEastAsia"/>
                <w:color w:val="auto"/>
                <w:sz w:val="24"/>
                <w:highlight w:val="none"/>
              </w:rPr>
            </w:pPr>
          </w:p>
        </w:tc>
        <w:tc>
          <w:tcPr>
            <w:tcW w:w="1510" w:type="pct"/>
            <w:vAlign w:val="center"/>
          </w:tcPr>
          <w:p w14:paraId="1807A68F">
            <w:pPr>
              <w:jc w:val="center"/>
              <w:rPr>
                <w:rFonts w:asciiTheme="minorEastAsia" w:hAnsiTheme="minorEastAsia" w:eastAsiaTheme="minorEastAsia"/>
                <w:color w:val="auto"/>
                <w:sz w:val="24"/>
                <w:highlight w:val="none"/>
              </w:rPr>
            </w:pPr>
          </w:p>
        </w:tc>
        <w:tc>
          <w:tcPr>
            <w:tcW w:w="475" w:type="pct"/>
            <w:vAlign w:val="center"/>
          </w:tcPr>
          <w:p w14:paraId="6BD57C49">
            <w:pPr>
              <w:jc w:val="center"/>
              <w:rPr>
                <w:rFonts w:asciiTheme="minorEastAsia" w:hAnsiTheme="minorEastAsia" w:eastAsiaTheme="minorEastAsia"/>
                <w:color w:val="auto"/>
                <w:sz w:val="24"/>
                <w:highlight w:val="none"/>
              </w:rPr>
            </w:pPr>
          </w:p>
        </w:tc>
      </w:tr>
      <w:tr w14:paraId="1AF4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E08B0C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3E78AE0B">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5CF165D5">
            <w:pPr>
              <w:jc w:val="center"/>
              <w:rPr>
                <w:rFonts w:asciiTheme="minorEastAsia" w:hAnsiTheme="minorEastAsia" w:eastAsiaTheme="minorEastAsia"/>
                <w:color w:val="auto"/>
                <w:sz w:val="24"/>
                <w:highlight w:val="none"/>
              </w:rPr>
            </w:pPr>
          </w:p>
        </w:tc>
        <w:tc>
          <w:tcPr>
            <w:tcW w:w="1510" w:type="pct"/>
            <w:vAlign w:val="center"/>
          </w:tcPr>
          <w:p w14:paraId="560F3CA7">
            <w:pPr>
              <w:jc w:val="center"/>
              <w:rPr>
                <w:rFonts w:asciiTheme="minorEastAsia" w:hAnsiTheme="minorEastAsia" w:eastAsiaTheme="minorEastAsia"/>
                <w:color w:val="auto"/>
                <w:sz w:val="24"/>
                <w:highlight w:val="none"/>
              </w:rPr>
            </w:pPr>
          </w:p>
        </w:tc>
        <w:tc>
          <w:tcPr>
            <w:tcW w:w="475" w:type="pct"/>
            <w:vAlign w:val="center"/>
          </w:tcPr>
          <w:p w14:paraId="6C0C46EC">
            <w:pPr>
              <w:jc w:val="center"/>
              <w:rPr>
                <w:rFonts w:asciiTheme="minorEastAsia" w:hAnsiTheme="minorEastAsia" w:eastAsiaTheme="minorEastAsia"/>
                <w:color w:val="auto"/>
                <w:sz w:val="24"/>
                <w:highlight w:val="none"/>
              </w:rPr>
            </w:pPr>
          </w:p>
        </w:tc>
      </w:tr>
      <w:tr w14:paraId="15D7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FBC723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464F9DB1">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1A7778F3">
            <w:pPr>
              <w:jc w:val="center"/>
              <w:rPr>
                <w:rFonts w:asciiTheme="minorEastAsia" w:hAnsiTheme="minorEastAsia" w:eastAsiaTheme="minorEastAsia"/>
                <w:color w:val="auto"/>
                <w:sz w:val="24"/>
                <w:highlight w:val="none"/>
              </w:rPr>
            </w:pPr>
          </w:p>
        </w:tc>
        <w:tc>
          <w:tcPr>
            <w:tcW w:w="1510" w:type="pct"/>
            <w:vAlign w:val="center"/>
          </w:tcPr>
          <w:p w14:paraId="25940818">
            <w:pPr>
              <w:pStyle w:val="42"/>
              <w:jc w:val="center"/>
              <w:rPr>
                <w:rFonts w:asciiTheme="minorEastAsia" w:hAnsiTheme="minorEastAsia" w:eastAsiaTheme="minorEastAsia"/>
                <w:color w:val="auto"/>
                <w:highlight w:val="none"/>
              </w:rPr>
            </w:pPr>
          </w:p>
        </w:tc>
        <w:tc>
          <w:tcPr>
            <w:tcW w:w="475" w:type="pct"/>
            <w:vAlign w:val="center"/>
          </w:tcPr>
          <w:p w14:paraId="7624A959">
            <w:pPr>
              <w:jc w:val="center"/>
              <w:rPr>
                <w:rFonts w:asciiTheme="minorEastAsia" w:hAnsiTheme="minorEastAsia" w:eastAsiaTheme="minorEastAsia"/>
                <w:color w:val="auto"/>
                <w:sz w:val="24"/>
                <w:highlight w:val="none"/>
              </w:rPr>
            </w:pPr>
          </w:p>
        </w:tc>
      </w:tr>
      <w:tr w14:paraId="2A11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13C94B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3403F15A">
            <w:pPr>
              <w:jc w:val="center"/>
              <w:rPr>
                <w:rFonts w:ascii="宋体" w:hAnsi="宋体" w:eastAsia="宋体"/>
                <w:color w:val="auto"/>
                <w:sz w:val="24"/>
                <w:highlight w:val="none"/>
              </w:rPr>
            </w:pPr>
          </w:p>
        </w:tc>
        <w:tc>
          <w:tcPr>
            <w:tcW w:w="1465" w:type="pct"/>
            <w:vAlign w:val="center"/>
          </w:tcPr>
          <w:p w14:paraId="06AE9161">
            <w:pPr>
              <w:jc w:val="center"/>
              <w:rPr>
                <w:rFonts w:asciiTheme="minorEastAsia" w:hAnsiTheme="minorEastAsia" w:eastAsiaTheme="minorEastAsia"/>
                <w:color w:val="auto"/>
                <w:sz w:val="24"/>
                <w:highlight w:val="none"/>
              </w:rPr>
            </w:pPr>
          </w:p>
        </w:tc>
        <w:tc>
          <w:tcPr>
            <w:tcW w:w="1510" w:type="pct"/>
            <w:vAlign w:val="center"/>
          </w:tcPr>
          <w:p w14:paraId="080F1D39">
            <w:pPr>
              <w:jc w:val="center"/>
              <w:rPr>
                <w:rFonts w:asciiTheme="minorEastAsia" w:hAnsiTheme="minorEastAsia" w:eastAsiaTheme="minorEastAsia"/>
                <w:color w:val="auto"/>
                <w:sz w:val="24"/>
                <w:highlight w:val="none"/>
              </w:rPr>
            </w:pPr>
          </w:p>
        </w:tc>
        <w:tc>
          <w:tcPr>
            <w:tcW w:w="475" w:type="pct"/>
            <w:vAlign w:val="center"/>
          </w:tcPr>
          <w:p w14:paraId="64135235">
            <w:pPr>
              <w:jc w:val="center"/>
              <w:rPr>
                <w:rFonts w:asciiTheme="minorEastAsia" w:hAnsiTheme="minorEastAsia" w:eastAsiaTheme="minorEastAsia"/>
                <w:color w:val="auto"/>
                <w:sz w:val="24"/>
                <w:highlight w:val="none"/>
              </w:rPr>
            </w:pPr>
          </w:p>
        </w:tc>
      </w:tr>
    </w:tbl>
    <w:p w14:paraId="64D1D212">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083E33B">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0AB03C6A">
      <w:pPr>
        <w:pStyle w:val="14"/>
        <w:spacing w:line="360" w:lineRule="auto"/>
        <w:rPr>
          <w:rFonts w:hint="eastAsia" w:asciiTheme="minorEastAsia" w:hAnsiTheme="minorEastAsia" w:eastAsiaTheme="minorEastAsia"/>
          <w:b/>
          <w:color w:val="auto"/>
          <w:sz w:val="24"/>
          <w:highlight w:val="none"/>
        </w:rPr>
      </w:pPr>
      <w:r>
        <w:rPr>
          <w:rFonts w:asciiTheme="minorEastAsia" w:hAnsiTheme="minorEastAsia" w:eastAsiaTheme="minorEastAsia"/>
          <w:b w:val="0"/>
          <w:color w:val="auto"/>
          <w:sz w:val="24"/>
          <w:highlight w:val="none"/>
        </w:rPr>
        <w:br w:type="page"/>
      </w:r>
      <w:bookmarkStart w:id="229" w:name="_Toc25481"/>
      <w:bookmarkStart w:id="230" w:name="_Toc19745"/>
    </w:p>
    <w:p w14:paraId="318A05C3">
      <w:pPr>
        <w:spacing w:line="360" w:lineRule="auto"/>
        <w:jc w:val="center"/>
        <w:outlineLvl w:val="1"/>
        <w:rPr>
          <w:rFonts w:asciiTheme="minorEastAsia" w:hAnsiTheme="minorEastAsia" w:eastAsiaTheme="minorEastAsia"/>
          <w:b/>
          <w:color w:val="auto"/>
          <w:sz w:val="24"/>
          <w:highlight w:val="none"/>
        </w:rPr>
      </w:pPr>
      <w:bookmarkStart w:id="231" w:name="_Toc3979"/>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229"/>
      <w:bookmarkEnd w:id="230"/>
      <w:bookmarkEnd w:id="231"/>
    </w:p>
    <w:p w14:paraId="6669B1E9">
      <w:pPr>
        <w:spacing w:line="360" w:lineRule="auto"/>
        <w:rPr>
          <w:rFonts w:asciiTheme="minorEastAsia" w:hAnsiTheme="minorEastAsia" w:eastAsiaTheme="minorEastAsia"/>
          <w:b/>
          <w:bCs/>
          <w:color w:val="auto"/>
          <w:sz w:val="24"/>
          <w:highlight w:val="none"/>
        </w:rPr>
      </w:pPr>
    </w:p>
    <w:p w14:paraId="267C55CE">
      <w:pPr>
        <w:spacing w:line="360" w:lineRule="auto"/>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1883608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3F4A1AE5">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F4233F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050329E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5B179EC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39A629D2">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18AB591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DFA401B">
      <w:pPr>
        <w:spacing w:line="360" w:lineRule="auto"/>
        <w:rPr>
          <w:rFonts w:asciiTheme="minorEastAsia" w:hAnsiTheme="minorEastAsia" w:eastAsiaTheme="minorEastAsia"/>
          <w:bCs/>
          <w:color w:val="auto"/>
          <w:sz w:val="24"/>
          <w:highlight w:val="none"/>
        </w:rPr>
      </w:pPr>
    </w:p>
    <w:p w14:paraId="0373F970">
      <w:pPr>
        <w:spacing w:line="360" w:lineRule="auto"/>
        <w:rPr>
          <w:rFonts w:asciiTheme="minorEastAsia" w:hAnsiTheme="minorEastAsia" w:eastAsiaTheme="minorEastAsia"/>
          <w:bCs/>
          <w:color w:val="auto"/>
          <w:sz w:val="24"/>
          <w:highlight w:val="none"/>
        </w:rPr>
      </w:pPr>
    </w:p>
    <w:p w14:paraId="0081138C">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3B407AEF">
      <w:pPr>
        <w:spacing w:line="360" w:lineRule="auto"/>
        <w:ind w:firstLine="4320" w:firstLineChars="1800"/>
        <w:rPr>
          <w:rFonts w:asciiTheme="minorEastAsia" w:hAnsiTheme="minorEastAsia" w:eastAsiaTheme="minorEastAsia"/>
          <w:b/>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56D365B">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1C1AFFA2">
      <w:pPr>
        <w:spacing w:line="360" w:lineRule="auto"/>
        <w:jc w:val="center"/>
        <w:outlineLvl w:val="1"/>
        <w:rPr>
          <w:rFonts w:asciiTheme="minorEastAsia" w:hAnsiTheme="minorEastAsia" w:eastAsiaTheme="minorEastAsia"/>
          <w:b/>
          <w:color w:val="auto"/>
          <w:sz w:val="24"/>
          <w:highlight w:val="none"/>
        </w:rPr>
      </w:pPr>
      <w:bookmarkStart w:id="232" w:name="_Toc16463"/>
      <w:bookmarkStart w:id="233" w:name="_Toc22724"/>
      <w:bookmarkStart w:id="234" w:name="_Toc15523"/>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、其他相关证明材料</w:t>
      </w:r>
      <w:bookmarkEnd w:id="232"/>
      <w:bookmarkEnd w:id="233"/>
      <w:bookmarkEnd w:id="234"/>
    </w:p>
    <w:p w14:paraId="75652554">
      <w:pPr>
        <w:tabs>
          <w:tab w:val="left" w:pos="4620"/>
        </w:tabs>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提供符合</w:t>
      </w:r>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邀请、采购需求及评审方法和标准规定的相关证明文件。</w:t>
      </w:r>
    </w:p>
    <w:p w14:paraId="7A1D9304">
      <w:pPr>
        <w:spacing w:line="360" w:lineRule="auto"/>
        <w:ind w:firstLine="435"/>
        <w:rPr>
          <w:rFonts w:asciiTheme="minorEastAsia" w:hAnsiTheme="minorEastAsia" w:eastAsiaTheme="minorEastAsia"/>
          <w:color w:val="auto"/>
          <w:sz w:val="24"/>
          <w:highlight w:val="none"/>
        </w:rPr>
      </w:pPr>
    </w:p>
    <w:p w14:paraId="740142A0">
      <w:pPr>
        <w:spacing w:line="360" w:lineRule="auto"/>
        <w:ind w:firstLine="480" w:firstLineChars="200"/>
        <w:rPr>
          <w:rFonts w:asciiTheme="minorEastAsia" w:hAnsiTheme="minorEastAsia" w:eastAsiaTheme="minorEastAsia"/>
          <w:color w:val="auto"/>
          <w:sz w:val="24"/>
          <w:highlight w:val="none"/>
        </w:rPr>
      </w:pPr>
    </w:p>
    <w:p w14:paraId="09C0E084">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2B69A2D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456921F0">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65E03937">
      <w:pPr>
        <w:spacing w:line="360" w:lineRule="auto"/>
        <w:jc w:val="center"/>
        <w:outlineLvl w:val="0"/>
        <w:rPr>
          <w:rFonts w:ascii="宋体" w:hAnsi="宋体" w:eastAsia="宋体"/>
          <w:b/>
          <w:bCs/>
          <w:color w:val="auto"/>
          <w:sz w:val="28"/>
          <w:highlight w:val="none"/>
        </w:rPr>
      </w:pPr>
      <w:bookmarkStart w:id="235" w:name="_Toc60608832"/>
      <w:bookmarkStart w:id="236" w:name="_Toc29710"/>
      <w:bookmarkStart w:id="237" w:name="_Toc32294"/>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 xml:space="preserve">章 </w:t>
      </w:r>
      <w:r>
        <w:rPr>
          <w:rFonts w:hint="eastAsia"/>
          <w:b/>
          <w:bCs/>
          <w:color w:val="auto"/>
          <w:sz w:val="28"/>
          <w:highlight w:val="none"/>
        </w:rPr>
        <w:t xml:space="preserve"> </w:t>
      </w:r>
      <w:bookmarkEnd w:id="235"/>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36"/>
      <w:bookmarkEnd w:id="237"/>
    </w:p>
    <w:p w14:paraId="7C4B627F">
      <w:pPr>
        <w:spacing w:line="360" w:lineRule="auto"/>
        <w:jc w:val="center"/>
        <w:outlineLvl w:val="1"/>
        <w:rPr>
          <w:rFonts w:ascii="仿宋" w:hAnsi="仿宋" w:eastAsia="仿宋" w:cs="仿宋"/>
          <w:b/>
          <w:bCs/>
          <w:color w:val="auto"/>
          <w:sz w:val="32"/>
          <w:szCs w:val="44"/>
          <w:highlight w:val="none"/>
        </w:rPr>
      </w:pPr>
      <w:bookmarkStart w:id="238" w:name="_Toc20859"/>
      <w:bookmarkStart w:id="239" w:name="_Toc29598"/>
      <w:bookmarkStart w:id="240" w:name="_Toc15965"/>
      <w:r>
        <w:rPr>
          <w:rFonts w:hint="eastAsia" w:ascii="仿宋" w:hAnsi="仿宋" w:eastAsia="仿宋" w:cs="仿宋"/>
          <w:b/>
          <w:bCs/>
          <w:color w:val="auto"/>
          <w:sz w:val="32"/>
          <w:szCs w:val="44"/>
          <w:highlight w:val="none"/>
        </w:rPr>
        <w:t>询问函范本</w:t>
      </w:r>
      <w:bookmarkEnd w:id="238"/>
      <w:bookmarkEnd w:id="239"/>
      <w:bookmarkEnd w:id="240"/>
    </w:p>
    <w:p w14:paraId="0BE32D8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75EC6FD8">
      <w:pPr>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113A189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118F176D">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241" w:name="_Toc11974"/>
      <w:bookmarkStart w:id="242" w:name="_Toc11903"/>
      <w:bookmarkStart w:id="243" w:name="_Toc29988"/>
      <w:r>
        <w:rPr>
          <w:rFonts w:hint="eastAsia" w:cs="仿宋" w:asciiTheme="minorEastAsia" w:hAnsiTheme="minorEastAsia" w:eastAsiaTheme="minorEastAsia"/>
          <w:color w:val="auto"/>
          <w:sz w:val="24"/>
          <w:szCs w:val="24"/>
          <w:highlight w:val="none"/>
        </w:rPr>
        <w:t>一、(事项一)</w:t>
      </w:r>
      <w:bookmarkEnd w:id="241"/>
      <w:bookmarkEnd w:id="242"/>
      <w:bookmarkEnd w:id="243"/>
    </w:p>
    <w:p w14:paraId="6DDE80C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565C58F3">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D0A74B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6BD94C39">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244" w:name="_Toc31894"/>
      <w:bookmarkStart w:id="245" w:name="_Toc27617"/>
      <w:bookmarkStart w:id="246" w:name="_Toc2942"/>
      <w:r>
        <w:rPr>
          <w:rFonts w:hint="eastAsia" w:cs="仿宋" w:asciiTheme="minorEastAsia" w:hAnsiTheme="minorEastAsia" w:eastAsiaTheme="minorEastAsia"/>
          <w:color w:val="auto"/>
          <w:sz w:val="24"/>
          <w:szCs w:val="24"/>
          <w:highlight w:val="none"/>
        </w:rPr>
        <w:t>二、(事项二)</w:t>
      </w:r>
      <w:bookmarkEnd w:id="244"/>
      <w:bookmarkEnd w:id="245"/>
      <w:bookmarkEnd w:id="246"/>
    </w:p>
    <w:p w14:paraId="05D690F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4C0070D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1040752F">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23FEE589">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1EB8A379">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69C437D6">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7CC56292">
      <w:pPr>
        <w:jc w:val="center"/>
        <w:outlineLvl w:val="1"/>
        <w:rPr>
          <w:rFonts w:ascii="仿宋" w:hAnsi="仿宋" w:eastAsia="仿宋" w:cs="仿宋"/>
          <w:b/>
          <w:bCs/>
          <w:color w:val="auto"/>
          <w:sz w:val="32"/>
          <w:szCs w:val="44"/>
          <w:highlight w:val="none"/>
        </w:rPr>
      </w:pPr>
      <w:bookmarkStart w:id="247" w:name="_Toc26062"/>
      <w:bookmarkStart w:id="248" w:name="_Toc21647"/>
      <w:bookmarkStart w:id="249" w:name="_Toc22109"/>
      <w:r>
        <w:rPr>
          <w:rFonts w:hint="eastAsia" w:ascii="仿宋" w:hAnsi="仿宋" w:eastAsia="仿宋" w:cs="仿宋"/>
          <w:b/>
          <w:bCs/>
          <w:color w:val="auto"/>
          <w:sz w:val="32"/>
          <w:szCs w:val="44"/>
          <w:highlight w:val="none"/>
        </w:rPr>
        <w:t>质疑函范本</w:t>
      </w:r>
      <w:bookmarkEnd w:id="247"/>
      <w:bookmarkEnd w:id="248"/>
      <w:bookmarkEnd w:id="249"/>
    </w:p>
    <w:p w14:paraId="38EFD03D">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250" w:name="_Toc24159"/>
      <w:bookmarkStart w:id="251" w:name="_Toc29798"/>
      <w:bookmarkStart w:id="252" w:name="_Toc7607"/>
      <w:r>
        <w:rPr>
          <w:rFonts w:hint="eastAsia" w:cs="仿宋" w:asciiTheme="minorEastAsia" w:hAnsiTheme="minorEastAsia" w:eastAsiaTheme="minorEastAsia"/>
          <w:b/>
          <w:bCs/>
          <w:color w:val="auto"/>
          <w:sz w:val="24"/>
          <w:szCs w:val="24"/>
          <w:highlight w:val="none"/>
        </w:rPr>
        <w:t>一、质疑供应商基本信息</w:t>
      </w:r>
      <w:bookmarkEnd w:id="250"/>
      <w:bookmarkEnd w:id="251"/>
      <w:bookmarkEnd w:id="252"/>
    </w:p>
    <w:p w14:paraId="4037962F">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34759A1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50789E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46166F4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70D3020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3D212D01">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BFF127C">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253" w:name="_Toc23479"/>
      <w:bookmarkStart w:id="254" w:name="_Toc5445"/>
      <w:bookmarkStart w:id="255" w:name="_Toc20245"/>
      <w:r>
        <w:rPr>
          <w:rFonts w:hint="eastAsia" w:cs="仿宋" w:asciiTheme="minorEastAsia" w:hAnsiTheme="minorEastAsia" w:eastAsiaTheme="minorEastAsia"/>
          <w:b/>
          <w:bCs/>
          <w:color w:val="auto"/>
          <w:sz w:val="24"/>
          <w:szCs w:val="24"/>
          <w:highlight w:val="none"/>
        </w:rPr>
        <w:t>二、质疑项目基本情况</w:t>
      </w:r>
      <w:bookmarkEnd w:id="253"/>
      <w:bookmarkEnd w:id="254"/>
      <w:bookmarkEnd w:id="255"/>
    </w:p>
    <w:p w14:paraId="1D40793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3328CE1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345099C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12BBD1C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0F3D4C99">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256" w:name="_Toc26982"/>
      <w:bookmarkStart w:id="257" w:name="_Toc4390"/>
      <w:bookmarkStart w:id="258" w:name="_Toc5891"/>
      <w:r>
        <w:rPr>
          <w:rFonts w:hint="eastAsia" w:cs="仿宋" w:asciiTheme="minorEastAsia" w:hAnsiTheme="minorEastAsia" w:eastAsiaTheme="minorEastAsia"/>
          <w:b/>
          <w:bCs/>
          <w:color w:val="auto"/>
          <w:sz w:val="24"/>
          <w:szCs w:val="24"/>
          <w:highlight w:val="none"/>
        </w:rPr>
        <w:t>三、质疑事项具体内容</w:t>
      </w:r>
      <w:bookmarkEnd w:id="256"/>
      <w:bookmarkEnd w:id="257"/>
      <w:bookmarkEnd w:id="258"/>
    </w:p>
    <w:p w14:paraId="3C7FFE5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4873812F">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0A35598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A98804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718A945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ECFD87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18064CB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29B5477">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259" w:name="_Toc16039"/>
      <w:bookmarkStart w:id="260" w:name="_Toc9453"/>
      <w:bookmarkStart w:id="261" w:name="_Toc4710"/>
      <w:r>
        <w:rPr>
          <w:rFonts w:hint="eastAsia" w:cs="仿宋" w:asciiTheme="minorEastAsia" w:hAnsiTheme="minorEastAsia" w:eastAsiaTheme="minorEastAsia"/>
          <w:b/>
          <w:bCs/>
          <w:color w:val="auto"/>
          <w:sz w:val="24"/>
          <w:szCs w:val="24"/>
          <w:highlight w:val="none"/>
        </w:rPr>
        <w:t>四、与质疑事项相关的质疑请求</w:t>
      </w:r>
      <w:bookmarkEnd w:id="259"/>
      <w:bookmarkEnd w:id="260"/>
      <w:bookmarkEnd w:id="261"/>
    </w:p>
    <w:p w14:paraId="3020C53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1443CC29">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7FC4D735">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3DB1EDB6">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6839360F">
      <w:pPr>
        <w:outlineLvl w:val="0"/>
        <w:rPr>
          <w:rFonts w:asciiTheme="minorEastAsia" w:hAnsiTheme="minorEastAsia" w:eastAsiaTheme="minorEastAsia"/>
          <w:b/>
          <w:color w:val="auto"/>
          <w:sz w:val="28"/>
          <w:szCs w:val="32"/>
          <w:highlight w:val="none"/>
        </w:rPr>
      </w:pPr>
      <w:bookmarkStart w:id="262" w:name="_Toc6781"/>
      <w:bookmarkStart w:id="263" w:name="_Toc10345"/>
      <w:bookmarkStart w:id="264" w:name="_Toc28276"/>
      <w:r>
        <w:rPr>
          <w:rFonts w:hint="eastAsia" w:asciiTheme="minorEastAsia" w:hAnsiTheme="minorEastAsia" w:eastAsiaTheme="minorEastAsia"/>
          <w:b/>
          <w:color w:val="auto"/>
          <w:sz w:val="28"/>
          <w:szCs w:val="32"/>
          <w:highlight w:val="none"/>
        </w:rPr>
        <w:t>质疑函制作说明：</w:t>
      </w:r>
      <w:bookmarkEnd w:id="262"/>
      <w:bookmarkEnd w:id="263"/>
      <w:bookmarkEnd w:id="264"/>
    </w:p>
    <w:p w14:paraId="18CDD1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1E99B8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16F94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3F8813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9A3D2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68C3C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DE3C2">
    <w:pPr>
      <w:pStyle w:val="1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08092">
    <w:pPr>
      <w:spacing w:line="189" w:lineRule="auto"/>
      <w:ind w:left="4430"/>
      <w:rPr>
        <w:rFonts w:hint="eastAsia" w:cs="@仿宋_GB2312" w:asciiTheme="minorEastAsia" w:hAnsiTheme="minorEastAsia" w:eastAsiaTheme="minorEastAsia"/>
        <w:kern w:val="2"/>
        <w:sz w:val="21"/>
        <w:szCs w:val="21"/>
        <w:lang w:val="en-US" w:eastAsia="zh-CN" w:bidi="ar-SA"/>
      </w:rPr>
    </w:pPr>
    <w:r>
      <w:rPr>
        <w:rFonts w:hint="eastAsia" w:cs="@仿宋_GB2312" w:asciiTheme="minorEastAsia" w:hAnsiTheme="minorEastAsia" w:eastAsiaTheme="minorEastAsia"/>
        <w:kern w:val="2"/>
        <w:sz w:val="21"/>
        <w:szCs w:val="21"/>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3A0A8F">
                          <w:pPr>
                            <w:pStyle w:val="17"/>
                            <w:rPr>
                              <w:rFonts w:hint="eastAsia" w:ascii="宋体" w:hAnsi="宋体" w:eastAsia="宋体" w:cs="宋体"/>
                              <w:b/>
                              <w:bCs/>
                              <w:sz w:val="21"/>
                              <w:szCs w:val="21"/>
                            </w:rPr>
                          </w:pPr>
                          <w:r>
                            <w:rPr>
                              <w:rFonts w:hint="eastAsia" w:ascii="宋体" w:hAnsi="宋体" w:eastAsia="宋体" w:cs="宋体"/>
                              <w:b/>
                              <w:bCs/>
                              <w:sz w:val="21"/>
                              <w:szCs w:val="21"/>
                            </w:rPr>
                            <w:t xml:space="preserve">第 </w:t>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PAGE  \* MERGEFORMAT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4</w:t>
                          </w:r>
                          <w:r>
                            <w:rPr>
                              <w:rFonts w:hint="eastAsia" w:ascii="宋体" w:hAnsi="宋体" w:eastAsia="宋体" w:cs="宋体"/>
                              <w:b/>
                              <w:bCs/>
                              <w:sz w:val="21"/>
                              <w:szCs w:val="21"/>
                            </w:rPr>
                            <w:fldChar w:fldCharType="end"/>
                          </w:r>
                          <w:r>
                            <w:rPr>
                              <w:rFonts w:hint="eastAsia" w:ascii="宋体" w:hAnsi="宋体" w:eastAsia="宋体" w:cs="宋体"/>
                              <w:b/>
                              <w:bCs/>
                              <w:sz w:val="21"/>
                              <w:szCs w:val="21"/>
                            </w:rPr>
                            <w:t xml:space="preserve"> 页 共 </w:t>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NUMPAGES  \* MERGEFORMAT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64</w:t>
                          </w:r>
                          <w:r>
                            <w:rPr>
                              <w:rFonts w:hint="eastAsia" w:ascii="宋体" w:hAnsi="宋体" w:eastAsia="宋体" w:cs="宋体"/>
                              <w:b/>
                              <w:bCs/>
                              <w:sz w:val="21"/>
                              <w:szCs w:val="21"/>
                            </w:rPr>
                            <w:fldChar w:fldCharType="end"/>
                          </w:r>
                          <w:r>
                            <w:rPr>
                              <w:rFonts w:hint="eastAsia" w:ascii="宋体" w:hAnsi="宋体" w:eastAsia="宋体" w:cs="宋体"/>
                              <w:b/>
                              <w:bCs/>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D3A0A8F">
                    <w:pPr>
                      <w:pStyle w:val="17"/>
                      <w:rPr>
                        <w:rFonts w:hint="eastAsia" w:ascii="宋体" w:hAnsi="宋体" w:eastAsia="宋体" w:cs="宋体"/>
                        <w:b/>
                        <w:bCs/>
                        <w:sz w:val="21"/>
                        <w:szCs w:val="21"/>
                      </w:rPr>
                    </w:pPr>
                    <w:r>
                      <w:rPr>
                        <w:rFonts w:hint="eastAsia" w:ascii="宋体" w:hAnsi="宋体" w:eastAsia="宋体" w:cs="宋体"/>
                        <w:b/>
                        <w:bCs/>
                        <w:sz w:val="21"/>
                        <w:szCs w:val="21"/>
                      </w:rPr>
                      <w:t xml:space="preserve">第 </w:t>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PAGE  \* MERGEFORMAT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4</w:t>
                    </w:r>
                    <w:r>
                      <w:rPr>
                        <w:rFonts w:hint="eastAsia" w:ascii="宋体" w:hAnsi="宋体" w:eastAsia="宋体" w:cs="宋体"/>
                        <w:b/>
                        <w:bCs/>
                        <w:sz w:val="21"/>
                        <w:szCs w:val="21"/>
                      </w:rPr>
                      <w:fldChar w:fldCharType="end"/>
                    </w:r>
                    <w:r>
                      <w:rPr>
                        <w:rFonts w:hint="eastAsia" w:ascii="宋体" w:hAnsi="宋体" w:eastAsia="宋体" w:cs="宋体"/>
                        <w:b/>
                        <w:bCs/>
                        <w:sz w:val="21"/>
                        <w:szCs w:val="21"/>
                      </w:rPr>
                      <w:t xml:space="preserve"> 页 共 </w:t>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NUMPAGES  \* MERGEFORMAT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64</w:t>
                    </w:r>
                    <w:r>
                      <w:rPr>
                        <w:rFonts w:hint="eastAsia" w:ascii="宋体" w:hAnsi="宋体" w:eastAsia="宋体" w:cs="宋体"/>
                        <w:b/>
                        <w:bCs/>
                        <w:sz w:val="21"/>
                        <w:szCs w:val="21"/>
                      </w:rPr>
                      <w:fldChar w:fldCharType="end"/>
                    </w:r>
                    <w:r>
                      <w:rPr>
                        <w:rFonts w:hint="eastAsia" w:ascii="宋体" w:hAnsi="宋体" w:eastAsia="宋体" w:cs="宋体"/>
                        <w:b/>
                        <w:bCs/>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93E1">
    <w:pPr>
      <w:pStyle w:val="18"/>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52544">
    <w:pPr>
      <w:pStyle w:val="18"/>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CE30BD"/>
    <w:multiLevelType w:val="singleLevel"/>
    <w:tmpl w:val="18CE30B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23CA"/>
    <w:rsid w:val="000037F9"/>
    <w:rsid w:val="000049DA"/>
    <w:rsid w:val="000056B7"/>
    <w:rsid w:val="00006585"/>
    <w:rsid w:val="00007647"/>
    <w:rsid w:val="0000779C"/>
    <w:rsid w:val="000131F7"/>
    <w:rsid w:val="00014039"/>
    <w:rsid w:val="0001600A"/>
    <w:rsid w:val="00016B6C"/>
    <w:rsid w:val="000201D0"/>
    <w:rsid w:val="00020B57"/>
    <w:rsid w:val="00020E3A"/>
    <w:rsid w:val="000261F2"/>
    <w:rsid w:val="000360B3"/>
    <w:rsid w:val="00040C25"/>
    <w:rsid w:val="00042139"/>
    <w:rsid w:val="00042973"/>
    <w:rsid w:val="00042B14"/>
    <w:rsid w:val="00044F49"/>
    <w:rsid w:val="000450C3"/>
    <w:rsid w:val="0004550A"/>
    <w:rsid w:val="00050A3F"/>
    <w:rsid w:val="00061234"/>
    <w:rsid w:val="00062C99"/>
    <w:rsid w:val="000648D2"/>
    <w:rsid w:val="00066B5B"/>
    <w:rsid w:val="00070E0E"/>
    <w:rsid w:val="0007146E"/>
    <w:rsid w:val="00076DB7"/>
    <w:rsid w:val="00080FEB"/>
    <w:rsid w:val="000845C6"/>
    <w:rsid w:val="000845CA"/>
    <w:rsid w:val="00092933"/>
    <w:rsid w:val="00093150"/>
    <w:rsid w:val="00094D41"/>
    <w:rsid w:val="000970FA"/>
    <w:rsid w:val="00097CB9"/>
    <w:rsid w:val="000A0D8A"/>
    <w:rsid w:val="000A10A9"/>
    <w:rsid w:val="000A6693"/>
    <w:rsid w:val="000A7970"/>
    <w:rsid w:val="000A7D94"/>
    <w:rsid w:val="000B00AF"/>
    <w:rsid w:val="000B1511"/>
    <w:rsid w:val="000B46F2"/>
    <w:rsid w:val="000B70F0"/>
    <w:rsid w:val="000C0507"/>
    <w:rsid w:val="000C1DB1"/>
    <w:rsid w:val="000D3A8D"/>
    <w:rsid w:val="000D3F37"/>
    <w:rsid w:val="000E2BA5"/>
    <w:rsid w:val="000E33A5"/>
    <w:rsid w:val="000E3BFD"/>
    <w:rsid w:val="000E3C74"/>
    <w:rsid w:val="000E3F9B"/>
    <w:rsid w:val="000E478E"/>
    <w:rsid w:val="000E6689"/>
    <w:rsid w:val="000E6FA7"/>
    <w:rsid w:val="000F172B"/>
    <w:rsid w:val="000F2198"/>
    <w:rsid w:val="000F3856"/>
    <w:rsid w:val="000F39B6"/>
    <w:rsid w:val="000F54AA"/>
    <w:rsid w:val="000F6B7B"/>
    <w:rsid w:val="00100B0F"/>
    <w:rsid w:val="0010187C"/>
    <w:rsid w:val="0010219C"/>
    <w:rsid w:val="001037E3"/>
    <w:rsid w:val="001077EC"/>
    <w:rsid w:val="0011036B"/>
    <w:rsid w:val="00110820"/>
    <w:rsid w:val="00112D01"/>
    <w:rsid w:val="00113EBF"/>
    <w:rsid w:val="00116050"/>
    <w:rsid w:val="0011660B"/>
    <w:rsid w:val="0012143A"/>
    <w:rsid w:val="00124AF9"/>
    <w:rsid w:val="001258BA"/>
    <w:rsid w:val="00126A59"/>
    <w:rsid w:val="001273BC"/>
    <w:rsid w:val="001301E2"/>
    <w:rsid w:val="001349C6"/>
    <w:rsid w:val="00140687"/>
    <w:rsid w:val="00140769"/>
    <w:rsid w:val="00141FE8"/>
    <w:rsid w:val="00142ED4"/>
    <w:rsid w:val="001459A7"/>
    <w:rsid w:val="00146421"/>
    <w:rsid w:val="00147A94"/>
    <w:rsid w:val="00147E0C"/>
    <w:rsid w:val="00151E19"/>
    <w:rsid w:val="00153B20"/>
    <w:rsid w:val="00154FDC"/>
    <w:rsid w:val="00155F64"/>
    <w:rsid w:val="00157856"/>
    <w:rsid w:val="00160729"/>
    <w:rsid w:val="001651ED"/>
    <w:rsid w:val="00166794"/>
    <w:rsid w:val="00166ED8"/>
    <w:rsid w:val="001714C9"/>
    <w:rsid w:val="00171B25"/>
    <w:rsid w:val="001749A0"/>
    <w:rsid w:val="0018119B"/>
    <w:rsid w:val="001812BE"/>
    <w:rsid w:val="001844AB"/>
    <w:rsid w:val="001853C7"/>
    <w:rsid w:val="00190839"/>
    <w:rsid w:val="00192879"/>
    <w:rsid w:val="00194365"/>
    <w:rsid w:val="001944B8"/>
    <w:rsid w:val="00196DA3"/>
    <w:rsid w:val="001A26EE"/>
    <w:rsid w:val="001A526C"/>
    <w:rsid w:val="001A68E5"/>
    <w:rsid w:val="001A69CE"/>
    <w:rsid w:val="001B2A54"/>
    <w:rsid w:val="001B2BA4"/>
    <w:rsid w:val="001B4A22"/>
    <w:rsid w:val="001B5014"/>
    <w:rsid w:val="001B7327"/>
    <w:rsid w:val="001C3E8A"/>
    <w:rsid w:val="001C646A"/>
    <w:rsid w:val="001D22EA"/>
    <w:rsid w:val="001D3674"/>
    <w:rsid w:val="001D3E9A"/>
    <w:rsid w:val="001D53B4"/>
    <w:rsid w:val="001D67FB"/>
    <w:rsid w:val="001D6C96"/>
    <w:rsid w:val="001E1835"/>
    <w:rsid w:val="001E7198"/>
    <w:rsid w:val="001F19A3"/>
    <w:rsid w:val="001F28D2"/>
    <w:rsid w:val="001F2F45"/>
    <w:rsid w:val="001F3023"/>
    <w:rsid w:val="001F3250"/>
    <w:rsid w:val="001F35F6"/>
    <w:rsid w:val="001F74CA"/>
    <w:rsid w:val="001F7590"/>
    <w:rsid w:val="002003B6"/>
    <w:rsid w:val="0020244A"/>
    <w:rsid w:val="00204609"/>
    <w:rsid w:val="002049B4"/>
    <w:rsid w:val="0020520B"/>
    <w:rsid w:val="00207490"/>
    <w:rsid w:val="002076AD"/>
    <w:rsid w:val="00213C55"/>
    <w:rsid w:val="00216412"/>
    <w:rsid w:val="00223CF4"/>
    <w:rsid w:val="00224C4A"/>
    <w:rsid w:val="00225608"/>
    <w:rsid w:val="002302D6"/>
    <w:rsid w:val="00231187"/>
    <w:rsid w:val="00233C96"/>
    <w:rsid w:val="0023407E"/>
    <w:rsid w:val="00240B40"/>
    <w:rsid w:val="00244182"/>
    <w:rsid w:val="00247817"/>
    <w:rsid w:val="002544A1"/>
    <w:rsid w:val="00256EF1"/>
    <w:rsid w:val="00257ECE"/>
    <w:rsid w:val="00260B94"/>
    <w:rsid w:val="00264F2E"/>
    <w:rsid w:val="00265463"/>
    <w:rsid w:val="00271245"/>
    <w:rsid w:val="00271720"/>
    <w:rsid w:val="00274A9E"/>
    <w:rsid w:val="00276BA1"/>
    <w:rsid w:val="002778C0"/>
    <w:rsid w:val="00280984"/>
    <w:rsid w:val="002835E3"/>
    <w:rsid w:val="00284542"/>
    <w:rsid w:val="00291840"/>
    <w:rsid w:val="00297870"/>
    <w:rsid w:val="002A14D1"/>
    <w:rsid w:val="002A1A1D"/>
    <w:rsid w:val="002A28AD"/>
    <w:rsid w:val="002A3F9B"/>
    <w:rsid w:val="002B04FD"/>
    <w:rsid w:val="002B5318"/>
    <w:rsid w:val="002B6D27"/>
    <w:rsid w:val="002B7A09"/>
    <w:rsid w:val="002C060C"/>
    <w:rsid w:val="002C5DCC"/>
    <w:rsid w:val="002C69FD"/>
    <w:rsid w:val="002C70AB"/>
    <w:rsid w:val="002D05DD"/>
    <w:rsid w:val="002D10A6"/>
    <w:rsid w:val="002D26D1"/>
    <w:rsid w:val="002D2965"/>
    <w:rsid w:val="002D2F38"/>
    <w:rsid w:val="002D3C10"/>
    <w:rsid w:val="002D3D02"/>
    <w:rsid w:val="002D4CB5"/>
    <w:rsid w:val="002D5610"/>
    <w:rsid w:val="002D684B"/>
    <w:rsid w:val="002D6FA4"/>
    <w:rsid w:val="002E1327"/>
    <w:rsid w:val="002E2AD2"/>
    <w:rsid w:val="002E2D3A"/>
    <w:rsid w:val="002E3B26"/>
    <w:rsid w:val="002E4AB8"/>
    <w:rsid w:val="002E7FC4"/>
    <w:rsid w:val="002F1132"/>
    <w:rsid w:val="00303D04"/>
    <w:rsid w:val="00310070"/>
    <w:rsid w:val="0031081B"/>
    <w:rsid w:val="00310EF7"/>
    <w:rsid w:val="003110EC"/>
    <w:rsid w:val="00314577"/>
    <w:rsid w:val="00317A51"/>
    <w:rsid w:val="003206A6"/>
    <w:rsid w:val="00322439"/>
    <w:rsid w:val="0032560D"/>
    <w:rsid w:val="00327C92"/>
    <w:rsid w:val="0033145F"/>
    <w:rsid w:val="00333292"/>
    <w:rsid w:val="003344E7"/>
    <w:rsid w:val="0033460E"/>
    <w:rsid w:val="0033580B"/>
    <w:rsid w:val="003365E7"/>
    <w:rsid w:val="003378D5"/>
    <w:rsid w:val="00341B40"/>
    <w:rsid w:val="00344BF7"/>
    <w:rsid w:val="003473D7"/>
    <w:rsid w:val="003510A4"/>
    <w:rsid w:val="00351AC8"/>
    <w:rsid w:val="00351CB6"/>
    <w:rsid w:val="00353075"/>
    <w:rsid w:val="003536F2"/>
    <w:rsid w:val="00360384"/>
    <w:rsid w:val="00361F77"/>
    <w:rsid w:val="00362110"/>
    <w:rsid w:val="00362561"/>
    <w:rsid w:val="00363022"/>
    <w:rsid w:val="00363E02"/>
    <w:rsid w:val="00370BF9"/>
    <w:rsid w:val="00372CF6"/>
    <w:rsid w:val="00373A96"/>
    <w:rsid w:val="003744F2"/>
    <w:rsid w:val="003800C3"/>
    <w:rsid w:val="0038193A"/>
    <w:rsid w:val="003826C2"/>
    <w:rsid w:val="00383728"/>
    <w:rsid w:val="00385435"/>
    <w:rsid w:val="00386239"/>
    <w:rsid w:val="003903BB"/>
    <w:rsid w:val="00392627"/>
    <w:rsid w:val="003938B3"/>
    <w:rsid w:val="003939B1"/>
    <w:rsid w:val="00394128"/>
    <w:rsid w:val="00394ADC"/>
    <w:rsid w:val="00395131"/>
    <w:rsid w:val="00395235"/>
    <w:rsid w:val="0039561A"/>
    <w:rsid w:val="0039676A"/>
    <w:rsid w:val="00397C7D"/>
    <w:rsid w:val="003A004F"/>
    <w:rsid w:val="003A085C"/>
    <w:rsid w:val="003A092F"/>
    <w:rsid w:val="003A326B"/>
    <w:rsid w:val="003A68A7"/>
    <w:rsid w:val="003B1321"/>
    <w:rsid w:val="003B154F"/>
    <w:rsid w:val="003B2E76"/>
    <w:rsid w:val="003B4130"/>
    <w:rsid w:val="003B715B"/>
    <w:rsid w:val="003C2C62"/>
    <w:rsid w:val="003C2CB8"/>
    <w:rsid w:val="003D1D14"/>
    <w:rsid w:val="003D31C0"/>
    <w:rsid w:val="003D6B5D"/>
    <w:rsid w:val="003D6C7C"/>
    <w:rsid w:val="003D6EFB"/>
    <w:rsid w:val="003D73CA"/>
    <w:rsid w:val="003D7E52"/>
    <w:rsid w:val="003E25C6"/>
    <w:rsid w:val="003F7528"/>
    <w:rsid w:val="0040083C"/>
    <w:rsid w:val="004009F4"/>
    <w:rsid w:val="004011AA"/>
    <w:rsid w:val="0040202C"/>
    <w:rsid w:val="0040563A"/>
    <w:rsid w:val="00406508"/>
    <w:rsid w:val="00412E69"/>
    <w:rsid w:val="004140DE"/>
    <w:rsid w:val="0041456E"/>
    <w:rsid w:val="00414F7E"/>
    <w:rsid w:val="004164F8"/>
    <w:rsid w:val="0042170B"/>
    <w:rsid w:val="00424A97"/>
    <w:rsid w:val="00426F05"/>
    <w:rsid w:val="00427B65"/>
    <w:rsid w:val="004327A2"/>
    <w:rsid w:val="004328E1"/>
    <w:rsid w:val="00436B56"/>
    <w:rsid w:val="0044205D"/>
    <w:rsid w:val="004426E7"/>
    <w:rsid w:val="004427B7"/>
    <w:rsid w:val="00442F6D"/>
    <w:rsid w:val="0044349F"/>
    <w:rsid w:val="00445F1F"/>
    <w:rsid w:val="004474B2"/>
    <w:rsid w:val="0045076F"/>
    <w:rsid w:val="00451F60"/>
    <w:rsid w:val="00452BB2"/>
    <w:rsid w:val="00456054"/>
    <w:rsid w:val="0045656D"/>
    <w:rsid w:val="00460B9A"/>
    <w:rsid w:val="0046291C"/>
    <w:rsid w:val="00462D98"/>
    <w:rsid w:val="00463E7D"/>
    <w:rsid w:val="0046704C"/>
    <w:rsid w:val="0047174D"/>
    <w:rsid w:val="0047268A"/>
    <w:rsid w:val="00472964"/>
    <w:rsid w:val="00472A44"/>
    <w:rsid w:val="00473A89"/>
    <w:rsid w:val="00475899"/>
    <w:rsid w:val="00482C78"/>
    <w:rsid w:val="0048634A"/>
    <w:rsid w:val="004874AE"/>
    <w:rsid w:val="004905FC"/>
    <w:rsid w:val="00494385"/>
    <w:rsid w:val="00494D24"/>
    <w:rsid w:val="004951D1"/>
    <w:rsid w:val="004960BB"/>
    <w:rsid w:val="00496773"/>
    <w:rsid w:val="00496FA4"/>
    <w:rsid w:val="004A27D0"/>
    <w:rsid w:val="004A4D67"/>
    <w:rsid w:val="004A7690"/>
    <w:rsid w:val="004B0A70"/>
    <w:rsid w:val="004B6A5D"/>
    <w:rsid w:val="004C13CB"/>
    <w:rsid w:val="004D0537"/>
    <w:rsid w:val="004D3D4B"/>
    <w:rsid w:val="004D5498"/>
    <w:rsid w:val="004D66A5"/>
    <w:rsid w:val="004D6B00"/>
    <w:rsid w:val="004D6B8C"/>
    <w:rsid w:val="004D71FC"/>
    <w:rsid w:val="004D7A64"/>
    <w:rsid w:val="004E0D39"/>
    <w:rsid w:val="004E1D50"/>
    <w:rsid w:val="004E65E1"/>
    <w:rsid w:val="004F27A0"/>
    <w:rsid w:val="004F2F91"/>
    <w:rsid w:val="004F63C7"/>
    <w:rsid w:val="004F6BAD"/>
    <w:rsid w:val="00501382"/>
    <w:rsid w:val="005029C7"/>
    <w:rsid w:val="00504B12"/>
    <w:rsid w:val="00510798"/>
    <w:rsid w:val="00512101"/>
    <w:rsid w:val="005125F1"/>
    <w:rsid w:val="0051737F"/>
    <w:rsid w:val="00522A55"/>
    <w:rsid w:val="00524A11"/>
    <w:rsid w:val="0052757B"/>
    <w:rsid w:val="00527768"/>
    <w:rsid w:val="00530EA4"/>
    <w:rsid w:val="00531AD6"/>
    <w:rsid w:val="005327FB"/>
    <w:rsid w:val="00533FCA"/>
    <w:rsid w:val="00536422"/>
    <w:rsid w:val="005470D4"/>
    <w:rsid w:val="005616B5"/>
    <w:rsid w:val="005639C3"/>
    <w:rsid w:val="005668F0"/>
    <w:rsid w:val="005679A4"/>
    <w:rsid w:val="00571FA4"/>
    <w:rsid w:val="00574B0B"/>
    <w:rsid w:val="005760E1"/>
    <w:rsid w:val="00581663"/>
    <w:rsid w:val="00585811"/>
    <w:rsid w:val="00591DC8"/>
    <w:rsid w:val="0059223D"/>
    <w:rsid w:val="00597B15"/>
    <w:rsid w:val="005A044C"/>
    <w:rsid w:val="005A149F"/>
    <w:rsid w:val="005A18B7"/>
    <w:rsid w:val="005A2656"/>
    <w:rsid w:val="005A73B1"/>
    <w:rsid w:val="005B05B5"/>
    <w:rsid w:val="005B16E3"/>
    <w:rsid w:val="005B34C9"/>
    <w:rsid w:val="005B6BD1"/>
    <w:rsid w:val="005C140C"/>
    <w:rsid w:val="005C6C95"/>
    <w:rsid w:val="005D0200"/>
    <w:rsid w:val="005D44EF"/>
    <w:rsid w:val="005D5109"/>
    <w:rsid w:val="005D5112"/>
    <w:rsid w:val="005D5A94"/>
    <w:rsid w:val="005D5D67"/>
    <w:rsid w:val="005E2874"/>
    <w:rsid w:val="005E425A"/>
    <w:rsid w:val="005E6202"/>
    <w:rsid w:val="005F240E"/>
    <w:rsid w:val="005F2B97"/>
    <w:rsid w:val="005F34CC"/>
    <w:rsid w:val="005F3914"/>
    <w:rsid w:val="005F3B5A"/>
    <w:rsid w:val="005F6AB4"/>
    <w:rsid w:val="00607471"/>
    <w:rsid w:val="00610A66"/>
    <w:rsid w:val="00610C25"/>
    <w:rsid w:val="00612CFF"/>
    <w:rsid w:val="00613177"/>
    <w:rsid w:val="00613F7C"/>
    <w:rsid w:val="00614BF2"/>
    <w:rsid w:val="0061557C"/>
    <w:rsid w:val="00617ECF"/>
    <w:rsid w:val="006208AC"/>
    <w:rsid w:val="00623DE2"/>
    <w:rsid w:val="00627601"/>
    <w:rsid w:val="006300D0"/>
    <w:rsid w:val="00630BA1"/>
    <w:rsid w:val="00632012"/>
    <w:rsid w:val="00634694"/>
    <w:rsid w:val="00635682"/>
    <w:rsid w:val="006357FD"/>
    <w:rsid w:val="00636517"/>
    <w:rsid w:val="00637122"/>
    <w:rsid w:val="00637690"/>
    <w:rsid w:val="00637BB7"/>
    <w:rsid w:val="0064044E"/>
    <w:rsid w:val="00640E1E"/>
    <w:rsid w:val="0064389A"/>
    <w:rsid w:val="00644F02"/>
    <w:rsid w:val="00645442"/>
    <w:rsid w:val="00650474"/>
    <w:rsid w:val="006525CD"/>
    <w:rsid w:val="00652C67"/>
    <w:rsid w:val="00653F7F"/>
    <w:rsid w:val="00655229"/>
    <w:rsid w:val="0065682C"/>
    <w:rsid w:val="00662EE8"/>
    <w:rsid w:val="00663813"/>
    <w:rsid w:val="00664AFD"/>
    <w:rsid w:val="00667567"/>
    <w:rsid w:val="0067391A"/>
    <w:rsid w:val="00674173"/>
    <w:rsid w:val="00676551"/>
    <w:rsid w:val="00677D87"/>
    <w:rsid w:val="0068405B"/>
    <w:rsid w:val="00690DB1"/>
    <w:rsid w:val="00691C87"/>
    <w:rsid w:val="00693404"/>
    <w:rsid w:val="006953D9"/>
    <w:rsid w:val="006A03C1"/>
    <w:rsid w:val="006A1269"/>
    <w:rsid w:val="006A49DE"/>
    <w:rsid w:val="006A5803"/>
    <w:rsid w:val="006A69C3"/>
    <w:rsid w:val="006A7C15"/>
    <w:rsid w:val="006B1242"/>
    <w:rsid w:val="006B1DBC"/>
    <w:rsid w:val="006B7C1C"/>
    <w:rsid w:val="006B7D9A"/>
    <w:rsid w:val="006C06D9"/>
    <w:rsid w:val="006C3E22"/>
    <w:rsid w:val="006C45B8"/>
    <w:rsid w:val="006C48CA"/>
    <w:rsid w:val="006C5716"/>
    <w:rsid w:val="006C64B2"/>
    <w:rsid w:val="006C6D92"/>
    <w:rsid w:val="006C74A9"/>
    <w:rsid w:val="006D07DE"/>
    <w:rsid w:val="006D361A"/>
    <w:rsid w:val="006D36C1"/>
    <w:rsid w:val="006E06D9"/>
    <w:rsid w:val="006E0FB8"/>
    <w:rsid w:val="006E1D40"/>
    <w:rsid w:val="006E2E1F"/>
    <w:rsid w:val="006E5059"/>
    <w:rsid w:val="006F0247"/>
    <w:rsid w:val="006F1A03"/>
    <w:rsid w:val="006F5F03"/>
    <w:rsid w:val="006F5FFF"/>
    <w:rsid w:val="0070078B"/>
    <w:rsid w:val="00710804"/>
    <w:rsid w:val="00711FC6"/>
    <w:rsid w:val="007130B1"/>
    <w:rsid w:val="00715071"/>
    <w:rsid w:val="00716532"/>
    <w:rsid w:val="00716F39"/>
    <w:rsid w:val="00720574"/>
    <w:rsid w:val="00720D0D"/>
    <w:rsid w:val="007231E9"/>
    <w:rsid w:val="007243E6"/>
    <w:rsid w:val="00724F0E"/>
    <w:rsid w:val="00725DA2"/>
    <w:rsid w:val="00727C59"/>
    <w:rsid w:val="00733730"/>
    <w:rsid w:val="00734E5D"/>
    <w:rsid w:val="00736013"/>
    <w:rsid w:val="00737BF8"/>
    <w:rsid w:val="0074339B"/>
    <w:rsid w:val="007516F4"/>
    <w:rsid w:val="00752504"/>
    <w:rsid w:val="00753ECD"/>
    <w:rsid w:val="00756245"/>
    <w:rsid w:val="00761662"/>
    <w:rsid w:val="0076222D"/>
    <w:rsid w:val="00763E37"/>
    <w:rsid w:val="00763F83"/>
    <w:rsid w:val="00764043"/>
    <w:rsid w:val="007757CF"/>
    <w:rsid w:val="0078128F"/>
    <w:rsid w:val="007819D9"/>
    <w:rsid w:val="00782F68"/>
    <w:rsid w:val="00785E68"/>
    <w:rsid w:val="007866A5"/>
    <w:rsid w:val="0078683C"/>
    <w:rsid w:val="00787C8F"/>
    <w:rsid w:val="00790EDB"/>
    <w:rsid w:val="00791538"/>
    <w:rsid w:val="0079326E"/>
    <w:rsid w:val="007954E7"/>
    <w:rsid w:val="00796EDE"/>
    <w:rsid w:val="007A085A"/>
    <w:rsid w:val="007A5A58"/>
    <w:rsid w:val="007B1C56"/>
    <w:rsid w:val="007C1DD7"/>
    <w:rsid w:val="007C3CD5"/>
    <w:rsid w:val="007C4CBA"/>
    <w:rsid w:val="007C5E88"/>
    <w:rsid w:val="007C61EF"/>
    <w:rsid w:val="007D1C0D"/>
    <w:rsid w:val="007D2D23"/>
    <w:rsid w:val="007D7AA0"/>
    <w:rsid w:val="007E2241"/>
    <w:rsid w:val="007E2627"/>
    <w:rsid w:val="007E27D6"/>
    <w:rsid w:val="007E3921"/>
    <w:rsid w:val="007F2052"/>
    <w:rsid w:val="007F40D8"/>
    <w:rsid w:val="00801028"/>
    <w:rsid w:val="00802DCE"/>
    <w:rsid w:val="00803793"/>
    <w:rsid w:val="00804000"/>
    <w:rsid w:val="0081017D"/>
    <w:rsid w:val="008153D1"/>
    <w:rsid w:val="00817A01"/>
    <w:rsid w:val="00820E1F"/>
    <w:rsid w:val="00825E35"/>
    <w:rsid w:val="00830A4E"/>
    <w:rsid w:val="008334F8"/>
    <w:rsid w:val="00835FFD"/>
    <w:rsid w:val="00844FAA"/>
    <w:rsid w:val="008504BF"/>
    <w:rsid w:val="008524CE"/>
    <w:rsid w:val="00854ED9"/>
    <w:rsid w:val="00855391"/>
    <w:rsid w:val="0086440C"/>
    <w:rsid w:val="00875269"/>
    <w:rsid w:val="00876294"/>
    <w:rsid w:val="00876659"/>
    <w:rsid w:val="0087734C"/>
    <w:rsid w:val="00881EEF"/>
    <w:rsid w:val="00882141"/>
    <w:rsid w:val="00883A1A"/>
    <w:rsid w:val="008876EC"/>
    <w:rsid w:val="008922A8"/>
    <w:rsid w:val="00894999"/>
    <w:rsid w:val="008953F3"/>
    <w:rsid w:val="00895BD5"/>
    <w:rsid w:val="008A1475"/>
    <w:rsid w:val="008A16C4"/>
    <w:rsid w:val="008A6FED"/>
    <w:rsid w:val="008B39C5"/>
    <w:rsid w:val="008B51AA"/>
    <w:rsid w:val="008C2AA8"/>
    <w:rsid w:val="008C67F2"/>
    <w:rsid w:val="008D064A"/>
    <w:rsid w:val="008D1E91"/>
    <w:rsid w:val="008D264C"/>
    <w:rsid w:val="008D2B0F"/>
    <w:rsid w:val="008D5611"/>
    <w:rsid w:val="008E294B"/>
    <w:rsid w:val="008E449E"/>
    <w:rsid w:val="008E4BDD"/>
    <w:rsid w:val="008E4DA7"/>
    <w:rsid w:val="008E5B79"/>
    <w:rsid w:val="008E770C"/>
    <w:rsid w:val="008E7CD5"/>
    <w:rsid w:val="008F187F"/>
    <w:rsid w:val="008F39F1"/>
    <w:rsid w:val="008F402F"/>
    <w:rsid w:val="008F76E8"/>
    <w:rsid w:val="0090697A"/>
    <w:rsid w:val="009078A1"/>
    <w:rsid w:val="00911E9C"/>
    <w:rsid w:val="00913A93"/>
    <w:rsid w:val="00914AD1"/>
    <w:rsid w:val="00917405"/>
    <w:rsid w:val="00920F7C"/>
    <w:rsid w:val="00924743"/>
    <w:rsid w:val="00924F78"/>
    <w:rsid w:val="00934CAE"/>
    <w:rsid w:val="0094257D"/>
    <w:rsid w:val="009467D2"/>
    <w:rsid w:val="009469A8"/>
    <w:rsid w:val="0095467C"/>
    <w:rsid w:val="00954A61"/>
    <w:rsid w:val="00955C6F"/>
    <w:rsid w:val="00956916"/>
    <w:rsid w:val="00966C7B"/>
    <w:rsid w:val="00967FE8"/>
    <w:rsid w:val="009700F4"/>
    <w:rsid w:val="009701DC"/>
    <w:rsid w:val="00970996"/>
    <w:rsid w:val="009715D8"/>
    <w:rsid w:val="0097552B"/>
    <w:rsid w:val="00976B1D"/>
    <w:rsid w:val="009775B8"/>
    <w:rsid w:val="009811A8"/>
    <w:rsid w:val="0098659E"/>
    <w:rsid w:val="009904C9"/>
    <w:rsid w:val="00992CEC"/>
    <w:rsid w:val="00995BF9"/>
    <w:rsid w:val="009A0CAF"/>
    <w:rsid w:val="009A1328"/>
    <w:rsid w:val="009A2207"/>
    <w:rsid w:val="009B0673"/>
    <w:rsid w:val="009B0EDA"/>
    <w:rsid w:val="009B3545"/>
    <w:rsid w:val="009B6C42"/>
    <w:rsid w:val="009D2690"/>
    <w:rsid w:val="009D2998"/>
    <w:rsid w:val="009D31F7"/>
    <w:rsid w:val="009D32C2"/>
    <w:rsid w:val="009D50DB"/>
    <w:rsid w:val="009E2932"/>
    <w:rsid w:val="009E2B8D"/>
    <w:rsid w:val="009E2E04"/>
    <w:rsid w:val="009E3A0A"/>
    <w:rsid w:val="009E4BCE"/>
    <w:rsid w:val="009E5ECD"/>
    <w:rsid w:val="009F3E91"/>
    <w:rsid w:val="009F7A34"/>
    <w:rsid w:val="00A008DA"/>
    <w:rsid w:val="00A00C7A"/>
    <w:rsid w:val="00A0571E"/>
    <w:rsid w:val="00A101E6"/>
    <w:rsid w:val="00A130DE"/>
    <w:rsid w:val="00A1499B"/>
    <w:rsid w:val="00A16EB2"/>
    <w:rsid w:val="00A17CCF"/>
    <w:rsid w:val="00A20CD3"/>
    <w:rsid w:val="00A30A1B"/>
    <w:rsid w:val="00A314C2"/>
    <w:rsid w:val="00A35C01"/>
    <w:rsid w:val="00A46CD5"/>
    <w:rsid w:val="00A50447"/>
    <w:rsid w:val="00A519A0"/>
    <w:rsid w:val="00A56D48"/>
    <w:rsid w:val="00A60B3D"/>
    <w:rsid w:val="00A62A2E"/>
    <w:rsid w:val="00A63E86"/>
    <w:rsid w:val="00A65139"/>
    <w:rsid w:val="00A655F5"/>
    <w:rsid w:val="00A66A60"/>
    <w:rsid w:val="00A713BD"/>
    <w:rsid w:val="00A71D1A"/>
    <w:rsid w:val="00A757C3"/>
    <w:rsid w:val="00A75E5B"/>
    <w:rsid w:val="00A7684A"/>
    <w:rsid w:val="00A83B69"/>
    <w:rsid w:val="00A86533"/>
    <w:rsid w:val="00A91CA2"/>
    <w:rsid w:val="00A92FB8"/>
    <w:rsid w:val="00A932EE"/>
    <w:rsid w:val="00A948F1"/>
    <w:rsid w:val="00AA18F9"/>
    <w:rsid w:val="00AA1D7D"/>
    <w:rsid w:val="00AA2790"/>
    <w:rsid w:val="00AA3806"/>
    <w:rsid w:val="00AA7F1B"/>
    <w:rsid w:val="00AB066F"/>
    <w:rsid w:val="00AB139D"/>
    <w:rsid w:val="00AB187D"/>
    <w:rsid w:val="00AB2D05"/>
    <w:rsid w:val="00AB3EFB"/>
    <w:rsid w:val="00AC0B05"/>
    <w:rsid w:val="00AC7F9D"/>
    <w:rsid w:val="00AD079A"/>
    <w:rsid w:val="00AD1890"/>
    <w:rsid w:val="00AD4A6B"/>
    <w:rsid w:val="00AE2149"/>
    <w:rsid w:val="00AE33AE"/>
    <w:rsid w:val="00AE3F91"/>
    <w:rsid w:val="00AE4B4A"/>
    <w:rsid w:val="00AF020F"/>
    <w:rsid w:val="00AF1F69"/>
    <w:rsid w:val="00B00288"/>
    <w:rsid w:val="00B0053D"/>
    <w:rsid w:val="00B02AF8"/>
    <w:rsid w:val="00B03916"/>
    <w:rsid w:val="00B039E3"/>
    <w:rsid w:val="00B06D36"/>
    <w:rsid w:val="00B0722E"/>
    <w:rsid w:val="00B07C1F"/>
    <w:rsid w:val="00B12BC4"/>
    <w:rsid w:val="00B22838"/>
    <w:rsid w:val="00B26818"/>
    <w:rsid w:val="00B311CE"/>
    <w:rsid w:val="00B31C60"/>
    <w:rsid w:val="00B3250C"/>
    <w:rsid w:val="00B33E95"/>
    <w:rsid w:val="00B35AE1"/>
    <w:rsid w:val="00B3720B"/>
    <w:rsid w:val="00B4477D"/>
    <w:rsid w:val="00B458F3"/>
    <w:rsid w:val="00B45D0B"/>
    <w:rsid w:val="00B4619F"/>
    <w:rsid w:val="00B54621"/>
    <w:rsid w:val="00B5558A"/>
    <w:rsid w:val="00B56513"/>
    <w:rsid w:val="00B6149B"/>
    <w:rsid w:val="00B63D36"/>
    <w:rsid w:val="00B64376"/>
    <w:rsid w:val="00B6570C"/>
    <w:rsid w:val="00B71D0E"/>
    <w:rsid w:val="00B7401F"/>
    <w:rsid w:val="00B769CF"/>
    <w:rsid w:val="00B77614"/>
    <w:rsid w:val="00B77636"/>
    <w:rsid w:val="00B806C3"/>
    <w:rsid w:val="00B80D6F"/>
    <w:rsid w:val="00B84290"/>
    <w:rsid w:val="00B84FCA"/>
    <w:rsid w:val="00B9089F"/>
    <w:rsid w:val="00B91826"/>
    <w:rsid w:val="00B91AEE"/>
    <w:rsid w:val="00B95F5A"/>
    <w:rsid w:val="00B967C6"/>
    <w:rsid w:val="00B96EAD"/>
    <w:rsid w:val="00BA21CC"/>
    <w:rsid w:val="00BA2EFC"/>
    <w:rsid w:val="00BA79F5"/>
    <w:rsid w:val="00BB10ED"/>
    <w:rsid w:val="00BB1747"/>
    <w:rsid w:val="00BB276E"/>
    <w:rsid w:val="00BB295A"/>
    <w:rsid w:val="00BB3AB6"/>
    <w:rsid w:val="00BB766D"/>
    <w:rsid w:val="00BC003F"/>
    <w:rsid w:val="00BC007B"/>
    <w:rsid w:val="00BC0FFE"/>
    <w:rsid w:val="00BC148D"/>
    <w:rsid w:val="00BC26BA"/>
    <w:rsid w:val="00BC35F8"/>
    <w:rsid w:val="00BC47D9"/>
    <w:rsid w:val="00BC481B"/>
    <w:rsid w:val="00BD1989"/>
    <w:rsid w:val="00BD2771"/>
    <w:rsid w:val="00BD617C"/>
    <w:rsid w:val="00BE1DBC"/>
    <w:rsid w:val="00BF2BD0"/>
    <w:rsid w:val="00BF376F"/>
    <w:rsid w:val="00BF3E44"/>
    <w:rsid w:val="00BF3F05"/>
    <w:rsid w:val="00BF436A"/>
    <w:rsid w:val="00BF46A6"/>
    <w:rsid w:val="00BF48F0"/>
    <w:rsid w:val="00BF53E1"/>
    <w:rsid w:val="00BF56F8"/>
    <w:rsid w:val="00BF5FD3"/>
    <w:rsid w:val="00BF71FB"/>
    <w:rsid w:val="00C02546"/>
    <w:rsid w:val="00C044C1"/>
    <w:rsid w:val="00C04AB6"/>
    <w:rsid w:val="00C06545"/>
    <w:rsid w:val="00C10D50"/>
    <w:rsid w:val="00C12CEE"/>
    <w:rsid w:val="00C134AF"/>
    <w:rsid w:val="00C17625"/>
    <w:rsid w:val="00C220FC"/>
    <w:rsid w:val="00C24B5B"/>
    <w:rsid w:val="00C24DFA"/>
    <w:rsid w:val="00C24F9D"/>
    <w:rsid w:val="00C261F6"/>
    <w:rsid w:val="00C276F6"/>
    <w:rsid w:val="00C30182"/>
    <w:rsid w:val="00C30382"/>
    <w:rsid w:val="00C30C9E"/>
    <w:rsid w:val="00C31FC9"/>
    <w:rsid w:val="00C37A63"/>
    <w:rsid w:val="00C41F60"/>
    <w:rsid w:val="00C46A36"/>
    <w:rsid w:val="00C47037"/>
    <w:rsid w:val="00C53625"/>
    <w:rsid w:val="00C53E9F"/>
    <w:rsid w:val="00C548BA"/>
    <w:rsid w:val="00C54D56"/>
    <w:rsid w:val="00C57784"/>
    <w:rsid w:val="00C602C1"/>
    <w:rsid w:val="00C63608"/>
    <w:rsid w:val="00C63FC0"/>
    <w:rsid w:val="00C66392"/>
    <w:rsid w:val="00C67D87"/>
    <w:rsid w:val="00C72C8D"/>
    <w:rsid w:val="00C73D09"/>
    <w:rsid w:val="00C74C5E"/>
    <w:rsid w:val="00C75ECA"/>
    <w:rsid w:val="00C80D87"/>
    <w:rsid w:val="00C82558"/>
    <w:rsid w:val="00C827A2"/>
    <w:rsid w:val="00C82B69"/>
    <w:rsid w:val="00C82CB3"/>
    <w:rsid w:val="00C86E29"/>
    <w:rsid w:val="00C91B28"/>
    <w:rsid w:val="00C91F3A"/>
    <w:rsid w:val="00C93590"/>
    <w:rsid w:val="00CA314D"/>
    <w:rsid w:val="00CA5446"/>
    <w:rsid w:val="00CB1213"/>
    <w:rsid w:val="00CB12E8"/>
    <w:rsid w:val="00CB218D"/>
    <w:rsid w:val="00CB3C63"/>
    <w:rsid w:val="00CB5625"/>
    <w:rsid w:val="00CB5797"/>
    <w:rsid w:val="00CB7E67"/>
    <w:rsid w:val="00CC03E5"/>
    <w:rsid w:val="00CC1C17"/>
    <w:rsid w:val="00CC4F01"/>
    <w:rsid w:val="00CC4F7F"/>
    <w:rsid w:val="00CC5C15"/>
    <w:rsid w:val="00CD0146"/>
    <w:rsid w:val="00CD0252"/>
    <w:rsid w:val="00CD09E1"/>
    <w:rsid w:val="00CD49AD"/>
    <w:rsid w:val="00CD74CC"/>
    <w:rsid w:val="00CE1780"/>
    <w:rsid w:val="00CE3028"/>
    <w:rsid w:val="00CE353F"/>
    <w:rsid w:val="00CE3C6D"/>
    <w:rsid w:val="00CE4327"/>
    <w:rsid w:val="00CE4913"/>
    <w:rsid w:val="00CE66BD"/>
    <w:rsid w:val="00CF0671"/>
    <w:rsid w:val="00CF247A"/>
    <w:rsid w:val="00CF4190"/>
    <w:rsid w:val="00CF44AD"/>
    <w:rsid w:val="00CF4FC0"/>
    <w:rsid w:val="00D00028"/>
    <w:rsid w:val="00D0107F"/>
    <w:rsid w:val="00D033A5"/>
    <w:rsid w:val="00D1072F"/>
    <w:rsid w:val="00D108A5"/>
    <w:rsid w:val="00D14585"/>
    <w:rsid w:val="00D20249"/>
    <w:rsid w:val="00D20831"/>
    <w:rsid w:val="00D20EFF"/>
    <w:rsid w:val="00D2551E"/>
    <w:rsid w:val="00D25F48"/>
    <w:rsid w:val="00D304CC"/>
    <w:rsid w:val="00D3077A"/>
    <w:rsid w:val="00D31324"/>
    <w:rsid w:val="00D36A58"/>
    <w:rsid w:val="00D47756"/>
    <w:rsid w:val="00D53ED8"/>
    <w:rsid w:val="00D604AC"/>
    <w:rsid w:val="00D608F8"/>
    <w:rsid w:val="00D64857"/>
    <w:rsid w:val="00D6493A"/>
    <w:rsid w:val="00D649A5"/>
    <w:rsid w:val="00D67875"/>
    <w:rsid w:val="00D719B9"/>
    <w:rsid w:val="00D71E86"/>
    <w:rsid w:val="00D731C6"/>
    <w:rsid w:val="00D745C5"/>
    <w:rsid w:val="00D75327"/>
    <w:rsid w:val="00D80C36"/>
    <w:rsid w:val="00D81A32"/>
    <w:rsid w:val="00D86EE1"/>
    <w:rsid w:val="00D87E70"/>
    <w:rsid w:val="00D91C23"/>
    <w:rsid w:val="00D9377F"/>
    <w:rsid w:val="00D95E90"/>
    <w:rsid w:val="00D96126"/>
    <w:rsid w:val="00D96523"/>
    <w:rsid w:val="00D97B36"/>
    <w:rsid w:val="00DA2FD5"/>
    <w:rsid w:val="00DA515B"/>
    <w:rsid w:val="00DB0B64"/>
    <w:rsid w:val="00DB2522"/>
    <w:rsid w:val="00DB42D9"/>
    <w:rsid w:val="00DB4B1C"/>
    <w:rsid w:val="00DB5085"/>
    <w:rsid w:val="00DB5E31"/>
    <w:rsid w:val="00DB619F"/>
    <w:rsid w:val="00DB6E51"/>
    <w:rsid w:val="00DC1062"/>
    <w:rsid w:val="00DC132C"/>
    <w:rsid w:val="00DC1AD2"/>
    <w:rsid w:val="00DC48CC"/>
    <w:rsid w:val="00DD078D"/>
    <w:rsid w:val="00DD3189"/>
    <w:rsid w:val="00DD4191"/>
    <w:rsid w:val="00DD43F0"/>
    <w:rsid w:val="00DD44DE"/>
    <w:rsid w:val="00DD5C4A"/>
    <w:rsid w:val="00DE09AB"/>
    <w:rsid w:val="00DE4A3F"/>
    <w:rsid w:val="00DE5A99"/>
    <w:rsid w:val="00DF24C2"/>
    <w:rsid w:val="00DF4367"/>
    <w:rsid w:val="00DF70AA"/>
    <w:rsid w:val="00DF7291"/>
    <w:rsid w:val="00E043D3"/>
    <w:rsid w:val="00E0574A"/>
    <w:rsid w:val="00E076D8"/>
    <w:rsid w:val="00E10709"/>
    <w:rsid w:val="00E1243D"/>
    <w:rsid w:val="00E12742"/>
    <w:rsid w:val="00E1403B"/>
    <w:rsid w:val="00E146D4"/>
    <w:rsid w:val="00E14B2F"/>
    <w:rsid w:val="00E15966"/>
    <w:rsid w:val="00E1744B"/>
    <w:rsid w:val="00E21D37"/>
    <w:rsid w:val="00E220ED"/>
    <w:rsid w:val="00E22B44"/>
    <w:rsid w:val="00E24551"/>
    <w:rsid w:val="00E25E48"/>
    <w:rsid w:val="00E30ACD"/>
    <w:rsid w:val="00E31806"/>
    <w:rsid w:val="00E319C3"/>
    <w:rsid w:val="00E32735"/>
    <w:rsid w:val="00E416DF"/>
    <w:rsid w:val="00E42251"/>
    <w:rsid w:val="00E44B88"/>
    <w:rsid w:val="00E51CEF"/>
    <w:rsid w:val="00E66E36"/>
    <w:rsid w:val="00E671AE"/>
    <w:rsid w:val="00E702ED"/>
    <w:rsid w:val="00E709A4"/>
    <w:rsid w:val="00E75D63"/>
    <w:rsid w:val="00E772DB"/>
    <w:rsid w:val="00E77C34"/>
    <w:rsid w:val="00E81367"/>
    <w:rsid w:val="00E8338F"/>
    <w:rsid w:val="00E85191"/>
    <w:rsid w:val="00E86012"/>
    <w:rsid w:val="00E86BAB"/>
    <w:rsid w:val="00E9037B"/>
    <w:rsid w:val="00E9432B"/>
    <w:rsid w:val="00E94E10"/>
    <w:rsid w:val="00E96743"/>
    <w:rsid w:val="00E96A42"/>
    <w:rsid w:val="00EA49C5"/>
    <w:rsid w:val="00EA6279"/>
    <w:rsid w:val="00EA68A0"/>
    <w:rsid w:val="00EA7B0A"/>
    <w:rsid w:val="00EB1969"/>
    <w:rsid w:val="00EB5027"/>
    <w:rsid w:val="00EB5EE1"/>
    <w:rsid w:val="00EC1836"/>
    <w:rsid w:val="00EC2442"/>
    <w:rsid w:val="00EC318C"/>
    <w:rsid w:val="00EC3990"/>
    <w:rsid w:val="00EC42AE"/>
    <w:rsid w:val="00EC484B"/>
    <w:rsid w:val="00EC5D8E"/>
    <w:rsid w:val="00EC7E58"/>
    <w:rsid w:val="00ED15FA"/>
    <w:rsid w:val="00ED3881"/>
    <w:rsid w:val="00ED5C9F"/>
    <w:rsid w:val="00ED7302"/>
    <w:rsid w:val="00ED7C12"/>
    <w:rsid w:val="00EE07A3"/>
    <w:rsid w:val="00EE0B52"/>
    <w:rsid w:val="00EE45D7"/>
    <w:rsid w:val="00EE6E9A"/>
    <w:rsid w:val="00EE789D"/>
    <w:rsid w:val="00EF04AC"/>
    <w:rsid w:val="00EF2AC4"/>
    <w:rsid w:val="00EF397E"/>
    <w:rsid w:val="00EF51CE"/>
    <w:rsid w:val="00EF7A17"/>
    <w:rsid w:val="00F05AE9"/>
    <w:rsid w:val="00F06F68"/>
    <w:rsid w:val="00F117BB"/>
    <w:rsid w:val="00F13DBE"/>
    <w:rsid w:val="00F1488C"/>
    <w:rsid w:val="00F15E9D"/>
    <w:rsid w:val="00F200DD"/>
    <w:rsid w:val="00F24C2D"/>
    <w:rsid w:val="00F25584"/>
    <w:rsid w:val="00F27D59"/>
    <w:rsid w:val="00F32A81"/>
    <w:rsid w:val="00F40C82"/>
    <w:rsid w:val="00F4197F"/>
    <w:rsid w:val="00F431D4"/>
    <w:rsid w:val="00F44A0E"/>
    <w:rsid w:val="00F44AF1"/>
    <w:rsid w:val="00F45DFF"/>
    <w:rsid w:val="00F46998"/>
    <w:rsid w:val="00F5382D"/>
    <w:rsid w:val="00F53D9C"/>
    <w:rsid w:val="00F5462B"/>
    <w:rsid w:val="00F57205"/>
    <w:rsid w:val="00F62DD8"/>
    <w:rsid w:val="00F634AD"/>
    <w:rsid w:val="00F63677"/>
    <w:rsid w:val="00F6568C"/>
    <w:rsid w:val="00F71EBA"/>
    <w:rsid w:val="00F75B81"/>
    <w:rsid w:val="00F804C4"/>
    <w:rsid w:val="00F80C7E"/>
    <w:rsid w:val="00F82F83"/>
    <w:rsid w:val="00F84506"/>
    <w:rsid w:val="00F85A85"/>
    <w:rsid w:val="00F873AC"/>
    <w:rsid w:val="00F90C64"/>
    <w:rsid w:val="00F92B30"/>
    <w:rsid w:val="00F933B9"/>
    <w:rsid w:val="00F94674"/>
    <w:rsid w:val="00F94919"/>
    <w:rsid w:val="00F94A59"/>
    <w:rsid w:val="00FA1E07"/>
    <w:rsid w:val="00FA25B6"/>
    <w:rsid w:val="00FA2FAF"/>
    <w:rsid w:val="00FA3757"/>
    <w:rsid w:val="00FA3C61"/>
    <w:rsid w:val="00FA54F6"/>
    <w:rsid w:val="00FA64B1"/>
    <w:rsid w:val="00FA70F3"/>
    <w:rsid w:val="00FA71CD"/>
    <w:rsid w:val="00FA7FDD"/>
    <w:rsid w:val="00FB0453"/>
    <w:rsid w:val="00FB0C07"/>
    <w:rsid w:val="00FB298D"/>
    <w:rsid w:val="00FB35EA"/>
    <w:rsid w:val="00FB4832"/>
    <w:rsid w:val="00FC1439"/>
    <w:rsid w:val="00FC1B7A"/>
    <w:rsid w:val="00FC2DB5"/>
    <w:rsid w:val="00FC33AA"/>
    <w:rsid w:val="00FC3F65"/>
    <w:rsid w:val="00FC4173"/>
    <w:rsid w:val="00FC71DA"/>
    <w:rsid w:val="00FC724B"/>
    <w:rsid w:val="00FC7668"/>
    <w:rsid w:val="00FC7910"/>
    <w:rsid w:val="00FD01E0"/>
    <w:rsid w:val="00FD0FC8"/>
    <w:rsid w:val="00FD2B6F"/>
    <w:rsid w:val="00FD4B78"/>
    <w:rsid w:val="00FD6FF8"/>
    <w:rsid w:val="00FE1627"/>
    <w:rsid w:val="00FE2AA2"/>
    <w:rsid w:val="00FE439C"/>
    <w:rsid w:val="00FE444F"/>
    <w:rsid w:val="00FE54B7"/>
    <w:rsid w:val="00FE5BD0"/>
    <w:rsid w:val="00FE62B8"/>
    <w:rsid w:val="00FE69F4"/>
    <w:rsid w:val="00FE73F0"/>
    <w:rsid w:val="00FE7E42"/>
    <w:rsid w:val="00FF092F"/>
    <w:rsid w:val="00FF0DA7"/>
    <w:rsid w:val="00FF44E0"/>
    <w:rsid w:val="00FF6C72"/>
    <w:rsid w:val="018C33F1"/>
    <w:rsid w:val="01A94010"/>
    <w:rsid w:val="01DF6F92"/>
    <w:rsid w:val="03505690"/>
    <w:rsid w:val="03F31D2B"/>
    <w:rsid w:val="04A10F62"/>
    <w:rsid w:val="04C904B8"/>
    <w:rsid w:val="05BF1420"/>
    <w:rsid w:val="078220FB"/>
    <w:rsid w:val="07934980"/>
    <w:rsid w:val="091F6E86"/>
    <w:rsid w:val="09C30F57"/>
    <w:rsid w:val="09F47B7D"/>
    <w:rsid w:val="0A3B3C8B"/>
    <w:rsid w:val="0B332B30"/>
    <w:rsid w:val="0B45552B"/>
    <w:rsid w:val="0B6719E5"/>
    <w:rsid w:val="0BF263F6"/>
    <w:rsid w:val="0CF629FC"/>
    <w:rsid w:val="0D42705A"/>
    <w:rsid w:val="0D596940"/>
    <w:rsid w:val="0D7E0499"/>
    <w:rsid w:val="0D981BB8"/>
    <w:rsid w:val="0F3932BC"/>
    <w:rsid w:val="0FFF1232"/>
    <w:rsid w:val="105E794E"/>
    <w:rsid w:val="106B05B6"/>
    <w:rsid w:val="115511A2"/>
    <w:rsid w:val="11EB3D39"/>
    <w:rsid w:val="12F965EC"/>
    <w:rsid w:val="1354798A"/>
    <w:rsid w:val="137B35AF"/>
    <w:rsid w:val="14782AA2"/>
    <w:rsid w:val="149A64B1"/>
    <w:rsid w:val="1505027F"/>
    <w:rsid w:val="15134287"/>
    <w:rsid w:val="16CE15A3"/>
    <w:rsid w:val="177B0705"/>
    <w:rsid w:val="1A324115"/>
    <w:rsid w:val="1A540717"/>
    <w:rsid w:val="1D814AA5"/>
    <w:rsid w:val="1DB84F1E"/>
    <w:rsid w:val="1DCD0BC2"/>
    <w:rsid w:val="1EB6048B"/>
    <w:rsid w:val="1EF65EF6"/>
    <w:rsid w:val="1F0C1276"/>
    <w:rsid w:val="1F234C0C"/>
    <w:rsid w:val="1F24538F"/>
    <w:rsid w:val="20B322F1"/>
    <w:rsid w:val="210755B4"/>
    <w:rsid w:val="227F72AC"/>
    <w:rsid w:val="22FB276D"/>
    <w:rsid w:val="2446477A"/>
    <w:rsid w:val="249D2C56"/>
    <w:rsid w:val="24B421F7"/>
    <w:rsid w:val="25A466AC"/>
    <w:rsid w:val="261F5D33"/>
    <w:rsid w:val="261F6D61"/>
    <w:rsid w:val="273D5DCF"/>
    <w:rsid w:val="28386F2E"/>
    <w:rsid w:val="28EA52FA"/>
    <w:rsid w:val="29107F53"/>
    <w:rsid w:val="29D946BF"/>
    <w:rsid w:val="2A5D507B"/>
    <w:rsid w:val="2AF730C2"/>
    <w:rsid w:val="2B0E02CA"/>
    <w:rsid w:val="2BA57BBC"/>
    <w:rsid w:val="2D113502"/>
    <w:rsid w:val="2D306A77"/>
    <w:rsid w:val="2D5B3D95"/>
    <w:rsid w:val="2DE86E74"/>
    <w:rsid w:val="2F2470D2"/>
    <w:rsid w:val="2F5B716B"/>
    <w:rsid w:val="2F824B62"/>
    <w:rsid w:val="2FF161C3"/>
    <w:rsid w:val="3034687E"/>
    <w:rsid w:val="30592868"/>
    <w:rsid w:val="31A751BC"/>
    <w:rsid w:val="3252638A"/>
    <w:rsid w:val="325D5819"/>
    <w:rsid w:val="33845CF5"/>
    <w:rsid w:val="343B3DBB"/>
    <w:rsid w:val="34F767F8"/>
    <w:rsid w:val="35C10BB4"/>
    <w:rsid w:val="35FA5E74"/>
    <w:rsid w:val="36000CFE"/>
    <w:rsid w:val="36C2526A"/>
    <w:rsid w:val="376641A4"/>
    <w:rsid w:val="37E93C80"/>
    <w:rsid w:val="3811168E"/>
    <w:rsid w:val="38D41769"/>
    <w:rsid w:val="39A42568"/>
    <w:rsid w:val="3A022862"/>
    <w:rsid w:val="3B3A3330"/>
    <w:rsid w:val="3BBF0A71"/>
    <w:rsid w:val="3D1E454A"/>
    <w:rsid w:val="3E02296F"/>
    <w:rsid w:val="3EB47508"/>
    <w:rsid w:val="3F2324C1"/>
    <w:rsid w:val="3FFD6C8D"/>
    <w:rsid w:val="41221750"/>
    <w:rsid w:val="42124D27"/>
    <w:rsid w:val="42E76327"/>
    <w:rsid w:val="43885228"/>
    <w:rsid w:val="44AA183B"/>
    <w:rsid w:val="44DD67C7"/>
    <w:rsid w:val="45690CD5"/>
    <w:rsid w:val="45952195"/>
    <w:rsid w:val="47E15760"/>
    <w:rsid w:val="482C45B3"/>
    <w:rsid w:val="488302E7"/>
    <w:rsid w:val="4900334A"/>
    <w:rsid w:val="4AAA7A11"/>
    <w:rsid w:val="4B645870"/>
    <w:rsid w:val="4BDD4185"/>
    <w:rsid w:val="4C135C65"/>
    <w:rsid w:val="4C6729B1"/>
    <w:rsid w:val="4D2D3004"/>
    <w:rsid w:val="4D424C15"/>
    <w:rsid w:val="4DA22C22"/>
    <w:rsid w:val="4DBF2D2F"/>
    <w:rsid w:val="4EEC05F8"/>
    <w:rsid w:val="4F0831A5"/>
    <w:rsid w:val="4F1943CE"/>
    <w:rsid w:val="4F771487"/>
    <w:rsid w:val="507A1C34"/>
    <w:rsid w:val="50C13636"/>
    <w:rsid w:val="50DA7B6A"/>
    <w:rsid w:val="517B52CE"/>
    <w:rsid w:val="51C4585C"/>
    <w:rsid w:val="522E0650"/>
    <w:rsid w:val="52DA2BB0"/>
    <w:rsid w:val="54BA4CF5"/>
    <w:rsid w:val="56866803"/>
    <w:rsid w:val="56F1196D"/>
    <w:rsid w:val="58B24661"/>
    <w:rsid w:val="58DF11CE"/>
    <w:rsid w:val="59282FEE"/>
    <w:rsid w:val="5A44753A"/>
    <w:rsid w:val="5B86252F"/>
    <w:rsid w:val="5C1473E0"/>
    <w:rsid w:val="5CFE3670"/>
    <w:rsid w:val="5D7B027C"/>
    <w:rsid w:val="5E4E4E2C"/>
    <w:rsid w:val="5FE91B00"/>
    <w:rsid w:val="606B69F7"/>
    <w:rsid w:val="60956786"/>
    <w:rsid w:val="61876A50"/>
    <w:rsid w:val="62EA5F8F"/>
    <w:rsid w:val="633352E7"/>
    <w:rsid w:val="63576604"/>
    <w:rsid w:val="642B3B2B"/>
    <w:rsid w:val="659155FE"/>
    <w:rsid w:val="6603190F"/>
    <w:rsid w:val="68682E9A"/>
    <w:rsid w:val="69B52012"/>
    <w:rsid w:val="6A942F72"/>
    <w:rsid w:val="6B6F1853"/>
    <w:rsid w:val="6C43379D"/>
    <w:rsid w:val="6CDA7AE4"/>
    <w:rsid w:val="6E292BB9"/>
    <w:rsid w:val="6F5778B8"/>
    <w:rsid w:val="70142E12"/>
    <w:rsid w:val="70D31529"/>
    <w:rsid w:val="717A0523"/>
    <w:rsid w:val="72633030"/>
    <w:rsid w:val="72A921D9"/>
    <w:rsid w:val="731A4031"/>
    <w:rsid w:val="73B76B77"/>
    <w:rsid w:val="74162BD4"/>
    <w:rsid w:val="747C271B"/>
    <w:rsid w:val="749156AA"/>
    <w:rsid w:val="7544443B"/>
    <w:rsid w:val="755F0D14"/>
    <w:rsid w:val="77577866"/>
    <w:rsid w:val="78E41947"/>
    <w:rsid w:val="797E3D39"/>
    <w:rsid w:val="79D9001D"/>
    <w:rsid w:val="7A4A3CF9"/>
    <w:rsid w:val="7B7549DF"/>
    <w:rsid w:val="7B827A6B"/>
    <w:rsid w:val="7BD52290"/>
    <w:rsid w:val="7D776DF5"/>
    <w:rsid w:val="7DE7321B"/>
    <w:rsid w:val="7E09538E"/>
    <w:rsid w:val="7E417769"/>
    <w:rsid w:val="7F5D4FEE"/>
    <w:rsid w:val="7FB32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50"/>
    <w:autoRedefine/>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52"/>
    <w:autoRedefine/>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57"/>
    <w:autoRedefine/>
    <w:qFormat/>
    <w:uiPriority w:val="0"/>
    <w:pPr>
      <w:keepNext/>
      <w:keepLines/>
      <w:spacing w:before="280" w:after="290" w:line="376" w:lineRule="auto"/>
      <w:outlineLvl w:val="3"/>
    </w:pPr>
    <w:rPr>
      <w:b/>
      <w:bCs/>
      <w:sz w:val="28"/>
      <w:szCs w:val="28"/>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260"/>
      <w:jc w:val="left"/>
    </w:pPr>
    <w:rPr>
      <w:rFonts w:ascii="Calibri" w:hAnsi="Calibri" w:cs="Calibri"/>
      <w:sz w:val="18"/>
      <w:szCs w:val="18"/>
    </w:rPr>
  </w:style>
  <w:style w:type="paragraph" w:styleId="6">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49"/>
    <w:autoRedefine/>
    <w:qFormat/>
    <w:uiPriority w:val="0"/>
    <w:pPr>
      <w:jc w:val="left"/>
    </w:pPr>
    <w:rPr>
      <w:rFonts w:ascii="Arial" w:hAnsi="Arial" w:eastAsia="黑体" w:cs="Arial"/>
    </w:rPr>
  </w:style>
  <w:style w:type="paragraph" w:styleId="8">
    <w:name w:val="Body Text"/>
    <w:basedOn w:val="1"/>
    <w:next w:val="9"/>
    <w:link w:val="58"/>
    <w:autoRedefine/>
    <w:qFormat/>
    <w:uiPriority w:val="0"/>
    <w:pPr>
      <w:spacing w:after="120"/>
    </w:pPr>
    <w:rPr>
      <w:rFonts w:ascii="@微软简标宋" w:hAnsi="@微软简标宋" w:eastAsia="@微软简标宋" w:cs="@微软简标宋"/>
      <w:szCs w:val="24"/>
      <w:lang w:val="zh-CN"/>
    </w:rPr>
  </w:style>
  <w:style w:type="paragraph" w:styleId="9">
    <w:name w:val="toc 5"/>
    <w:basedOn w:val="1"/>
    <w:next w:val="1"/>
    <w:qFormat/>
    <w:uiPriority w:val="0"/>
    <w:pPr>
      <w:ind w:left="1680"/>
    </w:pPr>
  </w:style>
  <w:style w:type="paragraph" w:styleId="10">
    <w:name w:val="Body Text Indent"/>
    <w:basedOn w:val="1"/>
    <w:next w:val="11"/>
    <w:unhideWhenUsed/>
    <w:qFormat/>
    <w:uiPriority w:val="0"/>
    <w:pPr>
      <w:spacing w:after="120"/>
      <w:ind w:left="420" w:leftChars="200"/>
    </w:pPr>
    <w:rPr>
      <w:rFonts w:asciiTheme="minorHAnsi" w:hAnsiTheme="minorHAnsi"/>
      <w:szCs w:val="22"/>
    </w:rPr>
  </w:style>
  <w:style w:type="paragraph" w:styleId="11">
    <w:name w:val="envelope return"/>
    <w:basedOn w:val="1"/>
    <w:next w:val="5"/>
    <w:qFormat/>
    <w:uiPriority w:val="0"/>
    <w:pPr>
      <w:snapToGrid w:val="0"/>
    </w:pPr>
    <w:rPr>
      <w:rFonts w:ascii="Arial" w:hAnsi="Arial"/>
    </w:rPr>
  </w:style>
  <w:style w:type="paragraph" w:styleId="12">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38"/>
    <w:autoRedefine/>
    <w:qFormat/>
    <w:uiPriority w:val="99"/>
    <w:rPr>
      <w:rFonts w:ascii="宋体" w:hAnsi="Courier New" w:eastAsiaTheme="minorEastAsia" w:cstheme="minorBidi"/>
      <w:szCs w:val="22"/>
    </w:rPr>
  </w:style>
  <w:style w:type="paragraph" w:styleId="14">
    <w:name w:val="Date"/>
    <w:basedOn w:val="1"/>
    <w:next w:val="1"/>
    <w:link w:val="45"/>
    <w:autoRedefine/>
    <w:qFormat/>
    <w:uiPriority w:val="0"/>
    <w:rPr>
      <w:rFonts w:ascii="Arial" w:hAnsi="Arial" w:eastAsia="宋体" w:cs="Arial"/>
      <w:b/>
      <w:sz w:val="28"/>
    </w:rPr>
  </w:style>
  <w:style w:type="paragraph" w:styleId="15">
    <w:name w:val="Body Text Indent 2"/>
    <w:basedOn w:val="1"/>
    <w:qFormat/>
    <w:uiPriority w:val="0"/>
    <w:pPr>
      <w:spacing w:line="360" w:lineRule="exact"/>
      <w:ind w:firstLine="600" w:firstLineChars="250"/>
      <w:jc w:val="left"/>
    </w:pPr>
    <w:rPr>
      <w:sz w:val="24"/>
    </w:rPr>
  </w:style>
  <w:style w:type="paragraph" w:styleId="16">
    <w:name w:val="Balloon Text"/>
    <w:basedOn w:val="1"/>
    <w:link w:val="32"/>
    <w:autoRedefine/>
    <w:semiHidden/>
    <w:unhideWhenUsed/>
    <w:qFormat/>
    <w:uiPriority w:val="99"/>
    <w:rPr>
      <w:sz w:val="18"/>
      <w:szCs w:val="18"/>
    </w:rPr>
  </w:style>
  <w:style w:type="paragraph" w:styleId="17">
    <w:name w:val="footer"/>
    <w:basedOn w:val="1"/>
    <w:link w:val="37"/>
    <w:autoRedefine/>
    <w:unhideWhenUsed/>
    <w:qFormat/>
    <w:uiPriority w:val="99"/>
    <w:pPr>
      <w:tabs>
        <w:tab w:val="center" w:pos="4153"/>
        <w:tab w:val="right" w:pos="8306"/>
      </w:tabs>
      <w:snapToGrid w:val="0"/>
      <w:jc w:val="left"/>
    </w:pPr>
    <w:rPr>
      <w:sz w:val="18"/>
      <w:szCs w:val="18"/>
    </w:rPr>
  </w:style>
  <w:style w:type="paragraph" w:styleId="18">
    <w:name w:val="header"/>
    <w:basedOn w:val="1"/>
    <w:link w:val="36"/>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List"/>
    <w:basedOn w:val="1"/>
    <w:next w:val="1"/>
    <w:qFormat/>
    <w:uiPriority w:val="0"/>
    <w:pPr>
      <w:widowControl w:val="0"/>
      <w:spacing w:line="240" w:lineRule="auto"/>
      <w:ind w:left="420" w:hanging="420"/>
      <w:textAlignment w:val="auto"/>
    </w:pPr>
    <w:rPr>
      <w:rFonts w:ascii="Arial" w:hAnsi="Arial" w:eastAsia="楷体_GB2312"/>
      <w:color w:val="auto"/>
      <w:kern w:val="2"/>
      <w:sz w:val="28"/>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Body Text First Indent"/>
    <w:basedOn w:val="8"/>
    <w:autoRedefine/>
    <w:semiHidden/>
    <w:unhideWhenUsed/>
    <w:qFormat/>
    <w:uiPriority w:val="99"/>
    <w:pPr>
      <w:ind w:firstLine="420" w:firstLineChars="100"/>
    </w:pPr>
  </w:style>
  <w:style w:type="paragraph" w:styleId="25">
    <w:name w:val="Body Text First Indent 2"/>
    <w:basedOn w:val="10"/>
    <w:next w:val="20"/>
    <w:qFormat/>
    <w:uiPriority w:val="0"/>
    <w:pPr>
      <w:spacing w:line="360" w:lineRule="auto"/>
      <w:ind w:firstLine="200"/>
    </w:pPr>
  </w:style>
  <w:style w:type="table" w:styleId="27">
    <w:name w:val="Table Grid"/>
    <w:basedOn w:val="26"/>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autoRedefine/>
    <w:qFormat/>
    <w:uiPriority w:val="0"/>
    <w:rPr>
      <w:b/>
      <w:bCs/>
    </w:rPr>
  </w:style>
  <w:style w:type="character" w:styleId="30">
    <w:name w:val="Emphasis"/>
    <w:basedOn w:val="28"/>
    <w:qFormat/>
    <w:uiPriority w:val="20"/>
    <w:rPr>
      <w:b/>
      <w:bCs/>
    </w:rPr>
  </w:style>
  <w:style w:type="character" w:styleId="31">
    <w:name w:val="Hyperlink"/>
    <w:basedOn w:val="28"/>
    <w:autoRedefine/>
    <w:unhideWhenUsed/>
    <w:qFormat/>
    <w:uiPriority w:val="99"/>
    <w:rPr>
      <w:color w:val="0000FF" w:themeColor="hyperlink"/>
      <w:u w:val="single"/>
      <w14:textFill>
        <w14:solidFill>
          <w14:schemeClr w14:val="hlink"/>
        </w14:solidFill>
      </w14:textFill>
    </w:rPr>
  </w:style>
  <w:style w:type="character" w:customStyle="1" w:styleId="32">
    <w:name w:val="批注框文本 Char"/>
    <w:basedOn w:val="28"/>
    <w:link w:val="16"/>
    <w:autoRedefine/>
    <w:semiHidden/>
    <w:qFormat/>
    <w:uiPriority w:val="99"/>
    <w:rPr>
      <w:rFonts w:ascii="@仿宋_GB2312" w:hAnsi="@仿宋_GB2312" w:eastAsia="@仿宋_GB2312" w:cs="@仿宋_GB2312"/>
      <w:sz w:val="18"/>
      <w:szCs w:val="18"/>
    </w:rPr>
  </w:style>
  <w:style w:type="paragraph" w:customStyle="1" w:styleId="33">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34">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35">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6">
    <w:name w:val="页眉 Char"/>
    <w:basedOn w:val="28"/>
    <w:link w:val="18"/>
    <w:autoRedefine/>
    <w:qFormat/>
    <w:uiPriority w:val="0"/>
    <w:rPr>
      <w:rFonts w:ascii="@仿宋_GB2312" w:hAnsi="@仿宋_GB2312" w:eastAsia="@仿宋_GB2312" w:cs="@仿宋_GB2312"/>
      <w:sz w:val="18"/>
      <w:szCs w:val="18"/>
    </w:rPr>
  </w:style>
  <w:style w:type="character" w:customStyle="1" w:styleId="37">
    <w:name w:val="页脚 Char"/>
    <w:basedOn w:val="28"/>
    <w:link w:val="17"/>
    <w:autoRedefine/>
    <w:qFormat/>
    <w:uiPriority w:val="99"/>
    <w:rPr>
      <w:rFonts w:ascii="@仿宋_GB2312" w:hAnsi="@仿宋_GB2312" w:eastAsia="@仿宋_GB2312" w:cs="@仿宋_GB2312"/>
      <w:sz w:val="18"/>
      <w:szCs w:val="18"/>
    </w:rPr>
  </w:style>
  <w:style w:type="character" w:customStyle="1" w:styleId="38">
    <w:name w:val="纯文本 Char"/>
    <w:link w:val="13"/>
    <w:autoRedefine/>
    <w:qFormat/>
    <w:uiPriority w:val="0"/>
    <w:rPr>
      <w:rFonts w:ascii="宋体" w:hAnsi="Courier New"/>
    </w:rPr>
  </w:style>
  <w:style w:type="character" w:customStyle="1" w:styleId="39">
    <w:name w:val="纯文本 字符1"/>
    <w:basedOn w:val="28"/>
    <w:autoRedefine/>
    <w:semiHidden/>
    <w:qFormat/>
    <w:uiPriority w:val="99"/>
    <w:rPr>
      <w:rFonts w:hAnsi="Courier New" w:cs="Courier New" w:asciiTheme="minorEastAsia"/>
      <w:szCs w:val="20"/>
    </w:rPr>
  </w:style>
  <w:style w:type="character" w:customStyle="1" w:styleId="40">
    <w:name w:val="未处理的提及1"/>
    <w:basedOn w:val="28"/>
    <w:autoRedefine/>
    <w:semiHidden/>
    <w:unhideWhenUsed/>
    <w:qFormat/>
    <w:uiPriority w:val="99"/>
    <w:rPr>
      <w:color w:val="605E5C"/>
      <w:shd w:val="clear" w:color="auto" w:fill="E1DFDD"/>
    </w:rPr>
  </w:style>
  <w:style w:type="paragraph" w:styleId="41">
    <w:name w:val="List Paragraph"/>
    <w:basedOn w:val="1"/>
    <w:autoRedefine/>
    <w:qFormat/>
    <w:uiPriority w:val="34"/>
    <w:pPr>
      <w:ind w:firstLine="420" w:firstLineChars="200"/>
    </w:pPr>
  </w:style>
  <w:style w:type="paragraph" w:customStyle="1" w:styleId="42">
    <w:name w:val="Char Char Char Char Char Char Char1 Char"/>
    <w:basedOn w:val="1"/>
    <w:autoRedefine/>
    <w:qFormat/>
    <w:uiPriority w:val="0"/>
    <w:rPr>
      <w:rFonts w:ascii="Arial" w:hAnsi="Arial" w:eastAsia="宋体" w:cs="Arial"/>
      <w:sz w:val="24"/>
    </w:rPr>
  </w:style>
  <w:style w:type="table" w:customStyle="1" w:styleId="43">
    <w:name w:val="网格表 1 浅色1"/>
    <w:basedOn w:val="2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4">
    <w:name w:val="日期 字符"/>
    <w:basedOn w:val="28"/>
    <w:autoRedefine/>
    <w:semiHidden/>
    <w:qFormat/>
    <w:uiPriority w:val="99"/>
    <w:rPr>
      <w:rFonts w:ascii="@仿宋_GB2312" w:hAnsi="@仿宋_GB2312" w:eastAsia="@仿宋_GB2312" w:cs="@仿宋_GB2312"/>
      <w:szCs w:val="20"/>
    </w:rPr>
  </w:style>
  <w:style w:type="character" w:customStyle="1" w:styleId="45">
    <w:name w:val="日期 Char"/>
    <w:link w:val="14"/>
    <w:autoRedefine/>
    <w:qFormat/>
    <w:uiPriority w:val="0"/>
    <w:rPr>
      <w:rFonts w:ascii="Arial" w:hAnsi="Arial" w:eastAsia="宋体" w:cs="Arial"/>
      <w:b/>
      <w:sz w:val="28"/>
      <w:szCs w:val="20"/>
    </w:rPr>
  </w:style>
  <w:style w:type="character" w:customStyle="1" w:styleId="46">
    <w:name w:val="纯文本 Char1"/>
    <w:link w:val="47"/>
    <w:autoRedefine/>
    <w:qFormat/>
    <w:locked/>
    <w:uiPriority w:val="0"/>
    <w:rPr>
      <w:rFonts w:ascii="Arial" w:hAnsi="Arial" w:eastAsia="Arial"/>
      <w:kern w:val="2"/>
      <w:sz w:val="21"/>
      <w:lang w:val="en-US" w:eastAsia="zh-CN" w:bidi="ar-SA"/>
    </w:rPr>
  </w:style>
  <w:style w:type="paragraph" w:customStyle="1" w:styleId="47">
    <w:name w:val="纯文本1"/>
    <w:basedOn w:val="1"/>
    <w:link w:val="46"/>
    <w:autoRedefine/>
    <w:qFormat/>
    <w:uiPriority w:val="0"/>
    <w:rPr>
      <w:rFonts w:ascii="Arial" w:hAnsi="Arial" w:eastAsia="Arial" w:cstheme="minorBidi"/>
    </w:rPr>
  </w:style>
  <w:style w:type="character" w:customStyle="1" w:styleId="48">
    <w:name w:val="批注文字 Char"/>
    <w:basedOn w:val="28"/>
    <w:autoRedefine/>
    <w:semiHidden/>
    <w:qFormat/>
    <w:uiPriority w:val="99"/>
    <w:rPr>
      <w:rFonts w:ascii="@仿宋_GB2312" w:hAnsi="@仿宋_GB2312" w:eastAsia="@仿宋_GB2312" w:cs="@仿宋_GB2312"/>
      <w:szCs w:val="20"/>
    </w:rPr>
  </w:style>
  <w:style w:type="character" w:customStyle="1" w:styleId="49">
    <w:name w:val="批注文字 Char1"/>
    <w:link w:val="7"/>
    <w:autoRedefine/>
    <w:qFormat/>
    <w:uiPriority w:val="0"/>
    <w:rPr>
      <w:rFonts w:ascii="Arial" w:hAnsi="Arial" w:eastAsia="黑体" w:cs="Arial"/>
      <w:szCs w:val="20"/>
    </w:rPr>
  </w:style>
  <w:style w:type="character" w:customStyle="1" w:styleId="50">
    <w:name w:val="标题 1 Char"/>
    <w:basedOn w:val="28"/>
    <w:link w:val="2"/>
    <w:autoRedefine/>
    <w:qFormat/>
    <w:uiPriority w:val="9"/>
    <w:rPr>
      <w:rFonts w:ascii="@仿宋_GB2312" w:hAnsi="@仿宋_GB2312" w:eastAsia="@仿宋_GB2312" w:cs="@仿宋_GB2312"/>
      <w:b/>
      <w:bCs/>
      <w:kern w:val="44"/>
      <w:sz w:val="44"/>
      <w:szCs w:val="44"/>
    </w:rPr>
  </w:style>
  <w:style w:type="paragraph" w:customStyle="1" w:styleId="51">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2">
    <w:name w:val="标题 3 Char"/>
    <w:basedOn w:val="28"/>
    <w:link w:val="3"/>
    <w:autoRedefine/>
    <w:semiHidden/>
    <w:qFormat/>
    <w:uiPriority w:val="9"/>
    <w:rPr>
      <w:rFonts w:ascii="@仿宋_GB2312" w:hAnsi="@仿宋_GB2312" w:eastAsia="@仿宋_GB2312" w:cs="@仿宋_GB2312"/>
      <w:b/>
      <w:bCs/>
      <w:sz w:val="32"/>
      <w:szCs w:val="32"/>
    </w:rPr>
  </w:style>
  <w:style w:type="character" w:customStyle="1" w:styleId="53">
    <w:name w:val="fontstyle01"/>
    <w:basedOn w:val="28"/>
    <w:autoRedefine/>
    <w:qFormat/>
    <w:uiPriority w:val="0"/>
    <w:rPr>
      <w:rFonts w:hint="eastAsia" w:ascii="宋体" w:hAnsi="宋体" w:eastAsia="宋体"/>
      <w:color w:val="000000"/>
      <w:sz w:val="22"/>
      <w:szCs w:val="22"/>
    </w:rPr>
  </w:style>
  <w:style w:type="character" w:customStyle="1" w:styleId="54">
    <w:name w:val="fontstyle21"/>
    <w:basedOn w:val="28"/>
    <w:autoRedefine/>
    <w:qFormat/>
    <w:uiPriority w:val="0"/>
    <w:rPr>
      <w:rFonts w:hint="default" w:ascii="TimesNewRomanPSMT" w:hAnsi="TimesNewRomanPSMT"/>
      <w:color w:val="000000"/>
      <w:sz w:val="22"/>
      <w:szCs w:val="22"/>
    </w:rPr>
  </w:style>
  <w:style w:type="character" w:customStyle="1" w:styleId="5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56">
    <w:name w:val="标题 4 字符"/>
    <w:basedOn w:val="28"/>
    <w:autoRedefine/>
    <w:semiHidden/>
    <w:qFormat/>
    <w:uiPriority w:val="9"/>
    <w:rPr>
      <w:rFonts w:asciiTheme="majorHAnsi" w:hAnsiTheme="majorHAnsi" w:eastAsiaTheme="majorEastAsia" w:cstheme="majorBidi"/>
      <w:b/>
      <w:bCs/>
      <w:sz w:val="28"/>
      <w:szCs w:val="28"/>
    </w:rPr>
  </w:style>
  <w:style w:type="character" w:customStyle="1" w:styleId="57">
    <w:name w:val="标题 4 Char"/>
    <w:link w:val="4"/>
    <w:autoRedefine/>
    <w:qFormat/>
    <w:uiPriority w:val="0"/>
    <w:rPr>
      <w:rFonts w:ascii="@仿宋_GB2312" w:hAnsi="@仿宋_GB2312" w:eastAsia="@仿宋_GB2312" w:cs="@仿宋_GB2312"/>
      <w:b/>
      <w:bCs/>
      <w:sz w:val="28"/>
      <w:szCs w:val="28"/>
    </w:rPr>
  </w:style>
  <w:style w:type="character" w:customStyle="1" w:styleId="58">
    <w:name w:val="正文文本 Char"/>
    <w:basedOn w:val="28"/>
    <w:link w:val="8"/>
    <w:autoRedefine/>
    <w:qFormat/>
    <w:uiPriority w:val="0"/>
    <w:rPr>
      <w:rFonts w:ascii="@微软简标宋" w:hAnsi="@微软简标宋" w:eastAsia="@微软简标宋" w:cs="@微软简标宋"/>
      <w:szCs w:val="24"/>
      <w:lang w:val="zh-CN" w:eastAsia="zh-CN"/>
    </w:rPr>
  </w:style>
  <w:style w:type="table" w:customStyle="1" w:styleId="59">
    <w:name w:val="网格型1"/>
    <w:basedOn w:val="26"/>
    <w:autoRedefine/>
    <w:unhideWhenUsed/>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0">
    <w:name w:val="Table Normal"/>
    <w:autoRedefine/>
    <w:semiHidden/>
    <w:unhideWhenUsed/>
    <w:qFormat/>
    <w:uiPriority w:val="0"/>
    <w:tblPr>
      <w:tblCellMar>
        <w:top w:w="0" w:type="dxa"/>
        <w:left w:w="0" w:type="dxa"/>
        <w:bottom w:w="0" w:type="dxa"/>
        <w:right w:w="0" w:type="dxa"/>
      </w:tblCellMar>
    </w:tblPr>
  </w:style>
  <w:style w:type="paragraph" w:customStyle="1" w:styleId="61">
    <w:name w:val="Table Text"/>
    <w:basedOn w:val="1"/>
    <w:autoRedefine/>
    <w:semiHidden/>
    <w:qFormat/>
    <w:uiPriority w:val="0"/>
    <w:rPr>
      <w:rFonts w:ascii="Arial" w:hAnsi="Arial" w:eastAsia="Arial" w:cs="Arial"/>
      <w:sz w:val="21"/>
      <w:szCs w:val="21"/>
      <w:lang w:val="en-US" w:eastAsia="en-US" w:bidi="ar-SA"/>
    </w:rPr>
  </w:style>
  <w:style w:type="paragraph" w:customStyle="1" w:styleId="62">
    <w:name w:val="*正文"/>
    <w:basedOn w:val="1"/>
    <w:qFormat/>
    <w:uiPriority w:val="0"/>
    <w:pPr>
      <w:widowControl/>
      <w:snapToGrid w:val="0"/>
      <w:ind w:firstLine="560"/>
      <w:jc w:val="left"/>
    </w:pPr>
    <w:rPr>
      <w:rFonts w:ascii="仿宋_GB2312"/>
      <w:color w:val="191919"/>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34F8B4-17D6-429C-96DF-9B82DA1A6489}">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52</Pages>
  <Words>1314</Words>
  <Characters>1691</Characters>
  <Lines>206</Lines>
  <Paragraphs>58</Paragraphs>
  <TotalTime>0</TotalTime>
  <ScaleCrop>false</ScaleCrop>
  <LinksUpToDate>false</LinksUpToDate>
  <CharactersWithSpaces>1730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韦韦</cp:lastModifiedBy>
  <cp:lastPrinted>2019-12-07T15:21:00Z</cp:lastPrinted>
  <dcterms:modified xsi:type="dcterms:W3CDTF">2026-10-28T08:56:44Z</dcterms:modified>
  <cp:revision>3589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CE04A8B573164FCE98D7B3DE861AAAF4_13</vt:lpwstr>
  </property>
  <property fmtid="{D5CDD505-2E9C-101B-9397-08002B2CF9AE}" pid="4" name="KSOTemplateDocerSaveRecord">
    <vt:lpwstr>eyJoZGlkIjoiZmQ5MGI3YTdkMjVkZTZjM2ZjZTQ5YjMxYTJjZjRlOWEiLCJ1c2VySWQiOiIzNjE4MjQ5In0=</vt:lpwstr>
  </property>
</Properties>
</file>