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3BEA7F1">
      <w:pPr>
        <w:pStyle w:val="14"/>
        <w:ind w:left="0" w:leftChars="0" w:firstLine="0" w:firstLineChars="0"/>
        <w:rPr>
          <w:highlight w:val="none"/>
        </w:rPr>
      </w:pPr>
      <w:bookmarkStart w:id="0" w:name="_Toc247085669"/>
      <w:bookmarkStart w:id="1" w:name="_Toc246996898"/>
      <w:bookmarkStart w:id="2" w:name="_Toc15058843"/>
      <w:bookmarkStart w:id="3" w:name="_Toc506107265"/>
      <w:bookmarkStart w:id="4" w:name="_Toc296602400"/>
      <w:bookmarkStart w:id="5" w:name="_Toc324404811"/>
      <w:bookmarkStart w:id="6" w:name="_Toc461631222"/>
      <w:bookmarkStart w:id="7" w:name="OLE_LINK2"/>
      <w:bookmarkStart w:id="8" w:name="OLE_LINK4"/>
      <w:bookmarkStart w:id="9" w:name="OLE_LINK3"/>
      <w:bookmarkStart w:id="10" w:name="OLE_LINK5"/>
      <w:bookmarkStart w:id="11" w:name="OLE_LINK1"/>
    </w:p>
    <w:p w14:paraId="2A2621CC">
      <w:pPr>
        <w:pStyle w:val="14"/>
        <w:ind w:left="0" w:leftChars="0" w:firstLine="0" w:firstLineChars="0"/>
        <w:jc w:val="center"/>
        <w:rPr>
          <w:highlight w:val="none"/>
        </w:rPr>
      </w:pPr>
      <w:r>
        <w:rPr>
          <w:rFonts w:hint="eastAsia" w:hAnsi="宋体" w:cs="宋体"/>
          <w:b/>
          <w:color w:val="auto"/>
          <w:kern w:val="0"/>
          <w:sz w:val="60"/>
          <w:szCs w:val="60"/>
          <w:highlight w:val="none"/>
          <w:lang w:eastAsia="zh-CN"/>
        </w:rPr>
        <w:t>滁宁城际铁路相官车辆段光伏EPC项目</w:t>
      </w:r>
    </w:p>
    <w:p w14:paraId="05533949">
      <w:pPr>
        <w:jc w:val="center"/>
        <w:rPr>
          <w:rFonts w:hint="eastAsia" w:ascii="宋体" w:hAnsi="宋体"/>
          <w:b/>
          <w:bCs/>
          <w:color w:val="auto"/>
          <w:sz w:val="96"/>
          <w:szCs w:val="96"/>
          <w:highlight w:val="none"/>
        </w:rPr>
      </w:pPr>
    </w:p>
    <w:p w14:paraId="4BB8E937">
      <w:pPr>
        <w:jc w:val="center"/>
        <w:rPr>
          <w:color w:val="auto"/>
          <w:sz w:val="28"/>
          <w:szCs w:val="28"/>
          <w:highlight w:val="none"/>
        </w:rPr>
      </w:pPr>
      <w:r>
        <w:rPr>
          <w:rFonts w:hint="eastAsia" w:ascii="宋体" w:hAnsi="宋体"/>
          <w:b/>
          <w:bCs/>
          <w:color w:val="auto"/>
          <w:sz w:val="96"/>
          <w:szCs w:val="96"/>
          <w:highlight w:val="none"/>
        </w:rPr>
        <w:t>招</w:t>
      </w:r>
      <w:r>
        <w:rPr>
          <w:rFonts w:hint="eastAsia" w:ascii="宋体" w:hAnsi="宋体"/>
          <w:b/>
          <w:bCs/>
          <w:color w:val="auto"/>
          <w:sz w:val="96"/>
          <w:szCs w:val="96"/>
          <w:highlight w:val="none"/>
          <w:lang w:val="en-US" w:eastAsia="zh-CN"/>
        </w:rPr>
        <w:t xml:space="preserve"> </w:t>
      </w:r>
      <w:r>
        <w:rPr>
          <w:rFonts w:hint="eastAsia" w:ascii="宋体"/>
          <w:b/>
          <w:bCs/>
          <w:color w:val="auto"/>
          <w:sz w:val="96"/>
          <w:szCs w:val="96"/>
          <w:highlight w:val="none"/>
        </w:rPr>
        <w:t>标</w:t>
      </w:r>
      <w:r>
        <w:rPr>
          <w:rFonts w:hint="eastAsia" w:ascii="宋体"/>
          <w:b/>
          <w:bCs/>
          <w:color w:val="auto"/>
          <w:sz w:val="96"/>
          <w:szCs w:val="96"/>
          <w:highlight w:val="none"/>
          <w:lang w:val="en-US" w:eastAsia="zh-CN"/>
        </w:rPr>
        <w:t xml:space="preserve"> </w:t>
      </w:r>
      <w:r>
        <w:rPr>
          <w:rFonts w:hint="eastAsia" w:ascii="宋体" w:hAnsi="宋体"/>
          <w:b/>
          <w:bCs/>
          <w:color w:val="auto"/>
          <w:sz w:val="96"/>
          <w:szCs w:val="96"/>
          <w:highlight w:val="none"/>
        </w:rPr>
        <w:t>文</w:t>
      </w:r>
      <w:r>
        <w:rPr>
          <w:rFonts w:hint="eastAsia" w:ascii="宋体" w:hAnsi="宋体"/>
          <w:b/>
          <w:bCs/>
          <w:color w:val="auto"/>
          <w:sz w:val="96"/>
          <w:szCs w:val="96"/>
          <w:highlight w:val="none"/>
          <w:lang w:val="en-US" w:eastAsia="zh-CN"/>
        </w:rPr>
        <w:t xml:space="preserve"> </w:t>
      </w:r>
      <w:r>
        <w:rPr>
          <w:rFonts w:hint="eastAsia" w:ascii="宋体" w:hAnsi="宋体"/>
          <w:b/>
          <w:bCs/>
          <w:color w:val="auto"/>
          <w:sz w:val="96"/>
          <w:szCs w:val="96"/>
          <w:highlight w:val="none"/>
        </w:rPr>
        <w:t>件</w:t>
      </w:r>
    </w:p>
    <w:p w14:paraId="201544BF">
      <w:pPr>
        <w:spacing w:line="400" w:lineRule="exact"/>
        <w:jc w:val="center"/>
        <w:rPr>
          <w:rFonts w:ascii="宋体" w:hAnsi="宋体"/>
          <w:b/>
          <w:color w:val="auto"/>
          <w:sz w:val="39"/>
          <w:highlight w:val="none"/>
        </w:rPr>
      </w:pPr>
    </w:p>
    <w:p w14:paraId="3187D452">
      <w:pPr>
        <w:spacing w:line="400" w:lineRule="exact"/>
        <w:rPr>
          <w:color w:val="auto"/>
          <w:highlight w:val="none"/>
        </w:rPr>
      </w:pPr>
    </w:p>
    <w:p w14:paraId="555B4981">
      <w:pPr>
        <w:ind w:firstLine="2240" w:firstLineChars="800"/>
        <w:rPr>
          <w:rFonts w:hint="default" w:ascii="宋体" w:hAnsi="宋体" w:eastAsia="宋体" w:cs="宋体"/>
          <w:color w:val="auto"/>
          <w:sz w:val="28"/>
          <w:szCs w:val="22"/>
          <w:highlight w:val="none"/>
          <w:lang w:val="en-US" w:eastAsia="zh-CN"/>
        </w:rPr>
      </w:pPr>
      <w:r>
        <w:rPr>
          <w:rFonts w:hint="eastAsia" w:ascii="宋体" w:hAnsi="宋体" w:eastAsia="宋体" w:cs="宋体"/>
          <w:color w:val="auto"/>
          <w:sz w:val="28"/>
          <w:szCs w:val="22"/>
          <w:highlight w:val="none"/>
        </w:rPr>
        <w:t>项目编号：HXJY1110001064111001</w:t>
      </w:r>
    </w:p>
    <w:p w14:paraId="15D88AAA">
      <w:pPr>
        <w:pStyle w:val="14"/>
        <w:rPr>
          <w:color w:val="auto"/>
          <w:highlight w:val="none"/>
        </w:rPr>
      </w:pPr>
    </w:p>
    <w:p w14:paraId="691FE4D6">
      <w:pPr>
        <w:rPr>
          <w:color w:val="auto"/>
          <w:highlight w:val="none"/>
        </w:rPr>
      </w:pPr>
    </w:p>
    <w:p w14:paraId="7E411827">
      <w:pPr>
        <w:pStyle w:val="14"/>
        <w:rPr>
          <w:color w:val="auto"/>
          <w:highlight w:val="none"/>
        </w:rPr>
      </w:pPr>
    </w:p>
    <w:p w14:paraId="6CF62471">
      <w:pPr>
        <w:rPr>
          <w:color w:val="auto"/>
          <w:highlight w:val="none"/>
        </w:rPr>
      </w:pPr>
    </w:p>
    <w:p w14:paraId="276FE2C2">
      <w:pPr>
        <w:pStyle w:val="14"/>
        <w:rPr>
          <w:color w:val="auto"/>
          <w:highlight w:val="none"/>
        </w:rPr>
      </w:pPr>
    </w:p>
    <w:p w14:paraId="3BD0CE75">
      <w:pPr>
        <w:rPr>
          <w:color w:val="auto"/>
          <w:highlight w:val="none"/>
        </w:rPr>
      </w:pPr>
    </w:p>
    <w:p w14:paraId="31EEA548">
      <w:pPr>
        <w:pStyle w:val="14"/>
        <w:rPr>
          <w:highlight w:val="none"/>
        </w:rPr>
      </w:pPr>
    </w:p>
    <w:p w14:paraId="6EBADFFD">
      <w:pPr>
        <w:rPr>
          <w:highlight w:val="none"/>
        </w:rPr>
      </w:pPr>
    </w:p>
    <w:p w14:paraId="57C971B3">
      <w:pPr>
        <w:pStyle w:val="14"/>
        <w:rPr>
          <w:highlight w:val="none"/>
        </w:rPr>
      </w:pPr>
    </w:p>
    <w:p w14:paraId="0FB3EFCA">
      <w:pPr>
        <w:pStyle w:val="14"/>
        <w:ind w:left="0" w:leftChars="0" w:firstLine="0" w:firstLineChars="0"/>
        <w:rPr>
          <w:highlight w:val="none"/>
        </w:rPr>
      </w:pPr>
    </w:p>
    <w:p w14:paraId="34E1CE7D">
      <w:pPr>
        <w:spacing w:line="720" w:lineRule="exact"/>
        <w:rPr>
          <w:b/>
          <w:bCs/>
          <w:color w:val="auto"/>
          <w:sz w:val="28"/>
          <w:szCs w:val="28"/>
          <w:highlight w:val="none"/>
        </w:rPr>
      </w:pPr>
    </w:p>
    <w:p w14:paraId="600C11DF">
      <w:pPr>
        <w:spacing w:line="800" w:lineRule="exact"/>
        <w:ind w:firstLine="600" w:firstLineChars="200"/>
        <w:rPr>
          <w:rFonts w:hint="default" w:ascii="宋体" w:hAnsi="Times New Roman" w:eastAsia="宋体" w:cs="Times New Roman"/>
          <w:sz w:val="30"/>
          <w:szCs w:val="30"/>
          <w:highlight w:val="none"/>
          <w:u w:val="single"/>
          <w:lang w:val="en-US" w:eastAsia="zh-CN"/>
        </w:rPr>
      </w:pPr>
      <w:r>
        <w:rPr>
          <w:rFonts w:hint="eastAsia"/>
          <w:bCs/>
          <w:color w:val="auto"/>
          <w:sz w:val="30"/>
          <w:szCs w:val="30"/>
          <w:highlight w:val="none"/>
        </w:rPr>
        <w:t>招</w:t>
      </w:r>
      <w:r>
        <w:rPr>
          <w:rFonts w:hint="eastAsia"/>
          <w:bCs/>
          <w:color w:val="auto"/>
          <w:sz w:val="30"/>
          <w:szCs w:val="30"/>
          <w:highlight w:val="none"/>
          <w:lang w:val="en-US" w:eastAsia="zh-CN"/>
        </w:rPr>
        <w:t xml:space="preserve">  </w:t>
      </w:r>
      <w:r>
        <w:rPr>
          <w:rFonts w:hint="eastAsia"/>
          <w:bCs/>
          <w:color w:val="auto"/>
          <w:sz w:val="30"/>
          <w:szCs w:val="30"/>
          <w:highlight w:val="none"/>
        </w:rPr>
        <w:t>标</w:t>
      </w:r>
      <w:r>
        <w:rPr>
          <w:rFonts w:hint="eastAsia"/>
          <w:bCs/>
          <w:color w:val="auto"/>
          <w:sz w:val="30"/>
          <w:szCs w:val="30"/>
          <w:highlight w:val="none"/>
          <w:lang w:val="en-US" w:eastAsia="zh-CN"/>
        </w:rPr>
        <w:t xml:space="preserve">  人</w:t>
      </w:r>
      <w:r>
        <w:rPr>
          <w:rFonts w:hint="eastAsia"/>
          <w:bCs/>
          <w:color w:val="auto"/>
          <w:sz w:val="30"/>
          <w:szCs w:val="30"/>
          <w:highlight w:val="none"/>
        </w:rPr>
        <w:t>：</w:t>
      </w:r>
      <w:r>
        <w:rPr>
          <w:rFonts w:hint="eastAsia"/>
          <w:bCs/>
          <w:color w:val="auto"/>
          <w:sz w:val="30"/>
          <w:szCs w:val="30"/>
          <w:highlight w:val="none"/>
          <w:u w:val="single"/>
          <w:lang w:val="en-US" w:eastAsia="zh-CN"/>
        </w:rPr>
        <w:t xml:space="preserve">   </w:t>
      </w:r>
      <w:r>
        <w:rPr>
          <w:rFonts w:hint="eastAsia" w:ascii="宋体" w:cs="Times New Roman"/>
          <w:sz w:val="30"/>
          <w:szCs w:val="30"/>
          <w:highlight w:val="none"/>
          <w:u w:val="single"/>
          <w:lang w:eastAsia="zh-CN"/>
        </w:rPr>
        <w:t>滁州市翼然新能源开发有限公司</w:t>
      </w:r>
      <w:r>
        <w:rPr>
          <w:rFonts w:hint="eastAsia" w:ascii="宋体" w:cs="Times New Roman"/>
          <w:sz w:val="30"/>
          <w:szCs w:val="30"/>
          <w:highlight w:val="none"/>
          <w:u w:val="single"/>
          <w:lang w:val="en-US" w:eastAsia="zh-CN"/>
        </w:rPr>
        <w:t xml:space="preserve">  </w:t>
      </w:r>
    </w:p>
    <w:p w14:paraId="2C39D907">
      <w:pPr>
        <w:spacing w:line="800" w:lineRule="exact"/>
        <w:ind w:firstLine="600" w:firstLineChars="200"/>
        <w:rPr>
          <w:bCs/>
          <w:spacing w:val="-20"/>
          <w:sz w:val="30"/>
          <w:szCs w:val="30"/>
          <w:highlight w:val="none"/>
          <w:u w:val="thick"/>
        </w:rPr>
      </w:pPr>
      <w:r>
        <w:rPr>
          <w:rFonts w:hint="eastAsia"/>
          <w:bCs/>
          <w:sz w:val="30"/>
          <w:szCs w:val="30"/>
          <w:highlight w:val="none"/>
        </w:rPr>
        <w:t>招标代理机构：</w:t>
      </w:r>
      <w:r>
        <w:rPr>
          <w:rFonts w:hint="eastAsia" w:ascii="宋体"/>
          <w:sz w:val="30"/>
          <w:szCs w:val="30"/>
          <w:highlight w:val="none"/>
          <w:u w:val="single"/>
        </w:rPr>
        <w:t>滁州市城投工程咨询管理有限公司</w:t>
      </w:r>
    </w:p>
    <w:p w14:paraId="096ECC50">
      <w:pPr>
        <w:spacing w:before="156" w:beforeLines="50" w:after="156" w:afterLines="50" w:line="700" w:lineRule="exact"/>
        <w:jc w:val="center"/>
        <w:rPr>
          <w:rFonts w:ascii="宋体"/>
          <w:b w:val="0"/>
          <w:bCs/>
          <w:color w:val="auto"/>
          <w:sz w:val="32"/>
          <w:szCs w:val="32"/>
          <w:highlight w:val="none"/>
        </w:rPr>
      </w:pPr>
      <w:r>
        <w:rPr>
          <w:rFonts w:hint="eastAsia" w:ascii="宋体"/>
          <w:b w:val="0"/>
          <w:bCs/>
          <w:color w:val="auto"/>
          <w:sz w:val="32"/>
          <w:szCs w:val="32"/>
          <w:highlight w:val="none"/>
          <w:u w:val="single"/>
          <w:lang w:eastAsia="zh-CN"/>
        </w:rPr>
        <w:t>202</w:t>
      </w:r>
      <w:r>
        <w:rPr>
          <w:rFonts w:hint="eastAsia" w:ascii="宋体"/>
          <w:b w:val="0"/>
          <w:bCs/>
          <w:color w:val="auto"/>
          <w:sz w:val="32"/>
          <w:szCs w:val="32"/>
          <w:highlight w:val="none"/>
          <w:u w:val="single"/>
          <w:lang w:val="en-US" w:eastAsia="zh-CN"/>
        </w:rPr>
        <w:t>6</w:t>
      </w:r>
      <w:r>
        <w:rPr>
          <w:rFonts w:hint="eastAsia" w:ascii="宋体"/>
          <w:b w:val="0"/>
          <w:bCs/>
          <w:color w:val="auto"/>
          <w:sz w:val="32"/>
          <w:szCs w:val="32"/>
          <w:highlight w:val="none"/>
          <w:u w:val="none"/>
          <w:lang w:eastAsia="zh-CN"/>
        </w:rPr>
        <w:t>年</w:t>
      </w:r>
      <w:r>
        <w:rPr>
          <w:rFonts w:hint="eastAsia" w:ascii="宋体"/>
          <w:b w:val="0"/>
          <w:bCs/>
          <w:color w:val="auto"/>
          <w:sz w:val="32"/>
          <w:szCs w:val="32"/>
          <w:highlight w:val="none"/>
          <w:u w:val="single"/>
          <w:lang w:val="en-US" w:eastAsia="zh-CN"/>
        </w:rPr>
        <w:t xml:space="preserve"> 9 </w:t>
      </w:r>
      <w:r>
        <w:rPr>
          <w:rFonts w:hint="eastAsia" w:ascii="宋体"/>
          <w:b w:val="0"/>
          <w:bCs/>
          <w:color w:val="auto"/>
          <w:sz w:val="32"/>
          <w:szCs w:val="32"/>
          <w:highlight w:val="none"/>
        </w:rPr>
        <w:t>月</w:t>
      </w:r>
      <w:r>
        <w:rPr>
          <w:rFonts w:hint="eastAsia" w:ascii="宋体"/>
          <w:b w:val="0"/>
          <w:bCs/>
          <w:color w:val="auto"/>
          <w:sz w:val="32"/>
          <w:szCs w:val="32"/>
          <w:highlight w:val="none"/>
          <w:u w:val="single"/>
          <w:lang w:val="en-US" w:eastAsia="zh-CN"/>
        </w:rPr>
        <w:t xml:space="preserve"> 24 </w:t>
      </w:r>
      <w:r>
        <w:rPr>
          <w:rFonts w:hint="eastAsia" w:ascii="宋体"/>
          <w:b w:val="0"/>
          <w:bCs/>
          <w:color w:val="auto"/>
          <w:sz w:val="32"/>
          <w:szCs w:val="32"/>
          <w:highlight w:val="none"/>
        </w:rPr>
        <w:t>日</w:t>
      </w:r>
    </w:p>
    <w:p w14:paraId="0D5E6D18">
      <w:pPr>
        <w:jc w:val="center"/>
        <w:rPr>
          <w:sz w:val="44"/>
          <w:szCs w:val="44"/>
          <w:highlight w:val="none"/>
        </w:rPr>
        <w:sectPr>
          <w:headerReference r:id="rId3" w:type="default"/>
          <w:footerReference r:id="rId4" w:type="default"/>
          <w:pgSz w:w="11906" w:h="16838"/>
          <w:pgMar w:top="1134" w:right="1417" w:bottom="1134" w:left="1417" w:header="851" w:footer="992" w:gutter="0"/>
          <w:cols w:space="720" w:num="1"/>
          <w:docGrid w:type="lines" w:linePitch="312" w:charSpace="0"/>
        </w:sectPr>
      </w:pPr>
    </w:p>
    <w:p w14:paraId="738D69FE">
      <w:pPr>
        <w:spacing w:line="700" w:lineRule="exact"/>
        <w:jc w:val="center"/>
        <w:rPr>
          <w:rFonts w:hint="eastAsia"/>
          <w:sz w:val="44"/>
          <w:szCs w:val="44"/>
          <w:highlight w:val="none"/>
        </w:rPr>
      </w:pPr>
    </w:p>
    <w:p w14:paraId="09796EC2">
      <w:pPr>
        <w:spacing w:line="700" w:lineRule="exact"/>
        <w:jc w:val="center"/>
        <w:rPr>
          <w:sz w:val="44"/>
          <w:szCs w:val="44"/>
          <w:highlight w:val="none"/>
        </w:rPr>
      </w:pPr>
      <w:r>
        <w:rPr>
          <w:rFonts w:hint="eastAsia"/>
          <w:sz w:val="44"/>
          <w:szCs w:val="44"/>
          <w:highlight w:val="none"/>
        </w:rPr>
        <w:t>目   录</w:t>
      </w:r>
      <w:bookmarkEnd w:id="0"/>
      <w:bookmarkEnd w:id="1"/>
      <w:bookmarkEnd w:id="2"/>
      <w:bookmarkEnd w:id="3"/>
      <w:bookmarkEnd w:id="4"/>
      <w:bookmarkEnd w:id="5"/>
      <w:bookmarkEnd w:id="6"/>
      <w:bookmarkStart w:id="12" w:name="_Toc152045511"/>
      <w:bookmarkStart w:id="13" w:name="_Toc152042287"/>
      <w:bookmarkStart w:id="14" w:name="_Toc179632527"/>
      <w:bookmarkStart w:id="15" w:name="_Toc144974479"/>
    </w:p>
    <w:p w14:paraId="3C53E9AE">
      <w:pPr>
        <w:pStyle w:val="31"/>
        <w:tabs>
          <w:tab w:val="right" w:leader="dot" w:pos="9460"/>
        </w:tabs>
        <w:rPr>
          <w:rFonts w:ascii="Calibri" w:hAnsi="Calibri"/>
          <w:b w:val="0"/>
          <w:bCs w:val="0"/>
          <w:caps w:val="0"/>
          <w:color w:val="000000"/>
          <w:sz w:val="32"/>
          <w:szCs w:val="22"/>
          <w:highlight w:val="none"/>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"_Toc95223332"</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color w:val="000000"/>
          <w:sz w:val="28"/>
          <w:highlight w:val="none"/>
        </w:rPr>
        <w:t>第一章</w:t>
      </w:r>
      <w:r>
        <w:rPr>
          <w:rStyle w:val="58"/>
          <w:color w:val="000000"/>
          <w:sz w:val="28"/>
          <w:highlight w:val="none"/>
        </w:rPr>
        <w:t xml:space="preserve"> </w:t>
      </w:r>
      <w:r>
        <w:rPr>
          <w:rStyle w:val="58"/>
          <w:rFonts w:hint="eastAsia"/>
          <w:color w:val="000000"/>
          <w:sz w:val="28"/>
          <w:highlight w:val="none"/>
        </w:rPr>
        <w:t>招标公告</w:t>
      </w:r>
      <w:r>
        <w:rPr>
          <w:color w:val="000000"/>
          <w:sz w:val="28"/>
          <w:highlight w:val="none"/>
        </w:rPr>
        <w:tab/>
      </w:r>
      <w:r>
        <w:rPr>
          <w:rFonts w:hint="eastAsia"/>
          <w:color w:val="000000"/>
          <w:sz w:val="28"/>
          <w:highlight w:val="none"/>
          <w:lang w:val="en-US" w:eastAsia="zh-CN"/>
        </w:rPr>
        <w:t>1</w:t>
      </w:r>
      <w:r>
        <w:rPr>
          <w:rStyle w:val="58"/>
          <w:color w:val="000000"/>
          <w:sz w:val="28"/>
          <w:highlight w:val="none"/>
        </w:rPr>
        <w:fldChar w:fldCharType="end"/>
      </w:r>
    </w:p>
    <w:p w14:paraId="0460FC51">
      <w:pPr>
        <w:pStyle w:val="31"/>
        <w:tabs>
          <w:tab w:val="right" w:leader="dot" w:pos="9460"/>
        </w:tabs>
        <w:rPr>
          <w:rFonts w:ascii="Calibri" w:hAnsi="Calibri"/>
          <w:b w:val="0"/>
          <w:bCs w:val="0"/>
          <w:caps w:val="0"/>
          <w:color w:val="000000"/>
          <w:sz w:val="32"/>
          <w:szCs w:val="22"/>
          <w:highlight w:val="none"/>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"_Toc95223333"</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color w:val="000000"/>
          <w:sz w:val="28"/>
          <w:highlight w:val="none"/>
        </w:rPr>
        <w:t>第二章</w:t>
      </w:r>
      <w:r>
        <w:rPr>
          <w:rStyle w:val="58"/>
          <w:color w:val="000000"/>
          <w:sz w:val="28"/>
          <w:highlight w:val="none"/>
        </w:rPr>
        <w:t xml:space="preserve"> </w:t>
      </w:r>
      <w:r>
        <w:rPr>
          <w:rStyle w:val="58"/>
          <w:rFonts w:hint="eastAsia"/>
          <w:color w:val="000000"/>
          <w:sz w:val="28"/>
          <w:highlight w:val="none"/>
        </w:rPr>
        <w:t>投标人须知</w:t>
      </w:r>
      <w:r>
        <w:rPr>
          <w:color w:val="000000"/>
          <w:sz w:val="28"/>
          <w:highlight w:val="none"/>
        </w:rPr>
        <w:tab/>
      </w:r>
      <w:r>
        <w:rPr>
          <w:rFonts w:hint="eastAsia"/>
          <w:color w:val="000000"/>
          <w:sz w:val="28"/>
          <w:highlight w:val="none"/>
          <w:lang w:val="en-US" w:eastAsia="zh-CN"/>
        </w:rPr>
        <w:t>6</w:t>
      </w:r>
      <w:r>
        <w:rPr>
          <w:rStyle w:val="58"/>
          <w:color w:val="000000"/>
          <w:sz w:val="28"/>
          <w:highlight w:val="none"/>
        </w:rPr>
        <w:fldChar w:fldCharType="end"/>
      </w:r>
    </w:p>
    <w:p w14:paraId="4117FED1">
      <w:pPr>
        <w:pStyle w:val="31"/>
        <w:tabs>
          <w:tab w:val="right" w:leader="dot" w:pos="9460"/>
        </w:tabs>
        <w:rPr>
          <w:rFonts w:hint="default" w:ascii="Calibri" w:hAnsi="Calibri" w:eastAsia="宋体"/>
          <w:b w:val="0"/>
          <w:bCs w:val="0"/>
          <w:caps w:val="0"/>
          <w:color w:val="000000"/>
          <w:sz w:val="32"/>
          <w:szCs w:val="22"/>
          <w:highlight w:val="none"/>
          <w:lang w:val="en-US" w:eastAsia="zh-CN"/>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"_Toc95223391"</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color w:val="000000"/>
          <w:sz w:val="28"/>
          <w:highlight w:val="none"/>
        </w:rPr>
        <w:t>第三章</w:t>
      </w:r>
      <w:r>
        <w:rPr>
          <w:rStyle w:val="58"/>
          <w:color w:val="000000"/>
          <w:sz w:val="28"/>
          <w:highlight w:val="none"/>
        </w:rPr>
        <w:t xml:space="preserve"> </w:t>
      </w:r>
      <w:r>
        <w:rPr>
          <w:rStyle w:val="58"/>
          <w:rFonts w:hint="eastAsia"/>
          <w:color w:val="000000"/>
          <w:sz w:val="28"/>
          <w:highlight w:val="none"/>
        </w:rPr>
        <w:t>资格审查办法</w:t>
      </w:r>
      <w:r>
        <w:rPr>
          <w:color w:val="000000"/>
          <w:sz w:val="28"/>
          <w:highlight w:val="none"/>
        </w:rPr>
        <w:tab/>
      </w:r>
      <w:r>
        <w:rPr>
          <w:rStyle w:val="58"/>
          <w:color w:val="000000"/>
          <w:sz w:val="28"/>
          <w:highlight w:val="none"/>
        </w:rPr>
        <w:fldChar w:fldCharType="end"/>
      </w:r>
      <w:r>
        <w:rPr>
          <w:rStyle w:val="58"/>
          <w:rFonts w:hint="eastAsia"/>
          <w:color w:val="000000"/>
          <w:sz w:val="28"/>
          <w:highlight w:val="none"/>
          <w:lang w:val="en-US" w:eastAsia="zh-CN"/>
        </w:rPr>
        <w:t>23</w:t>
      </w:r>
    </w:p>
    <w:p w14:paraId="278F67BB">
      <w:pPr>
        <w:pStyle w:val="31"/>
        <w:tabs>
          <w:tab w:val="right" w:leader="dot" w:pos="9460"/>
        </w:tabs>
        <w:rPr>
          <w:rFonts w:hint="eastAsia" w:ascii="Calibri" w:hAnsi="Calibri" w:eastAsia="宋体"/>
          <w:b w:val="0"/>
          <w:bCs w:val="0"/>
          <w:caps w:val="0"/>
          <w:color w:val="000000"/>
          <w:sz w:val="32"/>
          <w:szCs w:val="22"/>
          <w:highlight w:val="none"/>
          <w:lang w:val="en-US" w:eastAsia="zh-CN"/>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"_Toc95223398"</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color w:val="000000"/>
          <w:sz w:val="28"/>
          <w:highlight w:val="none"/>
        </w:rPr>
        <w:t>第四章</w:t>
      </w:r>
      <w:r>
        <w:rPr>
          <w:rStyle w:val="58"/>
          <w:color w:val="000000"/>
          <w:sz w:val="28"/>
          <w:highlight w:val="none"/>
        </w:rPr>
        <w:t xml:space="preserve"> </w:t>
      </w:r>
      <w:r>
        <w:rPr>
          <w:rStyle w:val="58"/>
          <w:rFonts w:hint="eastAsia"/>
          <w:color w:val="000000"/>
          <w:sz w:val="28"/>
          <w:highlight w:val="none"/>
        </w:rPr>
        <w:t>评标办法</w:t>
      </w:r>
      <w:bookmarkStart w:id="16" w:name="_Hlt95225442"/>
      <w:r>
        <w:rPr>
          <w:color w:val="000000"/>
          <w:sz w:val="28"/>
          <w:highlight w:val="none"/>
        </w:rPr>
        <w:tab/>
      </w:r>
      <w:bookmarkEnd w:id="16"/>
      <w:r>
        <w:rPr>
          <w:rFonts w:hint="eastAsia"/>
          <w:color w:val="000000"/>
          <w:sz w:val="28"/>
          <w:highlight w:val="none"/>
          <w:lang w:val="en-US" w:eastAsia="zh-CN"/>
        </w:rPr>
        <w:t>2</w:t>
      </w:r>
      <w:r>
        <w:rPr>
          <w:rStyle w:val="58"/>
          <w:color w:val="000000"/>
          <w:sz w:val="28"/>
          <w:highlight w:val="none"/>
        </w:rPr>
        <w:fldChar w:fldCharType="end"/>
      </w:r>
      <w:r>
        <w:rPr>
          <w:rStyle w:val="58"/>
          <w:rFonts w:hint="eastAsia"/>
          <w:color w:val="000000"/>
          <w:sz w:val="28"/>
          <w:highlight w:val="none"/>
          <w:lang w:val="en-US" w:eastAsia="zh-CN"/>
        </w:rPr>
        <w:t>6</w:t>
      </w:r>
    </w:p>
    <w:p w14:paraId="50BF535A">
      <w:pPr>
        <w:pStyle w:val="31"/>
        <w:tabs>
          <w:tab w:val="right" w:leader="dot" w:pos="9460"/>
        </w:tabs>
        <w:rPr>
          <w:rFonts w:hint="eastAsia" w:ascii="Calibri" w:hAnsi="Calibri" w:eastAsia="宋体"/>
          <w:b w:val="0"/>
          <w:bCs w:val="0"/>
          <w:caps w:val="0"/>
          <w:color w:val="000000"/>
          <w:sz w:val="32"/>
          <w:szCs w:val="22"/>
          <w:highlight w:val="none"/>
          <w:lang w:val="en-US" w:eastAsia="zh-CN"/>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"_Toc95223458"</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color w:val="000000"/>
          <w:sz w:val="28"/>
          <w:highlight w:val="none"/>
        </w:rPr>
        <w:t>第五章</w:t>
      </w:r>
      <w:r>
        <w:rPr>
          <w:rStyle w:val="58"/>
          <w:color w:val="000000"/>
          <w:sz w:val="28"/>
          <w:highlight w:val="none"/>
        </w:rPr>
        <w:t xml:space="preserve"> </w:t>
      </w:r>
      <w:r>
        <w:rPr>
          <w:rStyle w:val="58"/>
          <w:rFonts w:hint="eastAsia"/>
          <w:color w:val="000000"/>
          <w:sz w:val="28"/>
          <w:highlight w:val="none"/>
        </w:rPr>
        <w:t>合同条款及格式</w:t>
      </w:r>
      <w:r>
        <w:rPr>
          <w:color w:val="000000"/>
          <w:sz w:val="28"/>
          <w:highlight w:val="none"/>
        </w:rPr>
        <w:tab/>
      </w:r>
      <w:r>
        <w:rPr>
          <w:rFonts w:hint="eastAsia"/>
          <w:color w:val="000000"/>
          <w:sz w:val="28"/>
          <w:highlight w:val="none"/>
          <w:lang w:val="en-US" w:eastAsia="zh-CN"/>
        </w:rPr>
        <w:t>3</w:t>
      </w:r>
      <w:r>
        <w:rPr>
          <w:rStyle w:val="58"/>
          <w:color w:val="000000"/>
          <w:sz w:val="28"/>
          <w:highlight w:val="none"/>
        </w:rPr>
        <w:fldChar w:fldCharType="end"/>
      </w:r>
      <w:r>
        <w:rPr>
          <w:rStyle w:val="58"/>
          <w:rFonts w:hint="eastAsia"/>
          <w:color w:val="000000"/>
          <w:sz w:val="28"/>
          <w:highlight w:val="none"/>
          <w:lang w:val="en-US" w:eastAsia="zh-CN"/>
        </w:rPr>
        <w:t>7</w:t>
      </w:r>
    </w:p>
    <w:p w14:paraId="2E624EDC">
      <w:pPr>
        <w:pStyle w:val="31"/>
        <w:tabs>
          <w:tab w:val="right" w:leader="dot" w:pos="9460"/>
        </w:tabs>
        <w:rPr>
          <w:rFonts w:hint="eastAsia" w:ascii="Calibri" w:hAnsi="Calibri" w:eastAsia="宋体"/>
          <w:b w:val="0"/>
          <w:bCs w:val="0"/>
          <w:caps w:val="0"/>
          <w:color w:val="000000"/>
          <w:sz w:val="32"/>
          <w:szCs w:val="22"/>
          <w:highlight w:val="none"/>
          <w:lang w:val="en-US" w:eastAsia="zh-CN"/>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"_Toc95223515"</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ascii="宋体" w:hAnsi="宋体" w:cs="宋体"/>
          <w:color w:val="000000"/>
          <w:kern w:val="44"/>
          <w:sz w:val="28"/>
          <w:highlight w:val="none"/>
        </w:rPr>
        <w:t>第六章 工程量清单</w:t>
      </w:r>
      <w:r>
        <w:rPr>
          <w:color w:val="000000"/>
          <w:sz w:val="28"/>
          <w:highlight w:val="none"/>
        </w:rPr>
        <w:tab/>
      </w:r>
      <w:r>
        <w:rPr>
          <w:rFonts w:hint="eastAsia"/>
          <w:color w:val="000000"/>
          <w:sz w:val="28"/>
          <w:highlight w:val="none"/>
          <w:lang w:val="en-US" w:eastAsia="zh-CN"/>
        </w:rPr>
        <w:t>1</w:t>
      </w:r>
      <w:r>
        <w:rPr>
          <w:rStyle w:val="58"/>
          <w:color w:val="000000"/>
          <w:sz w:val="28"/>
          <w:highlight w:val="none"/>
        </w:rPr>
        <w:fldChar w:fldCharType="end"/>
      </w:r>
      <w:r>
        <w:rPr>
          <w:rStyle w:val="58"/>
          <w:rFonts w:hint="eastAsia"/>
          <w:color w:val="000000"/>
          <w:sz w:val="28"/>
          <w:highlight w:val="none"/>
          <w:lang w:val="en-US" w:eastAsia="zh-CN"/>
        </w:rPr>
        <w:t>00</w:t>
      </w:r>
    </w:p>
    <w:p w14:paraId="2D8A1052">
      <w:pPr>
        <w:pStyle w:val="31"/>
        <w:tabs>
          <w:tab w:val="right" w:leader="dot" w:pos="9460"/>
        </w:tabs>
        <w:rPr>
          <w:rFonts w:hint="default" w:ascii="Calibri" w:hAnsi="Calibri" w:eastAsia="宋体"/>
          <w:b w:val="0"/>
          <w:bCs w:val="0"/>
          <w:caps w:val="0"/>
          <w:color w:val="000000"/>
          <w:sz w:val="32"/>
          <w:szCs w:val="22"/>
          <w:highlight w:val="none"/>
          <w:lang w:val="en-US" w:eastAsia="zh-CN"/>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"_Toc95223522"</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ascii="宋体" w:hAnsi="宋体" w:cs="宋体"/>
          <w:color w:val="000000"/>
          <w:kern w:val="44"/>
          <w:sz w:val="28"/>
          <w:highlight w:val="none"/>
        </w:rPr>
        <w:t>第七章</w:t>
      </w:r>
      <w:r>
        <w:rPr>
          <w:rStyle w:val="58"/>
          <w:rFonts w:ascii="宋体" w:hAnsi="宋体" w:cs="宋体"/>
          <w:color w:val="000000"/>
          <w:kern w:val="44"/>
          <w:sz w:val="28"/>
          <w:highlight w:val="none"/>
        </w:rPr>
        <w:t xml:space="preserve"> </w:t>
      </w:r>
      <w:r>
        <w:rPr>
          <w:rStyle w:val="58"/>
          <w:rFonts w:hint="eastAsia" w:ascii="宋体" w:hAnsi="宋体" w:cs="宋体"/>
          <w:color w:val="000000"/>
          <w:kern w:val="44"/>
          <w:sz w:val="28"/>
          <w:highlight w:val="none"/>
        </w:rPr>
        <w:t>图</w:t>
      </w:r>
      <w:r>
        <w:rPr>
          <w:rStyle w:val="58"/>
          <w:rFonts w:ascii="宋体" w:hAnsi="宋体" w:cs="宋体"/>
          <w:color w:val="000000"/>
          <w:kern w:val="44"/>
          <w:sz w:val="28"/>
          <w:highlight w:val="none"/>
        </w:rPr>
        <w:t xml:space="preserve">  </w:t>
      </w:r>
      <w:r>
        <w:rPr>
          <w:rStyle w:val="58"/>
          <w:rFonts w:hint="eastAsia" w:ascii="宋体" w:hAnsi="宋体" w:cs="宋体"/>
          <w:color w:val="000000"/>
          <w:kern w:val="44"/>
          <w:sz w:val="28"/>
          <w:highlight w:val="none"/>
        </w:rPr>
        <w:t>纸</w:t>
      </w:r>
      <w:r>
        <w:rPr>
          <w:color w:val="000000"/>
          <w:sz w:val="28"/>
          <w:highlight w:val="none"/>
        </w:rPr>
        <w:tab/>
      </w:r>
      <w:r>
        <w:rPr>
          <w:rFonts w:hint="eastAsia"/>
          <w:color w:val="000000"/>
          <w:sz w:val="28"/>
          <w:highlight w:val="none"/>
          <w:lang w:val="en-US" w:eastAsia="zh-CN"/>
        </w:rPr>
        <w:t>1</w:t>
      </w:r>
      <w:r>
        <w:rPr>
          <w:rStyle w:val="58"/>
          <w:color w:val="000000"/>
          <w:sz w:val="28"/>
          <w:highlight w:val="none"/>
        </w:rPr>
        <w:fldChar w:fldCharType="end"/>
      </w:r>
      <w:r>
        <w:rPr>
          <w:rStyle w:val="58"/>
          <w:rFonts w:hint="eastAsia"/>
          <w:color w:val="000000"/>
          <w:sz w:val="28"/>
          <w:highlight w:val="none"/>
          <w:lang w:val="en-US" w:eastAsia="zh-CN"/>
        </w:rPr>
        <w:t>00</w:t>
      </w:r>
    </w:p>
    <w:p w14:paraId="0CF25CEB">
      <w:pPr>
        <w:pStyle w:val="31"/>
        <w:tabs>
          <w:tab w:val="right" w:leader="dot" w:pos="9460"/>
        </w:tabs>
        <w:rPr>
          <w:rFonts w:hint="eastAsia" w:ascii="Calibri" w:hAnsi="Calibri" w:eastAsia="宋体"/>
          <w:b w:val="0"/>
          <w:bCs w:val="0"/>
          <w:caps w:val="0"/>
          <w:color w:val="000000"/>
          <w:sz w:val="32"/>
          <w:szCs w:val="22"/>
          <w:highlight w:val="none"/>
          <w:lang w:val="en-US" w:eastAsia="zh-CN"/>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"_Toc95223525"</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ascii="宋体" w:hAnsi="宋体" w:cs="宋体"/>
          <w:color w:val="000000"/>
          <w:kern w:val="44"/>
          <w:sz w:val="28"/>
          <w:highlight w:val="none"/>
        </w:rPr>
        <w:t>第八章 技术标准和要求</w:t>
      </w:r>
      <w:r>
        <w:rPr>
          <w:color w:val="000000"/>
          <w:sz w:val="28"/>
          <w:highlight w:val="none"/>
        </w:rPr>
        <w:tab/>
      </w:r>
      <w:r>
        <w:rPr>
          <w:rFonts w:hint="eastAsia"/>
          <w:color w:val="000000"/>
          <w:sz w:val="28"/>
          <w:highlight w:val="none"/>
          <w:lang w:val="en-US" w:eastAsia="zh-CN"/>
        </w:rPr>
        <w:t>1</w:t>
      </w:r>
      <w:r>
        <w:rPr>
          <w:rStyle w:val="58"/>
          <w:color w:val="000000"/>
          <w:sz w:val="28"/>
          <w:highlight w:val="none"/>
        </w:rPr>
        <w:fldChar w:fldCharType="end"/>
      </w:r>
      <w:r>
        <w:rPr>
          <w:rStyle w:val="58"/>
          <w:rFonts w:hint="eastAsia"/>
          <w:color w:val="000000"/>
          <w:sz w:val="28"/>
          <w:highlight w:val="none"/>
          <w:lang w:val="en-US" w:eastAsia="zh-CN"/>
        </w:rPr>
        <w:t>01</w:t>
      </w:r>
    </w:p>
    <w:p w14:paraId="4DEC494E">
      <w:pPr>
        <w:pStyle w:val="31"/>
        <w:tabs>
          <w:tab w:val="right" w:leader="dot" w:pos="9460"/>
        </w:tabs>
        <w:rPr>
          <w:rFonts w:hint="eastAsia" w:ascii="Calibri" w:hAnsi="Calibri" w:eastAsia="宋体"/>
          <w:b w:val="0"/>
          <w:bCs w:val="0"/>
          <w:caps w:val="0"/>
          <w:color w:val="000000"/>
          <w:sz w:val="32"/>
          <w:szCs w:val="22"/>
          <w:highlight w:val="none"/>
          <w:lang w:val="en-US" w:eastAsia="zh-CN"/>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"_Toc95223531"</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color w:val="000000"/>
          <w:sz w:val="28"/>
          <w:highlight w:val="none"/>
        </w:rPr>
        <w:t>第九章 投标文件格式</w:t>
      </w:r>
      <w:r>
        <w:rPr>
          <w:color w:val="000000"/>
          <w:sz w:val="28"/>
          <w:highlight w:val="none"/>
        </w:rPr>
        <w:tab/>
      </w:r>
      <w:r>
        <w:rPr>
          <w:rFonts w:hint="eastAsia"/>
          <w:color w:val="000000"/>
          <w:sz w:val="28"/>
          <w:highlight w:val="none"/>
          <w:lang w:val="en-US" w:eastAsia="zh-CN"/>
        </w:rPr>
        <w:t>1</w:t>
      </w:r>
      <w:r>
        <w:rPr>
          <w:rStyle w:val="58"/>
          <w:color w:val="000000"/>
          <w:sz w:val="28"/>
          <w:highlight w:val="none"/>
        </w:rPr>
        <w:fldChar w:fldCharType="end"/>
      </w:r>
      <w:r>
        <w:rPr>
          <w:rStyle w:val="58"/>
          <w:rFonts w:hint="eastAsia"/>
          <w:color w:val="000000"/>
          <w:sz w:val="28"/>
          <w:highlight w:val="none"/>
          <w:lang w:val="en-US" w:eastAsia="zh-CN"/>
        </w:rPr>
        <w:t>02</w:t>
      </w:r>
    </w:p>
    <w:p w14:paraId="59902E59">
      <w:pPr>
        <w:pStyle w:val="31"/>
        <w:tabs>
          <w:tab w:val="right" w:leader="dot" w:pos="9460"/>
        </w:tabs>
        <w:rPr>
          <w:rFonts w:hint="default" w:ascii="Calibri" w:hAnsi="Calibri" w:eastAsia="宋体"/>
          <w:b w:val="0"/>
          <w:bCs w:val="0"/>
          <w:caps w:val="0"/>
          <w:color w:val="000000"/>
          <w:sz w:val="32"/>
          <w:szCs w:val="22"/>
          <w:highlight w:val="none"/>
          <w:lang w:val="en-US" w:eastAsia="zh-CN"/>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"_Toc95223547"</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eastAsia="黑体"/>
          <w:color w:val="000000"/>
          <w:sz w:val="28"/>
          <w:highlight w:val="none"/>
        </w:rPr>
        <w:t>第十章</w:t>
      </w:r>
      <w:r>
        <w:rPr>
          <w:rStyle w:val="58"/>
          <w:rFonts w:eastAsia="黑体"/>
          <w:color w:val="000000"/>
          <w:sz w:val="28"/>
          <w:highlight w:val="none"/>
        </w:rPr>
        <w:t xml:space="preserve"> </w:t>
      </w:r>
      <w:r>
        <w:rPr>
          <w:rStyle w:val="58"/>
          <w:rFonts w:hint="eastAsia" w:eastAsia="黑体"/>
          <w:color w:val="000000"/>
          <w:sz w:val="28"/>
          <w:highlight w:val="none"/>
        </w:rPr>
        <w:t>招标人、招标代理机构对本招标文件的确认</w:t>
      </w:r>
      <w:bookmarkStart w:id="17" w:name="_Hlt95223550"/>
      <w:bookmarkStart w:id="18" w:name="_Hlt95223551"/>
      <w:r>
        <w:rPr>
          <w:color w:val="000000"/>
          <w:sz w:val="28"/>
          <w:highlight w:val="none"/>
        </w:rPr>
        <w:tab/>
      </w:r>
      <w:bookmarkEnd w:id="17"/>
      <w:bookmarkEnd w:id="18"/>
      <w:r>
        <w:rPr>
          <w:rFonts w:hint="eastAsia"/>
          <w:color w:val="000000"/>
          <w:sz w:val="28"/>
          <w:highlight w:val="none"/>
          <w:lang w:val="en-US" w:eastAsia="zh-CN"/>
        </w:rPr>
        <w:t>1</w:t>
      </w:r>
      <w:r>
        <w:rPr>
          <w:rStyle w:val="58"/>
          <w:color w:val="000000"/>
          <w:sz w:val="28"/>
          <w:highlight w:val="none"/>
        </w:rPr>
        <w:fldChar w:fldCharType="end"/>
      </w:r>
      <w:r>
        <w:rPr>
          <w:rStyle w:val="58"/>
          <w:rFonts w:hint="eastAsia"/>
          <w:color w:val="000000"/>
          <w:sz w:val="28"/>
          <w:highlight w:val="none"/>
          <w:lang w:val="en-US" w:eastAsia="zh-CN"/>
        </w:rPr>
        <w:t>11</w:t>
      </w:r>
    </w:p>
    <w:p w14:paraId="0E9B8E74">
      <w:pPr>
        <w:pStyle w:val="14"/>
        <w:spacing w:line="700" w:lineRule="exact"/>
        <w:ind w:left="0" w:leftChars="0" w:firstLine="480"/>
        <w:jc w:val="left"/>
        <w:rPr>
          <w:sz w:val="24"/>
          <w:szCs w:val="24"/>
          <w:highlight w:val="none"/>
        </w:rPr>
      </w:pPr>
    </w:p>
    <w:p w14:paraId="3004C8EC">
      <w:pPr>
        <w:pStyle w:val="44"/>
        <w:spacing w:line="700" w:lineRule="exact"/>
        <w:jc w:val="left"/>
        <w:rPr>
          <w:sz w:val="24"/>
          <w:szCs w:val="24"/>
          <w:highlight w:val="none"/>
        </w:rPr>
        <w:sectPr>
          <w:footerReference r:id="rId5" w:type="default"/>
          <w:pgSz w:w="11906" w:h="16838"/>
          <w:pgMar w:top="1134" w:right="1417" w:bottom="1134" w:left="1417" w:header="851" w:footer="992" w:gutter="0"/>
          <w:pgNumType w:start="1"/>
          <w:cols w:space="720" w:num="1"/>
          <w:docGrid w:type="lines" w:linePitch="312" w:charSpace="0"/>
        </w:sectPr>
      </w:pPr>
    </w:p>
    <w:bookmarkEnd w:id="12"/>
    <w:bookmarkEnd w:id="13"/>
    <w:bookmarkEnd w:id="14"/>
    <w:bookmarkEnd w:id="15"/>
    <w:p w14:paraId="2EC261B3">
      <w:pPr>
        <w:pStyle w:val="44"/>
        <w:spacing w:beforeLines="50" w:afterLines="50" w:line="440" w:lineRule="exact"/>
        <w:rPr>
          <w:rFonts w:hint="eastAsia" w:eastAsia="宋体" w:cs="Times New Roman"/>
          <w:bCs/>
          <w:szCs w:val="32"/>
          <w:highlight w:val="none"/>
        </w:rPr>
      </w:pPr>
      <w:bookmarkStart w:id="19" w:name="_Toc78803320"/>
      <w:bookmarkStart w:id="20" w:name="_Toc247085687"/>
      <w:bookmarkStart w:id="21" w:name="_Toc35424883"/>
      <w:bookmarkStart w:id="22" w:name="_Toc246996916"/>
      <w:bookmarkStart w:id="23" w:name="_Toc324404813"/>
      <w:bookmarkStart w:id="24" w:name="_Toc246996173"/>
      <w:bookmarkStart w:id="25" w:name="_Toc152042303"/>
      <w:bookmarkStart w:id="26" w:name="_Toc144974495"/>
      <w:bookmarkStart w:id="27" w:name="_Toc506107267"/>
      <w:bookmarkStart w:id="28" w:name="_Toc179632544"/>
      <w:bookmarkStart w:id="29" w:name="_Toc15058844"/>
      <w:bookmarkStart w:id="30" w:name="_Toc35425050"/>
      <w:bookmarkStart w:id="31" w:name="_Toc152045527"/>
      <w:r>
        <w:rPr>
          <w:rFonts w:hint="eastAsia" w:eastAsia="宋体" w:cs="Times New Roman"/>
          <w:bCs/>
          <w:szCs w:val="32"/>
          <w:highlight w:val="none"/>
          <w:lang w:val="en-US" w:eastAsia="zh-CN"/>
        </w:rPr>
        <w:t xml:space="preserve">第一章 </w:t>
      </w:r>
      <w:r>
        <w:rPr>
          <w:rFonts w:hint="eastAsia" w:eastAsia="宋体" w:cs="Times New Roman"/>
          <w:bCs/>
          <w:szCs w:val="32"/>
          <w:highlight w:val="none"/>
        </w:rPr>
        <w:t>招标公告</w:t>
      </w:r>
      <w:bookmarkEnd w:id="19"/>
    </w:p>
    <w:tbl>
      <w:tblPr>
        <w:tblStyle w:val="47"/>
        <w:tblW w:w="9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7997"/>
      </w:tblGrid>
      <w:tr w14:paraId="48A33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4E31D11C">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
                <w:bCs/>
                <w:color w:val="auto"/>
                <w:sz w:val="21"/>
                <w:szCs w:val="21"/>
                <w:highlight w:val="none"/>
              </w:rPr>
              <w:t>招标条件</w:t>
            </w:r>
          </w:p>
        </w:tc>
      </w:tr>
      <w:tr w14:paraId="07E8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933" w:type="dxa"/>
            <w:noWrap w:val="0"/>
            <w:vAlign w:val="center"/>
          </w:tcPr>
          <w:p w14:paraId="2E39E459">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Cs/>
                <w:color w:val="auto"/>
                <w:kern w:val="1"/>
                <w:sz w:val="21"/>
                <w:szCs w:val="21"/>
                <w:highlight w:val="none"/>
              </w:rPr>
              <w:t>项目</w:t>
            </w:r>
            <w:r>
              <w:rPr>
                <w:rFonts w:hint="eastAsia" w:ascii="宋体" w:hAnsi="宋体" w:eastAsia="宋体" w:cs="宋体"/>
                <w:color w:val="auto"/>
                <w:kern w:val="0"/>
                <w:sz w:val="21"/>
                <w:szCs w:val="21"/>
                <w:highlight w:val="none"/>
              </w:rPr>
              <w:t>名称</w:t>
            </w:r>
          </w:p>
        </w:tc>
        <w:tc>
          <w:tcPr>
            <w:tcW w:w="7997" w:type="dxa"/>
            <w:noWrap w:val="0"/>
            <w:vAlign w:val="top"/>
          </w:tcPr>
          <w:p w14:paraId="223FE30B">
            <w:pPr>
              <w:keepNext w:val="0"/>
              <w:keepLines w:val="0"/>
              <w:pageBreakBefore w:val="0"/>
              <w:kinsoku/>
              <w:wordWrap w:val="0"/>
              <w:overflowPunct/>
              <w:topLinePunct w:val="0"/>
              <w:autoSpaceDE/>
              <w:autoSpaceDN/>
              <w:bidi w:val="0"/>
              <w:adjustRightInd/>
              <w:snapToGrid/>
              <w:spacing w:line="400" w:lineRule="exact"/>
              <w:jc w:val="left"/>
              <w:textAlignment w:val="auto"/>
              <w:rPr>
                <w:rFonts w:hint="default" w:ascii="宋体" w:hAnsi="宋体" w:eastAsia="宋体" w:cs="宋体"/>
                <w:bCs/>
                <w:color w:val="auto"/>
                <w:kern w:val="1"/>
                <w:sz w:val="21"/>
                <w:szCs w:val="21"/>
                <w:highlight w:val="none"/>
                <w:lang w:val="en-US"/>
              </w:rPr>
            </w:pPr>
            <w:r>
              <w:rPr>
                <w:rFonts w:hint="eastAsia" w:ascii="宋体" w:hAnsi="宋体" w:cs="宋体"/>
                <w:bCs/>
                <w:color w:val="auto"/>
                <w:kern w:val="1"/>
                <w:sz w:val="21"/>
                <w:szCs w:val="21"/>
                <w:highlight w:val="none"/>
                <w:lang w:eastAsia="zh-CN"/>
              </w:rPr>
              <w:t>滁宁城际铁路相官车辆段光伏EPC项目</w:t>
            </w:r>
          </w:p>
        </w:tc>
      </w:tr>
      <w:tr w14:paraId="3EF6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832571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招标人</w:t>
            </w:r>
          </w:p>
        </w:tc>
        <w:tc>
          <w:tcPr>
            <w:tcW w:w="7997" w:type="dxa"/>
            <w:noWrap w:val="0"/>
            <w:vAlign w:val="center"/>
          </w:tcPr>
          <w:p w14:paraId="41AA07EF">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cs="宋体"/>
                <w:bCs/>
                <w:color w:val="auto"/>
                <w:kern w:val="1"/>
                <w:sz w:val="21"/>
                <w:szCs w:val="21"/>
                <w:highlight w:val="none"/>
                <w:lang w:eastAsia="zh-CN"/>
              </w:rPr>
              <w:t>滁州市翼然新能源开发有限公司</w:t>
            </w:r>
          </w:p>
        </w:tc>
      </w:tr>
      <w:tr w14:paraId="2A24F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2638D1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项目业主</w:t>
            </w:r>
          </w:p>
        </w:tc>
        <w:tc>
          <w:tcPr>
            <w:tcW w:w="7997" w:type="dxa"/>
            <w:noWrap w:val="0"/>
            <w:vAlign w:val="center"/>
          </w:tcPr>
          <w:p w14:paraId="3EF79F1D">
            <w:pPr>
              <w:keepNext w:val="0"/>
              <w:keepLines w:val="0"/>
              <w:pageBreakBefore w:val="0"/>
              <w:widowControl/>
              <w:shd w:val="clear" w:color="auto" w:fill="auto"/>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滁州市翼然新能源开发有限公司</w:t>
            </w:r>
          </w:p>
        </w:tc>
      </w:tr>
      <w:tr w14:paraId="515C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ECD1AE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资金来源</w:t>
            </w:r>
          </w:p>
        </w:tc>
        <w:tc>
          <w:tcPr>
            <w:tcW w:w="7997" w:type="dxa"/>
            <w:noWrap w:val="0"/>
            <w:vAlign w:val="center"/>
          </w:tcPr>
          <w:p w14:paraId="13E4CD21">
            <w:pPr>
              <w:keepNext w:val="0"/>
              <w:keepLines w:val="0"/>
              <w:pageBreakBefore w:val="0"/>
              <w:widowControl/>
              <w:kinsoku/>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自筹资金</w:t>
            </w:r>
          </w:p>
        </w:tc>
      </w:tr>
      <w:tr w14:paraId="1CA8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F489FD2">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项目出资比例</w:t>
            </w:r>
          </w:p>
        </w:tc>
        <w:tc>
          <w:tcPr>
            <w:tcW w:w="7997" w:type="dxa"/>
            <w:noWrap w:val="0"/>
            <w:vAlign w:val="center"/>
          </w:tcPr>
          <w:p w14:paraId="612A619C">
            <w:pPr>
              <w:keepNext w:val="0"/>
              <w:keepLines w:val="0"/>
              <w:pageBreakBefore w:val="0"/>
              <w:widowControl/>
              <w:kinsoku/>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w:t>
            </w:r>
          </w:p>
        </w:tc>
      </w:tr>
      <w:tr w14:paraId="2F99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DEFCFF6">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招标方式</w:t>
            </w:r>
          </w:p>
        </w:tc>
        <w:tc>
          <w:tcPr>
            <w:tcW w:w="7997" w:type="dxa"/>
            <w:noWrap w:val="0"/>
            <w:vAlign w:val="center"/>
          </w:tcPr>
          <w:p w14:paraId="53A0BB3B">
            <w:pPr>
              <w:keepNext w:val="0"/>
              <w:keepLines w:val="0"/>
              <w:pageBreakBefore w:val="0"/>
              <w:widowControl/>
              <w:kinsoku/>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rPr>
              <w:t>公开招标</w:t>
            </w:r>
          </w:p>
        </w:tc>
      </w:tr>
      <w:tr w14:paraId="6288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0C4438E">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评标办法</w:t>
            </w:r>
          </w:p>
        </w:tc>
        <w:tc>
          <w:tcPr>
            <w:tcW w:w="7997" w:type="dxa"/>
            <w:noWrap w:val="0"/>
            <w:vAlign w:val="center"/>
          </w:tcPr>
          <w:p w14:paraId="64728417">
            <w:pPr>
              <w:keepNext w:val="0"/>
              <w:keepLines w:val="0"/>
              <w:pageBreakBefore w:val="0"/>
              <w:widowControl/>
              <w:kinsoku/>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综合评估法</w:t>
            </w:r>
          </w:p>
        </w:tc>
      </w:tr>
      <w:tr w14:paraId="3CB3E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1EBFED8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项目概况与招标范围</w:t>
            </w:r>
          </w:p>
        </w:tc>
      </w:tr>
      <w:tr w14:paraId="1B542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A1F1B52">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招标项目名称</w:t>
            </w:r>
          </w:p>
        </w:tc>
        <w:tc>
          <w:tcPr>
            <w:tcW w:w="7997" w:type="dxa"/>
            <w:noWrap w:val="0"/>
            <w:vAlign w:val="center"/>
          </w:tcPr>
          <w:p w14:paraId="3BB4B767">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滁宁城际铁路相官车辆段光伏EPC项目</w:t>
            </w:r>
          </w:p>
        </w:tc>
      </w:tr>
      <w:tr w14:paraId="7B95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67D9766">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cs="宋体"/>
                <w:color w:val="auto"/>
                <w:kern w:val="0"/>
                <w:szCs w:val="21"/>
                <w:highlight w:val="none"/>
              </w:rPr>
              <w:t>招标项目编号</w:t>
            </w:r>
          </w:p>
        </w:tc>
        <w:tc>
          <w:tcPr>
            <w:tcW w:w="7997" w:type="dxa"/>
            <w:noWrap w:val="0"/>
            <w:vAlign w:val="center"/>
          </w:tcPr>
          <w:p w14:paraId="666FF85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HXJY1110001064111001</w:t>
            </w:r>
          </w:p>
        </w:tc>
      </w:tr>
      <w:tr w14:paraId="488A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33" w:type="dxa"/>
            <w:noWrap w:val="0"/>
            <w:vAlign w:val="center"/>
          </w:tcPr>
          <w:p w14:paraId="40B1C46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标段划分</w:t>
            </w:r>
          </w:p>
        </w:tc>
        <w:tc>
          <w:tcPr>
            <w:tcW w:w="7997" w:type="dxa"/>
            <w:noWrap w:val="0"/>
            <w:vAlign w:val="center"/>
          </w:tcPr>
          <w:p w14:paraId="062D55A9">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一个标段</w:t>
            </w:r>
          </w:p>
        </w:tc>
      </w:tr>
      <w:tr w14:paraId="4073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4A4EA6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建设地点</w:t>
            </w:r>
          </w:p>
        </w:tc>
        <w:tc>
          <w:tcPr>
            <w:tcW w:w="7997" w:type="dxa"/>
            <w:noWrap w:val="0"/>
            <w:vAlign w:val="center"/>
          </w:tcPr>
          <w:p w14:paraId="2C527A97">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招标人指定地点</w:t>
            </w:r>
          </w:p>
        </w:tc>
      </w:tr>
      <w:tr w14:paraId="3A6E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BBF1A7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建设规模</w:t>
            </w:r>
          </w:p>
        </w:tc>
        <w:tc>
          <w:tcPr>
            <w:tcW w:w="7997" w:type="dxa"/>
            <w:noWrap w:val="0"/>
            <w:vAlign w:val="center"/>
          </w:tcPr>
          <w:p w14:paraId="56AC02AD">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default" w:ascii="宋体" w:hAnsi="宋体" w:eastAsia="宋体" w:cs="宋体"/>
                <w:szCs w:val="21"/>
                <w:highlight w:val="none"/>
                <w:lang w:val="en-US" w:eastAsia="zh-CN"/>
              </w:rPr>
            </w:pPr>
            <w:r>
              <w:rPr>
                <w:rFonts w:hint="eastAsia" w:ascii="宋体" w:hAnsi="宋体" w:cs="宋体"/>
                <w:bCs/>
                <w:color w:val="auto"/>
                <w:kern w:val="1"/>
                <w:sz w:val="21"/>
                <w:szCs w:val="21"/>
                <w:highlight w:val="none"/>
                <w:lang w:eastAsia="zh-CN"/>
              </w:rPr>
              <w:t>滁宁城际铁路相官车辆段</w:t>
            </w:r>
            <w:r>
              <w:rPr>
                <w:rFonts w:hint="eastAsia" w:eastAsia="宋体"/>
                <w:color w:val="auto"/>
                <w:szCs w:val="21"/>
                <w:highlight w:val="none"/>
                <w:lang w:val="en-US" w:eastAsia="zh-CN"/>
              </w:rPr>
              <w:t>利用基础设施分布式光伏发电项目，装机容量规模约</w:t>
            </w:r>
            <w:r>
              <w:rPr>
                <w:rFonts w:hint="eastAsia"/>
                <w:color w:val="auto"/>
                <w:szCs w:val="21"/>
                <w:highlight w:val="none"/>
                <w:lang w:val="en-US" w:eastAsia="zh-CN"/>
              </w:rPr>
              <w:t>0.8MWP</w:t>
            </w:r>
            <w:r>
              <w:rPr>
                <w:rFonts w:hint="eastAsia" w:eastAsia="宋体"/>
                <w:color w:val="auto"/>
                <w:szCs w:val="21"/>
                <w:highlight w:val="none"/>
                <w:lang w:val="en-US" w:eastAsia="zh-CN"/>
              </w:rPr>
              <w:t>。实际装机容量以项目验收结算为准，项目采用低压并网，自发自用、余电上网模式。</w:t>
            </w:r>
          </w:p>
        </w:tc>
      </w:tr>
      <w:tr w14:paraId="5DC77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3230461">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合同估算价</w:t>
            </w:r>
          </w:p>
        </w:tc>
        <w:tc>
          <w:tcPr>
            <w:tcW w:w="7997" w:type="dxa"/>
            <w:noWrap w:val="0"/>
            <w:vAlign w:val="center"/>
          </w:tcPr>
          <w:p w14:paraId="2618AED0">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约</w:t>
            </w:r>
            <w:r>
              <w:rPr>
                <w:rFonts w:hint="eastAsia" w:hAnsi="宋体" w:cs="宋体"/>
                <w:szCs w:val="21"/>
                <w:highlight w:val="none"/>
                <w:lang w:val="en-US" w:eastAsia="zh-CN"/>
              </w:rPr>
              <w:t>184</w:t>
            </w:r>
            <w:r>
              <w:rPr>
                <w:rFonts w:hint="eastAsia" w:ascii="宋体" w:hAnsi="宋体" w:eastAsia="宋体" w:cs="宋体"/>
                <w:szCs w:val="21"/>
                <w:highlight w:val="none"/>
                <w:lang w:val="en-US" w:eastAsia="zh-CN"/>
              </w:rPr>
              <w:t>万元</w:t>
            </w:r>
          </w:p>
        </w:tc>
      </w:tr>
      <w:tr w14:paraId="6BEC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6F6947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计划工期</w:t>
            </w:r>
          </w:p>
        </w:tc>
        <w:tc>
          <w:tcPr>
            <w:tcW w:w="7997" w:type="dxa"/>
            <w:noWrap w:val="0"/>
            <w:vAlign w:val="center"/>
          </w:tcPr>
          <w:p w14:paraId="5161EF3C">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default" w:ascii="宋体" w:hAnsi="宋体" w:eastAsia="宋体" w:cs="宋体"/>
                <w:szCs w:val="21"/>
                <w:highlight w:val="none"/>
                <w:lang w:val="en-US" w:eastAsia="zh-CN"/>
              </w:rPr>
            </w:pPr>
            <w:r>
              <w:rPr>
                <w:rFonts w:hint="eastAsia" w:ascii="宋体" w:hAnsi="宋体" w:cs="宋体"/>
                <w:color w:val="auto"/>
                <w:szCs w:val="21"/>
                <w:highlight w:val="none"/>
              </w:rPr>
              <w:t>详见招标文件</w:t>
            </w:r>
          </w:p>
        </w:tc>
      </w:tr>
      <w:tr w14:paraId="42C9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3CAB73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招标范围</w:t>
            </w:r>
          </w:p>
        </w:tc>
        <w:tc>
          <w:tcPr>
            <w:tcW w:w="7997" w:type="dxa"/>
            <w:noWrap w:val="0"/>
            <w:vAlign w:val="center"/>
          </w:tcPr>
          <w:p w14:paraId="52E6C027">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eastAsia" w:ascii="宋体" w:hAnsi="宋体" w:eastAsia="宋体" w:cs="宋体"/>
                <w:szCs w:val="21"/>
                <w:highlight w:val="none"/>
                <w:lang w:val="en-US" w:eastAsia="zh-CN"/>
              </w:rPr>
            </w:pPr>
            <w:r>
              <w:rPr>
                <w:rFonts w:hint="eastAsia" w:ascii="宋体" w:hAnsi="宋体" w:eastAsia="宋体" w:cs="宋体"/>
                <w:color w:val="auto"/>
                <w:szCs w:val="21"/>
                <w:highlight w:val="none"/>
                <w:lang w:val="en-US" w:eastAsia="zh-CN"/>
              </w:rPr>
              <w:t>包括但不限于：</w:t>
            </w:r>
            <w:r>
              <w:rPr>
                <w:rFonts w:hint="eastAsia" w:ascii="宋体" w:hAnsi="宋体" w:eastAsia="宋体" w:cs="宋体"/>
                <w:color w:val="auto"/>
                <w:highlight w:val="none"/>
                <w:lang w:val="en-US" w:eastAsia="zh-CN"/>
              </w:rPr>
              <w:t>①设计部分：包括但不限于本项目投资分析、可研报告编制（含单个项目及整个标段项目） 、初步设计方案（含设计基础排布，方案需经专家评审通过）、屋面荷载鉴定报告、加固设计方案（如需）、施工图设计、竣工图编制、概算编制、配合图纸审查等，以上如涉及必须提供。中标人负责协助招标人办理光伏绿证。②施工部分：包括但不限于备案、并网接入等相关手续办理、施工图范围内的所有工作内容、屋顶加固（如需）、屋面瓦更换（如需）、土建及安装施工等工作、本工程内所有设备和系统的供货安装、检验、试验、竣工验收、全站全容量并网240小时安全稳定试运行(出具试运行报告)、消缺、整套系统启动的性能保证的考核验收、技术和售后服务、人员培训、直至移交等全部工作。本项目的逆变器、数据采集器、远红及运维平台所需要的相关硬件及软件等设备（详见</w:t>
            </w:r>
            <w:r>
              <w:rPr>
                <w:rFonts w:hint="eastAsia"/>
                <w:color w:val="auto"/>
                <w:highlight w:val="none"/>
              </w:rPr>
              <w:t>技术标准和要求</w:t>
            </w:r>
            <w:r>
              <w:rPr>
                <w:rFonts w:hint="eastAsia" w:ascii="宋体" w:hAnsi="宋体" w:eastAsia="宋体" w:cs="宋体"/>
                <w:color w:val="auto"/>
                <w:highlight w:val="none"/>
                <w:lang w:val="en-US" w:eastAsia="zh-CN"/>
              </w:rPr>
              <w:t>），由中标单位设计和采购，并负责接入招标人已建或者后续要建设的能源管理平台便于后期统一运营管理， 相关费用均在投标报价中。移交前的运维管理， 竣工验收交付后， 光伏板产品质保10年、发电量质保25年、逆变器质保5年，其他电器设备2年质保。</w:t>
            </w:r>
          </w:p>
        </w:tc>
      </w:tr>
      <w:tr w14:paraId="3973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B3C45EE">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项目类别</w:t>
            </w:r>
          </w:p>
        </w:tc>
        <w:tc>
          <w:tcPr>
            <w:tcW w:w="7997" w:type="dxa"/>
            <w:noWrap w:val="0"/>
            <w:vAlign w:val="center"/>
          </w:tcPr>
          <w:p w14:paraId="6D56053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电力工程</w:t>
            </w:r>
          </w:p>
        </w:tc>
      </w:tr>
      <w:tr w14:paraId="4896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211EA0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其他</w:t>
            </w:r>
          </w:p>
        </w:tc>
        <w:tc>
          <w:tcPr>
            <w:tcW w:w="7997" w:type="dxa"/>
            <w:noWrap w:val="0"/>
            <w:vAlign w:val="center"/>
          </w:tcPr>
          <w:p w14:paraId="27D131B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w:t>
            </w:r>
          </w:p>
        </w:tc>
      </w:tr>
      <w:tr w14:paraId="4400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24CBF6E1">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投标人资格要求</w:t>
            </w:r>
          </w:p>
        </w:tc>
      </w:tr>
      <w:tr w14:paraId="54BA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D8EAA9E">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rPr>
              <w:t>投标人资质要求</w:t>
            </w:r>
          </w:p>
        </w:tc>
        <w:tc>
          <w:tcPr>
            <w:tcW w:w="7997" w:type="dxa"/>
            <w:shd w:val="clear" w:color="auto" w:fill="auto"/>
            <w:noWrap w:val="0"/>
            <w:vAlign w:val="center"/>
          </w:tcPr>
          <w:p w14:paraId="3BF1372F">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投标人同时满足下列要求：</w:t>
            </w:r>
          </w:p>
          <w:p w14:paraId="75B50DE1">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①具备电力工程施工总承包叁级（或以上）资质，并具有有效的安全生产许可证；</w:t>
            </w:r>
          </w:p>
          <w:p w14:paraId="6E258286">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②具备有效的《承装（修、试）电力设施许可证》，且承装类、承修类、承试类许可等级均须达到三级及以上（按照现行有效的《承装（修、试）电力设施许可证》等级标准认定）；</w:t>
            </w:r>
          </w:p>
          <w:p w14:paraId="48551219">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eastAsia="宋体"/>
                <w:szCs w:val="21"/>
                <w:highlight w:val="none"/>
                <w:lang w:val="en-US" w:eastAsia="zh-CN"/>
              </w:rPr>
            </w:pPr>
            <w:r>
              <w:rPr>
                <w:rFonts w:hint="default" w:ascii="宋体" w:hAnsi="宋体" w:eastAsia="宋体" w:cs="宋体"/>
                <w:color w:val="auto"/>
                <w:sz w:val="21"/>
                <w:szCs w:val="21"/>
                <w:highlight w:val="none"/>
                <w:lang w:val="en-US" w:eastAsia="zh-CN"/>
              </w:rPr>
              <w:t>③</w:t>
            </w:r>
            <w:r>
              <w:rPr>
                <w:rFonts w:hint="eastAsia" w:ascii="宋体" w:hAnsi="宋体" w:eastAsia="宋体" w:cs="宋体"/>
                <w:color w:val="auto"/>
                <w:sz w:val="21"/>
                <w:szCs w:val="21"/>
                <w:highlight w:val="none"/>
                <w:lang w:val="en-US" w:eastAsia="zh-CN"/>
              </w:rPr>
              <w:t>具备建设行政主管部门颁发的工程设计综合资质或工程设计电力行业乙级（或以上）资质或工程设计电力行业（新能源发电）专业乙级（或以上）资质。</w:t>
            </w:r>
          </w:p>
        </w:tc>
      </w:tr>
      <w:tr w14:paraId="07C28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5414018">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eastAsia="宋体" w:cs="宋体"/>
                <w:color w:val="auto"/>
                <w:kern w:val="0"/>
                <w:sz w:val="21"/>
                <w:szCs w:val="21"/>
                <w:highlight w:val="none"/>
              </w:rPr>
            </w:pPr>
            <w:r>
              <w:rPr>
                <w:rFonts w:hint="eastAsia" w:ascii="宋体" w:hAnsi="宋体" w:cs="宋体"/>
                <w:bCs/>
                <w:snapToGrid w:val="0"/>
                <w:color w:val="auto"/>
                <w:kern w:val="0"/>
                <w:sz w:val="21"/>
                <w:szCs w:val="21"/>
                <w:highlight w:val="none"/>
              </w:rPr>
              <w:t>项目</w:t>
            </w:r>
            <w:r>
              <w:rPr>
                <w:rFonts w:hint="eastAsia" w:ascii="宋体" w:hAnsi="宋体" w:cs="宋体"/>
                <w:bCs/>
                <w:snapToGrid w:val="0"/>
                <w:color w:val="auto"/>
                <w:kern w:val="0"/>
                <w:sz w:val="21"/>
                <w:szCs w:val="21"/>
                <w:highlight w:val="none"/>
                <w:lang w:val="en-US" w:eastAsia="zh-CN"/>
              </w:rPr>
              <w:t>负责人</w:t>
            </w:r>
            <w:r>
              <w:rPr>
                <w:rFonts w:hint="eastAsia" w:ascii="宋体" w:hAnsi="宋体" w:cs="宋体"/>
                <w:bCs/>
                <w:snapToGrid w:val="0"/>
                <w:color w:val="auto"/>
                <w:kern w:val="0"/>
                <w:sz w:val="21"/>
                <w:szCs w:val="21"/>
                <w:highlight w:val="none"/>
              </w:rPr>
              <w:t>资格要求</w:t>
            </w:r>
          </w:p>
        </w:tc>
        <w:tc>
          <w:tcPr>
            <w:tcW w:w="7997" w:type="dxa"/>
            <w:noWrap w:val="0"/>
            <w:vAlign w:val="center"/>
          </w:tcPr>
          <w:p w14:paraId="59E1B448">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投标人拟委任</w:t>
            </w:r>
            <w:r>
              <w:rPr>
                <w:rFonts w:hint="eastAsia" w:ascii="宋体" w:hAnsi="宋体" w:cs="宋体"/>
                <w:bCs/>
                <w:snapToGrid w:val="0"/>
                <w:color w:val="auto"/>
                <w:kern w:val="0"/>
                <w:sz w:val="21"/>
                <w:szCs w:val="21"/>
                <w:highlight w:val="none"/>
              </w:rPr>
              <w:t>项目</w:t>
            </w:r>
            <w:r>
              <w:rPr>
                <w:rFonts w:hint="eastAsia" w:ascii="宋体" w:hAnsi="宋体" w:cs="宋体"/>
                <w:bCs/>
                <w:snapToGrid w:val="0"/>
                <w:color w:val="auto"/>
                <w:kern w:val="0"/>
                <w:sz w:val="21"/>
                <w:szCs w:val="21"/>
                <w:highlight w:val="none"/>
                <w:lang w:val="en-US" w:eastAsia="zh-CN"/>
              </w:rPr>
              <w:t>负责人</w:t>
            </w:r>
            <w:r>
              <w:rPr>
                <w:rFonts w:hint="eastAsia" w:ascii="宋体" w:hAnsi="宋体" w:eastAsia="宋体" w:cs="宋体"/>
                <w:color w:val="auto"/>
                <w:sz w:val="21"/>
                <w:szCs w:val="21"/>
                <w:highlight w:val="none"/>
                <w:lang w:val="en-US" w:eastAsia="zh-CN"/>
              </w:rPr>
              <w:t>资格要求：</w:t>
            </w:r>
          </w:p>
          <w:p w14:paraId="5AE0D4F4">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①项目</w:t>
            </w:r>
            <w:r>
              <w:rPr>
                <w:rFonts w:hint="default" w:ascii="宋体" w:hAnsi="宋体" w:eastAsia="宋体" w:cs="宋体"/>
                <w:color w:val="auto"/>
                <w:sz w:val="21"/>
                <w:szCs w:val="21"/>
                <w:highlight w:val="none"/>
                <w:lang w:val="en-US" w:eastAsia="zh-CN"/>
              </w:rPr>
              <w:t>经理</w:t>
            </w:r>
            <w:r>
              <w:rPr>
                <w:rFonts w:hint="eastAsia" w:ascii="宋体" w:hAnsi="宋体" w:eastAsia="宋体" w:cs="宋体"/>
                <w:color w:val="auto"/>
                <w:sz w:val="21"/>
                <w:szCs w:val="21"/>
                <w:highlight w:val="none"/>
                <w:lang w:val="en-US" w:eastAsia="zh-CN"/>
              </w:rPr>
              <w:t>：具备在本单位注册的机电工程专业二级及以上注册建造师资格，具备有效的安全生产考核合格(B类)证书。</w:t>
            </w:r>
          </w:p>
          <w:p w14:paraId="2B9C0809">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②设计负责人：具备电力工程相关专业高级及以上工程师</w:t>
            </w:r>
            <w:r>
              <w:rPr>
                <w:rFonts w:hint="default" w:ascii="宋体" w:hAnsi="宋体" w:eastAsia="宋体" w:cs="宋体"/>
                <w:color w:val="auto"/>
                <w:sz w:val="21"/>
                <w:szCs w:val="21"/>
                <w:highlight w:val="none"/>
                <w:lang w:val="en-US" w:eastAsia="zh-CN"/>
              </w:rPr>
              <w:t>职称或注册电气工程师（发输变电）执业资格或注册电气工程师（供配电）执业资格</w:t>
            </w:r>
            <w:r>
              <w:rPr>
                <w:rFonts w:hint="eastAsia" w:ascii="宋体" w:hAnsi="宋体" w:eastAsia="宋体" w:cs="宋体"/>
                <w:color w:val="auto"/>
                <w:sz w:val="21"/>
                <w:szCs w:val="21"/>
                <w:highlight w:val="none"/>
                <w:lang w:val="en-US" w:eastAsia="zh-CN"/>
              </w:rPr>
              <w:t>。</w:t>
            </w:r>
          </w:p>
          <w:p w14:paraId="74F52338">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szCs w:val="21"/>
                <w:highlight w:val="none"/>
                <w:lang w:val="en-US" w:eastAsia="zh-CN"/>
              </w:rPr>
            </w:pPr>
            <w:r>
              <w:rPr>
                <w:rFonts w:hint="eastAsia" w:ascii="宋体" w:hAnsi="宋体" w:eastAsia="宋体" w:cs="宋体"/>
                <w:color w:val="auto"/>
                <w:sz w:val="21"/>
                <w:szCs w:val="21"/>
                <w:highlight w:val="none"/>
                <w:lang w:val="en-US" w:eastAsia="zh-CN"/>
              </w:rPr>
              <w:t>注：拟派项目经理和设计负责人不可为同一人。</w:t>
            </w:r>
          </w:p>
        </w:tc>
      </w:tr>
      <w:tr w14:paraId="5D76E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1FF232E">
            <w:pPr>
              <w:keepNext w:val="0"/>
              <w:keepLines w:val="0"/>
              <w:pageBreakBefore w:val="0"/>
              <w:widowControl/>
              <w:kinsoku/>
              <w:overflowPunct/>
              <w:topLinePunct w:val="0"/>
              <w:autoSpaceDN/>
              <w:bidi w:val="0"/>
              <w:adjustRightInd/>
              <w:snapToGrid/>
              <w:spacing w:line="400" w:lineRule="exact"/>
              <w:jc w:val="center"/>
              <w:textAlignment w:val="auto"/>
              <w:rPr>
                <w:rFonts w:hint="eastAsia" w:ascii="宋体" w:hAnsi="宋体" w:eastAsia="宋体" w:cs="宋体"/>
                <w:bCs/>
                <w:snapToGrid w:val="0"/>
                <w:color w:val="auto"/>
                <w:kern w:val="0"/>
                <w:sz w:val="21"/>
                <w:szCs w:val="21"/>
                <w:highlight w:val="none"/>
              </w:rPr>
            </w:pPr>
            <w:r>
              <w:rPr>
                <w:rFonts w:hint="eastAsia" w:ascii="宋体" w:hAnsi="宋体" w:cs="宋体"/>
                <w:color w:val="000000"/>
                <w:kern w:val="0"/>
                <w:szCs w:val="21"/>
                <w:highlight w:val="none"/>
              </w:rPr>
              <w:t>信誉要求</w:t>
            </w:r>
          </w:p>
        </w:tc>
        <w:tc>
          <w:tcPr>
            <w:tcW w:w="7997" w:type="dxa"/>
            <w:noWrap w:val="0"/>
            <w:vAlign w:val="center"/>
          </w:tcPr>
          <w:p w14:paraId="231504B5">
            <w:pPr>
              <w:keepNext w:val="0"/>
              <w:keepLines w:val="0"/>
              <w:pageBreakBefore w:val="0"/>
              <w:kinsoku/>
              <w:overflowPunct/>
              <w:topLinePunct w:val="0"/>
              <w:autoSpaceDN/>
              <w:bidi w:val="0"/>
              <w:adjustRightInd/>
              <w:snapToGrid/>
              <w:spacing w:line="400" w:lineRule="exac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w:t>
            </w:r>
            <w:bookmarkStart w:id="32" w:name="OLE_LINK36"/>
            <w:bookmarkStart w:id="33" w:name="OLE_LINK35"/>
            <w:r>
              <w:rPr>
                <w:rFonts w:hint="eastAsia" w:ascii="宋体" w:hAnsi="宋体" w:eastAsia="宋体" w:cs="Times New Roman"/>
                <w:color w:val="auto"/>
                <w:szCs w:val="21"/>
                <w:highlight w:val="none"/>
                <w:lang w:val="en-US" w:eastAsia="zh-CN"/>
              </w:rPr>
              <w:t>投标人（包括联合体各成员）存在以下情形之一的，不得被确定为中标人：</w:t>
            </w:r>
          </w:p>
          <w:p w14:paraId="323700C0">
            <w:pPr>
              <w:keepNext w:val="0"/>
              <w:keepLines w:val="0"/>
              <w:pageBreakBefore w:val="0"/>
              <w:kinsoku/>
              <w:overflowPunct/>
              <w:topLinePunct w:val="0"/>
              <w:autoSpaceDN/>
              <w:bidi w:val="0"/>
              <w:adjustRightInd/>
              <w:snapToGrid/>
              <w:spacing w:line="400" w:lineRule="exac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①被列入“信用中国”网站（www.creditchina.gov.cn）“失信被执行人”的；</w:t>
            </w:r>
          </w:p>
          <w:p w14:paraId="2ADCC78A">
            <w:pPr>
              <w:keepNext w:val="0"/>
              <w:keepLines w:val="0"/>
              <w:pageBreakBefore w:val="0"/>
              <w:kinsoku/>
              <w:overflowPunct/>
              <w:topLinePunct w:val="0"/>
              <w:autoSpaceDN/>
              <w:bidi w:val="0"/>
              <w:adjustRightInd/>
              <w:snapToGrid/>
              <w:spacing w:line="400" w:lineRule="exac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②被列入“信用中国”网站（www.creditchina.gov.cn）“重大税收违法失信主体”的；</w:t>
            </w:r>
          </w:p>
          <w:p w14:paraId="7B2163AE">
            <w:pPr>
              <w:keepNext w:val="0"/>
              <w:keepLines w:val="0"/>
              <w:pageBreakBefore w:val="0"/>
              <w:kinsoku/>
              <w:overflowPunct/>
              <w:topLinePunct w:val="0"/>
              <w:autoSpaceDN/>
              <w:bidi w:val="0"/>
              <w:adjustRightInd/>
              <w:snapToGrid/>
              <w:spacing w:line="400" w:lineRule="exac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③被列入“信用中国”网站（www.creditchina.gov.cn）“拖欠农民工工资失信联合惩戒对象名单”的；</w:t>
            </w:r>
          </w:p>
          <w:p w14:paraId="04FBC062">
            <w:pPr>
              <w:keepNext w:val="0"/>
              <w:keepLines w:val="0"/>
              <w:pageBreakBefore w:val="0"/>
              <w:kinsoku/>
              <w:overflowPunct/>
              <w:topLinePunct w:val="0"/>
              <w:autoSpaceDN/>
              <w:bidi w:val="0"/>
              <w:adjustRightInd/>
              <w:snapToGrid/>
              <w:spacing w:line="400" w:lineRule="exac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④被列入“信用中国”网站（www.creditchina.gov.cn） “安全生产严重失信主体名单”的；</w:t>
            </w:r>
          </w:p>
          <w:p w14:paraId="46952EA2">
            <w:pPr>
              <w:keepNext w:val="0"/>
              <w:keepLines w:val="0"/>
              <w:pageBreakBefore w:val="0"/>
              <w:kinsoku/>
              <w:overflowPunct/>
              <w:topLinePunct w:val="0"/>
              <w:autoSpaceDN/>
              <w:bidi w:val="0"/>
              <w:adjustRightInd/>
              <w:snapToGrid/>
              <w:spacing w:line="400" w:lineRule="exac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⑤被列入国家企业信用信息公示系统网站（</w:t>
            </w:r>
            <w:r>
              <w:rPr>
                <w:rFonts w:hint="eastAsia" w:ascii="宋体" w:hAnsi="宋体" w:eastAsia="宋体" w:cs="Times New Roman"/>
                <w:color w:val="auto"/>
                <w:szCs w:val="21"/>
                <w:highlight w:val="none"/>
                <w:lang w:val="en-US" w:eastAsia="zh-CN"/>
              </w:rPr>
              <w:fldChar w:fldCharType="begin"/>
            </w:r>
            <w:r>
              <w:rPr>
                <w:rFonts w:hint="eastAsia" w:ascii="宋体" w:hAnsi="宋体" w:eastAsia="宋体" w:cs="Times New Roman"/>
                <w:color w:val="auto"/>
                <w:szCs w:val="21"/>
                <w:highlight w:val="none"/>
                <w:lang w:val="en-US" w:eastAsia="zh-CN"/>
              </w:rPr>
              <w:instrText xml:space="preserve"> HYPERLINK "http://www.gsxt.gov.cn）查询" </w:instrText>
            </w:r>
            <w:r>
              <w:rPr>
                <w:rFonts w:hint="eastAsia" w:ascii="宋体" w:hAnsi="宋体" w:eastAsia="宋体" w:cs="Times New Roman"/>
                <w:color w:val="auto"/>
                <w:szCs w:val="21"/>
                <w:highlight w:val="none"/>
                <w:lang w:val="en-US" w:eastAsia="zh-CN"/>
              </w:rPr>
              <w:fldChar w:fldCharType="separate"/>
            </w:r>
            <w:r>
              <w:rPr>
                <w:rFonts w:hint="eastAsia" w:ascii="宋体" w:hAnsi="宋体" w:eastAsia="宋体" w:cs="Times New Roman"/>
                <w:color w:val="auto"/>
                <w:szCs w:val="21"/>
                <w:highlight w:val="none"/>
                <w:lang w:val="en-US" w:eastAsia="zh-CN"/>
              </w:rPr>
              <w:t>www.gsxt.gov.cn）</w:t>
            </w:r>
            <w:r>
              <w:rPr>
                <w:rFonts w:hint="eastAsia" w:ascii="宋体" w:hAnsi="宋体" w:eastAsia="宋体" w:cs="Times New Roman"/>
                <w:color w:val="auto"/>
                <w:szCs w:val="21"/>
                <w:highlight w:val="none"/>
                <w:lang w:val="en-US" w:eastAsia="zh-CN"/>
              </w:rPr>
              <w:fldChar w:fldCharType="end"/>
            </w:r>
            <w:r>
              <w:rPr>
                <w:rFonts w:hint="eastAsia" w:ascii="宋体" w:hAnsi="宋体" w:eastAsia="宋体" w:cs="Times New Roman"/>
                <w:color w:val="auto"/>
                <w:szCs w:val="21"/>
                <w:highlight w:val="none"/>
                <w:lang w:val="en-US" w:eastAsia="zh-CN"/>
              </w:rPr>
              <w:t>“严重违法失信名单”的。</w:t>
            </w:r>
          </w:p>
          <w:p w14:paraId="65A128CA">
            <w:pPr>
              <w:keepNext w:val="0"/>
              <w:keepLines w:val="0"/>
              <w:pageBreakBefore w:val="0"/>
              <w:kinsoku/>
              <w:overflowPunct/>
              <w:topLinePunct w:val="0"/>
              <w:autoSpaceDN/>
              <w:bidi w:val="0"/>
              <w:adjustRightInd/>
              <w:snapToGrid/>
              <w:spacing w:line="400" w:lineRule="exact"/>
              <w:textAlignment w:val="auto"/>
              <w:rPr>
                <w:rFonts w:hint="eastAsia" w:ascii="宋体" w:hAnsi="宋体"/>
                <w:color w:val="auto"/>
                <w:szCs w:val="21"/>
                <w:highlight w:val="none"/>
                <w:lang w:val="en-US" w:eastAsia="zh-CN"/>
              </w:rPr>
            </w:pPr>
            <w:r>
              <w:rPr>
                <w:rFonts w:hint="eastAsia" w:ascii="宋体" w:hAnsi="宋体" w:eastAsia="宋体" w:cs="Times New Roman"/>
                <w:color w:val="auto"/>
                <w:szCs w:val="21"/>
                <w:highlight w:val="none"/>
                <w:lang w:val="en-US" w:eastAsia="zh-CN"/>
              </w:rPr>
              <w:t>2、投标人（包括联合体各成员）所属分公司、办事处等分支机构存在第1条信誉要求①-⑤项情形之一的，接受其被确定为中标人。</w:t>
            </w:r>
            <w:bookmarkEnd w:id="32"/>
            <w:bookmarkEnd w:id="33"/>
          </w:p>
        </w:tc>
      </w:tr>
      <w:tr w14:paraId="4DC6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199D4C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联合体投标</w:t>
            </w:r>
          </w:p>
        </w:tc>
        <w:tc>
          <w:tcPr>
            <w:tcW w:w="7997" w:type="dxa"/>
            <w:noWrap w:val="0"/>
            <w:vAlign w:val="center"/>
          </w:tcPr>
          <w:p w14:paraId="15F8A6D2">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本次招标接受联合体投标，应满足下列要求：</w:t>
            </w:r>
          </w:p>
          <w:p w14:paraId="2C795860">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1、联合体参加投标的，联合体（牵头方和成员方）总数不得超过</w:t>
            </w:r>
            <w:r>
              <w:rPr>
                <w:rFonts w:hint="eastAsia" w:ascii="Times New Roman" w:hAnsi="Times New Roman" w:eastAsia="宋体" w:cs="Times New Roman"/>
                <w:color w:val="auto"/>
                <w:sz w:val="21"/>
                <w:szCs w:val="21"/>
                <w:highlight w:val="none"/>
                <w:lang w:val="en-US" w:eastAsia="zh-CN"/>
              </w:rPr>
              <w:t>2</w:t>
            </w:r>
            <w:r>
              <w:rPr>
                <w:rFonts w:hint="eastAsia" w:ascii="Times New Roman" w:hAnsi="Times New Roman" w:eastAsia="宋体" w:cs="Times New Roman"/>
                <w:color w:val="auto"/>
                <w:sz w:val="21"/>
                <w:szCs w:val="21"/>
                <w:highlight w:val="none"/>
              </w:rPr>
              <w:t>家。同一专业工程由一个单位承担的，按照承担单位资质确定资质等级；同一专业工程由两个单位共同承担的，按照资质等级较低的单位确定资质等级；不同专业工程由不同单位分别承担的，按照各单位的相应资质确定联合体的资质。联合体牵头人和联合体成员按专业分工确定的联合体资质须满足招标文件的要求。</w:t>
            </w:r>
          </w:p>
          <w:p w14:paraId="52769828">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2、联合体参加投标的，招标文件下载、投标保证金缴纳、投标文件编制、电子签章、网上递交标书、解密等工作均由其牵头人负责办理，其他联合体成员方按招标文件要求提供相关材料即可。</w:t>
            </w:r>
          </w:p>
          <w:p w14:paraId="3F5DE44F">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3、联合体参加投标的，一旦中标，联合体各方将向招标人承担连带责任，各方应服从招标人的管理。</w:t>
            </w:r>
          </w:p>
          <w:p w14:paraId="38E3E64E">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4、若为联合体投标的，联合体投标牵头方必须在投标文件中填报派驻项目经理（建造师）A，联合体成员方可根据项目情况自行选择是否在投标文件中填报派驻项目经理（建造师）B岗，若派驻，AB岗须满足项目经理资格要求。如联合体成员方没有在投标文件中填报派驻项目经理（建造师） B岗的，视为放弃填报派驻项目经理（建造师） B岗的权利，中标后不予填报增派。</w:t>
            </w:r>
          </w:p>
          <w:p w14:paraId="6E065797">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kern w:val="0"/>
                <w:sz w:val="21"/>
                <w:szCs w:val="21"/>
                <w:highlight w:val="none"/>
              </w:rPr>
            </w:pPr>
            <w:r>
              <w:rPr>
                <w:rFonts w:hint="eastAsia" w:ascii="Times New Roman" w:hAnsi="Times New Roman" w:eastAsia="宋体" w:cs="Times New Roman"/>
                <w:color w:val="auto"/>
                <w:sz w:val="21"/>
                <w:szCs w:val="21"/>
                <w:highlight w:val="none"/>
              </w:rPr>
              <w:t>5、</w:t>
            </w:r>
            <w:r>
              <w:rPr>
                <w:rFonts w:hint="eastAsia" w:ascii="宋体" w:hAnsi="宋体" w:cs="宋体"/>
                <w:color w:val="auto"/>
                <w:kern w:val="0"/>
                <w:szCs w:val="21"/>
                <w:highlight w:val="none"/>
              </w:rPr>
              <w:t>联合体牵头人及成员单位共同对所提交的投标文件及相关证书材料的真实合规性负责。如联合体任一方出现保证金不予退还的情形，联合体所缴纳的投标保证金均不予退还。</w:t>
            </w:r>
          </w:p>
        </w:tc>
      </w:tr>
      <w:tr w14:paraId="7DAE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44733C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多标段投标</w:t>
            </w:r>
          </w:p>
        </w:tc>
        <w:tc>
          <w:tcPr>
            <w:tcW w:w="7997" w:type="dxa"/>
            <w:noWrap w:val="0"/>
            <w:vAlign w:val="center"/>
          </w:tcPr>
          <w:p w14:paraId="42579C26">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r>
      <w:tr w14:paraId="2329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2E77D0C0">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招标文件的获取</w:t>
            </w:r>
          </w:p>
        </w:tc>
      </w:tr>
      <w:tr w14:paraId="1729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933" w:type="dxa"/>
            <w:noWrap w:val="0"/>
            <w:vAlign w:val="center"/>
          </w:tcPr>
          <w:p w14:paraId="00B9B13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获取时间</w:t>
            </w:r>
          </w:p>
        </w:tc>
        <w:tc>
          <w:tcPr>
            <w:tcW w:w="7997" w:type="dxa"/>
            <w:noWrap w:val="0"/>
            <w:vAlign w:val="center"/>
          </w:tcPr>
          <w:p w14:paraId="257A5F9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Cs/>
                <w:snapToGrid w:val="0"/>
                <w:color w:val="000000"/>
                <w:kern w:val="0"/>
                <w:szCs w:val="21"/>
                <w:highlight w:val="none"/>
                <w:u w:val="single"/>
                <w:lang w:val="en-US" w:eastAsia="zh-CN"/>
              </w:rPr>
              <w:t>202</w:t>
            </w:r>
            <w:r>
              <w:rPr>
                <w:rFonts w:hint="eastAsia" w:ascii="宋体" w:hAnsi="宋体" w:cs="宋体"/>
                <w:bCs/>
                <w:snapToGrid w:val="0"/>
                <w:color w:val="000000"/>
                <w:kern w:val="0"/>
                <w:szCs w:val="21"/>
                <w:highlight w:val="none"/>
                <w:u w:val="single"/>
                <w:lang w:val="en-US" w:eastAsia="zh-CN"/>
              </w:rPr>
              <w:t xml:space="preserve">6 </w:t>
            </w:r>
            <w:r>
              <w:rPr>
                <w:rFonts w:hint="eastAsia" w:ascii="宋体" w:hAnsi="宋体" w:eastAsia="宋体" w:cs="宋体"/>
                <w:bCs/>
                <w:snapToGrid w:val="0"/>
                <w:color w:val="000000"/>
                <w:kern w:val="0"/>
                <w:szCs w:val="21"/>
                <w:highlight w:val="none"/>
              </w:rPr>
              <w:t>年</w:t>
            </w:r>
            <w:r>
              <w:rPr>
                <w:rFonts w:hint="eastAsia" w:ascii="宋体" w:hAnsi="宋体" w:cs="宋体"/>
                <w:bCs/>
                <w:snapToGrid w:val="0"/>
                <w:color w:val="000000"/>
                <w:kern w:val="0"/>
                <w:szCs w:val="21"/>
                <w:highlight w:val="none"/>
                <w:u w:val="single"/>
                <w:lang w:val="en-US" w:eastAsia="zh-CN"/>
              </w:rPr>
              <w:t>9</w:t>
            </w:r>
            <w:r>
              <w:rPr>
                <w:rFonts w:hint="eastAsia" w:ascii="宋体" w:hAnsi="宋体" w:eastAsia="宋体" w:cs="宋体"/>
                <w:bCs/>
                <w:snapToGrid w:val="0"/>
                <w:color w:val="000000"/>
                <w:kern w:val="0"/>
                <w:szCs w:val="21"/>
                <w:highlight w:val="none"/>
              </w:rPr>
              <w:t>月</w:t>
            </w:r>
            <w:r>
              <w:rPr>
                <w:rFonts w:hint="eastAsia" w:ascii="宋体" w:hAnsi="宋体" w:cs="宋体"/>
                <w:bCs/>
                <w:snapToGrid w:val="0"/>
                <w:color w:val="000000"/>
                <w:kern w:val="0"/>
                <w:szCs w:val="21"/>
                <w:highlight w:val="none"/>
                <w:u w:val="single"/>
                <w:lang w:val="en-US" w:eastAsia="zh-CN"/>
              </w:rPr>
              <w:t xml:space="preserve"> 24  </w:t>
            </w:r>
            <w:r>
              <w:rPr>
                <w:rFonts w:hint="eastAsia" w:ascii="宋体" w:hAnsi="宋体" w:eastAsia="宋体" w:cs="宋体"/>
                <w:bCs/>
                <w:snapToGrid w:val="0"/>
                <w:color w:val="000000"/>
                <w:kern w:val="0"/>
                <w:szCs w:val="21"/>
                <w:highlight w:val="none"/>
              </w:rPr>
              <w:t>日</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17</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时</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00</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分至</w:t>
            </w:r>
            <w:r>
              <w:rPr>
                <w:rFonts w:hint="eastAsia" w:ascii="宋体" w:hAnsi="宋体" w:cs="宋体"/>
                <w:bCs/>
                <w:snapToGrid w:val="0"/>
                <w:color w:val="000000"/>
                <w:kern w:val="0"/>
                <w:szCs w:val="21"/>
                <w:highlight w:val="none"/>
                <w:u w:val="single"/>
                <w:lang w:val="en-US" w:eastAsia="zh-CN"/>
              </w:rPr>
              <w:t>2026</w:t>
            </w:r>
            <w:r>
              <w:rPr>
                <w:rFonts w:hint="eastAsia" w:ascii="宋体" w:hAnsi="宋体" w:eastAsia="宋体" w:cs="宋体"/>
                <w:bCs/>
                <w:snapToGrid w:val="0"/>
                <w:color w:val="000000"/>
                <w:kern w:val="0"/>
                <w:szCs w:val="21"/>
                <w:highlight w:val="none"/>
              </w:rPr>
              <w:t>年</w:t>
            </w:r>
            <w:r>
              <w:rPr>
                <w:rFonts w:hint="eastAsia" w:ascii="宋体" w:hAnsi="宋体" w:cs="宋体"/>
                <w:bCs/>
                <w:snapToGrid w:val="0"/>
                <w:color w:val="000000"/>
                <w:kern w:val="0"/>
                <w:szCs w:val="21"/>
                <w:highlight w:val="none"/>
                <w:u w:val="single"/>
                <w:lang w:val="en-US" w:eastAsia="zh-CN"/>
              </w:rPr>
              <w:t xml:space="preserve"> 10 </w:t>
            </w:r>
            <w:r>
              <w:rPr>
                <w:rFonts w:hint="eastAsia" w:ascii="宋体" w:hAnsi="宋体" w:eastAsia="宋体" w:cs="宋体"/>
                <w:bCs/>
                <w:snapToGrid w:val="0"/>
                <w:color w:val="000000"/>
                <w:kern w:val="0"/>
                <w:szCs w:val="21"/>
                <w:highlight w:val="none"/>
              </w:rPr>
              <w:t>月</w:t>
            </w:r>
            <w:r>
              <w:rPr>
                <w:rFonts w:hint="eastAsia" w:ascii="宋体" w:hAnsi="宋体" w:cs="宋体"/>
                <w:bCs/>
                <w:snapToGrid w:val="0"/>
                <w:color w:val="000000"/>
                <w:kern w:val="0"/>
                <w:szCs w:val="21"/>
                <w:highlight w:val="none"/>
                <w:u w:val="single"/>
                <w:lang w:val="en-US" w:eastAsia="zh-CN"/>
              </w:rPr>
              <w:t xml:space="preserve"> 10  </w:t>
            </w:r>
            <w:r>
              <w:rPr>
                <w:rFonts w:hint="eastAsia" w:ascii="宋体" w:hAnsi="宋体" w:eastAsia="宋体" w:cs="宋体"/>
                <w:bCs/>
                <w:snapToGrid w:val="0"/>
                <w:color w:val="000000"/>
                <w:kern w:val="0"/>
                <w:szCs w:val="21"/>
                <w:highlight w:val="none"/>
              </w:rPr>
              <w:t>日</w:t>
            </w:r>
            <w:r>
              <w:rPr>
                <w:rFonts w:hint="eastAsia" w:ascii="宋体" w:hAnsi="宋体" w:eastAsia="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u w:val="single"/>
                <w:lang w:val="en-US" w:eastAsia="zh-CN"/>
              </w:rPr>
              <w:t>9</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时</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00</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分。</w:t>
            </w:r>
          </w:p>
        </w:tc>
      </w:tr>
      <w:tr w14:paraId="1AFD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072458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cs="宋体"/>
                <w:color w:val="000000"/>
                <w:kern w:val="0"/>
                <w:szCs w:val="21"/>
                <w:highlight w:val="none"/>
              </w:rPr>
              <w:t>获取方式</w:t>
            </w:r>
          </w:p>
        </w:tc>
        <w:tc>
          <w:tcPr>
            <w:tcW w:w="7997" w:type="dxa"/>
            <w:noWrap w:val="0"/>
            <w:vAlign w:val="center"/>
          </w:tcPr>
          <w:p w14:paraId="5AC4F37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请于公告发布之日起从滁州市城投工程咨询管理有限公司</w:t>
            </w:r>
            <w:r>
              <w:rPr>
                <w:rFonts w:hint="eastAsia" w:cs="Times New Roman"/>
                <w:highlight w:val="none"/>
                <w:lang w:val="en-US" w:eastAsia="zh-CN"/>
              </w:rPr>
              <w:t>网站</w:t>
            </w:r>
            <w:r>
              <w:rPr>
                <w:rFonts w:hint="eastAsia" w:ascii="Times New Roman" w:hAnsi="Times New Roman" w:eastAsia="宋体" w:cs="Times New Roman"/>
                <w:highlight w:val="none"/>
                <w:lang w:val="en-US" w:eastAsia="zh-CN"/>
              </w:rPr>
              <w:t>（https://www.czctgczx.com/）下载</w:t>
            </w:r>
            <w:r>
              <w:rPr>
                <w:rFonts w:hint="eastAsia" w:cs="Times New Roman"/>
                <w:highlight w:val="none"/>
                <w:lang w:val="en-US" w:eastAsia="zh-CN"/>
              </w:rPr>
              <w:t>。</w:t>
            </w:r>
          </w:p>
          <w:p w14:paraId="06D33B50">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highlight w:val="none"/>
              </w:rPr>
            </w:pPr>
            <w:r>
              <w:rPr>
                <w:rFonts w:hint="eastAsia" w:ascii="Times New Roman" w:hAnsi="Times New Roman" w:eastAsia="宋体" w:cs="Times New Roman"/>
                <w:highlight w:val="none"/>
                <w:lang w:val="en-US" w:eastAsia="zh-CN"/>
              </w:rPr>
              <w:t>方式：（1）投标人须登</w:t>
            </w:r>
            <w:r>
              <w:rPr>
                <w:rFonts w:hint="eastAsia" w:ascii="宋体" w:hAnsi="宋体" w:eastAsia="宋体" w:cs="宋体"/>
                <w:highlight w:val="none"/>
                <w:lang w:val="en-US" w:eastAsia="zh-CN"/>
              </w:rPr>
              <w:t>录新点电子交易平台【滁州专区】查询、获取招标文件。首次登录办理入库手续，办理入库不收取任何费用。新点电子招投标统一认证平台使用相关问题（如系统登录、信息登记、录入及提交、数字证书关联等）请拨打服务电话：0512-58151515（工作日）。  </w:t>
            </w:r>
          </w:p>
          <w:p w14:paraId="1CA3EC44">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highlight w:val="none"/>
                <w:lang w:val="en-US" w:eastAsia="zh-CN"/>
              </w:rPr>
              <w:t>（2）投标人登录新点电子交易平台【滁州专区】获取招标文件及其它资料（含澄清和补充说明等）。如在招标文件获取过程中遇到系统问题，请拨打技术支持服务热线0512-58151515或者网站首页在线客服。</w:t>
            </w:r>
          </w:p>
        </w:tc>
      </w:tr>
      <w:tr w14:paraId="552D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7C699F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招标公告发布时间</w:t>
            </w:r>
          </w:p>
        </w:tc>
        <w:tc>
          <w:tcPr>
            <w:tcW w:w="7997" w:type="dxa"/>
            <w:noWrap w:val="0"/>
            <w:vAlign w:val="center"/>
          </w:tcPr>
          <w:p w14:paraId="0CB3AD82">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rPr>
              <w:t>20</w:t>
            </w: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24</w:t>
            </w:r>
            <w:r>
              <w:rPr>
                <w:rFonts w:hint="eastAsia" w:ascii="宋体" w:hAnsi="宋体" w:eastAsia="宋体" w:cs="宋体"/>
                <w:color w:val="auto"/>
                <w:szCs w:val="21"/>
                <w:highlight w:val="none"/>
              </w:rPr>
              <w:t>日</w:t>
            </w:r>
          </w:p>
        </w:tc>
      </w:tr>
      <w:tr w14:paraId="2E377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B970DA1">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投标文件递交的截止时间</w:t>
            </w:r>
          </w:p>
        </w:tc>
        <w:tc>
          <w:tcPr>
            <w:tcW w:w="7997" w:type="dxa"/>
            <w:noWrap w:val="0"/>
            <w:vAlign w:val="center"/>
          </w:tcPr>
          <w:p w14:paraId="78350AD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2026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val="en-US" w:eastAsia="zh-CN"/>
              </w:rPr>
              <w:t>日</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时00分</w:t>
            </w:r>
          </w:p>
        </w:tc>
      </w:tr>
      <w:tr w14:paraId="1D30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CC335A0">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投标文件递交的方式</w:t>
            </w:r>
          </w:p>
        </w:tc>
        <w:tc>
          <w:tcPr>
            <w:tcW w:w="7997" w:type="dxa"/>
            <w:noWrap w:val="0"/>
            <w:vAlign w:val="center"/>
          </w:tcPr>
          <w:p w14:paraId="46F556D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p>
        </w:tc>
      </w:tr>
      <w:tr w14:paraId="7CED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933" w:type="dxa"/>
            <w:noWrap w:val="0"/>
            <w:vAlign w:val="center"/>
          </w:tcPr>
          <w:p w14:paraId="746D341E">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开标时间</w:t>
            </w:r>
          </w:p>
        </w:tc>
        <w:tc>
          <w:tcPr>
            <w:tcW w:w="7997" w:type="dxa"/>
            <w:noWrap w:val="0"/>
            <w:vAlign w:val="center"/>
          </w:tcPr>
          <w:p w14:paraId="1DA66740">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cs="宋体"/>
                <w:color w:val="auto"/>
                <w:szCs w:val="21"/>
                <w:highlight w:val="none"/>
                <w:lang w:val="en-US" w:eastAsia="zh-CN"/>
              </w:rPr>
              <w:t>2026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日</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时</w:t>
            </w:r>
            <w:r>
              <w:rPr>
                <w:rFonts w:hint="eastAsia" w:ascii="宋体" w:hAnsi="宋体" w:eastAsia="宋体" w:cs="宋体"/>
                <w:color w:val="auto"/>
                <w:szCs w:val="21"/>
                <w:highlight w:val="none"/>
                <w:lang w:val="en-US" w:eastAsia="zh-CN"/>
              </w:rPr>
              <w:t>00</w:t>
            </w:r>
            <w:r>
              <w:rPr>
                <w:rFonts w:hint="eastAsia" w:ascii="宋体" w:hAnsi="宋体" w:eastAsia="宋体" w:cs="宋体"/>
                <w:color w:val="auto"/>
                <w:szCs w:val="21"/>
                <w:highlight w:val="none"/>
              </w:rPr>
              <w:t>分</w:t>
            </w:r>
          </w:p>
        </w:tc>
      </w:tr>
      <w:tr w14:paraId="5C7D4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933" w:type="dxa"/>
            <w:noWrap w:val="0"/>
            <w:vAlign w:val="center"/>
          </w:tcPr>
          <w:p w14:paraId="77B6227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开标地点</w:t>
            </w:r>
          </w:p>
        </w:tc>
        <w:tc>
          <w:tcPr>
            <w:tcW w:w="7997" w:type="dxa"/>
            <w:noWrap w:val="0"/>
            <w:vAlign w:val="center"/>
          </w:tcPr>
          <w:p w14:paraId="3D3F20FE">
            <w:pPr>
              <w:keepNext w:val="0"/>
              <w:keepLines w:val="0"/>
              <w:pageBreakBefore w:val="0"/>
              <w:widowControl/>
              <w:kinsoku/>
              <w:wordWrap w:val="0"/>
              <w:overflowPunct/>
              <w:topLinePunct w:val="0"/>
              <w:autoSpaceDE w:val="0"/>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Times New Roman" w:hAnsi="Times New Roman" w:eastAsia="宋体" w:cs="Times New Roman"/>
                <w:highlight w:val="none"/>
                <w:lang w:val="en-US" w:eastAsia="zh-CN"/>
              </w:rPr>
              <w:t>采用不见面开标，投标人登录滁州市城投工程咨询有限公司不见面开标系统参与网上开标（网址：http://js.etrading.cn/EpointBidOpening/bidopeninghallaction/hall/login）。</w:t>
            </w:r>
          </w:p>
        </w:tc>
      </w:tr>
      <w:tr w14:paraId="4E31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16377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rPr>
              <w:t>招标文件</w:t>
            </w:r>
            <w:r>
              <w:rPr>
                <w:rFonts w:hint="eastAsia" w:ascii="宋体" w:hAnsi="宋体" w:cs="宋体"/>
                <w:color w:val="auto"/>
                <w:sz w:val="21"/>
                <w:szCs w:val="21"/>
                <w:highlight w:val="none"/>
                <w:lang w:val="en-US" w:eastAsia="zh-CN"/>
              </w:rPr>
              <w:t>售价</w:t>
            </w:r>
          </w:p>
        </w:tc>
        <w:tc>
          <w:tcPr>
            <w:tcW w:w="7997" w:type="dxa"/>
            <w:noWrap w:val="0"/>
            <w:vAlign w:val="center"/>
          </w:tcPr>
          <w:p w14:paraId="0FF1405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0元</w:t>
            </w:r>
          </w:p>
        </w:tc>
      </w:tr>
      <w:tr w14:paraId="7177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7C4373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发布公告的媒介</w:t>
            </w:r>
          </w:p>
        </w:tc>
        <w:tc>
          <w:tcPr>
            <w:tcW w:w="7997" w:type="dxa"/>
            <w:noWrap w:val="0"/>
            <w:vAlign w:val="center"/>
          </w:tcPr>
          <w:p w14:paraId="4E624FF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中国招标公共服务平台（http://www.cebpubservice.com/）</w:t>
            </w:r>
          </w:p>
          <w:p w14:paraId="41625809">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安徽省招标投标信息网（www.ahtba.org.cn）</w:t>
            </w:r>
          </w:p>
          <w:p w14:paraId="50C6D68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Times New Roman" w:hAnsi="Times New Roman" w:eastAsia="宋体" w:cs="Times New Roman"/>
                <w:highlight w:val="none"/>
                <w:lang w:val="en-US" w:eastAsia="zh-CN"/>
              </w:rPr>
              <w:t>滁州市城投工程咨询管理有限公司（https://www.czctgczx.com/）</w:t>
            </w:r>
          </w:p>
        </w:tc>
      </w:tr>
      <w:tr w14:paraId="0857C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1930D49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投标保证金收取</w:t>
            </w:r>
          </w:p>
        </w:tc>
      </w:tr>
      <w:tr w14:paraId="453B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FC7C45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保证金收取</w:t>
            </w:r>
          </w:p>
        </w:tc>
        <w:tc>
          <w:tcPr>
            <w:tcW w:w="7997" w:type="dxa"/>
            <w:noWrap w:val="0"/>
            <w:vAlign w:val="center"/>
          </w:tcPr>
          <w:p w14:paraId="087B457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是否要求提交投标保证金：要求，投标保证金的金额：</w:t>
            </w:r>
            <w:r>
              <w:rPr>
                <w:rFonts w:hint="eastAsia" w:cs="Times New Roman"/>
                <w:highlight w:val="none"/>
                <w:lang w:val="en-US" w:eastAsia="zh-CN"/>
              </w:rPr>
              <w:t>3.6</w:t>
            </w:r>
            <w:r>
              <w:rPr>
                <w:rFonts w:hint="eastAsia" w:ascii="Times New Roman" w:hAnsi="Times New Roman" w:eastAsia="宋体" w:cs="Times New Roman"/>
                <w:highlight w:val="none"/>
                <w:lang w:val="en-US" w:eastAsia="zh-CN"/>
              </w:rPr>
              <w:t>万元。</w:t>
            </w:r>
          </w:p>
          <w:p w14:paraId="5BF2D70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投标保证金的形式：支持现金（银行转账）、电子保函</w:t>
            </w:r>
          </w:p>
          <w:p w14:paraId="5A458BB8">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1）采用现金形式的，投标保证金应当从投标人基本存款账户转出，投标保证金的到账截止时间为投标截止时间。投标保证金转出账户与投标人投标文件提供的基本存款账户不一致的，视为未按照招标文件规定提交投标保证金。提交投标保证金的开户银行及账号如下：</w:t>
            </w:r>
          </w:p>
          <w:p w14:paraId="2F97D4F3">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 xml:space="preserve">户  名：滁州市城投工程咨询管理有限公司 </w:t>
            </w:r>
          </w:p>
          <w:p w14:paraId="1DFA98EA">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 xml:space="preserve">开户行：中国银行滁州分行营业部 </w:t>
            </w:r>
          </w:p>
          <w:p w14:paraId="7E3AE8B5">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账  号：</w:t>
            </w:r>
            <w:r>
              <w:rPr>
                <w:rFonts w:hint="default" w:ascii="Times New Roman" w:hAnsi="Times New Roman" w:eastAsia="宋体" w:cs="Times New Roman"/>
                <w:highlight w:val="none"/>
                <w:lang w:val="en-US" w:eastAsia="zh-CN"/>
              </w:rPr>
              <w:t xml:space="preserve">184256514737 </w:t>
            </w:r>
          </w:p>
          <w:p w14:paraId="52C9853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采用现金形式缴纳保证金时须在交易附言中注明：“</w:t>
            </w:r>
            <w:r>
              <w:rPr>
                <w:rFonts w:hint="eastAsia" w:cs="Times New Roman"/>
                <w:highlight w:val="none"/>
                <w:lang w:val="en-US" w:eastAsia="zh-CN"/>
              </w:rPr>
              <w:t>滁宁城际铁路相官车辆段光伏EPC项目</w:t>
            </w:r>
            <w:r>
              <w:rPr>
                <w:rFonts w:hint="eastAsia" w:ascii="Times New Roman" w:hAnsi="Times New Roman" w:eastAsia="宋体" w:cs="Times New Roman"/>
                <w:highlight w:val="none"/>
                <w:lang w:val="en-US" w:eastAsia="zh-CN"/>
              </w:rPr>
              <w:t xml:space="preserve">投标保证金”。 </w:t>
            </w:r>
          </w:p>
          <w:p w14:paraId="064A7166">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注：各投标人请严格按照招标公告和招标文件载明的银行、账户汇入投标保证金，否则在开标时将无法查询保证金是否到账，导致评标委员会否决其投标！</w:t>
            </w:r>
          </w:p>
          <w:p w14:paraId="31D7CE2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投标保证金退还期限：中标通知书发放后五个工作日内退还未中标单位的投标保证金，签订合同后五个工作日内退还中标单位的投标保证金。</w:t>
            </w:r>
          </w:p>
          <w:p w14:paraId="7602C658">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（2）采用电子保函提交要求如下：</w:t>
            </w:r>
          </w:p>
          <w:p w14:paraId="23406348">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①投标人须在投标文件提交截止时间前提供与新点电子交易平台【滁州专区】对接的电子保函否则视为投标保证金未按规定要求缴纳。</w:t>
            </w:r>
          </w:p>
          <w:p w14:paraId="59526BF0">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②电子保函生效时间须为所投项目规定的保证金到账截止时间之前，电子保函的有效期截止时间不得短于招标文件约定的投标有效期截止时间，否则视为投标保证金未按规定要求缴纳。</w:t>
            </w:r>
          </w:p>
          <w:p w14:paraId="09791138">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③投标有效期内未能确定中标结果，需要延长投标有效期，投标人同意延长投标有效期的，须相应延长电子保函的有效期。</w:t>
            </w:r>
          </w:p>
          <w:p w14:paraId="655ACF5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④投标人存在投标保证金不予退还的情形，采用电子保函形式的将予以追缴。</w:t>
            </w:r>
          </w:p>
          <w:p w14:paraId="4BEAD149">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（3）保证金电子保函业务应急处置措施。由于自然灾害、事故灾难、突发公共网络安全事件或者系统原因，以及保证金电子保函系统使用过程中出现的以下情况：</w:t>
            </w:r>
          </w:p>
          <w:p w14:paraId="07A3CC1D">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①开标时，系统获取明文保函文件异常，无法正常获取保函文件；</w:t>
            </w:r>
          </w:p>
          <w:p w14:paraId="7D385B00">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②保证金电子保函系统的软件或数据库出现错误，不能进行正常操作；</w:t>
            </w:r>
          </w:p>
          <w:p w14:paraId="42FFA6C4">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③保证金电子保函系统服务器发生故障等情况，无法访问或无法使用电子保函；</w:t>
            </w:r>
          </w:p>
          <w:p w14:paraId="2E536D43">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④保证金电子保函系统服务器受到病毒或其他外来的攻击；</w:t>
            </w:r>
          </w:p>
          <w:p w14:paraId="7E189088">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⑤其他影响电子保函出具的异常情形。</w:t>
            </w:r>
          </w:p>
          <w:p w14:paraId="4BFE0915">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由于上述原因导致投标人无法正常参加开评标的，投标人确实已购买电子保函，投标人可以继续参加开评标。</w:t>
            </w:r>
          </w:p>
        </w:tc>
      </w:tr>
      <w:tr w14:paraId="711C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05DB97D6">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联系方式</w:t>
            </w:r>
          </w:p>
        </w:tc>
      </w:tr>
      <w:tr w14:paraId="6F24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2E16C3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招标人名称</w:t>
            </w:r>
          </w:p>
        </w:tc>
        <w:tc>
          <w:tcPr>
            <w:tcW w:w="7997" w:type="dxa"/>
            <w:noWrap w:val="0"/>
            <w:vAlign w:val="center"/>
          </w:tcPr>
          <w:p w14:paraId="2D2A6C29">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eastAsia="zh-CN"/>
              </w:rPr>
              <w:t>滁州市翼然新能源开发有限公司</w:t>
            </w:r>
            <w:r>
              <w:rPr>
                <w:rFonts w:hint="eastAsia" w:ascii="宋体" w:hAnsi="宋体" w:eastAsia="宋体" w:cs="宋体"/>
                <w:color w:val="auto"/>
                <w:kern w:val="0"/>
                <w:sz w:val="21"/>
                <w:szCs w:val="21"/>
                <w:highlight w:val="none"/>
                <w:lang w:eastAsia="zh-CN"/>
              </w:rPr>
              <w:t xml:space="preserve"> </w:t>
            </w:r>
          </w:p>
        </w:tc>
      </w:tr>
      <w:tr w14:paraId="5C15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8A63B0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招标人地址</w:t>
            </w:r>
          </w:p>
        </w:tc>
        <w:tc>
          <w:tcPr>
            <w:tcW w:w="7997" w:type="dxa"/>
            <w:noWrap w:val="0"/>
            <w:vAlign w:val="center"/>
          </w:tcPr>
          <w:p w14:paraId="721F56AB">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eastAsia="zh-CN"/>
              </w:rPr>
              <w:t>安徽省滁州市南谯区中都大道1598号15层</w:t>
            </w:r>
          </w:p>
        </w:tc>
      </w:tr>
      <w:tr w14:paraId="53D11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C32FFC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招标人联系人</w:t>
            </w:r>
          </w:p>
        </w:tc>
        <w:tc>
          <w:tcPr>
            <w:tcW w:w="7997" w:type="dxa"/>
            <w:noWrap w:val="0"/>
            <w:vAlign w:val="center"/>
          </w:tcPr>
          <w:p w14:paraId="0CA615D4">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胡雪</w:t>
            </w:r>
          </w:p>
        </w:tc>
      </w:tr>
      <w:tr w14:paraId="79E3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C0D56E8">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招标人电话</w:t>
            </w:r>
          </w:p>
        </w:tc>
        <w:tc>
          <w:tcPr>
            <w:tcW w:w="7997" w:type="dxa"/>
            <w:noWrap w:val="0"/>
            <w:vAlign w:val="center"/>
          </w:tcPr>
          <w:p w14:paraId="0786EC85">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0550-2350288</w:t>
            </w:r>
          </w:p>
        </w:tc>
      </w:tr>
      <w:tr w14:paraId="555F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D32F69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招标代理机构名称</w:t>
            </w:r>
          </w:p>
        </w:tc>
        <w:tc>
          <w:tcPr>
            <w:tcW w:w="7997" w:type="dxa"/>
            <w:noWrap w:val="0"/>
            <w:vAlign w:val="center"/>
          </w:tcPr>
          <w:p w14:paraId="6FF9C0E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rPr>
              <w:t>滁州市城投工程咨询管理有限公司</w:t>
            </w:r>
          </w:p>
        </w:tc>
      </w:tr>
      <w:tr w14:paraId="2D8B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C1F41F8">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招标代理机构地址</w:t>
            </w:r>
          </w:p>
        </w:tc>
        <w:tc>
          <w:tcPr>
            <w:tcW w:w="7997" w:type="dxa"/>
            <w:noWrap w:val="0"/>
            <w:vAlign w:val="center"/>
          </w:tcPr>
          <w:p w14:paraId="6D12C6B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rPr>
              <w:t>滁州市龙蟠大道109号房产大厦6楼</w:t>
            </w:r>
            <w:r>
              <w:rPr>
                <w:rFonts w:hint="eastAsia" w:ascii="宋体" w:hAnsi="宋体" w:eastAsia="宋体" w:cs="宋体"/>
                <w:color w:val="auto"/>
                <w:sz w:val="21"/>
                <w:szCs w:val="21"/>
                <w:highlight w:val="none"/>
                <w:lang w:val="en-US" w:eastAsia="zh-CN"/>
              </w:rPr>
              <w:t>605室</w:t>
            </w:r>
          </w:p>
        </w:tc>
      </w:tr>
      <w:tr w14:paraId="5ECC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B2042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招标代理机构联系人</w:t>
            </w:r>
          </w:p>
        </w:tc>
        <w:tc>
          <w:tcPr>
            <w:tcW w:w="7997" w:type="dxa"/>
            <w:noWrap w:val="0"/>
            <w:vAlign w:val="center"/>
          </w:tcPr>
          <w:p w14:paraId="508420A3">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周蓓蕾</w:t>
            </w:r>
          </w:p>
        </w:tc>
      </w:tr>
      <w:tr w14:paraId="2DBA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D7E1BD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代理机构电话</w:t>
            </w:r>
          </w:p>
        </w:tc>
        <w:tc>
          <w:tcPr>
            <w:tcW w:w="7997" w:type="dxa"/>
            <w:noWrap w:val="0"/>
            <w:vAlign w:val="center"/>
          </w:tcPr>
          <w:p w14:paraId="57DEDBE8">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0550-3519519</w:t>
            </w:r>
            <w:r>
              <w:rPr>
                <w:rFonts w:hint="eastAsia" w:ascii="宋体" w:hAnsi="宋体" w:eastAsia="宋体" w:cs="宋体"/>
                <w:color w:val="auto"/>
                <w:sz w:val="21"/>
                <w:szCs w:val="21"/>
                <w:highlight w:val="none"/>
                <w:lang w:val="en-US" w:eastAsia="zh-CN"/>
              </w:rPr>
              <w:t>、18005505728</w:t>
            </w:r>
          </w:p>
        </w:tc>
      </w:tr>
    </w:tbl>
    <w:p w14:paraId="3789B77A">
      <w:pPr>
        <w:jc w:val="left"/>
        <w:rPr>
          <w:highlight w:val="none"/>
        </w:rPr>
      </w:pPr>
    </w:p>
    <w:p w14:paraId="32A53F0D">
      <w:pPr>
        <w:pStyle w:val="44"/>
        <w:spacing w:beforeLines="50" w:afterLines="50" w:line="440" w:lineRule="exact"/>
        <w:rPr>
          <w:bCs/>
          <w:szCs w:val="32"/>
          <w:highlight w:val="none"/>
        </w:rPr>
      </w:pPr>
      <w:bookmarkStart w:id="34" w:name="_Toc78803321"/>
      <w:r>
        <w:rPr>
          <w:rFonts w:hint="eastAsia"/>
          <w:bCs/>
          <w:szCs w:val="32"/>
          <w:highlight w:val="none"/>
        </w:rPr>
        <w:br w:type="page"/>
      </w:r>
      <w:r>
        <w:rPr>
          <w:rFonts w:hint="eastAsia"/>
          <w:bCs/>
          <w:szCs w:val="32"/>
          <w:highlight w:val="none"/>
        </w:rPr>
        <w:t>第</w:t>
      </w:r>
      <w:r>
        <w:rPr>
          <w:rFonts w:hint="eastAsia"/>
          <w:bCs/>
          <w:szCs w:val="32"/>
          <w:highlight w:val="none"/>
          <w:lang w:val="en-US" w:eastAsia="zh-CN"/>
        </w:rPr>
        <w:t>二</w:t>
      </w:r>
      <w:r>
        <w:rPr>
          <w:rFonts w:hint="eastAsia"/>
          <w:bCs/>
          <w:szCs w:val="32"/>
          <w:highlight w:val="none"/>
        </w:rPr>
        <w:t>章  投标人须知</w:t>
      </w:r>
      <w:bookmarkEnd w:id="20"/>
      <w:bookmarkEnd w:id="21"/>
      <w:bookmarkEnd w:id="22"/>
      <w:bookmarkEnd w:id="23"/>
      <w:bookmarkEnd w:id="24"/>
      <w:bookmarkEnd w:id="25"/>
      <w:bookmarkEnd w:id="26"/>
      <w:bookmarkEnd w:id="27"/>
      <w:bookmarkEnd w:id="28"/>
      <w:bookmarkEnd w:id="29"/>
      <w:bookmarkEnd w:id="30"/>
      <w:bookmarkEnd w:id="31"/>
      <w:bookmarkEnd w:id="34"/>
    </w:p>
    <w:p w14:paraId="594BBBF6">
      <w:pPr>
        <w:spacing w:beforeLines="50" w:afterLines="50" w:line="440" w:lineRule="exact"/>
        <w:jc w:val="center"/>
        <w:rPr>
          <w:b/>
          <w:bCs/>
          <w:sz w:val="28"/>
          <w:szCs w:val="28"/>
          <w:highlight w:val="none"/>
        </w:rPr>
      </w:pPr>
      <w:bookmarkStart w:id="35" w:name="_Toc246996174"/>
      <w:bookmarkStart w:id="36" w:name="_Toc35424884"/>
      <w:bookmarkStart w:id="37" w:name="_Toc144974496"/>
      <w:bookmarkStart w:id="38" w:name="_Toc246996917"/>
      <w:bookmarkStart w:id="39" w:name="_Toc324404814"/>
      <w:bookmarkStart w:id="40" w:name="_Toc15058845"/>
      <w:bookmarkStart w:id="41" w:name="_Toc35425051"/>
      <w:bookmarkStart w:id="42" w:name="_Toc506107268"/>
      <w:bookmarkStart w:id="43" w:name="_Toc152045528"/>
      <w:bookmarkStart w:id="44" w:name="_Toc179632545"/>
      <w:bookmarkStart w:id="45" w:name="_Toc152042304"/>
      <w:bookmarkStart w:id="46" w:name="_Toc247085688"/>
      <w:r>
        <w:rPr>
          <w:rFonts w:hint="eastAsia"/>
          <w:b/>
          <w:bCs/>
          <w:sz w:val="28"/>
          <w:szCs w:val="28"/>
          <w:highlight w:val="none"/>
        </w:rPr>
        <w:t>投标人须知前附表</w:t>
      </w:r>
      <w:bookmarkEnd w:id="35"/>
      <w:bookmarkEnd w:id="36"/>
      <w:bookmarkEnd w:id="37"/>
      <w:bookmarkEnd w:id="38"/>
      <w:bookmarkEnd w:id="39"/>
      <w:bookmarkEnd w:id="40"/>
      <w:bookmarkEnd w:id="41"/>
      <w:bookmarkEnd w:id="42"/>
      <w:bookmarkEnd w:id="43"/>
      <w:bookmarkEnd w:id="44"/>
      <w:bookmarkEnd w:id="45"/>
      <w:bookmarkEnd w:id="46"/>
    </w:p>
    <w:tbl>
      <w:tblPr>
        <w:tblStyle w:val="47"/>
        <w:tblW w:w="10328" w:type="dxa"/>
        <w:jc w:val="center"/>
        <w:tblLayout w:type="fixed"/>
        <w:tblCellMar>
          <w:top w:w="0" w:type="dxa"/>
          <w:left w:w="108" w:type="dxa"/>
          <w:bottom w:w="0" w:type="dxa"/>
          <w:right w:w="108" w:type="dxa"/>
        </w:tblCellMar>
      </w:tblPr>
      <w:tblGrid>
        <w:gridCol w:w="868"/>
        <w:gridCol w:w="910"/>
        <w:gridCol w:w="1299"/>
        <w:gridCol w:w="7251"/>
      </w:tblGrid>
      <w:tr w14:paraId="37A3BBD6">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5319F0F">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bookmarkStart w:id="47" w:name="_Toc324404815"/>
            <w:bookmarkStart w:id="48" w:name="_Toc246996918"/>
            <w:bookmarkStart w:id="49" w:name="_Toc152042305"/>
            <w:bookmarkStart w:id="50" w:name="_Toc179632546"/>
            <w:bookmarkStart w:id="51" w:name="_Toc144974497"/>
            <w:bookmarkStart w:id="52" w:name="_Toc246996175"/>
            <w:bookmarkStart w:id="53" w:name="_Toc506107269"/>
            <w:bookmarkStart w:id="54" w:name="_Toc247085689"/>
            <w:bookmarkStart w:id="55" w:name="_Toc152045529"/>
            <w:r>
              <w:rPr>
                <w:rFonts w:hint="eastAsia" w:ascii="宋体" w:hAnsi="宋体" w:cs="宋体"/>
                <w:b/>
                <w:szCs w:val="21"/>
                <w:highlight w:val="none"/>
              </w:rPr>
              <w:t>序号</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109513C">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r>
              <w:rPr>
                <w:rFonts w:hint="eastAsia" w:ascii="宋体" w:hAnsi="宋体" w:cs="宋体"/>
                <w:b/>
                <w:szCs w:val="21"/>
                <w:highlight w:val="none"/>
              </w:rPr>
              <w:t>条  款  名  称</w:t>
            </w:r>
          </w:p>
        </w:tc>
        <w:tc>
          <w:tcPr>
            <w:tcW w:w="7251" w:type="dxa"/>
            <w:tcBorders>
              <w:top w:val="single" w:color="auto" w:sz="4" w:space="0"/>
              <w:left w:val="single" w:color="auto" w:sz="4" w:space="0"/>
              <w:bottom w:val="single" w:color="auto" w:sz="4" w:space="0"/>
              <w:right w:val="single" w:color="auto" w:sz="4" w:space="0"/>
            </w:tcBorders>
            <w:noWrap/>
            <w:vAlign w:val="center"/>
          </w:tcPr>
          <w:p w14:paraId="175926BC">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r>
              <w:rPr>
                <w:rFonts w:hint="eastAsia" w:ascii="宋体" w:hAnsi="宋体" w:cs="宋体"/>
                <w:b/>
                <w:szCs w:val="21"/>
                <w:highlight w:val="none"/>
              </w:rPr>
              <w:t>编  列  内  容</w:t>
            </w:r>
          </w:p>
        </w:tc>
      </w:tr>
      <w:tr w14:paraId="399B882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EA00D8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4588F4B">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招标人</w:t>
            </w:r>
          </w:p>
        </w:tc>
        <w:tc>
          <w:tcPr>
            <w:tcW w:w="7251" w:type="dxa"/>
            <w:tcBorders>
              <w:top w:val="single" w:color="auto" w:sz="4" w:space="0"/>
              <w:left w:val="single" w:color="auto" w:sz="4" w:space="0"/>
              <w:bottom w:val="single" w:color="auto" w:sz="4" w:space="0"/>
              <w:right w:val="single" w:color="auto" w:sz="4" w:space="0"/>
            </w:tcBorders>
            <w:noWrap/>
            <w:vAlign w:val="center"/>
          </w:tcPr>
          <w:p w14:paraId="10407BB1">
            <w:pPr>
              <w:pStyle w:val="93"/>
              <w:keepNext w:val="0"/>
              <w:keepLines w:val="0"/>
              <w:pageBreakBefore w:val="0"/>
              <w:kinsoku/>
              <w:wordWrap/>
              <w:overflowPunct/>
              <w:autoSpaceDN/>
              <w:bidi w:val="0"/>
              <w:adjustRightInd w:val="0"/>
              <w:snapToGrid w:val="0"/>
              <w:spacing w:line="400" w:lineRule="exact"/>
              <w:jc w:val="left"/>
              <w:textAlignment w:val="auto"/>
              <w:rPr>
                <w:rFonts w:hint="eastAsia" w:eastAsia="宋体"/>
                <w:kern w:val="2"/>
                <w:sz w:val="21"/>
                <w:szCs w:val="21"/>
                <w:highlight w:val="none"/>
                <w:lang w:eastAsia="zh-CN"/>
              </w:rPr>
            </w:pPr>
            <w:r>
              <w:rPr>
                <w:rFonts w:hint="eastAsia" w:ascii="宋体" w:hAnsi="宋体" w:cs="宋体"/>
                <w:color w:val="auto"/>
                <w:sz w:val="21"/>
                <w:szCs w:val="21"/>
                <w:highlight w:val="none"/>
              </w:rPr>
              <w:t>见招标公告</w:t>
            </w:r>
          </w:p>
        </w:tc>
      </w:tr>
      <w:tr w14:paraId="2BB50941">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7F2ABC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88F0F1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招标代理机构</w:t>
            </w:r>
          </w:p>
        </w:tc>
        <w:tc>
          <w:tcPr>
            <w:tcW w:w="7251" w:type="dxa"/>
            <w:tcBorders>
              <w:top w:val="single" w:color="auto" w:sz="4" w:space="0"/>
              <w:left w:val="single" w:color="auto" w:sz="4" w:space="0"/>
              <w:bottom w:val="single" w:color="auto" w:sz="4" w:space="0"/>
              <w:right w:val="single" w:color="auto" w:sz="4" w:space="0"/>
            </w:tcBorders>
            <w:noWrap/>
            <w:vAlign w:val="center"/>
          </w:tcPr>
          <w:p w14:paraId="10F9436F">
            <w:pPr>
              <w:keepNext w:val="0"/>
              <w:keepLines w:val="0"/>
              <w:pageBreakBefore w:val="0"/>
              <w:kinsoku/>
              <w:wordWrap/>
              <w:overflowPunct/>
              <w:autoSpaceDN/>
              <w:bidi w:val="0"/>
              <w:adjustRightInd w:val="0"/>
              <w:snapToGrid w:val="0"/>
              <w:spacing w:line="400" w:lineRule="exact"/>
              <w:textAlignment w:val="auto"/>
              <w:rPr>
                <w:rFonts w:hint="default" w:ascii="宋体" w:hAnsi="宋体" w:eastAsia="宋体" w:cs="宋体"/>
                <w:szCs w:val="21"/>
                <w:highlight w:val="none"/>
                <w:lang w:val="en-US" w:eastAsia="zh-CN"/>
              </w:rPr>
            </w:pPr>
            <w:r>
              <w:rPr>
                <w:rFonts w:hint="eastAsia" w:ascii="宋体" w:hAnsi="宋体" w:cs="宋体"/>
                <w:color w:val="auto"/>
                <w:sz w:val="21"/>
                <w:szCs w:val="21"/>
                <w:highlight w:val="none"/>
              </w:rPr>
              <w:t>见招标公告</w:t>
            </w:r>
          </w:p>
        </w:tc>
      </w:tr>
      <w:tr w14:paraId="6E88FEC4">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B21D750">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C1999A0">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项目名称</w:t>
            </w:r>
          </w:p>
        </w:tc>
        <w:tc>
          <w:tcPr>
            <w:tcW w:w="7251" w:type="dxa"/>
            <w:tcBorders>
              <w:top w:val="single" w:color="auto" w:sz="4" w:space="0"/>
              <w:left w:val="single" w:color="auto" w:sz="4" w:space="0"/>
              <w:bottom w:val="single" w:color="auto" w:sz="4" w:space="0"/>
              <w:right w:val="single" w:color="auto" w:sz="4" w:space="0"/>
            </w:tcBorders>
            <w:noWrap/>
            <w:vAlign w:val="center"/>
          </w:tcPr>
          <w:p w14:paraId="3CF94C9C">
            <w:pPr>
              <w:keepNext w:val="0"/>
              <w:keepLines w:val="0"/>
              <w:pageBreakBefore w:val="0"/>
              <w:kinsoku/>
              <w:wordWrap/>
              <w:overflowPunct/>
              <w:autoSpaceDN/>
              <w:bidi w:val="0"/>
              <w:adjustRightInd w:val="0"/>
              <w:snapToGrid w:val="0"/>
              <w:spacing w:line="400" w:lineRule="exact"/>
              <w:textAlignment w:val="auto"/>
              <w:rPr>
                <w:rFonts w:hint="eastAsia" w:ascii="宋体" w:hAnsi="宋体" w:eastAsia="宋体" w:cs="宋体"/>
                <w:szCs w:val="21"/>
                <w:highlight w:val="none"/>
                <w:lang w:eastAsia="zh-CN"/>
              </w:rPr>
            </w:pPr>
            <w:r>
              <w:rPr>
                <w:rFonts w:hint="eastAsia" w:ascii="宋体" w:hAnsi="宋体" w:cs="宋体"/>
                <w:color w:val="auto"/>
                <w:sz w:val="21"/>
                <w:szCs w:val="21"/>
                <w:highlight w:val="none"/>
              </w:rPr>
              <w:t>见招标公告</w:t>
            </w:r>
          </w:p>
        </w:tc>
      </w:tr>
      <w:tr w14:paraId="0D5FE2EA">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C8FAF44">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0A58F7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建设地点</w:t>
            </w:r>
          </w:p>
        </w:tc>
        <w:tc>
          <w:tcPr>
            <w:tcW w:w="7251" w:type="dxa"/>
            <w:tcBorders>
              <w:top w:val="single" w:color="auto" w:sz="4" w:space="0"/>
              <w:left w:val="single" w:color="auto" w:sz="4" w:space="0"/>
              <w:bottom w:val="single" w:color="auto" w:sz="4" w:space="0"/>
              <w:right w:val="single" w:color="auto" w:sz="4" w:space="0"/>
            </w:tcBorders>
            <w:noWrap/>
            <w:vAlign w:val="center"/>
          </w:tcPr>
          <w:p w14:paraId="7B346AFB">
            <w:pPr>
              <w:keepNext w:val="0"/>
              <w:keepLines w:val="0"/>
              <w:pageBreakBefore w:val="0"/>
              <w:kinsoku/>
              <w:wordWrap/>
              <w:overflowPunct/>
              <w:autoSpaceDN/>
              <w:bidi w:val="0"/>
              <w:adjustRightInd w:val="0"/>
              <w:snapToGrid w:val="0"/>
              <w:spacing w:line="400" w:lineRule="exact"/>
              <w:textAlignment w:val="auto"/>
              <w:rPr>
                <w:rFonts w:ascii="宋体" w:hAnsi="宋体" w:cs="宋体"/>
                <w:szCs w:val="21"/>
                <w:highlight w:val="none"/>
              </w:rPr>
            </w:pPr>
            <w:r>
              <w:rPr>
                <w:rFonts w:hint="eastAsia" w:ascii="宋体" w:hAnsi="宋体" w:cs="宋体"/>
                <w:color w:val="auto"/>
                <w:sz w:val="21"/>
                <w:szCs w:val="21"/>
                <w:highlight w:val="none"/>
              </w:rPr>
              <w:t>见招标公告</w:t>
            </w:r>
          </w:p>
        </w:tc>
      </w:tr>
      <w:tr w14:paraId="27E33739">
        <w:tblPrEx>
          <w:tblCellMar>
            <w:top w:w="0" w:type="dxa"/>
            <w:left w:w="108" w:type="dxa"/>
            <w:bottom w:w="0" w:type="dxa"/>
            <w:right w:w="108" w:type="dxa"/>
          </w:tblCellMar>
        </w:tblPrEx>
        <w:trPr>
          <w:trHeight w:val="555"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6EAEC2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CEC5559">
            <w:pPr>
              <w:keepNext w:val="0"/>
              <w:keepLines w:val="0"/>
              <w:pageBreakBefore w:val="0"/>
              <w:kinsoku/>
              <w:wordWrap/>
              <w:overflowPunct/>
              <w:autoSpaceDN/>
              <w:bidi w:val="0"/>
              <w:adjustRightInd w:val="0"/>
              <w:snapToGrid w:val="0"/>
              <w:spacing w:line="400" w:lineRule="exact"/>
              <w:jc w:val="center"/>
              <w:textAlignment w:val="auto"/>
              <w:rPr>
                <w:rFonts w:ascii="宋体" w:hAnsi="宋体" w:cs="宋体"/>
                <w:szCs w:val="21"/>
                <w:highlight w:val="none"/>
              </w:rPr>
            </w:pPr>
            <w:r>
              <w:rPr>
                <w:rFonts w:hint="eastAsia" w:ascii="宋体" w:hAnsi="宋体" w:cs="宋体"/>
                <w:color w:val="auto"/>
                <w:sz w:val="21"/>
                <w:szCs w:val="21"/>
                <w:highlight w:val="none"/>
              </w:rPr>
              <w:t>资金落实情况</w:t>
            </w:r>
          </w:p>
        </w:tc>
        <w:tc>
          <w:tcPr>
            <w:tcW w:w="7251" w:type="dxa"/>
            <w:tcBorders>
              <w:top w:val="single" w:color="auto" w:sz="4" w:space="0"/>
              <w:left w:val="single" w:color="auto" w:sz="4" w:space="0"/>
              <w:bottom w:val="single" w:color="auto" w:sz="4" w:space="0"/>
              <w:right w:val="single" w:color="auto" w:sz="4" w:space="0"/>
            </w:tcBorders>
            <w:noWrap/>
            <w:vAlign w:val="center"/>
          </w:tcPr>
          <w:p w14:paraId="60460FF1">
            <w:pPr>
              <w:keepNext w:val="0"/>
              <w:keepLines w:val="0"/>
              <w:pageBreakBefore w:val="0"/>
              <w:kinsoku/>
              <w:wordWrap/>
              <w:overflowPunct/>
              <w:autoSpaceDN/>
              <w:bidi w:val="0"/>
              <w:adjustRightInd w:val="0"/>
              <w:snapToGrid w:val="0"/>
              <w:spacing w:line="400" w:lineRule="exact"/>
              <w:textAlignment w:val="auto"/>
              <w:rPr>
                <w:rFonts w:ascii="宋体" w:hAnsi="宋体" w:cs="宋体"/>
                <w:szCs w:val="21"/>
                <w:highlight w:val="none"/>
              </w:rPr>
            </w:pPr>
            <w:r>
              <w:rPr>
                <w:rFonts w:hint="eastAsia" w:ascii="宋体" w:hAnsi="宋体" w:cs="宋体"/>
                <w:color w:val="auto"/>
                <w:sz w:val="21"/>
                <w:szCs w:val="21"/>
                <w:highlight w:val="none"/>
                <w:lang w:val="en-US" w:eastAsia="zh-CN"/>
              </w:rPr>
              <w:t>已落实</w:t>
            </w:r>
          </w:p>
        </w:tc>
      </w:tr>
      <w:tr w14:paraId="64D296C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B0EC8E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516917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招标范围</w:t>
            </w:r>
          </w:p>
        </w:tc>
        <w:tc>
          <w:tcPr>
            <w:tcW w:w="7251" w:type="dxa"/>
            <w:tcBorders>
              <w:top w:val="single" w:color="auto" w:sz="4" w:space="0"/>
              <w:left w:val="single" w:color="auto" w:sz="4" w:space="0"/>
              <w:bottom w:val="single" w:color="auto" w:sz="4" w:space="0"/>
              <w:right w:val="single" w:color="auto" w:sz="4" w:space="0"/>
            </w:tcBorders>
            <w:noWrap/>
            <w:vAlign w:val="center"/>
          </w:tcPr>
          <w:p w14:paraId="6B3CA562">
            <w:pPr>
              <w:pStyle w:val="93"/>
              <w:keepNext w:val="0"/>
              <w:keepLines w:val="0"/>
              <w:pageBreakBefore w:val="0"/>
              <w:kinsoku/>
              <w:wordWrap/>
              <w:overflowPunct/>
              <w:autoSpaceDN/>
              <w:bidi w:val="0"/>
              <w:spacing w:line="400" w:lineRule="exac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见招标公告</w:t>
            </w:r>
          </w:p>
        </w:tc>
      </w:tr>
      <w:tr w14:paraId="4195E0D5">
        <w:tblPrEx>
          <w:tblCellMar>
            <w:top w:w="0" w:type="dxa"/>
            <w:left w:w="108" w:type="dxa"/>
            <w:bottom w:w="0" w:type="dxa"/>
            <w:right w:w="108" w:type="dxa"/>
          </w:tblCellMar>
        </w:tblPrEx>
        <w:trPr>
          <w:trHeight w:val="496"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2ABF70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22F748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评标办法</w:t>
            </w:r>
          </w:p>
        </w:tc>
        <w:tc>
          <w:tcPr>
            <w:tcW w:w="7251" w:type="dxa"/>
            <w:tcBorders>
              <w:top w:val="single" w:color="auto" w:sz="4" w:space="0"/>
              <w:left w:val="single" w:color="auto" w:sz="4" w:space="0"/>
              <w:bottom w:val="single" w:color="auto" w:sz="4" w:space="0"/>
              <w:right w:val="single" w:color="auto" w:sz="4" w:space="0"/>
            </w:tcBorders>
            <w:noWrap/>
            <w:vAlign w:val="center"/>
          </w:tcPr>
          <w:p w14:paraId="340D66FF">
            <w:pPr>
              <w:pStyle w:val="93"/>
              <w:keepNext w:val="0"/>
              <w:keepLines w:val="0"/>
              <w:pageBreakBefore w:val="0"/>
              <w:kinsoku/>
              <w:wordWrap/>
              <w:overflowPunct/>
              <w:autoSpaceDN/>
              <w:bidi w:val="0"/>
              <w:spacing w:line="400" w:lineRule="exac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见招标公告</w:t>
            </w:r>
          </w:p>
        </w:tc>
      </w:tr>
      <w:tr w14:paraId="6E44BA5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B12E6D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9F9D96F">
            <w:pPr>
              <w:keepNext w:val="0"/>
              <w:keepLines w:val="0"/>
              <w:pageBreakBefore w:val="0"/>
              <w:suppressLineNumbers w:val="0"/>
              <w:shd w:val="clear"/>
              <w:kinsoku/>
              <w:wordWrap/>
              <w:overflowPunct/>
              <w:autoSpaceDE/>
              <w:autoSpaceDN/>
              <w:bidi w:val="0"/>
              <w:adjustRightInd w:val="0"/>
              <w:snapToGrid w:val="0"/>
              <w:spacing w:before="0" w:beforeAutospacing="0" w:after="0" w:afterAutospacing="0" w:line="400" w:lineRule="exact"/>
              <w:ind w:left="0" w:leftChars="0" w:right="0" w:rightChars="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rPr>
              <w:t>计划工期</w:t>
            </w:r>
          </w:p>
        </w:tc>
        <w:tc>
          <w:tcPr>
            <w:tcW w:w="7251" w:type="dxa"/>
            <w:tcBorders>
              <w:top w:val="single" w:color="auto" w:sz="4" w:space="0"/>
              <w:left w:val="single" w:color="auto" w:sz="4" w:space="0"/>
              <w:bottom w:val="single" w:color="auto" w:sz="4" w:space="0"/>
              <w:right w:val="single" w:color="auto" w:sz="4" w:space="0"/>
            </w:tcBorders>
            <w:noWrap/>
            <w:vAlign w:val="center"/>
          </w:tcPr>
          <w:p w14:paraId="7A7DBD0B">
            <w:pPr>
              <w:keepNext w:val="0"/>
              <w:keepLines w:val="0"/>
              <w:suppressLineNumbers w:val="0"/>
              <w:spacing w:before="0" w:beforeAutospacing="0" w:after="0" w:afterAutospacing="0" w:line="440" w:lineRule="exact"/>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计划工期：</w:t>
            </w:r>
            <w:r>
              <w:rPr>
                <w:rFonts w:hint="eastAsia" w:ascii="宋体" w:hAnsi="宋体" w:cs="宋体"/>
                <w:color w:val="auto"/>
                <w:sz w:val="21"/>
                <w:szCs w:val="21"/>
                <w:highlight w:val="none"/>
                <w:lang w:val="en-US" w:eastAsia="zh-CN"/>
              </w:rPr>
              <w:t>竣工验收</w:t>
            </w:r>
            <w:r>
              <w:rPr>
                <w:rFonts w:hint="eastAsia" w:ascii="宋体" w:hAnsi="宋体" w:eastAsia="宋体" w:cs="宋体"/>
                <w:color w:val="auto"/>
                <w:sz w:val="21"/>
                <w:szCs w:val="21"/>
                <w:highlight w:val="none"/>
                <w:lang w:val="en-US" w:eastAsia="zh-CN"/>
              </w:rPr>
              <w:t>不高于</w:t>
            </w:r>
            <w:r>
              <w:rPr>
                <w:rFonts w:hint="eastAsia" w:ascii="宋体" w:hAnsi="宋体" w:cs="宋体"/>
                <w:color w:val="auto"/>
                <w:sz w:val="21"/>
                <w:szCs w:val="21"/>
                <w:highlight w:val="none"/>
                <w:lang w:val="en-US" w:eastAsia="zh-CN"/>
              </w:rPr>
              <w:t>90</w:t>
            </w:r>
            <w:r>
              <w:rPr>
                <w:rFonts w:hint="eastAsia" w:ascii="宋体" w:hAnsi="宋体" w:eastAsia="宋体" w:cs="宋体"/>
                <w:color w:val="auto"/>
                <w:sz w:val="21"/>
                <w:szCs w:val="21"/>
                <w:highlight w:val="none"/>
                <w:lang w:val="en-US" w:eastAsia="zh-CN"/>
              </w:rPr>
              <w:t>个日历天</w:t>
            </w:r>
            <w:r>
              <w:rPr>
                <w:rFonts w:hint="eastAsia" w:ascii="宋体" w:hAnsi="宋体" w:cs="宋体"/>
                <w:color w:val="auto"/>
                <w:sz w:val="21"/>
                <w:szCs w:val="21"/>
                <w:highlight w:val="none"/>
                <w:lang w:val="en-US" w:eastAsia="zh-CN"/>
              </w:rPr>
              <w:t>，并网验收不高于60个日历天</w:t>
            </w:r>
            <w:r>
              <w:rPr>
                <w:rFonts w:hint="eastAsia" w:ascii="宋体" w:hAnsi="宋体" w:eastAsia="宋体" w:cs="宋体"/>
                <w:color w:val="auto"/>
                <w:sz w:val="21"/>
                <w:szCs w:val="21"/>
                <w:highlight w:val="none"/>
              </w:rPr>
              <w:t>（具体开工日期以开工通知为准或招标时由招标人根据实际情况自行规定）</w:t>
            </w:r>
            <w:r>
              <w:rPr>
                <w:rFonts w:hint="eastAsia" w:ascii="宋体" w:hAnsi="宋体" w:eastAsia="宋体" w:cs="宋体"/>
                <w:color w:val="auto"/>
                <w:sz w:val="21"/>
                <w:szCs w:val="21"/>
                <w:highlight w:val="none"/>
                <w:lang w:val="en-US" w:eastAsia="zh-CN"/>
              </w:rPr>
              <w:t>。</w:t>
            </w:r>
          </w:p>
          <w:p w14:paraId="3EB257E4">
            <w:pPr>
              <w:keepNext w:val="0"/>
              <w:keepLines w:val="0"/>
              <w:suppressLineNumbers w:val="0"/>
              <w:spacing w:before="0" w:beforeAutospacing="0" w:after="0" w:afterAutospacing="0" w:line="440" w:lineRule="exact"/>
              <w:ind w:left="0" w:leftChars="0" w:right="0" w:rightChars="0"/>
              <w:rPr>
                <w:rFonts w:hint="eastAsia" w:ascii="宋体" w:hAnsi="宋体" w:cs="宋体"/>
                <w:color w:val="auto"/>
                <w:sz w:val="21"/>
                <w:szCs w:val="21"/>
                <w:highlight w:val="none"/>
              </w:rPr>
            </w:pPr>
            <w:r>
              <w:rPr>
                <w:rFonts w:hint="eastAsia" w:ascii="宋体" w:hAnsi="宋体" w:eastAsia="宋体" w:cs="宋体"/>
                <w:color w:val="auto"/>
                <w:sz w:val="21"/>
                <w:szCs w:val="21"/>
                <w:highlight w:val="none"/>
                <w:lang w:val="en-US" w:eastAsia="zh-CN"/>
              </w:rPr>
              <w:t>以投标人自报的承诺工期为考核标准，每延期一天将处以5000元违约金。工期提前不奖励。</w:t>
            </w:r>
          </w:p>
        </w:tc>
      </w:tr>
      <w:tr w14:paraId="4024D16D">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52B29A1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9</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0FB8891">
            <w:pPr>
              <w:keepNext w:val="0"/>
              <w:keepLines w:val="0"/>
              <w:pageBreakBefore w:val="0"/>
              <w:kinsoku/>
              <w:wordWrap/>
              <w:overflowPunct/>
              <w:autoSpaceDN/>
              <w:bidi w:val="0"/>
              <w:spacing w:line="400" w:lineRule="exact"/>
              <w:jc w:val="center"/>
              <w:textAlignment w:val="auto"/>
              <w:rPr>
                <w:rFonts w:ascii="宋体" w:hAnsi="宋体" w:cs="宋体"/>
                <w:color w:val="FF0000"/>
                <w:szCs w:val="21"/>
                <w:highlight w:val="none"/>
              </w:rPr>
            </w:pPr>
            <w:r>
              <w:rPr>
                <w:rFonts w:hint="eastAsia" w:ascii="宋体" w:hAnsi="宋体" w:cs="宋体"/>
                <w:szCs w:val="21"/>
                <w:highlight w:val="none"/>
              </w:rPr>
              <w:t>质量要求</w:t>
            </w:r>
          </w:p>
        </w:tc>
        <w:tc>
          <w:tcPr>
            <w:tcW w:w="7251" w:type="dxa"/>
            <w:tcBorders>
              <w:top w:val="single" w:color="auto" w:sz="4" w:space="0"/>
              <w:left w:val="single" w:color="auto" w:sz="4" w:space="0"/>
              <w:bottom w:val="single" w:color="auto" w:sz="4" w:space="0"/>
              <w:right w:val="single" w:color="auto" w:sz="4" w:space="0"/>
            </w:tcBorders>
            <w:noWrap/>
            <w:vAlign w:val="center"/>
          </w:tcPr>
          <w:p w14:paraId="32456A47">
            <w:pPr>
              <w:adjustRightInd w:val="0"/>
              <w:snapToGrid w:val="0"/>
              <w:spacing w:line="400" w:lineRule="exact"/>
              <w:jc w:val="left"/>
              <w:rPr>
                <w:rFonts w:ascii="宋体" w:hAnsi="宋体" w:cs="宋体"/>
                <w:szCs w:val="21"/>
                <w:highlight w:val="none"/>
              </w:rPr>
            </w:pPr>
            <w:r>
              <w:rPr>
                <w:rFonts w:hint="eastAsia" w:ascii="宋体" w:hAnsi="宋体" w:cs="宋体"/>
                <w:color w:val="000000"/>
                <w:szCs w:val="21"/>
                <w:highlight w:val="none"/>
              </w:rPr>
              <w:t>质量必须达到国家工程施工质量验收合格标准。</w:t>
            </w:r>
            <w:r>
              <w:rPr>
                <w:rFonts w:hint="eastAsia" w:ascii="宋体" w:hAnsi="宋体" w:eastAsia="宋体" w:cs="宋体"/>
                <w:color w:val="auto"/>
                <w:sz w:val="21"/>
                <w:szCs w:val="21"/>
                <w:highlight w:val="none"/>
                <w:lang w:val="en-US" w:eastAsia="zh-CN"/>
              </w:rPr>
              <w:t xml:space="preserve">符合 GB/T 50796-2012《光伏发电工程验收规范》，确保通过供电公司验收、并网。 </w:t>
            </w:r>
          </w:p>
        </w:tc>
      </w:tr>
      <w:tr w14:paraId="0610F1B6">
        <w:tblPrEx>
          <w:tblCellMar>
            <w:top w:w="0" w:type="dxa"/>
            <w:left w:w="108" w:type="dxa"/>
            <w:bottom w:w="0" w:type="dxa"/>
            <w:right w:w="108" w:type="dxa"/>
          </w:tblCellMar>
        </w:tblPrEx>
        <w:trPr>
          <w:trHeight w:val="90" w:hRule="atLeast"/>
          <w:jc w:val="center"/>
        </w:trPr>
        <w:tc>
          <w:tcPr>
            <w:tcW w:w="868" w:type="dxa"/>
            <w:vMerge w:val="restart"/>
            <w:tcBorders>
              <w:top w:val="single" w:color="auto" w:sz="4" w:space="0"/>
              <w:left w:val="single" w:color="auto" w:sz="4" w:space="0"/>
              <w:bottom w:val="single" w:color="auto" w:sz="4" w:space="0"/>
              <w:right w:val="single" w:color="auto" w:sz="4" w:space="0"/>
            </w:tcBorders>
            <w:noWrap/>
            <w:vAlign w:val="center"/>
          </w:tcPr>
          <w:p w14:paraId="6499B10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10</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7F75B5F">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投标人资质条件、能力和信誉</w:t>
            </w:r>
          </w:p>
        </w:tc>
        <w:tc>
          <w:tcPr>
            <w:tcW w:w="7251" w:type="dxa"/>
            <w:tcBorders>
              <w:top w:val="single" w:color="auto" w:sz="4" w:space="0"/>
              <w:left w:val="single" w:color="auto" w:sz="4" w:space="0"/>
              <w:bottom w:val="single" w:color="auto" w:sz="4" w:space="0"/>
              <w:right w:val="single" w:color="auto" w:sz="4" w:space="0"/>
            </w:tcBorders>
            <w:noWrap/>
            <w:vAlign w:val="center"/>
          </w:tcPr>
          <w:p w14:paraId="79A1E5A2">
            <w:pPr>
              <w:pStyle w:val="14"/>
              <w:keepNext w:val="0"/>
              <w:keepLines w:val="0"/>
              <w:pageBreakBefore w:val="0"/>
              <w:kinsoku/>
              <w:wordWrap/>
              <w:overflowPunct/>
              <w:autoSpaceDN/>
              <w:bidi w:val="0"/>
              <w:spacing w:line="400" w:lineRule="exact"/>
              <w:ind w:left="0" w:leftChars="0" w:firstLine="0" w:firstLineChars="0"/>
              <w:jc w:val="left"/>
              <w:textAlignment w:val="auto"/>
              <w:rPr>
                <w:rFonts w:hAnsi="宋体" w:cs="宋体"/>
                <w:szCs w:val="21"/>
                <w:highlight w:val="none"/>
                <w:u w:val="single"/>
              </w:rPr>
            </w:pPr>
            <w:r>
              <w:rPr>
                <w:rFonts w:hint="eastAsia" w:hAnsi="宋体" w:cs="宋体"/>
                <w:szCs w:val="21"/>
                <w:highlight w:val="none"/>
                <w:u w:val="single"/>
              </w:rPr>
              <w:t>见招标公告信息</w:t>
            </w:r>
          </w:p>
        </w:tc>
      </w:tr>
      <w:tr w14:paraId="34CDA60C">
        <w:tblPrEx>
          <w:tblCellMar>
            <w:top w:w="0" w:type="dxa"/>
            <w:left w:w="108" w:type="dxa"/>
            <w:bottom w:w="0" w:type="dxa"/>
            <w:right w:w="108" w:type="dxa"/>
          </w:tblCellMar>
        </w:tblPrEx>
        <w:trPr>
          <w:trHeight w:val="575" w:hRule="atLeast"/>
          <w:jc w:val="center"/>
        </w:trPr>
        <w:tc>
          <w:tcPr>
            <w:tcW w:w="868" w:type="dxa"/>
            <w:vMerge w:val="continue"/>
            <w:tcBorders>
              <w:top w:val="single" w:color="auto" w:sz="4" w:space="0"/>
              <w:left w:val="single" w:color="auto" w:sz="4" w:space="0"/>
              <w:bottom w:val="single" w:color="auto" w:sz="4" w:space="0"/>
              <w:right w:val="single" w:color="auto" w:sz="4" w:space="0"/>
            </w:tcBorders>
            <w:noWrap/>
            <w:vAlign w:val="center"/>
          </w:tcPr>
          <w:p w14:paraId="193EBDF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BC1C10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招标文件发布时间：</w:t>
            </w:r>
          </w:p>
        </w:tc>
        <w:tc>
          <w:tcPr>
            <w:tcW w:w="7251" w:type="dxa"/>
            <w:tcBorders>
              <w:top w:val="single" w:color="auto" w:sz="4" w:space="0"/>
              <w:left w:val="single" w:color="auto" w:sz="4" w:space="0"/>
              <w:bottom w:val="single" w:color="auto" w:sz="4" w:space="0"/>
              <w:right w:val="single" w:color="auto" w:sz="4" w:space="0"/>
            </w:tcBorders>
            <w:noWrap/>
            <w:vAlign w:val="center"/>
          </w:tcPr>
          <w:p w14:paraId="00E3B91B">
            <w:pPr>
              <w:keepNext w:val="0"/>
              <w:keepLines w:val="0"/>
              <w:pageBreakBefore w:val="0"/>
              <w:kinsoku/>
              <w:wordWrap/>
              <w:overflowPunct/>
              <w:autoSpaceDN/>
              <w:bidi w:val="0"/>
              <w:spacing w:line="400" w:lineRule="exact"/>
              <w:textAlignment w:val="auto"/>
              <w:rPr>
                <w:rFonts w:ascii="宋体" w:hAnsi="宋体" w:cs="宋体"/>
                <w:kern w:val="0"/>
                <w:szCs w:val="21"/>
                <w:highlight w:val="none"/>
              </w:rPr>
            </w:pPr>
            <w:r>
              <w:rPr>
                <w:rFonts w:hint="eastAsia" w:ascii="宋体" w:hAnsi="宋体" w:cs="宋体"/>
                <w:kern w:val="0"/>
                <w:szCs w:val="21"/>
                <w:highlight w:val="none"/>
              </w:rPr>
              <w:t>见招标公告信息</w:t>
            </w:r>
          </w:p>
        </w:tc>
      </w:tr>
      <w:tr w14:paraId="52E33D5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2885CC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4E7DF90">
            <w:pPr>
              <w:keepNext w:val="0"/>
              <w:keepLines w:val="0"/>
              <w:pageBreakBefore w:val="0"/>
              <w:kinsoku/>
              <w:wordWrap/>
              <w:overflowPunct/>
              <w:autoSpaceDN/>
              <w:bidi w:val="0"/>
              <w:spacing w:line="400" w:lineRule="exact"/>
              <w:jc w:val="center"/>
              <w:textAlignment w:val="auto"/>
              <w:rPr>
                <w:rFonts w:ascii="宋体" w:hAnsi="宋体" w:cs="宋体"/>
                <w:spacing w:val="-4"/>
                <w:kern w:val="0"/>
                <w:szCs w:val="21"/>
                <w:highlight w:val="none"/>
              </w:rPr>
            </w:pPr>
            <w:r>
              <w:rPr>
                <w:rFonts w:hint="eastAsia" w:ascii="宋体" w:hAnsi="宋体" w:cs="宋体"/>
                <w:spacing w:val="-4"/>
                <w:kern w:val="0"/>
                <w:szCs w:val="21"/>
                <w:highlight w:val="none"/>
              </w:rPr>
              <w:t>踏勘现场</w:t>
            </w:r>
          </w:p>
        </w:tc>
        <w:tc>
          <w:tcPr>
            <w:tcW w:w="7251" w:type="dxa"/>
            <w:tcBorders>
              <w:top w:val="single" w:color="auto" w:sz="4" w:space="0"/>
              <w:left w:val="single" w:color="auto" w:sz="4" w:space="0"/>
              <w:bottom w:val="single" w:color="auto" w:sz="4" w:space="0"/>
              <w:right w:val="single" w:color="auto" w:sz="4" w:space="0"/>
            </w:tcBorders>
            <w:noWrap/>
            <w:vAlign w:val="center"/>
          </w:tcPr>
          <w:p w14:paraId="2EB7922D">
            <w:pPr>
              <w:pStyle w:val="19"/>
              <w:keepNext w:val="0"/>
              <w:keepLines w:val="0"/>
              <w:pageBreakBefore w:val="0"/>
              <w:kinsoku/>
              <w:wordWrap/>
              <w:overflowPunct/>
              <w:topLinePunct/>
              <w:autoSpaceDN/>
              <w:bidi w:val="0"/>
              <w:spacing w:line="400" w:lineRule="exact"/>
              <w:textAlignment w:val="auto"/>
              <w:rPr>
                <w:rFonts w:hAnsi="宋体" w:cs="宋体"/>
                <w:spacing w:val="-4"/>
                <w:kern w:val="0"/>
                <w:sz w:val="21"/>
                <w:szCs w:val="21"/>
                <w:highlight w:val="none"/>
              </w:rPr>
            </w:pPr>
            <w:r>
              <w:rPr>
                <w:rFonts w:hint="eastAsia" w:hAnsi="宋体" w:cs="宋体"/>
                <w:sz w:val="21"/>
                <w:szCs w:val="21"/>
                <w:highlight w:val="none"/>
              </w:rPr>
              <w:t>☑</w:t>
            </w:r>
            <w:r>
              <w:rPr>
                <w:rFonts w:hint="eastAsia" w:hAnsi="宋体" w:cs="宋体"/>
                <w:spacing w:val="-4"/>
                <w:kern w:val="0"/>
                <w:sz w:val="21"/>
                <w:szCs w:val="21"/>
                <w:highlight w:val="none"/>
              </w:rPr>
              <w:t>不组织，投标人自行组织踏勘现场</w:t>
            </w:r>
            <w:r>
              <w:rPr>
                <w:rFonts w:hint="eastAsia" w:hAnsi="宋体" w:cs="宋体"/>
                <w:sz w:val="21"/>
                <w:szCs w:val="21"/>
                <w:highlight w:val="none"/>
              </w:rPr>
              <w:t>；□组织</w:t>
            </w:r>
          </w:p>
        </w:tc>
      </w:tr>
      <w:tr w14:paraId="5938BD5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C77D58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9FD36A4">
            <w:pPr>
              <w:keepNext w:val="0"/>
              <w:keepLines w:val="0"/>
              <w:pageBreakBefore w:val="0"/>
              <w:kinsoku/>
              <w:wordWrap/>
              <w:overflowPunct/>
              <w:autoSpaceDN/>
              <w:bidi w:val="0"/>
              <w:spacing w:line="400" w:lineRule="exact"/>
              <w:jc w:val="center"/>
              <w:textAlignment w:val="auto"/>
              <w:rPr>
                <w:rFonts w:ascii="宋体" w:hAnsi="宋体" w:cs="宋体"/>
                <w:spacing w:val="-4"/>
                <w:kern w:val="0"/>
                <w:szCs w:val="21"/>
                <w:highlight w:val="none"/>
              </w:rPr>
            </w:pPr>
            <w:r>
              <w:rPr>
                <w:rFonts w:hint="eastAsia" w:ascii="宋体" w:hAnsi="宋体" w:cs="宋体"/>
                <w:spacing w:val="-4"/>
                <w:kern w:val="0"/>
                <w:szCs w:val="21"/>
                <w:highlight w:val="none"/>
              </w:rPr>
              <w:t>投标预备会</w:t>
            </w:r>
          </w:p>
        </w:tc>
        <w:tc>
          <w:tcPr>
            <w:tcW w:w="7251" w:type="dxa"/>
            <w:tcBorders>
              <w:top w:val="single" w:color="auto" w:sz="4" w:space="0"/>
              <w:left w:val="single" w:color="auto" w:sz="4" w:space="0"/>
              <w:bottom w:val="single" w:color="auto" w:sz="4" w:space="0"/>
              <w:right w:val="single" w:color="auto" w:sz="4" w:space="0"/>
            </w:tcBorders>
            <w:noWrap/>
            <w:vAlign w:val="center"/>
          </w:tcPr>
          <w:p w14:paraId="3343207B">
            <w:pPr>
              <w:pStyle w:val="19"/>
              <w:keepNext w:val="0"/>
              <w:keepLines w:val="0"/>
              <w:pageBreakBefore w:val="0"/>
              <w:kinsoku/>
              <w:wordWrap/>
              <w:overflowPunct/>
              <w:topLinePunct/>
              <w:autoSpaceDN/>
              <w:bidi w:val="0"/>
              <w:spacing w:line="400" w:lineRule="exact"/>
              <w:textAlignment w:val="auto"/>
              <w:rPr>
                <w:rFonts w:hAnsi="宋体" w:cs="宋体"/>
                <w:spacing w:val="-4"/>
                <w:kern w:val="0"/>
                <w:sz w:val="21"/>
                <w:szCs w:val="21"/>
                <w:highlight w:val="none"/>
              </w:rPr>
            </w:pPr>
            <w:r>
              <w:rPr>
                <w:rFonts w:hint="eastAsia" w:hAnsi="宋体" w:cs="宋体"/>
                <w:sz w:val="21"/>
                <w:szCs w:val="21"/>
                <w:highlight w:val="none"/>
              </w:rPr>
              <w:t>☑</w:t>
            </w:r>
            <w:r>
              <w:rPr>
                <w:rFonts w:hint="eastAsia" w:hAnsi="宋体" w:cs="宋体"/>
                <w:spacing w:val="-4"/>
                <w:kern w:val="0"/>
                <w:sz w:val="21"/>
                <w:szCs w:val="21"/>
                <w:highlight w:val="none"/>
              </w:rPr>
              <w:t>不召开</w:t>
            </w:r>
            <w:r>
              <w:rPr>
                <w:rFonts w:hint="eastAsia" w:hAnsi="宋体" w:cs="宋体"/>
                <w:sz w:val="21"/>
                <w:szCs w:val="21"/>
                <w:highlight w:val="none"/>
              </w:rPr>
              <w:t>；□召开</w:t>
            </w:r>
          </w:p>
        </w:tc>
      </w:tr>
      <w:tr w14:paraId="1A706311">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241845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11C62B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投标人提出问题的截止时间及方式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0FB0E6F2">
            <w:pPr>
              <w:pStyle w:val="24"/>
              <w:keepNext w:val="0"/>
              <w:keepLines w:val="0"/>
              <w:pageBreakBefore w:val="0"/>
              <w:kinsoku/>
              <w:wordWrap/>
              <w:overflowPunct/>
              <w:autoSpaceDN/>
              <w:bidi w:val="0"/>
              <w:spacing w:line="400" w:lineRule="exact"/>
              <w:textAlignment w:val="auto"/>
              <w:rPr>
                <w:rFonts w:hAnsi="宋体" w:cs="宋体"/>
                <w:szCs w:val="21"/>
                <w:highlight w:val="none"/>
              </w:rPr>
            </w:pPr>
            <w:r>
              <w:rPr>
                <w:rFonts w:hint="eastAsia" w:ascii="宋体" w:hAnsi="宋体" w:cs="宋体"/>
                <w:kern w:val="0"/>
                <w:szCs w:val="21"/>
                <w:highlight w:val="none"/>
              </w:rPr>
              <w:t>如投标人对招标文件有疑问，</w:t>
            </w:r>
            <w:r>
              <w:rPr>
                <w:rFonts w:hint="eastAsia" w:ascii="宋体" w:hAnsi="宋体" w:eastAsia="宋体" w:cs="宋体"/>
                <w:kern w:val="0"/>
                <w:szCs w:val="21"/>
                <w:highlight w:val="none"/>
              </w:rPr>
              <w:t>请于</w:t>
            </w:r>
            <w:r>
              <w:rPr>
                <w:rFonts w:hint="eastAsia" w:ascii="宋体" w:hAnsi="宋体" w:cs="宋体"/>
                <w:kern w:val="0"/>
                <w:szCs w:val="21"/>
                <w:highlight w:val="none"/>
                <w:lang w:val="en-US" w:eastAsia="zh-CN"/>
              </w:rPr>
              <w:t>2026</w:t>
            </w:r>
            <w:r>
              <w:rPr>
                <w:rFonts w:hint="eastAsia" w:ascii="宋体" w:hAnsi="宋体" w:eastAsia="宋体" w:cs="宋体"/>
                <w:kern w:val="0"/>
                <w:szCs w:val="21"/>
                <w:highlight w:val="none"/>
              </w:rPr>
              <w:t>年</w:t>
            </w:r>
            <w:r>
              <w:rPr>
                <w:rFonts w:hint="eastAsia" w:ascii="宋体" w:hAnsi="宋体" w:cs="宋体"/>
                <w:kern w:val="0"/>
                <w:szCs w:val="21"/>
                <w:highlight w:val="none"/>
                <w:lang w:val="en-US" w:eastAsia="zh-CN"/>
              </w:rPr>
              <w:t>9</w:t>
            </w:r>
            <w:r>
              <w:rPr>
                <w:rFonts w:hint="eastAsia" w:ascii="宋体" w:hAnsi="宋体" w:eastAsia="宋体" w:cs="宋体"/>
                <w:kern w:val="0"/>
                <w:szCs w:val="21"/>
                <w:highlight w:val="none"/>
              </w:rPr>
              <w:t>月</w:t>
            </w:r>
            <w:r>
              <w:rPr>
                <w:rFonts w:hint="eastAsia" w:ascii="宋体" w:hAnsi="宋体" w:cs="宋体"/>
                <w:kern w:val="0"/>
                <w:szCs w:val="21"/>
                <w:highlight w:val="none"/>
                <w:lang w:val="en-US" w:eastAsia="zh-CN"/>
              </w:rPr>
              <w:t>29</w:t>
            </w:r>
            <w:r>
              <w:rPr>
                <w:rFonts w:hint="eastAsia" w:ascii="宋体" w:hAnsi="宋体" w:eastAsia="宋体" w:cs="宋体"/>
                <w:kern w:val="0"/>
                <w:szCs w:val="21"/>
                <w:highlight w:val="none"/>
              </w:rPr>
              <w:t>日17时前</w:t>
            </w:r>
            <w:r>
              <w:rPr>
                <w:rFonts w:hint="eastAsia" w:ascii="宋体" w:hAnsi="宋体" w:eastAsia="宋体" w:cs="宋体"/>
                <w:color w:val="auto"/>
                <w:szCs w:val="21"/>
                <w:highlight w:val="none"/>
                <w:lang w:val="en-US" w:eastAsia="zh-CN"/>
              </w:rPr>
              <w:t>登录新点电子交易平台【滁州专区】线上提出</w:t>
            </w:r>
            <w:r>
              <w:rPr>
                <w:rFonts w:ascii="宋体" w:hAnsi="宋体" w:eastAsia="宋体" w:cs="宋体"/>
                <w:color w:val="auto"/>
                <w:highlight w:val="none"/>
              </w:rPr>
              <w:t>。</w:t>
            </w:r>
          </w:p>
        </w:tc>
      </w:tr>
      <w:tr w14:paraId="2634A73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D7940D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F9A4559">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招标人澄清的时间及方式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3EA44CCA">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eastAsia="宋体" w:cs="宋体"/>
                <w:b w:val="0"/>
                <w:bCs w:val="0"/>
                <w:color w:val="000000"/>
                <w:kern w:val="2"/>
                <w:sz w:val="21"/>
                <w:szCs w:val="21"/>
                <w:highlight w:val="none"/>
                <w:u w:color="000000"/>
                <w:lang w:val="en-US" w:eastAsia="zh-CN" w:bidi="ar"/>
              </w:rPr>
              <w:t>招标人将在</w:t>
            </w:r>
            <w:r>
              <w:rPr>
                <w:rFonts w:hint="eastAsia" w:ascii="宋体" w:hAnsi="宋体" w:cs="宋体"/>
                <w:b w:val="0"/>
                <w:bCs w:val="0"/>
                <w:color w:val="000000"/>
                <w:kern w:val="2"/>
                <w:sz w:val="21"/>
                <w:szCs w:val="21"/>
                <w:highlight w:val="none"/>
                <w:u w:color="000000"/>
                <w:lang w:val="en-US" w:eastAsia="zh-CN" w:bidi="ar"/>
              </w:rPr>
              <w:t>2026</w:t>
            </w:r>
            <w:r>
              <w:rPr>
                <w:rFonts w:hint="eastAsia" w:ascii="宋体" w:hAnsi="宋体" w:eastAsia="宋体" w:cs="宋体"/>
                <w:b w:val="0"/>
                <w:bCs w:val="0"/>
                <w:color w:val="000000"/>
                <w:kern w:val="2"/>
                <w:sz w:val="21"/>
                <w:szCs w:val="21"/>
                <w:highlight w:val="none"/>
                <w:u w:color="000000"/>
                <w:lang w:val="en-US" w:eastAsia="zh-CN" w:bidi="ar"/>
              </w:rPr>
              <w:t>年</w:t>
            </w:r>
            <w:r>
              <w:rPr>
                <w:rFonts w:hint="eastAsia" w:ascii="宋体" w:hAnsi="宋体" w:cs="宋体"/>
                <w:b w:val="0"/>
                <w:bCs w:val="0"/>
                <w:color w:val="000000"/>
                <w:kern w:val="2"/>
                <w:sz w:val="21"/>
                <w:szCs w:val="21"/>
                <w:highlight w:val="none"/>
                <w:u w:color="000000"/>
                <w:lang w:val="en-US" w:eastAsia="zh-CN" w:bidi="ar"/>
              </w:rPr>
              <w:t>9</w:t>
            </w:r>
            <w:r>
              <w:rPr>
                <w:rFonts w:hint="eastAsia" w:ascii="宋体" w:hAnsi="宋体" w:eastAsia="宋体" w:cs="宋体"/>
                <w:b w:val="0"/>
                <w:bCs w:val="0"/>
                <w:color w:val="000000"/>
                <w:kern w:val="2"/>
                <w:sz w:val="21"/>
                <w:szCs w:val="21"/>
                <w:highlight w:val="none"/>
                <w:u w:color="000000"/>
                <w:lang w:val="en-US" w:eastAsia="zh-CN" w:bidi="ar"/>
              </w:rPr>
              <w:t>月</w:t>
            </w:r>
            <w:r>
              <w:rPr>
                <w:rFonts w:hint="eastAsia" w:ascii="宋体" w:hAnsi="宋体" w:cs="宋体"/>
                <w:b w:val="0"/>
                <w:bCs w:val="0"/>
                <w:color w:val="000000"/>
                <w:kern w:val="2"/>
                <w:sz w:val="21"/>
                <w:szCs w:val="21"/>
                <w:highlight w:val="none"/>
                <w:u w:color="000000"/>
                <w:lang w:val="en-US" w:eastAsia="zh-CN" w:bidi="ar"/>
              </w:rPr>
              <w:t>30</w:t>
            </w:r>
            <w:r>
              <w:rPr>
                <w:rFonts w:hint="eastAsia" w:ascii="宋体" w:hAnsi="宋体" w:eastAsia="宋体" w:cs="宋体"/>
                <w:b w:val="0"/>
                <w:bCs w:val="0"/>
                <w:color w:val="000000"/>
                <w:kern w:val="2"/>
                <w:sz w:val="21"/>
                <w:szCs w:val="21"/>
                <w:highlight w:val="none"/>
                <w:u w:color="000000"/>
                <w:lang w:val="en-US" w:eastAsia="zh-CN" w:bidi="ar"/>
              </w:rPr>
              <w:t>日17时后以澄清公告形式在滁州市城投工程咨询管理有限公司网站（</w:t>
            </w:r>
            <w:r>
              <w:rPr>
                <w:rFonts w:hint="eastAsia" w:ascii="宋体" w:hAnsi="宋体" w:cs="宋体"/>
                <w:b w:val="0"/>
                <w:bCs w:val="0"/>
                <w:color w:val="000000"/>
                <w:kern w:val="2"/>
                <w:sz w:val="21"/>
                <w:szCs w:val="21"/>
                <w:highlight w:val="none"/>
                <w:u w:color="000000"/>
                <w:lang w:val="en-US" w:eastAsia="zh-CN" w:bidi="ar"/>
              </w:rPr>
              <w:t>https://www.czctgczx.com/</w:t>
            </w:r>
            <w:r>
              <w:rPr>
                <w:rFonts w:hint="eastAsia" w:ascii="宋体" w:hAnsi="宋体" w:eastAsia="宋体" w:cs="宋体"/>
                <w:b w:val="0"/>
                <w:bCs w:val="0"/>
                <w:color w:val="000000"/>
                <w:kern w:val="2"/>
                <w:sz w:val="21"/>
                <w:szCs w:val="21"/>
                <w:highlight w:val="none"/>
                <w:u w:color="000000"/>
                <w:lang w:val="en-US" w:eastAsia="zh-CN" w:bidi="ar"/>
              </w:rPr>
              <w:t>）发布，但不指明澄清问题的来源。如果澄清内容影响投标文件编制的，将相应延长投标截止时间。</w:t>
            </w:r>
          </w:p>
        </w:tc>
      </w:tr>
      <w:tr w14:paraId="5AD99380">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ACCAE5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671273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偏离</w:t>
            </w:r>
          </w:p>
        </w:tc>
        <w:tc>
          <w:tcPr>
            <w:tcW w:w="7251" w:type="dxa"/>
            <w:tcBorders>
              <w:top w:val="single" w:color="auto" w:sz="4" w:space="0"/>
              <w:left w:val="single" w:color="auto" w:sz="4" w:space="0"/>
              <w:bottom w:val="single" w:color="auto" w:sz="4" w:space="0"/>
              <w:right w:val="single" w:color="auto" w:sz="4" w:space="0"/>
            </w:tcBorders>
            <w:noWrap/>
            <w:vAlign w:val="center"/>
          </w:tcPr>
          <w:p w14:paraId="6F323E2E">
            <w:pPr>
              <w:pStyle w:val="19"/>
              <w:keepNext w:val="0"/>
              <w:keepLines w:val="0"/>
              <w:pageBreakBefore w:val="0"/>
              <w:kinsoku/>
              <w:wordWrap/>
              <w:overflowPunct/>
              <w:topLinePunct/>
              <w:autoSpaceDN/>
              <w:bidi w:val="0"/>
              <w:spacing w:line="400" w:lineRule="exact"/>
              <w:textAlignment w:val="auto"/>
              <w:rPr>
                <w:rFonts w:hAnsi="宋体" w:cs="宋体"/>
                <w:sz w:val="21"/>
                <w:szCs w:val="21"/>
                <w:highlight w:val="none"/>
              </w:rPr>
            </w:pPr>
            <w:r>
              <w:rPr>
                <w:rFonts w:hint="eastAsia"/>
                <w:highlight w:val="none"/>
              </w:rPr>
              <w:t>☑</w:t>
            </w:r>
            <w:r>
              <w:rPr>
                <w:rFonts w:hint="eastAsia" w:hAnsi="宋体" w:cs="宋体"/>
                <w:sz w:val="21"/>
                <w:szCs w:val="21"/>
                <w:highlight w:val="none"/>
              </w:rPr>
              <w:t>不允许；□允许</w:t>
            </w:r>
          </w:p>
        </w:tc>
      </w:tr>
      <w:tr w14:paraId="462F3D5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61C053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7653BA3">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构成招标文件的其他材料</w:t>
            </w:r>
          </w:p>
        </w:tc>
        <w:tc>
          <w:tcPr>
            <w:tcW w:w="7251" w:type="dxa"/>
            <w:tcBorders>
              <w:top w:val="single" w:color="auto" w:sz="4" w:space="0"/>
              <w:left w:val="single" w:color="auto" w:sz="4" w:space="0"/>
              <w:bottom w:val="single" w:color="auto" w:sz="4" w:space="0"/>
              <w:right w:val="single" w:color="auto" w:sz="4" w:space="0"/>
            </w:tcBorders>
            <w:noWrap/>
            <w:vAlign w:val="center"/>
          </w:tcPr>
          <w:p w14:paraId="07A7DB3C">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招标澄清答疑文件等。</w:t>
            </w:r>
          </w:p>
        </w:tc>
      </w:tr>
      <w:tr w14:paraId="132ABAE6">
        <w:tblPrEx>
          <w:tblCellMar>
            <w:top w:w="0" w:type="dxa"/>
            <w:left w:w="108" w:type="dxa"/>
            <w:bottom w:w="0" w:type="dxa"/>
            <w:right w:w="108" w:type="dxa"/>
          </w:tblCellMar>
        </w:tblPrEx>
        <w:trPr>
          <w:trHeight w:val="404"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9A34F7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C04F20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投标人要求澄清招标文件的截止时间及方式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11154714">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同本表第13条</w:t>
            </w:r>
          </w:p>
        </w:tc>
      </w:tr>
      <w:tr w14:paraId="70551AA5">
        <w:tblPrEx>
          <w:tblCellMar>
            <w:top w:w="0" w:type="dxa"/>
            <w:left w:w="108" w:type="dxa"/>
            <w:bottom w:w="0" w:type="dxa"/>
            <w:right w:w="108" w:type="dxa"/>
          </w:tblCellMar>
        </w:tblPrEx>
        <w:trPr>
          <w:trHeight w:val="404"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FCAD629">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rPr>
              <w:t>18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2584240">
            <w:pPr>
              <w:keepNext w:val="0"/>
              <w:keepLines w:val="0"/>
              <w:pageBreakBefore w:val="0"/>
              <w:suppressLineNumbers w:val="0"/>
              <w:shd w:val="clear"/>
              <w:kinsoku/>
              <w:wordWrap/>
              <w:overflowPunct/>
              <w:autoSpaceDE/>
              <w:autoSpaceDN/>
              <w:bidi w:val="0"/>
              <w:adjustRightInd w:val="0"/>
              <w:snapToGrid w:val="0"/>
              <w:spacing w:before="0" w:beforeAutospacing="0" w:after="0" w:afterAutospacing="0" w:line="400" w:lineRule="exact"/>
              <w:ind w:left="0" w:leftChars="0" w:right="0" w:rightChars="0"/>
              <w:jc w:val="center"/>
              <w:rPr>
                <w:rFonts w:hint="eastAsia" w:ascii="宋体" w:hAnsi="宋体" w:cs="宋体"/>
                <w:szCs w:val="21"/>
                <w:highlight w:val="none"/>
              </w:rPr>
            </w:pPr>
            <w:r>
              <w:rPr>
                <w:rFonts w:hint="eastAsia" w:ascii="宋体" w:hAnsi="宋体" w:eastAsia="宋体" w:cs="宋体"/>
                <w:b/>
                <w:bCs/>
                <w:color w:val="auto"/>
                <w:sz w:val="21"/>
                <w:szCs w:val="21"/>
                <w:highlight w:val="none"/>
              </w:rPr>
              <w:t>最高投标限价</w:t>
            </w:r>
          </w:p>
        </w:tc>
        <w:tc>
          <w:tcPr>
            <w:tcW w:w="7251" w:type="dxa"/>
            <w:tcBorders>
              <w:top w:val="single" w:color="auto" w:sz="4" w:space="0"/>
              <w:left w:val="single" w:color="auto" w:sz="4" w:space="0"/>
              <w:bottom w:val="single" w:color="auto" w:sz="4" w:space="0"/>
              <w:right w:val="single" w:color="auto" w:sz="4" w:space="0"/>
            </w:tcBorders>
            <w:noWrap/>
            <w:vAlign w:val="center"/>
          </w:tcPr>
          <w:p w14:paraId="70A09033">
            <w:pPr>
              <w:pStyle w:val="14"/>
              <w:spacing w:after="0" w:line="400" w:lineRule="exact"/>
              <w:ind w:left="0" w:leftChars="0" w:firstLine="0" w:firstLineChars="0"/>
              <w:rPr>
                <w:rFonts w:hint="eastAsia" w:ascii="宋体" w:hAnsi="Times New Roman" w:eastAsia="宋体" w:cs="Times New Roman"/>
                <w:highlight w:val="none"/>
                <w:lang w:val="en-US" w:eastAsia="zh-CN"/>
              </w:rPr>
            </w:pPr>
            <w:r>
              <w:rPr>
                <w:rFonts w:hint="eastAsia" w:ascii="宋体" w:hAnsi="宋体" w:eastAsia="宋体" w:cs="宋体"/>
                <w:color w:val="auto"/>
                <w:spacing w:val="0"/>
                <w:kern w:val="0"/>
                <w:sz w:val="21"/>
                <w:szCs w:val="21"/>
                <w:highlight w:val="none"/>
                <w:lang w:val="en-US" w:eastAsia="zh-CN"/>
              </w:rPr>
              <w:t>1.最高限价：单价：</w:t>
            </w:r>
            <w:r>
              <w:rPr>
                <w:rFonts w:hint="eastAsia" w:hAnsi="宋体" w:cs="宋体"/>
                <w:color w:val="auto"/>
                <w:spacing w:val="0"/>
                <w:kern w:val="0"/>
                <w:sz w:val="21"/>
                <w:szCs w:val="21"/>
                <w:highlight w:val="none"/>
                <w:lang w:val="en-US" w:eastAsia="zh-CN"/>
              </w:rPr>
              <w:t>2.25</w:t>
            </w:r>
            <w:r>
              <w:rPr>
                <w:rFonts w:hint="eastAsia" w:ascii="宋体" w:hAnsi="宋体" w:eastAsia="宋体" w:cs="宋体"/>
                <w:color w:val="auto"/>
                <w:spacing w:val="0"/>
                <w:kern w:val="0"/>
                <w:sz w:val="21"/>
                <w:szCs w:val="21"/>
                <w:highlight w:val="none"/>
                <w:lang w:val="en-US" w:eastAsia="zh-CN"/>
              </w:rPr>
              <w:t>元/W</w:t>
            </w:r>
            <w:r>
              <w:rPr>
                <w:rFonts w:hint="eastAsia" w:hAnsi="宋体" w:cs="宋体"/>
                <w:color w:val="auto"/>
                <w:spacing w:val="0"/>
                <w:kern w:val="0"/>
                <w:sz w:val="21"/>
                <w:szCs w:val="21"/>
                <w:highlight w:val="none"/>
                <w:lang w:val="en-US" w:eastAsia="zh-CN"/>
              </w:rPr>
              <w:t>P</w:t>
            </w:r>
            <w:r>
              <w:rPr>
                <w:rFonts w:hint="eastAsia" w:ascii="宋体" w:hAnsi="宋体" w:eastAsia="宋体" w:cs="宋体"/>
                <w:color w:val="auto"/>
                <w:spacing w:val="0"/>
                <w:kern w:val="0"/>
                <w:sz w:val="21"/>
                <w:szCs w:val="21"/>
                <w:highlight w:val="none"/>
                <w:lang w:val="en-US" w:eastAsia="zh-CN"/>
              </w:rPr>
              <w:t>，本项目以单价报价，报价保留</w:t>
            </w:r>
            <w:r>
              <w:rPr>
                <w:rFonts w:hint="eastAsia" w:hAnsi="宋体" w:cs="宋体"/>
                <w:color w:val="auto"/>
                <w:spacing w:val="0"/>
                <w:kern w:val="0"/>
                <w:sz w:val="21"/>
                <w:szCs w:val="21"/>
                <w:highlight w:val="none"/>
                <w:lang w:val="en-US" w:eastAsia="zh-CN"/>
              </w:rPr>
              <w:t>两</w:t>
            </w:r>
            <w:r>
              <w:rPr>
                <w:rFonts w:hint="eastAsia" w:ascii="宋体" w:hAnsi="宋体" w:eastAsia="宋体" w:cs="宋体"/>
                <w:color w:val="auto"/>
                <w:spacing w:val="0"/>
                <w:kern w:val="0"/>
                <w:sz w:val="21"/>
                <w:szCs w:val="21"/>
                <w:highlight w:val="none"/>
                <w:lang w:val="en-US" w:eastAsia="zh-CN"/>
              </w:rPr>
              <w:t>位小数，第</w:t>
            </w:r>
            <w:r>
              <w:rPr>
                <w:rFonts w:hint="eastAsia" w:hAnsi="宋体" w:cs="宋体"/>
                <w:color w:val="auto"/>
                <w:spacing w:val="0"/>
                <w:kern w:val="0"/>
                <w:sz w:val="21"/>
                <w:szCs w:val="21"/>
                <w:highlight w:val="none"/>
                <w:lang w:val="en-US" w:eastAsia="zh-CN"/>
              </w:rPr>
              <w:t>三</w:t>
            </w:r>
            <w:r>
              <w:rPr>
                <w:rFonts w:hint="eastAsia" w:ascii="宋体" w:hAnsi="宋体" w:eastAsia="宋体" w:cs="宋体"/>
                <w:color w:val="auto"/>
                <w:spacing w:val="0"/>
                <w:kern w:val="0"/>
                <w:sz w:val="21"/>
                <w:szCs w:val="21"/>
                <w:highlight w:val="none"/>
                <w:lang w:val="en-US" w:eastAsia="zh-CN"/>
              </w:rPr>
              <w:t>位四舍五入，投标报价高于最高限价的按无效标处理。</w:t>
            </w:r>
          </w:p>
          <w:p w14:paraId="5373421E">
            <w:pPr>
              <w:pStyle w:val="14"/>
              <w:spacing w:after="0" w:line="400" w:lineRule="exact"/>
              <w:ind w:left="0" w:leftChars="0" w:firstLine="0" w:firstLineChars="0"/>
              <w:rPr>
                <w:rFonts w:hint="eastAsia" w:ascii="宋体" w:hAnsi="宋体" w:cs="宋体"/>
                <w:szCs w:val="21"/>
                <w:highlight w:val="none"/>
              </w:rPr>
            </w:pPr>
            <w:r>
              <w:rPr>
                <w:rFonts w:hint="eastAsia" w:ascii="宋体" w:hAnsi="Times New Roman" w:eastAsia="宋体" w:cs="Times New Roman"/>
                <w:highlight w:val="none"/>
                <w:lang w:val="en-US" w:eastAsia="zh-CN"/>
              </w:rPr>
              <w:t>2.最终结算方式=按照项目通过竣工验收且实际并网发电的装机容量</w:t>
            </w:r>
            <w:r>
              <w:rPr>
                <w:rFonts w:hint="eastAsia" w:cs="Times New Roman"/>
                <w:highlight w:val="none"/>
                <w:lang w:val="en-US" w:eastAsia="zh-CN"/>
              </w:rPr>
              <w:t>直流侧</w:t>
            </w:r>
            <w:r>
              <w:rPr>
                <w:rFonts w:hint="eastAsia" w:ascii="宋体" w:hAnsi="Times New Roman" w:eastAsia="宋体" w:cs="Times New Roman"/>
                <w:highlight w:val="none"/>
                <w:lang w:val="en-US" w:eastAsia="zh-CN"/>
              </w:rPr>
              <w:t>*中标单价（含税）</w:t>
            </w:r>
          </w:p>
        </w:tc>
      </w:tr>
      <w:tr w14:paraId="2A3378D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49441D8">
            <w:pPr>
              <w:keepNext w:val="0"/>
              <w:keepLines w:val="0"/>
              <w:pageBreakBefore w:val="0"/>
              <w:kinsoku/>
              <w:wordWrap/>
              <w:overflowPunct/>
              <w:autoSpaceDN/>
              <w:bidi w:val="0"/>
              <w:spacing w:line="400" w:lineRule="exact"/>
              <w:jc w:val="center"/>
              <w:textAlignment w:val="auto"/>
              <w:rPr>
                <w:rFonts w:hint="eastAsia" w:ascii="宋体" w:hAnsi="宋体" w:eastAsia="宋体" w:cs="宋体"/>
                <w:szCs w:val="21"/>
                <w:highlight w:val="none"/>
                <w:lang w:eastAsia="zh-CN"/>
              </w:rPr>
            </w:pPr>
            <w:r>
              <w:rPr>
                <w:rFonts w:hint="eastAsia" w:ascii="宋体" w:hAnsi="宋体" w:cs="宋体"/>
                <w:szCs w:val="21"/>
                <w:highlight w:val="none"/>
              </w:rPr>
              <w:t>1</w:t>
            </w:r>
            <w:r>
              <w:rPr>
                <w:rFonts w:hint="eastAsia" w:ascii="宋体" w:hAnsi="宋体" w:cs="宋体"/>
                <w:szCs w:val="21"/>
                <w:highlight w:val="none"/>
                <w:lang w:val="en-US" w:eastAsia="zh-CN"/>
              </w:rPr>
              <w:t>9</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B62B59F">
            <w:pPr>
              <w:keepNext w:val="0"/>
              <w:keepLines w:val="0"/>
              <w:pageBreakBefore w:val="0"/>
              <w:suppressLineNumbers w:val="0"/>
              <w:shd w:val="clear"/>
              <w:kinsoku/>
              <w:wordWrap/>
              <w:overflowPunct/>
              <w:autoSpaceDE/>
              <w:autoSpaceDN/>
              <w:bidi w:val="0"/>
              <w:adjustRightInd w:val="0"/>
              <w:snapToGrid w:val="0"/>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投标报价的</w:t>
            </w:r>
          </w:p>
          <w:p w14:paraId="2AB58BFD">
            <w:pPr>
              <w:keepNext w:val="0"/>
              <w:keepLines w:val="0"/>
              <w:pageBreakBefore w:val="0"/>
              <w:suppressLineNumbers w:val="0"/>
              <w:shd w:val="clear"/>
              <w:kinsoku/>
              <w:wordWrap/>
              <w:overflowPunct/>
              <w:autoSpaceDE/>
              <w:autoSpaceDN/>
              <w:bidi w:val="0"/>
              <w:adjustRightInd w:val="0"/>
              <w:snapToGrid w:val="0"/>
              <w:spacing w:before="0" w:beforeAutospacing="0" w:after="0" w:afterAutospacing="0" w:line="400" w:lineRule="exact"/>
              <w:ind w:left="0" w:leftChars="0" w:right="0" w:rightChars="0"/>
              <w:jc w:val="center"/>
              <w:rPr>
                <w:rFonts w:ascii="宋体" w:hAnsi="宋体" w:cs="宋体"/>
                <w:color w:val="auto"/>
                <w:szCs w:val="21"/>
                <w:highlight w:val="none"/>
              </w:rPr>
            </w:pPr>
            <w:r>
              <w:rPr>
                <w:rFonts w:hint="eastAsia" w:ascii="宋体" w:hAnsi="宋体" w:eastAsia="宋体" w:cs="宋体"/>
                <w:color w:val="auto"/>
                <w:sz w:val="21"/>
                <w:szCs w:val="21"/>
                <w:highlight w:val="none"/>
              </w:rPr>
              <w:t>其他要求</w:t>
            </w:r>
          </w:p>
        </w:tc>
        <w:tc>
          <w:tcPr>
            <w:tcW w:w="7251" w:type="dxa"/>
            <w:tcBorders>
              <w:top w:val="single" w:color="auto" w:sz="4" w:space="0"/>
              <w:left w:val="single" w:color="auto" w:sz="4" w:space="0"/>
              <w:bottom w:val="single" w:color="auto" w:sz="4" w:space="0"/>
              <w:right w:val="single" w:color="auto" w:sz="4" w:space="0"/>
            </w:tcBorders>
            <w:noWrap/>
            <w:vAlign w:val="center"/>
          </w:tcPr>
          <w:p w14:paraId="5D958F4F">
            <w:pPr>
              <w:keepNext w:val="0"/>
              <w:keepLines w:val="0"/>
              <w:pageBreakBefore w:val="0"/>
              <w:suppressLineNumbers w:val="0"/>
              <w:shd w:val="clear"/>
              <w:kinsoku/>
              <w:wordWrap/>
              <w:overflowPunct/>
              <w:autoSpaceDE/>
              <w:autoSpaceDN/>
              <w:bidi w:val="0"/>
              <w:adjustRightInd w:val="0"/>
              <w:snapToGrid w:val="0"/>
              <w:spacing w:before="0" w:beforeAutospacing="0" w:after="0" w:afterAutospacing="0" w:line="400" w:lineRule="exact"/>
              <w:ind w:left="0" w:right="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1、合同价格形式为固定单价合同（含税）。 包含但不限于调查、可研报告、测量、建筑物荷载测试、设计方案和施工图设计、材料采购（除甲供材外）、设备采购、施工、调试、验收、档案移交、缺陷责任期内的缺陷修复、保修及施工期间的指导和配合服务等所发生的一切费用（包含但不限于自行收集相关规划资料、设备维护更新、办公费用及人员工资、交通、保险、税费等）、并网验收所涉及全部手续办理费用、临时设施费等以及招标文件规定的与本次招标相关的等所有费用，合同单价含税（元/W</w:t>
            </w:r>
            <w:r>
              <w:rPr>
                <w:rFonts w:hint="eastAsia" w:ascii="宋体" w:hAnsi="宋体" w:cs="宋体"/>
                <w:color w:val="auto"/>
                <w:kern w:val="0"/>
                <w:sz w:val="21"/>
                <w:szCs w:val="21"/>
                <w:highlight w:val="none"/>
                <w:lang w:val="en-US" w:eastAsia="zh-CN"/>
              </w:rPr>
              <w:t>P</w:t>
            </w:r>
            <w:r>
              <w:rPr>
                <w:rFonts w:hint="eastAsia" w:ascii="宋体" w:hAnsi="宋体" w:eastAsia="宋体" w:cs="宋体"/>
                <w:color w:val="auto"/>
                <w:kern w:val="0"/>
                <w:sz w:val="21"/>
                <w:szCs w:val="21"/>
                <w:highlight w:val="none"/>
                <w:lang w:val="en-US" w:eastAsia="zh-CN"/>
              </w:rPr>
              <w:t>）不予调整。</w:t>
            </w:r>
          </w:p>
          <w:p w14:paraId="2F8C493E">
            <w:pPr>
              <w:keepNext w:val="0"/>
              <w:keepLines w:val="0"/>
              <w:pageBreakBefore w:val="0"/>
              <w:suppressLineNumbers w:val="0"/>
              <w:shd w:val="clear"/>
              <w:kinsoku/>
              <w:wordWrap/>
              <w:overflowPunct/>
              <w:autoSpaceDE/>
              <w:autoSpaceDN/>
              <w:bidi w:val="0"/>
              <w:adjustRightInd w:val="0"/>
              <w:snapToGrid w:val="0"/>
              <w:spacing w:before="0" w:beforeAutospacing="0" w:after="0" w:afterAutospacing="0" w:line="400" w:lineRule="exact"/>
              <w:ind w:left="0" w:right="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2、本项目光伏电站地域分布范围较广，屋顶光伏涉及企业较多，实施过程中须充分考虑与相关企业的沟通、协调，由此发生的费用均包含在投标报价中。 </w:t>
            </w:r>
          </w:p>
          <w:p w14:paraId="047F52F2">
            <w:pPr>
              <w:keepNext w:val="0"/>
              <w:keepLines w:val="0"/>
              <w:pageBreakBefore w:val="0"/>
              <w:suppressLineNumbers w:val="0"/>
              <w:shd w:val="clear"/>
              <w:kinsoku/>
              <w:wordWrap/>
              <w:overflowPunct/>
              <w:autoSpaceDE/>
              <w:autoSpaceDN/>
              <w:bidi w:val="0"/>
              <w:adjustRightInd w:val="0"/>
              <w:snapToGrid w:val="0"/>
              <w:spacing w:before="0" w:beforeAutospacing="0" w:after="0" w:afterAutospacing="0" w:line="400" w:lineRule="exact"/>
              <w:ind w:left="0" w:leftChars="0" w:right="0" w:rightChars="0"/>
              <w:jc w:val="left"/>
              <w:rPr>
                <w:rFonts w:hint="default"/>
                <w:highlight w:val="none"/>
                <w:lang w:val="en-US" w:eastAsia="zh-CN"/>
              </w:rPr>
            </w:pPr>
            <w:r>
              <w:rPr>
                <w:rFonts w:hint="eastAsia" w:ascii="宋体" w:hAnsi="宋体" w:eastAsia="宋体" w:cs="宋体"/>
                <w:color w:val="auto"/>
                <w:kern w:val="0"/>
                <w:sz w:val="21"/>
                <w:szCs w:val="21"/>
                <w:highlight w:val="none"/>
                <w:lang w:val="en-US" w:eastAsia="zh-CN"/>
              </w:rPr>
              <w:t xml:space="preserve">3、本项目须确保通过供电公司的接入方案、验收、并网，投标人须充分考虑 并网方案以及与供电部门的沟通、协调，由此发生的费用均包含在投标报价中。 </w:t>
            </w:r>
          </w:p>
        </w:tc>
      </w:tr>
      <w:tr w14:paraId="6F126AF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A3375F5">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20</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836684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w:t>
            </w:r>
            <w:r>
              <w:rPr>
                <w:rFonts w:hint="eastAsia" w:ascii="宋体" w:hAnsi="宋体" w:eastAsia="宋体" w:cs="宋体"/>
                <w:szCs w:val="21"/>
                <w:highlight w:val="none"/>
              </w:rPr>
              <w:t>有效期</w:t>
            </w:r>
          </w:p>
        </w:tc>
        <w:tc>
          <w:tcPr>
            <w:tcW w:w="7251" w:type="dxa"/>
            <w:tcBorders>
              <w:top w:val="single" w:color="auto" w:sz="4" w:space="0"/>
              <w:left w:val="single" w:color="auto" w:sz="4" w:space="0"/>
              <w:bottom w:val="single" w:color="auto" w:sz="4" w:space="0"/>
              <w:right w:val="single" w:color="auto" w:sz="4" w:space="0"/>
            </w:tcBorders>
            <w:noWrap/>
            <w:vAlign w:val="center"/>
          </w:tcPr>
          <w:p w14:paraId="3E143A0C">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投标有效期为</w:t>
            </w:r>
            <w:r>
              <w:rPr>
                <w:rFonts w:hint="eastAsia" w:ascii="宋体" w:hAnsi="宋体" w:cs="宋体"/>
                <w:szCs w:val="21"/>
                <w:highlight w:val="none"/>
                <w:u w:val="single"/>
              </w:rPr>
              <w:t>90</w:t>
            </w:r>
            <w:r>
              <w:rPr>
                <w:rFonts w:hint="eastAsia" w:ascii="宋体" w:hAnsi="宋体" w:cs="宋体"/>
                <w:szCs w:val="21"/>
                <w:highlight w:val="none"/>
              </w:rPr>
              <w:t>日历天（从投标截止之日算起）。在此期限内，凡符合本招标文件要求的投标文件均保持有效。</w:t>
            </w:r>
          </w:p>
        </w:tc>
      </w:tr>
      <w:tr w14:paraId="45AEDE17">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EB6B29F">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0129E9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投标保证金</w:t>
            </w:r>
          </w:p>
        </w:tc>
        <w:tc>
          <w:tcPr>
            <w:tcW w:w="7251" w:type="dxa"/>
            <w:tcBorders>
              <w:top w:val="single" w:color="auto" w:sz="4" w:space="0"/>
              <w:left w:val="single" w:color="auto" w:sz="4" w:space="0"/>
              <w:bottom w:val="single" w:color="auto" w:sz="4" w:space="0"/>
              <w:right w:val="single" w:color="auto" w:sz="4" w:space="0"/>
            </w:tcBorders>
            <w:noWrap/>
            <w:vAlign w:val="center"/>
          </w:tcPr>
          <w:p w14:paraId="28186690">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详见招标公告信息</w:t>
            </w:r>
          </w:p>
        </w:tc>
      </w:tr>
      <w:tr w14:paraId="6E11FCA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7399921">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50DF28D">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签字或盖章要求</w:t>
            </w:r>
          </w:p>
        </w:tc>
        <w:tc>
          <w:tcPr>
            <w:tcW w:w="7251" w:type="dxa"/>
            <w:tcBorders>
              <w:top w:val="single" w:color="auto" w:sz="4" w:space="0"/>
              <w:left w:val="single" w:color="auto" w:sz="4" w:space="0"/>
              <w:bottom w:val="single" w:color="auto" w:sz="4" w:space="0"/>
              <w:right w:val="single" w:color="auto" w:sz="4" w:space="0"/>
            </w:tcBorders>
            <w:noWrap/>
            <w:vAlign w:val="center"/>
          </w:tcPr>
          <w:p w14:paraId="5AFD1E77">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投标文件须按格式文件要求签字或盖章。否则经评委会一致认定后，按照无效投标处理。</w:t>
            </w:r>
          </w:p>
        </w:tc>
      </w:tr>
      <w:tr w14:paraId="2A0476EF">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596DF02">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CA3299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投标文件份数</w:t>
            </w:r>
          </w:p>
        </w:tc>
        <w:tc>
          <w:tcPr>
            <w:tcW w:w="7251" w:type="dxa"/>
            <w:tcBorders>
              <w:top w:val="single" w:color="auto" w:sz="4" w:space="0"/>
              <w:left w:val="single" w:color="auto" w:sz="4" w:space="0"/>
              <w:bottom w:val="single" w:color="auto" w:sz="4" w:space="0"/>
              <w:right w:val="single" w:color="auto" w:sz="4" w:space="0"/>
            </w:tcBorders>
            <w:noWrap/>
            <w:vAlign w:val="center"/>
          </w:tcPr>
          <w:p w14:paraId="1762AE54">
            <w:pPr>
              <w:pStyle w:val="14"/>
              <w:keepNext w:val="0"/>
              <w:keepLines w:val="0"/>
              <w:pageBreakBefore w:val="0"/>
              <w:kinsoku/>
              <w:wordWrap/>
              <w:overflowPunct/>
              <w:autoSpaceDN/>
              <w:bidi w:val="0"/>
              <w:spacing w:line="400" w:lineRule="exact"/>
              <w:ind w:left="0" w:leftChars="0" w:firstLine="0" w:firstLineChars="0"/>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p>
          <w:p w14:paraId="59E67BFB">
            <w:pPr>
              <w:pStyle w:val="14"/>
              <w:keepNext w:val="0"/>
              <w:keepLines w:val="0"/>
              <w:pageBreakBefore w:val="0"/>
              <w:kinsoku/>
              <w:wordWrap/>
              <w:overflowPunct/>
              <w:autoSpaceDN/>
              <w:bidi w:val="0"/>
              <w:spacing w:line="400" w:lineRule="exact"/>
              <w:ind w:left="0" w:leftChars="0" w:firstLine="0" w:firstLineChars="0"/>
              <w:textAlignment w:val="auto"/>
              <w:rPr>
                <w:highlight w:val="none"/>
              </w:rPr>
            </w:pPr>
            <w:r>
              <w:rPr>
                <w:rFonts w:hint="eastAsia" w:ascii="宋体" w:hAnsi="宋体" w:eastAsia="宋体" w:cs="宋体"/>
                <w:b/>
                <w:bCs/>
                <w:i w:val="0"/>
                <w:iCs w:val="0"/>
                <w:color w:val="auto"/>
                <w:kern w:val="0"/>
                <w:sz w:val="21"/>
                <w:szCs w:val="21"/>
                <w:highlight w:val="none"/>
                <w:u w:val="single"/>
              </w:rPr>
              <w:t>（投标人中标后须递交与网上电子投标文件完全一致的纸质版投标文件，并按要求加盖单位章；</w:t>
            </w:r>
            <w:r>
              <w:rPr>
                <w:rFonts w:hint="eastAsia" w:ascii="宋体" w:hAnsi="宋体" w:cs="宋体"/>
                <w:b/>
                <w:bCs/>
                <w:i w:val="0"/>
                <w:iCs w:val="0"/>
                <w:color w:val="auto"/>
                <w:kern w:val="0"/>
                <w:sz w:val="21"/>
                <w:szCs w:val="21"/>
                <w:highlight w:val="none"/>
                <w:u w:val="single"/>
              </w:rPr>
              <w:t>份数：正本1份，副本</w:t>
            </w:r>
            <w:r>
              <w:rPr>
                <w:rFonts w:hint="eastAsia" w:ascii="宋体" w:hAnsi="宋体" w:cs="宋体"/>
                <w:b/>
                <w:bCs/>
                <w:i w:val="0"/>
                <w:iCs w:val="0"/>
                <w:color w:val="auto"/>
                <w:kern w:val="0"/>
                <w:sz w:val="21"/>
                <w:szCs w:val="21"/>
                <w:highlight w:val="none"/>
                <w:u w:val="single"/>
                <w:lang w:val="en-US" w:eastAsia="zh-CN"/>
              </w:rPr>
              <w:t>2</w:t>
            </w:r>
            <w:r>
              <w:rPr>
                <w:rFonts w:hint="eastAsia" w:ascii="宋体" w:hAnsi="宋体" w:cs="宋体"/>
                <w:b/>
                <w:bCs/>
                <w:i w:val="0"/>
                <w:iCs w:val="0"/>
                <w:color w:val="auto"/>
                <w:kern w:val="0"/>
                <w:sz w:val="21"/>
                <w:szCs w:val="21"/>
                <w:highlight w:val="none"/>
                <w:u w:val="single"/>
              </w:rPr>
              <w:t>份；中标单位领取中标通知书时，一并递交给代理机构）</w:t>
            </w:r>
          </w:p>
        </w:tc>
      </w:tr>
      <w:tr w14:paraId="0DE33C57">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0C592D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default" w:ascii="宋体" w:hAnsi="宋体" w:cs="宋体"/>
                <w:szCs w:val="21"/>
                <w:highlight w:val="none"/>
                <w:lang w:val="en-US"/>
              </w:rPr>
            </w:pPr>
            <w:r>
              <w:rPr>
                <w:rFonts w:hint="eastAsia" w:ascii="宋体" w:hAnsi="宋体" w:cs="宋体"/>
                <w:kern w:val="2"/>
                <w:highlight w:val="none"/>
                <w:lang w:val="en-US" w:eastAsia="zh-CN"/>
              </w:rPr>
              <w:t>24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954E8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color w:val="auto"/>
                <w:sz w:val="21"/>
                <w:szCs w:val="21"/>
                <w:highlight w:val="none"/>
              </w:rPr>
              <w:t>投标文件提交截止时间</w:t>
            </w:r>
          </w:p>
        </w:tc>
        <w:tc>
          <w:tcPr>
            <w:tcW w:w="7251" w:type="dxa"/>
            <w:tcBorders>
              <w:top w:val="single" w:color="auto" w:sz="4" w:space="0"/>
              <w:left w:val="single" w:color="auto" w:sz="4" w:space="0"/>
              <w:bottom w:val="single" w:color="auto" w:sz="4" w:space="0"/>
              <w:right w:val="single" w:color="auto" w:sz="4" w:space="0"/>
            </w:tcBorders>
            <w:noWrap/>
            <w:vAlign w:val="center"/>
          </w:tcPr>
          <w:p w14:paraId="49C7DBFE">
            <w:pPr>
              <w:keepNext w:val="0"/>
              <w:keepLines w:val="0"/>
              <w:pageBreakBefore w:val="0"/>
              <w:kinsoku/>
              <w:wordWrap/>
              <w:overflowPunct/>
              <w:autoSpaceDN/>
              <w:bidi w:val="0"/>
              <w:spacing w:line="400" w:lineRule="exact"/>
              <w:textAlignment w:val="auto"/>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2026</w:t>
            </w:r>
            <w:r>
              <w:rPr>
                <w:rFonts w:hint="eastAsia" w:ascii="宋体" w:hAnsi="宋体" w:eastAsia="宋体" w:cs="宋体"/>
                <w:szCs w:val="21"/>
                <w:highlight w:val="none"/>
              </w:rPr>
              <w:t>年</w:t>
            </w:r>
            <w:r>
              <w:rPr>
                <w:rFonts w:hint="eastAsia" w:ascii="宋体" w:hAnsi="宋体" w:cs="宋体"/>
                <w:szCs w:val="21"/>
                <w:highlight w:val="none"/>
                <w:lang w:val="en-US" w:eastAsia="zh-CN"/>
              </w:rPr>
              <w:t>10</w:t>
            </w:r>
            <w:r>
              <w:rPr>
                <w:rFonts w:hint="eastAsia" w:ascii="宋体" w:hAnsi="宋体" w:eastAsia="宋体" w:cs="宋体"/>
                <w:szCs w:val="21"/>
                <w:highlight w:val="none"/>
              </w:rPr>
              <w:t>月</w:t>
            </w:r>
            <w:r>
              <w:rPr>
                <w:rFonts w:hint="eastAsia" w:ascii="宋体" w:hAnsi="宋体" w:cs="宋体"/>
                <w:szCs w:val="21"/>
                <w:highlight w:val="none"/>
                <w:lang w:val="en-US" w:eastAsia="zh-CN"/>
              </w:rPr>
              <w:t>10</w:t>
            </w:r>
            <w:r>
              <w:rPr>
                <w:rFonts w:hint="eastAsia" w:ascii="宋体" w:hAnsi="宋体" w:eastAsia="宋体" w:cs="宋体"/>
                <w:szCs w:val="21"/>
                <w:highlight w:val="none"/>
              </w:rPr>
              <w:t>日</w:t>
            </w:r>
            <w:r>
              <w:rPr>
                <w:rFonts w:hint="eastAsia" w:ascii="宋体" w:hAnsi="宋体" w:cs="宋体"/>
                <w:szCs w:val="21"/>
                <w:highlight w:val="none"/>
                <w:lang w:val="en-US" w:eastAsia="zh-CN"/>
              </w:rPr>
              <w:t>9</w:t>
            </w:r>
            <w:r>
              <w:rPr>
                <w:rFonts w:hint="eastAsia" w:ascii="宋体" w:hAnsi="宋体" w:eastAsia="宋体" w:cs="宋体"/>
                <w:szCs w:val="21"/>
                <w:highlight w:val="none"/>
              </w:rPr>
              <w:t>时00分（北京时间）</w:t>
            </w:r>
          </w:p>
        </w:tc>
      </w:tr>
      <w:tr w14:paraId="13689E49">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12D8F6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default" w:ascii="宋体" w:hAnsi="宋体" w:cs="宋体"/>
                <w:szCs w:val="21"/>
                <w:highlight w:val="none"/>
                <w:lang w:val="en-US"/>
              </w:rPr>
            </w:pPr>
            <w:r>
              <w:rPr>
                <w:rFonts w:hint="eastAsia" w:ascii="宋体" w:hAnsi="宋体" w:cs="宋体"/>
                <w:kern w:val="2"/>
                <w:highlight w:val="none"/>
                <w:lang w:val="en-US" w:eastAsia="zh-CN"/>
              </w:rPr>
              <w:t>25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C2F970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是否退还投标文件</w:t>
            </w:r>
          </w:p>
        </w:tc>
        <w:tc>
          <w:tcPr>
            <w:tcW w:w="7251" w:type="dxa"/>
            <w:tcBorders>
              <w:top w:val="single" w:color="auto" w:sz="4" w:space="0"/>
              <w:left w:val="single" w:color="auto" w:sz="4" w:space="0"/>
              <w:bottom w:val="single" w:color="auto" w:sz="4" w:space="0"/>
              <w:right w:val="single" w:color="auto" w:sz="4" w:space="0"/>
            </w:tcBorders>
            <w:noWrap/>
            <w:vAlign w:val="center"/>
          </w:tcPr>
          <w:p w14:paraId="49837F3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000000"/>
                <w:kern w:val="2"/>
                <w:sz w:val="21"/>
                <w:szCs w:val="21"/>
                <w:highlight w:val="none"/>
                <w:u w:color="000000"/>
                <w:lang w:val="en-US" w:eastAsia="zh-CN" w:bidi="ar"/>
              </w:rPr>
              <w:t>否</w:t>
            </w:r>
          </w:p>
        </w:tc>
      </w:tr>
      <w:tr w14:paraId="3E085A99">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993016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default" w:ascii="宋体" w:hAnsi="宋体" w:cs="宋体"/>
                <w:szCs w:val="21"/>
                <w:highlight w:val="none"/>
                <w:lang w:val="en-US"/>
              </w:rPr>
            </w:pPr>
            <w:r>
              <w:rPr>
                <w:rFonts w:hint="eastAsia" w:ascii="宋体" w:hAnsi="宋体" w:cs="宋体"/>
                <w:kern w:val="2"/>
                <w:highlight w:val="none"/>
                <w:lang w:val="en-US" w:eastAsia="zh-CN"/>
              </w:rPr>
              <w:t>26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7A3327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开标时间及地点</w:t>
            </w:r>
          </w:p>
        </w:tc>
        <w:tc>
          <w:tcPr>
            <w:tcW w:w="7251" w:type="dxa"/>
            <w:tcBorders>
              <w:top w:val="single" w:color="auto" w:sz="4" w:space="0"/>
              <w:left w:val="single" w:color="auto" w:sz="4" w:space="0"/>
              <w:bottom w:val="single" w:color="auto" w:sz="4" w:space="0"/>
              <w:right w:val="single" w:color="auto" w:sz="4" w:space="0"/>
            </w:tcBorders>
            <w:noWrap/>
            <w:vAlign w:val="center"/>
          </w:tcPr>
          <w:p w14:paraId="55159CA4">
            <w:pPr>
              <w:adjustRightInd w:val="0"/>
              <w:snapToGrid w:val="0"/>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开标时间：同投标截止时间</w:t>
            </w:r>
          </w:p>
          <w:p w14:paraId="7D5F050E">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Times New Roman" w:hAnsi="Times New Roman" w:eastAsia="宋体" w:cs="Times New Roman"/>
                <w:highlight w:val="none"/>
                <w:lang w:val="en-US" w:eastAsia="zh-CN"/>
              </w:rPr>
            </w:pPr>
            <w:r>
              <w:rPr>
                <w:rFonts w:hint="eastAsia" w:ascii="宋体" w:hAnsi="宋体" w:eastAsia="宋体" w:cs="宋体"/>
                <w:color w:val="auto"/>
                <w:szCs w:val="21"/>
                <w:highlight w:val="none"/>
                <w:lang w:val="en-US" w:eastAsia="zh-CN"/>
              </w:rPr>
              <w:t>方式：</w:t>
            </w:r>
            <w:r>
              <w:rPr>
                <w:rFonts w:hint="eastAsia" w:ascii="Times New Roman" w:hAnsi="Times New Roman" w:eastAsia="宋体" w:cs="Times New Roman"/>
                <w:highlight w:val="none"/>
                <w:lang w:val="en-US" w:eastAsia="zh-CN"/>
              </w:rPr>
              <w:t>采用不见面开标，投标人登录滁州市城投工程咨询有限公司不见面开标系统参与网上开标（网址：</w:t>
            </w:r>
            <w:r>
              <w:rPr>
                <w:rFonts w:hint="eastAsia" w:ascii="Times New Roman" w:hAnsi="Times New Roman" w:eastAsia="宋体" w:cs="Times New Roman"/>
                <w:highlight w:val="none"/>
                <w:lang w:val="en-US" w:eastAsia="zh-CN"/>
              </w:rPr>
              <w:fldChar w:fldCharType="begin"/>
            </w:r>
            <w:r>
              <w:rPr>
                <w:rFonts w:hint="eastAsia" w:ascii="Times New Roman" w:hAnsi="Times New Roman" w:eastAsia="宋体" w:cs="Times New Roman"/>
                <w:highlight w:val="none"/>
                <w:lang w:val="en-US" w:eastAsia="zh-CN"/>
              </w:rPr>
              <w:instrText xml:space="preserve"> HYPERLINK "http://js.etrading.cn/EpointBidOpening/bidopeninghallaction/hall/login）。" </w:instrText>
            </w:r>
            <w:r>
              <w:rPr>
                <w:rFonts w:hint="eastAsia" w:ascii="Times New Roman" w:hAnsi="Times New Roman" w:eastAsia="宋体" w:cs="Times New Roman"/>
                <w:highlight w:val="none"/>
                <w:lang w:val="en-US" w:eastAsia="zh-CN"/>
              </w:rPr>
              <w:fldChar w:fldCharType="separate"/>
            </w:r>
            <w:r>
              <w:rPr>
                <w:rStyle w:val="58"/>
                <w:rFonts w:hint="eastAsia" w:ascii="Times New Roman" w:hAnsi="Times New Roman" w:eastAsia="宋体" w:cs="Times New Roman"/>
                <w:highlight w:val="none"/>
                <w:lang w:val="en-US" w:eastAsia="zh-CN"/>
              </w:rPr>
              <w:t>http://js.etrading.cn/EpointBidOpening/bidopeninghallaction/hall/login）。</w:t>
            </w:r>
            <w:r>
              <w:rPr>
                <w:rFonts w:hint="eastAsia" w:ascii="Times New Roman" w:hAnsi="Times New Roman" w:eastAsia="宋体" w:cs="Times New Roman"/>
                <w:highlight w:val="none"/>
                <w:lang w:val="en-US" w:eastAsia="zh-CN"/>
              </w:rPr>
              <w:fldChar w:fldCharType="end"/>
            </w:r>
          </w:p>
          <w:p w14:paraId="58E2D2E2">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解密时间：投标人须</w:t>
            </w:r>
            <w:r>
              <w:rPr>
                <w:rFonts w:hint="eastAsia" w:ascii="宋体" w:hAnsi="宋体" w:eastAsia="宋体" w:cs="宋体"/>
                <w:color w:val="auto"/>
                <w:szCs w:val="21"/>
                <w:highlight w:val="none"/>
              </w:rPr>
              <w:t>在</w:t>
            </w:r>
            <w:r>
              <w:rPr>
                <w:rFonts w:hint="eastAsia" w:ascii="宋体" w:hAnsi="宋体" w:cs="宋体"/>
                <w:color w:val="auto"/>
                <w:szCs w:val="21"/>
                <w:highlight w:val="none"/>
                <w:u w:val="single"/>
                <w:lang w:val="en-US" w:eastAsia="zh-CN"/>
              </w:rPr>
              <w:t>2026年10月10日9时00分至2026年10月10日9</w:t>
            </w:r>
            <w:r>
              <w:rPr>
                <w:rFonts w:hint="eastAsia" w:ascii="宋体" w:hAnsi="宋体" w:eastAsia="宋体" w:cs="宋体"/>
                <w:color w:val="auto"/>
                <w:szCs w:val="21"/>
                <w:highlight w:val="none"/>
                <w:u w:val="single"/>
              </w:rPr>
              <w:t>时</w:t>
            </w:r>
            <w:r>
              <w:rPr>
                <w:rFonts w:hint="eastAsia" w:ascii="宋体" w:hAnsi="宋体" w:eastAsia="宋体" w:cs="宋体"/>
                <w:color w:val="auto"/>
                <w:szCs w:val="21"/>
                <w:highlight w:val="none"/>
                <w:u w:val="single"/>
                <w:lang w:val="en-US" w:eastAsia="zh-CN"/>
              </w:rPr>
              <w:t>3</w:t>
            </w:r>
            <w:r>
              <w:rPr>
                <w:rFonts w:hint="eastAsia" w:ascii="宋体" w:hAnsi="宋体" w:eastAsia="宋体" w:cs="宋体"/>
                <w:color w:val="auto"/>
                <w:szCs w:val="21"/>
                <w:highlight w:val="none"/>
                <w:u w:val="single"/>
              </w:rPr>
              <w:t>0分</w:t>
            </w:r>
            <w:r>
              <w:rPr>
                <w:rFonts w:hint="eastAsia" w:ascii="宋体" w:hAnsi="宋体" w:eastAsia="宋体" w:cs="宋体"/>
                <w:color w:val="auto"/>
                <w:szCs w:val="21"/>
                <w:highlight w:val="none"/>
                <w:u w:val="single"/>
                <w:lang w:val="en-US" w:eastAsia="zh-CN"/>
              </w:rPr>
              <w:t>解密；未在规定时间内完成解密的，退回其投标文件；如有因系统因系统原因造成的故障，代理机构可申请延迟解密时间。</w:t>
            </w:r>
          </w:p>
        </w:tc>
      </w:tr>
      <w:tr w14:paraId="1992B37A">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95919A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default" w:ascii="宋体" w:hAnsi="宋体" w:cs="宋体"/>
                <w:szCs w:val="21"/>
                <w:highlight w:val="none"/>
                <w:lang w:val="en-US"/>
              </w:rPr>
            </w:pPr>
            <w:r>
              <w:rPr>
                <w:rFonts w:hint="eastAsia" w:ascii="宋体" w:hAnsi="宋体" w:cs="宋体"/>
                <w:kern w:val="2"/>
                <w:highlight w:val="none"/>
                <w:lang w:val="en-US" w:eastAsia="zh-CN"/>
              </w:rPr>
              <w:t>27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C8E870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开标程序</w:t>
            </w:r>
          </w:p>
        </w:tc>
        <w:tc>
          <w:tcPr>
            <w:tcW w:w="7251" w:type="dxa"/>
            <w:tcBorders>
              <w:top w:val="single" w:color="auto" w:sz="4" w:space="0"/>
              <w:left w:val="single" w:color="auto" w:sz="4" w:space="0"/>
              <w:bottom w:val="single" w:color="auto" w:sz="4" w:space="0"/>
              <w:right w:val="single" w:color="auto" w:sz="4" w:space="0"/>
            </w:tcBorders>
            <w:noWrap/>
            <w:vAlign w:val="center"/>
          </w:tcPr>
          <w:p w14:paraId="4FB8EA5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由代理机构开启电子投标文件，报评标委员会评审。</w:t>
            </w:r>
          </w:p>
        </w:tc>
      </w:tr>
      <w:tr w14:paraId="5625472C">
        <w:tblPrEx>
          <w:tblCellMar>
            <w:top w:w="0" w:type="dxa"/>
            <w:left w:w="108" w:type="dxa"/>
            <w:bottom w:w="0" w:type="dxa"/>
            <w:right w:w="108" w:type="dxa"/>
          </w:tblCellMar>
        </w:tblPrEx>
        <w:trPr>
          <w:trHeight w:val="488"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F3A70F5">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68336E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评标委员会的组建</w:t>
            </w:r>
          </w:p>
        </w:tc>
        <w:tc>
          <w:tcPr>
            <w:tcW w:w="7251" w:type="dxa"/>
            <w:tcBorders>
              <w:top w:val="single" w:color="auto" w:sz="4" w:space="0"/>
              <w:left w:val="single" w:color="auto" w:sz="4" w:space="0"/>
              <w:bottom w:val="single" w:color="auto" w:sz="4" w:space="0"/>
              <w:right w:val="single" w:color="auto" w:sz="4" w:space="0"/>
            </w:tcBorders>
            <w:noWrap/>
            <w:vAlign w:val="center"/>
          </w:tcPr>
          <w:p w14:paraId="59FF402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评标委员会构成：5人，其中招标人代表</w:t>
            </w:r>
            <w:r>
              <w:rPr>
                <w:rFonts w:hint="eastAsia" w:ascii="宋体" w:hAnsi="宋体" w:cs="宋体"/>
                <w:b w:val="0"/>
                <w:bCs w:val="0"/>
                <w:color w:val="auto"/>
                <w:sz w:val="21"/>
                <w:szCs w:val="21"/>
                <w:highlight w:val="none"/>
                <w:lang w:val="en-US" w:eastAsia="zh-CN"/>
              </w:rPr>
              <w:t>0</w:t>
            </w:r>
            <w:r>
              <w:rPr>
                <w:rFonts w:hint="eastAsia" w:ascii="宋体" w:hAnsi="宋体" w:eastAsia="宋体" w:cs="宋体"/>
                <w:b w:val="0"/>
                <w:bCs w:val="0"/>
                <w:color w:val="auto"/>
                <w:sz w:val="21"/>
                <w:szCs w:val="21"/>
                <w:highlight w:val="none"/>
                <w:lang w:val="en-US" w:eastAsia="zh-CN"/>
              </w:rPr>
              <w:t>人，评标专家</w:t>
            </w:r>
            <w:r>
              <w:rPr>
                <w:rFonts w:hint="eastAsia" w:ascii="宋体" w:hAnsi="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lang w:val="en-US" w:eastAsia="zh-CN"/>
              </w:rPr>
              <w:t>人。</w:t>
            </w:r>
          </w:p>
          <w:p w14:paraId="1846547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ascii="宋体" w:hAnsi="宋体" w:cs="宋体"/>
                <w:szCs w:val="21"/>
                <w:highlight w:val="none"/>
              </w:rPr>
            </w:pPr>
            <w:r>
              <w:rPr>
                <w:rFonts w:hint="eastAsia" w:ascii="宋体" w:hAnsi="宋体" w:eastAsia="宋体" w:cs="宋体"/>
                <w:b w:val="0"/>
                <w:bCs w:val="0"/>
                <w:color w:val="auto"/>
                <w:sz w:val="21"/>
                <w:szCs w:val="21"/>
                <w:highlight w:val="none"/>
                <w:lang w:val="en-US" w:eastAsia="zh-CN"/>
              </w:rPr>
              <w:t>评标专家确定方式：评标专家由招标人在开标前从专家库中随机抽取。</w:t>
            </w:r>
          </w:p>
        </w:tc>
      </w:tr>
      <w:tr w14:paraId="7BAECC9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3DBFFAA">
            <w:pPr>
              <w:keepNext w:val="0"/>
              <w:keepLines w:val="0"/>
              <w:pageBreakBefore w:val="0"/>
              <w:kinsoku/>
              <w:wordWrap/>
              <w:overflowPunct/>
              <w:autoSpaceDN/>
              <w:bidi w:val="0"/>
              <w:spacing w:line="400" w:lineRule="exact"/>
              <w:jc w:val="center"/>
              <w:textAlignment w:val="auto"/>
              <w:rPr>
                <w:rFonts w:hint="default" w:ascii="宋体" w:hAnsi="宋体" w:eastAsia="宋体" w:cs="宋体"/>
                <w:b/>
                <w:bCs/>
                <w:szCs w:val="21"/>
                <w:highlight w:val="none"/>
                <w:lang w:val="en-US" w:eastAsia="zh-CN"/>
              </w:rPr>
            </w:pPr>
            <w:r>
              <w:rPr>
                <w:rFonts w:hint="eastAsia" w:ascii="宋体" w:hAnsi="宋体" w:cs="宋体"/>
                <w:szCs w:val="21"/>
                <w:highlight w:val="none"/>
                <w:lang w:val="en-US" w:eastAsia="zh-CN"/>
              </w:rPr>
              <w:t>29</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BE747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ascii="宋体" w:hAnsi="宋体" w:cs="宋体"/>
                <w:bCs/>
                <w:color w:val="auto"/>
                <w:szCs w:val="21"/>
                <w:highlight w:val="none"/>
              </w:rPr>
            </w:pPr>
            <w:r>
              <w:rPr>
                <w:rFonts w:hint="eastAsia" w:ascii="宋体" w:hAnsi="宋体" w:eastAsia="宋体" w:cs="宋体"/>
                <w:b w:val="0"/>
                <w:bCs w:val="0"/>
                <w:color w:val="auto"/>
                <w:sz w:val="21"/>
                <w:szCs w:val="21"/>
                <w:highlight w:val="none"/>
              </w:rPr>
              <w:t>评标委员会确定中标候选人的人数</w:t>
            </w:r>
          </w:p>
        </w:tc>
        <w:tc>
          <w:tcPr>
            <w:tcW w:w="7251" w:type="dxa"/>
            <w:tcBorders>
              <w:top w:val="single" w:color="auto" w:sz="4" w:space="0"/>
              <w:left w:val="single" w:color="auto" w:sz="4" w:space="0"/>
              <w:bottom w:val="single" w:color="auto" w:sz="4" w:space="0"/>
              <w:right w:val="single" w:color="auto" w:sz="4" w:space="0"/>
            </w:tcBorders>
            <w:noWrap/>
            <w:vAlign w:val="center"/>
          </w:tcPr>
          <w:p w14:paraId="3FF3BC1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textAlignment w:val="auto"/>
              <w:rPr>
                <w:rFonts w:ascii="宋体" w:hAnsi="宋体" w:cs="宋体"/>
                <w:bCs/>
                <w:color w:val="auto"/>
                <w:szCs w:val="21"/>
                <w:highlight w:val="none"/>
              </w:rPr>
            </w:pP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名，并标明排序。</w:t>
            </w:r>
          </w:p>
        </w:tc>
      </w:tr>
      <w:tr w14:paraId="0948E9B2">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right w:val="single" w:color="auto" w:sz="4" w:space="0"/>
            </w:tcBorders>
            <w:noWrap/>
            <w:vAlign w:val="center"/>
          </w:tcPr>
          <w:p w14:paraId="6CAD3EA1">
            <w:pPr>
              <w:keepNext w:val="0"/>
              <w:keepLines w:val="0"/>
              <w:pageBreakBefore w:val="0"/>
              <w:kinsoku/>
              <w:wordWrap/>
              <w:overflowPunct/>
              <w:autoSpaceDN/>
              <w:bidi w:val="0"/>
              <w:spacing w:line="400" w:lineRule="exact"/>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30</w:t>
            </w:r>
          </w:p>
        </w:tc>
        <w:tc>
          <w:tcPr>
            <w:tcW w:w="2209" w:type="dxa"/>
            <w:gridSpan w:val="2"/>
            <w:tcBorders>
              <w:top w:val="single" w:color="auto" w:sz="4" w:space="0"/>
              <w:left w:val="single" w:color="auto" w:sz="4" w:space="0"/>
              <w:right w:val="single" w:color="auto" w:sz="4" w:space="0"/>
            </w:tcBorders>
            <w:noWrap/>
            <w:vAlign w:val="center"/>
          </w:tcPr>
          <w:p w14:paraId="397DB27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中标候选人公示媒介</w:t>
            </w:r>
          </w:p>
        </w:tc>
        <w:tc>
          <w:tcPr>
            <w:tcW w:w="7251" w:type="dxa"/>
            <w:tcBorders>
              <w:top w:val="single" w:color="auto" w:sz="4" w:space="0"/>
              <w:left w:val="single" w:color="auto" w:sz="4" w:space="0"/>
              <w:right w:val="single" w:color="auto" w:sz="4" w:space="0"/>
            </w:tcBorders>
            <w:noWrap/>
            <w:vAlign w:val="center"/>
          </w:tcPr>
          <w:p w14:paraId="5A01188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公示媒介：同招标公告发布媒介</w:t>
            </w:r>
          </w:p>
          <w:p w14:paraId="62635D2D">
            <w:pPr>
              <w:keepNext w:val="0"/>
              <w:keepLines w:val="0"/>
              <w:pageBreakBefore w:val="0"/>
              <w:kinsoku/>
              <w:wordWrap/>
              <w:overflowPunct/>
              <w:autoSpaceDE/>
              <w:autoSpaceDN/>
              <w:bidi w:val="0"/>
              <w:spacing w:line="400" w:lineRule="exact"/>
              <w:textAlignment w:val="auto"/>
              <w:rPr>
                <w:rFonts w:ascii="宋体" w:hAnsi="宋体" w:cs="宋体"/>
                <w:szCs w:val="21"/>
                <w:highlight w:val="none"/>
              </w:rPr>
            </w:pPr>
            <w:r>
              <w:rPr>
                <w:rFonts w:hint="eastAsia" w:ascii="宋体" w:hAnsi="宋体" w:eastAsia="宋体" w:cs="宋体"/>
                <w:b w:val="0"/>
                <w:bCs w:val="0"/>
                <w:color w:val="auto"/>
                <w:sz w:val="21"/>
                <w:szCs w:val="21"/>
                <w:highlight w:val="none"/>
              </w:rPr>
              <w:t>公示期限：公示发布次日起3日（如公示第三日为休息日或节假日，则顺延至休息日或节假日后第一个工作日）</w:t>
            </w:r>
          </w:p>
        </w:tc>
      </w:tr>
      <w:tr w14:paraId="5598C43A">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right w:val="single" w:color="auto" w:sz="4" w:space="0"/>
            </w:tcBorders>
            <w:noWrap/>
            <w:vAlign w:val="center"/>
          </w:tcPr>
          <w:p w14:paraId="6AF264B2">
            <w:pPr>
              <w:keepNext w:val="0"/>
              <w:keepLines w:val="0"/>
              <w:pageBreakBefore w:val="0"/>
              <w:kinsoku/>
              <w:wordWrap/>
              <w:overflowPunct/>
              <w:autoSpaceDN/>
              <w:bidi w:val="0"/>
              <w:spacing w:line="400" w:lineRule="exact"/>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31</w:t>
            </w:r>
          </w:p>
        </w:tc>
        <w:tc>
          <w:tcPr>
            <w:tcW w:w="2209" w:type="dxa"/>
            <w:gridSpan w:val="2"/>
            <w:tcBorders>
              <w:top w:val="single" w:color="auto" w:sz="4" w:space="0"/>
              <w:left w:val="single" w:color="auto" w:sz="4" w:space="0"/>
              <w:right w:val="single" w:color="auto" w:sz="4" w:space="0"/>
            </w:tcBorders>
            <w:noWrap/>
            <w:vAlign w:val="center"/>
          </w:tcPr>
          <w:p w14:paraId="46AD0919">
            <w:pPr>
              <w:keepNext w:val="0"/>
              <w:keepLines w:val="0"/>
              <w:pageBreakBefore w:val="0"/>
              <w:kinsoku/>
              <w:wordWrap/>
              <w:overflowPunct/>
              <w:autoSpaceDE/>
              <w:autoSpaceDN/>
              <w:bidi w:val="0"/>
              <w:adjustRightInd w:val="0"/>
              <w:snapToGrid w:val="0"/>
              <w:spacing w:line="400" w:lineRule="exact"/>
              <w:textAlignment w:val="auto"/>
              <w:rPr>
                <w:rFonts w:hint="eastAsia" w:ascii="宋体" w:hAnsi="宋体" w:eastAsia="宋体" w:cs="宋体"/>
                <w:color w:val="000000"/>
                <w:kern w:val="2"/>
                <w:sz w:val="21"/>
                <w:szCs w:val="21"/>
                <w:highlight w:val="none"/>
                <w:lang w:val="en-US" w:eastAsia="zh-CN" w:bidi="ar-SA"/>
              </w:rPr>
            </w:pPr>
            <w:r>
              <w:rPr>
                <w:rFonts w:hint="eastAsia"/>
                <w:sz w:val="21"/>
                <w:szCs w:val="21"/>
                <w:highlight w:val="none"/>
              </w:rPr>
              <w:t>中标通知书发出形式</w:t>
            </w:r>
          </w:p>
        </w:tc>
        <w:tc>
          <w:tcPr>
            <w:tcW w:w="7251" w:type="dxa"/>
            <w:tcBorders>
              <w:top w:val="single" w:color="auto" w:sz="4" w:space="0"/>
              <w:left w:val="single" w:color="auto" w:sz="4" w:space="0"/>
              <w:right w:val="single" w:color="auto" w:sz="4" w:space="0"/>
            </w:tcBorders>
            <w:noWrap/>
            <w:vAlign w:val="center"/>
          </w:tcPr>
          <w:p w14:paraId="6F0D809A">
            <w:pPr>
              <w:keepNext w:val="0"/>
              <w:keepLines w:val="0"/>
              <w:pageBreakBefore w:val="0"/>
              <w:widowControl/>
              <w:kinsoku/>
              <w:wordWrap/>
              <w:overflowPunct/>
              <w:autoSpaceDE/>
              <w:autoSpaceDN/>
              <w:bidi w:val="0"/>
              <w:adjustRightInd w:val="0"/>
              <w:snapToGrid w:val="0"/>
              <w:spacing w:line="400" w:lineRule="exact"/>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u w:color="000000"/>
                <w:lang w:val="en-US" w:eastAsia="zh-CN" w:bidi="ar"/>
              </w:rPr>
              <w:t>中标通知书须加盖招标人、招标代理公司公章后发出。</w:t>
            </w:r>
          </w:p>
        </w:tc>
      </w:tr>
      <w:tr w14:paraId="036C355A">
        <w:tblPrEx>
          <w:tblCellMar>
            <w:top w:w="0" w:type="dxa"/>
            <w:left w:w="108" w:type="dxa"/>
            <w:bottom w:w="0" w:type="dxa"/>
            <w:right w:w="108" w:type="dxa"/>
          </w:tblCellMar>
        </w:tblPrEx>
        <w:trPr>
          <w:trHeight w:val="97"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0D4AB66">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BBDAC4D">
            <w:pPr>
              <w:keepNext w:val="0"/>
              <w:keepLines w:val="0"/>
              <w:pageBreakBefore w:val="0"/>
              <w:kinsoku/>
              <w:wordWrap/>
              <w:overflowPunct/>
              <w:autoSpaceDN/>
              <w:bidi w:val="0"/>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履约担保</w:t>
            </w:r>
          </w:p>
        </w:tc>
        <w:tc>
          <w:tcPr>
            <w:tcW w:w="7251" w:type="dxa"/>
            <w:tcBorders>
              <w:top w:val="single" w:color="auto" w:sz="4" w:space="0"/>
              <w:left w:val="single" w:color="auto" w:sz="4" w:space="0"/>
              <w:bottom w:val="single" w:color="auto" w:sz="4" w:space="0"/>
              <w:right w:val="single" w:color="auto" w:sz="4" w:space="0"/>
            </w:tcBorders>
            <w:noWrap/>
            <w:vAlign w:val="center"/>
          </w:tcPr>
          <w:p w14:paraId="7DE27CE1">
            <w:pPr>
              <w:keepNext w:val="0"/>
              <w:keepLines w:val="0"/>
              <w:pageBreakBefore w:val="0"/>
              <w:kinsoku/>
              <w:wordWrap/>
              <w:overflowPunct/>
              <w:autoSpaceDE/>
              <w:autoSpaceDN/>
              <w:bidi w:val="0"/>
              <w:spacing w:line="400" w:lineRule="exact"/>
              <w:textAlignment w:val="auto"/>
              <w:rPr>
                <w:rFonts w:ascii="宋体" w:hAnsi="宋体" w:cs="宋体"/>
                <w:bCs/>
                <w:color w:val="auto"/>
                <w:szCs w:val="21"/>
                <w:highlight w:val="none"/>
              </w:rPr>
            </w:pPr>
            <w:r>
              <w:rPr>
                <w:rFonts w:hint="eastAsia" w:ascii="宋体" w:hAnsi="宋体" w:cs="宋体"/>
                <w:bCs/>
                <w:color w:val="auto"/>
                <w:szCs w:val="21"/>
                <w:highlight w:val="none"/>
              </w:rPr>
              <w:t>履约担保的形式：支持银行转账、银行保函（见索即付无条件保函）使用</w:t>
            </w:r>
          </w:p>
          <w:p w14:paraId="0E19FC21">
            <w:pPr>
              <w:keepNext w:val="0"/>
              <w:keepLines w:val="0"/>
              <w:pageBreakBefore w:val="0"/>
              <w:kinsoku/>
              <w:wordWrap/>
              <w:overflowPunct/>
              <w:autoSpaceDE/>
              <w:autoSpaceDN/>
              <w:bidi w:val="0"/>
              <w:spacing w:line="400" w:lineRule="exact"/>
              <w:textAlignment w:val="auto"/>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rPr>
              <w:t>履约担保的金额：</w:t>
            </w:r>
            <w:r>
              <w:rPr>
                <w:rFonts w:hint="eastAsia" w:ascii="宋体" w:hAnsi="宋体" w:cs="宋体"/>
                <w:color w:val="auto"/>
                <w:sz w:val="21"/>
                <w:szCs w:val="21"/>
                <w:highlight w:val="none"/>
                <w:lang w:val="en-US" w:eastAsia="zh-CN"/>
              </w:rPr>
              <w:t>0.8</w:t>
            </w:r>
            <w:r>
              <w:rPr>
                <w:rFonts w:hint="eastAsia" w:ascii="宋体" w:hAnsi="宋体" w:eastAsia="宋体" w:cs="宋体"/>
                <w:color w:val="auto"/>
                <w:sz w:val="21"/>
                <w:szCs w:val="21"/>
                <w:highlight w:val="none"/>
                <w:lang w:val="en-US" w:eastAsia="zh-CN"/>
              </w:rPr>
              <w:t xml:space="preserve"> </w:t>
            </w:r>
            <w:r>
              <w:rPr>
                <w:rFonts w:hint="eastAsia" w:ascii="宋体" w:hAnsi="宋体" w:cs="宋体"/>
                <w:color w:val="auto"/>
                <w:sz w:val="21"/>
                <w:szCs w:val="21"/>
                <w:highlight w:val="none"/>
                <w:lang w:val="en-US" w:eastAsia="zh-CN"/>
              </w:rPr>
              <w:t>MWP</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中标单价</w:t>
            </w:r>
            <w:r>
              <w:rPr>
                <w:rFonts w:hint="eastAsia" w:ascii="宋体" w:hAnsi="宋体" w:eastAsia="宋体" w:cs="宋体"/>
                <w:bCs/>
                <w:color w:val="auto"/>
                <w:szCs w:val="21"/>
                <w:highlight w:val="none"/>
              </w:rPr>
              <w:t>×</w:t>
            </w:r>
            <w:r>
              <w:rPr>
                <w:rFonts w:hint="eastAsia" w:ascii="宋体" w:hAnsi="宋体" w:cs="宋体"/>
                <w:bCs/>
                <w:color w:val="auto"/>
                <w:szCs w:val="21"/>
                <w:highlight w:val="none"/>
                <w:lang w:val="en-US" w:eastAsia="zh-CN"/>
              </w:rPr>
              <w:t>10</w:t>
            </w:r>
            <w:r>
              <w:rPr>
                <w:rFonts w:hint="eastAsia" w:ascii="宋体" w:hAnsi="宋体" w:eastAsia="宋体" w:cs="宋体"/>
                <w:bCs/>
                <w:color w:val="auto"/>
                <w:szCs w:val="21"/>
                <w:highlight w:val="none"/>
              </w:rPr>
              <w:t>%</w:t>
            </w:r>
          </w:p>
          <w:p w14:paraId="75D5CE81">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收款单位：中标后另行通知                 </w:t>
            </w:r>
          </w:p>
          <w:p w14:paraId="6E421476">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开户银行：中标后另行通知                   </w:t>
            </w:r>
          </w:p>
          <w:p w14:paraId="6C426B8C">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银行账号：中标后另行通知                   </w:t>
            </w:r>
          </w:p>
          <w:p w14:paraId="25CA370D">
            <w:pPr>
              <w:spacing w:line="4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缴纳时限：中标人须在中标通知书发出后30日内完成履约保证金缴纳及合同签订（先缴纳履约保证金后签订合同）。中标单位原因造成合同延期签订的，延期签订情节严重的，招标人有权取消其中标资格。并承担给招标人造成的损失，同时依法承担相应法律责任。   </w:t>
            </w:r>
          </w:p>
          <w:p w14:paraId="1AE7A169">
            <w:pPr>
              <w:spacing w:line="4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履约保证金退还时限：履约保证金在工程竣工验收合格后一个月内无息退还。</w:t>
            </w:r>
          </w:p>
          <w:p w14:paraId="286497AF">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其他相关要求：</w:t>
            </w:r>
          </w:p>
          <w:p w14:paraId="3DBA7C3A">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ascii="宋体" w:hAnsi="宋体" w:cs="宋体"/>
                <w:color w:val="auto"/>
                <w:szCs w:val="21"/>
                <w:highlight w:val="none"/>
              </w:rPr>
            </w:pPr>
            <w:r>
              <w:rPr>
                <w:rFonts w:hint="eastAsia" w:ascii="宋体" w:hAnsi="宋体" w:eastAsia="宋体" w:cs="宋体"/>
                <w:color w:val="auto"/>
                <w:sz w:val="21"/>
                <w:szCs w:val="21"/>
                <w:highlight w:val="none"/>
                <w:lang w:val="en-US" w:eastAsia="zh-CN"/>
              </w:rPr>
              <w:t>采用银行保函的具体要求:按招标人要求提供</w:t>
            </w:r>
            <w:r>
              <w:rPr>
                <w:rFonts w:hint="eastAsia" w:cs="宋体"/>
                <w:color w:val="auto"/>
                <w:sz w:val="21"/>
                <w:szCs w:val="21"/>
                <w:highlight w:val="none"/>
                <w:lang w:val="en-US" w:eastAsia="zh-CN"/>
              </w:rPr>
              <w:t>。</w:t>
            </w:r>
          </w:p>
        </w:tc>
      </w:tr>
      <w:tr w14:paraId="35ED23DA">
        <w:tblPrEx>
          <w:tblCellMar>
            <w:top w:w="0" w:type="dxa"/>
            <w:left w:w="108" w:type="dxa"/>
            <w:bottom w:w="0" w:type="dxa"/>
            <w:right w:w="108" w:type="dxa"/>
          </w:tblCellMar>
        </w:tblPrEx>
        <w:trPr>
          <w:trHeight w:val="97"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0D14238">
            <w:pPr>
              <w:keepNext w:val="0"/>
              <w:keepLines w:val="0"/>
              <w:pageBreakBefore w:val="0"/>
              <w:kinsoku/>
              <w:wordWrap/>
              <w:overflowPunct/>
              <w:autoSpaceDN/>
              <w:bidi w:val="0"/>
              <w:spacing w:line="400" w:lineRule="exact"/>
              <w:jc w:val="center"/>
              <w:textAlignment w:val="auto"/>
              <w:rPr>
                <w:rFonts w:hint="default" w:ascii="宋体" w:hAnsi="宋体" w:cs="宋体"/>
                <w:szCs w:val="21"/>
                <w:highlight w:val="none"/>
                <w:lang w:val="en-US" w:eastAsia="zh-CN"/>
              </w:rPr>
            </w:pPr>
            <w:r>
              <w:rPr>
                <w:rFonts w:hint="eastAsia" w:ascii="宋体" w:hAnsi="宋体" w:cs="宋体"/>
                <w:szCs w:val="21"/>
                <w:highlight w:val="none"/>
                <w:lang w:val="en-US" w:eastAsia="zh-CN"/>
              </w:rPr>
              <w:t>33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E77DE9E">
            <w:pPr>
              <w:adjustRightInd w:val="0"/>
              <w:snapToGrid w:val="0"/>
              <w:spacing w:line="560" w:lineRule="exact"/>
              <w:jc w:val="center"/>
              <w:rPr>
                <w:rFonts w:hint="eastAsia" w:ascii="宋体" w:hAnsi="宋体" w:cs="宋体"/>
                <w:color w:val="auto"/>
                <w:szCs w:val="21"/>
                <w:highlight w:val="none"/>
              </w:rPr>
            </w:pPr>
            <w:r>
              <w:rPr>
                <w:rFonts w:hint="eastAsia"/>
                <w:color w:val="000000"/>
                <w:sz w:val="24"/>
                <w:highlight w:val="none"/>
              </w:rPr>
              <w:t>签订合同</w:t>
            </w:r>
          </w:p>
        </w:tc>
        <w:tc>
          <w:tcPr>
            <w:tcW w:w="7251" w:type="dxa"/>
            <w:tcBorders>
              <w:top w:val="single" w:color="auto" w:sz="4" w:space="0"/>
              <w:left w:val="single" w:color="auto" w:sz="4" w:space="0"/>
              <w:bottom w:val="single" w:color="auto" w:sz="4" w:space="0"/>
              <w:right w:val="single" w:color="auto" w:sz="4" w:space="0"/>
            </w:tcBorders>
            <w:noWrap/>
            <w:vAlign w:val="top"/>
          </w:tcPr>
          <w:p w14:paraId="3C6915AB">
            <w:pPr>
              <w:keepNext w:val="0"/>
              <w:keepLines w:val="0"/>
              <w:pageBreakBefore w:val="0"/>
              <w:kinsoku/>
              <w:wordWrap/>
              <w:overflowPunct/>
              <w:autoSpaceDE/>
              <w:autoSpaceDN/>
              <w:bidi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szCs w:val="21"/>
                <w:highlight w:val="none"/>
              </w:rPr>
              <w:t>中标通知书发出之日起</w:t>
            </w:r>
            <w:r>
              <w:rPr>
                <w:rFonts w:hint="eastAsia" w:ascii="宋体" w:hAnsi="宋体" w:cs="宋体"/>
                <w:bCs/>
                <w:color w:val="auto"/>
                <w:szCs w:val="21"/>
                <w:highlight w:val="none"/>
                <w:u w:val="single"/>
                <w:lang w:val="en-US" w:eastAsia="zh-CN"/>
              </w:rPr>
              <w:t>7</w:t>
            </w:r>
            <w:r>
              <w:rPr>
                <w:rFonts w:hint="eastAsia" w:ascii="宋体" w:hAnsi="宋体" w:eastAsia="宋体" w:cs="宋体"/>
                <w:bCs/>
                <w:color w:val="auto"/>
                <w:szCs w:val="21"/>
                <w:highlight w:val="none"/>
              </w:rPr>
              <w:t>日内，应委派代表与招标人联系并商讨书面合同签订事宜。中标人和招标人应在投标有效期内以及中标通知书发出之日起30日内，根据招标文件和中标人的投标文件订立书面合同。</w:t>
            </w:r>
          </w:p>
        </w:tc>
      </w:tr>
      <w:tr w14:paraId="1717AE69">
        <w:tblPrEx>
          <w:tblCellMar>
            <w:top w:w="0" w:type="dxa"/>
            <w:left w:w="108" w:type="dxa"/>
            <w:bottom w:w="0" w:type="dxa"/>
            <w:right w:w="108" w:type="dxa"/>
          </w:tblCellMar>
        </w:tblPrEx>
        <w:trPr>
          <w:trHeight w:val="9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4FFCA40">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9E6E11B">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eastAsia="宋体" w:cs="宋体"/>
                <w:b/>
                <w:bCs/>
                <w:color w:val="auto"/>
                <w:sz w:val="21"/>
                <w:szCs w:val="21"/>
                <w:highlight w:val="none"/>
              </w:rPr>
              <w:t>付款方式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37A6AEE1">
            <w:pPr>
              <w:keepNext w:val="0"/>
              <w:keepLines w:val="0"/>
              <w:pageBreakBefore w:val="0"/>
              <w:kinsoku/>
              <w:wordWrap/>
              <w:overflowPunct/>
              <w:autoSpaceDE/>
              <w:autoSpaceDN/>
              <w:bidi w:val="0"/>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bCs/>
                <w:color w:val="auto"/>
                <w:szCs w:val="21"/>
                <w:highlight w:val="none"/>
                <w:lang w:val="en-US" w:eastAsia="zh-CN"/>
              </w:rPr>
              <w:t>在具备施工条件的前提下，发包人在合同签订后一个月内或不迟于约定的开工日期前 7 天内预付工程款为合同总价（扣除暂列金额）的10%；完成全容量并网</w:t>
            </w:r>
            <w:r>
              <w:rPr>
                <w:rFonts w:hint="eastAsia" w:ascii="宋体" w:hAnsi="宋体" w:cs="宋体"/>
                <w:bCs/>
                <w:color w:val="auto"/>
                <w:szCs w:val="21"/>
                <w:highlight w:val="none"/>
                <w:lang w:val="en-US" w:eastAsia="zh-CN"/>
              </w:rPr>
              <w:t>支付至</w:t>
            </w:r>
            <w:r>
              <w:rPr>
                <w:rFonts w:hint="eastAsia" w:ascii="宋体" w:hAnsi="宋体" w:eastAsia="宋体" w:cs="宋体"/>
                <w:bCs/>
                <w:color w:val="auto"/>
                <w:szCs w:val="21"/>
                <w:highlight w:val="none"/>
                <w:lang w:val="en-US" w:eastAsia="zh-CN"/>
              </w:rPr>
              <w:t>合同总价（扣除暂列金额）的</w:t>
            </w:r>
            <w:r>
              <w:rPr>
                <w:rFonts w:hint="eastAsia" w:ascii="宋体" w:hAnsi="宋体" w:cs="宋体"/>
                <w:bCs/>
                <w:color w:val="auto"/>
                <w:szCs w:val="21"/>
                <w:highlight w:val="none"/>
                <w:lang w:val="en-US" w:eastAsia="zh-CN"/>
              </w:rPr>
              <w:t>50%；</w:t>
            </w:r>
            <w:r>
              <w:rPr>
                <w:rFonts w:hint="eastAsia" w:ascii="宋体" w:hAnsi="宋体" w:eastAsia="宋体" w:cs="宋体"/>
                <w:bCs/>
                <w:color w:val="auto"/>
                <w:szCs w:val="21"/>
                <w:highlight w:val="none"/>
                <w:lang w:val="en-US" w:eastAsia="zh-CN"/>
              </w:rPr>
              <w:t>工程</w:t>
            </w:r>
            <w:r>
              <w:rPr>
                <w:rFonts w:hint="eastAsia" w:ascii="宋体" w:hAnsi="宋体" w:cs="宋体"/>
                <w:bCs/>
                <w:color w:val="auto"/>
                <w:szCs w:val="21"/>
                <w:highlight w:val="none"/>
                <w:lang w:val="en-US" w:eastAsia="zh-CN"/>
              </w:rPr>
              <w:t>竣工验收</w:t>
            </w:r>
            <w:r>
              <w:rPr>
                <w:rFonts w:hint="eastAsia" w:ascii="宋体" w:hAnsi="宋体" w:eastAsia="宋体" w:cs="宋体"/>
                <w:bCs/>
                <w:color w:val="auto"/>
                <w:szCs w:val="21"/>
                <w:highlight w:val="none"/>
                <w:lang w:val="en-US" w:eastAsia="zh-CN"/>
              </w:rPr>
              <w:t>结算审核完成并经复核后付至复核价款的</w:t>
            </w:r>
            <w:r>
              <w:rPr>
                <w:rFonts w:hint="default" w:ascii="宋体" w:hAnsi="宋体" w:eastAsia="宋体" w:cs="宋体"/>
                <w:bCs/>
                <w:color w:val="auto"/>
                <w:szCs w:val="21"/>
                <w:highlight w:val="none"/>
                <w:lang w:val="en-US" w:eastAsia="zh-CN"/>
              </w:rPr>
              <w:t>9</w:t>
            </w:r>
            <w:r>
              <w:rPr>
                <w:rFonts w:hint="eastAsia" w:ascii="宋体" w:hAnsi="宋体" w:cs="宋体"/>
                <w:bCs/>
                <w:color w:val="auto"/>
                <w:szCs w:val="21"/>
                <w:highlight w:val="none"/>
                <w:lang w:val="en-US" w:eastAsia="zh-CN"/>
              </w:rPr>
              <w:t>7</w:t>
            </w:r>
            <w:r>
              <w:rPr>
                <w:rFonts w:hint="default" w:ascii="宋体" w:hAnsi="宋体" w:eastAsia="宋体" w:cs="宋体"/>
                <w:bCs/>
                <w:color w:val="auto"/>
                <w:szCs w:val="21"/>
                <w:highlight w:val="none"/>
                <w:lang w:val="en-US" w:eastAsia="zh-CN"/>
              </w:rPr>
              <w:t>%</w:t>
            </w:r>
            <w:r>
              <w:rPr>
                <w:rFonts w:hint="eastAsia" w:ascii="宋体" w:hAnsi="宋体" w:cs="宋体"/>
                <w:bCs/>
                <w:color w:val="auto"/>
                <w:szCs w:val="21"/>
                <w:highlight w:val="none"/>
                <w:lang w:val="en-US" w:eastAsia="zh-CN"/>
              </w:rPr>
              <w:t>；</w:t>
            </w:r>
            <w:r>
              <w:rPr>
                <w:rFonts w:hint="eastAsia" w:ascii="宋体" w:hAnsi="宋体" w:eastAsia="宋体" w:cs="宋体"/>
                <w:bCs/>
                <w:color w:val="auto"/>
                <w:szCs w:val="21"/>
                <w:highlight w:val="none"/>
                <w:lang w:val="en-US" w:eastAsia="zh-CN"/>
              </w:rPr>
              <w:t>剩余</w:t>
            </w:r>
            <w:r>
              <w:rPr>
                <w:rFonts w:hint="eastAsia" w:ascii="宋体" w:hAnsi="宋体" w:cs="宋体"/>
                <w:bCs/>
                <w:color w:val="auto"/>
                <w:szCs w:val="21"/>
                <w:highlight w:val="none"/>
                <w:lang w:val="en-US" w:eastAsia="zh-CN"/>
              </w:rPr>
              <w:t>3</w:t>
            </w:r>
            <w:r>
              <w:rPr>
                <w:rFonts w:hint="default" w:ascii="宋体" w:hAnsi="宋体" w:eastAsia="宋体" w:cs="宋体"/>
                <w:bCs/>
                <w:color w:val="auto"/>
                <w:szCs w:val="21"/>
                <w:highlight w:val="none"/>
                <w:lang w:val="en-US" w:eastAsia="zh-CN"/>
              </w:rPr>
              <w:t>%</w:t>
            </w:r>
            <w:r>
              <w:rPr>
                <w:rFonts w:hint="eastAsia" w:ascii="宋体" w:hAnsi="宋体" w:eastAsia="宋体" w:cs="宋体"/>
                <w:bCs/>
                <w:color w:val="auto"/>
                <w:szCs w:val="21"/>
                <w:highlight w:val="none"/>
                <w:lang w:val="en-US" w:eastAsia="zh-CN"/>
              </w:rPr>
              <w:t xml:space="preserve">作为质保金，工程缺陷责任期 </w:t>
            </w:r>
            <w:r>
              <w:rPr>
                <w:rFonts w:hint="default" w:ascii="宋体" w:hAnsi="宋体" w:eastAsia="宋体" w:cs="宋体"/>
                <w:bCs/>
                <w:color w:val="auto"/>
                <w:szCs w:val="21"/>
                <w:highlight w:val="none"/>
                <w:lang w:val="en-US" w:eastAsia="zh-CN"/>
              </w:rPr>
              <w:t>(</w:t>
            </w:r>
            <w:r>
              <w:rPr>
                <w:rFonts w:hint="eastAsia" w:ascii="宋体" w:hAnsi="宋体" w:eastAsia="宋体" w:cs="宋体"/>
                <w:bCs/>
                <w:color w:val="auto"/>
                <w:szCs w:val="21"/>
                <w:highlight w:val="none"/>
                <w:lang w:val="en-US" w:eastAsia="zh-CN"/>
              </w:rPr>
              <w:t>自竣工验收合格之日起满2年</w:t>
            </w:r>
            <w:r>
              <w:rPr>
                <w:rFonts w:hint="default" w:ascii="宋体" w:hAnsi="宋体" w:eastAsia="宋体" w:cs="宋体"/>
                <w:bCs/>
                <w:color w:val="auto"/>
                <w:szCs w:val="21"/>
                <w:highlight w:val="none"/>
                <w:lang w:val="en-US" w:eastAsia="zh-CN"/>
              </w:rPr>
              <w:t>)</w:t>
            </w:r>
            <w:r>
              <w:rPr>
                <w:rFonts w:hint="eastAsia" w:ascii="宋体" w:hAnsi="宋体" w:eastAsia="宋体" w:cs="宋体"/>
                <w:bCs/>
                <w:color w:val="auto"/>
                <w:szCs w:val="21"/>
                <w:highlight w:val="none"/>
                <w:lang w:val="en-US" w:eastAsia="zh-CN"/>
              </w:rPr>
              <w:t>满后付清余款。质量保证金支持保函（银行保函）使用。采用保函的不再从工程进度款中扣留质量保证金，保函有效期须与工程缺陷责任期截止时间保持一致。</w:t>
            </w:r>
          </w:p>
        </w:tc>
      </w:tr>
      <w:tr w14:paraId="7129CE18">
        <w:tblPrEx>
          <w:tblCellMar>
            <w:top w:w="0" w:type="dxa"/>
            <w:left w:w="108" w:type="dxa"/>
            <w:bottom w:w="0" w:type="dxa"/>
            <w:right w:w="108" w:type="dxa"/>
          </w:tblCellMar>
        </w:tblPrEx>
        <w:trPr>
          <w:trHeight w:val="90" w:hRule="atLeast"/>
          <w:jc w:val="center"/>
        </w:trPr>
        <w:tc>
          <w:tcPr>
            <w:tcW w:w="10328" w:type="dxa"/>
            <w:gridSpan w:val="4"/>
            <w:tcBorders>
              <w:top w:val="single" w:color="auto" w:sz="4" w:space="0"/>
              <w:left w:val="single" w:color="auto" w:sz="4" w:space="0"/>
              <w:bottom w:val="single" w:color="auto" w:sz="4" w:space="0"/>
              <w:right w:val="single" w:color="auto" w:sz="4" w:space="0"/>
            </w:tcBorders>
            <w:noWrap/>
            <w:vAlign w:val="center"/>
          </w:tcPr>
          <w:p w14:paraId="3E3A6409">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需要补充的其他内容</w:t>
            </w:r>
          </w:p>
        </w:tc>
      </w:tr>
      <w:tr w14:paraId="2AA9094C">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11490EC4">
            <w:pPr>
              <w:keepNext w:val="0"/>
              <w:keepLines w:val="0"/>
              <w:pageBreakBefore w:val="0"/>
              <w:kinsoku/>
              <w:wordWrap/>
              <w:overflowPunct/>
              <w:autoSpaceDN/>
              <w:bidi w:val="0"/>
              <w:adjustRightInd w:val="0"/>
              <w:snapToGrid w:val="0"/>
              <w:spacing w:line="400" w:lineRule="exact"/>
              <w:jc w:val="center"/>
              <w:textAlignment w:val="auto"/>
              <w:rPr>
                <w:rFonts w:ascii="宋体" w:hAnsi="宋体" w:cs="宋体"/>
                <w:szCs w:val="21"/>
                <w:highlight w:val="none"/>
              </w:rPr>
            </w:pPr>
            <w:r>
              <w:rPr>
                <w:rFonts w:hint="eastAsia" w:ascii="宋体" w:hAnsi="宋体" w:cs="宋体"/>
                <w:color w:val="auto"/>
                <w:sz w:val="21"/>
                <w:szCs w:val="21"/>
                <w:highlight w:val="none"/>
              </w:rPr>
              <w:t>招标代理服务费</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2B12792">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cs="宋体"/>
                <w:kern w:val="0"/>
                <w:szCs w:val="21"/>
                <w:highlight w:val="none"/>
              </w:rPr>
            </w:pPr>
            <w:r>
              <w:rPr>
                <w:rFonts w:hint="eastAsia" w:ascii="宋体" w:hAnsi="宋体" w:cs="宋体"/>
                <w:kern w:val="0"/>
                <w:szCs w:val="21"/>
                <w:highlight w:val="none"/>
              </w:rPr>
              <w:t>代理服务具体金额：</w:t>
            </w:r>
            <w:r>
              <w:rPr>
                <w:rFonts w:hint="eastAsia" w:ascii="宋体" w:hAnsi="宋体" w:cs="宋体"/>
                <w:kern w:val="0"/>
                <w:szCs w:val="21"/>
                <w:highlight w:val="none"/>
                <w:lang w:val="en-US" w:eastAsia="zh-CN"/>
              </w:rPr>
              <w:t>7940</w:t>
            </w:r>
            <w:r>
              <w:rPr>
                <w:rFonts w:hint="eastAsia" w:ascii="宋体" w:hAnsi="宋体" w:cs="宋体"/>
                <w:kern w:val="0"/>
                <w:szCs w:val="21"/>
                <w:highlight w:val="none"/>
              </w:rPr>
              <w:t>元。</w:t>
            </w:r>
          </w:p>
          <w:p w14:paraId="7550C2A5">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szCs w:val="21"/>
                <w:highlight w:val="none"/>
              </w:rPr>
            </w:pPr>
            <w:r>
              <w:rPr>
                <w:rFonts w:hint="eastAsia" w:ascii="宋体" w:hAnsi="宋体" w:cs="宋体"/>
                <w:kern w:val="0"/>
                <w:szCs w:val="21"/>
                <w:highlight w:val="none"/>
              </w:rPr>
              <w:t>代理服务费支付主体：由中标单位在领取中标通知书时，一次性支付给代理机构。</w:t>
            </w:r>
          </w:p>
        </w:tc>
      </w:tr>
      <w:tr w14:paraId="0E8F1554">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0B3101E2">
            <w:pPr>
              <w:keepNext w:val="0"/>
              <w:keepLines w:val="0"/>
              <w:pageBreakBefore w:val="0"/>
              <w:kinsoku/>
              <w:wordWrap/>
              <w:overflowPunct/>
              <w:autoSpaceDN/>
              <w:bidi w:val="0"/>
              <w:adjustRightInd w:val="0"/>
              <w:snapToGrid w:val="0"/>
              <w:spacing w:line="400" w:lineRule="exact"/>
              <w:jc w:val="center"/>
              <w:textAlignment w:val="auto"/>
              <w:rPr>
                <w:rFonts w:hint="eastAsia" w:ascii="宋体" w:hAnsi="宋体" w:cs="宋体"/>
                <w:szCs w:val="21"/>
                <w:highlight w:val="none"/>
              </w:rPr>
            </w:pPr>
            <w:r>
              <w:rPr>
                <w:rFonts w:hint="eastAsia" w:ascii="宋体" w:hAnsi="宋体" w:cs="宋体"/>
                <w:color w:val="auto"/>
                <w:sz w:val="21"/>
                <w:szCs w:val="21"/>
                <w:highlight w:val="none"/>
              </w:rPr>
              <w:t>专家评审劳务费</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F5FAE4A">
            <w:pPr>
              <w:keepNext w:val="0"/>
              <w:keepLines w:val="0"/>
              <w:pageBreakBefore w:val="0"/>
              <w:kinsoku/>
              <w:wordWrap/>
              <w:overflowPunct/>
              <w:autoSpaceDN/>
              <w:bidi w:val="0"/>
              <w:adjustRightInd w:val="0"/>
              <w:snapToGrid w:val="0"/>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费用或支付标准：</w:t>
            </w:r>
            <w:r>
              <w:rPr>
                <w:rFonts w:hint="eastAsia" w:ascii="宋体" w:hAnsi="宋体" w:cs="宋体"/>
                <w:color w:val="auto"/>
                <w:sz w:val="21"/>
                <w:szCs w:val="21"/>
                <w:highlight w:val="none"/>
                <w:lang w:val="en-US" w:eastAsia="zh-CN"/>
              </w:rPr>
              <w:t>以实际发生为准。</w:t>
            </w:r>
          </w:p>
          <w:p w14:paraId="0376B137">
            <w:pPr>
              <w:keepNext w:val="0"/>
              <w:keepLines w:val="0"/>
              <w:pageBreakBefore w:val="0"/>
              <w:kinsoku/>
              <w:wordWrap/>
              <w:overflowPunct/>
              <w:topLinePunct w:val="0"/>
              <w:autoSpaceDE/>
              <w:autoSpaceDN/>
              <w:bidi w:val="0"/>
              <w:adjustRightInd/>
              <w:snapToGrid/>
              <w:spacing w:line="400" w:lineRule="exact"/>
              <w:textAlignment w:val="auto"/>
              <w:rPr>
                <w:rFonts w:hint="default" w:ascii="宋体" w:hAnsi="宋体" w:cs="宋体"/>
                <w:kern w:val="0"/>
                <w:szCs w:val="21"/>
                <w:highlight w:val="none"/>
                <w:lang w:val="en-US"/>
              </w:rPr>
            </w:pPr>
            <w:r>
              <w:rPr>
                <w:rFonts w:hint="eastAsia"/>
                <w:color w:val="auto"/>
                <w:sz w:val="21"/>
                <w:szCs w:val="21"/>
                <w:highlight w:val="none"/>
              </w:rPr>
              <w:t>支付主体：</w:t>
            </w:r>
            <w:r>
              <w:rPr>
                <w:rFonts w:hint="eastAsia" w:cs="Times New Roman"/>
                <w:color w:val="auto"/>
                <w:sz w:val="21"/>
                <w:szCs w:val="21"/>
                <w:highlight w:val="none"/>
                <w:lang w:val="en-US" w:eastAsia="zh-CN"/>
              </w:rPr>
              <w:t>中标单位。</w:t>
            </w:r>
          </w:p>
        </w:tc>
      </w:tr>
      <w:tr w14:paraId="781A0BAA">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21B8C00A">
            <w:pPr>
              <w:adjustRightInd w:val="0"/>
              <w:snapToGrid w:val="0"/>
              <w:spacing w:line="500" w:lineRule="exact"/>
              <w:jc w:val="center"/>
              <w:rPr>
                <w:rFonts w:hint="eastAsia" w:ascii="宋体" w:hAnsi="宋体" w:cs="宋体"/>
                <w:color w:val="auto"/>
                <w:sz w:val="21"/>
                <w:szCs w:val="21"/>
                <w:highlight w:val="none"/>
              </w:rPr>
            </w:pPr>
            <w:r>
              <w:rPr>
                <w:rFonts w:hint="eastAsia" w:ascii="宋体" w:hAnsi="宋体" w:cs="宋体"/>
                <w:bCs/>
                <w:snapToGrid w:val="0"/>
                <w:color w:val="auto"/>
                <w:kern w:val="0"/>
                <w:szCs w:val="21"/>
                <w:highlight w:val="none"/>
              </w:rPr>
              <w:t>电子招投标</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1E3556BD">
            <w:pPr>
              <w:adjustRightInd w:val="0"/>
              <w:snapToGrid w:val="0"/>
              <w:spacing w:line="500" w:lineRule="exact"/>
              <w:rPr>
                <w:rFonts w:hint="eastAsia"/>
                <w:color w:val="auto"/>
                <w:sz w:val="21"/>
                <w:szCs w:val="21"/>
                <w:highlight w:val="none"/>
              </w:rPr>
            </w:pPr>
            <w:r>
              <w:rPr>
                <w:rFonts w:hint="eastAsia" w:ascii="宋体" w:hAnsi="宋体" w:cs="宋体"/>
                <w:bCs/>
                <w:snapToGrid w:val="0"/>
                <w:color w:val="auto"/>
                <w:kern w:val="0"/>
                <w:szCs w:val="21"/>
                <w:highlight w:val="none"/>
              </w:rPr>
              <w:t>本项目采用电子招标投标方式。</w:t>
            </w:r>
          </w:p>
        </w:tc>
      </w:tr>
      <w:tr w14:paraId="145A4C4A">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4B8D8722">
            <w:pPr>
              <w:adjustRightInd w:val="0"/>
              <w:snapToGrid w:val="0"/>
              <w:spacing w:line="500" w:lineRule="exact"/>
              <w:jc w:val="center"/>
              <w:rPr>
                <w:rFonts w:hint="eastAsia" w:ascii="宋体" w:hAnsi="宋体" w:cs="宋体"/>
                <w:color w:val="auto"/>
                <w:sz w:val="21"/>
                <w:szCs w:val="21"/>
                <w:highlight w:val="none"/>
              </w:rPr>
            </w:pPr>
            <w:r>
              <w:rPr>
                <w:rFonts w:hint="eastAsia" w:ascii="宋体" w:hAnsi="宋体" w:cs="宋体"/>
                <w:bCs/>
                <w:snapToGrid w:val="0"/>
                <w:color w:val="auto"/>
                <w:kern w:val="0"/>
                <w:szCs w:val="21"/>
                <w:highlight w:val="none"/>
              </w:rPr>
              <w:t>图纸获取说明</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68FD83EE">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kern w:val="0"/>
                <w:szCs w:val="21"/>
                <w:highlight w:val="none"/>
              </w:rPr>
            </w:pPr>
            <w:r>
              <w:rPr>
                <w:rFonts w:hint="eastAsia" w:ascii="宋体" w:hAnsi="宋体" w:eastAsia="宋体" w:cs="宋体"/>
                <w:kern w:val="0"/>
                <w:szCs w:val="21"/>
                <w:highlight w:val="none"/>
              </w:rPr>
              <w:t>通过</w:t>
            </w:r>
            <w:r>
              <w:rPr>
                <w:rFonts w:hint="eastAsia" w:ascii="宋体" w:hAnsi="宋体" w:eastAsia="宋体" w:cs="宋体"/>
                <w:kern w:val="0"/>
                <w:szCs w:val="21"/>
                <w:highlight w:val="none"/>
                <w:lang w:eastAsia="zh-CN"/>
              </w:rPr>
              <w:t>滁州市城投工程咨询管理有限公司</w:t>
            </w:r>
            <w:r>
              <w:rPr>
                <w:rFonts w:hint="eastAsia" w:ascii="宋体" w:hAnsi="宋体" w:eastAsia="宋体" w:cs="宋体"/>
                <w:kern w:val="0"/>
                <w:szCs w:val="21"/>
                <w:highlight w:val="none"/>
              </w:rPr>
              <w:t>网站发布，投标人应自行下载。</w:t>
            </w:r>
            <w:r>
              <w:rPr>
                <w:rFonts w:hint="eastAsia" w:ascii="宋体" w:hAnsi="宋体" w:eastAsia="宋体" w:cs="宋体"/>
                <w:kern w:val="0"/>
                <w:szCs w:val="21"/>
                <w:highlight w:val="none"/>
                <w:lang w:eastAsia="zh-CN"/>
              </w:rPr>
              <w:t>投标人应当及时登录滁州市城投工程咨询管理有限公司网站查看。</w:t>
            </w:r>
          </w:p>
        </w:tc>
      </w:tr>
      <w:tr w14:paraId="08ADA3C3">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38250C29">
            <w:pPr>
              <w:adjustRightInd w:val="0"/>
              <w:snapToGrid w:val="0"/>
              <w:spacing w:line="500" w:lineRule="exact"/>
              <w:jc w:val="center"/>
              <w:rPr>
                <w:rFonts w:hint="eastAsia"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rPr>
              <w:t>获取与查看通知</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2CED81C">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kern w:val="0"/>
                <w:szCs w:val="21"/>
                <w:highlight w:val="none"/>
              </w:rPr>
            </w:pPr>
            <w:r>
              <w:rPr>
                <w:rFonts w:hint="eastAsia" w:ascii="宋体" w:hAnsi="宋体" w:eastAsia="宋体" w:cs="宋体"/>
                <w:kern w:val="0"/>
                <w:szCs w:val="21"/>
                <w:highlight w:val="none"/>
                <w:lang w:eastAsia="zh-CN"/>
              </w:rPr>
              <w:t>本项目的招标文件、工程量清单、最高投标限价、澄清及修改等相关资料均通过滁州市城投工程咨询管理有限公司网站发布，投标人应自行下载。投标人应当及时登录滁州市城投工程咨询管理有限公司网站查看。</w:t>
            </w:r>
          </w:p>
        </w:tc>
      </w:tr>
      <w:tr w14:paraId="0533584B">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5C774CFE">
            <w:pPr>
              <w:keepNext w:val="0"/>
              <w:keepLines w:val="0"/>
              <w:pageBreakBefore w:val="0"/>
              <w:kinsoku/>
              <w:wordWrap/>
              <w:overflowPunct/>
              <w:autoSpaceDN/>
              <w:bidi w:val="0"/>
              <w:adjustRightInd w:val="0"/>
              <w:snapToGrid w:val="0"/>
              <w:spacing w:line="400" w:lineRule="exact"/>
              <w:jc w:val="center"/>
              <w:textAlignment w:val="auto"/>
              <w:rPr>
                <w:rFonts w:hint="eastAsia" w:ascii="宋体" w:hAnsi="宋体" w:cs="宋体"/>
                <w:color w:val="auto"/>
                <w:sz w:val="21"/>
                <w:szCs w:val="21"/>
                <w:highlight w:val="none"/>
              </w:rPr>
            </w:pPr>
            <w:r>
              <w:rPr>
                <w:rFonts w:hint="eastAsia" w:ascii="宋体" w:hAnsi="宋体" w:eastAsia="宋体" w:cs="宋体"/>
                <w:color w:val="auto"/>
                <w:sz w:val="21"/>
                <w:szCs w:val="21"/>
                <w:highlight w:val="none"/>
              </w:rPr>
              <w:t>主要材料要求</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3654F7CA">
            <w:pPr>
              <w:keepNext w:val="0"/>
              <w:keepLines w:val="0"/>
              <w:pageBreakBefore w:val="0"/>
              <w:kinsoku/>
              <w:wordWrap/>
              <w:overflowPunct/>
              <w:autoSpaceDN/>
              <w:bidi w:val="0"/>
              <w:adjustRightInd w:val="0"/>
              <w:snapToGrid w:val="0"/>
              <w:spacing w:line="400" w:lineRule="exact"/>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rPr>
              <w:t>主要材料由中标人自行采购</w:t>
            </w:r>
            <w:r>
              <w:rPr>
                <w:rFonts w:hint="eastAsia" w:ascii="宋体" w:hAnsi="宋体" w:cs="宋体"/>
                <w:color w:val="auto"/>
                <w:sz w:val="21"/>
                <w:szCs w:val="21"/>
                <w:highlight w:val="none"/>
                <w:lang w:val="en-US" w:eastAsia="zh-CN"/>
              </w:rPr>
              <w:t>，应满足工程质量要求，经监理和业主许可后进场。</w:t>
            </w:r>
          </w:p>
          <w:p w14:paraId="1D77C24F">
            <w:pPr>
              <w:keepNext w:val="0"/>
              <w:keepLines w:val="0"/>
              <w:pageBreakBefore w:val="0"/>
              <w:kinsoku/>
              <w:wordWrap/>
              <w:overflowPunct/>
              <w:autoSpaceDN/>
              <w:bidi w:val="0"/>
              <w:adjustRightInd w:val="0"/>
              <w:snapToGrid w:val="0"/>
              <w:spacing w:line="400" w:lineRule="exact"/>
              <w:textAlignment w:val="auto"/>
              <w:rPr>
                <w:rFonts w:hint="eastAsia" w:ascii="宋体" w:hAnsi="宋体" w:cs="宋体"/>
                <w:color w:val="auto"/>
                <w:sz w:val="21"/>
                <w:szCs w:val="21"/>
                <w:highlight w:val="none"/>
                <w:lang w:val="en-US" w:eastAsia="zh-CN"/>
              </w:rPr>
            </w:pPr>
            <w:r>
              <w:rPr>
                <w:rFonts w:hint="eastAsia" w:ascii="宋体" w:hAnsi="宋体" w:eastAsia="宋体" w:cs="宋体"/>
                <w:bCs/>
                <w:snapToGrid w:val="0"/>
                <w:color w:val="auto"/>
                <w:kern w:val="0"/>
                <w:sz w:val="21"/>
                <w:szCs w:val="21"/>
                <w:highlight w:val="none"/>
                <w:lang w:val="en-US"/>
              </w:rPr>
              <w:t>如招标人对主要材料、设备的技术性能指标有特殊要求，应在招标文件第</w:t>
            </w:r>
            <w:r>
              <w:rPr>
                <w:rFonts w:hint="eastAsia" w:ascii="宋体" w:hAnsi="宋体" w:eastAsia="宋体" w:cs="宋体"/>
                <w:bCs/>
                <w:snapToGrid w:val="0"/>
                <w:color w:val="auto"/>
                <w:kern w:val="0"/>
                <w:sz w:val="21"/>
                <w:szCs w:val="21"/>
                <w:highlight w:val="none"/>
                <w:lang w:val="en-US" w:eastAsia="zh-CN"/>
              </w:rPr>
              <w:t>七</w:t>
            </w:r>
            <w:r>
              <w:rPr>
                <w:rFonts w:hint="eastAsia" w:ascii="宋体" w:hAnsi="宋体" w:eastAsia="宋体" w:cs="宋体"/>
                <w:bCs/>
                <w:snapToGrid w:val="0"/>
                <w:color w:val="auto"/>
                <w:kern w:val="0"/>
                <w:sz w:val="21"/>
                <w:szCs w:val="21"/>
                <w:highlight w:val="none"/>
                <w:lang w:val="en-US"/>
              </w:rPr>
              <w:t>章“技术标准和要求”品牌推荐表中推荐不少于三个品牌。对于招标人推荐品牌的材料、设备，投标人可选用推荐品牌或不低于推荐品牌技术性能指标的其他品牌；采用其他品牌的应在报价文件《招标人推荐的材料品牌响应表》中注明并提供相关技术性能指标、业绩等供评标委员会评审，未在《招标人推荐的材料品牌响应表》中注明且未提供相关技术性能指标、业绩，或经评标委员会评审未通过的，中标后只能从招标人推荐品牌中进行选择，合同价格不予调整。</w:t>
            </w:r>
          </w:p>
        </w:tc>
      </w:tr>
      <w:tr w14:paraId="3C31AEE6">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5D0B8C86">
            <w:pPr>
              <w:adjustRightInd w:val="0"/>
              <w:snapToGrid w:val="0"/>
              <w:spacing w:line="500" w:lineRule="exact"/>
              <w:jc w:val="center"/>
              <w:rPr>
                <w:rFonts w:hint="eastAsia" w:ascii="宋体" w:hAnsi="宋体" w:eastAsia="宋体" w:cs="宋体"/>
                <w:color w:val="auto"/>
                <w:sz w:val="21"/>
                <w:szCs w:val="21"/>
                <w:highlight w:val="none"/>
              </w:rPr>
            </w:pPr>
            <w:r>
              <w:rPr>
                <w:rFonts w:hint="eastAsia" w:ascii="宋体" w:hAnsi="宋体" w:cs="宋体"/>
                <w:color w:val="auto"/>
                <w:szCs w:val="21"/>
                <w:highlight w:val="none"/>
              </w:rPr>
              <w:t>评标过程中的澄清、说明或补正</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080710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lang w:val="en-US" w:eastAsia="zh-CN"/>
              </w:rPr>
            </w:pPr>
            <w:r>
              <w:rPr>
                <w:rFonts w:hint="eastAsia" w:ascii="宋体" w:hAnsi="Times New Roman" w:eastAsia="宋体" w:cs="Times New Roman"/>
                <w:color w:val="auto"/>
                <w:sz w:val="21"/>
                <w:szCs w:val="21"/>
                <w:highlight w:val="none"/>
                <w:lang w:val="en-US" w:eastAsia="zh-CN"/>
              </w:rPr>
              <w:t>1、评标委员会通过网上招投标系统将需要澄清、说明或补正的内容以询标函的形式发送给投标人，投标人应安排专人登录网上招投标系统并保持在线状态，并确保联系方式有效，以便及时接收评标委员会可能发出的询标函。</w:t>
            </w:r>
          </w:p>
          <w:p w14:paraId="43AC54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lang w:val="en-US"/>
              </w:rPr>
            </w:pPr>
            <w:r>
              <w:rPr>
                <w:rFonts w:hint="eastAsia" w:ascii="宋体" w:hAnsi="Times New Roman" w:eastAsia="宋体" w:cs="Times New Roman"/>
                <w:color w:val="auto"/>
                <w:sz w:val="21"/>
                <w:szCs w:val="21"/>
                <w:highlight w:val="none"/>
                <w:lang w:val="en-US" w:eastAsia="zh-CN"/>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tc>
      </w:tr>
      <w:tr w14:paraId="54DBA8BF">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71CDFE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color w:val="auto"/>
                <w:szCs w:val="21"/>
                <w:highlight w:val="none"/>
              </w:rPr>
            </w:pPr>
            <w:r>
              <w:rPr>
                <w:rFonts w:hint="eastAsia" w:ascii="宋体" w:hAnsi="Times New Roman" w:eastAsia="宋体" w:cs="Times New Roman"/>
                <w:color w:val="auto"/>
                <w:sz w:val="21"/>
                <w:szCs w:val="21"/>
                <w:highlight w:val="none"/>
              </w:rPr>
              <w:t>解释权</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C96A6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1、构成本招标文件的各个组成文件应互为解释，互为说明；</w:t>
            </w:r>
          </w:p>
          <w:p w14:paraId="341069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2、同一组成文件中就同一事项的规定或约定不一致的，以编排顺序在后者为准；</w:t>
            </w:r>
          </w:p>
          <w:p w14:paraId="70A70F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3、如有不明确或不一致，构成合同文件组成内容的，以合同文件约定内容为准，且以专用合同条款约定的合同文件优先顺序解释；</w:t>
            </w:r>
          </w:p>
          <w:p w14:paraId="6BA903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lang w:val="en-US" w:eastAsia="zh-CN"/>
              </w:rPr>
            </w:pPr>
            <w:r>
              <w:rPr>
                <w:rFonts w:hint="eastAsia" w:ascii="宋体" w:hAnsi="Times New Roman" w:eastAsia="宋体" w:cs="Times New Roman"/>
                <w:color w:val="auto"/>
                <w:sz w:val="21"/>
                <w:szCs w:val="21"/>
                <w:highlight w:val="none"/>
                <w:lang w:val="en-US" w:eastAsia="zh-CN"/>
              </w:rPr>
              <w:t>4</w:t>
            </w:r>
            <w:r>
              <w:rPr>
                <w:rFonts w:hint="eastAsia" w:ascii="宋体" w:hAnsi="Times New Roman" w:eastAsia="宋体" w:cs="Times New Roman"/>
                <w:color w:val="auto"/>
                <w:sz w:val="21"/>
                <w:szCs w:val="21"/>
                <w:highlight w:val="none"/>
              </w:rPr>
              <w:t>、按本款前述规定仍不能形成结论的，由招标人负责解释。</w:t>
            </w:r>
          </w:p>
        </w:tc>
      </w:tr>
      <w:tr w14:paraId="749E41E9">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32A0DB8A">
            <w:pPr>
              <w:keepNext w:val="0"/>
              <w:keepLines w:val="0"/>
              <w:pageBreakBefore w:val="0"/>
              <w:kinsoku/>
              <w:wordWrap/>
              <w:overflowPunct/>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相关要求</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3661A9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val="en-US" w:eastAsia="zh-CN"/>
              </w:rPr>
              <w:t>1</w:t>
            </w:r>
            <w:r>
              <w:rPr>
                <w:rFonts w:hint="eastAsia" w:ascii="宋体" w:hAnsi="Times New Roman" w:eastAsia="宋体" w:cs="Times New Roman"/>
                <w:color w:val="auto"/>
                <w:sz w:val="21"/>
                <w:szCs w:val="21"/>
                <w:highlight w:val="none"/>
                <w:lang w:val="en-US"/>
              </w:rPr>
              <w:t>、</w:t>
            </w:r>
            <w:r>
              <w:rPr>
                <w:rFonts w:hint="eastAsia" w:ascii="宋体" w:hAnsi="Times New Roman" w:eastAsia="宋体" w:cs="Times New Roman"/>
                <w:color w:val="auto"/>
                <w:sz w:val="21"/>
                <w:szCs w:val="21"/>
                <w:highlight w:val="none"/>
              </w:rPr>
              <w:t>承包人在工程实施过程中的用工行为，必须严格按照《保障农民工工资支付条例》（国务院令 第724号）、《安徽省人民政府办公厅关于全面治理拖欠农民工工资问题的实施意见》（皖政办〔2016〕22号）以及《贯彻落实&lt;工程建设领域农民工工资专用账户管理暂行办法&gt;的通知》（皖人社发〔2022〕5号）、《安徽省工程建设领域农民工工资保证金实施办法》（皖人社发〔2022〕8号）等文件精神的有关规定，依法与招用的农民工签订劳动合同，并按规定及时足额支付工资。</w:t>
            </w:r>
          </w:p>
          <w:p w14:paraId="7D6FB9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为切实保障建筑行业农民工工资支付、加快培育新时代建筑产业工人队伍、有效破解拖欠工程款问题，承包人应严格落实安徽省住建厅《关于建立长效机制切实保障建筑行业农民工工资支付工作的通知》（建市函〔2022〕490号），《关于加快培育和壮大我省建筑产业工人队伍的意见》（建市规〔2023〕1号）以及《关于印发〈安徽省房屋建筑和市政基础设施工程施工过程结算管理办法〉 的通知》（建市规〔2023〕2号）等文件要求。</w:t>
            </w:r>
          </w:p>
          <w:p w14:paraId="320DA2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lang w:val="en-US"/>
              </w:rPr>
            </w:pPr>
            <w:r>
              <w:rPr>
                <w:rFonts w:hint="eastAsia" w:ascii="宋体" w:hAnsi="Times New Roman" w:eastAsia="宋体" w:cs="Times New Roman"/>
                <w:color w:val="auto"/>
                <w:sz w:val="21"/>
                <w:szCs w:val="21"/>
                <w:highlight w:val="none"/>
              </w:rPr>
              <w:t>《贯彻落实&lt;工程建设领域农民工工资专用账户管理暂行办法&gt;的通知》（皖人社发【2022】5号），其中工资保证金和工资专户由工程建设项目的施工总承包企业（包括直接承包建设单位发包工程的专业承包企业）缴存和开设。若为联合体中标，由联合体中牵头人缴存和开设专户。</w:t>
            </w:r>
          </w:p>
          <w:p w14:paraId="78F8FB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lang w:val="en-US"/>
              </w:rPr>
            </w:pPr>
            <w:r>
              <w:rPr>
                <w:rFonts w:hint="eastAsia" w:ascii="宋体" w:hAnsi="Times New Roman" w:eastAsia="宋体" w:cs="Times New Roman"/>
                <w:color w:val="auto"/>
                <w:sz w:val="21"/>
                <w:szCs w:val="21"/>
                <w:highlight w:val="none"/>
                <w:lang w:val="en-US" w:eastAsia="zh-CN"/>
              </w:rPr>
              <w:t>2、</w:t>
            </w:r>
            <w:r>
              <w:rPr>
                <w:rFonts w:hint="eastAsia" w:ascii="宋体" w:hAnsi="Times New Roman" w:eastAsia="宋体" w:cs="Times New Roman"/>
                <w:color w:val="auto"/>
                <w:sz w:val="21"/>
                <w:szCs w:val="21"/>
                <w:highlight w:val="none"/>
                <w:lang w:val="en-US"/>
              </w:rPr>
              <w:t>保证保险产品应按《中国银保监会办公厅关于进一步加强和改进财产保险公司产品监管有关问题的通知》执行。</w:t>
            </w:r>
          </w:p>
          <w:p w14:paraId="63AE98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1"/>
                <w:szCs w:val="21"/>
                <w:highlight w:val="none"/>
                <w:lang w:val="en-US"/>
              </w:rPr>
            </w:pPr>
            <w:r>
              <w:rPr>
                <w:rFonts w:hint="eastAsia" w:ascii="宋体" w:hAnsi="Times New Roman" w:eastAsia="宋体" w:cs="Times New Roman"/>
                <w:color w:val="auto"/>
                <w:sz w:val="21"/>
                <w:szCs w:val="21"/>
                <w:highlight w:val="none"/>
                <w:lang w:val="en-US" w:eastAsia="zh-CN"/>
              </w:rPr>
              <w:t>3、</w:t>
            </w:r>
            <w:r>
              <w:rPr>
                <w:rFonts w:hint="eastAsia" w:ascii="宋体" w:hAnsi="Times New Roman" w:eastAsia="宋体" w:cs="Times New Roman"/>
                <w:color w:val="auto"/>
                <w:sz w:val="21"/>
                <w:szCs w:val="21"/>
                <w:highlight w:val="none"/>
              </w:rPr>
              <w:t>我省行政区域内按照规定应办理建筑工程施工许可证的房屋建筑和市政工程建设项目，均应办理工程款支付担保。具体金额、担保方式等按《安徽省住房和城乡建设厅关于加强房屋建筑和市政基础设施工程建设领域工程款支付担保管理工作的通知》（建市〔2022〕54号）执行。</w:t>
            </w:r>
          </w:p>
        </w:tc>
      </w:tr>
      <w:tr w14:paraId="2FCA490E">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65FC73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Times New Roman" w:eastAsia="宋体" w:cs="Times New Roman"/>
                <w:color w:val="auto"/>
                <w:sz w:val="21"/>
                <w:szCs w:val="21"/>
                <w:highlight w:val="none"/>
                <w:lang w:val="en-US"/>
              </w:rPr>
            </w:pPr>
            <w:r>
              <w:rPr>
                <w:rFonts w:hint="eastAsia" w:ascii="宋体" w:hAnsi="Times New Roman" w:eastAsia="宋体" w:cs="Times New Roman"/>
                <w:color w:val="auto"/>
                <w:sz w:val="21"/>
                <w:szCs w:val="21"/>
                <w:highlight w:val="none"/>
                <w:lang w:val="en-US"/>
              </w:rPr>
              <w:t>同义词语</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3E729A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lang w:val="en-US" w:eastAsia="zh-CN"/>
              </w:rPr>
            </w:pPr>
            <w:r>
              <w:rPr>
                <w:rFonts w:hint="eastAsia" w:ascii="宋体" w:hAnsi="Times New Roman" w:eastAsia="宋体" w:cs="Times New Roman"/>
                <w:color w:val="auto"/>
                <w:sz w:val="21"/>
                <w:szCs w:val="21"/>
                <w:highlight w:val="none"/>
                <w:lang w:val="en-US"/>
              </w:rPr>
              <w:t>构成招标文件组成部分的“通用合同条款”、“专用合同条款”、“技术标准和要求”和“工程量清单”等章节中 “发包人”和“承包人”，等同于招标投标阶段的“招标人”和“投标人/中标人”。</w:t>
            </w:r>
          </w:p>
        </w:tc>
      </w:tr>
      <w:tr w14:paraId="329A6BBF">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31575BC2">
            <w:pPr>
              <w:keepNext w:val="0"/>
              <w:keepLines w:val="0"/>
              <w:pageBreakBefore w:val="0"/>
              <w:suppressLineNumbers w:val="0"/>
              <w:kinsoku/>
              <w:wordWrap/>
              <w:overflowPunct/>
              <w:autoSpaceDE/>
              <w:autoSpaceDN/>
              <w:bidi w:val="0"/>
              <w:adjustRightInd w:val="0"/>
              <w:snapToGrid w:val="0"/>
              <w:spacing w:before="0" w:beforeAutospacing="0" w:after="0" w:afterAutospacing="0" w:line="440" w:lineRule="exact"/>
              <w:ind w:left="0" w:leftChars="0" w:right="0" w:rightChars="0"/>
              <w:jc w:val="center"/>
              <w:textAlignment w:val="auto"/>
              <w:rPr>
                <w:rFonts w:hint="eastAsia" w:ascii="宋体" w:hAnsi="Times New Roman" w:eastAsia="宋体" w:cs="Times New Roman"/>
                <w:color w:val="auto"/>
                <w:sz w:val="21"/>
                <w:szCs w:val="21"/>
                <w:highlight w:val="none"/>
              </w:rPr>
            </w:pPr>
            <w:r>
              <w:rPr>
                <w:rFonts w:hint="eastAsia" w:ascii="宋体" w:hAnsi="宋体" w:eastAsia="宋体" w:cs="宋体"/>
                <w:color w:val="auto"/>
                <w:sz w:val="21"/>
                <w:szCs w:val="21"/>
                <w:highlight w:val="none"/>
              </w:rPr>
              <w:t>关于招标最高投标限价及投标报价编制特别说明</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ABD5B13">
            <w:pPr>
              <w:pStyle w:val="92"/>
              <w:keepNext w:val="0"/>
              <w:keepLines w:val="0"/>
              <w:pageBreakBefore w:val="0"/>
              <w:suppressLineNumbers w:val="0"/>
              <w:kinsoku/>
              <w:wordWrap/>
              <w:overflowPunct/>
              <w:autoSpaceDE/>
              <w:autoSpaceDN/>
              <w:bidi w:val="0"/>
              <w:adjustRightInd w:val="0"/>
              <w:snapToGrid w:val="0"/>
              <w:spacing w:before="0" w:beforeAutospacing="0" w:after="0" w:afterAutospacing="0" w:line="440" w:lineRule="exact"/>
              <w:ind w:left="0" w:leftChars="0" w:right="0" w:rightChars="0"/>
              <w:textAlignment w:val="auto"/>
              <w:rPr>
                <w:rFonts w:hint="eastAsia" w:ascii="宋体" w:hAnsi="Times New Roman" w:eastAsia="宋体" w:cs="Times New Roman"/>
                <w:color w:val="auto"/>
                <w:sz w:val="21"/>
                <w:szCs w:val="21"/>
                <w:highlight w:val="none"/>
              </w:rPr>
            </w:pPr>
            <w:r>
              <w:rPr>
                <w:rFonts w:hint="eastAsia" w:ascii="宋体" w:hAnsi="宋体" w:eastAsia="宋体" w:cs="宋体"/>
                <w:color w:val="auto"/>
                <w:sz w:val="21"/>
                <w:szCs w:val="21"/>
                <w:highlight w:val="none"/>
              </w:rPr>
              <w:t>本项目最高投标限价材料、设备价格结合市场实际价格综合考虑编制，投标人应根据补遗，并结合企业自身实力</w:t>
            </w:r>
            <w:r>
              <w:rPr>
                <w:rFonts w:hint="eastAsia" w:ascii="宋体" w:hAnsi="宋体" w:eastAsia="宋体" w:cs="宋体"/>
                <w:color w:val="auto"/>
                <w:sz w:val="21"/>
                <w:szCs w:val="21"/>
                <w:highlight w:val="none"/>
                <w:lang w:val="en-US" w:eastAsia="zh-CN"/>
              </w:rPr>
              <w:t>及所投方案</w:t>
            </w:r>
            <w:r>
              <w:rPr>
                <w:rFonts w:hint="eastAsia" w:ascii="宋体" w:hAnsi="宋体" w:eastAsia="宋体" w:cs="宋体"/>
                <w:color w:val="auto"/>
                <w:sz w:val="21"/>
                <w:szCs w:val="21"/>
                <w:highlight w:val="none"/>
              </w:rPr>
              <w:t>理性报价。</w:t>
            </w:r>
          </w:p>
        </w:tc>
      </w:tr>
      <w:tr w14:paraId="28675B89">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0EF7C88F">
            <w:pPr>
              <w:keepNext w:val="0"/>
              <w:keepLines w:val="0"/>
              <w:pageBreakBefore w:val="0"/>
              <w:kinsoku/>
              <w:wordWrap/>
              <w:overflowPunct/>
              <w:autoSpaceDN/>
              <w:bidi w:val="0"/>
              <w:spacing w:line="400" w:lineRule="exact"/>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其他</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1D5DE8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lang w:val="en-US"/>
              </w:rPr>
            </w:pPr>
            <w:r>
              <w:rPr>
                <w:rFonts w:hint="eastAsia" w:ascii="宋体" w:hAnsi="Times New Roman" w:eastAsia="宋体" w:cs="Times New Roman"/>
                <w:color w:val="auto"/>
                <w:sz w:val="21"/>
                <w:szCs w:val="21"/>
                <w:highlight w:val="none"/>
                <w:lang w:val="en-US"/>
              </w:rPr>
              <w:t>1、</w:t>
            </w:r>
            <w:r>
              <w:rPr>
                <w:rFonts w:hint="eastAsia" w:ascii="宋体" w:hAnsi="Times New Roman" w:eastAsia="宋体" w:cs="Times New Roman"/>
                <w:color w:val="auto"/>
                <w:sz w:val="21"/>
                <w:szCs w:val="21"/>
                <w:highlight w:val="none"/>
              </w:rPr>
              <w:t>如本项目招标文件中出现特定性、唯一性品牌的表述，该品牌仅作为参考，施工过程中不具有限定性。</w:t>
            </w:r>
          </w:p>
          <w:p w14:paraId="0D0958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val="en-US"/>
              </w:rPr>
              <w:t>2、项目经理必须是投标人本单位工作人员，提供虚假资料谋取中标将被依法处罚。</w:t>
            </w:r>
            <w:r>
              <w:rPr>
                <w:rFonts w:hint="eastAsia" w:ascii="宋体" w:hAnsi="Times New Roman" w:eastAsia="宋体" w:cs="Times New Roman"/>
                <w:color w:val="auto"/>
                <w:sz w:val="21"/>
                <w:szCs w:val="21"/>
                <w:highlight w:val="none"/>
              </w:rPr>
              <w:t>投标人对所提交的投标人业绩、投标人资质等证明资料承担缔约过失责任和法律责任。若投诉人或举报人对前述资料或证明资料存在争议，进行有效投诉或举报，被投诉人、被举报人应当主动配合执法机关调查，并在规定的期限内举证，提供有关证明资料的原件；拒不配合执法机构调查，且未在规定期限内举证、提供证明资料原件的，执法机构依法处理。</w:t>
            </w:r>
          </w:p>
          <w:p w14:paraId="6B0049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val="en-US"/>
              </w:rPr>
              <w:t>3、</w:t>
            </w:r>
            <w:r>
              <w:rPr>
                <w:rFonts w:hint="eastAsia" w:ascii="宋体" w:hAnsi="Times New Roman" w:eastAsia="宋体" w:cs="Times New Roman"/>
                <w:color w:val="auto"/>
                <w:sz w:val="21"/>
                <w:szCs w:val="21"/>
                <w:highlight w:val="none"/>
              </w:rPr>
              <w:t>中标人未履行下述义务的，将依法对中标人追究相关责任：</w:t>
            </w:r>
          </w:p>
          <w:p w14:paraId="2A80F5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①中标人无正当理由不与招标人订立合同，在签订合同时向招标人提出附加条件，或者不按照招标文件要求提交履约保证金的，招标人有权取消中标人中标资格，并将相关违约行为报送监管部门处理；</w:t>
            </w:r>
          </w:p>
          <w:p w14:paraId="03557B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②合同签订后，中标人存在规定时间内不组织人员进场开工、</w:t>
            </w:r>
            <w:r>
              <w:rPr>
                <w:rFonts w:hint="eastAsia" w:ascii="宋体" w:cs="Times New Roman"/>
                <w:color w:val="auto"/>
                <w:sz w:val="21"/>
                <w:szCs w:val="21"/>
                <w:highlight w:val="none"/>
                <w:lang w:eastAsia="zh-CN"/>
              </w:rPr>
              <w:t>或</w:t>
            </w:r>
            <w:r>
              <w:rPr>
                <w:rFonts w:hint="eastAsia" w:ascii="宋体" w:hAnsi="Times New Roman" w:eastAsia="宋体" w:cs="Times New Roman"/>
                <w:color w:val="auto"/>
                <w:sz w:val="21"/>
                <w:szCs w:val="21"/>
                <w:highlight w:val="none"/>
              </w:rPr>
              <w:t>不履行供货安装义务</w:t>
            </w:r>
            <w:r>
              <w:rPr>
                <w:rFonts w:hint="eastAsia" w:ascii="宋体" w:cs="Times New Roman"/>
                <w:color w:val="auto"/>
                <w:sz w:val="21"/>
                <w:szCs w:val="21"/>
                <w:highlight w:val="none"/>
                <w:lang w:eastAsia="zh-CN"/>
              </w:rPr>
              <w:t>、</w:t>
            </w:r>
            <w:r>
              <w:rPr>
                <w:rFonts w:hint="eastAsia" w:ascii="宋体" w:hAnsi="Times New Roman" w:eastAsia="宋体" w:cs="Times New Roman"/>
                <w:color w:val="auto"/>
                <w:sz w:val="21"/>
                <w:szCs w:val="21"/>
                <w:highlight w:val="none"/>
                <w:lang w:eastAsia="zh-CN"/>
              </w:rPr>
              <w:t>或按投标人须知第</w:t>
            </w:r>
            <w:r>
              <w:rPr>
                <w:rFonts w:hint="eastAsia" w:ascii="宋体" w:hAnsi="Times New Roman" w:eastAsia="宋体" w:cs="Times New Roman"/>
                <w:color w:val="auto"/>
                <w:sz w:val="21"/>
                <w:szCs w:val="21"/>
                <w:highlight w:val="none"/>
                <w:lang w:val="en-US" w:eastAsia="zh-CN"/>
              </w:rPr>
              <w:t>19项编制完成后经第三方复审单位审核的</w:t>
            </w:r>
            <w:r>
              <w:rPr>
                <w:rFonts w:hint="eastAsia" w:ascii="宋体" w:hAnsi="Times New Roman" w:eastAsia="宋体" w:cs="Times New Roman"/>
                <w:color w:val="auto"/>
                <w:sz w:val="21"/>
                <w:szCs w:val="21"/>
                <w:highlight w:val="none"/>
                <w:lang w:eastAsia="zh-CN"/>
              </w:rPr>
              <w:t>最高投标限价无法达成共识并经招标人催办，仍未实施等情况，</w:t>
            </w:r>
            <w:r>
              <w:rPr>
                <w:rFonts w:hint="eastAsia" w:ascii="宋体" w:hAnsi="Times New Roman" w:eastAsia="宋体" w:cs="Times New Roman"/>
                <w:color w:val="auto"/>
                <w:sz w:val="21"/>
                <w:szCs w:val="21"/>
                <w:highlight w:val="none"/>
              </w:rPr>
              <w:t>招标人有权</w:t>
            </w:r>
            <w:r>
              <w:rPr>
                <w:rFonts w:hint="eastAsia" w:ascii="宋体" w:cs="Times New Roman"/>
                <w:color w:val="auto"/>
                <w:sz w:val="21"/>
                <w:szCs w:val="21"/>
                <w:highlight w:val="none"/>
                <w:lang w:eastAsia="zh-CN"/>
              </w:rPr>
              <w:t>单方面</w:t>
            </w:r>
            <w:r>
              <w:rPr>
                <w:rFonts w:hint="eastAsia" w:ascii="宋体" w:hAnsi="Times New Roman" w:eastAsia="宋体" w:cs="Times New Roman"/>
                <w:color w:val="auto"/>
                <w:sz w:val="21"/>
                <w:szCs w:val="21"/>
                <w:highlight w:val="none"/>
              </w:rPr>
              <w:t>解除合同，并追究违约责任，同时将相关违约行为报送监管部门处理。</w:t>
            </w:r>
          </w:p>
          <w:p w14:paraId="10AB54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lang w:val="en-US"/>
              </w:rPr>
            </w:pPr>
            <w:r>
              <w:rPr>
                <w:rFonts w:hint="eastAsia" w:ascii="宋体" w:hAnsi="Times New Roman" w:eastAsia="宋体" w:cs="Times New Roman"/>
                <w:color w:val="auto"/>
                <w:sz w:val="21"/>
                <w:szCs w:val="21"/>
                <w:highlight w:val="none"/>
                <w:lang w:val="en-US"/>
              </w:rPr>
              <w:t>4、</w:t>
            </w:r>
            <w:r>
              <w:rPr>
                <w:rFonts w:hint="eastAsia" w:ascii="宋体" w:hAnsi="Times New Roman" w:eastAsia="宋体" w:cs="Times New Roman"/>
                <w:color w:val="auto"/>
                <w:sz w:val="21"/>
                <w:szCs w:val="21"/>
                <w:highlight w:val="none"/>
                <w:lang w:val="en-US" w:eastAsia="zh-CN"/>
              </w:rPr>
              <w:t>项目经理（建造师）变更需经发包人同意</w:t>
            </w:r>
            <w:r>
              <w:rPr>
                <w:rFonts w:hint="eastAsia" w:ascii="宋体" w:hAnsi="Times New Roman" w:eastAsia="宋体" w:cs="Times New Roman"/>
                <w:color w:val="auto"/>
                <w:sz w:val="21"/>
                <w:szCs w:val="21"/>
                <w:highlight w:val="none"/>
                <w:lang w:val="en-US"/>
              </w:rPr>
              <w:t>。</w:t>
            </w:r>
          </w:p>
          <w:p w14:paraId="2BC39E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lang w:val="en-US"/>
              </w:rPr>
            </w:pPr>
            <w:r>
              <w:rPr>
                <w:rFonts w:hint="eastAsia" w:ascii="宋体" w:hAnsi="Times New Roman" w:eastAsia="宋体" w:cs="Times New Roman"/>
                <w:color w:val="auto"/>
                <w:sz w:val="21"/>
                <w:szCs w:val="21"/>
                <w:highlight w:val="none"/>
                <w:lang w:val="en-US"/>
              </w:rPr>
              <w:t>中标人因下列原因变更</w:t>
            </w:r>
            <w:r>
              <w:rPr>
                <w:rFonts w:hint="eastAsia" w:ascii="宋体" w:cs="Times New Roman"/>
                <w:color w:val="auto"/>
                <w:sz w:val="21"/>
                <w:szCs w:val="21"/>
                <w:highlight w:val="none"/>
                <w:lang w:val="en-US" w:eastAsia="zh-CN"/>
              </w:rPr>
              <w:t>项目经理</w:t>
            </w:r>
            <w:r>
              <w:rPr>
                <w:rFonts w:hint="eastAsia" w:ascii="宋体" w:hAnsi="Times New Roman" w:eastAsia="宋体" w:cs="Times New Roman"/>
                <w:color w:val="auto"/>
                <w:sz w:val="21"/>
                <w:szCs w:val="21"/>
                <w:highlight w:val="none"/>
                <w:lang w:val="en-US"/>
              </w:rPr>
              <w:t>，须缴纳违约金</w:t>
            </w:r>
            <w:r>
              <w:rPr>
                <w:rFonts w:hint="eastAsia" w:ascii="宋体" w:hAnsi="Times New Roman" w:eastAsia="宋体" w:cs="Times New Roman"/>
                <w:color w:val="auto"/>
                <w:sz w:val="21"/>
                <w:szCs w:val="21"/>
                <w:highlight w:val="none"/>
                <w:lang w:val="en-US" w:eastAsia="zh-CN"/>
              </w:rPr>
              <w:t>10万</w:t>
            </w:r>
            <w:r>
              <w:rPr>
                <w:rFonts w:hint="eastAsia" w:ascii="宋体" w:hAnsi="Times New Roman" w:eastAsia="宋体" w:cs="Times New Roman"/>
                <w:color w:val="auto"/>
                <w:sz w:val="21"/>
                <w:szCs w:val="21"/>
                <w:highlight w:val="none"/>
                <w:lang w:val="en-US"/>
              </w:rPr>
              <w:t>元</w:t>
            </w:r>
            <w:r>
              <w:rPr>
                <w:rFonts w:hint="eastAsia" w:ascii="宋体" w:hAnsi="Times New Roman" w:eastAsia="宋体" w:cs="Times New Roman"/>
                <w:color w:val="auto"/>
                <w:sz w:val="21"/>
                <w:szCs w:val="21"/>
                <w:highlight w:val="none"/>
                <w:lang w:val="en-US" w:eastAsia="zh-CN"/>
              </w:rPr>
              <w:t>：</w:t>
            </w:r>
            <w:r>
              <w:rPr>
                <w:rFonts w:hint="eastAsia" w:ascii="宋体" w:hAnsi="Times New Roman" w:eastAsia="宋体" w:cs="Times New Roman"/>
                <w:color w:val="auto"/>
                <w:sz w:val="21"/>
                <w:szCs w:val="21"/>
                <w:highlight w:val="none"/>
                <w:lang w:val="en-US"/>
              </w:rPr>
              <w:t>①患重病、发生意外等身体原因不能在现场进行管理的；②离职的；③违法违规行为不能继续从事现场管理工作的；④无能力履行合同责任义务被建设行政主管部门或建设单位责令更换的。</w:t>
            </w:r>
          </w:p>
          <w:p w14:paraId="123A9A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val="en-US" w:eastAsia="zh-CN"/>
              </w:rPr>
              <w:t>5、</w:t>
            </w:r>
            <w:r>
              <w:rPr>
                <w:rFonts w:hint="eastAsia" w:ascii="宋体" w:hAnsi="Times New Roman" w:eastAsia="宋体" w:cs="Times New Roman"/>
                <w:color w:val="auto"/>
                <w:sz w:val="21"/>
                <w:szCs w:val="21"/>
                <w:highlight w:val="none"/>
              </w:rPr>
              <w:t>安全生产</w:t>
            </w:r>
          </w:p>
          <w:p w14:paraId="060747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①须严格遵守《中华人民共和国安全生产法》、《建设工程安全生产管理条例》等国家有关安全生产的法律法规、《建设项目安全设施“三同时”监督管理办法》等有关安全生产的规定。认真执行工程承包合同中的有关安全要求。</w:t>
            </w:r>
          </w:p>
          <w:p w14:paraId="350439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lang w:val="en-US" w:eastAsia="zh-CN"/>
              </w:rPr>
            </w:pPr>
            <w:r>
              <w:rPr>
                <w:rFonts w:hint="eastAsia" w:ascii="宋体" w:hAnsi="Times New Roman" w:eastAsia="宋体" w:cs="Times New Roman"/>
                <w:color w:val="auto"/>
                <w:sz w:val="21"/>
                <w:szCs w:val="21"/>
                <w:highlight w:val="none"/>
              </w:rPr>
              <w:t>②坚持“安全第一、预防为主、综合治理”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合同的各项规定，做到生产与安全工作同时计划、布置、检查、总结和评比。</w:t>
            </w:r>
          </w:p>
          <w:p w14:paraId="18FE7FDC">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strike/>
                <w:szCs w:val="21"/>
                <w:highlight w:val="none"/>
              </w:rPr>
            </w:pPr>
            <w:r>
              <w:rPr>
                <w:rFonts w:hint="eastAsia" w:ascii="宋体" w:hAnsi="宋体" w:cs="宋体"/>
                <w:szCs w:val="21"/>
                <w:highlight w:val="none"/>
                <w:lang w:val="en-US" w:eastAsia="zh-CN"/>
              </w:rPr>
              <w:t>6、</w:t>
            </w:r>
            <w:r>
              <w:rPr>
                <w:rFonts w:hint="eastAsia" w:ascii="宋体" w:hAnsi="宋体" w:cs="宋体"/>
                <w:szCs w:val="21"/>
                <w:highlight w:val="none"/>
              </w:rPr>
              <w:t>本项目严禁非法转包，一经发现，招标人依法处理。</w:t>
            </w:r>
          </w:p>
        </w:tc>
      </w:tr>
      <w:tr w14:paraId="0F24C4E8">
        <w:tblPrEx>
          <w:tblCellMar>
            <w:top w:w="0" w:type="dxa"/>
            <w:left w:w="108" w:type="dxa"/>
            <w:bottom w:w="0" w:type="dxa"/>
            <w:right w:w="108" w:type="dxa"/>
          </w:tblCellMar>
        </w:tblPrEx>
        <w:trPr>
          <w:jc w:val="center"/>
        </w:trPr>
        <w:tc>
          <w:tcPr>
            <w:tcW w:w="0" w:type="auto"/>
            <w:gridSpan w:val="2"/>
            <w:tcBorders>
              <w:top w:val="single" w:color="auto" w:sz="4" w:space="0"/>
              <w:left w:val="single" w:color="auto" w:sz="4" w:space="0"/>
              <w:bottom w:val="single" w:color="auto" w:sz="4" w:space="0"/>
              <w:right w:val="single" w:color="auto" w:sz="4" w:space="0"/>
            </w:tcBorders>
            <w:vAlign w:val="center"/>
          </w:tcPr>
          <w:p w14:paraId="71447103">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sz w:val="21"/>
                <w:szCs w:val="21"/>
                <w:highlight w:val="none"/>
                <w:lang w:val="en-US" w:eastAsia="zh-CN"/>
              </w:rPr>
            </w:pPr>
            <w:bookmarkStart w:id="56" w:name="_Toc35424887"/>
            <w:bookmarkStart w:id="57" w:name="_Toc35425053"/>
            <w:bookmarkStart w:id="58" w:name="_Toc15058846"/>
            <w:bookmarkStart w:id="59" w:name="_Toc5813"/>
            <w:bookmarkStart w:id="60" w:name="_Toc78803322"/>
            <w:r>
              <w:rPr>
                <w:rFonts w:hint="eastAsia" w:ascii="宋体" w:hAnsi="宋体" w:cs="宋体"/>
                <w:sz w:val="21"/>
                <w:szCs w:val="21"/>
                <w:highlight w:val="none"/>
                <w:lang w:val="en-US" w:eastAsia="zh-CN"/>
              </w:rPr>
              <w:t>重要说明</w:t>
            </w:r>
          </w:p>
        </w:tc>
        <w:tc>
          <w:tcPr>
            <w:tcW w:w="8550" w:type="dxa"/>
            <w:gridSpan w:val="2"/>
            <w:tcBorders>
              <w:top w:val="single" w:color="auto" w:sz="4" w:space="0"/>
              <w:left w:val="single" w:color="auto" w:sz="4" w:space="0"/>
              <w:bottom w:val="single" w:color="auto" w:sz="4" w:space="0"/>
              <w:right w:val="single" w:color="auto" w:sz="4" w:space="0"/>
            </w:tcBorders>
            <w:vAlign w:val="center"/>
          </w:tcPr>
          <w:p w14:paraId="53B1753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1.请于公告发布之日起从滁州市城投工程咨询管理有限公司网站（https://www.czctgczx.com/），点击项目招标公告下方【我要投标】，登录新点电子交易平台后在【滁州专区】（https://www.etrading.cn/BREpointSSO/login/oauth2login?regioncode=DQ_ChuZhou）下载本项目招标文件。投标人自行承担因未按要求获取招标文件导致无法上传电子投标文件的风险。</w:t>
            </w:r>
          </w:p>
          <w:p w14:paraId="2E66151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投标人须登录新点电子交易平台【滁州专区】查询、获取招标文件。首次登录办理入库手续，办理入库不收取任何费用。新点电子招投标统一认证平台使用相关问题（如系统登录、信息登记、录入及提交、数字证书关联等）请拨打服务电话：</w:t>
            </w:r>
            <w:r>
              <w:rPr>
                <w:rFonts w:hint="eastAsia" w:ascii="宋体" w:hAnsi="宋体" w:cs="宋体"/>
                <w:kern w:val="0"/>
                <w:sz w:val="21"/>
                <w:szCs w:val="21"/>
                <w:highlight w:val="none"/>
                <w:lang w:val="en-US" w:eastAsia="zh-CN" w:bidi="ar-SA"/>
              </w:rPr>
              <w:t>0512-58151515</w:t>
            </w:r>
            <w:r>
              <w:rPr>
                <w:rFonts w:hint="eastAsia" w:ascii="宋体" w:hAnsi="宋体" w:eastAsia="宋体" w:cs="宋体"/>
                <w:kern w:val="0"/>
                <w:sz w:val="21"/>
                <w:szCs w:val="21"/>
                <w:highlight w:val="none"/>
                <w:lang w:val="en-US" w:eastAsia="zh-CN" w:bidi="ar-SA"/>
              </w:rPr>
              <w:t>（工作日）。 </w:t>
            </w:r>
          </w:p>
          <w:p w14:paraId="7641EF1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3.投标人登录新点电子交易平台【滁州专区】获取招标文件及其它资料（含澄清和补充说明等）。如在招标文件获取过程中遇到系统问题，请拨打技术支持服务热线4009280095或者网站首页在线客服。</w:t>
            </w:r>
          </w:p>
          <w:p w14:paraId="47DF65D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4.本项目采用不见面开标，投标人登录滁州市城投工程咨询有限公司不见面开标系统参与网上开标（网址：http://js.etrading.cn/EpointBidOpening/bidopeninghallaction/hall/login）。</w:t>
            </w:r>
          </w:p>
          <w:p w14:paraId="030ED2F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5.投标人应在投标截止时间之前，登录新点电子交易平台【滁州专区】上传投标文件。投标人逾期上传投标文件的，电子系统不予受理。</w:t>
            </w:r>
          </w:p>
          <w:p w14:paraId="6118BFC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6.投标人的联系人电话(手机)在开标过程中必须保持畅通，否则因上述原因造成的后果，责任自负。</w:t>
            </w:r>
          </w:p>
          <w:p w14:paraId="4E97232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7.本项目采用电子招投标方式，请投标人在“新点电子交易平台”常用下载专区下载“新点电子交易平台专用投标文件制作软件”，仔细阅读招标文件要求和相关操作手册，以免影响投标文件编制，因投标人未及时关注相关信息对投标造成的不利后果由其自行承担。投标软件制作工具下载：https://download.bqpoint.com/download/downloaddetail.html?SourceFrom=Ztb&amp;ZtbSoftXiaQuCode=0128&amp;ZtbSoftType=tballinclusive。</w:t>
            </w:r>
          </w:p>
          <w:p w14:paraId="59D69F8D">
            <w:pPr>
              <w:keepNext w:val="0"/>
              <w:keepLines w:val="0"/>
              <w:pageBreakBefore w:val="0"/>
              <w:widowControl w:val="0"/>
              <w:kinsoku/>
              <w:wordWrap w:val="0"/>
              <w:overflowPunct/>
              <w:topLinePunct w:val="0"/>
              <w:autoSpaceDE/>
              <w:autoSpaceDN/>
              <w:bidi w:val="0"/>
              <w:adjustRightInd/>
              <w:snapToGrid/>
              <w:spacing w:line="400" w:lineRule="exact"/>
              <w:jc w:val="left"/>
              <w:textAlignment w:val="auto"/>
              <w:rPr>
                <w:rFonts w:hint="default"/>
                <w:highlight w:val="none"/>
                <w:lang w:val="en-US" w:eastAsia="zh-CN"/>
              </w:rPr>
            </w:pPr>
            <w:r>
              <w:rPr>
                <w:rFonts w:hint="eastAsia" w:ascii="宋体" w:hAnsi="宋体" w:eastAsia="宋体" w:cs="宋体"/>
                <w:kern w:val="0"/>
                <w:sz w:val="21"/>
                <w:szCs w:val="21"/>
                <w:highlight w:val="none"/>
                <w:lang w:val="en-US" w:eastAsia="zh-CN" w:bidi="ar-SA"/>
              </w:rPr>
              <w:t>8.本项目开评标实行全流程电子化，在线完成开评标活动。开标时投标人无需到达开标现场，不接受现场解密，实行远程解密和在线询标。各投标人认真学习《新点电子交易平台投标人操作手册》，务必掌握远程解密方法和在线回复询标方法。</w:t>
            </w:r>
          </w:p>
        </w:tc>
      </w:tr>
    </w:tbl>
    <w:p w14:paraId="735D540F">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6585086A">
      <w:pPr>
        <w:pStyle w:val="3"/>
        <w:spacing w:beforeLines="50" w:afterLines="50"/>
        <w:ind w:firstLine="482" w:firstLineChars="200"/>
        <w:rPr>
          <w:rFonts w:ascii="宋体" w:hAnsi="宋体" w:eastAsia="宋体" w:cs="宋体"/>
          <w:sz w:val="24"/>
          <w:szCs w:val="24"/>
          <w:highlight w:val="none"/>
        </w:rPr>
      </w:pPr>
      <w:r>
        <w:rPr>
          <w:rFonts w:hint="eastAsia" w:ascii="宋体" w:hAnsi="宋体" w:eastAsia="宋体" w:cs="宋体"/>
          <w:sz w:val="24"/>
          <w:szCs w:val="24"/>
          <w:highlight w:val="none"/>
        </w:rPr>
        <w:t>1. 总则</w:t>
      </w:r>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2AE7C8E8">
      <w:pPr>
        <w:pStyle w:val="3"/>
        <w:ind w:firstLine="422" w:firstLineChars="200"/>
        <w:rPr>
          <w:rFonts w:ascii="宋体" w:hAnsi="宋体" w:eastAsia="宋体" w:cs="宋体"/>
          <w:kern w:val="44"/>
          <w:highlight w:val="none"/>
        </w:rPr>
      </w:pPr>
      <w:bookmarkStart w:id="61" w:name="_Toc144974498"/>
      <w:bookmarkStart w:id="62" w:name="_Toc15058847"/>
      <w:bookmarkStart w:id="63" w:name="_Toc179632547"/>
      <w:bookmarkStart w:id="64" w:name="_Toc4678"/>
      <w:bookmarkStart w:id="65" w:name="_Toc506107270"/>
      <w:bookmarkStart w:id="66" w:name="_Toc35425054"/>
      <w:bookmarkStart w:id="67" w:name="_Toc152042306"/>
      <w:bookmarkStart w:id="68" w:name="_Toc152045530"/>
      <w:bookmarkStart w:id="69" w:name="_Toc296602421"/>
      <w:bookmarkStart w:id="70" w:name="_Toc247085690"/>
      <w:bookmarkStart w:id="71" w:name="_Toc246996176"/>
      <w:bookmarkStart w:id="72" w:name="_Toc246996919"/>
      <w:bookmarkStart w:id="73" w:name="_Toc324404816"/>
      <w:bookmarkStart w:id="74" w:name="_Toc35424888"/>
      <w:bookmarkStart w:id="75" w:name="_Toc78803323"/>
      <w:r>
        <w:rPr>
          <w:rFonts w:hint="eastAsia" w:ascii="宋体" w:hAnsi="宋体" w:eastAsia="宋体" w:cs="宋体"/>
          <w:kern w:val="44"/>
          <w:highlight w:val="none"/>
        </w:rPr>
        <w:t>1.1 项目概况</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07780BC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1.1.1根据《中华人民共和国招标投标法》《中华人民共和国招标投标法实施条例》等有关法律、法规和规章的规定，本招标项目已具备招标条件，现对本项目施工进行招标。</w:t>
      </w:r>
    </w:p>
    <w:p w14:paraId="5AB354A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1.1.2 本招标项目招标人：见投标人须知前附表。</w:t>
      </w:r>
    </w:p>
    <w:p w14:paraId="7E46A02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1.1.3 本招标项目招标代理机构：见投标人须知前附表。</w:t>
      </w:r>
    </w:p>
    <w:p w14:paraId="77102B8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1.1.4 本招标项目名称：见投标人须知前附表。</w:t>
      </w:r>
    </w:p>
    <w:p w14:paraId="6CBC327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1.1.5 本招标项目建设地点：见投标人须知前附表。</w:t>
      </w:r>
    </w:p>
    <w:p w14:paraId="036B2C8D">
      <w:pPr>
        <w:pStyle w:val="3"/>
        <w:ind w:firstLine="422" w:firstLineChars="200"/>
        <w:rPr>
          <w:rFonts w:ascii="宋体" w:hAnsi="宋体" w:eastAsia="宋体" w:cs="宋体"/>
          <w:highlight w:val="none"/>
        </w:rPr>
      </w:pPr>
      <w:bookmarkStart w:id="76" w:name="_Toc35424889"/>
      <w:bookmarkStart w:id="77" w:name="_Toc7142"/>
      <w:bookmarkStart w:id="78" w:name="_Toc179632548"/>
      <w:bookmarkStart w:id="79" w:name="_Toc15058848"/>
      <w:bookmarkStart w:id="80" w:name="_Toc144974499"/>
      <w:bookmarkStart w:id="81" w:name="_Toc35425055"/>
      <w:bookmarkStart w:id="82" w:name="_Toc296602422"/>
      <w:bookmarkStart w:id="83" w:name="_Toc78803324"/>
      <w:bookmarkStart w:id="84" w:name="_Toc506107271"/>
      <w:bookmarkStart w:id="85" w:name="_Toc246996920"/>
      <w:bookmarkStart w:id="86" w:name="_Toc152042307"/>
      <w:bookmarkStart w:id="87" w:name="_Toc152045531"/>
      <w:bookmarkStart w:id="88" w:name="_Toc324404817"/>
      <w:bookmarkStart w:id="89" w:name="_Toc246996177"/>
      <w:bookmarkStart w:id="90" w:name="_Toc247085691"/>
      <w:r>
        <w:rPr>
          <w:rFonts w:hint="eastAsia" w:ascii="宋体" w:hAnsi="宋体" w:eastAsia="宋体" w:cs="宋体"/>
          <w:highlight w:val="none"/>
        </w:rPr>
        <w:t>1.2 资金来源和落实情况</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662000A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1.2.1 本招标项目的资金来源及出资比例：见投标人须知前附表。</w:t>
      </w:r>
    </w:p>
    <w:p w14:paraId="2086A8C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1.2.2 本招标项目的资金落实情况：见投标人须知前附表。</w:t>
      </w:r>
    </w:p>
    <w:p w14:paraId="77419EB9">
      <w:pPr>
        <w:pStyle w:val="3"/>
        <w:ind w:firstLine="422" w:firstLineChars="200"/>
        <w:rPr>
          <w:rFonts w:ascii="宋体" w:hAnsi="宋体" w:eastAsia="宋体" w:cs="宋体"/>
          <w:highlight w:val="none"/>
        </w:rPr>
      </w:pPr>
      <w:bookmarkStart w:id="91" w:name="_Toc246996921"/>
      <w:bookmarkStart w:id="92" w:name="_Toc35425056"/>
      <w:bookmarkStart w:id="93" w:name="_Toc324404818"/>
      <w:bookmarkStart w:id="94" w:name="_Toc247085692"/>
      <w:bookmarkStart w:id="95" w:name="_Toc506107272"/>
      <w:bookmarkStart w:id="96" w:name="_Toc35424890"/>
      <w:bookmarkStart w:id="97" w:name="_Toc15058849"/>
      <w:bookmarkStart w:id="98" w:name="_Toc246996178"/>
      <w:bookmarkStart w:id="99" w:name="_Toc179632549"/>
      <w:bookmarkStart w:id="100" w:name="_Toc152045532"/>
      <w:bookmarkStart w:id="101" w:name="_Toc78803325"/>
      <w:bookmarkStart w:id="102" w:name="_Toc296602423"/>
      <w:bookmarkStart w:id="103" w:name="_Toc152042308"/>
      <w:bookmarkStart w:id="104" w:name="_Toc144974500"/>
      <w:bookmarkStart w:id="105" w:name="_Toc6330"/>
      <w:r>
        <w:rPr>
          <w:rFonts w:hint="eastAsia" w:ascii="宋体" w:hAnsi="宋体" w:eastAsia="宋体" w:cs="宋体"/>
          <w:highlight w:val="none"/>
        </w:rPr>
        <w:t>1.3 招标范围、计划工期、质量要求</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4E6EC99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1.3.1 本次招标范围：见投标人须知前附表。</w:t>
      </w:r>
    </w:p>
    <w:p w14:paraId="4738494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1.3.2 本招标项目的</w:t>
      </w:r>
      <w:r>
        <w:rPr>
          <w:rFonts w:hint="eastAsia" w:ascii="宋体" w:hAnsi="宋体" w:cs="宋体"/>
          <w:szCs w:val="21"/>
          <w:highlight w:val="none"/>
          <w:lang w:val="en-US" w:eastAsia="zh-CN"/>
        </w:rPr>
        <w:t>工期要求</w:t>
      </w:r>
      <w:r>
        <w:rPr>
          <w:rFonts w:hint="eastAsia" w:ascii="宋体" w:hAnsi="宋体" w:cs="宋体"/>
          <w:szCs w:val="21"/>
          <w:highlight w:val="none"/>
        </w:rPr>
        <w:t>：见投标人须知前附表。</w:t>
      </w:r>
    </w:p>
    <w:p w14:paraId="1CB8FAD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1.3.3 本招标项目的质量要求：见投标人须知前附表。</w:t>
      </w:r>
    </w:p>
    <w:p w14:paraId="26E33D0B">
      <w:pPr>
        <w:pStyle w:val="3"/>
        <w:ind w:firstLine="422" w:firstLineChars="200"/>
        <w:rPr>
          <w:rFonts w:ascii="宋体" w:hAnsi="宋体" w:eastAsia="宋体" w:cs="宋体"/>
          <w:highlight w:val="none"/>
        </w:rPr>
      </w:pPr>
      <w:bookmarkStart w:id="106" w:name="_Toc296602424"/>
      <w:bookmarkStart w:id="107" w:name="_Toc152042310"/>
      <w:bookmarkStart w:id="108" w:name="_Toc152045534"/>
      <w:bookmarkStart w:id="109" w:name="_Toc26897"/>
      <w:bookmarkStart w:id="110" w:name="_Toc247085693"/>
      <w:bookmarkStart w:id="111" w:name="_Toc246996922"/>
      <w:bookmarkStart w:id="112" w:name="_Toc144974502"/>
      <w:bookmarkStart w:id="113" w:name="_Toc15058850"/>
      <w:bookmarkStart w:id="114" w:name="_Toc506107273"/>
      <w:bookmarkStart w:id="115" w:name="_Toc35424891"/>
      <w:bookmarkStart w:id="116" w:name="_Toc324404819"/>
      <w:bookmarkStart w:id="117" w:name="_Toc179632551"/>
      <w:bookmarkStart w:id="118" w:name="_Toc35425057"/>
      <w:bookmarkStart w:id="119" w:name="_Toc246996179"/>
      <w:bookmarkStart w:id="120" w:name="_Toc78803326"/>
      <w:r>
        <w:rPr>
          <w:rFonts w:hint="eastAsia" w:ascii="宋体" w:hAnsi="宋体" w:eastAsia="宋体" w:cs="宋体"/>
          <w:highlight w:val="none"/>
        </w:rPr>
        <w:t>1.4 投标人资格要求</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473C4A8A">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1.4.1 投标人应具备承担本项目</w:t>
      </w:r>
      <w:r>
        <w:rPr>
          <w:rFonts w:hint="eastAsia" w:ascii="宋体" w:hAnsi="宋体" w:eastAsia="宋体" w:cs="宋体"/>
          <w:szCs w:val="21"/>
          <w:highlight w:val="none"/>
          <w:lang w:val="en-US" w:eastAsia="zh-CN"/>
        </w:rPr>
        <w:t>施工</w:t>
      </w:r>
      <w:r>
        <w:rPr>
          <w:rFonts w:hint="eastAsia" w:ascii="宋体" w:hAnsi="宋体" w:eastAsia="宋体" w:cs="宋体"/>
          <w:szCs w:val="21"/>
          <w:highlight w:val="none"/>
        </w:rPr>
        <w:t>的资质条件、能力和信誉。</w:t>
      </w:r>
    </w:p>
    <w:p w14:paraId="42CF7408">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（1）资质条件：见投标人须知前附表；</w:t>
      </w:r>
    </w:p>
    <w:p w14:paraId="213F5755">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w:t>
      </w:r>
      <w:r>
        <w:rPr>
          <w:rFonts w:hint="eastAsia" w:ascii="宋体" w:hAnsi="宋体" w:eastAsia="宋体" w:cs="宋体"/>
          <w:bCs/>
          <w:snapToGrid w:val="0"/>
          <w:color w:val="auto"/>
          <w:kern w:val="0"/>
          <w:sz w:val="21"/>
          <w:szCs w:val="21"/>
          <w:highlight w:val="none"/>
        </w:rPr>
        <w:t>项目</w:t>
      </w:r>
      <w:r>
        <w:rPr>
          <w:rFonts w:hint="eastAsia" w:ascii="宋体" w:hAnsi="宋体" w:cs="宋体"/>
          <w:bCs/>
          <w:snapToGrid w:val="0"/>
          <w:color w:val="auto"/>
          <w:kern w:val="0"/>
          <w:sz w:val="21"/>
          <w:szCs w:val="21"/>
          <w:highlight w:val="none"/>
          <w:lang w:val="en-US" w:eastAsia="zh-CN"/>
        </w:rPr>
        <w:t>经理</w:t>
      </w:r>
      <w:r>
        <w:rPr>
          <w:rFonts w:hint="eastAsia" w:ascii="宋体" w:hAnsi="宋体" w:eastAsia="宋体" w:cs="宋体"/>
          <w:szCs w:val="21"/>
          <w:highlight w:val="none"/>
        </w:rPr>
        <w:t>资格：见投标人须知前附表；</w:t>
      </w:r>
    </w:p>
    <w:p w14:paraId="77975E2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（3）信誉要求：见投标人须知前附表；</w:t>
      </w:r>
    </w:p>
    <w:p w14:paraId="1C33B202">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）其他要求：见投标人须知前附表。</w:t>
      </w:r>
    </w:p>
    <w:p w14:paraId="66002C8A">
      <w:pPr>
        <w:spacing w:line="440" w:lineRule="exact"/>
        <w:ind w:firstLine="420" w:firstLineChars="200"/>
        <w:jc w:val="left"/>
        <w:rPr>
          <w:rFonts w:hint="eastAsia" w:ascii="宋体" w:hAnsi="宋体" w:eastAsia="宋体" w:cs="宋体"/>
          <w:szCs w:val="21"/>
          <w:highlight w:val="none"/>
        </w:rPr>
      </w:pPr>
      <w:bookmarkStart w:id="121" w:name="_Toc15058851"/>
      <w:bookmarkStart w:id="122" w:name="_Toc10179"/>
      <w:bookmarkStart w:id="123" w:name="_Toc179632552"/>
      <w:bookmarkStart w:id="124" w:name="_Toc506107274"/>
      <w:bookmarkStart w:id="125" w:name="_Toc324404820"/>
      <w:bookmarkStart w:id="126" w:name="_Toc35425058"/>
      <w:bookmarkStart w:id="127" w:name="_Toc152045535"/>
      <w:bookmarkStart w:id="128" w:name="_Toc247085694"/>
      <w:bookmarkStart w:id="129" w:name="_Toc152042311"/>
      <w:bookmarkStart w:id="130" w:name="_Toc35424892"/>
      <w:bookmarkStart w:id="131" w:name="_Toc78803327"/>
      <w:bookmarkStart w:id="132" w:name="_Toc296602425"/>
      <w:bookmarkStart w:id="133" w:name="_Toc246996180"/>
      <w:bookmarkStart w:id="134" w:name="_Toc246996923"/>
      <w:bookmarkStart w:id="135" w:name="_Toc144974503"/>
      <w:r>
        <w:rPr>
          <w:rFonts w:hint="eastAsia" w:ascii="宋体" w:hAnsi="宋体" w:eastAsia="宋体" w:cs="宋体"/>
          <w:szCs w:val="21"/>
          <w:highlight w:val="none"/>
        </w:rPr>
        <w:t>1.4.3投标人（包括联合体各成员）不得与本标段相关单位存在下列关联关系：</w:t>
      </w:r>
    </w:p>
    <w:p w14:paraId="5DE8D0B6">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（1）为招标人不具有独立法人资格的附属机构（单位）；</w:t>
      </w:r>
    </w:p>
    <w:p w14:paraId="09E6B8F6">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（2）与招标人存在利害关系且可能影响招标公正性；</w:t>
      </w:r>
    </w:p>
    <w:p w14:paraId="0505EF5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（3）与本标段的其他投标人同为一个单位负责人；</w:t>
      </w:r>
    </w:p>
    <w:p w14:paraId="36333F83">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（4）与本标段的其他投标人存在控股、管理关系；</w:t>
      </w:r>
    </w:p>
    <w:p w14:paraId="4D18F6F7">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（5）为本标段前期准备提供设计或咨询服务的法人或其任何附属机构（单位）(工程总承包项目本目不采用)；</w:t>
      </w:r>
    </w:p>
    <w:p w14:paraId="73E24824">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（6）为本标段的监理人；</w:t>
      </w:r>
    </w:p>
    <w:p w14:paraId="43DEC31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（7）为本标段的代建人；</w:t>
      </w:r>
    </w:p>
    <w:p w14:paraId="56536154">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（8）为本标段的招标代理机构；</w:t>
      </w:r>
    </w:p>
    <w:p w14:paraId="3407078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（9）与本标段的监理人或代建人或招标代理机构同为一个法定代表人；</w:t>
      </w:r>
    </w:p>
    <w:p w14:paraId="5B21E9B6">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（10）与本标段的监理人或代建人或招标代理机构存在控股或参股关系；</w:t>
      </w:r>
    </w:p>
    <w:p w14:paraId="552CFA51">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（11）法律法规或投标人须知前附表规定的其他情形。</w:t>
      </w:r>
    </w:p>
    <w:p w14:paraId="4D283291">
      <w:pPr>
        <w:pStyle w:val="3"/>
        <w:ind w:firstLine="422" w:firstLineChars="200"/>
        <w:rPr>
          <w:rFonts w:ascii="宋体" w:hAnsi="宋体" w:eastAsia="宋体" w:cs="宋体"/>
          <w:highlight w:val="none"/>
        </w:rPr>
      </w:pPr>
      <w:r>
        <w:rPr>
          <w:rFonts w:hint="eastAsia" w:ascii="宋体" w:hAnsi="宋体" w:eastAsia="宋体" w:cs="宋体"/>
          <w:highlight w:val="none"/>
        </w:rPr>
        <w:t>1.5 费用承担</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2CDB29E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投标人准备和参加投标活动发生的费用自理。</w:t>
      </w:r>
    </w:p>
    <w:p w14:paraId="6B9E8D17">
      <w:pPr>
        <w:pStyle w:val="3"/>
        <w:ind w:firstLine="422" w:firstLineChars="200"/>
        <w:rPr>
          <w:rFonts w:ascii="宋体" w:hAnsi="宋体" w:eastAsia="宋体" w:cs="宋体"/>
          <w:highlight w:val="none"/>
        </w:rPr>
      </w:pPr>
      <w:bookmarkStart w:id="136" w:name="_Toc324404821"/>
      <w:bookmarkStart w:id="137" w:name="_Toc15058852"/>
      <w:bookmarkStart w:id="138" w:name="_Toc246996924"/>
      <w:bookmarkStart w:id="139" w:name="_Toc296602426"/>
      <w:bookmarkStart w:id="140" w:name="_Toc246996181"/>
      <w:bookmarkStart w:id="141" w:name="_Toc78803328"/>
      <w:bookmarkStart w:id="142" w:name="_Toc152042312"/>
      <w:bookmarkStart w:id="143" w:name="_Toc35425059"/>
      <w:bookmarkStart w:id="144" w:name="_Toc152045536"/>
      <w:bookmarkStart w:id="145" w:name="_Toc506107275"/>
      <w:bookmarkStart w:id="146" w:name="_Toc144974504"/>
      <w:bookmarkStart w:id="147" w:name="_Toc179632553"/>
      <w:bookmarkStart w:id="148" w:name="_Toc247085695"/>
      <w:bookmarkStart w:id="149" w:name="_Toc35424893"/>
      <w:bookmarkStart w:id="150" w:name="_Toc4092"/>
      <w:r>
        <w:rPr>
          <w:rFonts w:hint="eastAsia" w:ascii="宋体" w:hAnsi="宋体" w:eastAsia="宋体" w:cs="宋体"/>
          <w:highlight w:val="none"/>
        </w:rPr>
        <w:t>1.6 保密</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709F25B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 xml:space="preserve">参与招标投标活动的各方应对招标文件和投标文件中的商业和技术等秘密保密，违者应对由此造成的后果承担法律责任。 </w:t>
      </w:r>
    </w:p>
    <w:p w14:paraId="17C94B32">
      <w:pPr>
        <w:pStyle w:val="3"/>
        <w:ind w:firstLine="422" w:firstLineChars="200"/>
        <w:rPr>
          <w:rFonts w:ascii="宋体" w:hAnsi="宋体" w:eastAsia="宋体" w:cs="宋体"/>
          <w:highlight w:val="none"/>
        </w:rPr>
      </w:pPr>
      <w:bookmarkStart w:id="151" w:name="_Toc144974505"/>
      <w:bookmarkStart w:id="152" w:name="_Toc152042313"/>
      <w:bookmarkStart w:id="153" w:name="_Toc15058853"/>
      <w:bookmarkStart w:id="154" w:name="_Toc4119"/>
      <w:bookmarkStart w:id="155" w:name="_Toc324404822"/>
      <w:bookmarkStart w:id="156" w:name="_Toc78803329"/>
      <w:bookmarkStart w:id="157" w:name="_Toc506107276"/>
      <w:bookmarkStart w:id="158" w:name="_Toc152045537"/>
      <w:bookmarkStart w:id="159" w:name="_Toc246996182"/>
      <w:bookmarkStart w:id="160" w:name="_Toc35425060"/>
      <w:bookmarkStart w:id="161" w:name="_Toc35424894"/>
      <w:bookmarkStart w:id="162" w:name="_Toc179632554"/>
      <w:bookmarkStart w:id="163" w:name="_Toc296602427"/>
      <w:bookmarkStart w:id="164" w:name="_Toc247085696"/>
      <w:bookmarkStart w:id="165" w:name="_Toc246996925"/>
      <w:r>
        <w:rPr>
          <w:rFonts w:hint="eastAsia" w:ascii="宋体" w:hAnsi="宋体" w:eastAsia="宋体" w:cs="宋体"/>
          <w:highlight w:val="none"/>
        </w:rPr>
        <w:t>1.7 语言</w:t>
      </w:r>
      <w:bookmarkEnd w:id="151"/>
      <w:r>
        <w:rPr>
          <w:rFonts w:hint="eastAsia" w:ascii="宋体" w:hAnsi="宋体" w:eastAsia="宋体" w:cs="宋体"/>
          <w:highlight w:val="none"/>
        </w:rPr>
        <w:t>文字</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13039B6C">
      <w:pPr>
        <w:spacing w:line="440" w:lineRule="exact"/>
        <w:ind w:firstLine="420" w:firstLineChars="200"/>
        <w:jc w:val="left"/>
        <w:rPr>
          <w:rFonts w:ascii="宋体" w:hAnsi="宋体" w:cs="宋体"/>
          <w:szCs w:val="21"/>
          <w:highlight w:val="none"/>
        </w:rPr>
      </w:pPr>
      <w:bookmarkStart w:id="166" w:name="_Toc179632555"/>
      <w:bookmarkStart w:id="167" w:name="_Toc144974506"/>
      <w:bookmarkStart w:id="168" w:name="_Toc247085697"/>
      <w:bookmarkStart w:id="169" w:name="_Toc246996926"/>
      <w:bookmarkStart w:id="170" w:name="_Toc152042314"/>
      <w:bookmarkStart w:id="171" w:name="_Toc246996183"/>
      <w:bookmarkStart w:id="172" w:name="_Toc152045538"/>
      <w:r>
        <w:rPr>
          <w:rFonts w:hint="eastAsia" w:ascii="宋体" w:hAnsi="宋体" w:cs="宋体"/>
          <w:szCs w:val="21"/>
          <w:highlight w:val="none"/>
        </w:rPr>
        <w:t>招标投标文件使用的语言文字为中文。专用术语使用外文的，应附有中文注释。</w:t>
      </w:r>
    </w:p>
    <w:p w14:paraId="07887133">
      <w:pPr>
        <w:pStyle w:val="3"/>
        <w:ind w:firstLine="422" w:firstLineChars="200"/>
        <w:rPr>
          <w:rFonts w:ascii="宋体" w:hAnsi="宋体" w:eastAsia="宋体" w:cs="宋体"/>
          <w:highlight w:val="none"/>
        </w:rPr>
      </w:pPr>
      <w:bookmarkStart w:id="173" w:name="_Toc15058854"/>
      <w:bookmarkStart w:id="174" w:name="_Toc35425061"/>
      <w:bookmarkStart w:id="175" w:name="_Toc13408"/>
      <w:bookmarkStart w:id="176" w:name="_Toc324404823"/>
      <w:bookmarkStart w:id="177" w:name="_Toc78803330"/>
      <w:bookmarkStart w:id="178" w:name="_Toc506107277"/>
      <w:bookmarkStart w:id="179" w:name="_Toc296602428"/>
      <w:bookmarkStart w:id="180" w:name="_Toc35424895"/>
      <w:r>
        <w:rPr>
          <w:rFonts w:hint="eastAsia" w:ascii="宋体" w:hAnsi="宋体" w:eastAsia="宋体" w:cs="宋体"/>
          <w:highlight w:val="none"/>
        </w:rPr>
        <w:t>1.8 计量单位</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3DEA88E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所有计量均采用中华人民共和国法定计量单位。</w:t>
      </w:r>
    </w:p>
    <w:p w14:paraId="6E75FA73">
      <w:pPr>
        <w:pStyle w:val="3"/>
        <w:ind w:firstLine="422" w:firstLineChars="200"/>
        <w:rPr>
          <w:rFonts w:ascii="宋体" w:hAnsi="宋体" w:eastAsia="宋体" w:cs="宋体"/>
          <w:highlight w:val="none"/>
        </w:rPr>
      </w:pPr>
      <w:bookmarkStart w:id="181" w:name="_Toc78803331"/>
      <w:bookmarkStart w:id="182" w:name="_Toc506107278"/>
      <w:bookmarkStart w:id="183" w:name="_Toc247513962"/>
      <w:bookmarkStart w:id="184" w:name="_Toc247527563"/>
      <w:bookmarkStart w:id="185" w:name="_Toc296602429"/>
      <w:bookmarkStart w:id="186" w:name="_Toc152042315"/>
      <w:bookmarkStart w:id="187" w:name="_Toc247592876"/>
      <w:bookmarkStart w:id="188" w:name="_Toc35424896"/>
      <w:bookmarkStart w:id="189" w:name="_Toc11493"/>
      <w:bookmarkStart w:id="190" w:name="_Toc144974507"/>
      <w:bookmarkStart w:id="191" w:name="_Toc324404824"/>
      <w:bookmarkStart w:id="192" w:name="_Toc15058855"/>
      <w:bookmarkStart w:id="193" w:name="_Toc35425062"/>
      <w:bookmarkStart w:id="194" w:name="_Toc152045539"/>
      <w:r>
        <w:rPr>
          <w:rFonts w:hint="eastAsia" w:ascii="宋体" w:hAnsi="宋体" w:eastAsia="宋体" w:cs="宋体"/>
          <w:highlight w:val="none"/>
        </w:rPr>
        <w:t>1.9 踏勘现场</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5AA9B494">
      <w:pPr>
        <w:spacing w:line="440" w:lineRule="exact"/>
        <w:ind w:firstLine="420" w:firstLineChars="200"/>
        <w:jc w:val="left"/>
        <w:rPr>
          <w:rFonts w:hint="eastAsia" w:ascii="宋体" w:hAnsi="宋体" w:eastAsia="宋体" w:cs="宋体"/>
          <w:szCs w:val="21"/>
          <w:highlight w:val="none"/>
        </w:rPr>
      </w:pPr>
      <w:bookmarkStart w:id="195" w:name="_Toc506107279"/>
      <w:bookmarkStart w:id="196" w:name="_Toc35424897"/>
      <w:bookmarkStart w:id="197" w:name="_Toc78803332"/>
      <w:bookmarkStart w:id="198" w:name="_Toc324404825"/>
      <w:bookmarkStart w:id="199" w:name="_Toc35425063"/>
      <w:bookmarkStart w:id="200" w:name="_Toc152045540"/>
      <w:bookmarkStart w:id="201" w:name="_Toc22954"/>
      <w:bookmarkStart w:id="202" w:name="_Toc247527564"/>
      <w:bookmarkStart w:id="203" w:name="_Toc15058856"/>
      <w:bookmarkStart w:id="204" w:name="_Toc296602430"/>
      <w:bookmarkStart w:id="205" w:name="_Toc152042316"/>
      <w:bookmarkStart w:id="206" w:name="_Toc144974508"/>
      <w:bookmarkStart w:id="207" w:name="_Toc247592877"/>
      <w:bookmarkStart w:id="208" w:name="_Toc247513963"/>
      <w:r>
        <w:rPr>
          <w:rFonts w:hint="eastAsia" w:ascii="宋体" w:hAnsi="宋体" w:eastAsia="宋体" w:cs="宋体"/>
          <w:szCs w:val="21"/>
          <w:highlight w:val="none"/>
        </w:rPr>
        <w:t xml:space="preserve">1.9.1前附表规定组织踏勘现场的，招标人按投标人须知前附表规定的时间、地点组织投标人踏勘项目现场。部分投标人未按时参加踏勘现场的，不影响踏勘现场的正常进行。招标人不得组织单个或部分投标人踏勘项目现场。 </w:t>
      </w:r>
    </w:p>
    <w:p w14:paraId="1D49473C">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1.9.2 投标人踏勘现场发生的费用自理。</w:t>
      </w:r>
    </w:p>
    <w:p w14:paraId="4EA36043">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1.9.3 除招标人的原因外，投标人自行负责在踏勘现场中所发生的人员伤亡和财产损失。</w:t>
      </w:r>
    </w:p>
    <w:p w14:paraId="50FCC1C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1.9.4 招标人在踏勘现场中介绍的工程场地和相关的周边环境情况，供投标人在编制投标文件时参考，招标人不对投标人据此作出的判断和决策负责。</w:t>
      </w:r>
    </w:p>
    <w:p w14:paraId="024D6A4F">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1.9.5无论投标人是否到施工现场实地踏勘，中标后签订合同时和履约过程中，投标人不得以不完全了解现场情况或现场情况与招标文件描述不一致等为由，提出任何形式的增加工程造价或索赔的要求。</w:t>
      </w:r>
    </w:p>
    <w:p w14:paraId="179FDA06">
      <w:pPr>
        <w:pStyle w:val="3"/>
        <w:ind w:firstLine="422" w:firstLineChars="200"/>
        <w:rPr>
          <w:rFonts w:ascii="宋体" w:hAnsi="宋体" w:eastAsia="宋体" w:cs="宋体"/>
          <w:highlight w:val="none"/>
        </w:rPr>
      </w:pPr>
      <w:r>
        <w:rPr>
          <w:rFonts w:hint="eastAsia" w:ascii="宋体" w:hAnsi="宋体" w:eastAsia="宋体" w:cs="宋体"/>
          <w:highlight w:val="none"/>
        </w:rPr>
        <w:t>1.10 投标预备会</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14:paraId="59781F3B">
      <w:pPr>
        <w:spacing w:line="440" w:lineRule="exact"/>
        <w:ind w:firstLine="420" w:firstLineChars="200"/>
        <w:jc w:val="left"/>
        <w:rPr>
          <w:rFonts w:hint="eastAsia" w:ascii="宋体" w:hAnsi="宋体" w:eastAsia="宋体" w:cs="宋体"/>
          <w:szCs w:val="21"/>
          <w:highlight w:val="none"/>
        </w:rPr>
      </w:pPr>
      <w:bookmarkStart w:id="209" w:name="_Toc95223347"/>
      <w:bookmarkStart w:id="210" w:name="_Toc83301699"/>
      <w:bookmarkStart w:id="211" w:name="_Toc60061444"/>
      <w:bookmarkStart w:id="212" w:name="_Toc35425064"/>
      <w:bookmarkStart w:id="213" w:name="_Toc78803333"/>
      <w:bookmarkStart w:id="214" w:name="_Toc35424898"/>
      <w:bookmarkStart w:id="215" w:name="_Toc15058857"/>
      <w:bookmarkStart w:id="216" w:name="_Toc296602431"/>
      <w:bookmarkStart w:id="217" w:name="_Toc506107280"/>
      <w:bookmarkStart w:id="218" w:name="_Toc324404826"/>
      <w:bookmarkStart w:id="219" w:name="_Toc32016"/>
      <w:r>
        <w:rPr>
          <w:rFonts w:hint="eastAsia" w:ascii="宋体" w:hAnsi="宋体" w:eastAsia="宋体" w:cs="宋体"/>
          <w:szCs w:val="21"/>
          <w:highlight w:val="none"/>
        </w:rPr>
        <w:t>1.10.1投标人须知前附表规定召开投标预备会的，招标人按投标人须知前附表规定的时间和地点召开投标预备会，澄清投标人提出的问题。</w:t>
      </w:r>
    </w:p>
    <w:p w14:paraId="68E1CBD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1.10.2投标人应在投标人须知前附表规定的时间前，将提出的问题送达招标人，以便招标人澄清。</w:t>
      </w:r>
    </w:p>
    <w:p w14:paraId="77334C7F">
      <w:pPr>
        <w:pStyle w:val="3"/>
        <w:ind w:firstLine="422" w:firstLineChars="200"/>
        <w:rPr>
          <w:rFonts w:hint="eastAsia" w:ascii="宋体" w:hAnsi="宋体" w:eastAsia="宋体" w:cs="宋体"/>
          <w:highlight w:val="none"/>
        </w:rPr>
      </w:pPr>
      <w:r>
        <w:rPr>
          <w:rFonts w:hint="eastAsia" w:ascii="宋体" w:hAnsi="宋体" w:eastAsia="宋体" w:cs="宋体"/>
          <w:highlight w:val="none"/>
        </w:rPr>
        <w:t>1.11 分包</w:t>
      </w:r>
      <w:bookmarkEnd w:id="209"/>
      <w:bookmarkEnd w:id="210"/>
      <w:bookmarkEnd w:id="211"/>
    </w:p>
    <w:p w14:paraId="4C37D79E">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1.11.1投标人拟在中标后将中标项目的部分非主体、非关键性工作进行分包的，应符合以下规定：</w:t>
      </w:r>
    </w:p>
    <w:p w14:paraId="656917F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（1）分包内容要求：招标人允许分包或不允许分包的专业工程（如有）应在投标人须知前附表中载明；</w:t>
      </w:r>
    </w:p>
    <w:p w14:paraId="5CB3AEC0">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（2）接受分包的第三人资格要求：分包人的资格能力应与其分包工程的标准和规模相适应，且具备投标人须知前附表中规定的资格条件；</w:t>
      </w:r>
    </w:p>
    <w:p w14:paraId="4C9BC43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（3）其他要求：投标人如有分包计划，应按第</w:t>
      </w:r>
      <w:r>
        <w:rPr>
          <w:rFonts w:hint="eastAsia" w:ascii="宋体" w:hAnsi="宋体" w:cs="宋体"/>
          <w:szCs w:val="21"/>
          <w:highlight w:val="none"/>
          <w:lang w:val="en-US" w:eastAsia="zh-CN"/>
        </w:rPr>
        <w:t>九</w:t>
      </w:r>
      <w:r>
        <w:rPr>
          <w:rFonts w:hint="eastAsia" w:ascii="宋体" w:hAnsi="宋体" w:eastAsia="宋体" w:cs="宋体"/>
          <w:szCs w:val="21"/>
          <w:highlight w:val="none"/>
        </w:rPr>
        <w:t>章“投标文件格式”的要求填写“拟分包项目情况表”，明确拟分包的工程及规模，且投标人中标后的分包应满足合同条款的相关要求。</w:t>
      </w:r>
    </w:p>
    <w:p w14:paraId="25700247">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rPr>
        <w:t>1.11.2中标人不得向他人转让中标项目，接受分包的人不得再次分包。中标人应就分包项目向招标人负责，接受分包的人就分包项目承担连带责任</w:t>
      </w:r>
      <w:r>
        <w:rPr>
          <w:rFonts w:hint="eastAsia" w:ascii="宋体" w:hAnsi="宋体" w:eastAsia="宋体" w:cs="宋体"/>
          <w:szCs w:val="21"/>
          <w:highlight w:val="none"/>
          <w:lang w:eastAsia="zh-CN"/>
        </w:rPr>
        <w:t>。</w:t>
      </w:r>
    </w:p>
    <w:p w14:paraId="01FA1CA0">
      <w:pPr>
        <w:pStyle w:val="3"/>
        <w:ind w:firstLine="422" w:firstLineChars="200"/>
        <w:rPr>
          <w:rFonts w:ascii="宋体" w:hAnsi="宋体" w:eastAsia="宋体" w:cs="宋体"/>
          <w:highlight w:val="none"/>
        </w:rPr>
      </w:pPr>
      <w:r>
        <w:rPr>
          <w:rFonts w:hint="eastAsia" w:ascii="宋体" w:hAnsi="宋体" w:eastAsia="宋体" w:cs="宋体"/>
          <w:highlight w:val="none"/>
        </w:rPr>
        <w:t>1.1</w:t>
      </w:r>
      <w:r>
        <w:rPr>
          <w:rFonts w:hint="eastAsia" w:ascii="宋体" w:hAnsi="宋体" w:eastAsia="宋体" w:cs="宋体"/>
          <w:highlight w:val="none"/>
          <w:lang w:val="en-US" w:eastAsia="zh-CN"/>
        </w:rPr>
        <w:t>2</w:t>
      </w:r>
      <w:r>
        <w:rPr>
          <w:rFonts w:hint="eastAsia" w:ascii="宋体" w:hAnsi="宋体" w:eastAsia="宋体" w:cs="宋体"/>
          <w:highlight w:val="none"/>
        </w:rPr>
        <w:t xml:space="preserve"> 偏离</w:t>
      </w:r>
      <w:bookmarkEnd w:id="212"/>
      <w:bookmarkEnd w:id="213"/>
      <w:bookmarkEnd w:id="214"/>
      <w:bookmarkEnd w:id="215"/>
      <w:bookmarkEnd w:id="216"/>
      <w:bookmarkEnd w:id="217"/>
      <w:bookmarkEnd w:id="218"/>
      <w:bookmarkEnd w:id="219"/>
    </w:p>
    <w:p w14:paraId="6C0210C7">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1.12.1投标文件偏离招标文件某些要求，视为投标文件存在偏差。偏差包括重大偏差和细微偏差。</w:t>
      </w:r>
    </w:p>
    <w:p w14:paraId="37CEA0BF">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1.12.2投标文件应对招标文件的实质性要求和条件作出满足性或更有利于招标人的响应，否则，视为投标文件存在重大偏差，投标人的投标将被否决。</w:t>
      </w:r>
    </w:p>
    <w:p w14:paraId="29D3BBD4">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投标文件存在第四章“评标办法”中所列任一无效投标情形的，均属于存在重大偏差。</w:t>
      </w:r>
    </w:p>
    <w:p w14:paraId="5FF54E7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1.12.3投标文件中的下列偏差为细微偏差：</w:t>
      </w:r>
    </w:p>
    <w:p w14:paraId="369FF23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在按照第四章“评标办法”的规定对投标价进行算术性错误修正及其他错误修正后，最终投标报价未超过最高投标限价（如有）或未被否决投标的情况下，出现第四章“评标办法”规定的算术性错误和投标报价的其他错误；</w:t>
      </w:r>
    </w:p>
    <w:p w14:paraId="0E80F0C1">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（2）投标文件个别文字有遗漏错误等不影响投标文件实质性内容的偏差。</w:t>
      </w:r>
    </w:p>
    <w:p w14:paraId="5169B9EF">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1.12.4评标委员会对投标文件中的细微偏差按如下规定处理：</w:t>
      </w:r>
    </w:p>
    <w:p w14:paraId="291A7C9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对于本章第 1.12.3 项（1）目所述的细微偏差，按照第四章“评标办法”的规定予以修正并要求投标人进行澄清；</w:t>
      </w:r>
    </w:p>
    <w:p w14:paraId="2BAB6D7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对于本章第 1.12.3 项（2）目所述的细微偏差，可要求投标人对细微偏差进行澄清。</w:t>
      </w:r>
    </w:p>
    <w:p w14:paraId="258F395D">
      <w:pPr>
        <w:pStyle w:val="3"/>
        <w:spacing w:beforeLines="50" w:afterLines="50"/>
        <w:ind w:firstLine="482" w:firstLineChars="200"/>
        <w:rPr>
          <w:rFonts w:ascii="宋体" w:hAnsi="宋体" w:eastAsia="宋体" w:cs="宋体"/>
          <w:sz w:val="24"/>
          <w:szCs w:val="24"/>
          <w:highlight w:val="none"/>
        </w:rPr>
      </w:pPr>
      <w:bookmarkStart w:id="220" w:name="_Toc35424899"/>
      <w:bookmarkStart w:id="221" w:name="_Toc247085701"/>
      <w:bookmarkStart w:id="222" w:name="_Toc506107281"/>
      <w:bookmarkStart w:id="223" w:name="_Toc144974510"/>
      <w:bookmarkStart w:id="224" w:name="_Toc78803334"/>
      <w:bookmarkStart w:id="225" w:name="_Toc152042318"/>
      <w:bookmarkStart w:id="226" w:name="_Toc246996187"/>
      <w:bookmarkStart w:id="227" w:name="_Toc35425065"/>
      <w:bookmarkStart w:id="228" w:name="_Toc15058858"/>
      <w:bookmarkStart w:id="229" w:name="_Toc4012"/>
      <w:bookmarkStart w:id="230" w:name="_Toc179632560"/>
      <w:bookmarkStart w:id="231" w:name="_Toc152045542"/>
      <w:bookmarkStart w:id="232" w:name="_Toc324404827"/>
      <w:bookmarkStart w:id="233" w:name="_Toc246996930"/>
      <w:r>
        <w:rPr>
          <w:rFonts w:hint="eastAsia" w:ascii="宋体" w:hAnsi="宋体" w:eastAsia="宋体" w:cs="宋体"/>
          <w:sz w:val="24"/>
          <w:szCs w:val="24"/>
          <w:highlight w:val="none"/>
        </w:rPr>
        <w:t>2. 招标文件</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14:paraId="1E9A892E">
      <w:pPr>
        <w:pStyle w:val="3"/>
        <w:ind w:firstLine="422" w:firstLineChars="200"/>
        <w:rPr>
          <w:rFonts w:ascii="宋体" w:hAnsi="宋体" w:eastAsia="宋体" w:cs="宋体"/>
          <w:highlight w:val="none"/>
        </w:rPr>
      </w:pPr>
      <w:bookmarkStart w:id="234" w:name="_Toc506107282"/>
      <w:bookmarkStart w:id="235" w:name="_Toc144974511"/>
      <w:bookmarkStart w:id="236" w:name="_Toc152045543"/>
      <w:bookmarkStart w:id="237" w:name="_Toc246996188"/>
      <w:bookmarkStart w:id="238" w:name="_Toc152042319"/>
      <w:bookmarkStart w:id="239" w:name="_Toc246996931"/>
      <w:bookmarkStart w:id="240" w:name="_Toc78803335"/>
      <w:bookmarkStart w:id="241" w:name="_Toc13213"/>
      <w:bookmarkStart w:id="242" w:name="_Toc247085702"/>
      <w:bookmarkStart w:id="243" w:name="_Toc296602433"/>
      <w:bookmarkStart w:id="244" w:name="_Toc324404828"/>
      <w:bookmarkStart w:id="245" w:name="_Toc179632561"/>
      <w:bookmarkStart w:id="246" w:name="_Toc35425066"/>
      <w:bookmarkStart w:id="247" w:name="_Toc15058859"/>
      <w:bookmarkStart w:id="248" w:name="_Toc35424900"/>
      <w:r>
        <w:rPr>
          <w:rFonts w:hint="eastAsia" w:ascii="宋体" w:hAnsi="宋体" w:eastAsia="宋体" w:cs="宋体"/>
          <w:highlight w:val="none"/>
        </w:rPr>
        <w:t>2.1 招标文件的组成</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2F335EA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2.1.1 本招标文件包括：</w:t>
      </w:r>
    </w:p>
    <w:p w14:paraId="125387C3">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（1）招标公告；</w:t>
      </w:r>
    </w:p>
    <w:p w14:paraId="3745A76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（2）投标人须知；</w:t>
      </w:r>
    </w:p>
    <w:p w14:paraId="0C51073E">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（3）资格审查办法</w:t>
      </w:r>
    </w:p>
    <w:p w14:paraId="41CA133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（4）评标办法；</w:t>
      </w:r>
    </w:p>
    <w:p w14:paraId="21E08D67">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rPr>
        <w:t>（5）工程量清单</w:t>
      </w:r>
      <w:r>
        <w:rPr>
          <w:rFonts w:hint="eastAsia" w:ascii="宋体" w:hAnsi="宋体" w:eastAsia="宋体" w:cs="宋体"/>
          <w:szCs w:val="21"/>
          <w:highlight w:val="none"/>
          <w:lang w:eastAsia="zh-CN"/>
        </w:rPr>
        <w:t>；</w:t>
      </w:r>
    </w:p>
    <w:p w14:paraId="4479AF15">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图纸</w:t>
      </w:r>
    </w:p>
    <w:p w14:paraId="3435A786">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7</w:t>
      </w:r>
      <w:r>
        <w:rPr>
          <w:rFonts w:hint="eastAsia" w:ascii="宋体" w:hAnsi="宋体" w:eastAsia="宋体" w:cs="宋体"/>
          <w:szCs w:val="21"/>
          <w:highlight w:val="none"/>
        </w:rPr>
        <w:t>）合同条款及格式；</w:t>
      </w:r>
    </w:p>
    <w:p w14:paraId="544DE8B8">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8</w:t>
      </w:r>
      <w:r>
        <w:rPr>
          <w:rFonts w:hint="eastAsia" w:ascii="宋体" w:hAnsi="宋体" w:eastAsia="宋体" w:cs="宋体"/>
          <w:szCs w:val="21"/>
          <w:highlight w:val="none"/>
        </w:rPr>
        <w:t>）投标文件格式；</w:t>
      </w:r>
    </w:p>
    <w:p w14:paraId="4025A03C">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9</w:t>
      </w:r>
      <w:r>
        <w:rPr>
          <w:rFonts w:hint="eastAsia" w:ascii="宋体" w:hAnsi="宋体" w:eastAsia="宋体" w:cs="宋体"/>
          <w:szCs w:val="21"/>
          <w:highlight w:val="none"/>
        </w:rPr>
        <w:t>）投标人须知前附表规定的其他材料。</w:t>
      </w:r>
    </w:p>
    <w:p w14:paraId="4A2A5929">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2.1.2 根据本章第1.10款、第2.2款和第2.3款对招标文件所作的澄清、修改，构成招标文件的组成部分。</w:t>
      </w:r>
    </w:p>
    <w:p w14:paraId="07992AB0">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2.1.3当招标文件、招标文件的澄清或修改等在同一内容的表述上不一致时，以最后发出的文件为准。</w:t>
      </w:r>
    </w:p>
    <w:p w14:paraId="3B513EA0">
      <w:pPr>
        <w:pStyle w:val="3"/>
        <w:ind w:firstLine="422" w:firstLineChars="200"/>
        <w:rPr>
          <w:rFonts w:hint="eastAsia" w:ascii="宋体" w:hAnsi="宋体" w:eastAsia="宋体" w:cs="宋体"/>
          <w:highlight w:val="none"/>
        </w:rPr>
      </w:pPr>
      <w:bookmarkStart w:id="249" w:name="_Toc179632562"/>
      <w:bookmarkStart w:id="250" w:name="_Toc324404829"/>
      <w:bookmarkStart w:id="251" w:name="_Toc296602434"/>
      <w:bookmarkStart w:id="252" w:name="_Toc247085703"/>
      <w:bookmarkStart w:id="253" w:name="_Toc152042320"/>
      <w:bookmarkStart w:id="254" w:name="_Toc152045544"/>
      <w:bookmarkStart w:id="255" w:name="_Toc32239"/>
      <w:bookmarkStart w:id="256" w:name="_Toc246996932"/>
      <w:bookmarkStart w:id="257" w:name="_Toc144974512"/>
      <w:bookmarkStart w:id="258" w:name="_Toc246996189"/>
      <w:bookmarkStart w:id="259" w:name="_Toc35424901"/>
      <w:bookmarkStart w:id="260" w:name="_Toc78803336"/>
      <w:bookmarkStart w:id="261" w:name="_Toc15058860"/>
      <w:bookmarkStart w:id="262" w:name="_Toc506107283"/>
      <w:bookmarkStart w:id="263" w:name="_Toc35425067"/>
      <w:r>
        <w:rPr>
          <w:rFonts w:hint="eastAsia" w:ascii="宋体" w:hAnsi="宋体" w:eastAsia="宋体" w:cs="宋体"/>
          <w:highlight w:val="none"/>
        </w:rPr>
        <w:t xml:space="preserve">2.2 </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Fonts w:hint="eastAsia" w:ascii="宋体" w:hAnsi="宋体" w:eastAsia="宋体" w:cs="宋体"/>
          <w:highlight w:val="none"/>
        </w:rPr>
        <w:t>招标文件的异议</w:t>
      </w:r>
    </w:p>
    <w:p w14:paraId="47165EF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投标人应仔细阅读和检查招标文件的全部内容。如有疑问，应在投标人须知前附表规定的时间前</w:t>
      </w:r>
      <w:r>
        <w:rPr>
          <w:rFonts w:hint="eastAsia" w:ascii="宋体" w:hAnsi="宋体" w:eastAsia="宋体" w:cs="宋体"/>
          <w:color w:val="auto"/>
          <w:szCs w:val="21"/>
          <w:highlight w:val="none"/>
          <w:lang w:val="en-US" w:eastAsia="zh-CN"/>
        </w:rPr>
        <w:t>登录新点电子交易平台【滁州专区】线上提出</w:t>
      </w:r>
      <w:r>
        <w:rPr>
          <w:rFonts w:hint="eastAsia" w:ascii="宋体" w:hAnsi="宋体" w:cs="宋体"/>
          <w:szCs w:val="21"/>
          <w:highlight w:val="none"/>
        </w:rPr>
        <w:t>。</w:t>
      </w:r>
    </w:p>
    <w:p w14:paraId="5EC8A5BB">
      <w:pPr>
        <w:pStyle w:val="3"/>
        <w:ind w:firstLine="422" w:firstLineChars="200"/>
        <w:rPr>
          <w:rFonts w:hint="eastAsia" w:ascii="宋体" w:hAnsi="宋体" w:eastAsia="宋体" w:cs="宋体"/>
          <w:highlight w:val="none"/>
          <w:lang w:eastAsia="zh-CN"/>
        </w:rPr>
      </w:pPr>
      <w:bookmarkStart w:id="264" w:name="_Toc144974513"/>
      <w:bookmarkStart w:id="265" w:name="_Toc247085704"/>
      <w:bookmarkStart w:id="266" w:name="_Toc246996190"/>
      <w:bookmarkStart w:id="267" w:name="_Toc15058861"/>
      <w:bookmarkStart w:id="268" w:name="_Toc246996933"/>
      <w:bookmarkStart w:id="269" w:name="_Toc35424902"/>
      <w:bookmarkStart w:id="270" w:name="_Toc296602435"/>
      <w:bookmarkStart w:id="271" w:name="_Toc78803337"/>
      <w:bookmarkStart w:id="272" w:name="_Toc152042321"/>
      <w:bookmarkStart w:id="273" w:name="_Toc152045545"/>
      <w:bookmarkStart w:id="274" w:name="_Toc24633"/>
      <w:bookmarkStart w:id="275" w:name="_Toc35425068"/>
      <w:bookmarkStart w:id="276" w:name="_Toc506107284"/>
      <w:bookmarkStart w:id="277" w:name="_Toc324404830"/>
      <w:bookmarkStart w:id="278" w:name="_Toc179632563"/>
      <w:r>
        <w:rPr>
          <w:rFonts w:hint="eastAsia" w:ascii="宋体" w:hAnsi="宋体" w:eastAsia="宋体" w:cs="宋体"/>
          <w:highlight w:val="none"/>
        </w:rPr>
        <w:t>2.3 招标文件的</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Fonts w:hint="eastAsia" w:ascii="宋体" w:hAnsi="宋体" w:eastAsia="宋体" w:cs="宋体"/>
          <w:highlight w:val="none"/>
          <w:lang w:val="en-US" w:eastAsia="zh-CN"/>
        </w:rPr>
        <w:t>澄清</w:t>
      </w:r>
    </w:p>
    <w:p w14:paraId="47D94C5D">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szCs w:val="21"/>
          <w:highlight w:val="none"/>
        </w:rPr>
      </w:pPr>
      <w:bookmarkStart w:id="279" w:name="_Toc35424903"/>
      <w:bookmarkStart w:id="280" w:name="_Toc2696"/>
      <w:bookmarkStart w:id="281" w:name="_Toc15058862"/>
      <w:bookmarkStart w:id="282" w:name="_Toc324404831"/>
      <w:bookmarkStart w:id="283" w:name="_Toc35425069"/>
      <w:bookmarkStart w:id="284" w:name="_Toc78803338"/>
      <w:r>
        <w:rPr>
          <w:rFonts w:hint="eastAsia" w:ascii="宋体" w:hAnsi="宋体" w:eastAsia="宋体" w:cs="宋体"/>
          <w:szCs w:val="21"/>
          <w:highlight w:val="none"/>
        </w:rPr>
        <w:t>招标文件的澄清将在</w:t>
      </w:r>
      <w:r>
        <w:rPr>
          <w:rFonts w:hint="eastAsia" w:ascii="宋体" w:hAnsi="宋体" w:eastAsia="宋体" w:cs="宋体"/>
          <w:szCs w:val="21"/>
          <w:highlight w:val="none"/>
          <w:lang w:val="en-US" w:eastAsia="zh-CN"/>
        </w:rPr>
        <w:t>滁州市城投工程咨询管理有限公司网站</w:t>
      </w:r>
      <w:r>
        <w:rPr>
          <w:rFonts w:hint="eastAsia" w:ascii="宋体" w:hAnsi="宋体" w:eastAsia="宋体" w:cs="宋体"/>
          <w:szCs w:val="21"/>
          <w:highlight w:val="none"/>
        </w:rPr>
        <w:t>（https://www.czctgczx.com/）发布，但不指明澄清问题的来源。如果澄清发出的时间距投标人须知前附表规定的投标截止时间不足15天，并且澄清内容影响投标文件编制的，将相应延长投标截止时间。</w:t>
      </w:r>
    </w:p>
    <w:bookmarkEnd w:id="279"/>
    <w:bookmarkEnd w:id="280"/>
    <w:bookmarkEnd w:id="281"/>
    <w:bookmarkEnd w:id="282"/>
    <w:bookmarkEnd w:id="283"/>
    <w:bookmarkEnd w:id="284"/>
    <w:p w14:paraId="5681C7DF">
      <w:pPr>
        <w:pStyle w:val="3"/>
        <w:spacing w:beforeLines="50" w:afterLines="50"/>
        <w:ind w:firstLine="482" w:firstLineChars="200"/>
        <w:rPr>
          <w:rFonts w:ascii="宋体" w:hAnsi="宋体" w:eastAsia="宋体" w:cs="宋体"/>
          <w:sz w:val="24"/>
          <w:szCs w:val="24"/>
          <w:highlight w:val="none"/>
        </w:rPr>
      </w:pPr>
      <w:bookmarkStart w:id="285" w:name="_Toc246996191"/>
      <w:bookmarkStart w:id="286" w:name="_Toc35424904"/>
      <w:bookmarkStart w:id="287" w:name="_Toc78803339"/>
      <w:bookmarkStart w:id="288" w:name="_Toc152042322"/>
      <w:bookmarkStart w:id="289" w:name="_Toc6464"/>
      <w:bookmarkStart w:id="290" w:name="_Toc246996934"/>
      <w:bookmarkStart w:id="291" w:name="_Toc324404832"/>
      <w:bookmarkStart w:id="292" w:name="_Toc15058863"/>
      <w:bookmarkStart w:id="293" w:name="_Toc506107285"/>
      <w:bookmarkStart w:id="294" w:name="_Toc152045546"/>
      <w:bookmarkStart w:id="295" w:name="_Toc179632564"/>
      <w:bookmarkStart w:id="296" w:name="_Toc35425070"/>
      <w:bookmarkStart w:id="297" w:name="_Toc144974514"/>
      <w:bookmarkStart w:id="298" w:name="_Toc247085705"/>
      <w:r>
        <w:rPr>
          <w:rFonts w:hint="eastAsia" w:ascii="宋体" w:hAnsi="宋体" w:eastAsia="宋体" w:cs="宋体"/>
          <w:sz w:val="24"/>
          <w:szCs w:val="24"/>
          <w:highlight w:val="none"/>
        </w:rPr>
        <w:t>3. 投标文件</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218225A2">
      <w:pPr>
        <w:pStyle w:val="3"/>
        <w:ind w:firstLine="422" w:firstLineChars="200"/>
        <w:rPr>
          <w:rFonts w:ascii="宋体" w:hAnsi="宋体" w:eastAsia="宋体" w:cs="宋体"/>
          <w:highlight w:val="none"/>
        </w:rPr>
      </w:pPr>
      <w:bookmarkStart w:id="299" w:name="_Toc247085706"/>
      <w:bookmarkStart w:id="300" w:name="_Toc144974515"/>
      <w:bookmarkStart w:id="301" w:name="_Toc179632565"/>
      <w:bookmarkStart w:id="302" w:name="_Toc246996935"/>
      <w:bookmarkStart w:id="303" w:name="_Toc296602437"/>
      <w:bookmarkStart w:id="304" w:name="_Toc35425071"/>
      <w:bookmarkStart w:id="305" w:name="_Toc78803340"/>
      <w:bookmarkStart w:id="306" w:name="_Toc152042323"/>
      <w:bookmarkStart w:id="307" w:name="_Toc506107286"/>
      <w:bookmarkStart w:id="308" w:name="_Toc15058864"/>
      <w:bookmarkStart w:id="309" w:name="_Toc246996192"/>
      <w:bookmarkStart w:id="310" w:name="_Toc152045547"/>
      <w:bookmarkStart w:id="311" w:name="_Toc35424905"/>
      <w:bookmarkStart w:id="312" w:name="_Toc157"/>
      <w:bookmarkStart w:id="313" w:name="_Toc324404833"/>
      <w:r>
        <w:rPr>
          <w:rFonts w:hint="eastAsia" w:ascii="宋体" w:hAnsi="宋体" w:eastAsia="宋体" w:cs="宋体"/>
          <w:highlight w:val="none"/>
        </w:rPr>
        <w:t>3.1 投标文件的组成</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14:paraId="6871D10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eastAsia="zh-CN"/>
        </w:rPr>
        <w:t>投标文件</w:t>
      </w:r>
      <w:r>
        <w:rPr>
          <w:rFonts w:hint="eastAsia" w:ascii="宋体" w:hAnsi="宋体" w:cs="宋体"/>
          <w:szCs w:val="21"/>
          <w:highlight w:val="none"/>
        </w:rPr>
        <w:t>由</w:t>
      </w:r>
      <w:r>
        <w:rPr>
          <w:rFonts w:hint="eastAsia" w:ascii="宋体" w:hAnsi="宋体" w:cs="宋体"/>
          <w:szCs w:val="21"/>
          <w:highlight w:val="none"/>
          <w:lang w:eastAsia="zh-CN"/>
        </w:rPr>
        <w:t>投标文件</w:t>
      </w:r>
      <w:r>
        <w:rPr>
          <w:rFonts w:hint="eastAsia" w:ascii="宋体" w:hAnsi="宋体" w:cs="宋体"/>
          <w:szCs w:val="21"/>
          <w:highlight w:val="none"/>
        </w:rPr>
        <w:t>一（资信证明文件）</w:t>
      </w:r>
      <w:r>
        <w:rPr>
          <w:rFonts w:hint="eastAsia" w:ascii="宋体" w:hAnsi="宋体" w:cs="宋体"/>
          <w:szCs w:val="21"/>
          <w:highlight w:val="none"/>
          <w:lang w:eastAsia="zh-CN"/>
        </w:rPr>
        <w:t>、投标文件</w:t>
      </w:r>
      <w:r>
        <w:rPr>
          <w:rFonts w:hint="eastAsia" w:ascii="宋体" w:hAnsi="宋体" w:cs="宋体"/>
          <w:szCs w:val="21"/>
          <w:highlight w:val="none"/>
          <w:lang w:val="en-US" w:eastAsia="zh-CN"/>
        </w:rPr>
        <w:t>二</w:t>
      </w:r>
      <w:r>
        <w:rPr>
          <w:rFonts w:hint="eastAsia" w:ascii="宋体" w:hAnsi="宋体" w:cs="宋体"/>
          <w:szCs w:val="21"/>
          <w:highlight w:val="none"/>
        </w:rPr>
        <w:t>（</w:t>
      </w:r>
      <w:r>
        <w:rPr>
          <w:rFonts w:hint="eastAsia" w:ascii="宋体" w:hAnsi="宋体" w:cs="宋体"/>
          <w:szCs w:val="21"/>
          <w:highlight w:val="none"/>
          <w:lang w:val="en-US" w:eastAsia="zh-CN"/>
        </w:rPr>
        <w:t>技术标文件</w:t>
      </w:r>
      <w:r>
        <w:rPr>
          <w:rFonts w:hint="eastAsia" w:ascii="宋体" w:hAnsi="宋体" w:cs="宋体"/>
          <w:szCs w:val="21"/>
          <w:highlight w:val="none"/>
        </w:rPr>
        <w:t>）</w:t>
      </w:r>
      <w:r>
        <w:rPr>
          <w:rFonts w:hint="eastAsia" w:ascii="宋体" w:hAnsi="宋体" w:cs="宋体"/>
          <w:szCs w:val="21"/>
          <w:highlight w:val="none"/>
          <w:lang w:val="en-US" w:eastAsia="zh-CN"/>
        </w:rPr>
        <w:t>和</w:t>
      </w:r>
      <w:r>
        <w:rPr>
          <w:rFonts w:hint="eastAsia" w:ascii="宋体" w:hAnsi="宋体" w:cs="宋体"/>
          <w:szCs w:val="21"/>
          <w:highlight w:val="none"/>
          <w:lang w:eastAsia="zh-CN"/>
        </w:rPr>
        <w:t>投标文件</w:t>
      </w:r>
      <w:r>
        <w:rPr>
          <w:rFonts w:hint="eastAsia" w:ascii="宋体" w:hAnsi="宋体" w:cs="宋体"/>
          <w:szCs w:val="21"/>
          <w:highlight w:val="none"/>
          <w:lang w:val="en-US" w:eastAsia="zh-CN"/>
        </w:rPr>
        <w:t>三</w:t>
      </w:r>
      <w:r>
        <w:rPr>
          <w:rFonts w:hint="eastAsia" w:ascii="宋体" w:hAnsi="宋体" w:cs="宋体"/>
          <w:szCs w:val="21"/>
          <w:highlight w:val="none"/>
        </w:rPr>
        <w:t>（商务标</w:t>
      </w:r>
      <w:r>
        <w:rPr>
          <w:rFonts w:hint="eastAsia" w:ascii="宋体" w:hAnsi="宋体" w:cs="宋体"/>
          <w:szCs w:val="21"/>
          <w:highlight w:val="none"/>
          <w:lang w:val="en-US" w:eastAsia="zh-CN"/>
        </w:rPr>
        <w:t>文件</w:t>
      </w:r>
      <w:r>
        <w:rPr>
          <w:rFonts w:hint="eastAsia" w:ascii="宋体" w:hAnsi="宋体" w:cs="宋体"/>
          <w:szCs w:val="21"/>
          <w:highlight w:val="none"/>
        </w:rPr>
        <w:t>）</w:t>
      </w:r>
      <w:r>
        <w:rPr>
          <w:rFonts w:hint="eastAsia" w:ascii="宋体" w:hAnsi="宋体" w:cs="宋体"/>
          <w:szCs w:val="21"/>
          <w:highlight w:val="none"/>
          <w:lang w:val="en-US" w:eastAsia="zh-CN"/>
        </w:rPr>
        <w:t>三</w:t>
      </w:r>
      <w:r>
        <w:rPr>
          <w:rFonts w:hint="eastAsia" w:ascii="宋体" w:hAnsi="宋体" w:cs="宋体"/>
          <w:szCs w:val="21"/>
          <w:highlight w:val="none"/>
        </w:rPr>
        <w:t>部分组成</w:t>
      </w:r>
      <w:r>
        <w:rPr>
          <w:rFonts w:hint="eastAsia" w:ascii="宋体" w:hAnsi="宋体" w:cs="宋体"/>
          <w:szCs w:val="21"/>
          <w:highlight w:val="none"/>
          <w:lang w:eastAsia="zh-CN"/>
        </w:rPr>
        <w:t>。</w:t>
      </w:r>
      <w:r>
        <w:rPr>
          <w:rFonts w:hint="eastAsia" w:ascii="宋体" w:hAnsi="宋体" w:cs="宋体"/>
          <w:szCs w:val="21"/>
          <w:highlight w:val="none"/>
        </w:rPr>
        <w:t>具体要求详见本招标文件第</w:t>
      </w:r>
      <w:r>
        <w:rPr>
          <w:rFonts w:hint="eastAsia" w:ascii="宋体" w:hAnsi="宋体" w:cs="宋体"/>
          <w:szCs w:val="21"/>
          <w:highlight w:val="none"/>
          <w:lang w:val="en-US" w:eastAsia="zh-CN"/>
        </w:rPr>
        <w:t>九</w:t>
      </w:r>
      <w:r>
        <w:rPr>
          <w:rFonts w:hint="eastAsia" w:ascii="宋体" w:hAnsi="宋体" w:cs="宋体"/>
          <w:szCs w:val="21"/>
          <w:highlight w:val="none"/>
        </w:rPr>
        <w:t>章“投标文件格式”。</w:t>
      </w:r>
    </w:p>
    <w:p w14:paraId="68B92645">
      <w:pPr>
        <w:pStyle w:val="3"/>
        <w:ind w:firstLine="422" w:firstLineChars="200"/>
        <w:rPr>
          <w:rFonts w:ascii="宋体" w:hAnsi="宋体" w:eastAsia="宋体" w:cs="宋体"/>
          <w:highlight w:val="none"/>
        </w:rPr>
      </w:pPr>
      <w:bookmarkStart w:id="314" w:name="_Toc152045548"/>
      <w:bookmarkStart w:id="315" w:name="_Toc78803341"/>
      <w:bookmarkStart w:id="316" w:name="_Toc144974516"/>
      <w:bookmarkStart w:id="317" w:name="_Toc179632566"/>
      <w:bookmarkStart w:id="318" w:name="_Toc35424906"/>
      <w:bookmarkStart w:id="319" w:name="_Toc246996936"/>
      <w:bookmarkStart w:id="320" w:name="_Toc506107287"/>
      <w:bookmarkStart w:id="321" w:name="_Toc247085707"/>
      <w:bookmarkStart w:id="322" w:name="_Toc152042324"/>
      <w:bookmarkStart w:id="323" w:name="_Toc246996193"/>
      <w:bookmarkStart w:id="324" w:name="_Toc296602438"/>
      <w:bookmarkStart w:id="325" w:name="_Toc35425072"/>
      <w:bookmarkStart w:id="326" w:name="_Toc15058865"/>
      <w:bookmarkStart w:id="327" w:name="_Toc6829"/>
      <w:bookmarkStart w:id="328" w:name="_Toc324404834"/>
      <w:r>
        <w:rPr>
          <w:rFonts w:hint="eastAsia" w:ascii="宋体" w:hAnsi="宋体" w:eastAsia="宋体" w:cs="宋体"/>
          <w:highlight w:val="none"/>
        </w:rPr>
        <w:t>3.2 投标报价</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14:paraId="705FA1B6">
      <w:pPr>
        <w:spacing w:line="440" w:lineRule="exact"/>
        <w:ind w:firstLine="420" w:firstLineChars="200"/>
        <w:jc w:val="left"/>
        <w:rPr>
          <w:rFonts w:hint="eastAsia" w:ascii="宋体" w:hAnsi="宋体" w:eastAsia="宋体" w:cs="宋体"/>
          <w:szCs w:val="21"/>
          <w:highlight w:val="none"/>
          <w:lang w:eastAsia="zh-CN"/>
        </w:rPr>
      </w:pPr>
      <w:bookmarkStart w:id="329" w:name="_Toc35425073"/>
      <w:bookmarkStart w:id="330" w:name="_Toc324404835"/>
      <w:bookmarkStart w:id="331" w:name="_Toc78803342"/>
      <w:bookmarkStart w:id="332" w:name="_Toc506107288"/>
      <w:bookmarkStart w:id="333" w:name="_Toc246996194"/>
      <w:bookmarkStart w:id="334" w:name="_Toc296602439"/>
      <w:bookmarkStart w:id="335" w:name="_Toc152042325"/>
      <w:bookmarkStart w:id="336" w:name="_Toc144974517"/>
      <w:bookmarkStart w:id="337" w:name="_Toc179632567"/>
      <w:bookmarkStart w:id="338" w:name="_Toc152045549"/>
      <w:bookmarkStart w:id="339" w:name="_Toc31735"/>
      <w:bookmarkStart w:id="340" w:name="_Toc247085708"/>
      <w:bookmarkStart w:id="341" w:name="_Toc15058866"/>
      <w:bookmarkStart w:id="342" w:name="_Toc35424907"/>
      <w:bookmarkStart w:id="343" w:name="_Toc246996937"/>
      <w:r>
        <w:rPr>
          <w:rFonts w:hint="eastAsia" w:ascii="宋体" w:hAnsi="宋体" w:eastAsia="宋体" w:cs="宋体"/>
          <w:szCs w:val="21"/>
          <w:highlight w:val="none"/>
          <w:lang w:eastAsia="zh-CN"/>
        </w:rPr>
        <w:t>3.2.1投标报价应包括国家规定的增值税税金，除投标人须知前附表另有规定外，增值税税金按一般计税方法计算。投标人应按第</w:t>
      </w:r>
      <w:r>
        <w:rPr>
          <w:rFonts w:hint="eastAsia" w:ascii="宋体" w:hAnsi="宋体" w:cs="宋体"/>
          <w:szCs w:val="21"/>
          <w:highlight w:val="none"/>
          <w:lang w:val="en-US" w:eastAsia="zh-CN"/>
        </w:rPr>
        <w:t>九</w:t>
      </w:r>
      <w:r>
        <w:rPr>
          <w:rFonts w:hint="eastAsia" w:ascii="宋体" w:hAnsi="宋体" w:eastAsia="宋体" w:cs="宋体"/>
          <w:szCs w:val="21"/>
          <w:highlight w:val="none"/>
          <w:lang w:eastAsia="zh-CN"/>
        </w:rPr>
        <w:t>章“投标文件格式”的要求在投标函中进行报价。</w:t>
      </w:r>
    </w:p>
    <w:p w14:paraId="1192EB75">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3.2.2投标人应充分了解本项目的总体情况以及影响投标报价的其他要素。</w:t>
      </w:r>
    </w:p>
    <w:p w14:paraId="037A7F96">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3.2.</w:t>
      </w:r>
      <w:r>
        <w:rPr>
          <w:rFonts w:hint="eastAsia" w:ascii="宋体" w:hAnsi="宋体" w:cs="宋体"/>
          <w:szCs w:val="21"/>
          <w:highlight w:val="none"/>
          <w:lang w:val="en-US" w:eastAsia="zh-CN"/>
        </w:rPr>
        <w:t>3</w:t>
      </w:r>
      <w:r>
        <w:rPr>
          <w:rFonts w:hint="eastAsia" w:ascii="宋体" w:hAnsi="宋体" w:eastAsia="宋体" w:cs="宋体"/>
          <w:szCs w:val="21"/>
          <w:highlight w:val="none"/>
          <w:lang w:eastAsia="zh-CN"/>
        </w:rPr>
        <w:t>招标人设有最高投标</w:t>
      </w:r>
      <w:bookmarkStart w:id="1039" w:name="_GoBack"/>
      <w:r>
        <w:rPr>
          <w:rFonts w:hint="eastAsia" w:ascii="宋体" w:hAnsi="宋体" w:eastAsia="宋体" w:cs="宋体"/>
          <w:szCs w:val="21"/>
          <w:highlight w:val="none"/>
          <w:lang w:eastAsia="zh-CN"/>
        </w:rPr>
        <w:t>限价</w:t>
      </w:r>
      <w:bookmarkEnd w:id="1039"/>
      <w:r>
        <w:rPr>
          <w:rFonts w:hint="eastAsia" w:ascii="宋体" w:hAnsi="宋体" w:eastAsia="宋体" w:cs="宋体"/>
          <w:szCs w:val="21"/>
          <w:highlight w:val="none"/>
          <w:lang w:eastAsia="zh-CN"/>
        </w:rPr>
        <w:t>的，投标人的投标报价不得超过最高投标限价，最高投标限价在投标人须知前附表中载明。</w:t>
      </w:r>
    </w:p>
    <w:p w14:paraId="7C1D3D58">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3.2.</w:t>
      </w:r>
      <w:r>
        <w:rPr>
          <w:rFonts w:hint="eastAsia" w:ascii="宋体" w:hAnsi="宋体" w:cs="宋体"/>
          <w:szCs w:val="21"/>
          <w:highlight w:val="none"/>
          <w:lang w:val="en-US" w:eastAsia="zh-CN"/>
        </w:rPr>
        <w:t>4</w:t>
      </w:r>
      <w:r>
        <w:rPr>
          <w:rFonts w:hint="eastAsia" w:ascii="宋体" w:hAnsi="宋体" w:eastAsia="宋体" w:cs="宋体"/>
          <w:szCs w:val="21"/>
          <w:highlight w:val="none"/>
          <w:lang w:eastAsia="zh-CN"/>
        </w:rPr>
        <w:t xml:space="preserve"> 投标报价的其他要求见投标人须知前附表。</w:t>
      </w:r>
    </w:p>
    <w:p w14:paraId="454C15E1">
      <w:pPr>
        <w:pStyle w:val="3"/>
        <w:ind w:firstLine="422" w:firstLineChars="200"/>
        <w:rPr>
          <w:rFonts w:ascii="宋体" w:hAnsi="宋体" w:eastAsia="宋体" w:cs="宋体"/>
          <w:highlight w:val="none"/>
        </w:rPr>
      </w:pPr>
      <w:r>
        <w:rPr>
          <w:rFonts w:hint="eastAsia" w:ascii="宋体" w:hAnsi="宋体" w:eastAsia="宋体" w:cs="宋体"/>
          <w:highlight w:val="none"/>
        </w:rPr>
        <w:t>3.3 投标有效期</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38E346F9">
      <w:pPr>
        <w:spacing w:line="440" w:lineRule="exact"/>
        <w:ind w:firstLine="420" w:firstLineChars="200"/>
        <w:jc w:val="left"/>
        <w:rPr>
          <w:rFonts w:hint="eastAsia" w:ascii="宋体" w:hAnsi="宋体" w:eastAsia="宋体" w:cs="宋体"/>
          <w:szCs w:val="21"/>
          <w:highlight w:val="none"/>
        </w:rPr>
      </w:pPr>
      <w:r>
        <w:rPr>
          <w:rFonts w:hint="eastAsia" w:ascii="宋体" w:hAnsi="宋体" w:cs="宋体"/>
          <w:szCs w:val="21"/>
          <w:highlight w:val="none"/>
        </w:rPr>
        <w:t>3</w:t>
      </w:r>
      <w:r>
        <w:rPr>
          <w:rFonts w:hint="eastAsia" w:ascii="宋体" w:hAnsi="宋体" w:eastAsia="宋体" w:cs="宋体"/>
          <w:szCs w:val="21"/>
          <w:highlight w:val="none"/>
        </w:rPr>
        <w:t>.3.1 除投标人须知前附表另有规定外，投标有效期为90天。</w:t>
      </w:r>
    </w:p>
    <w:p w14:paraId="19262D1F">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3.3.2在投标有效期内，投标人撤销或修改其投标文件的，应承担招标文件和法律规定的责任。</w:t>
      </w:r>
    </w:p>
    <w:p w14:paraId="68D42DB1">
      <w:pPr>
        <w:spacing w:line="440" w:lineRule="exact"/>
        <w:ind w:firstLine="420" w:firstLineChars="200"/>
        <w:jc w:val="left"/>
        <w:rPr>
          <w:rFonts w:ascii="宋体" w:hAnsi="宋体" w:cs="宋体"/>
          <w:szCs w:val="21"/>
          <w:highlight w:val="none"/>
        </w:rPr>
      </w:pPr>
      <w:r>
        <w:rPr>
          <w:rFonts w:hint="eastAsia" w:ascii="宋体" w:hAnsi="宋体" w:eastAsia="宋体" w:cs="宋体"/>
          <w:szCs w:val="21"/>
          <w:highlight w:val="none"/>
        </w:rPr>
        <w:t>3.3.3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780A1DA0">
      <w:pPr>
        <w:pStyle w:val="3"/>
        <w:pageBreakBefore w:val="0"/>
        <w:widowControl w:val="0"/>
        <w:kinsoku/>
        <w:wordWrap/>
        <w:overflowPunct/>
        <w:topLinePunct w:val="0"/>
        <w:autoSpaceDE/>
        <w:autoSpaceDN/>
        <w:bidi w:val="0"/>
        <w:spacing w:line="440" w:lineRule="exact"/>
        <w:ind w:firstLine="422" w:firstLineChars="200"/>
        <w:textAlignment w:val="auto"/>
        <w:rPr>
          <w:rFonts w:hint="eastAsia" w:ascii="宋体" w:hAnsi="宋体" w:eastAsia="宋体" w:cs="宋体"/>
          <w:highlight w:val="none"/>
        </w:rPr>
      </w:pPr>
      <w:bookmarkStart w:id="344" w:name="_Toc152042326"/>
      <w:bookmarkStart w:id="345" w:name="_Toc246996938"/>
      <w:bookmarkStart w:id="346" w:name="_Toc35425074"/>
      <w:bookmarkStart w:id="347" w:name="_Toc246996195"/>
      <w:bookmarkStart w:id="348" w:name="_Toc15058867"/>
      <w:bookmarkStart w:id="349" w:name="_Toc152045550"/>
      <w:bookmarkStart w:id="350" w:name="_Toc10714"/>
      <w:bookmarkStart w:id="351" w:name="_Toc179632568"/>
      <w:bookmarkStart w:id="352" w:name="_Toc324404836"/>
      <w:bookmarkStart w:id="353" w:name="_Toc78803343"/>
      <w:bookmarkStart w:id="354" w:name="_Toc296602440"/>
      <w:bookmarkStart w:id="355" w:name="_Toc506107289"/>
      <w:bookmarkStart w:id="356" w:name="_Toc35424908"/>
      <w:bookmarkStart w:id="357" w:name="_Toc247085709"/>
      <w:bookmarkStart w:id="358" w:name="_Toc144974518"/>
      <w:r>
        <w:rPr>
          <w:rFonts w:hint="eastAsia" w:ascii="宋体" w:hAnsi="宋体" w:eastAsia="宋体" w:cs="宋体"/>
          <w:highlight w:val="none"/>
        </w:rPr>
        <w:t>3.4 投标保证金</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14:paraId="10C7E5CB">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s="宋体"/>
          <w:color w:val="000000"/>
          <w:szCs w:val="21"/>
          <w:highlight w:val="none"/>
        </w:rPr>
      </w:pPr>
      <w:bookmarkStart w:id="359" w:name="_Toc296602442"/>
      <w:bookmarkStart w:id="360" w:name="_Toc324404837"/>
      <w:bookmarkStart w:id="361" w:name="_Toc15058868"/>
      <w:bookmarkStart w:id="362" w:name="_Toc35424909"/>
      <w:bookmarkStart w:id="363" w:name="_Toc78803344"/>
      <w:bookmarkStart w:id="364" w:name="_Toc506107290"/>
      <w:bookmarkStart w:id="365" w:name="_Toc35425075"/>
      <w:bookmarkStart w:id="366" w:name="_Toc19037"/>
      <w:bookmarkStart w:id="367" w:name="_Toc246996197"/>
      <w:bookmarkStart w:id="368" w:name="_Toc144974521"/>
      <w:bookmarkStart w:id="369" w:name="_Toc152045553"/>
      <w:bookmarkStart w:id="370" w:name="_Toc247085711"/>
      <w:bookmarkStart w:id="371" w:name="_Toc152042329"/>
      <w:bookmarkStart w:id="372" w:name="_Toc179632571"/>
      <w:bookmarkStart w:id="373" w:name="_Toc246996940"/>
      <w:r>
        <w:rPr>
          <w:rFonts w:hint="eastAsia" w:ascii="宋体" w:hAnsi="宋体" w:cs="宋体"/>
          <w:color w:val="000000"/>
          <w:szCs w:val="21"/>
          <w:highlight w:val="none"/>
        </w:rPr>
        <w:t xml:space="preserve">3.4.1 </w:t>
      </w:r>
      <w:r>
        <w:rPr>
          <w:rFonts w:hint="eastAsia" w:ascii="宋体" w:hAnsi="宋体" w:cs="宋体"/>
          <w:color w:val="000000"/>
          <w:szCs w:val="21"/>
          <w:highlight w:val="none"/>
          <w:lang w:val="en-US" w:eastAsia="zh-CN"/>
        </w:rPr>
        <w:t>招标公告</w:t>
      </w:r>
      <w:r>
        <w:rPr>
          <w:rFonts w:hint="eastAsia" w:ascii="宋体" w:hAnsi="宋体" w:cs="宋体"/>
          <w:color w:val="000000"/>
          <w:szCs w:val="21"/>
          <w:highlight w:val="none"/>
        </w:rPr>
        <w:t>规定递交投标保证金的，投标人在递交投标文件的同时，应按</w:t>
      </w:r>
      <w:r>
        <w:rPr>
          <w:rFonts w:hint="eastAsia" w:ascii="宋体" w:hAnsi="宋体" w:cs="宋体"/>
          <w:color w:val="000000"/>
          <w:szCs w:val="21"/>
          <w:highlight w:val="none"/>
          <w:lang w:val="en-US" w:eastAsia="zh-CN"/>
        </w:rPr>
        <w:t>招标公告</w:t>
      </w:r>
      <w:r>
        <w:rPr>
          <w:rFonts w:hint="eastAsia" w:ascii="宋体" w:hAnsi="宋体" w:cs="宋体"/>
          <w:color w:val="000000"/>
          <w:szCs w:val="21"/>
          <w:highlight w:val="none"/>
        </w:rPr>
        <w:t>规定的金额、担保形式或者事先经过招标人认可的保证金格式递交保证金，并作为其投标文件的组成部分。联合体投标的，其投标保证金由牵头人递交，并应符合投标人须知前附表的规定。</w:t>
      </w:r>
    </w:p>
    <w:p w14:paraId="1FA6B470">
      <w:pPr>
        <w:pageBreakBefore w:val="0"/>
        <w:widowControl w:val="0"/>
        <w:kinsoku/>
        <w:wordWrap/>
        <w:overflowPunct/>
        <w:topLinePunct w:val="0"/>
        <w:autoSpaceDE/>
        <w:autoSpaceDN/>
        <w:bidi w:val="0"/>
        <w:adjustRightInd w:val="0"/>
        <w:snapToGrid w:val="0"/>
        <w:spacing w:line="440" w:lineRule="exact"/>
        <w:textAlignment w:val="auto"/>
        <w:rPr>
          <w:rFonts w:ascii="宋体" w:hAnsi="宋体" w:cs="宋体"/>
          <w:color w:val="000000"/>
          <w:szCs w:val="21"/>
          <w:highlight w:val="none"/>
        </w:rPr>
      </w:pPr>
      <w:r>
        <w:rPr>
          <w:rFonts w:hint="eastAsia" w:ascii="宋体" w:hAnsi="宋体" w:cs="宋体"/>
          <w:color w:val="000000"/>
          <w:szCs w:val="21"/>
          <w:highlight w:val="none"/>
        </w:rPr>
        <w:t xml:space="preserve">    无论采取何种形式的投标保证金，投标保证金有效期均应与投标有效期一致（</w:t>
      </w:r>
      <w:r>
        <w:rPr>
          <w:rFonts w:hint="eastAsia"/>
          <w:color w:val="000000"/>
          <w:highlight w:val="none"/>
        </w:rPr>
        <w:t>采用投标电子保函的保证期截止时间不得早于该项目投标有效期的截止时间</w:t>
      </w:r>
      <w:r>
        <w:rPr>
          <w:rFonts w:hint="eastAsia" w:ascii="宋体" w:hAnsi="宋体" w:cs="宋体"/>
          <w:color w:val="000000"/>
          <w:szCs w:val="21"/>
          <w:highlight w:val="none"/>
        </w:rPr>
        <w:t>）。招标人如果按本章第3.3.3项的规定延长了投标有效期，则投标保证金的有效期也相应延长。</w:t>
      </w:r>
    </w:p>
    <w:p w14:paraId="218F6CA2">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s="宋体"/>
          <w:color w:val="000000"/>
          <w:szCs w:val="21"/>
          <w:highlight w:val="none"/>
        </w:rPr>
      </w:pPr>
      <w:r>
        <w:rPr>
          <w:rFonts w:hint="eastAsia" w:ascii="宋体" w:hAnsi="宋体" w:cs="宋体"/>
          <w:color w:val="000000"/>
          <w:szCs w:val="21"/>
          <w:highlight w:val="none"/>
        </w:rPr>
        <w:t>3.4.2 投标人不按本章第3.4.1项要求提交投标保证金的，评标委员会将否决其投标。</w:t>
      </w:r>
    </w:p>
    <w:p w14:paraId="244A3FFB">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3.4.3 未中标投标人的投标保证金，</w:t>
      </w:r>
      <w:r>
        <w:rPr>
          <w:rFonts w:hint="eastAsia" w:ascii="宋体" w:hAnsi="宋体" w:eastAsia="宋体" w:cs="宋体"/>
          <w:color w:val="000000"/>
          <w:szCs w:val="21"/>
          <w:highlight w:val="none"/>
          <w:lang w:val="en-US" w:eastAsia="zh-CN"/>
        </w:rPr>
        <w:t>中标通知书发放后五个工作日内退还</w:t>
      </w:r>
      <w:r>
        <w:rPr>
          <w:rFonts w:hint="eastAsia" w:ascii="宋体" w:hAnsi="宋体" w:eastAsia="宋体" w:cs="宋体"/>
          <w:color w:val="000000"/>
          <w:szCs w:val="21"/>
          <w:highlight w:val="none"/>
        </w:rPr>
        <w:t>保证金到达原交纳的账户；中标人的投标保证金，</w:t>
      </w:r>
      <w:r>
        <w:rPr>
          <w:rFonts w:hint="eastAsia" w:ascii="宋体" w:hAnsi="宋体" w:eastAsia="宋体" w:cs="宋体"/>
          <w:color w:val="000000"/>
          <w:szCs w:val="21"/>
          <w:highlight w:val="none"/>
          <w:lang w:val="en-US" w:eastAsia="zh-CN"/>
        </w:rPr>
        <w:t>订合同后五个工作日内</w:t>
      </w:r>
      <w:r>
        <w:rPr>
          <w:rFonts w:hint="eastAsia" w:ascii="宋体" w:hAnsi="宋体" w:eastAsia="宋体" w:cs="宋体"/>
          <w:color w:val="000000"/>
          <w:szCs w:val="21"/>
          <w:highlight w:val="none"/>
        </w:rPr>
        <w:t>退付保证金到达原交纳的账户。</w:t>
      </w:r>
    </w:p>
    <w:p w14:paraId="3A7F9ECA">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3.4.4 有下列情形之一的，投标保证金将不予退还： </w:t>
      </w:r>
    </w:p>
    <w:p w14:paraId="7B47B873">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s="宋体"/>
          <w:color w:val="000000"/>
          <w:szCs w:val="21"/>
          <w:highlight w:val="none"/>
        </w:rPr>
      </w:pPr>
      <w:r>
        <w:rPr>
          <w:rFonts w:hint="eastAsia" w:ascii="宋体" w:hAnsi="宋体" w:cs="宋体"/>
          <w:color w:val="000000"/>
          <w:szCs w:val="21"/>
          <w:highlight w:val="none"/>
        </w:rPr>
        <w:t>（1）投标截止后投标人撤销投标文件的；</w:t>
      </w:r>
    </w:p>
    <w:p w14:paraId="466F5123">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s="宋体"/>
          <w:color w:val="000000"/>
          <w:szCs w:val="21"/>
          <w:highlight w:val="none"/>
        </w:rPr>
      </w:pPr>
      <w:r>
        <w:rPr>
          <w:rFonts w:hint="eastAsia" w:ascii="宋体" w:hAnsi="宋体" w:cs="宋体"/>
          <w:color w:val="000000"/>
          <w:szCs w:val="21"/>
          <w:highlight w:val="none"/>
        </w:rPr>
        <w:t>（2）中标人无正当理由不与招标人订立合同，在签订合同时向招标人提出附加条件，或者不按照招标文件要求提交履约保证金的。</w:t>
      </w:r>
    </w:p>
    <w:p w14:paraId="31A74824">
      <w:pPr>
        <w:pStyle w:val="3"/>
        <w:ind w:firstLine="422" w:firstLineChars="200"/>
        <w:rPr>
          <w:rFonts w:ascii="宋体" w:hAnsi="宋体" w:eastAsia="宋体" w:cs="宋体"/>
          <w:highlight w:val="none"/>
        </w:rPr>
      </w:pPr>
      <w:r>
        <w:rPr>
          <w:rFonts w:hint="eastAsia" w:ascii="宋体" w:hAnsi="宋体" w:eastAsia="宋体" w:cs="宋体"/>
          <w:highlight w:val="none"/>
        </w:rPr>
        <w:t>3.5投标文件的编制</w:t>
      </w:r>
      <w:bookmarkEnd w:id="359"/>
      <w:bookmarkEnd w:id="360"/>
      <w:bookmarkEnd w:id="361"/>
      <w:bookmarkEnd w:id="362"/>
      <w:bookmarkEnd w:id="363"/>
      <w:bookmarkEnd w:id="364"/>
      <w:bookmarkEnd w:id="365"/>
      <w:bookmarkEnd w:id="366"/>
    </w:p>
    <w:bookmarkEnd w:id="367"/>
    <w:bookmarkEnd w:id="368"/>
    <w:bookmarkEnd w:id="369"/>
    <w:bookmarkEnd w:id="370"/>
    <w:bookmarkEnd w:id="371"/>
    <w:bookmarkEnd w:id="372"/>
    <w:bookmarkEnd w:id="373"/>
    <w:p w14:paraId="5BD1A4A0">
      <w:pPr>
        <w:spacing w:line="440" w:lineRule="exact"/>
        <w:ind w:firstLine="420" w:firstLineChars="200"/>
        <w:jc w:val="left"/>
        <w:rPr>
          <w:rFonts w:hint="eastAsia" w:ascii="宋体" w:hAnsi="宋体" w:eastAsia="宋体" w:cs="宋体"/>
          <w:szCs w:val="21"/>
          <w:highlight w:val="none"/>
          <w:lang w:val="en-US" w:eastAsia="zh-CN"/>
        </w:rPr>
      </w:pPr>
      <w:bookmarkStart w:id="374" w:name="_Toc324404838"/>
      <w:bookmarkStart w:id="375" w:name="_Toc144974523"/>
      <w:bookmarkStart w:id="376" w:name="_Toc246996199"/>
      <w:bookmarkStart w:id="377" w:name="_Toc247085713"/>
      <w:bookmarkStart w:id="378" w:name="_Toc152042331"/>
      <w:bookmarkStart w:id="379" w:name="_Toc179632573"/>
      <w:bookmarkStart w:id="380" w:name="_Toc246996942"/>
      <w:bookmarkStart w:id="381" w:name="_Toc152045555"/>
      <w:r>
        <w:rPr>
          <w:rFonts w:hint="eastAsia" w:ascii="宋体" w:hAnsi="宋体" w:eastAsia="宋体" w:cs="宋体"/>
          <w:szCs w:val="21"/>
          <w:highlight w:val="none"/>
          <w:lang w:val="en-US" w:eastAsia="zh-CN"/>
        </w:rPr>
        <w:t>3.5.1投标文件应按第</w:t>
      </w:r>
      <w:r>
        <w:rPr>
          <w:rFonts w:hint="eastAsia" w:ascii="宋体" w:hAnsi="宋体" w:cs="宋体"/>
          <w:szCs w:val="21"/>
          <w:highlight w:val="none"/>
          <w:lang w:val="en-US" w:eastAsia="zh-CN"/>
        </w:rPr>
        <w:t>九</w:t>
      </w:r>
      <w:r>
        <w:rPr>
          <w:rFonts w:hint="eastAsia" w:ascii="宋体" w:hAnsi="宋体" w:eastAsia="宋体" w:cs="宋体"/>
          <w:szCs w:val="21"/>
          <w:highlight w:val="none"/>
          <w:lang w:val="en-US" w:eastAsia="zh-CN"/>
        </w:rPr>
        <w:t>章“投标文件格式”进行编写，如有必要，可以增加附页，作为投标文件的组成部分。其中，投标函在满足招标文件实质性要求的基础上，可以提出比招标文件要求更有利于招标人的承诺。</w:t>
      </w:r>
    </w:p>
    <w:p w14:paraId="14F1B8C9">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3.5.2本次投标不需要提供纸质投标文件，投标人应按照电子招标投标的要求，在投标人的电子系统中制作、签章、上传加密的电子投标文件。</w:t>
      </w:r>
    </w:p>
    <w:p w14:paraId="3C40A9D2">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3.5.3 投标文件应当对招标文件有关工期、投标有效期、质量要求、技术标准和要求、招标范围等实质性内容作出响应。</w:t>
      </w:r>
    </w:p>
    <w:p w14:paraId="5D83FF68">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3.5.4 投标人须知前附表规定接受联合体投标的，资格审查资料应包括联合体各方相关情况 。</w:t>
      </w:r>
    </w:p>
    <w:p w14:paraId="6A9887E1">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3.5.5招标人有权核查投标人在投标文件中提供的资料，若发现投标人以他人名义投标或者以其他方式弄虚作假骗取中标的，中标无效；如果签订合同后发现中标人提供了虚假材料，招标人有权解除合同。</w:t>
      </w:r>
    </w:p>
    <w:p w14:paraId="093D5520">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3.5.6投标文件的制作应满足以下规定：</w:t>
      </w:r>
    </w:p>
    <w:p w14:paraId="0727C6AC">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w:t>
      </w:r>
      <w:r>
        <w:rPr>
          <w:rFonts w:hint="eastAsia" w:ascii="宋体" w:hAnsi="宋体" w:cs="宋体"/>
          <w:szCs w:val="21"/>
          <w:highlight w:val="none"/>
          <w:lang w:val="en-US" w:eastAsia="zh-CN"/>
        </w:rPr>
        <w:t>1</w:t>
      </w:r>
      <w:r>
        <w:rPr>
          <w:rFonts w:hint="eastAsia" w:ascii="宋体" w:hAnsi="宋体" w:eastAsia="宋体" w:cs="宋体"/>
          <w:szCs w:val="21"/>
          <w:highlight w:val="none"/>
          <w:lang w:val="en-US" w:eastAsia="zh-CN"/>
        </w:rPr>
        <w:t>）招标文件中“签章”是指签字或盖章。在第</w:t>
      </w:r>
      <w:r>
        <w:rPr>
          <w:rFonts w:hint="eastAsia" w:ascii="宋体" w:hAnsi="宋体" w:cs="宋体"/>
          <w:szCs w:val="21"/>
          <w:highlight w:val="none"/>
          <w:lang w:val="en-US" w:eastAsia="zh-CN"/>
        </w:rPr>
        <w:t>九</w:t>
      </w:r>
      <w:r>
        <w:rPr>
          <w:rFonts w:hint="eastAsia" w:ascii="宋体" w:hAnsi="宋体" w:eastAsia="宋体" w:cs="宋体"/>
          <w:szCs w:val="21"/>
          <w:highlight w:val="none"/>
          <w:lang w:val="en-US" w:eastAsia="zh-CN"/>
        </w:rPr>
        <w:t>章“投标文件格式”中要求签章处，投标人应加盖投标人单位电子印章和法定代表人的个人电子印章/电子签名章或直接上传加盖投标人单位印章和法定代表人的印章（或签字）的原件彩色扫描件。联合体投标的，除联合体协议书外， 投标文件由联合体牵头人按上述规定加盖联合体牵头人单位电子印章和法定代表人的个人电子印章/电子签名章或直接上传加盖联合体牵头人单位印章和法定代表人的印章（或签字）的原件彩色扫描件。</w:t>
      </w:r>
    </w:p>
    <w:p w14:paraId="19FF8C7E">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w:t>
      </w:r>
      <w:r>
        <w:rPr>
          <w:rFonts w:hint="eastAsia" w:ascii="宋体" w:hAnsi="宋体" w:cs="宋体"/>
          <w:szCs w:val="21"/>
          <w:highlight w:val="none"/>
          <w:lang w:val="en-US" w:eastAsia="zh-CN"/>
        </w:rPr>
        <w:t>2</w:t>
      </w:r>
      <w:r>
        <w:rPr>
          <w:rFonts w:hint="eastAsia" w:ascii="宋体" w:hAnsi="宋体" w:eastAsia="宋体" w:cs="宋体"/>
          <w:szCs w:val="21"/>
          <w:highlight w:val="none"/>
          <w:lang w:val="en-US" w:eastAsia="zh-CN"/>
        </w:rPr>
        <w:t>）投标文件制作完成后，投标人应对投标文件进行文件加密，形成加密的投标文件。采用CA数字证书加密的，加密时投标文件的所有内容均只能使用同一把CA数字证书进行加密，否则引起的解密失败责任由投标人自行承担。</w:t>
      </w:r>
    </w:p>
    <w:p w14:paraId="318FCD41">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3.5.7 因投标人自身原因而导致投标文件无法导入电子交易系统电子开标、评标系统，该投标视为无效投标，投标人自行承担由此导致的全部责任。</w:t>
      </w:r>
    </w:p>
    <w:p w14:paraId="18B9F40D">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3.5.8 投标人中标后须递交与网上电子投标文件完全一致的纸质版投标文件，在领取中标通知书时，一并递交给招标代理机构。</w:t>
      </w:r>
    </w:p>
    <w:p w14:paraId="6D17F42F">
      <w:pPr>
        <w:pStyle w:val="3"/>
        <w:ind w:firstLine="422" w:firstLineChars="200"/>
        <w:rPr>
          <w:rFonts w:hint="eastAsia" w:ascii="宋体" w:hAnsi="宋体" w:eastAsia="宋体" w:cs="宋体"/>
          <w:highlight w:val="none"/>
        </w:rPr>
      </w:pPr>
      <w:r>
        <w:rPr>
          <w:rFonts w:hint="eastAsia" w:ascii="宋体" w:hAnsi="宋体" w:eastAsia="宋体" w:cs="宋体"/>
          <w:highlight w:val="none"/>
        </w:rPr>
        <w:t>3.6 备选投标方案</w:t>
      </w:r>
    </w:p>
    <w:p w14:paraId="1CD0EBA6">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3.6.1 除投标人须知前附表规定允许外，投标人不得递交备选投标方案，否则其投标将被否决。</w:t>
      </w:r>
    </w:p>
    <w:p w14:paraId="2E592F88">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14:paraId="11867869">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3.6.3 投标人提供两个或两个以上投标报价，或在投标文件中提供一个报价，但同时提供两个或两个以上施工组织设计的，视为提供备选方案。</w:t>
      </w:r>
    </w:p>
    <w:p w14:paraId="66C99F80">
      <w:pPr>
        <w:pStyle w:val="3"/>
        <w:spacing w:beforeLines="50" w:afterLines="50"/>
        <w:ind w:firstLine="482" w:firstLineChars="200"/>
        <w:rPr>
          <w:rFonts w:hint="eastAsia" w:ascii="宋体" w:hAnsi="宋体" w:eastAsia="宋体" w:cs="宋体"/>
          <w:sz w:val="24"/>
          <w:szCs w:val="24"/>
          <w:highlight w:val="none"/>
        </w:rPr>
      </w:pPr>
      <w:bookmarkStart w:id="382" w:name="_Toc78803345"/>
      <w:bookmarkStart w:id="383" w:name="_Toc35424910"/>
      <w:bookmarkStart w:id="384" w:name="_Toc506107291"/>
      <w:bookmarkStart w:id="385" w:name="_Toc19455"/>
      <w:bookmarkStart w:id="386" w:name="_Toc15058869"/>
      <w:bookmarkStart w:id="387" w:name="_Toc35425076"/>
      <w:r>
        <w:rPr>
          <w:rFonts w:hint="eastAsia" w:ascii="宋体" w:hAnsi="宋体" w:eastAsia="宋体" w:cs="宋体"/>
          <w:sz w:val="24"/>
          <w:szCs w:val="24"/>
          <w:highlight w:val="none"/>
        </w:rPr>
        <w:t>4.投标</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14:paraId="3E108AB6">
      <w:pPr>
        <w:pStyle w:val="3"/>
        <w:ind w:firstLine="422" w:firstLineChars="200"/>
        <w:rPr>
          <w:rFonts w:hint="eastAsia" w:ascii="宋体" w:hAnsi="宋体" w:eastAsia="宋体" w:cs="宋体"/>
          <w:highlight w:val="none"/>
        </w:rPr>
      </w:pPr>
      <w:bookmarkStart w:id="388" w:name="_Toc60061458"/>
      <w:bookmarkStart w:id="389" w:name="_Toc83301713"/>
      <w:bookmarkStart w:id="390" w:name="_Toc95223361"/>
      <w:bookmarkStart w:id="391" w:name="_Toc14473"/>
      <w:bookmarkStart w:id="392" w:name="_Toc35424911"/>
      <w:bookmarkStart w:id="393" w:name="_Toc78803346"/>
      <w:bookmarkStart w:id="394" w:name="_Toc35425077"/>
      <w:bookmarkStart w:id="395" w:name="_Toc15058870"/>
      <w:r>
        <w:rPr>
          <w:rFonts w:hint="eastAsia" w:ascii="宋体" w:hAnsi="宋体" w:eastAsia="宋体" w:cs="宋体"/>
          <w:highlight w:val="none"/>
        </w:rPr>
        <w:t>4.1投标文件上传</w:t>
      </w:r>
      <w:bookmarkEnd w:id="388"/>
      <w:bookmarkEnd w:id="389"/>
      <w:bookmarkEnd w:id="390"/>
    </w:p>
    <w:p w14:paraId="491611B7">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4.1.1请投标人通过系统下载投标工具制作投标文件，并利用CA数字证书进行上传投标文件，上传已加密的投标文件，务必通过此方式上传投标文件。</w:t>
      </w:r>
    </w:p>
    <w:p w14:paraId="55CE6F79">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4.1.2投标人在投标文件编制、签章、上传过程中如有任何操作的疑问请及时联系技术支持，</w:t>
      </w:r>
      <w:r>
        <w:rPr>
          <w:rFonts w:hint="eastAsia" w:ascii="宋体" w:hAnsi="宋体" w:eastAsia="宋体" w:cs="宋体"/>
          <w:kern w:val="0"/>
          <w:sz w:val="21"/>
          <w:szCs w:val="21"/>
          <w:highlight w:val="none"/>
          <w:lang w:val="en-US" w:eastAsia="zh-CN" w:bidi="ar-SA"/>
        </w:rPr>
        <w:t>请拨打服务电话：</w:t>
      </w:r>
      <w:r>
        <w:rPr>
          <w:rFonts w:hint="eastAsia" w:ascii="宋体" w:hAnsi="宋体" w:cs="宋体"/>
          <w:kern w:val="0"/>
          <w:sz w:val="21"/>
          <w:szCs w:val="21"/>
          <w:highlight w:val="none"/>
          <w:lang w:val="en-US" w:eastAsia="zh-CN" w:bidi="ar-SA"/>
        </w:rPr>
        <w:t>0512-58151515</w:t>
      </w:r>
      <w:r>
        <w:rPr>
          <w:rFonts w:hint="eastAsia" w:ascii="宋体" w:hAnsi="宋体" w:eastAsia="宋体" w:cs="宋体"/>
          <w:kern w:val="0"/>
          <w:sz w:val="21"/>
          <w:szCs w:val="21"/>
          <w:highlight w:val="none"/>
          <w:lang w:val="en-US" w:eastAsia="zh-CN" w:bidi="ar-SA"/>
        </w:rPr>
        <w:t>（工作日）。</w:t>
      </w:r>
    </w:p>
    <w:p w14:paraId="1CEF98C2">
      <w:pPr>
        <w:pStyle w:val="3"/>
        <w:ind w:firstLine="422" w:firstLineChars="200"/>
        <w:rPr>
          <w:rFonts w:hint="eastAsia" w:ascii="宋体" w:hAnsi="宋体" w:eastAsia="宋体" w:cs="宋体"/>
          <w:highlight w:val="none"/>
        </w:rPr>
      </w:pPr>
      <w:bookmarkStart w:id="396" w:name="_Toc324404839"/>
      <w:bookmarkStart w:id="397" w:name="_Toc246996943"/>
      <w:bookmarkStart w:id="398" w:name="_Toc83301714"/>
      <w:bookmarkStart w:id="399" w:name="_Toc60061459"/>
      <w:bookmarkStart w:id="400" w:name="_Toc246996200"/>
      <w:bookmarkStart w:id="401" w:name="_Toc506107292"/>
      <w:bookmarkStart w:id="402" w:name="_Toc296602444"/>
      <w:bookmarkStart w:id="403" w:name="_Toc15058871"/>
      <w:bookmarkStart w:id="404" w:name="_Toc247085714"/>
      <w:bookmarkStart w:id="405" w:name="_Toc179632574"/>
      <w:bookmarkStart w:id="406" w:name="_Toc152045556"/>
      <w:bookmarkStart w:id="407" w:name="_Toc144974524"/>
      <w:bookmarkStart w:id="408" w:name="_Toc95223362"/>
      <w:bookmarkStart w:id="409" w:name="_Toc152042332"/>
      <w:r>
        <w:rPr>
          <w:rFonts w:hint="eastAsia" w:ascii="宋体" w:hAnsi="宋体" w:eastAsia="宋体" w:cs="宋体"/>
          <w:highlight w:val="none"/>
        </w:rPr>
        <w:t>4.2投标文件的密封和标记</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14:paraId="39B65438">
      <w:pPr>
        <w:spacing w:line="440" w:lineRule="exact"/>
        <w:ind w:firstLine="420" w:firstLineChars="200"/>
        <w:jc w:val="left"/>
        <w:rPr>
          <w:rFonts w:hint="eastAsia" w:ascii="宋体" w:hAnsi="宋体" w:eastAsia="宋体" w:cs="宋体"/>
          <w:szCs w:val="21"/>
          <w:highlight w:val="none"/>
          <w:lang w:val="en-US" w:eastAsia="zh-CN"/>
        </w:rPr>
      </w:pPr>
      <w:bookmarkStart w:id="410" w:name="_Toc144974525"/>
      <w:bookmarkStart w:id="411" w:name="_Toc152042333"/>
      <w:bookmarkStart w:id="412" w:name="_Toc246996201"/>
      <w:bookmarkStart w:id="413" w:name="_Toc179632575"/>
      <w:bookmarkStart w:id="414" w:name="_Toc152045557"/>
      <w:bookmarkStart w:id="415" w:name="_Toc296602445"/>
      <w:bookmarkStart w:id="416" w:name="_Toc246996944"/>
      <w:bookmarkStart w:id="417" w:name="_Toc247085715"/>
      <w:bookmarkStart w:id="418" w:name="_Toc324404840"/>
      <w:r>
        <w:rPr>
          <w:rFonts w:hint="eastAsia" w:ascii="宋体" w:hAnsi="宋体" w:eastAsia="宋体" w:cs="宋体"/>
          <w:szCs w:val="21"/>
          <w:highlight w:val="none"/>
          <w:lang w:val="en-US" w:eastAsia="zh-CN"/>
        </w:rPr>
        <w:t>4.2.1投标文件应按照本章第3.5.6项要求制作并加密，未按要求加密的投标文件将被拒绝接收。以投标人在投标截止时间前网上递交的电子投标文件为准。</w:t>
      </w:r>
    </w:p>
    <w:p w14:paraId="1C1625AE">
      <w:pPr>
        <w:pStyle w:val="3"/>
        <w:ind w:firstLine="422" w:firstLineChars="200"/>
        <w:rPr>
          <w:rFonts w:hint="eastAsia" w:ascii="宋体" w:hAnsi="宋体" w:eastAsia="宋体" w:cs="宋体"/>
          <w:highlight w:val="none"/>
        </w:rPr>
      </w:pPr>
      <w:bookmarkStart w:id="419" w:name="_Toc95223363"/>
      <w:bookmarkStart w:id="420" w:name="_Toc506107293"/>
      <w:bookmarkStart w:id="421" w:name="_Toc83301715"/>
      <w:bookmarkStart w:id="422" w:name="_Toc15058872"/>
      <w:bookmarkStart w:id="423" w:name="_Toc60061460"/>
      <w:r>
        <w:rPr>
          <w:rFonts w:hint="eastAsia" w:ascii="宋体" w:hAnsi="宋体" w:eastAsia="宋体" w:cs="宋体"/>
          <w:highlight w:val="none"/>
        </w:rPr>
        <w:t>4.3 投标文件的递交</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36874998">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4.3.1 投标人应当在第一章“招标公告”规定的投标截止时间前，将加密投标文件上传至</w:t>
      </w:r>
      <w:r>
        <w:rPr>
          <w:rFonts w:hint="eastAsia" w:ascii="Times New Roman" w:hAnsi="Times New Roman" w:eastAsia="宋体" w:cs="Times New Roman"/>
          <w:highlight w:val="none"/>
          <w:lang w:val="en-US" w:eastAsia="zh-CN"/>
        </w:rPr>
        <w:t>交易系统</w:t>
      </w:r>
      <w:r>
        <w:rPr>
          <w:rFonts w:hint="eastAsia" w:ascii="宋体" w:hAnsi="宋体" w:eastAsia="宋体" w:cs="宋体"/>
          <w:szCs w:val="21"/>
          <w:highlight w:val="none"/>
          <w:lang w:val="en-US" w:eastAsia="zh-CN"/>
        </w:rPr>
        <w:t>。</w:t>
      </w:r>
    </w:p>
    <w:p w14:paraId="267A96E6">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4.3.2 除投标人须知前附表另有规定外，投标人所递交的投标文件不予退还。</w:t>
      </w:r>
    </w:p>
    <w:p w14:paraId="1F9C95CD">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4.3.3 投标人应当在投标截止时间前完成投标文件的网上递交， 并可以补充、修改或者撤回投标文件。投标截止时间前未完成投标文件网上递交的，视为撤回投标文件。未按规定加密或投标截止时间后通过网上招标投标系统递交电子投标文件的，电子交易系统应当拒收，投标无效。</w:t>
      </w:r>
    </w:p>
    <w:p w14:paraId="10EA5B88">
      <w:pPr>
        <w:pStyle w:val="3"/>
        <w:ind w:firstLine="422" w:firstLineChars="200"/>
        <w:rPr>
          <w:rFonts w:hint="eastAsia" w:ascii="宋体" w:hAnsi="宋体" w:eastAsia="宋体" w:cs="宋体"/>
          <w:highlight w:val="none"/>
        </w:rPr>
      </w:pPr>
      <w:bookmarkStart w:id="424" w:name="_Toc83301716"/>
      <w:bookmarkStart w:id="425" w:name="_Toc60061461"/>
      <w:bookmarkStart w:id="426" w:name="_Toc95223364"/>
      <w:r>
        <w:rPr>
          <w:rFonts w:hint="eastAsia" w:ascii="宋体" w:hAnsi="宋体" w:eastAsia="宋体" w:cs="宋体"/>
          <w:highlight w:val="none"/>
        </w:rPr>
        <w:t>4.4 投标文件的修改与撤回</w:t>
      </w:r>
      <w:bookmarkEnd w:id="424"/>
      <w:bookmarkEnd w:id="425"/>
      <w:bookmarkEnd w:id="426"/>
    </w:p>
    <w:p w14:paraId="64F97846">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4.4.1在第一章“招标公告”规定的投标截止时间前，投标人可以自行从网上交易系统撤回已递交的投标文件，并可修改后重新加密上传，开标时以投标截止时间前投标人最终上传的投标文件为准。</w:t>
      </w:r>
    </w:p>
    <w:bookmarkEnd w:id="391"/>
    <w:bookmarkEnd w:id="392"/>
    <w:bookmarkEnd w:id="393"/>
    <w:bookmarkEnd w:id="394"/>
    <w:bookmarkEnd w:id="395"/>
    <w:p w14:paraId="7AF40F87">
      <w:pPr>
        <w:pStyle w:val="3"/>
        <w:spacing w:beforeLines="50" w:afterLines="50"/>
        <w:ind w:firstLine="482" w:firstLineChars="200"/>
        <w:rPr>
          <w:rFonts w:ascii="宋体" w:hAnsi="宋体" w:eastAsia="宋体" w:cs="宋体"/>
          <w:sz w:val="24"/>
          <w:szCs w:val="24"/>
          <w:highlight w:val="none"/>
        </w:rPr>
      </w:pPr>
      <w:bookmarkStart w:id="427" w:name="_Toc78803348"/>
      <w:bookmarkStart w:id="428" w:name="_Toc179632577"/>
      <w:bookmarkStart w:id="429" w:name="_Toc246996203"/>
      <w:bookmarkStart w:id="430" w:name="_Toc246996946"/>
      <w:bookmarkStart w:id="431" w:name="_Toc35425081"/>
      <w:bookmarkStart w:id="432" w:name="_Toc152042335"/>
      <w:bookmarkStart w:id="433" w:name="_Toc247085717"/>
      <w:bookmarkStart w:id="434" w:name="_Toc324404842"/>
      <w:bookmarkStart w:id="435" w:name="_Toc35424915"/>
      <w:bookmarkStart w:id="436" w:name="_Toc29639"/>
      <w:bookmarkStart w:id="437" w:name="_Toc152045559"/>
      <w:bookmarkStart w:id="438" w:name="_Toc144974527"/>
      <w:bookmarkStart w:id="439" w:name="_Toc506107295"/>
      <w:bookmarkStart w:id="440" w:name="_Toc15058874"/>
      <w:r>
        <w:rPr>
          <w:rFonts w:hint="eastAsia" w:ascii="宋体" w:hAnsi="宋体" w:eastAsia="宋体" w:cs="宋体"/>
          <w:sz w:val="24"/>
          <w:szCs w:val="24"/>
          <w:highlight w:val="none"/>
        </w:rPr>
        <w:t>5. 开标</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14:paraId="44DFC292">
      <w:pPr>
        <w:pStyle w:val="3"/>
        <w:ind w:firstLine="422" w:firstLineChars="200"/>
        <w:rPr>
          <w:rFonts w:ascii="宋体" w:hAnsi="宋体" w:eastAsia="宋体" w:cs="宋体"/>
          <w:highlight w:val="none"/>
        </w:rPr>
      </w:pPr>
      <w:bookmarkStart w:id="441" w:name="_Toc13691"/>
      <w:bookmarkStart w:id="442" w:name="_Toc296602448"/>
      <w:bookmarkStart w:id="443" w:name="_Toc247085718"/>
      <w:bookmarkStart w:id="444" w:name="_Toc179632578"/>
      <w:bookmarkStart w:id="445" w:name="_Toc35425082"/>
      <w:bookmarkStart w:id="446" w:name="_Toc35424916"/>
      <w:bookmarkStart w:id="447" w:name="_Toc78803349"/>
      <w:bookmarkStart w:id="448" w:name="_Toc506107296"/>
      <w:bookmarkStart w:id="449" w:name="_Toc144974528"/>
      <w:bookmarkStart w:id="450" w:name="_Toc152045560"/>
      <w:bookmarkStart w:id="451" w:name="_Toc15058875"/>
      <w:bookmarkStart w:id="452" w:name="_Toc246996947"/>
      <w:bookmarkStart w:id="453" w:name="_Toc324404843"/>
      <w:bookmarkStart w:id="454" w:name="_Toc152042336"/>
      <w:bookmarkStart w:id="455" w:name="_Toc246996204"/>
      <w:r>
        <w:rPr>
          <w:rFonts w:hint="eastAsia" w:ascii="宋体" w:hAnsi="宋体" w:eastAsia="宋体" w:cs="宋体"/>
          <w:highlight w:val="none"/>
        </w:rPr>
        <w:t>5.1 开标时间和地点</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14:paraId="3EA480E2">
      <w:pPr>
        <w:adjustRightInd w:val="0"/>
        <w:snapToGrid w:val="0"/>
        <w:spacing w:line="560" w:lineRule="exact"/>
        <w:ind w:firstLine="420" w:firstLineChars="200"/>
        <w:rPr>
          <w:rFonts w:hint="eastAsia" w:ascii="宋体" w:hAnsi="宋体" w:cs="宋体"/>
          <w:color w:val="000000"/>
          <w:szCs w:val="21"/>
          <w:highlight w:val="none"/>
        </w:rPr>
      </w:pPr>
      <w:bookmarkStart w:id="456" w:name="_Toc324404844"/>
      <w:bookmarkStart w:id="457" w:name="_Toc152042337"/>
      <w:bookmarkStart w:id="458" w:name="_Toc246996205"/>
      <w:bookmarkStart w:id="459" w:name="_Toc78803350"/>
      <w:bookmarkStart w:id="460" w:name="_Toc35424917"/>
      <w:bookmarkStart w:id="461" w:name="_Toc296602449"/>
      <w:bookmarkStart w:id="462" w:name="_Toc179632579"/>
      <w:bookmarkStart w:id="463" w:name="_Toc246996948"/>
      <w:bookmarkStart w:id="464" w:name="_Toc506107297"/>
      <w:bookmarkStart w:id="465" w:name="_Toc152045561"/>
      <w:bookmarkStart w:id="466" w:name="_Toc247085719"/>
      <w:bookmarkStart w:id="467" w:name="_Toc32451"/>
      <w:bookmarkStart w:id="468" w:name="_Toc144974529"/>
      <w:bookmarkStart w:id="469" w:name="_Toc15058876"/>
      <w:bookmarkStart w:id="470" w:name="_Toc35425083"/>
      <w:r>
        <w:rPr>
          <w:rFonts w:hint="eastAsia" w:ascii="宋体" w:hAnsi="宋体" w:cs="宋体"/>
          <w:color w:val="000000"/>
          <w:szCs w:val="21"/>
          <w:highlight w:val="none"/>
        </w:rPr>
        <w:t>招标人在第一章“招标公告”规定的投标截止时间前（开标时间）和地点</w:t>
      </w:r>
      <w:r>
        <w:rPr>
          <w:color w:val="000000"/>
          <w:highlight w:val="none"/>
        </w:rPr>
        <w:t>通过交易系统公开开标</w:t>
      </w:r>
      <w:r>
        <w:rPr>
          <w:rFonts w:hint="eastAsia" w:ascii="宋体" w:hAnsi="宋体" w:cs="宋体"/>
          <w:color w:val="000000"/>
          <w:szCs w:val="21"/>
          <w:highlight w:val="none"/>
        </w:rPr>
        <w:t>。</w:t>
      </w:r>
    </w:p>
    <w:p w14:paraId="72027328">
      <w:pPr>
        <w:pStyle w:val="3"/>
        <w:ind w:firstLine="422" w:firstLineChars="200"/>
        <w:rPr>
          <w:rFonts w:ascii="宋体" w:hAnsi="宋体" w:eastAsia="宋体" w:cs="宋体"/>
          <w:highlight w:val="none"/>
        </w:rPr>
      </w:pPr>
      <w:r>
        <w:rPr>
          <w:rFonts w:hint="eastAsia" w:ascii="宋体" w:hAnsi="宋体" w:eastAsia="宋体" w:cs="宋体"/>
          <w:highlight w:val="none"/>
        </w:rPr>
        <w:t>5.2 开标程序</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14:paraId="0B511289">
      <w:pPr>
        <w:spacing w:line="440" w:lineRule="exact"/>
        <w:ind w:firstLine="420" w:firstLineChars="200"/>
        <w:jc w:val="left"/>
        <w:rPr>
          <w:rFonts w:hint="eastAsia" w:ascii="宋体" w:hAnsi="宋体" w:eastAsia="宋体" w:cs="宋体"/>
          <w:szCs w:val="21"/>
          <w:highlight w:val="none"/>
          <w:lang w:val="en-US" w:eastAsia="zh-CN"/>
        </w:rPr>
      </w:pPr>
      <w:bookmarkStart w:id="471" w:name="_Toc506107299"/>
      <w:bookmarkStart w:id="472" w:name="_Toc15058884"/>
      <w:bookmarkStart w:id="473" w:name="_Toc246996206"/>
      <w:bookmarkStart w:id="474" w:name="_Toc35424919"/>
      <w:bookmarkStart w:id="475" w:name="_Toc179632580"/>
      <w:bookmarkStart w:id="476" w:name="_Toc152045562"/>
      <w:bookmarkStart w:id="477" w:name="_Toc152042338"/>
      <w:bookmarkStart w:id="478" w:name="_Toc20689"/>
      <w:bookmarkStart w:id="479" w:name="_Toc78803352"/>
      <w:bookmarkStart w:id="480" w:name="_Toc144974530"/>
      <w:bookmarkStart w:id="481" w:name="_Toc246996949"/>
      <w:bookmarkStart w:id="482" w:name="_Toc324404846"/>
      <w:bookmarkStart w:id="483" w:name="_Toc247085720"/>
      <w:bookmarkStart w:id="484" w:name="_Toc35425085"/>
      <w:r>
        <w:rPr>
          <w:rFonts w:hint="eastAsia" w:ascii="宋体" w:hAnsi="宋体" w:eastAsia="宋体" w:cs="宋体"/>
          <w:szCs w:val="21"/>
          <w:highlight w:val="none"/>
          <w:lang w:val="en-US" w:eastAsia="zh-CN"/>
        </w:rPr>
        <w:t>主持人按下列程序进行开标：</w:t>
      </w:r>
    </w:p>
    <w:p w14:paraId="69335D40">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（1）公布在投标截止时间前通过电子交易系统完成投标文件递交的投标人名称；</w:t>
      </w:r>
    </w:p>
    <w:p w14:paraId="3FE3B9E5">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（2）投标人在投标截止时间后在投标人须知前附表规定的解密时间内完成投标文件的解密工作；</w:t>
      </w:r>
    </w:p>
    <w:p w14:paraId="09913E1C">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（3）招标人或招标代理机构完成解密工作，导入并读取所有成功解密的投标文件；</w:t>
      </w:r>
    </w:p>
    <w:p w14:paraId="3C9672BD">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（4）按投标人须知前附表规定公布投标人名称、标段名称、投标报价、质量目标、工期及其他内容；</w:t>
      </w:r>
    </w:p>
    <w:p w14:paraId="4611C8FD">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（5）开标结束。</w:t>
      </w:r>
    </w:p>
    <w:p w14:paraId="0FABB25E">
      <w:pPr>
        <w:pStyle w:val="3"/>
        <w:spacing w:beforeLines="50" w:afterLines="50"/>
        <w:ind w:firstLine="482" w:firstLineChars="200"/>
        <w:rPr>
          <w:rFonts w:ascii="宋体" w:hAnsi="宋体" w:eastAsia="宋体" w:cs="宋体"/>
          <w:sz w:val="24"/>
          <w:szCs w:val="24"/>
          <w:highlight w:val="none"/>
        </w:rPr>
      </w:pPr>
      <w:r>
        <w:rPr>
          <w:rFonts w:hint="eastAsia" w:ascii="宋体" w:hAnsi="宋体" w:eastAsia="宋体" w:cs="宋体"/>
          <w:sz w:val="24"/>
          <w:szCs w:val="24"/>
          <w:highlight w:val="none"/>
        </w:rPr>
        <w:t>6. 评标</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14:paraId="6D7B4E38">
      <w:pPr>
        <w:pStyle w:val="3"/>
        <w:ind w:firstLine="422" w:firstLineChars="200"/>
        <w:rPr>
          <w:rFonts w:hint="eastAsia" w:ascii="宋体" w:hAnsi="宋体" w:eastAsia="宋体" w:cs="宋体"/>
          <w:highlight w:val="none"/>
        </w:rPr>
      </w:pPr>
      <w:bookmarkStart w:id="485" w:name="_Toc324404847"/>
      <w:bookmarkStart w:id="486" w:name="_Toc152042339"/>
      <w:bookmarkStart w:id="487" w:name="_Toc247085721"/>
      <w:bookmarkStart w:id="488" w:name="_Toc296602452"/>
      <w:bookmarkStart w:id="489" w:name="_Toc179632581"/>
      <w:bookmarkStart w:id="490" w:name="_Toc15058885"/>
      <w:bookmarkStart w:id="491" w:name="_Toc246996207"/>
      <w:bookmarkStart w:id="492" w:name="_Toc506107300"/>
      <w:bookmarkStart w:id="493" w:name="_Toc246996950"/>
      <w:bookmarkStart w:id="494" w:name="_Toc144974531"/>
      <w:bookmarkStart w:id="495" w:name="_Toc83301722"/>
      <w:bookmarkStart w:id="496" w:name="_Toc60061467"/>
      <w:bookmarkStart w:id="497" w:name="_Toc152045563"/>
      <w:bookmarkStart w:id="498" w:name="_Toc95223370"/>
      <w:bookmarkStart w:id="499" w:name="_Toc246996951"/>
      <w:bookmarkStart w:id="500" w:name="_Toc324404848"/>
      <w:bookmarkStart w:id="501" w:name="_Toc35424921"/>
      <w:bookmarkStart w:id="502" w:name="_Toc152042340"/>
      <w:bookmarkStart w:id="503" w:name="_Toc506107301"/>
      <w:bookmarkStart w:id="504" w:name="_Toc246996208"/>
      <w:bookmarkStart w:id="505" w:name="_Toc35425087"/>
      <w:bookmarkStart w:id="506" w:name="_Toc179632582"/>
      <w:bookmarkStart w:id="507" w:name="_Toc144974532"/>
      <w:bookmarkStart w:id="508" w:name="_Toc247085722"/>
      <w:bookmarkStart w:id="509" w:name="_Toc152045564"/>
      <w:bookmarkStart w:id="510" w:name="_Toc15058886"/>
      <w:bookmarkStart w:id="511" w:name="_Toc78803354"/>
      <w:bookmarkStart w:id="512" w:name="_Toc12948"/>
      <w:bookmarkStart w:id="513" w:name="_Toc296602453"/>
      <w:r>
        <w:rPr>
          <w:rFonts w:hint="eastAsia" w:ascii="宋体" w:hAnsi="宋体" w:eastAsia="宋体" w:cs="宋体"/>
          <w:highlight w:val="none"/>
        </w:rPr>
        <w:t>6.1 评标委员会</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14:paraId="4E04D397">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329F69B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6.1.2 评标委员会成员有下列情形之一的，应当回避：</w:t>
      </w:r>
    </w:p>
    <w:p w14:paraId="73C97D41">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（1）项目主管部门或行政监督管理部门的工作人员； </w:t>
      </w:r>
    </w:p>
    <w:p w14:paraId="2C74894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（2）与竞争主体主要负责人或者授权参与交易的代理人有近亲属关系的人员； </w:t>
      </w:r>
    </w:p>
    <w:p w14:paraId="2117A82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（3）竞争主体的工作人员或者退休人员； </w:t>
      </w:r>
    </w:p>
    <w:p w14:paraId="33843AD1">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（4）竞争主体的上级主管、控股或者被控股单位等相关利害关系的人员，或任职单位与竞争主体单位为同一法定代表人的。 </w:t>
      </w:r>
    </w:p>
    <w:p w14:paraId="0C395A67">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（5）存在其他法定回避情形的</w:t>
      </w:r>
    </w:p>
    <w:p w14:paraId="175B40D3">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项目实施主体及其子公司、下属单位、上级主管部门或者控股公司的工作人员或者退休人员不得以专家身份参与本单位或者代理项目的评标评审。 </w:t>
      </w:r>
    </w:p>
    <w:p w14:paraId="3E7C33FF">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评标委员会或评审机构成员有前两款规定情形的，应当主动提出回避；已经进入的应当更换，被更换的成员评标评审意见无效。</w:t>
      </w:r>
    </w:p>
    <w:p w14:paraId="0DC1ABC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6.1.3评标过程中，评标委员会成员有回避事由、擅离职守或因健康等原因不能继续评标的， 招标人有权更换。被更换的评标委员会成员作出的评审结论无效，由更换后的评标委员会成员重新进行评审。</w:t>
      </w:r>
    </w:p>
    <w:p w14:paraId="2C15BB0C">
      <w:pPr>
        <w:pStyle w:val="3"/>
        <w:ind w:firstLine="422" w:firstLineChars="200"/>
        <w:rPr>
          <w:rFonts w:ascii="宋体" w:hAnsi="宋体" w:eastAsia="宋体" w:cs="宋体"/>
          <w:highlight w:val="none"/>
        </w:rPr>
      </w:pPr>
      <w:r>
        <w:rPr>
          <w:rFonts w:hint="eastAsia" w:ascii="宋体" w:hAnsi="宋体" w:eastAsia="宋体" w:cs="宋体"/>
          <w:highlight w:val="none"/>
        </w:rPr>
        <w:t>6.2 评标原则</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47DBC71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评标活动遵循公平、公正、科学和择优的原则。</w:t>
      </w:r>
    </w:p>
    <w:p w14:paraId="298BCB48">
      <w:pPr>
        <w:pStyle w:val="3"/>
        <w:ind w:firstLine="422" w:firstLineChars="200"/>
        <w:rPr>
          <w:rFonts w:ascii="宋体" w:hAnsi="宋体" w:eastAsia="宋体" w:cs="宋体"/>
          <w:highlight w:val="none"/>
        </w:rPr>
      </w:pPr>
      <w:bookmarkStart w:id="514" w:name="_Toc144974533"/>
      <w:bookmarkStart w:id="515" w:name="_Toc15058887"/>
      <w:bookmarkStart w:id="516" w:name="_Toc506107302"/>
      <w:bookmarkStart w:id="517" w:name="_Toc78803355"/>
      <w:bookmarkStart w:id="518" w:name="_Toc35424922"/>
      <w:bookmarkStart w:id="519" w:name="_Toc35425088"/>
      <w:bookmarkStart w:id="520" w:name="_Toc152042341"/>
      <w:bookmarkStart w:id="521" w:name="_Toc296602454"/>
      <w:bookmarkStart w:id="522" w:name="_Toc324404849"/>
      <w:bookmarkStart w:id="523" w:name="_Toc14892"/>
      <w:bookmarkStart w:id="524" w:name="_Toc246996209"/>
      <w:bookmarkStart w:id="525" w:name="_Toc247085723"/>
      <w:bookmarkStart w:id="526" w:name="_Toc179632583"/>
      <w:bookmarkStart w:id="527" w:name="_Toc152045565"/>
      <w:bookmarkStart w:id="528" w:name="_Toc246996952"/>
      <w:r>
        <w:rPr>
          <w:rFonts w:hint="eastAsia" w:ascii="宋体" w:hAnsi="宋体" w:eastAsia="宋体" w:cs="宋体"/>
          <w:highlight w:val="none"/>
        </w:rPr>
        <w:t>6.3 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14:paraId="4929DC3A">
      <w:pPr>
        <w:spacing w:line="440" w:lineRule="exact"/>
        <w:ind w:firstLine="420" w:firstLineChars="200"/>
        <w:jc w:val="left"/>
        <w:rPr>
          <w:rFonts w:ascii="宋体" w:hAnsi="宋体" w:cs="宋体"/>
          <w:szCs w:val="21"/>
          <w:highlight w:val="none"/>
        </w:rPr>
      </w:pPr>
      <w:bookmarkStart w:id="529" w:name="_Toc152045566"/>
      <w:bookmarkStart w:id="530" w:name="_Toc246996953"/>
      <w:bookmarkStart w:id="531" w:name="_Toc152042342"/>
      <w:bookmarkStart w:id="532" w:name="_Toc144974534"/>
      <w:bookmarkStart w:id="533" w:name="_Toc179632584"/>
      <w:bookmarkStart w:id="534" w:name="_Toc247085724"/>
      <w:bookmarkStart w:id="535" w:name="_Toc246996210"/>
      <w:bookmarkStart w:id="536" w:name="_Toc324404850"/>
      <w:r>
        <w:rPr>
          <w:rFonts w:hint="eastAsia" w:ascii="宋体" w:hAnsi="宋体" w:cs="宋体"/>
          <w:szCs w:val="21"/>
          <w:highlight w:val="none"/>
        </w:rPr>
        <w:t>6.3.1评标委员会按照第</w:t>
      </w:r>
      <w:r>
        <w:rPr>
          <w:rFonts w:hint="eastAsia" w:ascii="宋体" w:hAnsi="宋体" w:cs="宋体"/>
          <w:szCs w:val="21"/>
          <w:highlight w:val="none"/>
          <w:lang w:val="en-US" w:eastAsia="zh-CN"/>
        </w:rPr>
        <w:t>四</w:t>
      </w:r>
      <w:r>
        <w:rPr>
          <w:rFonts w:hint="eastAsia" w:ascii="宋体" w:hAnsi="宋体" w:cs="宋体"/>
          <w:szCs w:val="21"/>
          <w:highlight w:val="none"/>
        </w:rPr>
        <w:t>章“评标办法”规定的方法、评审因素、标准和程序对投标文件进行评审。第</w:t>
      </w:r>
      <w:r>
        <w:rPr>
          <w:rFonts w:hint="eastAsia" w:ascii="宋体" w:hAnsi="宋体" w:cs="宋体"/>
          <w:szCs w:val="21"/>
          <w:highlight w:val="none"/>
          <w:lang w:val="en-US" w:eastAsia="zh-CN"/>
        </w:rPr>
        <w:t>四</w:t>
      </w:r>
      <w:r>
        <w:rPr>
          <w:rFonts w:hint="eastAsia" w:ascii="宋体" w:hAnsi="宋体" w:cs="宋体"/>
          <w:szCs w:val="21"/>
          <w:highlight w:val="none"/>
        </w:rPr>
        <w:t>章“评标办法”没有规定的方法、评审因素和标准，不作为评标依据。</w:t>
      </w:r>
    </w:p>
    <w:p w14:paraId="7D4C112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6.3.2评标完成后，评标委员会应向招标人提交书面评标报告和中标候选人名单。评标委员会推荐中标候选人的人数见投标人须知前附表。</w:t>
      </w:r>
    </w:p>
    <w:p w14:paraId="1E17D868">
      <w:pPr>
        <w:pStyle w:val="3"/>
        <w:spacing w:beforeLines="50" w:afterLines="50"/>
        <w:ind w:firstLine="482" w:firstLineChars="200"/>
        <w:rPr>
          <w:rFonts w:ascii="宋体" w:hAnsi="宋体" w:eastAsia="宋体" w:cs="宋体"/>
          <w:sz w:val="24"/>
          <w:szCs w:val="24"/>
          <w:highlight w:val="none"/>
        </w:rPr>
      </w:pPr>
      <w:bookmarkStart w:id="537" w:name="_Toc26182"/>
      <w:bookmarkStart w:id="538" w:name="_Toc78803356"/>
      <w:bookmarkStart w:id="539" w:name="_Toc15058888"/>
      <w:bookmarkStart w:id="540" w:name="_Toc506107303"/>
      <w:bookmarkStart w:id="541" w:name="_Toc35425089"/>
      <w:bookmarkStart w:id="542" w:name="_Toc35424923"/>
      <w:r>
        <w:rPr>
          <w:rFonts w:hint="eastAsia" w:ascii="宋体" w:hAnsi="宋体" w:eastAsia="宋体" w:cs="宋体"/>
          <w:sz w:val="24"/>
          <w:szCs w:val="24"/>
          <w:highlight w:val="none"/>
        </w:rPr>
        <w:t>7. 合同授予</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070C7520">
      <w:pPr>
        <w:pStyle w:val="3"/>
        <w:ind w:firstLine="422" w:firstLineChars="200"/>
        <w:rPr>
          <w:rFonts w:hint="eastAsia" w:ascii="宋体" w:hAnsi="宋体" w:eastAsia="宋体" w:cs="宋体"/>
          <w:highlight w:val="none"/>
        </w:rPr>
      </w:pPr>
      <w:bookmarkStart w:id="543" w:name="_Toc15058890"/>
      <w:bookmarkStart w:id="544" w:name="_Toc83301726"/>
      <w:bookmarkStart w:id="545" w:name="_Toc324404852"/>
      <w:bookmarkStart w:id="546" w:name="_Toc95223374"/>
      <w:bookmarkStart w:id="547" w:name="_Toc506107305"/>
      <w:bookmarkStart w:id="548" w:name="_Toc296602457"/>
      <w:bookmarkStart w:id="549" w:name="_Toc60061472"/>
      <w:bookmarkStart w:id="550" w:name="_Toc8261"/>
      <w:bookmarkStart w:id="551" w:name="_Toc35424926"/>
      <w:bookmarkStart w:id="552" w:name="_Toc78803359"/>
      <w:bookmarkStart w:id="553" w:name="_Toc35425092"/>
      <w:bookmarkStart w:id="554" w:name="_Toc27040"/>
      <w:bookmarkStart w:id="555" w:name="_Toc324404853"/>
      <w:bookmarkStart w:id="556" w:name="_Toc152045568"/>
      <w:bookmarkStart w:id="557" w:name="_Toc35424927"/>
      <w:bookmarkStart w:id="558" w:name="_Toc14692"/>
      <w:bookmarkStart w:id="559" w:name="_Toc247085726"/>
      <w:bookmarkStart w:id="560" w:name="_Toc506107306"/>
      <w:bookmarkStart w:id="561" w:name="_Toc246996212"/>
      <w:bookmarkStart w:id="562" w:name="_Toc15058891"/>
      <w:bookmarkStart w:id="563" w:name="_Toc246996955"/>
      <w:bookmarkStart w:id="564" w:name="_Toc179632586"/>
      <w:bookmarkStart w:id="565" w:name="_Toc296602458"/>
      <w:bookmarkStart w:id="566" w:name="_Toc35425093"/>
      <w:bookmarkStart w:id="567" w:name="_Toc152042344"/>
      <w:bookmarkStart w:id="568" w:name="_Toc144974536"/>
      <w:r>
        <w:rPr>
          <w:rFonts w:hint="eastAsia" w:ascii="宋体" w:hAnsi="宋体" w:eastAsia="宋体" w:cs="宋体"/>
          <w:highlight w:val="none"/>
        </w:rPr>
        <w:t>7.1 中标候选人公示</w:t>
      </w:r>
      <w:bookmarkEnd w:id="543"/>
      <w:bookmarkEnd w:id="544"/>
      <w:bookmarkEnd w:id="545"/>
      <w:bookmarkEnd w:id="546"/>
      <w:bookmarkEnd w:id="547"/>
      <w:bookmarkEnd w:id="548"/>
      <w:bookmarkEnd w:id="549"/>
    </w:p>
    <w:p w14:paraId="3D3C9E8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招标人在收到评标报告之日起3日内，按照投标人须知前附表规定的公示媒介和期限依法公示。中标候选人公示期不得少于3日。</w:t>
      </w:r>
    </w:p>
    <w:p w14:paraId="02BCD838">
      <w:pPr>
        <w:pStyle w:val="3"/>
        <w:ind w:firstLine="422" w:firstLineChars="200"/>
        <w:rPr>
          <w:rFonts w:hint="eastAsia" w:ascii="宋体" w:hAnsi="宋体" w:eastAsia="宋体" w:cs="宋体"/>
          <w:highlight w:val="none"/>
        </w:rPr>
      </w:pPr>
      <w:r>
        <w:rPr>
          <w:rFonts w:hint="eastAsia" w:ascii="宋体" w:hAnsi="宋体" w:eastAsia="宋体" w:cs="宋体"/>
          <w:highlight w:val="none"/>
        </w:rPr>
        <w:t>7.2 评标结果异议</w:t>
      </w:r>
    </w:p>
    <w:p w14:paraId="6D874A6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投标人或其他利害关系人对评标结果有异议的，应在中标候选人公示期内提出。招标人将在收到异议之日起3日内作出答复；作出答复前，将暂停招标投标活动。</w:t>
      </w:r>
    </w:p>
    <w:p w14:paraId="1D0EB461">
      <w:pPr>
        <w:pStyle w:val="3"/>
        <w:ind w:firstLine="422" w:firstLineChars="200"/>
        <w:rPr>
          <w:rFonts w:ascii="宋体" w:hAnsi="宋体" w:eastAsia="宋体" w:cs="宋体"/>
          <w:highlight w:val="none"/>
        </w:rPr>
      </w:pPr>
      <w:r>
        <w:rPr>
          <w:rFonts w:hint="eastAsia" w:ascii="宋体" w:hAnsi="宋体" w:eastAsia="宋体" w:cs="宋体"/>
          <w:highlight w:val="none"/>
        </w:rPr>
        <w:t>7.</w:t>
      </w:r>
      <w:r>
        <w:rPr>
          <w:rFonts w:hint="eastAsia" w:ascii="宋体" w:hAnsi="宋体" w:eastAsia="宋体" w:cs="宋体"/>
          <w:highlight w:val="none"/>
          <w:lang w:val="en-US" w:eastAsia="zh-CN"/>
        </w:rPr>
        <w:t>3</w:t>
      </w:r>
      <w:r>
        <w:rPr>
          <w:rFonts w:hint="eastAsia" w:ascii="宋体" w:hAnsi="宋体" w:eastAsia="宋体" w:cs="宋体"/>
          <w:highlight w:val="none"/>
        </w:rPr>
        <w:t xml:space="preserve"> </w:t>
      </w:r>
      <w:bookmarkEnd w:id="550"/>
      <w:bookmarkEnd w:id="551"/>
      <w:bookmarkEnd w:id="552"/>
      <w:bookmarkEnd w:id="553"/>
      <w:bookmarkEnd w:id="554"/>
      <w:r>
        <w:rPr>
          <w:rFonts w:hint="eastAsia" w:ascii="宋体" w:hAnsi="宋体" w:eastAsia="宋体" w:cs="宋体"/>
          <w:highlight w:val="none"/>
        </w:rPr>
        <w:t>定标</w:t>
      </w:r>
    </w:p>
    <w:p w14:paraId="117D2B8C">
      <w:pPr>
        <w:spacing w:line="440" w:lineRule="exact"/>
        <w:ind w:firstLine="420" w:firstLineChars="200"/>
        <w:jc w:val="left"/>
        <w:rPr>
          <w:rFonts w:hint="eastAsia" w:ascii="宋体" w:hAnsi="宋体" w:eastAsia="宋体" w:cs="宋体"/>
          <w:szCs w:val="21"/>
          <w:highlight w:val="none"/>
        </w:rPr>
      </w:pPr>
      <w:bookmarkStart w:id="569" w:name="_Toc4204"/>
      <w:bookmarkStart w:id="570" w:name="_Toc78803360"/>
      <w:r>
        <w:rPr>
          <w:rFonts w:hint="eastAsia" w:ascii="宋体" w:hAnsi="宋体" w:eastAsia="宋体" w:cs="宋体"/>
          <w:szCs w:val="21"/>
          <w:highlight w:val="none"/>
        </w:rPr>
        <w:t>按照投标人须知前附表的规定，招标人或招标人授权的评标委员会依法确定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05B9A367">
      <w:pPr>
        <w:pStyle w:val="3"/>
        <w:ind w:firstLine="422" w:firstLineChars="200"/>
        <w:rPr>
          <w:rFonts w:hint="eastAsia" w:ascii="宋体" w:hAnsi="宋体" w:eastAsia="宋体" w:cs="宋体"/>
          <w:highlight w:val="none"/>
        </w:rPr>
      </w:pPr>
      <w:bookmarkStart w:id="571" w:name="_Toc95223376"/>
      <w:bookmarkStart w:id="572" w:name="_Toc83301728"/>
      <w:r>
        <w:rPr>
          <w:rFonts w:hint="eastAsia" w:ascii="宋体" w:hAnsi="宋体" w:eastAsia="宋体" w:cs="宋体"/>
          <w:highlight w:val="none"/>
        </w:rPr>
        <w:t>7.</w:t>
      </w:r>
      <w:r>
        <w:rPr>
          <w:rFonts w:hint="eastAsia" w:ascii="宋体" w:hAnsi="宋体" w:eastAsia="宋体" w:cs="宋体"/>
          <w:highlight w:val="none"/>
          <w:lang w:val="en-US" w:eastAsia="zh-CN"/>
        </w:rPr>
        <w:t>4</w:t>
      </w:r>
      <w:r>
        <w:rPr>
          <w:rFonts w:hint="eastAsia" w:ascii="宋体" w:hAnsi="宋体" w:eastAsia="宋体" w:cs="宋体"/>
          <w:highlight w:val="none"/>
        </w:rPr>
        <w:t xml:space="preserve"> 中标通知</w:t>
      </w:r>
      <w:bookmarkEnd w:id="571"/>
      <w:bookmarkEnd w:id="572"/>
    </w:p>
    <w:p w14:paraId="768E4E46">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在本招标文件规定的投标有效期内，招标人向中标人发出中标通知书，同时将中标结果通知未中标的投标人。</w:t>
      </w:r>
    </w:p>
    <w:p w14:paraId="045D8AA7">
      <w:pPr>
        <w:pStyle w:val="3"/>
        <w:ind w:firstLine="422" w:firstLineChars="200"/>
        <w:rPr>
          <w:rFonts w:hint="eastAsia" w:ascii="宋体" w:hAnsi="宋体" w:eastAsia="宋体" w:cs="宋体"/>
          <w:highlight w:val="none"/>
        </w:rPr>
      </w:pPr>
      <w:bookmarkStart w:id="573" w:name="_Toc95223377"/>
      <w:r>
        <w:rPr>
          <w:rFonts w:hint="eastAsia" w:ascii="宋体" w:hAnsi="宋体" w:eastAsia="宋体" w:cs="宋体"/>
          <w:highlight w:val="none"/>
        </w:rPr>
        <w:t>7.</w:t>
      </w:r>
      <w:r>
        <w:rPr>
          <w:rFonts w:hint="eastAsia" w:ascii="宋体" w:hAnsi="宋体" w:eastAsia="宋体" w:cs="宋体"/>
          <w:highlight w:val="none"/>
          <w:lang w:val="en-US" w:eastAsia="zh-CN"/>
        </w:rPr>
        <w:t xml:space="preserve">5 </w:t>
      </w:r>
      <w:r>
        <w:rPr>
          <w:rFonts w:hint="eastAsia" w:ascii="宋体" w:hAnsi="宋体" w:eastAsia="宋体" w:cs="宋体"/>
          <w:highlight w:val="none"/>
        </w:rPr>
        <w:t>中标结果公示</w:t>
      </w:r>
      <w:bookmarkEnd w:id="573"/>
    </w:p>
    <w:p w14:paraId="0718115A">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招标人在确定中标人之日起3日内，按照投标人须知前附表规定的公示媒介和期限公示中标结果。</w:t>
      </w:r>
    </w:p>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14:paraId="76BD1912">
      <w:pPr>
        <w:pStyle w:val="3"/>
        <w:ind w:firstLine="422" w:firstLineChars="200"/>
        <w:rPr>
          <w:rFonts w:ascii="宋体" w:hAnsi="宋体" w:eastAsia="宋体" w:cs="宋体"/>
          <w:highlight w:val="none"/>
        </w:rPr>
      </w:pPr>
      <w:bookmarkStart w:id="574" w:name="_Toc78803362"/>
      <w:bookmarkStart w:id="575" w:name="_Toc152045569"/>
      <w:bookmarkStart w:id="576" w:name="_Toc506107307"/>
      <w:bookmarkStart w:id="577" w:name="_Toc144974537"/>
      <w:bookmarkStart w:id="578" w:name="_Toc247085727"/>
      <w:bookmarkStart w:id="579" w:name="_Toc25501"/>
      <w:bookmarkStart w:id="580" w:name="_Toc35424929"/>
      <w:bookmarkStart w:id="581" w:name="_Toc15058892"/>
      <w:bookmarkStart w:id="582" w:name="_Toc246996956"/>
      <w:bookmarkStart w:id="583" w:name="_Toc324404854"/>
      <w:bookmarkStart w:id="584" w:name="_Toc246996213"/>
      <w:bookmarkStart w:id="585" w:name="_Toc35425095"/>
      <w:bookmarkStart w:id="586" w:name="_Toc152042345"/>
      <w:bookmarkStart w:id="587" w:name="_Toc296602459"/>
      <w:bookmarkStart w:id="588" w:name="_Toc179632587"/>
      <w:r>
        <w:rPr>
          <w:rFonts w:hint="eastAsia" w:ascii="宋体" w:hAnsi="宋体" w:eastAsia="宋体" w:cs="宋体"/>
          <w:highlight w:val="none"/>
        </w:rPr>
        <w:t>7.</w:t>
      </w:r>
      <w:r>
        <w:rPr>
          <w:rFonts w:hint="eastAsia" w:ascii="宋体" w:hAnsi="宋体" w:eastAsia="宋体" w:cs="宋体"/>
          <w:highlight w:val="none"/>
          <w:lang w:val="en-US" w:eastAsia="zh-CN"/>
        </w:rPr>
        <w:t>6</w:t>
      </w:r>
      <w:r>
        <w:rPr>
          <w:rFonts w:hint="eastAsia" w:ascii="宋体" w:hAnsi="宋体" w:eastAsia="宋体" w:cs="宋体"/>
          <w:highlight w:val="none"/>
        </w:rPr>
        <w:t xml:space="preserve"> 履约担保</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14:paraId="612A633E">
      <w:pPr>
        <w:spacing w:line="440" w:lineRule="exact"/>
        <w:ind w:firstLine="420" w:firstLineChars="200"/>
        <w:jc w:val="left"/>
        <w:rPr>
          <w:rFonts w:hint="eastAsia" w:ascii="宋体" w:hAnsi="宋体" w:eastAsia="宋体" w:cs="宋体"/>
          <w:szCs w:val="21"/>
          <w:highlight w:val="none"/>
        </w:rPr>
      </w:pPr>
      <w:bookmarkStart w:id="589" w:name="_Toc506107308"/>
      <w:bookmarkStart w:id="590" w:name="_Toc152042346"/>
      <w:bookmarkStart w:id="591" w:name="_Toc15058893"/>
      <w:bookmarkStart w:id="592" w:name="_Toc246996957"/>
      <w:bookmarkStart w:id="593" w:name="_Toc144974538"/>
      <w:bookmarkStart w:id="594" w:name="_Toc246996214"/>
      <w:bookmarkStart w:id="595" w:name="_Toc179632588"/>
      <w:bookmarkStart w:id="596" w:name="_Toc11010"/>
      <w:bookmarkStart w:id="597" w:name="_Toc324404855"/>
      <w:bookmarkStart w:id="598" w:name="_Toc247085728"/>
      <w:bookmarkStart w:id="599" w:name="_Toc78803363"/>
      <w:bookmarkStart w:id="600" w:name="_Toc152045570"/>
      <w:bookmarkStart w:id="601" w:name="_Toc35424930"/>
      <w:bookmarkStart w:id="602" w:name="_Toc35425096"/>
      <w:bookmarkStart w:id="603" w:name="_Toc296602460"/>
      <w:r>
        <w:rPr>
          <w:rFonts w:hint="eastAsia" w:ascii="宋体" w:hAnsi="宋体" w:eastAsia="宋体" w:cs="宋体"/>
          <w:szCs w:val="21"/>
          <w:highlight w:val="none"/>
        </w:rPr>
        <w:t>7.</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1在签订合同前，中标人应按投标人须知前附表规定的担保形式和招标文件第五章“合同条款及格式”规定的或者事先经过招标人书面认可的履约担保格式向招标人提交履约担保。联合体中标的，其履约担保应符合投标人须知前附表规定的金额、担保形式和招标文件第五章“合同条款及格式”规定的履约担保格式要求。</w:t>
      </w:r>
    </w:p>
    <w:p w14:paraId="7C6B3360">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7.</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.2 中标人不能按本章第7.</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.1项要求提交履约担保的，视为放弃中标，其投标保证金不予退还，给招标人造成的损失超过投标保证金数额的，中标人还应当对超过部分予以赔偿。</w:t>
      </w:r>
    </w:p>
    <w:p w14:paraId="3B4E380F">
      <w:pPr>
        <w:pStyle w:val="3"/>
        <w:ind w:firstLine="422" w:firstLineChars="200"/>
        <w:rPr>
          <w:rFonts w:ascii="宋体" w:hAnsi="宋体" w:eastAsia="宋体" w:cs="宋体"/>
          <w:highlight w:val="none"/>
        </w:rPr>
      </w:pPr>
      <w:r>
        <w:rPr>
          <w:rFonts w:hint="eastAsia" w:ascii="宋体" w:hAnsi="宋体" w:eastAsia="宋体" w:cs="宋体"/>
          <w:highlight w:val="none"/>
        </w:rPr>
        <w:t>7.</w:t>
      </w:r>
      <w:r>
        <w:rPr>
          <w:rFonts w:hint="eastAsia" w:ascii="宋体" w:hAnsi="宋体" w:eastAsia="宋体" w:cs="宋体"/>
          <w:highlight w:val="none"/>
          <w:lang w:val="en-US" w:eastAsia="zh-CN"/>
        </w:rPr>
        <w:t>7</w:t>
      </w:r>
      <w:r>
        <w:rPr>
          <w:rFonts w:hint="eastAsia" w:ascii="宋体" w:hAnsi="宋体" w:eastAsia="宋体" w:cs="宋体"/>
          <w:highlight w:val="none"/>
        </w:rPr>
        <w:t xml:space="preserve"> 签订合同</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14:paraId="72DE0C53">
      <w:pPr>
        <w:wordWrap w:val="0"/>
        <w:spacing w:line="440" w:lineRule="exact"/>
        <w:ind w:firstLine="420" w:firstLineChars="200"/>
        <w:jc w:val="left"/>
        <w:rPr>
          <w:rFonts w:hint="eastAsia" w:ascii="宋体" w:hAnsi="宋体" w:eastAsia="宋体" w:cs="宋体"/>
          <w:bCs/>
          <w:szCs w:val="21"/>
          <w:highlight w:val="none"/>
        </w:rPr>
      </w:pPr>
      <w:bookmarkStart w:id="604" w:name="_Toc324404856"/>
      <w:bookmarkStart w:id="605" w:name="_Toc15058894"/>
      <w:bookmarkStart w:id="606" w:name="_Toc506107309"/>
      <w:r>
        <w:rPr>
          <w:rFonts w:hint="eastAsia" w:ascii="宋体" w:hAnsi="宋体" w:eastAsia="宋体" w:cs="宋体"/>
          <w:bCs/>
          <w:szCs w:val="21"/>
          <w:highlight w:val="none"/>
        </w:rPr>
        <w:t>7.</w:t>
      </w:r>
      <w:r>
        <w:rPr>
          <w:rFonts w:hint="eastAsia" w:ascii="宋体" w:hAnsi="宋体" w:eastAsia="宋体" w:cs="宋体"/>
          <w:bCs/>
          <w:szCs w:val="21"/>
          <w:highlight w:val="none"/>
          <w:lang w:val="en-US" w:eastAsia="zh-CN"/>
        </w:rPr>
        <w:t>7</w:t>
      </w:r>
      <w:r>
        <w:rPr>
          <w:rFonts w:hint="eastAsia" w:ascii="宋体" w:hAnsi="宋体" w:eastAsia="宋体" w:cs="宋体"/>
          <w:bCs/>
          <w:szCs w:val="21"/>
          <w:highlight w:val="none"/>
        </w:rPr>
        <w:t>.1本招标工程的施工合同将授予按本须知第7.</w:t>
      </w:r>
      <w:r>
        <w:rPr>
          <w:rFonts w:hint="eastAsia" w:ascii="宋体" w:hAnsi="宋体" w:cs="宋体"/>
          <w:bCs/>
          <w:szCs w:val="21"/>
          <w:highlight w:val="none"/>
          <w:lang w:val="en-US" w:eastAsia="zh-CN"/>
        </w:rPr>
        <w:t>3</w:t>
      </w:r>
      <w:r>
        <w:rPr>
          <w:rFonts w:hint="eastAsia" w:ascii="宋体" w:hAnsi="宋体" w:eastAsia="宋体" w:cs="宋体"/>
          <w:bCs/>
          <w:szCs w:val="21"/>
          <w:highlight w:val="none"/>
        </w:rPr>
        <w:t xml:space="preserve">条规定所确定的中标人。 </w:t>
      </w:r>
    </w:p>
    <w:p w14:paraId="01C1DF48">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7.</w:t>
      </w:r>
      <w:r>
        <w:rPr>
          <w:rFonts w:hint="eastAsia" w:ascii="宋体" w:hAnsi="宋体" w:eastAsia="宋体" w:cs="宋体"/>
          <w:bCs/>
          <w:szCs w:val="21"/>
          <w:highlight w:val="none"/>
          <w:lang w:val="en-US" w:eastAsia="zh-CN"/>
        </w:rPr>
        <w:t>7</w:t>
      </w:r>
      <w:r>
        <w:rPr>
          <w:rFonts w:hint="eastAsia" w:ascii="宋体" w:hAnsi="宋体" w:eastAsia="宋体" w:cs="宋体"/>
          <w:bCs/>
          <w:szCs w:val="21"/>
          <w:highlight w:val="none"/>
        </w:rPr>
        <w:t>.2招标人和中标人应当自中标通知书发出之日起30天内，根据招标文件和中标人的投标文件订立书面合同。中标人无正当理由拒签合同的，在签订合同时向招标人提出附加条件，或不按照招标文件要求提交履约保证金的，招标人取消其中标资格；给招标人造成的损失的，中标人还应当对予以赔偿。</w:t>
      </w:r>
    </w:p>
    <w:p w14:paraId="01E0BEC3">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7.</w:t>
      </w:r>
      <w:r>
        <w:rPr>
          <w:rFonts w:hint="eastAsia" w:ascii="宋体" w:hAnsi="宋体" w:eastAsia="宋体" w:cs="宋体"/>
          <w:bCs/>
          <w:szCs w:val="21"/>
          <w:highlight w:val="none"/>
          <w:lang w:val="en-US" w:eastAsia="zh-CN"/>
        </w:rPr>
        <w:t>7</w:t>
      </w:r>
      <w:r>
        <w:rPr>
          <w:rFonts w:hint="eastAsia" w:ascii="宋体" w:hAnsi="宋体" w:eastAsia="宋体" w:cs="宋体"/>
          <w:bCs/>
          <w:szCs w:val="21"/>
          <w:highlight w:val="none"/>
        </w:rPr>
        <w:t>.3发出中标通知书后，招标单位无正当理由拒签合同的，给中标人造成损失的，还应当赔偿损失。</w:t>
      </w:r>
    </w:p>
    <w:p w14:paraId="15321B34">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7.</w:t>
      </w:r>
      <w:r>
        <w:rPr>
          <w:rFonts w:hint="eastAsia" w:ascii="宋体" w:hAnsi="宋体" w:eastAsia="宋体" w:cs="宋体"/>
          <w:bCs/>
          <w:szCs w:val="21"/>
          <w:highlight w:val="none"/>
          <w:lang w:val="en-US" w:eastAsia="zh-CN"/>
        </w:rPr>
        <w:t>7</w:t>
      </w:r>
      <w:r>
        <w:rPr>
          <w:rFonts w:hint="eastAsia" w:ascii="宋体" w:hAnsi="宋体" w:eastAsia="宋体" w:cs="宋体"/>
          <w:bCs/>
          <w:szCs w:val="21"/>
          <w:highlight w:val="none"/>
        </w:rPr>
        <w:t>.4除法定情形外，建设工程合同履行期间项目经理（建造师）不得更换。项目经理（建造师）确需变更的，应根据招标文件要求，变更后的项目经理（建造师）不低于投标文件中拟派项目经理（建造师）的资格条件。</w:t>
      </w:r>
    </w:p>
    <w:bookmarkEnd w:id="604"/>
    <w:bookmarkEnd w:id="605"/>
    <w:bookmarkEnd w:id="606"/>
    <w:p w14:paraId="57E42931">
      <w:pPr>
        <w:pStyle w:val="3"/>
        <w:spacing w:beforeLines="50" w:afterLines="50"/>
        <w:ind w:firstLine="422" w:firstLineChars="200"/>
        <w:rPr>
          <w:rFonts w:hint="eastAsia" w:ascii="宋体" w:hAnsi="宋体" w:eastAsia="宋体" w:cs="宋体"/>
          <w:highlight w:val="none"/>
        </w:rPr>
      </w:pPr>
      <w:bookmarkStart w:id="607" w:name="_Toc179632589"/>
      <w:bookmarkStart w:id="608" w:name="_Toc95223381"/>
      <w:bookmarkStart w:id="609" w:name="_Toc144974539"/>
      <w:bookmarkStart w:id="610" w:name="_Toc152045571"/>
      <w:bookmarkStart w:id="611" w:name="_Toc152042347"/>
      <w:bookmarkStart w:id="612" w:name="_Toc60061478"/>
      <w:bookmarkStart w:id="613" w:name="_Toc83301732"/>
      <w:bookmarkStart w:id="614" w:name="_Toc35424931"/>
      <w:bookmarkStart w:id="615" w:name="_Toc78803367"/>
      <w:bookmarkStart w:id="616" w:name="_Toc26974"/>
      <w:bookmarkStart w:id="617" w:name="_Toc35425097"/>
      <w:bookmarkStart w:id="618" w:name="_Toc31686"/>
      <w:bookmarkStart w:id="619" w:name="_Toc25375"/>
      <w:bookmarkStart w:id="620" w:name="_Toc324404864"/>
      <w:bookmarkStart w:id="621" w:name="_Toc35424939"/>
      <w:bookmarkStart w:id="622" w:name="_Toc15058902"/>
      <w:bookmarkStart w:id="623" w:name="_Toc35425105"/>
      <w:bookmarkStart w:id="624" w:name="_Toc506107317"/>
      <w:bookmarkStart w:id="625" w:name="_Toc296602475"/>
      <w:r>
        <w:rPr>
          <w:rFonts w:hint="eastAsia" w:ascii="宋体" w:hAnsi="宋体" w:eastAsia="宋体" w:cs="宋体"/>
          <w:highlight w:val="none"/>
        </w:rPr>
        <w:t>8. 重新招标和不再招标</w:t>
      </w:r>
      <w:bookmarkEnd w:id="607"/>
      <w:bookmarkEnd w:id="608"/>
      <w:bookmarkEnd w:id="609"/>
      <w:bookmarkEnd w:id="610"/>
      <w:bookmarkEnd w:id="611"/>
      <w:bookmarkEnd w:id="612"/>
      <w:bookmarkEnd w:id="613"/>
    </w:p>
    <w:p w14:paraId="774B94FD">
      <w:pPr>
        <w:pStyle w:val="3"/>
        <w:ind w:firstLine="422" w:firstLineChars="200"/>
        <w:rPr>
          <w:rFonts w:hint="eastAsia" w:ascii="宋体" w:hAnsi="宋体" w:eastAsia="宋体" w:cs="宋体"/>
          <w:highlight w:val="none"/>
        </w:rPr>
      </w:pPr>
      <w:bookmarkStart w:id="626" w:name="_Toc83301733"/>
      <w:bookmarkStart w:id="627" w:name="_Toc179632590"/>
      <w:bookmarkStart w:id="628" w:name="_Toc60061479"/>
      <w:bookmarkStart w:id="629" w:name="_Toc152045572"/>
      <w:bookmarkStart w:id="630" w:name="_Toc152042348"/>
      <w:bookmarkStart w:id="631" w:name="_Toc95223382"/>
      <w:bookmarkStart w:id="632" w:name="_Toc144974540"/>
      <w:r>
        <w:rPr>
          <w:rFonts w:hint="eastAsia" w:ascii="宋体" w:hAnsi="宋体" w:eastAsia="宋体" w:cs="宋体"/>
          <w:highlight w:val="none"/>
        </w:rPr>
        <w:t>8.1 重新招标</w:t>
      </w:r>
      <w:bookmarkEnd w:id="626"/>
      <w:bookmarkEnd w:id="627"/>
      <w:bookmarkEnd w:id="628"/>
      <w:bookmarkEnd w:id="629"/>
      <w:bookmarkEnd w:id="630"/>
      <w:bookmarkEnd w:id="631"/>
      <w:bookmarkEnd w:id="632"/>
    </w:p>
    <w:p w14:paraId="243115F1">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依法必须招标的项目有下列情形之一的，招标人将重新招标：</w:t>
      </w:r>
    </w:p>
    <w:p w14:paraId="71A327E5">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（1）投标截止时间止，投标人少于3个的；</w:t>
      </w:r>
    </w:p>
    <w:p w14:paraId="53761C98">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（2）经评标委员会评审后否决所有投标的；</w:t>
      </w:r>
    </w:p>
    <w:p w14:paraId="3412299B">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（3）中标候选人均未与招标人签订合同的；</w:t>
      </w:r>
    </w:p>
    <w:p w14:paraId="4115D547">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（4）法律、法规规定的其他情形。</w:t>
      </w:r>
    </w:p>
    <w:p w14:paraId="077F17AF">
      <w:pPr>
        <w:pStyle w:val="3"/>
        <w:ind w:firstLine="422" w:firstLineChars="200"/>
        <w:rPr>
          <w:rFonts w:hint="eastAsia" w:ascii="宋体" w:hAnsi="宋体" w:eastAsia="宋体" w:cs="宋体"/>
          <w:highlight w:val="none"/>
        </w:rPr>
      </w:pPr>
      <w:bookmarkStart w:id="633" w:name="_Toc152045573"/>
      <w:bookmarkStart w:id="634" w:name="_Toc179632591"/>
      <w:bookmarkStart w:id="635" w:name="_Toc83301734"/>
      <w:bookmarkStart w:id="636" w:name="_Toc95223383"/>
      <w:bookmarkStart w:id="637" w:name="_Toc144974541"/>
      <w:bookmarkStart w:id="638" w:name="_Toc60061480"/>
      <w:bookmarkStart w:id="639" w:name="_Toc152042349"/>
      <w:r>
        <w:rPr>
          <w:rFonts w:hint="eastAsia" w:ascii="宋体" w:hAnsi="宋体" w:eastAsia="宋体" w:cs="宋体"/>
          <w:highlight w:val="none"/>
        </w:rPr>
        <w:t>8.2 不再招标</w:t>
      </w:r>
      <w:bookmarkEnd w:id="633"/>
      <w:bookmarkEnd w:id="634"/>
      <w:bookmarkEnd w:id="635"/>
      <w:bookmarkEnd w:id="636"/>
      <w:bookmarkEnd w:id="637"/>
      <w:bookmarkEnd w:id="638"/>
      <w:bookmarkEnd w:id="639"/>
    </w:p>
    <w:p w14:paraId="79E8730A">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重新招标后投标人仍少于3个或者所有投标被否决的，属于必须审批或核准的工程建设项目，经原审批或核准部门批准后不再进行招标。</w:t>
      </w:r>
    </w:p>
    <w:p w14:paraId="31B2E77F">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9. 纪律和监督</w:t>
      </w:r>
      <w:bookmarkEnd w:id="614"/>
      <w:bookmarkEnd w:id="615"/>
      <w:bookmarkEnd w:id="616"/>
      <w:bookmarkEnd w:id="617"/>
      <w:bookmarkEnd w:id="618"/>
      <w:bookmarkEnd w:id="619"/>
    </w:p>
    <w:p w14:paraId="49CA1A8F">
      <w:pPr>
        <w:pStyle w:val="3"/>
        <w:ind w:firstLine="422" w:firstLineChars="200"/>
        <w:rPr>
          <w:rFonts w:ascii="宋体" w:hAnsi="宋体" w:eastAsia="宋体" w:cs="宋体"/>
          <w:highlight w:val="none"/>
        </w:rPr>
      </w:pPr>
      <w:bookmarkStart w:id="640" w:name="_Toc324404857"/>
      <w:bookmarkStart w:id="641" w:name="_Toc15058895"/>
      <w:bookmarkStart w:id="642" w:name="_Toc144974543"/>
      <w:bookmarkStart w:id="643" w:name="_Toc152042351"/>
      <w:bookmarkStart w:id="644" w:name="_Toc506107310"/>
      <w:bookmarkStart w:id="645" w:name="_Toc15607"/>
      <w:bookmarkStart w:id="646" w:name="_Toc2855"/>
      <w:bookmarkStart w:id="647" w:name="_Toc246996219"/>
      <w:bookmarkStart w:id="648" w:name="_Toc78803368"/>
      <w:bookmarkStart w:id="649" w:name="_Toc35424932"/>
      <w:bookmarkStart w:id="650" w:name="_Toc179632593"/>
      <w:bookmarkStart w:id="651" w:name="_Toc296590983"/>
      <w:bookmarkStart w:id="652" w:name="_Toc35425098"/>
      <w:bookmarkStart w:id="653" w:name="_Toc246996962"/>
      <w:bookmarkStart w:id="654" w:name="_Toc247085733"/>
      <w:bookmarkStart w:id="655" w:name="_Toc152045575"/>
      <w:bookmarkStart w:id="656" w:name="_Toc296602462"/>
      <w:r>
        <w:rPr>
          <w:rFonts w:hint="eastAsia" w:ascii="宋体" w:hAnsi="宋体" w:eastAsia="宋体" w:cs="宋体"/>
          <w:highlight w:val="none"/>
        </w:rPr>
        <w:t>9.1 对招标人的纪律要求</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25A9C8E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招标人不得泄漏招标投标活动中应当保密的情况和资料，不得与投标人串通损害国家利益、社会公共利益或者他人合法权益。</w:t>
      </w:r>
    </w:p>
    <w:p w14:paraId="6BA9BC3B">
      <w:pPr>
        <w:pStyle w:val="3"/>
        <w:ind w:firstLine="422" w:firstLineChars="200"/>
        <w:rPr>
          <w:rFonts w:ascii="宋体" w:hAnsi="宋体" w:eastAsia="宋体" w:cs="宋体"/>
          <w:highlight w:val="none"/>
        </w:rPr>
      </w:pPr>
      <w:bookmarkStart w:id="657" w:name="_Toc324404858"/>
      <w:bookmarkStart w:id="658" w:name="_Toc35424933"/>
      <w:bookmarkStart w:id="659" w:name="_Toc506107311"/>
      <w:bookmarkStart w:id="660" w:name="_Toc78803369"/>
      <w:bookmarkStart w:id="661" w:name="_Toc246996220"/>
      <w:bookmarkStart w:id="662" w:name="_Toc247085734"/>
      <w:bookmarkStart w:id="663" w:name="_Toc246996963"/>
      <w:bookmarkStart w:id="664" w:name="_Toc152042352"/>
      <w:bookmarkStart w:id="665" w:name="_Toc19779"/>
      <w:bookmarkStart w:id="666" w:name="_Toc144974544"/>
      <w:bookmarkStart w:id="667" w:name="_Toc35425099"/>
      <w:bookmarkStart w:id="668" w:name="_Toc179632594"/>
      <w:bookmarkStart w:id="669" w:name="_Toc32177"/>
      <w:bookmarkStart w:id="670" w:name="_Toc15058896"/>
      <w:bookmarkStart w:id="671" w:name="_Toc152045576"/>
      <w:bookmarkStart w:id="672" w:name="_Toc296602463"/>
      <w:r>
        <w:rPr>
          <w:rFonts w:hint="eastAsia" w:ascii="宋体" w:hAnsi="宋体" w:eastAsia="宋体" w:cs="宋体"/>
          <w:highlight w:val="none"/>
        </w:rPr>
        <w:t>9.2 对投标人的纪律要求</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14:paraId="1B7AC34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33A1F0E">
      <w:pPr>
        <w:pStyle w:val="3"/>
        <w:ind w:firstLine="422" w:firstLineChars="200"/>
        <w:rPr>
          <w:rFonts w:ascii="宋体" w:hAnsi="宋体" w:eastAsia="宋体" w:cs="宋体"/>
          <w:highlight w:val="none"/>
        </w:rPr>
      </w:pPr>
      <w:bookmarkStart w:id="673" w:name="_Toc35424934"/>
      <w:bookmarkStart w:id="674" w:name="_Toc506107312"/>
      <w:bookmarkStart w:id="675" w:name="_Toc144974545"/>
      <w:bookmarkStart w:id="676" w:name="_Toc246996964"/>
      <w:bookmarkStart w:id="677" w:name="_Toc78803370"/>
      <w:bookmarkStart w:id="678" w:name="_Toc13043"/>
      <w:bookmarkStart w:id="679" w:name="_Toc247085735"/>
      <w:bookmarkStart w:id="680" w:name="_Toc324404859"/>
      <w:bookmarkStart w:id="681" w:name="_Toc152045577"/>
      <w:bookmarkStart w:id="682" w:name="_Toc296602464"/>
      <w:bookmarkStart w:id="683" w:name="_Toc246996221"/>
      <w:bookmarkStart w:id="684" w:name="_Toc35425100"/>
      <w:bookmarkStart w:id="685" w:name="_Toc152042353"/>
      <w:bookmarkStart w:id="686" w:name="_Toc179632595"/>
      <w:bookmarkStart w:id="687" w:name="_Toc15058897"/>
      <w:bookmarkStart w:id="688" w:name="_Toc12564"/>
      <w:r>
        <w:rPr>
          <w:rFonts w:hint="eastAsia" w:ascii="宋体" w:hAnsi="宋体" w:eastAsia="宋体" w:cs="宋体"/>
          <w:highlight w:val="none"/>
        </w:rPr>
        <w:t>9.3 对评标委员会成员的纪律要求</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14:paraId="5256DC8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6939E33C">
      <w:pPr>
        <w:pStyle w:val="3"/>
        <w:ind w:firstLine="422" w:firstLineChars="200"/>
        <w:rPr>
          <w:rFonts w:ascii="宋体" w:hAnsi="宋体" w:eastAsia="宋体" w:cs="宋体"/>
          <w:highlight w:val="none"/>
        </w:rPr>
      </w:pPr>
      <w:bookmarkStart w:id="689" w:name="_Toc35425101"/>
      <w:bookmarkStart w:id="690" w:name="_Toc152045578"/>
      <w:bookmarkStart w:id="691" w:name="_Toc247085736"/>
      <w:bookmarkStart w:id="692" w:name="_Toc18329"/>
      <w:bookmarkStart w:id="693" w:name="_Toc32214"/>
      <w:bookmarkStart w:id="694" w:name="_Toc506107313"/>
      <w:bookmarkStart w:id="695" w:name="_Toc296602465"/>
      <w:bookmarkStart w:id="696" w:name="_Toc78803371"/>
      <w:bookmarkStart w:id="697" w:name="_Toc179632596"/>
      <w:bookmarkStart w:id="698" w:name="_Toc246996222"/>
      <w:bookmarkStart w:id="699" w:name="_Toc15058898"/>
      <w:bookmarkStart w:id="700" w:name="_Toc35424935"/>
      <w:bookmarkStart w:id="701" w:name="_Toc152042354"/>
      <w:bookmarkStart w:id="702" w:name="_Toc324404860"/>
      <w:bookmarkStart w:id="703" w:name="_Toc246996965"/>
      <w:bookmarkStart w:id="704" w:name="_Toc144974546"/>
      <w:r>
        <w:rPr>
          <w:rFonts w:hint="eastAsia" w:ascii="宋体" w:hAnsi="宋体" w:eastAsia="宋体" w:cs="宋体"/>
          <w:highlight w:val="none"/>
        </w:rPr>
        <w:t>9.4 对与评标活动有关的工作人员的纪律要求</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14:paraId="766BE765">
      <w:pPr>
        <w:spacing w:line="440" w:lineRule="exact"/>
        <w:ind w:firstLine="420" w:firstLineChars="200"/>
        <w:jc w:val="left"/>
        <w:rPr>
          <w:rFonts w:ascii="宋体" w:hAnsi="宋体" w:cs="宋体"/>
          <w:szCs w:val="21"/>
          <w:highlight w:val="none"/>
        </w:rPr>
      </w:pPr>
      <w:bookmarkStart w:id="705" w:name="_Toc152042355"/>
      <w:r>
        <w:rPr>
          <w:rFonts w:hint="eastAsia" w:ascii="宋体" w:hAnsi="宋体" w:cs="宋体"/>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705"/>
    </w:p>
    <w:p w14:paraId="6EC5285F">
      <w:pPr>
        <w:pStyle w:val="3"/>
        <w:ind w:firstLine="422" w:firstLineChars="200"/>
        <w:rPr>
          <w:rFonts w:ascii="宋体" w:hAnsi="宋体" w:eastAsia="宋体" w:cs="宋体"/>
          <w:highlight w:val="none"/>
        </w:rPr>
      </w:pPr>
      <w:bookmarkStart w:id="706" w:name="_Toc2811"/>
      <w:bookmarkStart w:id="707" w:name="_Toc247085737"/>
      <w:bookmarkStart w:id="708" w:name="_Toc246996223"/>
      <w:bookmarkStart w:id="709" w:name="_Toc179632597"/>
      <w:bookmarkStart w:id="710" w:name="_Toc296602466"/>
      <w:bookmarkStart w:id="711" w:name="_Toc506107314"/>
      <w:bookmarkStart w:id="712" w:name="_Toc324404861"/>
      <w:bookmarkStart w:id="713" w:name="_Toc246996966"/>
      <w:bookmarkStart w:id="714" w:name="_Toc152042356"/>
      <w:bookmarkStart w:id="715" w:name="_Toc35425102"/>
      <w:bookmarkStart w:id="716" w:name="_Toc78803372"/>
      <w:bookmarkStart w:id="717" w:name="_Toc23607"/>
      <w:bookmarkStart w:id="718" w:name="_Toc15058899"/>
      <w:bookmarkStart w:id="719" w:name="_Toc35424936"/>
      <w:bookmarkStart w:id="720" w:name="_Toc152045579"/>
      <w:r>
        <w:rPr>
          <w:rFonts w:hint="eastAsia" w:ascii="宋体" w:hAnsi="宋体" w:eastAsia="宋体" w:cs="宋体"/>
          <w:highlight w:val="none"/>
        </w:rPr>
        <w:t>9.5 投诉</w:t>
      </w:r>
      <w:bookmarkEnd w:id="704"/>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14:paraId="18A92B0B">
      <w:pPr>
        <w:spacing w:line="440" w:lineRule="exact"/>
        <w:ind w:firstLine="420" w:firstLineChars="200"/>
        <w:jc w:val="left"/>
        <w:rPr>
          <w:rFonts w:hint="eastAsia" w:ascii="宋体" w:hAnsi="宋体" w:eastAsia="宋体" w:cs="宋体"/>
          <w:szCs w:val="21"/>
          <w:highlight w:val="none"/>
        </w:rPr>
      </w:pPr>
      <w:bookmarkStart w:id="721" w:name="_Toc179632598"/>
      <w:bookmarkStart w:id="722" w:name="_Toc20669"/>
      <w:bookmarkStart w:id="723" w:name="_Toc35425103"/>
      <w:bookmarkStart w:id="724" w:name="_Toc152042357"/>
      <w:bookmarkStart w:id="725" w:name="_Toc16463"/>
      <w:bookmarkStart w:id="726" w:name="_Toc506107315"/>
      <w:bookmarkStart w:id="727" w:name="_Toc15058900"/>
      <w:bookmarkStart w:id="728" w:name="_Toc324404862"/>
      <w:bookmarkStart w:id="729" w:name="_Toc152045580"/>
      <w:bookmarkStart w:id="730" w:name="_Toc78803373"/>
      <w:bookmarkStart w:id="731" w:name="_Toc246996224"/>
      <w:bookmarkStart w:id="732" w:name="_Toc246996967"/>
      <w:bookmarkStart w:id="733" w:name="_Toc35424937"/>
      <w:bookmarkStart w:id="734" w:name="_Toc247085738"/>
      <w:bookmarkStart w:id="735" w:name="_Toc31643"/>
      <w:bookmarkStart w:id="736" w:name="_Toc144974547"/>
      <w:r>
        <w:rPr>
          <w:rFonts w:hint="eastAsia" w:ascii="宋体" w:hAnsi="宋体" w:eastAsia="宋体" w:cs="宋体"/>
          <w:szCs w:val="21"/>
          <w:highlight w:val="none"/>
        </w:rPr>
        <w:t>9.5.1投标人或者其他利害关系人认为招标投标活动违反法律、法规和规章规定的，有权向相关行政监督部门投诉。投诉应当有明确的请求和必要的证明材料。</w:t>
      </w:r>
    </w:p>
    <w:p w14:paraId="64A3032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9.5.2投标人和其他利害关系人对招标文件、开标和评标结果事项投诉的，应当按照投标人须知的规定先向招标人提出异议。异议答复期间不计算在第9.5.1项规定的期限内。</w:t>
      </w:r>
    </w:p>
    <w:p w14:paraId="39FC7842">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10.需要补充的其他内容</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14:paraId="2610702A">
      <w:pPr>
        <w:spacing w:line="440" w:lineRule="exact"/>
        <w:ind w:firstLine="420" w:firstLineChars="200"/>
        <w:jc w:val="left"/>
        <w:rPr>
          <w:rFonts w:ascii="宋体" w:hAnsi="宋体" w:cs="宋体"/>
          <w:szCs w:val="21"/>
          <w:highlight w:val="none"/>
        </w:rPr>
      </w:pPr>
      <w:bookmarkStart w:id="737" w:name="_Toc15058901"/>
      <w:r>
        <w:rPr>
          <w:rFonts w:hint="eastAsia" w:ascii="宋体" w:hAnsi="宋体" w:cs="宋体"/>
          <w:szCs w:val="21"/>
          <w:highlight w:val="none"/>
        </w:rPr>
        <w:t>需要补充的其他内容：见投标人须知前附表。</w:t>
      </w:r>
      <w:bookmarkEnd w:id="737"/>
    </w:p>
    <w:p w14:paraId="13695F73">
      <w:pPr>
        <w:spacing w:line="440" w:lineRule="exact"/>
        <w:jc w:val="left"/>
        <w:rPr>
          <w:rFonts w:ascii="宋体" w:hAnsi="宋体" w:cs="宋体"/>
          <w:szCs w:val="21"/>
          <w:highlight w:val="none"/>
        </w:rPr>
      </w:pPr>
    </w:p>
    <w:p w14:paraId="146D6C50">
      <w:pPr>
        <w:pageBreakBefore/>
        <w:spacing w:beforeLines="80" w:afterLines="80" w:line="440" w:lineRule="exact"/>
        <w:jc w:val="center"/>
        <w:outlineLvl w:val="1"/>
        <w:rPr>
          <w:rFonts w:ascii="宋体"/>
          <w:b/>
          <w:sz w:val="32"/>
          <w:szCs w:val="32"/>
          <w:highlight w:val="none"/>
        </w:rPr>
      </w:pPr>
      <w:bookmarkStart w:id="738" w:name="_Toc78803375"/>
      <w:r>
        <w:rPr>
          <w:rFonts w:hint="eastAsia" w:ascii="宋体"/>
          <w:b/>
          <w:sz w:val="32"/>
          <w:szCs w:val="32"/>
          <w:highlight w:val="none"/>
        </w:rPr>
        <w:t>第</w:t>
      </w:r>
      <w:r>
        <w:rPr>
          <w:rFonts w:hint="eastAsia" w:ascii="宋体"/>
          <w:b/>
          <w:sz w:val="32"/>
          <w:szCs w:val="32"/>
          <w:highlight w:val="none"/>
          <w:lang w:val="en-US" w:eastAsia="zh-CN"/>
        </w:rPr>
        <w:t>三</w:t>
      </w:r>
      <w:r>
        <w:rPr>
          <w:rFonts w:hint="eastAsia" w:ascii="宋体"/>
          <w:b/>
          <w:sz w:val="32"/>
          <w:szCs w:val="32"/>
          <w:highlight w:val="none"/>
        </w:rPr>
        <w:t>章  资格审查</w:t>
      </w:r>
      <w:bookmarkEnd w:id="620"/>
      <w:r>
        <w:rPr>
          <w:rFonts w:hint="eastAsia" w:ascii="宋体"/>
          <w:b/>
          <w:sz w:val="32"/>
          <w:szCs w:val="32"/>
          <w:highlight w:val="none"/>
        </w:rPr>
        <w:t>办法</w:t>
      </w:r>
      <w:bookmarkEnd w:id="621"/>
      <w:bookmarkEnd w:id="622"/>
      <w:bookmarkEnd w:id="623"/>
      <w:bookmarkEnd w:id="624"/>
      <w:bookmarkEnd w:id="738"/>
    </w:p>
    <w:p w14:paraId="510BB1C6">
      <w:pPr>
        <w:spacing w:beforeLines="50" w:afterLines="50" w:line="440" w:lineRule="exact"/>
        <w:jc w:val="center"/>
        <w:rPr>
          <w:rFonts w:ascii="宋体" w:hAnsi="宋体" w:cs="宋体"/>
          <w:b/>
          <w:bCs/>
          <w:sz w:val="28"/>
          <w:szCs w:val="22"/>
          <w:highlight w:val="none"/>
        </w:rPr>
      </w:pPr>
      <w:bookmarkStart w:id="739" w:name="_Toc15058903"/>
      <w:bookmarkStart w:id="740" w:name="_Toc506107318"/>
      <w:bookmarkStart w:id="741" w:name="_Toc35425106"/>
      <w:bookmarkStart w:id="742" w:name="_Toc324404865"/>
      <w:bookmarkStart w:id="743" w:name="_Toc35424940"/>
      <w:r>
        <w:rPr>
          <w:rFonts w:hint="eastAsia" w:ascii="宋体" w:hAnsi="宋体" w:cs="宋体"/>
          <w:b/>
          <w:bCs/>
          <w:sz w:val="28"/>
          <w:szCs w:val="22"/>
          <w:highlight w:val="none"/>
        </w:rPr>
        <w:t>资格审查办法前附表</w:t>
      </w:r>
      <w:bookmarkEnd w:id="739"/>
      <w:bookmarkEnd w:id="740"/>
      <w:bookmarkEnd w:id="741"/>
      <w:bookmarkEnd w:id="742"/>
      <w:bookmarkEnd w:id="743"/>
    </w:p>
    <w:tbl>
      <w:tblPr>
        <w:tblStyle w:val="47"/>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58"/>
        <w:gridCol w:w="6183"/>
        <w:gridCol w:w="1860"/>
      </w:tblGrid>
      <w:tr w14:paraId="3443A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023" w:type="dxa"/>
            <w:gridSpan w:val="2"/>
            <w:noWrap/>
            <w:vAlign w:val="center"/>
          </w:tcPr>
          <w:p w14:paraId="21EA50D5">
            <w:pPr>
              <w:spacing w:line="440" w:lineRule="exact"/>
              <w:jc w:val="center"/>
              <w:rPr>
                <w:rFonts w:ascii="宋体" w:hAnsi="宋体" w:cs="宋体"/>
                <w:b/>
                <w:bCs/>
                <w:szCs w:val="21"/>
                <w:highlight w:val="none"/>
              </w:rPr>
            </w:pPr>
            <w:r>
              <w:rPr>
                <w:rFonts w:hint="eastAsia" w:ascii="宋体" w:hAnsi="宋体" w:cs="宋体"/>
                <w:b/>
                <w:bCs/>
                <w:szCs w:val="21"/>
                <w:highlight w:val="none"/>
              </w:rPr>
              <w:t>序号</w:t>
            </w:r>
          </w:p>
        </w:tc>
        <w:tc>
          <w:tcPr>
            <w:tcW w:w="6183" w:type="dxa"/>
            <w:noWrap/>
            <w:vAlign w:val="center"/>
          </w:tcPr>
          <w:p w14:paraId="737B946D">
            <w:pPr>
              <w:spacing w:line="440" w:lineRule="exact"/>
              <w:jc w:val="center"/>
              <w:rPr>
                <w:rFonts w:ascii="宋体" w:hAnsi="宋体" w:cs="宋体"/>
                <w:b/>
                <w:bCs/>
                <w:szCs w:val="21"/>
                <w:highlight w:val="none"/>
              </w:rPr>
            </w:pPr>
            <w:r>
              <w:rPr>
                <w:rFonts w:hint="eastAsia" w:ascii="宋体" w:hAnsi="宋体" w:cs="宋体"/>
                <w:b/>
                <w:bCs/>
                <w:szCs w:val="21"/>
                <w:highlight w:val="none"/>
              </w:rPr>
              <w:t>审查内容</w:t>
            </w:r>
          </w:p>
        </w:tc>
        <w:tc>
          <w:tcPr>
            <w:tcW w:w="1860" w:type="dxa"/>
            <w:noWrap/>
            <w:vAlign w:val="center"/>
          </w:tcPr>
          <w:p w14:paraId="10B4B499">
            <w:pPr>
              <w:spacing w:line="440" w:lineRule="exact"/>
              <w:jc w:val="center"/>
              <w:rPr>
                <w:rFonts w:ascii="宋体" w:hAnsi="宋体" w:cs="宋体"/>
                <w:b/>
                <w:bCs/>
                <w:szCs w:val="21"/>
                <w:highlight w:val="none"/>
              </w:rPr>
            </w:pPr>
            <w:r>
              <w:rPr>
                <w:rFonts w:hint="eastAsia" w:ascii="宋体" w:hAnsi="宋体" w:cs="宋体"/>
                <w:b/>
                <w:bCs/>
                <w:szCs w:val="21"/>
                <w:highlight w:val="none"/>
              </w:rPr>
              <w:t>评审标准</w:t>
            </w:r>
          </w:p>
        </w:tc>
      </w:tr>
      <w:tr w14:paraId="5E38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65" w:type="dxa"/>
            <w:vMerge w:val="restart"/>
            <w:noWrap/>
            <w:vAlign w:val="center"/>
          </w:tcPr>
          <w:p w14:paraId="4867F738">
            <w:pPr>
              <w:spacing w:line="440" w:lineRule="exact"/>
              <w:jc w:val="center"/>
              <w:rPr>
                <w:rFonts w:ascii="宋体" w:hAnsi="宋体" w:cs="宋体"/>
                <w:szCs w:val="21"/>
                <w:highlight w:val="none"/>
              </w:rPr>
            </w:pPr>
            <w:r>
              <w:rPr>
                <w:rFonts w:hint="eastAsia" w:ascii="宋体" w:hAnsi="宋体" w:cs="宋体"/>
                <w:szCs w:val="21"/>
                <w:highlight w:val="none"/>
              </w:rPr>
              <w:t>1</w:t>
            </w:r>
          </w:p>
        </w:tc>
        <w:tc>
          <w:tcPr>
            <w:tcW w:w="1258" w:type="dxa"/>
            <w:vMerge w:val="restart"/>
            <w:noWrap/>
            <w:vAlign w:val="center"/>
          </w:tcPr>
          <w:p w14:paraId="12F9F292">
            <w:pPr>
              <w:spacing w:line="440" w:lineRule="exact"/>
              <w:jc w:val="center"/>
              <w:rPr>
                <w:rFonts w:ascii="宋体" w:hAnsi="宋体" w:cs="宋体"/>
                <w:b/>
                <w:bCs/>
                <w:szCs w:val="21"/>
                <w:highlight w:val="none"/>
              </w:rPr>
            </w:pPr>
            <w:r>
              <w:rPr>
                <w:rFonts w:hint="eastAsia" w:ascii="宋体" w:hAnsi="宋体" w:cs="宋体"/>
                <w:b/>
                <w:bCs/>
                <w:szCs w:val="21"/>
                <w:highlight w:val="none"/>
              </w:rPr>
              <w:t>审查资料</w:t>
            </w:r>
          </w:p>
        </w:tc>
        <w:tc>
          <w:tcPr>
            <w:tcW w:w="6183" w:type="dxa"/>
            <w:noWrap/>
            <w:vAlign w:val="top"/>
          </w:tcPr>
          <w:p w14:paraId="4223BC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leftChars="0" w:right="0" w:rightChars="0"/>
              <w:textAlignment w:val="auto"/>
              <w:rPr>
                <w:rFonts w:ascii="宋体" w:hAnsi="宋体" w:cs="宋体"/>
                <w:szCs w:val="21"/>
                <w:highlight w:val="none"/>
              </w:rPr>
            </w:pPr>
            <w:r>
              <w:rPr>
                <w:rFonts w:hint="eastAsia" w:ascii="宋体" w:hAnsi="宋体" w:eastAsia="宋体" w:cs="宋体"/>
                <w:color w:val="auto"/>
                <w:sz w:val="21"/>
                <w:szCs w:val="21"/>
                <w:highlight w:val="none"/>
              </w:rPr>
              <w:t>法定代表人身份证明和本人有效身份证(或法定代表人授权委托书和委托代理人有效身份证)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联合体投标，牵头方提供）</w:t>
            </w:r>
          </w:p>
        </w:tc>
        <w:tc>
          <w:tcPr>
            <w:tcW w:w="1860" w:type="dxa"/>
            <w:noWrap/>
            <w:vAlign w:val="center"/>
          </w:tcPr>
          <w:p w14:paraId="08425CC0">
            <w:pPr>
              <w:spacing w:line="440" w:lineRule="exact"/>
              <w:jc w:val="center"/>
              <w:rPr>
                <w:rFonts w:ascii="宋体" w:hAnsi="宋体" w:cs="宋体"/>
                <w:b/>
                <w:szCs w:val="21"/>
                <w:highlight w:val="none"/>
              </w:rPr>
            </w:pPr>
            <w:r>
              <w:rPr>
                <w:rFonts w:hint="eastAsia" w:ascii="宋体" w:hAnsi="宋体" w:cs="宋体"/>
                <w:b/>
                <w:szCs w:val="21"/>
                <w:highlight w:val="none"/>
              </w:rPr>
              <w:t>检验电子标书</w:t>
            </w:r>
          </w:p>
        </w:tc>
      </w:tr>
      <w:tr w14:paraId="0BB7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noWrap/>
            <w:vAlign w:val="center"/>
          </w:tcPr>
          <w:p w14:paraId="0CBF773D">
            <w:pPr>
              <w:spacing w:line="440" w:lineRule="exact"/>
              <w:jc w:val="center"/>
              <w:rPr>
                <w:rFonts w:ascii="宋体" w:hAnsi="宋体" w:cs="宋体"/>
                <w:szCs w:val="21"/>
                <w:highlight w:val="none"/>
              </w:rPr>
            </w:pPr>
          </w:p>
        </w:tc>
        <w:tc>
          <w:tcPr>
            <w:tcW w:w="1258" w:type="dxa"/>
            <w:vMerge w:val="continue"/>
            <w:noWrap/>
            <w:vAlign w:val="center"/>
          </w:tcPr>
          <w:p w14:paraId="5DD98737">
            <w:pPr>
              <w:spacing w:line="440" w:lineRule="exact"/>
              <w:jc w:val="center"/>
              <w:rPr>
                <w:rFonts w:ascii="宋体" w:hAnsi="宋体" w:cs="宋体"/>
                <w:b/>
                <w:bCs/>
                <w:szCs w:val="21"/>
                <w:highlight w:val="none"/>
              </w:rPr>
            </w:pPr>
          </w:p>
        </w:tc>
        <w:tc>
          <w:tcPr>
            <w:tcW w:w="6183" w:type="dxa"/>
            <w:noWrap/>
            <w:vAlign w:val="top"/>
          </w:tcPr>
          <w:p w14:paraId="356F4F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leftChars="0" w:right="0" w:rightChars="0"/>
              <w:textAlignment w:val="auto"/>
              <w:rPr>
                <w:rFonts w:ascii="宋体" w:hAnsi="宋体" w:cs="宋体"/>
                <w:szCs w:val="21"/>
                <w:highlight w:val="none"/>
              </w:rPr>
            </w:pPr>
            <w:r>
              <w:rPr>
                <w:rFonts w:hint="eastAsia" w:ascii="宋体" w:hAnsi="宋体" w:cs="宋体"/>
                <w:color w:val="auto"/>
                <w:szCs w:val="21"/>
                <w:highlight w:val="none"/>
              </w:rPr>
              <w:t>诚信投标承诺书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联合体投标，均须提供）</w:t>
            </w:r>
          </w:p>
        </w:tc>
        <w:tc>
          <w:tcPr>
            <w:tcW w:w="1860" w:type="dxa"/>
            <w:vMerge w:val="restart"/>
            <w:noWrap/>
            <w:vAlign w:val="center"/>
          </w:tcPr>
          <w:p w14:paraId="1D178232">
            <w:pPr>
              <w:spacing w:line="440" w:lineRule="exact"/>
              <w:jc w:val="center"/>
              <w:rPr>
                <w:rFonts w:ascii="宋体" w:hAnsi="宋体" w:cs="宋体"/>
                <w:b/>
                <w:szCs w:val="21"/>
                <w:highlight w:val="none"/>
              </w:rPr>
            </w:pPr>
            <w:r>
              <w:rPr>
                <w:rFonts w:hint="eastAsia" w:ascii="宋体" w:hAnsi="宋体" w:cs="宋体"/>
                <w:b/>
                <w:szCs w:val="21"/>
                <w:highlight w:val="none"/>
              </w:rPr>
              <w:t>检验电子标书</w:t>
            </w:r>
          </w:p>
        </w:tc>
      </w:tr>
      <w:tr w14:paraId="6FB2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noWrap/>
            <w:vAlign w:val="center"/>
          </w:tcPr>
          <w:p w14:paraId="7D8563C4">
            <w:pPr>
              <w:spacing w:line="440" w:lineRule="exact"/>
              <w:jc w:val="center"/>
              <w:rPr>
                <w:rFonts w:ascii="宋体" w:hAnsi="宋体" w:cs="宋体"/>
                <w:szCs w:val="21"/>
                <w:highlight w:val="none"/>
              </w:rPr>
            </w:pPr>
          </w:p>
        </w:tc>
        <w:tc>
          <w:tcPr>
            <w:tcW w:w="1258" w:type="dxa"/>
            <w:vMerge w:val="continue"/>
            <w:noWrap/>
            <w:vAlign w:val="center"/>
          </w:tcPr>
          <w:p w14:paraId="04C1B076">
            <w:pPr>
              <w:spacing w:line="440" w:lineRule="exact"/>
              <w:jc w:val="center"/>
              <w:rPr>
                <w:rFonts w:ascii="宋体" w:hAnsi="宋体" w:cs="宋体"/>
                <w:b/>
                <w:bCs/>
                <w:szCs w:val="21"/>
                <w:highlight w:val="none"/>
              </w:rPr>
            </w:pPr>
          </w:p>
        </w:tc>
        <w:tc>
          <w:tcPr>
            <w:tcW w:w="6183" w:type="dxa"/>
            <w:noWrap/>
            <w:vAlign w:val="top"/>
          </w:tcPr>
          <w:p w14:paraId="7DE2EB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leftChars="0" w:right="0" w:rightChars="0"/>
              <w:textAlignment w:val="auto"/>
              <w:rPr>
                <w:rFonts w:ascii="宋体" w:hAnsi="宋体" w:cs="宋体"/>
                <w:szCs w:val="21"/>
                <w:highlight w:val="none"/>
              </w:rPr>
            </w:pPr>
            <w:r>
              <w:rPr>
                <w:rFonts w:hint="eastAsia" w:ascii="宋体" w:hAnsi="宋体" w:eastAsia="宋体" w:cs="宋体"/>
                <w:color w:val="auto"/>
                <w:sz w:val="21"/>
                <w:szCs w:val="21"/>
                <w:highlight w:val="none"/>
              </w:rPr>
              <w:t>企业法人营业执照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联合体投标，均须提供）</w:t>
            </w:r>
          </w:p>
        </w:tc>
        <w:tc>
          <w:tcPr>
            <w:tcW w:w="1860" w:type="dxa"/>
            <w:vMerge w:val="continue"/>
            <w:noWrap/>
            <w:vAlign w:val="center"/>
          </w:tcPr>
          <w:p w14:paraId="779E57B8">
            <w:pPr>
              <w:spacing w:line="440" w:lineRule="exact"/>
              <w:rPr>
                <w:rFonts w:ascii="宋体" w:hAnsi="宋体" w:cs="宋体"/>
                <w:b/>
                <w:szCs w:val="21"/>
                <w:highlight w:val="none"/>
              </w:rPr>
            </w:pPr>
          </w:p>
        </w:tc>
      </w:tr>
      <w:tr w14:paraId="25FC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65" w:type="dxa"/>
            <w:vMerge w:val="continue"/>
            <w:noWrap/>
            <w:vAlign w:val="center"/>
          </w:tcPr>
          <w:p w14:paraId="2D4982A9">
            <w:pPr>
              <w:spacing w:line="440" w:lineRule="exact"/>
              <w:jc w:val="center"/>
              <w:rPr>
                <w:rFonts w:ascii="宋体" w:hAnsi="宋体" w:cs="宋体"/>
                <w:szCs w:val="21"/>
                <w:highlight w:val="none"/>
              </w:rPr>
            </w:pPr>
          </w:p>
        </w:tc>
        <w:tc>
          <w:tcPr>
            <w:tcW w:w="1258" w:type="dxa"/>
            <w:vMerge w:val="continue"/>
            <w:noWrap/>
            <w:vAlign w:val="center"/>
          </w:tcPr>
          <w:p w14:paraId="0B3A3CE4">
            <w:pPr>
              <w:spacing w:line="440" w:lineRule="exact"/>
              <w:jc w:val="center"/>
              <w:rPr>
                <w:rFonts w:ascii="宋体" w:hAnsi="宋体" w:cs="宋体"/>
                <w:b/>
                <w:bCs/>
                <w:szCs w:val="21"/>
                <w:highlight w:val="none"/>
              </w:rPr>
            </w:pPr>
          </w:p>
        </w:tc>
        <w:tc>
          <w:tcPr>
            <w:tcW w:w="6183" w:type="dxa"/>
            <w:noWrap/>
            <w:vAlign w:val="top"/>
          </w:tcPr>
          <w:p w14:paraId="5DF3AC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leftChars="0" w:right="0" w:rightChars="0"/>
              <w:textAlignment w:val="auto"/>
              <w:rPr>
                <w:rFonts w:hint="eastAsia" w:ascii="宋体" w:hAnsi="宋体" w:eastAsia="宋体" w:cs="宋体"/>
                <w:szCs w:val="21"/>
                <w:highlight w:val="none"/>
                <w:lang w:val="en-US" w:eastAsia="zh-CN"/>
              </w:rPr>
            </w:pPr>
            <w:r>
              <w:rPr>
                <w:rFonts w:hint="eastAsia" w:ascii="宋体" w:hAnsi="宋体" w:eastAsia="宋体" w:cs="宋体"/>
                <w:color w:val="auto"/>
                <w:sz w:val="21"/>
                <w:szCs w:val="21"/>
                <w:highlight w:val="none"/>
              </w:rPr>
              <w:t>企业资质证书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联合体投标，均须提供）</w:t>
            </w:r>
          </w:p>
        </w:tc>
        <w:tc>
          <w:tcPr>
            <w:tcW w:w="1860" w:type="dxa"/>
            <w:vMerge w:val="continue"/>
            <w:noWrap/>
            <w:vAlign w:val="center"/>
          </w:tcPr>
          <w:p w14:paraId="2E943AB5">
            <w:pPr>
              <w:spacing w:line="440" w:lineRule="exact"/>
              <w:rPr>
                <w:rFonts w:ascii="宋体" w:hAnsi="宋体" w:cs="宋体"/>
                <w:szCs w:val="21"/>
                <w:highlight w:val="none"/>
              </w:rPr>
            </w:pPr>
          </w:p>
        </w:tc>
      </w:tr>
      <w:tr w14:paraId="00FCF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65" w:type="dxa"/>
            <w:vMerge w:val="continue"/>
            <w:noWrap/>
            <w:vAlign w:val="center"/>
          </w:tcPr>
          <w:p w14:paraId="0F88F031">
            <w:pPr>
              <w:spacing w:line="440" w:lineRule="exact"/>
              <w:jc w:val="center"/>
              <w:rPr>
                <w:rFonts w:ascii="宋体" w:hAnsi="宋体" w:cs="宋体"/>
                <w:szCs w:val="21"/>
                <w:highlight w:val="none"/>
              </w:rPr>
            </w:pPr>
          </w:p>
        </w:tc>
        <w:tc>
          <w:tcPr>
            <w:tcW w:w="1258" w:type="dxa"/>
            <w:vMerge w:val="continue"/>
            <w:noWrap/>
            <w:vAlign w:val="center"/>
          </w:tcPr>
          <w:p w14:paraId="4316256A">
            <w:pPr>
              <w:spacing w:line="440" w:lineRule="exact"/>
              <w:jc w:val="center"/>
              <w:rPr>
                <w:rFonts w:ascii="宋体" w:hAnsi="宋体" w:cs="宋体"/>
                <w:b/>
                <w:bCs/>
                <w:szCs w:val="21"/>
                <w:highlight w:val="none"/>
              </w:rPr>
            </w:pPr>
          </w:p>
        </w:tc>
        <w:tc>
          <w:tcPr>
            <w:tcW w:w="6183" w:type="dxa"/>
            <w:noWrap/>
            <w:vAlign w:val="top"/>
          </w:tcPr>
          <w:p w14:paraId="505DCD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leftChars="0" w:right="0" w:rightChars="0"/>
              <w:textAlignment w:val="auto"/>
              <w:rPr>
                <w:rFonts w:hint="eastAsia" w:ascii="宋体" w:hAnsi="宋体" w:cs="宋体"/>
                <w:szCs w:val="21"/>
                <w:highlight w:val="none"/>
              </w:rPr>
            </w:pPr>
            <w:r>
              <w:rPr>
                <w:rFonts w:hint="eastAsia" w:ascii="宋体" w:hAnsi="宋体" w:eastAsia="宋体" w:cs="宋体"/>
                <w:color w:val="auto"/>
                <w:sz w:val="21"/>
                <w:szCs w:val="21"/>
                <w:highlight w:val="none"/>
              </w:rPr>
              <w:t>企业安全生产许可证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联合体投标，由具有施工资质的企业提供）</w:t>
            </w:r>
          </w:p>
        </w:tc>
        <w:tc>
          <w:tcPr>
            <w:tcW w:w="1860" w:type="dxa"/>
            <w:vMerge w:val="continue"/>
            <w:noWrap/>
            <w:vAlign w:val="center"/>
          </w:tcPr>
          <w:p w14:paraId="164A7BA0">
            <w:pPr>
              <w:spacing w:line="440" w:lineRule="exact"/>
              <w:rPr>
                <w:rFonts w:ascii="宋体" w:hAnsi="宋体" w:cs="宋体"/>
                <w:szCs w:val="21"/>
                <w:highlight w:val="none"/>
              </w:rPr>
            </w:pPr>
          </w:p>
        </w:tc>
      </w:tr>
      <w:tr w14:paraId="57C69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65" w:type="dxa"/>
            <w:vMerge w:val="continue"/>
            <w:noWrap/>
            <w:vAlign w:val="center"/>
          </w:tcPr>
          <w:p w14:paraId="7B5BF40A">
            <w:pPr>
              <w:spacing w:line="440" w:lineRule="exact"/>
              <w:jc w:val="center"/>
              <w:rPr>
                <w:rFonts w:ascii="宋体" w:hAnsi="宋体" w:cs="宋体"/>
                <w:szCs w:val="21"/>
                <w:highlight w:val="none"/>
              </w:rPr>
            </w:pPr>
          </w:p>
        </w:tc>
        <w:tc>
          <w:tcPr>
            <w:tcW w:w="1258" w:type="dxa"/>
            <w:vMerge w:val="continue"/>
            <w:noWrap/>
            <w:vAlign w:val="center"/>
          </w:tcPr>
          <w:p w14:paraId="1672FBCB">
            <w:pPr>
              <w:spacing w:line="440" w:lineRule="exact"/>
              <w:jc w:val="center"/>
              <w:rPr>
                <w:rFonts w:ascii="宋体" w:hAnsi="宋体" w:cs="宋体"/>
                <w:b/>
                <w:bCs/>
                <w:szCs w:val="21"/>
                <w:highlight w:val="none"/>
              </w:rPr>
            </w:pPr>
          </w:p>
        </w:tc>
        <w:tc>
          <w:tcPr>
            <w:tcW w:w="6183" w:type="dxa"/>
            <w:noWrap/>
            <w:vAlign w:val="top"/>
          </w:tcPr>
          <w:p w14:paraId="39A662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leftChars="0" w:right="0" w:rightChars="0"/>
              <w:textAlignment w:val="auto"/>
              <w:rPr>
                <w:rFonts w:hint="eastAsia" w:ascii="宋体" w:hAnsi="宋体" w:cs="宋体"/>
                <w:szCs w:val="21"/>
                <w:highlight w:val="none"/>
              </w:rPr>
            </w:pPr>
            <w:r>
              <w:rPr>
                <w:rFonts w:hint="eastAsia" w:ascii="宋体" w:hAnsi="宋体" w:eastAsia="宋体" w:cs="宋体"/>
                <w:color w:val="auto"/>
                <w:sz w:val="21"/>
                <w:szCs w:val="21"/>
                <w:highlight w:val="none"/>
                <w:lang w:val="en-US" w:eastAsia="zh-CN"/>
              </w:rPr>
              <w:t>项目经理及设计负责人有效身份证及对应证书</w:t>
            </w:r>
          </w:p>
        </w:tc>
        <w:tc>
          <w:tcPr>
            <w:tcW w:w="1860" w:type="dxa"/>
            <w:vMerge w:val="continue"/>
            <w:noWrap/>
            <w:vAlign w:val="center"/>
          </w:tcPr>
          <w:p w14:paraId="6D5619AD">
            <w:pPr>
              <w:spacing w:line="440" w:lineRule="exact"/>
              <w:rPr>
                <w:rFonts w:ascii="宋体" w:hAnsi="宋体" w:cs="宋体"/>
                <w:szCs w:val="21"/>
                <w:highlight w:val="none"/>
              </w:rPr>
            </w:pPr>
          </w:p>
        </w:tc>
      </w:tr>
      <w:tr w14:paraId="7DB1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65" w:type="dxa"/>
            <w:vMerge w:val="continue"/>
            <w:noWrap/>
            <w:vAlign w:val="center"/>
          </w:tcPr>
          <w:p w14:paraId="08DED1D1">
            <w:pPr>
              <w:spacing w:line="440" w:lineRule="exact"/>
              <w:jc w:val="center"/>
              <w:rPr>
                <w:rFonts w:ascii="宋体" w:hAnsi="宋体" w:cs="宋体"/>
                <w:szCs w:val="21"/>
                <w:highlight w:val="none"/>
              </w:rPr>
            </w:pPr>
          </w:p>
        </w:tc>
        <w:tc>
          <w:tcPr>
            <w:tcW w:w="1258" w:type="dxa"/>
            <w:vMerge w:val="continue"/>
            <w:noWrap/>
            <w:vAlign w:val="center"/>
          </w:tcPr>
          <w:p w14:paraId="4F1354A2">
            <w:pPr>
              <w:spacing w:line="440" w:lineRule="exact"/>
              <w:jc w:val="center"/>
              <w:rPr>
                <w:rFonts w:ascii="宋体" w:hAnsi="宋体" w:cs="宋体"/>
                <w:b/>
                <w:bCs/>
                <w:szCs w:val="21"/>
                <w:highlight w:val="none"/>
              </w:rPr>
            </w:pPr>
          </w:p>
        </w:tc>
        <w:tc>
          <w:tcPr>
            <w:tcW w:w="6183" w:type="dxa"/>
            <w:noWrap/>
            <w:vAlign w:val="top"/>
          </w:tcPr>
          <w:p w14:paraId="16C90B83">
            <w:pPr>
              <w:spacing w:line="440" w:lineRule="exact"/>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t>拟任项目经理（建造师）</w:t>
            </w:r>
            <w:r>
              <w:rPr>
                <w:rFonts w:hint="eastAsia" w:ascii="宋体" w:hAnsi="宋体" w:eastAsia="宋体" w:cs="宋体"/>
                <w:color w:val="auto"/>
                <w:sz w:val="21"/>
                <w:szCs w:val="21"/>
                <w:highlight w:val="none"/>
                <w:lang w:val="en-US" w:eastAsia="zh-CN"/>
              </w:rPr>
              <w:t>及设计负责人</w:t>
            </w:r>
            <w:r>
              <w:rPr>
                <w:rFonts w:hint="eastAsia" w:ascii="宋体" w:hAnsi="宋体" w:eastAsia="宋体" w:cs="宋体"/>
                <w:color w:val="000000"/>
                <w:szCs w:val="21"/>
                <w:highlight w:val="none"/>
              </w:rPr>
              <w:t>须持有社保部门出具的本单位为其缴纳的</w:t>
            </w:r>
            <w:r>
              <w:rPr>
                <w:rFonts w:hint="eastAsia" w:ascii="宋体" w:hAnsi="宋体" w:eastAsia="宋体" w:cs="宋体"/>
                <w:color w:val="000000"/>
                <w:szCs w:val="21"/>
                <w:highlight w:val="none"/>
                <w:lang w:val="en-US" w:eastAsia="zh-CN"/>
              </w:rPr>
              <w:t>2026年</w:t>
            </w:r>
            <w:r>
              <w:rPr>
                <w:rFonts w:hint="eastAsia" w:ascii="宋体" w:hAnsi="宋体" w:cs="宋体"/>
                <w:color w:val="000000"/>
                <w:szCs w:val="21"/>
                <w:highlight w:val="none"/>
                <w:lang w:val="en-US" w:eastAsia="zh-CN"/>
              </w:rPr>
              <w:t>6</w:t>
            </w:r>
            <w:r>
              <w:rPr>
                <w:rFonts w:hint="eastAsia" w:ascii="宋体" w:hAnsi="宋体" w:eastAsia="宋体" w:cs="宋体"/>
                <w:color w:val="000000"/>
                <w:szCs w:val="21"/>
                <w:highlight w:val="none"/>
                <w:lang w:val="en-US" w:eastAsia="zh-CN"/>
              </w:rPr>
              <w:t>月至2026年</w:t>
            </w:r>
            <w:r>
              <w:rPr>
                <w:rFonts w:hint="eastAsia" w:ascii="宋体" w:hAnsi="宋体" w:cs="宋体"/>
                <w:color w:val="000000"/>
                <w:szCs w:val="21"/>
                <w:highlight w:val="none"/>
                <w:lang w:val="en-US" w:eastAsia="zh-CN"/>
              </w:rPr>
              <w:t>9</w:t>
            </w:r>
            <w:r>
              <w:rPr>
                <w:rFonts w:hint="eastAsia" w:ascii="宋体" w:hAnsi="宋体" w:eastAsia="宋体" w:cs="宋体"/>
                <w:color w:val="000000"/>
                <w:szCs w:val="21"/>
                <w:highlight w:val="none"/>
                <w:lang w:val="en-US" w:eastAsia="zh-CN"/>
              </w:rPr>
              <w:t>月范围内任意</w:t>
            </w:r>
            <w:r>
              <w:rPr>
                <w:rFonts w:hint="eastAsia" w:ascii="宋体" w:hAnsi="宋体" w:eastAsia="宋体" w:cs="宋体"/>
                <w:color w:val="000000"/>
                <w:szCs w:val="21"/>
                <w:highlight w:val="none"/>
              </w:rPr>
              <w:t>连续三个月的养老保险证明</w:t>
            </w:r>
            <w:r>
              <w:rPr>
                <w:rFonts w:hint="eastAsia" w:ascii="宋体" w:hAnsi="宋体" w:eastAsia="宋体" w:cs="宋体"/>
                <w:color w:val="000000"/>
                <w:szCs w:val="21"/>
                <w:highlight w:val="none"/>
                <w:lang w:eastAsia="zh-CN"/>
              </w:rPr>
              <w:t>。</w:t>
            </w:r>
          </w:p>
          <w:p w14:paraId="7DE90B94">
            <w:pPr>
              <w:spacing w:line="440" w:lineRule="exact"/>
              <w:rPr>
                <w:rFonts w:ascii="宋体" w:hAnsi="宋体" w:cs="宋体"/>
                <w:szCs w:val="21"/>
                <w:highlight w:val="none"/>
              </w:rPr>
            </w:pPr>
            <w:r>
              <w:rPr>
                <w:rFonts w:hint="eastAsia" w:ascii="宋体" w:hAnsi="宋体" w:eastAsia="宋体" w:cs="宋体"/>
                <w:color w:val="000000"/>
                <w:szCs w:val="21"/>
                <w:highlight w:val="none"/>
                <w:lang w:eastAsia="zh-CN"/>
              </w:rPr>
              <w:t>注：</w:t>
            </w:r>
            <w:r>
              <w:rPr>
                <w:rFonts w:hint="eastAsia" w:ascii="宋体" w:hAnsi="宋体" w:eastAsia="宋体" w:cs="宋体"/>
                <w:color w:val="000000"/>
                <w:szCs w:val="21"/>
                <w:highlight w:val="none"/>
                <w:lang w:val="en-US" w:eastAsia="zh-CN"/>
              </w:rPr>
              <w:t>1、</w:t>
            </w:r>
            <w:r>
              <w:rPr>
                <w:rFonts w:hint="eastAsia" w:ascii="宋体" w:hAnsi="宋体" w:eastAsia="宋体" w:cs="宋体"/>
                <w:color w:val="000000"/>
                <w:szCs w:val="21"/>
                <w:highlight w:val="none"/>
              </w:rPr>
              <w:t>投标人是事业单位的，暂未缴纳养老保险的，须由其主管部门出具证明</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lang w:val="en-US" w:eastAsia="zh-CN"/>
              </w:rPr>
              <w:t>2、</w:t>
            </w:r>
            <w:r>
              <w:rPr>
                <w:rFonts w:hint="eastAsia" w:ascii="宋体" w:hAnsi="宋体" w:eastAsia="宋体" w:cs="宋体"/>
                <w:color w:val="000000"/>
                <w:szCs w:val="21"/>
                <w:highlight w:val="none"/>
                <w:lang w:eastAsia="zh-CN"/>
              </w:rPr>
              <w:t>如拟派项目经理为退休人员（包括提前退休人员，年龄在国家规定证书使用年限之前，执业年限应能覆盖项⽬⼯期），无法提供社保证明的，投标人应提供拟派项目经理的退休证及投标人企业聘用合同。提交的注册执业证书中聘用企业名称必须与投标人企业名称一致</w:t>
            </w:r>
          </w:p>
        </w:tc>
        <w:tc>
          <w:tcPr>
            <w:tcW w:w="1860" w:type="dxa"/>
            <w:vMerge w:val="continue"/>
            <w:noWrap/>
            <w:vAlign w:val="center"/>
          </w:tcPr>
          <w:p w14:paraId="7F3427B0">
            <w:pPr>
              <w:spacing w:line="440" w:lineRule="exact"/>
              <w:rPr>
                <w:rFonts w:ascii="宋体" w:hAnsi="宋体" w:cs="宋体"/>
                <w:szCs w:val="21"/>
                <w:highlight w:val="none"/>
              </w:rPr>
            </w:pPr>
          </w:p>
        </w:tc>
      </w:tr>
      <w:tr w14:paraId="5E8D3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65" w:type="dxa"/>
            <w:vMerge w:val="continue"/>
            <w:noWrap/>
            <w:vAlign w:val="center"/>
          </w:tcPr>
          <w:p w14:paraId="4A1557FD">
            <w:pPr>
              <w:spacing w:line="440" w:lineRule="exact"/>
              <w:jc w:val="center"/>
              <w:rPr>
                <w:rFonts w:ascii="宋体" w:hAnsi="宋体" w:cs="宋体"/>
                <w:szCs w:val="21"/>
                <w:highlight w:val="none"/>
              </w:rPr>
            </w:pPr>
          </w:p>
        </w:tc>
        <w:tc>
          <w:tcPr>
            <w:tcW w:w="1258" w:type="dxa"/>
            <w:vMerge w:val="continue"/>
            <w:noWrap/>
            <w:vAlign w:val="center"/>
          </w:tcPr>
          <w:p w14:paraId="0EA2FE68">
            <w:pPr>
              <w:spacing w:line="440" w:lineRule="exact"/>
              <w:jc w:val="center"/>
              <w:rPr>
                <w:rFonts w:ascii="宋体" w:hAnsi="宋体" w:cs="宋体"/>
                <w:b/>
                <w:bCs/>
                <w:szCs w:val="21"/>
                <w:highlight w:val="none"/>
              </w:rPr>
            </w:pPr>
          </w:p>
        </w:tc>
        <w:tc>
          <w:tcPr>
            <w:tcW w:w="6183" w:type="dxa"/>
            <w:noWrap/>
            <w:vAlign w:val="top"/>
          </w:tcPr>
          <w:p w14:paraId="73B3F4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leftChars="0" w:right="0" w:rightChars="0"/>
              <w:textAlignment w:val="auto"/>
              <w:rPr>
                <w:rFonts w:hint="eastAsia" w:ascii="宋体" w:hAnsi="宋体" w:eastAsia="宋体" w:cs="宋体"/>
                <w:color w:val="000000"/>
                <w:szCs w:val="21"/>
                <w:highlight w:val="none"/>
                <w:lang w:eastAsia="zh-CN"/>
              </w:rPr>
            </w:pPr>
            <w:r>
              <w:rPr>
                <w:rFonts w:hint="eastAsia" w:ascii="宋体" w:hAnsi="宋体" w:eastAsia="宋体" w:cs="宋体"/>
                <w:color w:val="auto"/>
                <w:szCs w:val="21"/>
                <w:highlight w:val="none"/>
              </w:rPr>
              <w:t>项目管理机构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查看项目管理机构主要人员组成表</w:t>
            </w:r>
          </w:p>
        </w:tc>
        <w:tc>
          <w:tcPr>
            <w:tcW w:w="1860" w:type="dxa"/>
            <w:vMerge w:val="continue"/>
            <w:noWrap/>
            <w:vAlign w:val="center"/>
          </w:tcPr>
          <w:p w14:paraId="7AE747E8">
            <w:pPr>
              <w:spacing w:line="440" w:lineRule="exact"/>
              <w:rPr>
                <w:rFonts w:ascii="宋体" w:hAnsi="宋体" w:cs="宋体"/>
                <w:szCs w:val="21"/>
                <w:highlight w:val="none"/>
              </w:rPr>
            </w:pPr>
          </w:p>
        </w:tc>
      </w:tr>
      <w:tr w14:paraId="26006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65" w:type="dxa"/>
            <w:vMerge w:val="continue"/>
            <w:noWrap/>
            <w:vAlign w:val="center"/>
          </w:tcPr>
          <w:p w14:paraId="09098BE6">
            <w:pPr>
              <w:spacing w:line="440" w:lineRule="exact"/>
              <w:jc w:val="center"/>
              <w:rPr>
                <w:rFonts w:ascii="宋体" w:hAnsi="宋体" w:cs="宋体"/>
                <w:szCs w:val="21"/>
                <w:highlight w:val="none"/>
              </w:rPr>
            </w:pPr>
          </w:p>
        </w:tc>
        <w:tc>
          <w:tcPr>
            <w:tcW w:w="1258" w:type="dxa"/>
            <w:vMerge w:val="continue"/>
            <w:noWrap/>
            <w:vAlign w:val="center"/>
          </w:tcPr>
          <w:p w14:paraId="2BE70D28">
            <w:pPr>
              <w:spacing w:line="440" w:lineRule="exact"/>
              <w:jc w:val="center"/>
              <w:rPr>
                <w:rFonts w:ascii="宋体" w:hAnsi="宋体" w:cs="宋体"/>
                <w:b/>
                <w:bCs/>
                <w:szCs w:val="21"/>
                <w:highlight w:val="none"/>
              </w:rPr>
            </w:pPr>
          </w:p>
        </w:tc>
        <w:tc>
          <w:tcPr>
            <w:tcW w:w="6183" w:type="dxa"/>
            <w:noWrap/>
            <w:vAlign w:val="top"/>
          </w:tcPr>
          <w:p w14:paraId="34FFA0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leftChars="0" w:right="0" w:rightChars="0"/>
              <w:textAlignment w:val="auto"/>
              <w:rPr>
                <w:rFonts w:hint="eastAsia" w:ascii="宋体" w:hAnsi="宋体" w:eastAsia="宋体" w:cs="宋体"/>
                <w:color w:val="000000"/>
                <w:szCs w:val="21"/>
                <w:highlight w:val="none"/>
                <w:lang w:eastAsia="zh-CN"/>
              </w:rPr>
            </w:pPr>
            <w:r>
              <w:rPr>
                <w:rFonts w:hint="eastAsia" w:ascii="宋体" w:hAnsi="宋体" w:eastAsia="宋体" w:cs="宋体"/>
                <w:color w:val="auto"/>
                <w:sz w:val="21"/>
                <w:szCs w:val="21"/>
                <w:highlight w:val="none"/>
              </w:rPr>
              <w:t>联合体</w:t>
            </w:r>
            <w:r>
              <w:rPr>
                <w:rFonts w:hint="eastAsia" w:ascii="宋体" w:hAnsi="宋体" w:eastAsia="宋体" w:cs="宋体"/>
                <w:color w:val="auto"/>
                <w:sz w:val="21"/>
                <w:szCs w:val="21"/>
                <w:highlight w:val="none"/>
                <w:lang w:val="en-US" w:eastAsia="zh-CN"/>
              </w:rPr>
              <w:t>协议书</w:t>
            </w:r>
            <w:r>
              <w:rPr>
                <w:rFonts w:hint="eastAsia" w:ascii="宋体" w:hAnsi="宋体" w:eastAsia="宋体" w:cs="宋体"/>
                <w:color w:val="auto"/>
                <w:sz w:val="21"/>
                <w:szCs w:val="21"/>
                <w:highlight w:val="none"/>
              </w:rPr>
              <w:t>（如有）</w:t>
            </w:r>
          </w:p>
        </w:tc>
        <w:tc>
          <w:tcPr>
            <w:tcW w:w="1860" w:type="dxa"/>
            <w:vMerge w:val="continue"/>
            <w:noWrap/>
            <w:vAlign w:val="center"/>
          </w:tcPr>
          <w:p w14:paraId="695F5138">
            <w:pPr>
              <w:spacing w:line="440" w:lineRule="exact"/>
              <w:rPr>
                <w:rFonts w:ascii="宋体" w:hAnsi="宋体" w:cs="宋体"/>
                <w:szCs w:val="21"/>
                <w:highlight w:val="none"/>
              </w:rPr>
            </w:pPr>
          </w:p>
        </w:tc>
      </w:tr>
    </w:tbl>
    <w:p w14:paraId="44418C94">
      <w:pPr>
        <w:spacing w:line="440" w:lineRule="exact"/>
        <w:ind w:firstLine="422" w:firstLineChars="200"/>
        <w:jc w:val="left"/>
        <w:rPr>
          <w:rFonts w:ascii="宋体" w:hAnsi="宋体" w:cs="宋体"/>
          <w:b/>
          <w:bCs/>
          <w:szCs w:val="21"/>
          <w:highlight w:val="none"/>
        </w:rPr>
      </w:pPr>
      <w:r>
        <w:rPr>
          <w:rFonts w:hint="eastAsia" w:ascii="宋体" w:hAnsi="宋体" w:cs="宋体"/>
          <w:b/>
          <w:bCs/>
          <w:szCs w:val="21"/>
          <w:highlight w:val="none"/>
        </w:rPr>
        <w:t>重要提示：</w:t>
      </w:r>
    </w:p>
    <w:p w14:paraId="3BA6D769">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firstLine="422" w:firstLineChars="200"/>
        <w:jc w:val="left"/>
        <w:textAlignment w:val="auto"/>
        <w:rPr>
          <w:rFonts w:hint="eastAsia" w:ascii="宋体" w:hAnsi="宋体" w:eastAsia="宋体" w:cs="宋体"/>
          <w:b/>
          <w:bCs/>
          <w:szCs w:val="21"/>
          <w:highlight w:val="none"/>
        </w:rPr>
      </w:pPr>
      <w:r>
        <w:rPr>
          <w:rFonts w:hint="eastAsia" w:ascii="宋体" w:hAnsi="宋体" w:eastAsia="宋体" w:cs="宋体"/>
          <w:b/>
          <w:bCs/>
          <w:szCs w:val="21"/>
          <w:highlight w:val="none"/>
        </w:rPr>
        <w:t>评标专家在检验电子投标文件过程中，如果由于投标人自身原因导致评标专家无法查看并检验电子投标文件中相关资料的，视为无效标处理。即使投标人将原件携带至现场的，同样按无效标处理。</w:t>
      </w:r>
    </w:p>
    <w:p w14:paraId="47D2EA3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2" w:firstLineChars="200"/>
        <w:jc w:val="left"/>
        <w:textAlignment w:val="auto"/>
        <w:rPr>
          <w:rFonts w:hint="eastAsia" w:ascii="宋体" w:hAnsi="宋体" w:eastAsia="宋体" w:cs="宋体"/>
          <w:b/>
          <w:bCs/>
          <w:szCs w:val="21"/>
          <w:highlight w:val="none"/>
        </w:rPr>
      </w:pPr>
      <w:r>
        <w:rPr>
          <w:rFonts w:hint="eastAsia" w:ascii="宋体" w:hAnsi="宋体" w:eastAsia="宋体" w:cs="宋体"/>
          <w:b/>
          <w:bCs/>
          <w:szCs w:val="21"/>
          <w:highlight w:val="none"/>
          <w:lang w:eastAsia="zh-CN"/>
        </w:rPr>
        <w:t>（</w:t>
      </w:r>
      <w:r>
        <w:rPr>
          <w:rFonts w:hint="eastAsia" w:ascii="宋体" w:hAnsi="宋体" w:eastAsia="宋体" w:cs="宋体"/>
          <w:b/>
          <w:bCs/>
          <w:szCs w:val="21"/>
          <w:highlight w:val="none"/>
          <w:lang w:val="en-US" w:eastAsia="zh-CN"/>
        </w:rPr>
        <w:t>2）</w:t>
      </w:r>
      <w:r>
        <w:rPr>
          <w:rFonts w:hint="eastAsia" w:ascii="宋体" w:hAnsi="宋体" w:eastAsia="宋体" w:cs="宋体"/>
          <w:b/>
          <w:bCs/>
          <w:szCs w:val="21"/>
          <w:highlight w:val="none"/>
        </w:rPr>
        <w:t>投标人拟委任项目经理为注册建造师（含一级、二级）的，须提供在电子证书使用有效期内的纸质版电子证书。一级建造师打印电子证书后，应在个人签名处手写本人签名，未手写签名或与签名图像笔迹不一致的，该电子证书无效。</w:t>
      </w:r>
    </w:p>
    <w:p w14:paraId="5B4DF0B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2" w:firstLineChars="200"/>
        <w:jc w:val="left"/>
        <w:textAlignment w:val="auto"/>
        <w:rPr>
          <w:rFonts w:hint="eastAsia" w:ascii="宋体" w:hAnsi="宋体" w:eastAsia="宋体" w:cs="宋体"/>
          <w:b/>
          <w:bCs/>
          <w:szCs w:val="21"/>
          <w:highlight w:val="none"/>
        </w:rPr>
      </w:pPr>
      <w:r>
        <w:rPr>
          <w:rFonts w:hint="eastAsia" w:ascii="宋体" w:hAnsi="宋体" w:eastAsia="宋体" w:cs="宋体"/>
          <w:b/>
          <w:bCs/>
          <w:szCs w:val="21"/>
          <w:highlight w:val="none"/>
        </w:rPr>
        <w:t>投标人提供的安徽省新版二级建造师电子注册证书纸质版需在安徽省住房和城乡建设执业资格注册管理系统中打印，打印后应由二级建造师本人在证书的个人签名处手写本人签名，或在新版二级建造师电子注册证书纸质版后附其本人知情承诺（视为个人签名处的手写本人签名），格式自拟。未手写个人签名或未提供二级建造师本人知情承诺的，个人签名或知情承诺签字与签名图片笔迹不一致，此证书无效。其他省份按各省相关规定执行。</w:t>
      </w:r>
    </w:p>
    <w:p w14:paraId="4A8A3FCB">
      <w:pPr>
        <w:pStyle w:val="3"/>
        <w:spacing w:beforeLines="50" w:afterLines="50"/>
        <w:ind w:firstLine="422" w:firstLineChars="200"/>
        <w:rPr>
          <w:rFonts w:ascii="宋体" w:hAnsi="宋体" w:eastAsia="宋体" w:cs="宋体"/>
          <w:highlight w:val="none"/>
        </w:rPr>
      </w:pPr>
      <w:bookmarkStart w:id="744" w:name="_Toc506107319"/>
      <w:bookmarkStart w:id="745" w:name="_Toc15058904"/>
      <w:bookmarkStart w:id="746" w:name="_Toc27127"/>
      <w:bookmarkStart w:id="747" w:name="_Toc35425107"/>
      <w:bookmarkStart w:id="748" w:name="_Toc35424941"/>
      <w:bookmarkStart w:id="749" w:name="_Toc324404866"/>
      <w:bookmarkStart w:id="750" w:name="_Toc78803376"/>
      <w:r>
        <w:rPr>
          <w:rFonts w:hint="eastAsia" w:ascii="宋体" w:hAnsi="宋体" w:eastAsia="宋体" w:cs="宋体"/>
          <w:highlight w:val="none"/>
        </w:rPr>
        <w:t>1.审查资料</w:t>
      </w:r>
      <w:bookmarkEnd w:id="744"/>
      <w:bookmarkEnd w:id="745"/>
      <w:bookmarkEnd w:id="746"/>
      <w:bookmarkEnd w:id="747"/>
      <w:bookmarkEnd w:id="748"/>
      <w:bookmarkEnd w:id="749"/>
      <w:bookmarkEnd w:id="750"/>
    </w:p>
    <w:p w14:paraId="118C6000">
      <w:pPr>
        <w:spacing w:line="440" w:lineRule="exact"/>
        <w:ind w:right="-168" w:rightChars="-80" w:firstLine="420" w:firstLineChars="200"/>
        <w:jc w:val="left"/>
        <w:rPr>
          <w:rFonts w:hint="eastAsia" w:ascii="宋体" w:hAnsi="宋体" w:eastAsia="宋体" w:cs="宋体"/>
          <w:szCs w:val="21"/>
          <w:highlight w:val="none"/>
        </w:rPr>
      </w:pPr>
      <w:bookmarkStart w:id="751" w:name="_Toc35425108"/>
      <w:bookmarkStart w:id="752" w:name="_Toc15058909"/>
      <w:bookmarkStart w:id="753" w:name="_Toc12549"/>
      <w:bookmarkStart w:id="754" w:name="_Toc506107320"/>
      <w:bookmarkStart w:id="755" w:name="_Toc78803377"/>
      <w:bookmarkStart w:id="756" w:name="_Toc324404867"/>
      <w:bookmarkStart w:id="757" w:name="_Toc35424942"/>
      <w:r>
        <w:rPr>
          <w:rFonts w:hint="eastAsia" w:ascii="宋体" w:hAnsi="宋体" w:eastAsia="宋体" w:cs="宋体"/>
          <w:szCs w:val="21"/>
          <w:highlight w:val="none"/>
        </w:rPr>
        <w:t>①法定代表人身份证明和本人有效身份证(或法定代表人授权委托书和委托代理人有效身份证)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联合体投标，牵头方提供</w:t>
      </w:r>
      <w:r>
        <w:rPr>
          <w:rFonts w:hint="eastAsia" w:ascii="宋体" w:hAnsi="宋体" w:cs="宋体"/>
          <w:color w:val="auto"/>
          <w:sz w:val="21"/>
          <w:szCs w:val="21"/>
          <w:highlight w:val="none"/>
          <w:lang w:val="en-US" w:eastAsia="zh-CN"/>
        </w:rPr>
        <w:t>）</w:t>
      </w:r>
      <w:r>
        <w:rPr>
          <w:rFonts w:hint="eastAsia" w:ascii="宋体" w:hAnsi="宋体" w:eastAsia="宋体" w:cs="宋体"/>
          <w:szCs w:val="21"/>
          <w:highlight w:val="none"/>
        </w:rPr>
        <w:t>；</w:t>
      </w:r>
    </w:p>
    <w:p w14:paraId="62445882">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②诚信投标承诺书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联合体投标，均须提供）</w:t>
      </w:r>
      <w:r>
        <w:rPr>
          <w:rFonts w:hint="eastAsia" w:ascii="宋体" w:hAnsi="宋体" w:eastAsia="宋体" w:cs="宋体"/>
          <w:szCs w:val="21"/>
          <w:highlight w:val="none"/>
        </w:rPr>
        <w:t>；</w:t>
      </w:r>
    </w:p>
    <w:p w14:paraId="41DE15A7">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③企业法人营业执照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联合体投标，均须提供）</w:t>
      </w:r>
      <w:r>
        <w:rPr>
          <w:rFonts w:hint="eastAsia" w:ascii="宋体" w:hAnsi="宋体" w:eastAsia="宋体" w:cs="宋体"/>
          <w:szCs w:val="21"/>
          <w:highlight w:val="none"/>
        </w:rPr>
        <w:t>；</w:t>
      </w:r>
    </w:p>
    <w:p w14:paraId="4FB16298">
      <w:pPr>
        <w:spacing w:line="440" w:lineRule="exact"/>
        <w:ind w:right="-168" w:rightChars="-80" w:firstLine="420" w:firstLineChars="200"/>
        <w:jc w:val="left"/>
        <w:rPr>
          <w:rFonts w:hint="eastAsia" w:ascii="宋体" w:hAnsi="宋体" w:eastAsia="宋体" w:cs="宋体"/>
          <w:color w:val="000000"/>
          <w:szCs w:val="21"/>
          <w:highlight w:val="none"/>
          <w:lang w:eastAsia="zh-CN"/>
        </w:rPr>
      </w:pPr>
      <w:r>
        <w:rPr>
          <w:rFonts w:hint="eastAsia" w:ascii="宋体" w:hAnsi="宋体" w:eastAsia="宋体" w:cs="宋体"/>
          <w:szCs w:val="21"/>
          <w:highlight w:val="none"/>
        </w:rPr>
        <w:t>④</w:t>
      </w:r>
      <w:r>
        <w:rPr>
          <w:rFonts w:hint="eastAsia"/>
          <w:highlight w:val="none"/>
        </w:rPr>
        <w:t>企业资</w:t>
      </w:r>
      <w:r>
        <w:rPr>
          <w:rFonts w:hint="eastAsia" w:ascii="宋体" w:hAnsi="宋体" w:eastAsia="宋体" w:cs="宋体"/>
          <w:color w:val="000000"/>
          <w:szCs w:val="21"/>
          <w:highlight w:val="none"/>
        </w:rPr>
        <w:t>质证书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联合体投标，均须提供）</w:t>
      </w:r>
      <w:r>
        <w:rPr>
          <w:rFonts w:hint="eastAsia" w:ascii="宋体" w:hAnsi="宋体" w:eastAsia="宋体" w:cs="宋体"/>
          <w:color w:val="000000"/>
          <w:szCs w:val="21"/>
          <w:highlight w:val="none"/>
          <w:lang w:eastAsia="zh-CN"/>
        </w:rPr>
        <w:t>；</w:t>
      </w:r>
    </w:p>
    <w:p w14:paraId="5EA04DDC">
      <w:pPr>
        <w:spacing w:line="440" w:lineRule="exact"/>
        <w:ind w:right="-168" w:rightChars="-80" w:firstLine="420" w:firstLineChars="200"/>
        <w:jc w:val="left"/>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t>⑤企业安全生产许可证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联合体投标，由具有施工资质的企业提供）</w:t>
      </w:r>
      <w:r>
        <w:rPr>
          <w:rFonts w:hint="eastAsia" w:ascii="宋体" w:hAnsi="宋体" w:eastAsia="宋体" w:cs="宋体"/>
          <w:color w:val="000000"/>
          <w:szCs w:val="21"/>
          <w:highlight w:val="none"/>
          <w:lang w:eastAsia="zh-CN"/>
        </w:rPr>
        <w:t>；</w:t>
      </w:r>
    </w:p>
    <w:p w14:paraId="3F05D33A">
      <w:pPr>
        <w:spacing w:line="440" w:lineRule="exact"/>
        <w:ind w:right="-168" w:rightChars="-80" w:firstLine="420" w:firstLineChars="200"/>
        <w:jc w:val="left"/>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t>⑥</w:t>
      </w:r>
      <w:r>
        <w:rPr>
          <w:rFonts w:hint="eastAsia" w:ascii="宋体" w:hAnsi="宋体" w:eastAsia="宋体" w:cs="宋体"/>
          <w:color w:val="auto"/>
          <w:sz w:val="21"/>
          <w:szCs w:val="21"/>
          <w:highlight w:val="none"/>
          <w:lang w:val="en-US" w:eastAsia="zh-CN"/>
        </w:rPr>
        <w:t>项目经理及设计负责人有效身份证及对应证书</w:t>
      </w:r>
      <w:r>
        <w:rPr>
          <w:rFonts w:hint="eastAsia" w:ascii="宋体" w:hAnsi="宋体" w:eastAsia="宋体" w:cs="宋体"/>
          <w:color w:val="000000"/>
          <w:szCs w:val="21"/>
          <w:highlight w:val="none"/>
          <w:lang w:eastAsia="zh-CN"/>
        </w:rPr>
        <w:t>；</w:t>
      </w:r>
    </w:p>
    <w:p w14:paraId="325011DD">
      <w:pPr>
        <w:spacing w:line="440" w:lineRule="exact"/>
        <w:ind w:right="-168" w:rightChars="-80" w:firstLine="420" w:firstLineChars="200"/>
        <w:jc w:val="left"/>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t>⑦拟任项目经理（建造师）</w:t>
      </w:r>
      <w:r>
        <w:rPr>
          <w:rFonts w:hint="eastAsia" w:ascii="宋体" w:hAnsi="宋体" w:eastAsia="宋体" w:cs="宋体"/>
          <w:color w:val="auto"/>
          <w:sz w:val="21"/>
          <w:szCs w:val="21"/>
          <w:highlight w:val="none"/>
          <w:lang w:val="en-US" w:eastAsia="zh-CN"/>
        </w:rPr>
        <w:t>及设计负责人</w:t>
      </w:r>
      <w:r>
        <w:rPr>
          <w:rFonts w:hint="eastAsia" w:ascii="宋体" w:hAnsi="宋体" w:eastAsia="宋体" w:cs="宋体"/>
          <w:color w:val="000000"/>
          <w:szCs w:val="21"/>
          <w:highlight w:val="none"/>
        </w:rPr>
        <w:t>须持有社保部门出具的本单位为其缴纳的</w:t>
      </w:r>
      <w:r>
        <w:rPr>
          <w:rFonts w:hint="eastAsia" w:ascii="宋体" w:hAnsi="宋体" w:eastAsia="宋体" w:cs="宋体"/>
          <w:color w:val="000000"/>
          <w:szCs w:val="21"/>
          <w:highlight w:val="none"/>
          <w:lang w:val="en-US" w:eastAsia="zh-CN"/>
        </w:rPr>
        <w:t>2026年</w:t>
      </w:r>
      <w:r>
        <w:rPr>
          <w:rFonts w:hint="eastAsia" w:ascii="宋体" w:hAnsi="宋体" w:cs="宋体"/>
          <w:color w:val="000000"/>
          <w:szCs w:val="21"/>
          <w:highlight w:val="none"/>
          <w:lang w:val="en-US" w:eastAsia="zh-CN"/>
        </w:rPr>
        <w:t>6</w:t>
      </w:r>
      <w:r>
        <w:rPr>
          <w:rFonts w:hint="eastAsia" w:ascii="宋体" w:hAnsi="宋体" w:eastAsia="宋体" w:cs="宋体"/>
          <w:color w:val="000000"/>
          <w:szCs w:val="21"/>
          <w:highlight w:val="none"/>
          <w:lang w:val="en-US" w:eastAsia="zh-CN"/>
        </w:rPr>
        <w:t>月至2026年</w:t>
      </w:r>
      <w:r>
        <w:rPr>
          <w:rFonts w:hint="eastAsia" w:ascii="宋体" w:hAnsi="宋体" w:cs="宋体"/>
          <w:color w:val="000000"/>
          <w:szCs w:val="21"/>
          <w:highlight w:val="none"/>
          <w:lang w:val="en-US" w:eastAsia="zh-CN"/>
        </w:rPr>
        <w:t>9</w:t>
      </w:r>
      <w:r>
        <w:rPr>
          <w:rFonts w:hint="eastAsia" w:ascii="宋体" w:hAnsi="宋体" w:eastAsia="宋体" w:cs="宋体"/>
          <w:color w:val="000000"/>
          <w:szCs w:val="21"/>
          <w:highlight w:val="none"/>
          <w:lang w:val="en-US" w:eastAsia="zh-CN"/>
        </w:rPr>
        <w:t>月范围内任意</w:t>
      </w:r>
      <w:r>
        <w:rPr>
          <w:rFonts w:hint="eastAsia" w:ascii="宋体" w:hAnsi="宋体" w:eastAsia="宋体" w:cs="宋体"/>
          <w:color w:val="000000"/>
          <w:szCs w:val="21"/>
          <w:highlight w:val="none"/>
        </w:rPr>
        <w:t>连续三个月的养老保险证明</w:t>
      </w:r>
      <w:r>
        <w:rPr>
          <w:rFonts w:hint="eastAsia" w:ascii="宋体" w:hAnsi="宋体" w:eastAsia="宋体" w:cs="宋体"/>
          <w:color w:val="000000"/>
          <w:szCs w:val="21"/>
          <w:highlight w:val="none"/>
          <w:lang w:eastAsia="zh-CN"/>
        </w:rPr>
        <w:t>；</w:t>
      </w:r>
    </w:p>
    <w:p w14:paraId="0927AB42">
      <w:pPr>
        <w:spacing w:line="440" w:lineRule="exact"/>
        <w:ind w:right="-168" w:rightChars="-80" w:firstLine="420" w:firstLineChars="200"/>
        <w:jc w:val="left"/>
        <w:rPr>
          <w:rFonts w:hint="eastAsia" w:ascii="宋体" w:hAnsi="宋体" w:eastAsia="宋体" w:cs="宋体"/>
          <w:szCs w:val="21"/>
          <w:highlight w:val="none"/>
          <w:lang w:eastAsia="zh-CN"/>
        </w:rPr>
      </w:pPr>
      <w:r>
        <w:rPr>
          <w:rFonts w:hint="eastAsia" w:ascii="宋体" w:hAnsi="宋体" w:eastAsia="宋体" w:cs="宋体"/>
          <w:color w:val="000000"/>
          <w:szCs w:val="21"/>
          <w:highlight w:val="none"/>
          <w:lang w:eastAsia="zh-CN"/>
        </w:rPr>
        <w:t>注：</w:t>
      </w:r>
      <w:r>
        <w:rPr>
          <w:rFonts w:hint="eastAsia" w:ascii="宋体" w:hAnsi="宋体" w:eastAsia="宋体" w:cs="宋体"/>
          <w:color w:val="000000"/>
          <w:szCs w:val="21"/>
          <w:highlight w:val="none"/>
          <w:lang w:val="en-US" w:eastAsia="zh-CN"/>
        </w:rPr>
        <w:t>1、</w:t>
      </w:r>
      <w:r>
        <w:rPr>
          <w:rFonts w:hint="eastAsia" w:ascii="宋体" w:hAnsi="宋体" w:eastAsia="宋体" w:cs="宋体"/>
          <w:color w:val="000000"/>
          <w:szCs w:val="21"/>
          <w:highlight w:val="none"/>
        </w:rPr>
        <w:t>投标人是事业单位的，暂未缴纳养老保险的，须由其主管部门出具证明</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lang w:val="en-US" w:eastAsia="zh-CN"/>
        </w:rPr>
        <w:t>2、</w:t>
      </w:r>
      <w:r>
        <w:rPr>
          <w:rFonts w:hint="eastAsia" w:ascii="宋体" w:hAnsi="宋体" w:eastAsia="宋体" w:cs="宋体"/>
          <w:color w:val="000000"/>
          <w:szCs w:val="21"/>
          <w:highlight w:val="none"/>
          <w:lang w:eastAsia="zh-CN"/>
        </w:rPr>
        <w:t>如拟派项目经理为退</w:t>
      </w:r>
      <w:r>
        <w:rPr>
          <w:rFonts w:hint="eastAsia" w:ascii="宋体" w:hAnsi="宋体" w:eastAsia="宋体" w:cs="宋体"/>
          <w:szCs w:val="21"/>
          <w:highlight w:val="none"/>
          <w:lang w:eastAsia="zh-CN"/>
        </w:rPr>
        <w:t>休人员（包括提前退休人员，年龄在国家规定证书使用年限之前，执业年限应能覆盖项⽬⼯期），无法提供社保证明的，投标人应提供拟派项目经理的退休证及投标人企业聘用合同。提交的注册执业证书中聘用企业名称必须与投标人企业名称一致。</w:t>
      </w:r>
    </w:p>
    <w:p w14:paraId="12D3F429">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⑧项目管理机构。查看项目管理机构主要人员组成表；</w:t>
      </w:r>
    </w:p>
    <w:p w14:paraId="69E9D701">
      <w:pPr>
        <w:spacing w:line="440" w:lineRule="exact"/>
        <w:ind w:right="-168" w:rightChars="-80" w:firstLine="420" w:firstLineChars="200"/>
        <w:jc w:val="left"/>
        <w:rPr>
          <w:rFonts w:hint="eastAsia" w:ascii="宋体" w:hAnsi="宋体" w:eastAsia="宋体" w:cs="宋体"/>
          <w:color w:val="000000"/>
          <w:szCs w:val="21"/>
          <w:highlight w:val="none"/>
          <w:lang w:eastAsia="zh-CN"/>
        </w:rPr>
      </w:pPr>
      <w:r>
        <w:rPr>
          <w:rFonts w:hint="eastAsia" w:ascii="宋体" w:hAnsi="宋体" w:eastAsia="宋体" w:cs="宋体"/>
          <w:szCs w:val="21"/>
          <w:highlight w:val="none"/>
        </w:rPr>
        <w:t>⑨联合体协议书（如有）</w:t>
      </w:r>
      <w:r>
        <w:rPr>
          <w:rFonts w:hint="eastAsia" w:ascii="宋体" w:hAnsi="宋体" w:eastAsia="宋体" w:cs="宋体"/>
          <w:szCs w:val="21"/>
          <w:highlight w:val="none"/>
          <w:lang w:eastAsia="zh-CN"/>
        </w:rPr>
        <w:t>。</w:t>
      </w:r>
    </w:p>
    <w:p w14:paraId="5990719C">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2.审查办法</w:t>
      </w:r>
      <w:bookmarkEnd w:id="751"/>
      <w:bookmarkEnd w:id="752"/>
      <w:bookmarkEnd w:id="753"/>
      <w:bookmarkEnd w:id="754"/>
      <w:bookmarkEnd w:id="755"/>
      <w:bookmarkEnd w:id="756"/>
      <w:bookmarkEnd w:id="757"/>
    </w:p>
    <w:p w14:paraId="0B018554">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由资格审查委员会（评标委员会）按资格审查办法前附表中资格审查必要合格条件评审表要求对投标人审查资料进行核验。</w:t>
      </w:r>
    </w:p>
    <w:p w14:paraId="447D2762">
      <w:pPr>
        <w:pStyle w:val="3"/>
        <w:spacing w:beforeLines="50" w:afterLines="50"/>
        <w:ind w:firstLine="422" w:firstLineChars="200"/>
        <w:rPr>
          <w:rFonts w:ascii="宋体" w:hAnsi="宋体" w:eastAsia="宋体" w:cs="宋体"/>
          <w:highlight w:val="none"/>
        </w:rPr>
      </w:pPr>
      <w:bookmarkStart w:id="758" w:name="_Toc78803378"/>
      <w:bookmarkStart w:id="759" w:name="_Toc15058910"/>
      <w:bookmarkStart w:id="760" w:name="_Toc324404868"/>
      <w:bookmarkStart w:id="761" w:name="_Toc35425109"/>
      <w:bookmarkStart w:id="762" w:name="_Toc15626"/>
      <w:bookmarkStart w:id="763" w:name="_Toc35424943"/>
      <w:bookmarkStart w:id="764" w:name="_Toc506107321"/>
      <w:r>
        <w:rPr>
          <w:rFonts w:hint="eastAsia" w:ascii="宋体" w:hAnsi="宋体" w:eastAsia="宋体" w:cs="宋体"/>
          <w:highlight w:val="none"/>
        </w:rPr>
        <w:t>3.资格审查委员会和审查标准</w:t>
      </w:r>
      <w:bookmarkEnd w:id="758"/>
      <w:bookmarkEnd w:id="759"/>
      <w:bookmarkEnd w:id="760"/>
      <w:bookmarkEnd w:id="761"/>
      <w:bookmarkEnd w:id="762"/>
      <w:bookmarkEnd w:id="763"/>
      <w:bookmarkEnd w:id="764"/>
    </w:p>
    <w:p w14:paraId="48F20776">
      <w:pPr>
        <w:spacing w:line="440" w:lineRule="exact"/>
        <w:ind w:firstLine="420" w:firstLineChars="200"/>
        <w:jc w:val="left"/>
        <w:rPr>
          <w:rFonts w:hint="eastAsia" w:ascii="宋体" w:hAnsi="宋体" w:eastAsia="宋体" w:cs="宋体"/>
          <w:szCs w:val="21"/>
          <w:highlight w:val="none"/>
        </w:rPr>
      </w:pPr>
      <w:bookmarkStart w:id="765" w:name="_Toc35424944"/>
      <w:bookmarkStart w:id="766" w:name="_Toc506107322"/>
      <w:bookmarkStart w:id="767" w:name="_Toc15058911"/>
      <w:bookmarkStart w:id="768" w:name="_Toc35425110"/>
      <w:bookmarkStart w:id="769" w:name="_Toc78803379"/>
      <w:bookmarkStart w:id="770" w:name="_Toc324404869"/>
      <w:bookmarkStart w:id="771" w:name="_Toc10330"/>
      <w:r>
        <w:rPr>
          <w:rFonts w:hint="eastAsia" w:ascii="宋体" w:hAnsi="宋体" w:eastAsia="宋体" w:cs="宋体"/>
          <w:szCs w:val="21"/>
          <w:highlight w:val="none"/>
        </w:rPr>
        <w:t>3.1资格审查由招标人依法组建的资格审查委员会（或评标委员会）负责。审查标准见资格审查办法前附表。</w:t>
      </w:r>
    </w:p>
    <w:p w14:paraId="75FCAEF4">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3.2由资格审查委员会（评标委员会）按资格审查办法前附表要求对投标人的审查资料进行核验。投标申请人有下列情形之一的，其资格审查为不合格： </w:t>
      </w:r>
    </w:p>
    <w:p w14:paraId="170CFBED">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（1）未上传电子标书或电子标书经审查不合格；</w:t>
      </w:r>
    </w:p>
    <w:p w14:paraId="2CFB6988">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（2）联合体投标人没有提交联合体协议书；</w:t>
      </w:r>
    </w:p>
    <w:p w14:paraId="7DB584AD">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（3）保证金不按</w:t>
      </w:r>
      <w:r>
        <w:rPr>
          <w:rFonts w:hint="eastAsia" w:ascii="宋体" w:hAnsi="宋体" w:eastAsia="宋体" w:cs="宋体"/>
          <w:szCs w:val="21"/>
          <w:highlight w:val="none"/>
          <w:lang w:val="en-US" w:eastAsia="zh-CN"/>
        </w:rPr>
        <w:t>招标公告</w:t>
      </w:r>
      <w:r>
        <w:rPr>
          <w:rFonts w:hint="eastAsia" w:ascii="宋体" w:hAnsi="宋体" w:eastAsia="宋体" w:cs="宋体"/>
          <w:szCs w:val="21"/>
          <w:highlight w:val="none"/>
        </w:rPr>
        <w:t xml:space="preserve">要求提交投标保证金的； </w:t>
      </w:r>
    </w:p>
    <w:p w14:paraId="5BD4972E">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）投标人申请开具电子保函 MAC 地址一致的；</w:t>
      </w:r>
    </w:p>
    <w:p w14:paraId="3ECC0E69">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5</w:t>
      </w:r>
      <w:r>
        <w:rPr>
          <w:rFonts w:hint="eastAsia" w:ascii="宋体" w:hAnsi="宋体" w:eastAsia="宋体" w:cs="宋体"/>
          <w:szCs w:val="21"/>
          <w:highlight w:val="none"/>
        </w:rPr>
        <w:t>）投标人投标文件制作机器码、文件创建标识码及造价软件加密锁号信息雷同的；</w:t>
      </w:r>
    </w:p>
    <w:p w14:paraId="1659A0FD">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）法律、法规规定的其他情形。</w:t>
      </w:r>
    </w:p>
    <w:p w14:paraId="439F3B10">
      <w:pPr>
        <w:pStyle w:val="3"/>
        <w:spacing w:beforeLines="50" w:afterLines="50"/>
        <w:ind w:firstLine="422" w:firstLineChars="200"/>
        <w:rPr>
          <w:rFonts w:hint="eastAsia" w:ascii="宋体" w:hAnsi="宋体" w:eastAsia="宋体" w:cs="宋体"/>
          <w:highlight w:val="none"/>
        </w:rPr>
      </w:pPr>
      <w:r>
        <w:rPr>
          <w:rFonts w:hint="eastAsia" w:ascii="宋体" w:hAnsi="宋体" w:eastAsia="宋体" w:cs="宋体"/>
          <w:highlight w:val="none"/>
        </w:rPr>
        <w:t>4.审查结果</w:t>
      </w:r>
      <w:bookmarkEnd w:id="765"/>
      <w:bookmarkEnd w:id="766"/>
      <w:bookmarkEnd w:id="767"/>
      <w:bookmarkEnd w:id="768"/>
      <w:bookmarkEnd w:id="769"/>
      <w:bookmarkEnd w:id="770"/>
      <w:bookmarkEnd w:id="771"/>
    </w:p>
    <w:p w14:paraId="58D45548">
      <w:pPr>
        <w:spacing w:line="440" w:lineRule="exact"/>
        <w:ind w:firstLine="420" w:firstLineChars="200"/>
        <w:jc w:val="left"/>
        <w:rPr>
          <w:rFonts w:ascii="宋体" w:hAnsi="宋体" w:cs="宋体"/>
          <w:szCs w:val="21"/>
          <w:highlight w:val="none"/>
        </w:rPr>
      </w:pPr>
      <w:r>
        <w:rPr>
          <w:rFonts w:hint="eastAsia" w:ascii="宋体" w:hAnsi="宋体" w:cs="宋体"/>
          <w:highlight w:val="none"/>
        </w:rPr>
        <w:t>只有通过资格审查的投标人才能进入下一步的评标程序。</w:t>
      </w:r>
      <w:bookmarkStart w:id="772" w:name="_Toc506107323"/>
    </w:p>
    <w:p w14:paraId="500CB5F4">
      <w:pPr>
        <w:pStyle w:val="2"/>
        <w:numPr>
          <w:ilvl w:val="0"/>
          <w:numId w:val="2"/>
        </w:numPr>
        <w:spacing w:beforeLines="50" w:afterLines="50"/>
        <w:rPr>
          <w:rFonts w:hint="eastAsia" w:ascii="Arial" w:hAnsi="Arial"/>
          <w:kern w:val="0"/>
          <w:sz w:val="32"/>
          <w:szCs w:val="32"/>
          <w:highlight w:val="none"/>
        </w:rPr>
      </w:pPr>
      <w:bookmarkStart w:id="773" w:name="_Toc35425111"/>
      <w:bookmarkStart w:id="774" w:name="_Toc35424945"/>
      <w:bookmarkStart w:id="775" w:name="_Toc15058912"/>
      <w:r>
        <w:rPr>
          <w:rFonts w:hint="eastAsia"/>
          <w:highlight w:val="none"/>
        </w:rPr>
        <w:br w:type="page"/>
      </w:r>
      <w:bookmarkStart w:id="776" w:name="_Toc78803380"/>
      <w:r>
        <w:rPr>
          <w:rFonts w:hint="eastAsia" w:ascii="Arial" w:hAnsi="Arial"/>
          <w:kern w:val="0"/>
          <w:sz w:val="32"/>
          <w:szCs w:val="32"/>
          <w:highlight w:val="none"/>
        </w:rPr>
        <w:t>评标办法</w:t>
      </w:r>
      <w:bookmarkEnd w:id="625"/>
      <w:bookmarkEnd w:id="772"/>
      <w:bookmarkEnd w:id="773"/>
      <w:bookmarkEnd w:id="774"/>
      <w:bookmarkEnd w:id="775"/>
      <w:bookmarkEnd w:id="776"/>
    </w:p>
    <w:p w14:paraId="21C07B66">
      <w:pPr>
        <w:spacing w:line="560" w:lineRule="exact"/>
        <w:jc w:val="center"/>
        <w:rPr>
          <w:color w:val="000000"/>
          <w:highlight w:val="none"/>
        </w:rPr>
      </w:pPr>
      <w:bookmarkStart w:id="777" w:name="_Toc179632607"/>
      <w:bookmarkStart w:id="778" w:name="_Toc324404872"/>
      <w:bookmarkStart w:id="779" w:name="_Toc506107324"/>
      <w:bookmarkStart w:id="780" w:name="_Toc246996975"/>
      <w:bookmarkStart w:id="781" w:name="_Toc246996232"/>
      <w:bookmarkStart w:id="782" w:name="_Toc6491"/>
      <w:bookmarkStart w:id="783" w:name="_Toc247085747"/>
      <w:bookmarkStart w:id="784" w:name="_Toc152042366"/>
      <w:bookmarkStart w:id="785" w:name="_Toc35424947"/>
      <w:bookmarkStart w:id="786" w:name="_Toc144974556"/>
      <w:bookmarkStart w:id="787" w:name="_Toc152045589"/>
      <w:bookmarkStart w:id="788" w:name="_Toc78803381"/>
      <w:bookmarkStart w:id="789" w:name="_Toc15058913"/>
      <w:bookmarkStart w:id="790" w:name="_Toc35425113"/>
      <w:r>
        <w:rPr>
          <w:rFonts w:hint="eastAsia"/>
          <w:b/>
          <w:bCs/>
          <w:color w:val="000000"/>
          <w:sz w:val="28"/>
          <w:szCs w:val="28"/>
          <w:highlight w:val="none"/>
        </w:rPr>
        <w:t>（一）</w:t>
      </w:r>
      <w:r>
        <w:rPr>
          <w:rFonts w:hint="eastAsia"/>
          <w:b/>
          <w:color w:val="000000"/>
          <w:sz w:val="28"/>
          <w:szCs w:val="21"/>
          <w:highlight w:val="none"/>
        </w:rPr>
        <w:t>中标候选人的确定</w:t>
      </w:r>
    </w:p>
    <w:p w14:paraId="4F9C951D">
      <w:pPr>
        <w:pStyle w:val="14"/>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420" w:firstLineChars="200"/>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评标委员会对投标人依次进行资信、技术、商务文件审查，对均满足要求的投标人进行各项评审因素打分，合计的总得分按照从高到低进行排序，总得分第一的投标人为第一中标候选人。如总得分相等，以投标报价低的优先，投标报价仍相等，由评标委员会主任委员或招标人随机抽取确定排名。</w:t>
      </w:r>
    </w:p>
    <w:p w14:paraId="2181A409">
      <w:pPr>
        <w:spacing w:line="560" w:lineRule="exact"/>
        <w:jc w:val="center"/>
        <w:rPr>
          <w:rFonts w:hint="eastAsia" w:ascii="Times New Roman" w:hAnsi="Times New Roman" w:eastAsia="宋体" w:cs="Times New Roman"/>
          <w:b/>
          <w:color w:val="000000"/>
          <w:sz w:val="28"/>
          <w:szCs w:val="21"/>
          <w:highlight w:val="none"/>
          <w:lang w:eastAsia="zh-CN"/>
        </w:rPr>
      </w:pPr>
      <w:r>
        <w:rPr>
          <w:rFonts w:hint="eastAsia" w:ascii="Times New Roman" w:hAnsi="Times New Roman" w:eastAsia="宋体" w:cs="Times New Roman"/>
          <w:b/>
          <w:color w:val="000000"/>
          <w:sz w:val="28"/>
          <w:szCs w:val="21"/>
          <w:highlight w:val="none"/>
          <w:lang w:eastAsia="zh-CN"/>
        </w:rPr>
        <w:t>（</w:t>
      </w:r>
      <w:r>
        <w:rPr>
          <w:rFonts w:hint="eastAsia" w:ascii="Times New Roman" w:hAnsi="Times New Roman" w:eastAsia="宋体" w:cs="Times New Roman"/>
          <w:b/>
          <w:color w:val="000000"/>
          <w:sz w:val="28"/>
          <w:szCs w:val="21"/>
          <w:highlight w:val="none"/>
          <w:lang w:val="en-US" w:eastAsia="zh-CN"/>
        </w:rPr>
        <w:t>二）</w:t>
      </w:r>
      <w:r>
        <w:rPr>
          <w:rFonts w:hint="eastAsia" w:ascii="Times New Roman" w:hAnsi="Times New Roman" w:eastAsia="宋体" w:cs="Times New Roman"/>
          <w:b/>
          <w:color w:val="000000"/>
          <w:sz w:val="28"/>
          <w:szCs w:val="21"/>
          <w:highlight w:val="none"/>
        </w:rPr>
        <w:t>资信标评审</w:t>
      </w:r>
      <w:r>
        <w:rPr>
          <w:rFonts w:hint="eastAsia" w:ascii="Times New Roman" w:hAnsi="Times New Roman" w:eastAsia="宋体" w:cs="Times New Roman"/>
          <w:b/>
          <w:color w:val="000000"/>
          <w:sz w:val="28"/>
          <w:szCs w:val="21"/>
          <w:highlight w:val="none"/>
          <w:lang w:eastAsia="zh-CN"/>
        </w:rPr>
        <w:t>（</w:t>
      </w:r>
      <w:r>
        <w:rPr>
          <w:rFonts w:hint="eastAsia" w:ascii="Times New Roman" w:hAnsi="Times New Roman" w:eastAsia="宋体" w:cs="Times New Roman"/>
          <w:b/>
          <w:color w:val="000000"/>
          <w:sz w:val="28"/>
          <w:szCs w:val="21"/>
          <w:highlight w:val="none"/>
          <w:lang w:val="en-US" w:eastAsia="zh-CN"/>
        </w:rPr>
        <w:t>20分</w:t>
      </w:r>
      <w:r>
        <w:rPr>
          <w:rFonts w:hint="eastAsia" w:ascii="Times New Roman" w:hAnsi="Times New Roman" w:eastAsia="宋体" w:cs="Times New Roman"/>
          <w:b/>
          <w:color w:val="000000"/>
          <w:sz w:val="28"/>
          <w:szCs w:val="21"/>
          <w:highlight w:val="none"/>
          <w:lang w:eastAsia="zh-CN"/>
        </w:rPr>
        <w:t>）</w:t>
      </w:r>
    </w:p>
    <w:tbl>
      <w:tblPr>
        <w:tblStyle w:val="47"/>
        <w:tblW w:w="9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318"/>
        <w:gridCol w:w="7872"/>
      </w:tblGrid>
      <w:tr w14:paraId="72166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750" w:type="dxa"/>
            <w:noWrap w:val="0"/>
            <w:vAlign w:val="center"/>
          </w:tcPr>
          <w:p w14:paraId="55AEB7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318" w:type="dxa"/>
            <w:noWrap w:val="0"/>
            <w:vAlign w:val="center"/>
          </w:tcPr>
          <w:p w14:paraId="3DD53A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内容</w:t>
            </w:r>
          </w:p>
        </w:tc>
        <w:tc>
          <w:tcPr>
            <w:tcW w:w="7872" w:type="dxa"/>
            <w:noWrap w:val="0"/>
            <w:vAlign w:val="center"/>
          </w:tcPr>
          <w:p w14:paraId="28A927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标准</w:t>
            </w:r>
          </w:p>
        </w:tc>
      </w:tr>
      <w:tr w14:paraId="0072F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750" w:type="dxa"/>
            <w:noWrap w:val="0"/>
            <w:vAlign w:val="center"/>
          </w:tcPr>
          <w:p w14:paraId="0BC7D9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318" w:type="dxa"/>
            <w:noWrap w:val="0"/>
            <w:vAlign w:val="center"/>
          </w:tcPr>
          <w:p w14:paraId="74BC11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企业业绩</w:t>
            </w:r>
          </w:p>
          <w:p w14:paraId="6364B6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w:t>
            </w:r>
            <w:r>
              <w:rPr>
                <w:rFonts w:hint="eastAsia" w:ascii="宋体" w:hAnsi="宋体" w:cs="宋体"/>
                <w:color w:val="auto"/>
                <w:highlight w:val="none"/>
                <w:lang w:val="en-US" w:eastAsia="zh-CN"/>
              </w:rPr>
              <w:t>10</w:t>
            </w:r>
            <w:r>
              <w:rPr>
                <w:rFonts w:hint="eastAsia" w:ascii="宋体" w:hAnsi="宋体" w:eastAsia="宋体" w:cs="宋体"/>
                <w:color w:val="auto"/>
                <w:highlight w:val="none"/>
                <w:lang w:val="en-US" w:eastAsia="zh-CN"/>
              </w:rPr>
              <w:t>分）</w:t>
            </w:r>
          </w:p>
        </w:tc>
        <w:tc>
          <w:tcPr>
            <w:tcW w:w="7872" w:type="dxa"/>
            <w:noWrap w:val="0"/>
            <w:vAlign w:val="center"/>
          </w:tcPr>
          <w:p w14:paraId="378180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color w:val="auto"/>
                <w:highlight w:val="none"/>
              </w:rPr>
            </w:pPr>
            <w:r>
              <w:rPr>
                <w:rFonts w:hint="eastAsia" w:ascii="宋体" w:hAnsi="宋体" w:eastAsia="宋体" w:cs="宋体"/>
                <w:color w:val="auto"/>
                <w:sz w:val="21"/>
                <w:szCs w:val="21"/>
                <w:highlight w:val="none"/>
                <w:lang w:val="en-US" w:eastAsia="zh-CN"/>
              </w:rPr>
              <w:t>自20</w:t>
            </w:r>
            <w:r>
              <w:rPr>
                <w:rFonts w:hint="eastAsia" w:ascii="宋体" w:hAnsi="宋体" w:cs="宋体"/>
                <w:color w:val="auto"/>
                <w:sz w:val="21"/>
                <w:szCs w:val="21"/>
                <w:highlight w:val="none"/>
                <w:lang w:val="en-US" w:eastAsia="zh-CN"/>
              </w:rPr>
              <w:t>21</w:t>
            </w:r>
            <w:r>
              <w:rPr>
                <w:rFonts w:hint="eastAsia" w:ascii="宋体" w:hAnsi="宋体" w:eastAsia="宋体" w:cs="宋体"/>
                <w:color w:val="auto"/>
                <w:sz w:val="21"/>
                <w:szCs w:val="21"/>
                <w:highlight w:val="none"/>
                <w:lang w:val="en-US" w:eastAsia="zh-CN"/>
              </w:rPr>
              <w:t>年1月1日至投标截止日</w:t>
            </w:r>
            <w:r>
              <w:rPr>
                <w:rFonts w:hint="eastAsia" w:ascii="宋体" w:hAnsi="宋体" w:eastAsia="宋体" w:cs="宋体"/>
                <w:color w:val="auto"/>
                <w:sz w:val="21"/>
                <w:highlight w:val="none"/>
                <w:u w:val="none"/>
              </w:rPr>
              <w:t>（以合同签订时间为准）</w:t>
            </w:r>
            <w:r>
              <w:rPr>
                <w:rFonts w:hint="eastAsia" w:ascii="宋体" w:hAnsi="宋体" w:eastAsia="宋体" w:cs="宋体"/>
                <w:color w:val="auto"/>
                <w:sz w:val="21"/>
                <w:szCs w:val="21"/>
                <w:highlight w:val="none"/>
                <w:lang w:val="en-US" w:eastAsia="zh-CN"/>
              </w:rPr>
              <w:t>，投标人（或联合体任意一方）每</w:t>
            </w:r>
            <w:r>
              <w:rPr>
                <w:rFonts w:hint="eastAsia" w:ascii="宋体" w:hAnsi="宋体" w:eastAsia="宋体" w:cs="宋体"/>
                <w:color w:val="auto"/>
                <w:spacing w:val="-6"/>
                <w:kern w:val="0"/>
                <w:sz w:val="21"/>
                <w:szCs w:val="21"/>
                <w:highlight w:val="none"/>
              </w:rPr>
              <w:t>提供一个</w:t>
            </w:r>
            <w:r>
              <w:rPr>
                <w:rFonts w:hint="eastAsia" w:ascii="宋体" w:hAnsi="宋体" w:eastAsia="宋体" w:cs="宋体"/>
                <w:color w:val="auto"/>
                <w:sz w:val="21"/>
                <w:highlight w:val="none"/>
                <w:u w:val="none"/>
              </w:rPr>
              <w:t>单项合同装机容量不低于</w:t>
            </w:r>
            <w:r>
              <w:rPr>
                <w:rFonts w:hint="eastAsia" w:ascii="宋体" w:hAnsi="宋体" w:cs="宋体"/>
                <w:color w:val="auto"/>
                <w:sz w:val="21"/>
                <w:highlight w:val="none"/>
                <w:u w:val="none"/>
                <w:lang w:val="en-US" w:eastAsia="zh-CN"/>
              </w:rPr>
              <w:t>0.6</w:t>
            </w:r>
            <w:r>
              <w:rPr>
                <w:rFonts w:hint="eastAsia" w:ascii="宋体" w:hAnsi="宋体" w:cs="宋体"/>
                <w:color w:val="auto"/>
                <w:sz w:val="21"/>
                <w:highlight w:val="none"/>
                <w:u w:val="none"/>
                <w:lang w:eastAsia="zh-CN"/>
              </w:rPr>
              <w:t>MWP</w:t>
            </w:r>
            <w:r>
              <w:rPr>
                <w:rFonts w:hint="eastAsia" w:ascii="宋体" w:hAnsi="宋体" w:eastAsia="宋体" w:cs="宋体"/>
                <w:color w:val="auto"/>
                <w:sz w:val="21"/>
                <w:highlight w:val="none"/>
                <w:u w:val="none"/>
              </w:rPr>
              <w:t>的屋</w:t>
            </w:r>
            <w:r>
              <w:rPr>
                <w:rFonts w:hint="eastAsia" w:ascii="宋体" w:hAnsi="宋体" w:cs="宋体"/>
                <w:color w:val="auto"/>
                <w:sz w:val="21"/>
                <w:highlight w:val="none"/>
                <w:u w:val="none"/>
                <w:lang w:val="en-US" w:eastAsia="zh-CN"/>
              </w:rPr>
              <w:t>面</w:t>
            </w:r>
            <w:r>
              <w:rPr>
                <w:rFonts w:hint="eastAsia" w:ascii="宋体" w:hAnsi="宋体" w:eastAsia="宋体" w:cs="宋体"/>
                <w:color w:val="auto"/>
                <w:sz w:val="21"/>
                <w:highlight w:val="none"/>
                <w:u w:val="none"/>
              </w:rPr>
              <w:t>光伏</w:t>
            </w:r>
            <w:r>
              <w:rPr>
                <w:rFonts w:hint="default" w:ascii="宋体" w:hAnsi="宋体" w:eastAsia="宋体" w:cs="宋体"/>
                <w:color w:val="auto"/>
                <w:sz w:val="21"/>
                <w:highlight w:val="none"/>
                <w:u w:val="none"/>
              </w:rPr>
              <w:t>采购及安装</w:t>
            </w:r>
            <w:r>
              <w:rPr>
                <w:rFonts w:hint="eastAsia" w:ascii="宋体" w:hAnsi="宋体" w:eastAsia="宋体" w:cs="宋体"/>
                <w:color w:val="auto"/>
                <w:sz w:val="21"/>
                <w:highlight w:val="none"/>
                <w:u w:val="none"/>
                <w:lang w:eastAsia="zh-CN"/>
              </w:rPr>
              <w:t>（</w:t>
            </w:r>
            <w:r>
              <w:rPr>
                <w:rFonts w:hint="default"/>
                <w:color w:val="auto"/>
                <w:highlight w:val="none"/>
              </w:rPr>
              <w:t>或施工业</w:t>
            </w:r>
            <w:r>
              <w:rPr>
                <w:rFonts w:hint="default"/>
                <w:color w:val="auto"/>
                <w:spacing w:val="-10"/>
                <w:highlight w:val="none"/>
              </w:rPr>
              <w:t>绩</w:t>
            </w:r>
            <w:r>
              <w:rPr>
                <w:rFonts w:hint="eastAsia" w:ascii="宋体" w:hAnsi="宋体" w:cs="宋体"/>
                <w:color w:val="auto"/>
                <w:highlight w:val="none"/>
                <w:lang w:eastAsia="zh-CN"/>
              </w:rPr>
              <w:t>）</w:t>
            </w:r>
            <w:r>
              <w:rPr>
                <w:rFonts w:hint="eastAsia" w:ascii="宋体" w:hAnsi="宋体" w:eastAsia="宋体" w:cs="宋体"/>
                <w:color w:val="auto"/>
                <w:highlight w:val="none"/>
              </w:rPr>
              <w:t>的</w:t>
            </w:r>
            <w:r>
              <w:rPr>
                <w:rFonts w:hint="eastAsia" w:ascii="宋体" w:hAnsi="宋体" w:eastAsia="宋体" w:cs="宋体"/>
                <w:color w:val="auto"/>
                <w:sz w:val="21"/>
                <w:szCs w:val="21"/>
                <w:highlight w:val="none"/>
                <w:lang w:val="en-US" w:eastAsia="zh-CN"/>
              </w:rPr>
              <w:t>得</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highlight w:val="none"/>
              </w:rPr>
              <w:t>其他的不得分，本项满分</w:t>
            </w:r>
            <w:r>
              <w:rPr>
                <w:rFonts w:hint="eastAsia" w:ascii="宋体" w:hAnsi="宋体" w:cs="宋体"/>
                <w:color w:val="auto"/>
                <w:highlight w:val="none"/>
                <w:lang w:val="en-US" w:eastAsia="zh-CN"/>
              </w:rPr>
              <w:t>10</w:t>
            </w:r>
            <w:r>
              <w:rPr>
                <w:rFonts w:hint="eastAsia" w:ascii="宋体" w:hAnsi="宋体" w:eastAsia="宋体" w:cs="宋体"/>
                <w:color w:val="auto"/>
                <w:highlight w:val="none"/>
              </w:rPr>
              <w:t>分。</w:t>
            </w:r>
          </w:p>
          <w:p w14:paraId="5BA80B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lang w:val="en-US" w:eastAsia="zh-CN"/>
              </w:rPr>
              <w:t>投标文件中</w:t>
            </w:r>
            <w:r>
              <w:rPr>
                <w:rFonts w:hint="eastAsia" w:ascii="宋体" w:hAnsi="宋体" w:eastAsia="宋体" w:cs="宋体"/>
                <w:b w:val="0"/>
                <w:bCs w:val="0"/>
                <w:color w:val="auto"/>
                <w:sz w:val="21"/>
                <w:szCs w:val="21"/>
                <w:highlight w:val="none"/>
                <w:lang w:val="en-US" w:eastAsia="zh-CN"/>
              </w:rPr>
              <w:t>须提供</w:t>
            </w:r>
            <w:r>
              <w:rPr>
                <w:rFonts w:hint="eastAsia" w:ascii="宋体" w:hAnsi="宋体" w:eastAsia="宋体" w:cs="宋体"/>
                <w:color w:val="auto"/>
                <w:sz w:val="21"/>
                <w:highlight w:val="none"/>
                <w:u w:val="none"/>
              </w:rPr>
              <w:t>合同</w:t>
            </w:r>
            <w:r>
              <w:rPr>
                <w:rFonts w:hint="eastAsia" w:ascii="宋体" w:hAnsi="宋体" w:cs="宋体"/>
                <w:color w:val="auto"/>
                <w:sz w:val="21"/>
                <w:highlight w:val="none"/>
                <w:u w:val="none"/>
                <w:lang w:val="en-US" w:eastAsia="zh-CN"/>
              </w:rPr>
              <w:t>扫描件</w:t>
            </w:r>
            <w:r>
              <w:rPr>
                <w:rFonts w:hint="eastAsia" w:ascii="宋体" w:hAnsi="宋体" w:eastAsia="宋体" w:cs="宋体"/>
                <w:b w:val="0"/>
                <w:bCs w:val="0"/>
                <w:color w:val="auto"/>
                <w:sz w:val="21"/>
                <w:szCs w:val="21"/>
                <w:highlight w:val="none"/>
                <w:lang w:val="en-US" w:eastAsia="zh-CN"/>
              </w:rPr>
              <w:t>；若上述材料均</w:t>
            </w:r>
            <w:r>
              <w:rPr>
                <w:rFonts w:hint="eastAsia" w:ascii="宋体" w:hAnsi="宋体" w:cs="宋体"/>
                <w:color w:val="auto"/>
                <w:szCs w:val="21"/>
                <w:highlight w:val="none"/>
                <w:lang w:val="en-US" w:eastAsia="zh-CN"/>
              </w:rPr>
              <w:t>未体现评分内容（如业绩规模等）的还须另外提供业主证明材料扫描件。</w:t>
            </w:r>
            <w:r>
              <w:rPr>
                <w:rFonts w:hint="eastAsia" w:ascii="宋体" w:hAnsi="宋体" w:eastAsia="宋体" w:cs="宋体"/>
                <w:color w:val="auto"/>
                <w:highlight w:val="none"/>
              </w:rPr>
              <w:t>】</w:t>
            </w:r>
          </w:p>
          <w:p w14:paraId="47E60D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注：投标人投标时只须提供2个评审业绩，若投标人提供业绩个数超过2个，则按照排列顺序从首个业绩开始评审至对应数量（2个），超出部分业绩不进行评审。对应数量（2个）业绩不符合招标文件要求不得分的，不再补充评审超出部分业绩。如：提供2个业绩即得满分的，按照投标文件排序评审第一、第二项业绩，其余超出部分不再评审。</w:t>
            </w:r>
          </w:p>
        </w:tc>
      </w:tr>
      <w:tr w14:paraId="62CD1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750" w:type="dxa"/>
            <w:noWrap w:val="0"/>
            <w:vAlign w:val="center"/>
          </w:tcPr>
          <w:p w14:paraId="46A017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318" w:type="dxa"/>
            <w:noWrap w:val="0"/>
            <w:vAlign w:val="center"/>
          </w:tcPr>
          <w:p w14:paraId="701E03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项目团队</w:t>
            </w:r>
          </w:p>
          <w:p w14:paraId="6B89CD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（10分）</w:t>
            </w:r>
          </w:p>
        </w:tc>
        <w:tc>
          <w:tcPr>
            <w:tcW w:w="7872" w:type="dxa"/>
            <w:noWrap w:val="0"/>
            <w:vAlign w:val="center"/>
          </w:tcPr>
          <w:p w14:paraId="4E369B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color w:val="auto"/>
                <w:highlight w:val="none"/>
              </w:rPr>
            </w:pPr>
            <w:r>
              <w:rPr>
                <w:rFonts w:hint="eastAsia" w:ascii="宋体" w:hAnsi="宋体" w:eastAsia="宋体" w:cs="宋体"/>
                <w:color w:val="auto"/>
                <w:sz w:val="21"/>
                <w:szCs w:val="21"/>
                <w:highlight w:val="none"/>
                <w:lang w:val="en-US" w:eastAsia="zh-CN"/>
              </w:rPr>
              <w:t>1、拟派的项目团队成员中，每具有一个机电工程（或电气相关专业）高级技术职称证书的得3分，</w:t>
            </w:r>
            <w:r>
              <w:rPr>
                <w:rFonts w:hint="eastAsia" w:ascii="宋体" w:hAnsi="宋体" w:eastAsia="宋体" w:cs="宋体"/>
                <w:color w:val="auto"/>
                <w:highlight w:val="none"/>
              </w:rPr>
              <w:t>其他的不得分，本项满分</w:t>
            </w:r>
            <w:r>
              <w:rPr>
                <w:rFonts w:hint="eastAsia" w:ascii="宋体" w:hAnsi="宋体" w:cs="宋体"/>
                <w:color w:val="auto"/>
                <w:highlight w:val="none"/>
                <w:lang w:val="en-US" w:eastAsia="zh-CN"/>
              </w:rPr>
              <w:t>3</w:t>
            </w:r>
            <w:r>
              <w:rPr>
                <w:rFonts w:hint="eastAsia" w:ascii="宋体" w:hAnsi="宋体" w:eastAsia="宋体" w:cs="宋体"/>
                <w:color w:val="auto"/>
                <w:highlight w:val="none"/>
              </w:rPr>
              <w:t>分。</w:t>
            </w:r>
          </w:p>
          <w:p w14:paraId="06B35C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color w:val="auto"/>
                <w:highlight w:val="none"/>
              </w:rPr>
            </w:pPr>
            <w:r>
              <w:rPr>
                <w:rFonts w:hint="eastAsia" w:ascii="宋体" w:hAnsi="宋体" w:eastAsia="宋体" w:cs="宋体"/>
                <w:color w:val="auto"/>
                <w:sz w:val="21"/>
                <w:szCs w:val="21"/>
                <w:highlight w:val="none"/>
                <w:lang w:val="en-US" w:eastAsia="zh-CN"/>
              </w:rPr>
              <w:t>2、拟派的项目团队成员中，每具有一个高压电工证书的得3分，</w:t>
            </w:r>
            <w:r>
              <w:rPr>
                <w:rFonts w:hint="eastAsia" w:ascii="宋体" w:hAnsi="宋体" w:eastAsia="宋体" w:cs="宋体"/>
                <w:color w:val="auto"/>
                <w:highlight w:val="none"/>
              </w:rPr>
              <w:t>其他的不得分，本项满分</w:t>
            </w:r>
            <w:r>
              <w:rPr>
                <w:rFonts w:hint="eastAsia" w:ascii="宋体" w:hAnsi="宋体" w:cs="宋体"/>
                <w:color w:val="auto"/>
                <w:highlight w:val="none"/>
                <w:lang w:val="en-US" w:eastAsia="zh-CN"/>
              </w:rPr>
              <w:t>3</w:t>
            </w:r>
            <w:r>
              <w:rPr>
                <w:rFonts w:hint="eastAsia" w:ascii="宋体" w:hAnsi="宋体" w:eastAsia="宋体" w:cs="宋体"/>
                <w:color w:val="auto"/>
                <w:highlight w:val="none"/>
              </w:rPr>
              <w:t>分。</w:t>
            </w:r>
          </w:p>
          <w:p w14:paraId="39DA87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color w:val="auto"/>
                <w:highlight w:val="none"/>
              </w:rPr>
            </w:pPr>
            <w:r>
              <w:rPr>
                <w:rFonts w:hint="eastAsia" w:ascii="宋体" w:hAnsi="宋体" w:eastAsia="宋体" w:cs="宋体"/>
                <w:color w:val="auto"/>
                <w:sz w:val="21"/>
                <w:szCs w:val="21"/>
                <w:highlight w:val="none"/>
                <w:lang w:val="en-US" w:eastAsia="zh-CN"/>
              </w:rPr>
              <w:t>3、拟派的项目团队成员中，每具有一个低压电工证书的得2分，</w:t>
            </w:r>
            <w:r>
              <w:rPr>
                <w:rFonts w:hint="eastAsia" w:ascii="宋体" w:hAnsi="宋体" w:eastAsia="宋体" w:cs="宋体"/>
                <w:color w:val="auto"/>
                <w:highlight w:val="none"/>
              </w:rPr>
              <w:t>其他的不得分，本项满分</w:t>
            </w:r>
            <w:r>
              <w:rPr>
                <w:rFonts w:hint="eastAsia" w:ascii="宋体" w:hAnsi="宋体" w:cs="宋体"/>
                <w:color w:val="auto"/>
                <w:highlight w:val="none"/>
                <w:lang w:val="en-US" w:eastAsia="zh-CN"/>
              </w:rPr>
              <w:t>4</w:t>
            </w:r>
            <w:r>
              <w:rPr>
                <w:rFonts w:hint="eastAsia" w:ascii="宋体" w:hAnsi="宋体" w:eastAsia="宋体" w:cs="宋体"/>
                <w:color w:val="auto"/>
                <w:highlight w:val="none"/>
              </w:rPr>
              <w:t>分。</w:t>
            </w:r>
          </w:p>
          <w:p w14:paraId="76E024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注：若同一人具有多个证书的，仅</w:t>
            </w:r>
            <w:r>
              <w:rPr>
                <w:rFonts w:hint="eastAsia" w:ascii="宋体" w:hAnsi="宋体" w:cs="宋体"/>
                <w:color w:val="auto"/>
                <w:sz w:val="21"/>
                <w:szCs w:val="21"/>
                <w:highlight w:val="none"/>
                <w:lang w:val="en-US" w:eastAsia="zh-CN"/>
              </w:rPr>
              <w:t>按得分高的</w:t>
            </w:r>
            <w:r>
              <w:rPr>
                <w:rFonts w:hint="eastAsia" w:ascii="宋体" w:hAnsi="宋体" w:eastAsia="宋体" w:cs="宋体"/>
                <w:color w:val="auto"/>
                <w:sz w:val="21"/>
                <w:szCs w:val="21"/>
                <w:highlight w:val="none"/>
                <w:lang w:val="en-US" w:eastAsia="zh-CN"/>
              </w:rPr>
              <w:t xml:space="preserve">计分一次，不重复累计得分。 </w:t>
            </w:r>
          </w:p>
          <w:p w14:paraId="59CDC4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上述人员须提供相关证书及社保部门出具的本单位为其缴纳的投标前近三个月连续的养老保险证明（证明文件两个月内有效）。 </w:t>
            </w:r>
          </w:p>
        </w:tc>
      </w:tr>
    </w:tbl>
    <w:p w14:paraId="2AA9709A">
      <w:pPr>
        <w:pStyle w:val="14"/>
        <w:shd w:val="clear"/>
        <w:adjustRightInd w:val="0"/>
        <w:snapToGrid w:val="0"/>
        <w:spacing w:after="0" w:line="560" w:lineRule="exact"/>
        <w:ind w:left="0" w:leftChars="0" w:firstLine="0" w:firstLineChars="0"/>
        <w:jc w:val="center"/>
        <w:rPr>
          <w:rFonts w:hint="eastAsia"/>
          <w:b/>
          <w:color w:val="auto"/>
          <w:sz w:val="28"/>
          <w:szCs w:val="21"/>
          <w:highlight w:val="none"/>
        </w:rPr>
      </w:pPr>
      <w:r>
        <w:rPr>
          <w:rFonts w:hint="eastAsia" w:ascii="宋体" w:hAnsi="宋体" w:cs="Times New Roman"/>
          <w:color w:val="auto"/>
          <w:kern w:val="0"/>
          <w:sz w:val="21"/>
          <w:szCs w:val="21"/>
          <w:highlight w:val="none"/>
          <w:lang w:val="en-US" w:eastAsia="zh-CN"/>
        </w:rPr>
        <w:t xml:space="preserve"> </w:t>
      </w:r>
      <w:r>
        <w:rPr>
          <w:rFonts w:hint="eastAsia"/>
          <w:b/>
          <w:color w:val="auto"/>
          <w:sz w:val="28"/>
          <w:szCs w:val="21"/>
          <w:highlight w:val="none"/>
          <w:lang w:eastAsia="zh-CN"/>
        </w:rPr>
        <w:t>（</w:t>
      </w:r>
      <w:r>
        <w:rPr>
          <w:rFonts w:hint="eastAsia"/>
          <w:b/>
          <w:color w:val="auto"/>
          <w:sz w:val="28"/>
          <w:szCs w:val="21"/>
          <w:highlight w:val="none"/>
        </w:rPr>
        <w:t>三）技术标评审</w:t>
      </w:r>
    </w:p>
    <w:tbl>
      <w:tblPr>
        <w:tblStyle w:val="47"/>
        <w:tblW w:w="94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636"/>
        <w:gridCol w:w="1131"/>
        <w:gridCol w:w="505"/>
        <w:gridCol w:w="750"/>
        <w:gridCol w:w="1254"/>
        <w:gridCol w:w="4462"/>
      </w:tblGrid>
      <w:tr w14:paraId="76556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3008" w:type="dxa"/>
            <w:gridSpan w:val="4"/>
            <w:noWrap w:val="0"/>
            <w:vAlign w:val="center"/>
          </w:tcPr>
          <w:p w14:paraId="6D946D64">
            <w:pPr>
              <w:keepNext w:val="0"/>
              <w:keepLines w:val="0"/>
              <w:suppressLineNumbers w:val="0"/>
              <w:shd w:val="clear"/>
              <w:adjustRightInd w:val="0"/>
              <w:snapToGrid w:val="0"/>
              <w:spacing w:before="0" w:beforeAutospacing="0" w:after="0" w:afterAutospacing="0" w:line="56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条款号</w:t>
            </w:r>
          </w:p>
        </w:tc>
        <w:tc>
          <w:tcPr>
            <w:tcW w:w="2004" w:type="dxa"/>
            <w:gridSpan w:val="2"/>
            <w:noWrap w:val="0"/>
            <w:vAlign w:val="center"/>
          </w:tcPr>
          <w:p w14:paraId="63324593">
            <w:pPr>
              <w:keepNext w:val="0"/>
              <w:keepLines w:val="0"/>
              <w:suppressLineNumbers w:val="0"/>
              <w:shd w:val="clear"/>
              <w:adjustRightInd w:val="0"/>
              <w:snapToGrid w:val="0"/>
              <w:spacing w:before="0" w:beforeAutospacing="0" w:after="0" w:afterAutospacing="0" w:line="56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评审因素</w:t>
            </w:r>
          </w:p>
        </w:tc>
        <w:tc>
          <w:tcPr>
            <w:tcW w:w="4462" w:type="dxa"/>
            <w:noWrap w:val="0"/>
            <w:vAlign w:val="center"/>
          </w:tcPr>
          <w:p w14:paraId="6077D405">
            <w:pPr>
              <w:keepNext w:val="0"/>
              <w:keepLines w:val="0"/>
              <w:suppressLineNumbers w:val="0"/>
              <w:shd w:val="clear"/>
              <w:adjustRightInd w:val="0"/>
              <w:snapToGrid w:val="0"/>
              <w:spacing w:before="0" w:beforeAutospacing="0" w:after="0" w:afterAutospacing="0" w:line="56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评审标准</w:t>
            </w:r>
          </w:p>
        </w:tc>
      </w:tr>
      <w:tr w14:paraId="02D7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72" w:type="dxa"/>
            <w:gridSpan w:val="2"/>
            <w:noWrap w:val="0"/>
            <w:vAlign w:val="center"/>
          </w:tcPr>
          <w:p w14:paraId="4CC58AD1">
            <w:pPr>
              <w:keepNext w:val="0"/>
              <w:keepLines w:val="0"/>
              <w:suppressLineNumbers w:val="0"/>
              <w:shd w:val="clear"/>
              <w:adjustRightInd w:val="0"/>
              <w:snapToGrid w:val="0"/>
              <w:spacing w:before="0" w:beforeAutospacing="0" w:after="0" w:afterAutospacing="0" w:line="56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4.1.1</w:t>
            </w:r>
          </w:p>
        </w:tc>
        <w:tc>
          <w:tcPr>
            <w:tcW w:w="1636" w:type="dxa"/>
            <w:gridSpan w:val="2"/>
            <w:noWrap w:val="0"/>
            <w:vAlign w:val="center"/>
          </w:tcPr>
          <w:p w14:paraId="34E41233">
            <w:pPr>
              <w:keepNext w:val="0"/>
              <w:keepLines w:val="0"/>
              <w:suppressLineNumbers w:val="0"/>
              <w:adjustRightInd w:val="0"/>
              <w:snapToGrid w:val="0"/>
              <w:spacing w:before="0" w:beforeAutospacing="0" w:after="0" w:afterAutospacing="0" w:line="56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形式评审标准</w:t>
            </w:r>
          </w:p>
        </w:tc>
        <w:tc>
          <w:tcPr>
            <w:tcW w:w="2004" w:type="dxa"/>
            <w:gridSpan w:val="2"/>
            <w:noWrap w:val="0"/>
            <w:vAlign w:val="center"/>
          </w:tcPr>
          <w:p w14:paraId="3827BA66">
            <w:pPr>
              <w:keepNext w:val="0"/>
              <w:keepLines w:val="0"/>
              <w:suppressLineNumbers w:val="0"/>
              <w:spacing w:before="0" w:beforeAutospacing="0" w:after="0" w:afterAutospacing="0" w:line="560" w:lineRule="exact"/>
              <w:ind w:left="0" w:right="0"/>
              <w:jc w:val="center"/>
              <w:rPr>
                <w:rFonts w:hint="eastAsia" w:ascii="宋体" w:hAnsi="宋体" w:cs="宋体"/>
                <w:color w:val="auto"/>
                <w:szCs w:val="21"/>
                <w:highlight w:val="none"/>
              </w:rPr>
            </w:pPr>
            <w:r>
              <w:rPr>
                <w:rFonts w:hint="eastAsia"/>
                <w:color w:val="auto"/>
                <w:highlight w:val="none"/>
              </w:rPr>
              <w:t>投标文件格式</w:t>
            </w:r>
          </w:p>
        </w:tc>
        <w:tc>
          <w:tcPr>
            <w:tcW w:w="4462" w:type="dxa"/>
            <w:noWrap w:val="0"/>
            <w:vAlign w:val="center"/>
          </w:tcPr>
          <w:p w14:paraId="41DC7EC2">
            <w:pPr>
              <w:keepNext w:val="0"/>
              <w:keepLines w:val="0"/>
              <w:suppressLineNumbers w:val="0"/>
              <w:spacing w:before="0" w:beforeAutospacing="0" w:after="0" w:afterAutospacing="0" w:line="440" w:lineRule="exact"/>
              <w:ind w:left="0" w:right="0"/>
              <w:jc w:val="left"/>
              <w:rPr>
                <w:rFonts w:hint="eastAsia" w:ascii="宋体" w:hAnsi="宋体" w:cs="宋体"/>
                <w:b/>
                <w:color w:val="auto"/>
                <w:spacing w:val="-6"/>
                <w:szCs w:val="21"/>
                <w:highlight w:val="none"/>
              </w:rPr>
            </w:pPr>
            <w:r>
              <w:rPr>
                <w:rFonts w:hint="eastAsia"/>
                <w:color w:val="auto"/>
                <w:highlight w:val="none"/>
              </w:rPr>
              <w:t>符合第</w:t>
            </w:r>
            <w:r>
              <w:rPr>
                <w:rFonts w:hint="eastAsia"/>
                <w:color w:val="auto"/>
                <w:highlight w:val="none"/>
                <w:lang w:val="en-US" w:eastAsia="zh-CN"/>
              </w:rPr>
              <w:t>八</w:t>
            </w:r>
            <w:r>
              <w:rPr>
                <w:rFonts w:hint="eastAsia"/>
                <w:color w:val="auto"/>
                <w:highlight w:val="none"/>
              </w:rPr>
              <w:t>章“投标文件格式”的要求，否则经评委会一致认定后,按照无效投标处理。</w:t>
            </w:r>
          </w:p>
        </w:tc>
      </w:tr>
      <w:tr w14:paraId="4DA79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72" w:type="dxa"/>
            <w:gridSpan w:val="2"/>
            <w:vMerge w:val="restart"/>
            <w:noWrap w:val="0"/>
            <w:vAlign w:val="center"/>
          </w:tcPr>
          <w:p w14:paraId="3BA52AC9">
            <w:pPr>
              <w:keepNext w:val="0"/>
              <w:keepLines w:val="0"/>
              <w:suppressLineNumbers w:val="0"/>
              <w:shd w:val="clear"/>
              <w:adjustRightInd w:val="0"/>
              <w:snapToGrid w:val="0"/>
              <w:spacing w:before="0" w:beforeAutospacing="0" w:after="0" w:afterAutospacing="0" w:line="56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4.1.2</w:t>
            </w:r>
          </w:p>
        </w:tc>
        <w:tc>
          <w:tcPr>
            <w:tcW w:w="1636" w:type="dxa"/>
            <w:gridSpan w:val="2"/>
            <w:vMerge w:val="restart"/>
            <w:noWrap w:val="0"/>
            <w:vAlign w:val="center"/>
          </w:tcPr>
          <w:p w14:paraId="23C9D417">
            <w:pPr>
              <w:keepNext w:val="0"/>
              <w:keepLines w:val="0"/>
              <w:suppressLineNumbers w:val="0"/>
              <w:adjustRightInd w:val="0"/>
              <w:snapToGrid w:val="0"/>
              <w:spacing w:before="0" w:beforeAutospacing="0" w:after="0" w:afterAutospacing="0" w:line="56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响应性评审标准</w:t>
            </w:r>
          </w:p>
        </w:tc>
        <w:tc>
          <w:tcPr>
            <w:tcW w:w="2004" w:type="dxa"/>
            <w:gridSpan w:val="2"/>
            <w:noWrap w:val="0"/>
            <w:vAlign w:val="center"/>
          </w:tcPr>
          <w:p w14:paraId="0EA83DDD">
            <w:pPr>
              <w:keepNext w:val="0"/>
              <w:keepLines w:val="0"/>
              <w:suppressLineNumbers w:val="0"/>
              <w:adjustRightInd w:val="0"/>
              <w:snapToGrid w:val="0"/>
              <w:spacing w:before="0" w:beforeAutospacing="0" w:after="0" w:afterAutospacing="0" w:line="560" w:lineRule="exact"/>
              <w:ind w:left="0" w:right="0"/>
              <w:jc w:val="center"/>
              <w:textAlignment w:val="baseline"/>
              <w:rPr>
                <w:rFonts w:hint="default"/>
                <w:color w:val="auto"/>
                <w:szCs w:val="21"/>
                <w:highlight w:val="none"/>
              </w:rPr>
            </w:pPr>
            <w:r>
              <w:rPr>
                <w:rFonts w:hint="default"/>
                <w:color w:val="auto"/>
                <w:szCs w:val="21"/>
                <w:highlight w:val="none"/>
              </w:rPr>
              <w:t>投标内容</w:t>
            </w:r>
          </w:p>
        </w:tc>
        <w:tc>
          <w:tcPr>
            <w:tcW w:w="4462" w:type="dxa"/>
            <w:noWrap w:val="0"/>
            <w:vAlign w:val="center"/>
          </w:tcPr>
          <w:p w14:paraId="7AB6D540">
            <w:pPr>
              <w:keepNext w:val="0"/>
              <w:keepLines w:val="0"/>
              <w:suppressLineNumbers w:val="0"/>
              <w:adjustRightInd w:val="0"/>
              <w:snapToGrid w:val="0"/>
              <w:spacing w:before="0" w:beforeAutospacing="0" w:after="0" w:afterAutospacing="0" w:line="56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符合第二章“投标人须知”规定。</w:t>
            </w:r>
          </w:p>
        </w:tc>
      </w:tr>
      <w:tr w14:paraId="350CC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72" w:type="dxa"/>
            <w:gridSpan w:val="2"/>
            <w:vMerge w:val="continue"/>
            <w:noWrap w:val="0"/>
            <w:vAlign w:val="top"/>
          </w:tcPr>
          <w:p w14:paraId="5267E74C">
            <w:pPr>
              <w:keepNext w:val="0"/>
              <w:keepLines w:val="0"/>
              <w:suppressLineNumbers w:val="0"/>
              <w:shd w:val="clear"/>
              <w:adjustRightInd w:val="0"/>
              <w:snapToGrid w:val="0"/>
              <w:spacing w:before="0" w:beforeAutospacing="0" w:after="0" w:afterAutospacing="0" w:line="560" w:lineRule="exact"/>
              <w:ind w:left="0" w:right="0"/>
              <w:jc w:val="center"/>
              <w:rPr>
                <w:rFonts w:hint="eastAsia" w:ascii="宋体" w:hAnsi="宋体" w:cs="宋体"/>
                <w:color w:val="auto"/>
                <w:szCs w:val="21"/>
                <w:highlight w:val="none"/>
              </w:rPr>
            </w:pPr>
          </w:p>
        </w:tc>
        <w:tc>
          <w:tcPr>
            <w:tcW w:w="1636" w:type="dxa"/>
            <w:gridSpan w:val="2"/>
            <w:vMerge w:val="continue"/>
            <w:noWrap w:val="0"/>
            <w:vAlign w:val="top"/>
          </w:tcPr>
          <w:p w14:paraId="0ADEF708">
            <w:pPr>
              <w:keepNext w:val="0"/>
              <w:keepLines w:val="0"/>
              <w:suppressLineNumbers w:val="0"/>
              <w:adjustRightInd w:val="0"/>
              <w:snapToGrid w:val="0"/>
              <w:spacing w:before="0" w:beforeAutospacing="0" w:after="0" w:afterAutospacing="0" w:line="560" w:lineRule="exact"/>
              <w:ind w:left="0" w:right="0"/>
              <w:jc w:val="center"/>
              <w:rPr>
                <w:rFonts w:hint="eastAsia" w:ascii="宋体" w:hAnsi="宋体" w:cs="宋体"/>
                <w:color w:val="auto"/>
                <w:szCs w:val="21"/>
                <w:highlight w:val="none"/>
              </w:rPr>
            </w:pPr>
          </w:p>
        </w:tc>
        <w:tc>
          <w:tcPr>
            <w:tcW w:w="2004" w:type="dxa"/>
            <w:gridSpan w:val="2"/>
            <w:noWrap w:val="0"/>
            <w:vAlign w:val="center"/>
          </w:tcPr>
          <w:p w14:paraId="3F051625">
            <w:pPr>
              <w:keepNext w:val="0"/>
              <w:keepLines w:val="0"/>
              <w:suppressLineNumbers w:val="0"/>
              <w:adjustRightInd w:val="0"/>
              <w:snapToGrid w:val="0"/>
              <w:spacing w:before="0" w:beforeAutospacing="0" w:after="0" w:afterAutospacing="0" w:line="560" w:lineRule="exact"/>
              <w:ind w:left="0" w:right="0"/>
              <w:jc w:val="center"/>
              <w:textAlignment w:val="baseline"/>
              <w:rPr>
                <w:rFonts w:hint="default"/>
                <w:color w:val="auto"/>
                <w:szCs w:val="21"/>
                <w:highlight w:val="none"/>
              </w:rPr>
            </w:pPr>
            <w:r>
              <w:rPr>
                <w:rFonts w:hint="default"/>
                <w:color w:val="auto"/>
                <w:szCs w:val="21"/>
                <w:highlight w:val="none"/>
              </w:rPr>
              <w:t>权利义务</w:t>
            </w:r>
          </w:p>
        </w:tc>
        <w:tc>
          <w:tcPr>
            <w:tcW w:w="4462" w:type="dxa"/>
            <w:noWrap w:val="0"/>
            <w:vAlign w:val="center"/>
          </w:tcPr>
          <w:p w14:paraId="640E4FAB">
            <w:pPr>
              <w:keepNext w:val="0"/>
              <w:keepLines w:val="0"/>
              <w:suppressLineNumbers w:val="0"/>
              <w:adjustRightInd w:val="0"/>
              <w:snapToGrid w:val="0"/>
              <w:spacing w:before="0" w:beforeAutospacing="0" w:after="0" w:afterAutospacing="0" w:line="56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符合第五章“合同条款及格式”规定。</w:t>
            </w:r>
          </w:p>
        </w:tc>
      </w:tr>
      <w:tr w14:paraId="2A9CD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72" w:type="dxa"/>
            <w:gridSpan w:val="2"/>
            <w:vMerge w:val="continue"/>
            <w:noWrap w:val="0"/>
            <w:vAlign w:val="top"/>
          </w:tcPr>
          <w:p w14:paraId="156FAB1D">
            <w:pPr>
              <w:keepNext w:val="0"/>
              <w:keepLines w:val="0"/>
              <w:suppressLineNumbers w:val="0"/>
              <w:shd w:val="clear"/>
              <w:adjustRightInd w:val="0"/>
              <w:snapToGrid w:val="0"/>
              <w:spacing w:before="0" w:beforeAutospacing="0" w:after="0" w:afterAutospacing="0" w:line="560" w:lineRule="exact"/>
              <w:ind w:left="0" w:right="0"/>
              <w:jc w:val="center"/>
              <w:rPr>
                <w:rFonts w:hint="eastAsia" w:ascii="宋体" w:hAnsi="宋体" w:cs="宋体"/>
                <w:color w:val="auto"/>
                <w:szCs w:val="21"/>
                <w:highlight w:val="none"/>
              </w:rPr>
            </w:pPr>
          </w:p>
        </w:tc>
        <w:tc>
          <w:tcPr>
            <w:tcW w:w="1636" w:type="dxa"/>
            <w:gridSpan w:val="2"/>
            <w:vMerge w:val="continue"/>
            <w:noWrap w:val="0"/>
            <w:vAlign w:val="top"/>
          </w:tcPr>
          <w:p w14:paraId="7E925D01">
            <w:pPr>
              <w:keepNext w:val="0"/>
              <w:keepLines w:val="0"/>
              <w:suppressLineNumbers w:val="0"/>
              <w:adjustRightInd w:val="0"/>
              <w:snapToGrid w:val="0"/>
              <w:spacing w:before="0" w:beforeAutospacing="0" w:after="0" w:afterAutospacing="0" w:line="560" w:lineRule="exact"/>
              <w:ind w:left="0" w:right="0"/>
              <w:jc w:val="center"/>
              <w:rPr>
                <w:rFonts w:hint="eastAsia" w:ascii="宋体" w:hAnsi="宋体" w:cs="宋体"/>
                <w:color w:val="auto"/>
                <w:szCs w:val="21"/>
                <w:highlight w:val="none"/>
              </w:rPr>
            </w:pPr>
          </w:p>
        </w:tc>
        <w:tc>
          <w:tcPr>
            <w:tcW w:w="2004" w:type="dxa"/>
            <w:gridSpan w:val="2"/>
            <w:noWrap w:val="0"/>
            <w:vAlign w:val="center"/>
          </w:tcPr>
          <w:p w14:paraId="1B5896DD">
            <w:pPr>
              <w:keepNext w:val="0"/>
              <w:keepLines w:val="0"/>
              <w:suppressLineNumbers w:val="0"/>
              <w:adjustRightInd w:val="0"/>
              <w:snapToGrid w:val="0"/>
              <w:spacing w:before="0" w:beforeAutospacing="0" w:after="0" w:afterAutospacing="0" w:line="560" w:lineRule="exact"/>
              <w:ind w:left="0" w:right="0"/>
              <w:jc w:val="center"/>
              <w:textAlignment w:val="baseline"/>
              <w:rPr>
                <w:rFonts w:hint="default"/>
                <w:color w:val="auto"/>
                <w:szCs w:val="21"/>
                <w:highlight w:val="none"/>
              </w:rPr>
            </w:pPr>
            <w:r>
              <w:rPr>
                <w:rFonts w:hint="eastAsia"/>
                <w:color w:val="auto"/>
                <w:szCs w:val="21"/>
                <w:highlight w:val="none"/>
              </w:rPr>
              <w:t>技术标准和要求</w:t>
            </w:r>
          </w:p>
        </w:tc>
        <w:tc>
          <w:tcPr>
            <w:tcW w:w="4462" w:type="dxa"/>
            <w:noWrap w:val="0"/>
            <w:vAlign w:val="center"/>
          </w:tcPr>
          <w:p w14:paraId="2EAEB867">
            <w:pPr>
              <w:keepNext w:val="0"/>
              <w:keepLines w:val="0"/>
              <w:suppressLineNumbers w:val="0"/>
              <w:adjustRightInd w:val="0"/>
              <w:snapToGrid w:val="0"/>
              <w:spacing w:before="0" w:beforeAutospacing="0" w:after="0" w:afterAutospacing="0" w:line="56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符合第</w:t>
            </w:r>
            <w:r>
              <w:rPr>
                <w:rFonts w:hint="eastAsia" w:ascii="宋体" w:hAnsi="宋体" w:cs="宋体"/>
                <w:color w:val="auto"/>
                <w:szCs w:val="21"/>
                <w:highlight w:val="none"/>
                <w:lang w:val="en-US" w:eastAsia="zh-CN"/>
              </w:rPr>
              <w:t>七</w:t>
            </w:r>
            <w:r>
              <w:rPr>
                <w:rFonts w:hint="eastAsia" w:ascii="宋体" w:hAnsi="宋体" w:cs="宋体"/>
                <w:color w:val="auto"/>
                <w:szCs w:val="21"/>
                <w:highlight w:val="none"/>
              </w:rPr>
              <w:t>章“技术标准和要求”规定。</w:t>
            </w:r>
          </w:p>
        </w:tc>
      </w:tr>
      <w:tr w14:paraId="13627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474" w:type="dxa"/>
            <w:gridSpan w:val="7"/>
            <w:noWrap w:val="0"/>
            <w:vAlign w:val="top"/>
          </w:tcPr>
          <w:p w14:paraId="3F7AC699">
            <w:pPr>
              <w:keepNext w:val="0"/>
              <w:keepLines w:val="0"/>
              <w:suppressLineNumbers w:val="0"/>
              <w:shd w:val="clear"/>
              <w:adjustRightInd w:val="0"/>
              <w:snapToGrid w:val="0"/>
              <w:spacing w:before="0" w:beforeAutospacing="0" w:after="0" w:afterAutospacing="0" w:line="560" w:lineRule="exact"/>
              <w:ind w:left="0" w:right="0"/>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技术标评分细则</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40分</w:t>
            </w:r>
            <w:r>
              <w:rPr>
                <w:rFonts w:hint="eastAsia" w:ascii="宋体" w:hAnsi="宋体" w:cs="宋体"/>
                <w:color w:val="auto"/>
                <w:szCs w:val="21"/>
                <w:highlight w:val="none"/>
                <w:lang w:eastAsia="zh-CN"/>
              </w:rPr>
              <w:t>）</w:t>
            </w:r>
          </w:p>
        </w:tc>
      </w:tr>
      <w:tr w14:paraId="0E83B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736" w:type="dxa"/>
            <w:noWrap w:val="0"/>
            <w:vAlign w:val="top"/>
          </w:tcPr>
          <w:p w14:paraId="0DBF73A5">
            <w:pPr>
              <w:keepNext w:val="0"/>
              <w:keepLines w:val="0"/>
              <w:suppressLineNumbers w:val="0"/>
              <w:shd w:val="clear"/>
              <w:adjustRightInd w:val="0"/>
              <w:snapToGrid w:val="0"/>
              <w:spacing w:before="0" w:beforeAutospacing="0" w:after="0" w:afterAutospacing="0" w:line="56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767" w:type="dxa"/>
            <w:gridSpan w:val="2"/>
            <w:noWrap w:val="0"/>
            <w:vAlign w:val="top"/>
          </w:tcPr>
          <w:p w14:paraId="2C730E0B">
            <w:pPr>
              <w:keepNext w:val="0"/>
              <w:keepLines w:val="0"/>
              <w:suppressLineNumbers w:val="0"/>
              <w:shd w:val="clear"/>
              <w:adjustRightInd w:val="0"/>
              <w:snapToGrid w:val="0"/>
              <w:spacing w:before="0" w:beforeAutospacing="0" w:after="0" w:afterAutospacing="0" w:line="56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评审因素</w:t>
            </w:r>
          </w:p>
        </w:tc>
        <w:tc>
          <w:tcPr>
            <w:tcW w:w="1255" w:type="dxa"/>
            <w:gridSpan w:val="2"/>
            <w:noWrap w:val="0"/>
            <w:vAlign w:val="top"/>
          </w:tcPr>
          <w:p w14:paraId="65013290">
            <w:pPr>
              <w:keepNext w:val="0"/>
              <w:keepLines w:val="0"/>
              <w:suppressLineNumbers w:val="0"/>
              <w:shd w:val="clear"/>
              <w:adjustRightInd w:val="0"/>
              <w:snapToGrid w:val="0"/>
              <w:spacing w:before="0" w:beforeAutospacing="0" w:after="0" w:afterAutospacing="0" w:line="56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分值设置</w:t>
            </w:r>
          </w:p>
        </w:tc>
        <w:tc>
          <w:tcPr>
            <w:tcW w:w="5716" w:type="dxa"/>
            <w:gridSpan w:val="2"/>
            <w:noWrap w:val="0"/>
            <w:vAlign w:val="top"/>
          </w:tcPr>
          <w:p w14:paraId="033D71AC">
            <w:pPr>
              <w:keepNext w:val="0"/>
              <w:keepLines w:val="0"/>
              <w:widowControl/>
              <w:suppressLineNumbers w:val="0"/>
              <w:shd w:val="clear"/>
              <w:spacing w:before="0" w:beforeAutospacing="0" w:after="0" w:afterAutospacing="0"/>
              <w:ind w:left="0" w:right="0"/>
              <w:jc w:val="left"/>
              <w:rPr>
                <w:rFonts w:hint="eastAsia" w:ascii="宋体" w:hAnsi="宋体" w:cs="宋体"/>
                <w:color w:val="auto"/>
                <w:szCs w:val="21"/>
                <w:highlight w:val="none"/>
              </w:rPr>
            </w:pPr>
          </w:p>
          <w:p w14:paraId="6AB33FBF">
            <w:pPr>
              <w:keepNext w:val="0"/>
              <w:keepLines w:val="0"/>
              <w:widowControl/>
              <w:suppressLineNumbers w:val="0"/>
              <w:shd w:val="clear"/>
              <w:spacing w:before="0" w:beforeAutospacing="0" w:after="0" w:afterAutospacing="0"/>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评审标准</w:t>
            </w:r>
          </w:p>
        </w:tc>
      </w:tr>
      <w:tr w14:paraId="6D82D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736" w:type="dxa"/>
            <w:vMerge w:val="restart"/>
            <w:noWrap w:val="0"/>
            <w:vAlign w:val="center"/>
          </w:tcPr>
          <w:p w14:paraId="082655AD">
            <w:pPr>
              <w:keepNext w:val="0"/>
              <w:keepLines w:val="0"/>
              <w:suppressLineNumbers w:val="0"/>
              <w:shd w:val="clear"/>
              <w:adjustRightInd w:val="0"/>
              <w:snapToGrid w:val="0"/>
              <w:spacing w:before="0" w:beforeAutospacing="0" w:after="0" w:afterAutospacing="0" w:line="56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val="en-US" w:eastAsia="zh-CN"/>
              </w:rPr>
              <w:t>1</w:t>
            </w:r>
          </w:p>
        </w:tc>
        <w:tc>
          <w:tcPr>
            <w:tcW w:w="1767" w:type="dxa"/>
            <w:gridSpan w:val="2"/>
            <w:vMerge w:val="restart"/>
            <w:noWrap w:val="0"/>
            <w:vAlign w:val="center"/>
          </w:tcPr>
          <w:p w14:paraId="19BABA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总承包方案</w:t>
            </w:r>
          </w:p>
        </w:tc>
        <w:tc>
          <w:tcPr>
            <w:tcW w:w="1255" w:type="dxa"/>
            <w:gridSpan w:val="2"/>
            <w:noWrap w:val="0"/>
            <w:vAlign w:val="center"/>
          </w:tcPr>
          <w:p w14:paraId="079C5A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10分</w:t>
            </w:r>
          </w:p>
        </w:tc>
        <w:tc>
          <w:tcPr>
            <w:tcW w:w="5716" w:type="dxa"/>
            <w:gridSpan w:val="2"/>
            <w:noWrap w:val="0"/>
            <w:vAlign w:val="top"/>
          </w:tcPr>
          <w:p w14:paraId="30A205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1、总承包管理方案与措施：优秀得</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分，良好得</w:t>
            </w:r>
            <w:r>
              <w:rPr>
                <w:rFonts w:hint="eastAsia" w:ascii="宋体" w:hAnsi="宋体" w:eastAsia="宋体" w:cs="宋体"/>
                <w:color w:val="auto"/>
                <w:highlight w:val="none"/>
                <w:lang w:val="en-US" w:eastAsia="zh-CN"/>
              </w:rPr>
              <w:t>2.7</w:t>
            </w:r>
            <w:r>
              <w:rPr>
                <w:rFonts w:hint="eastAsia" w:ascii="宋体" w:hAnsi="宋体" w:eastAsia="宋体" w:cs="宋体"/>
                <w:color w:val="auto"/>
                <w:highlight w:val="none"/>
              </w:rPr>
              <w:t>分，一般得</w:t>
            </w:r>
            <w:r>
              <w:rPr>
                <w:rFonts w:hint="eastAsia" w:ascii="宋体" w:hAnsi="宋体" w:eastAsia="宋体" w:cs="宋体"/>
                <w:color w:val="auto"/>
                <w:highlight w:val="none"/>
                <w:lang w:val="en-US" w:eastAsia="zh-CN"/>
              </w:rPr>
              <w:t>2.4</w:t>
            </w:r>
            <w:r>
              <w:rPr>
                <w:rFonts w:hint="eastAsia" w:ascii="宋体" w:hAnsi="宋体" w:eastAsia="宋体" w:cs="宋体"/>
                <w:color w:val="auto"/>
                <w:highlight w:val="none"/>
              </w:rPr>
              <w:t>分，合格的得</w:t>
            </w:r>
            <w:r>
              <w:rPr>
                <w:rFonts w:hint="eastAsia" w:ascii="宋体" w:hAnsi="宋体" w:eastAsia="宋体" w:cs="宋体"/>
                <w:color w:val="auto"/>
                <w:highlight w:val="none"/>
                <w:lang w:val="en-US" w:eastAsia="zh-CN"/>
              </w:rPr>
              <w:t>2.1</w:t>
            </w:r>
            <w:r>
              <w:rPr>
                <w:rFonts w:hint="eastAsia" w:ascii="宋体" w:hAnsi="宋体" w:eastAsia="宋体" w:cs="宋体"/>
                <w:color w:val="auto"/>
                <w:highlight w:val="none"/>
              </w:rPr>
              <w:t>分，不合格或未提供</w:t>
            </w:r>
            <w:r>
              <w:rPr>
                <w:rFonts w:hint="eastAsia" w:ascii="宋体" w:hAnsi="宋体" w:eastAsia="宋体" w:cs="宋体"/>
                <w:color w:val="auto"/>
                <w:highlight w:val="none"/>
                <w:lang w:val="en-US" w:eastAsia="zh-CN"/>
              </w:rPr>
              <w:t>不得分，本项满分3分</w:t>
            </w:r>
            <w:r>
              <w:rPr>
                <w:rFonts w:hint="eastAsia" w:ascii="宋体" w:hAnsi="宋体" w:eastAsia="宋体" w:cs="宋体"/>
                <w:color w:val="auto"/>
                <w:highlight w:val="none"/>
              </w:rPr>
              <w:t>。</w:t>
            </w:r>
          </w:p>
          <w:p w14:paraId="0DCC95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2、总承包重难点分析：优秀得</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分，良好得</w:t>
            </w:r>
            <w:r>
              <w:rPr>
                <w:rFonts w:hint="eastAsia" w:ascii="宋体" w:hAnsi="宋体" w:eastAsia="宋体" w:cs="宋体"/>
                <w:color w:val="auto"/>
                <w:highlight w:val="none"/>
                <w:lang w:val="en-US" w:eastAsia="zh-CN"/>
              </w:rPr>
              <w:t>2.7</w:t>
            </w:r>
            <w:r>
              <w:rPr>
                <w:rFonts w:hint="eastAsia" w:ascii="宋体" w:hAnsi="宋体" w:eastAsia="宋体" w:cs="宋体"/>
                <w:color w:val="auto"/>
                <w:highlight w:val="none"/>
              </w:rPr>
              <w:t>分，一般得</w:t>
            </w:r>
            <w:r>
              <w:rPr>
                <w:rFonts w:hint="eastAsia" w:ascii="宋体" w:hAnsi="宋体" w:eastAsia="宋体" w:cs="宋体"/>
                <w:color w:val="auto"/>
                <w:highlight w:val="none"/>
                <w:lang w:val="en-US" w:eastAsia="zh-CN"/>
              </w:rPr>
              <w:t>2.4</w:t>
            </w:r>
            <w:r>
              <w:rPr>
                <w:rFonts w:hint="eastAsia" w:ascii="宋体" w:hAnsi="宋体" w:eastAsia="宋体" w:cs="宋体"/>
                <w:color w:val="auto"/>
                <w:highlight w:val="none"/>
              </w:rPr>
              <w:t>分，合格的得</w:t>
            </w:r>
            <w:r>
              <w:rPr>
                <w:rFonts w:hint="eastAsia" w:ascii="宋体" w:hAnsi="宋体" w:eastAsia="宋体" w:cs="宋体"/>
                <w:color w:val="auto"/>
                <w:highlight w:val="none"/>
                <w:lang w:val="en-US" w:eastAsia="zh-CN"/>
              </w:rPr>
              <w:t>2.1</w:t>
            </w:r>
            <w:r>
              <w:rPr>
                <w:rFonts w:hint="eastAsia" w:ascii="宋体" w:hAnsi="宋体" w:eastAsia="宋体" w:cs="宋体"/>
                <w:color w:val="auto"/>
                <w:highlight w:val="none"/>
              </w:rPr>
              <w:t>分，不合格或未提供</w:t>
            </w:r>
            <w:r>
              <w:rPr>
                <w:rFonts w:hint="eastAsia" w:ascii="宋体" w:hAnsi="宋体" w:eastAsia="宋体" w:cs="宋体"/>
                <w:color w:val="auto"/>
                <w:highlight w:val="none"/>
                <w:lang w:val="en-US" w:eastAsia="zh-CN"/>
              </w:rPr>
              <w:t>不得分，本项满分3分</w:t>
            </w:r>
            <w:r>
              <w:rPr>
                <w:rFonts w:hint="eastAsia" w:ascii="宋体" w:hAnsi="宋体" w:eastAsia="宋体" w:cs="宋体"/>
                <w:color w:val="auto"/>
                <w:highlight w:val="none"/>
              </w:rPr>
              <w:t>。</w:t>
            </w:r>
          </w:p>
          <w:p w14:paraId="4FAF5A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3、总承包项目实施保障：优秀得</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分，良好得</w:t>
            </w:r>
            <w:r>
              <w:rPr>
                <w:rFonts w:hint="eastAsia" w:ascii="宋体" w:hAnsi="宋体" w:eastAsia="宋体" w:cs="宋体"/>
                <w:color w:val="auto"/>
                <w:highlight w:val="none"/>
                <w:lang w:val="en-US" w:eastAsia="zh-CN"/>
              </w:rPr>
              <w:t>3.6</w:t>
            </w:r>
            <w:r>
              <w:rPr>
                <w:rFonts w:hint="eastAsia" w:ascii="宋体" w:hAnsi="宋体" w:eastAsia="宋体" w:cs="宋体"/>
                <w:color w:val="auto"/>
                <w:highlight w:val="none"/>
              </w:rPr>
              <w:t>分，一般得</w:t>
            </w:r>
            <w:r>
              <w:rPr>
                <w:rFonts w:hint="eastAsia" w:ascii="宋体" w:hAnsi="宋体" w:eastAsia="宋体" w:cs="宋体"/>
                <w:color w:val="auto"/>
                <w:highlight w:val="none"/>
                <w:lang w:val="en-US" w:eastAsia="zh-CN"/>
              </w:rPr>
              <w:t>3.2</w:t>
            </w:r>
            <w:r>
              <w:rPr>
                <w:rFonts w:hint="eastAsia" w:ascii="宋体" w:hAnsi="宋体" w:eastAsia="宋体" w:cs="宋体"/>
                <w:color w:val="auto"/>
                <w:highlight w:val="none"/>
              </w:rPr>
              <w:t>分，合格的得</w:t>
            </w:r>
            <w:r>
              <w:rPr>
                <w:rFonts w:hint="eastAsia" w:ascii="宋体" w:hAnsi="宋体" w:eastAsia="宋体" w:cs="宋体"/>
                <w:color w:val="auto"/>
                <w:highlight w:val="none"/>
                <w:lang w:val="en-US" w:eastAsia="zh-CN"/>
              </w:rPr>
              <w:t>2.8</w:t>
            </w:r>
            <w:r>
              <w:rPr>
                <w:rFonts w:hint="eastAsia" w:ascii="宋体" w:hAnsi="宋体" w:eastAsia="宋体" w:cs="宋体"/>
                <w:color w:val="auto"/>
                <w:highlight w:val="none"/>
              </w:rPr>
              <w:t>分，不合格或未提供</w:t>
            </w:r>
            <w:r>
              <w:rPr>
                <w:rFonts w:hint="eastAsia" w:ascii="宋体" w:hAnsi="宋体" w:eastAsia="宋体" w:cs="宋体"/>
                <w:color w:val="auto"/>
                <w:highlight w:val="none"/>
                <w:lang w:val="en-US" w:eastAsia="zh-CN"/>
              </w:rPr>
              <w:t>不得分，本项满分4分</w:t>
            </w:r>
            <w:r>
              <w:rPr>
                <w:rFonts w:hint="eastAsia" w:ascii="宋体" w:hAnsi="宋体" w:eastAsia="宋体" w:cs="宋体"/>
                <w:color w:val="auto"/>
                <w:highlight w:val="none"/>
              </w:rPr>
              <w:t>。</w:t>
            </w:r>
          </w:p>
          <w:p w14:paraId="54FA2E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rPr>
              <w:t>根据EP</w:t>
            </w:r>
            <w:r>
              <w:rPr>
                <w:rFonts w:hint="eastAsia" w:ascii="宋体" w:hAnsi="宋体" w:cs="宋体"/>
                <w:color w:val="auto"/>
                <w:highlight w:val="none"/>
                <w:lang w:val="en-US" w:eastAsia="zh-CN"/>
              </w:rPr>
              <w:t>C</w:t>
            </w:r>
            <w:r>
              <w:rPr>
                <w:rFonts w:hint="eastAsia" w:ascii="宋体" w:hAnsi="宋体" w:eastAsia="宋体" w:cs="宋体"/>
                <w:color w:val="auto"/>
                <w:highlight w:val="none"/>
              </w:rPr>
              <w:t>项目管理目标、组织结构、管理制度方案的完整性、针对性、有效性；项目管理信息化系统的先进性、适用性；总承包项目实施过程中可能出现的总承包管理重难点及能够具有的解决措施进行分析。</w:t>
            </w:r>
          </w:p>
        </w:tc>
      </w:tr>
      <w:tr w14:paraId="6B21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2" w:hRule="atLeast"/>
          <w:jc w:val="center"/>
        </w:trPr>
        <w:tc>
          <w:tcPr>
            <w:tcW w:w="736" w:type="dxa"/>
            <w:noWrap w:val="0"/>
            <w:vAlign w:val="center"/>
          </w:tcPr>
          <w:p w14:paraId="4D8AD6DA">
            <w:pPr>
              <w:keepNext w:val="0"/>
              <w:keepLines w:val="0"/>
              <w:suppressLineNumbers w:val="0"/>
              <w:shd w:val="clear"/>
              <w:adjustRightInd w:val="0"/>
              <w:snapToGrid w:val="0"/>
              <w:spacing w:before="0" w:beforeAutospacing="0" w:after="0" w:afterAutospacing="0" w:line="560" w:lineRule="exact"/>
              <w:ind w:left="0" w:right="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2</w:t>
            </w:r>
          </w:p>
        </w:tc>
        <w:tc>
          <w:tcPr>
            <w:tcW w:w="1767" w:type="dxa"/>
            <w:gridSpan w:val="2"/>
            <w:noWrap w:val="0"/>
            <w:vAlign w:val="center"/>
          </w:tcPr>
          <w:p w14:paraId="485CF6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center"/>
              <w:rPr>
                <w:rFonts w:hint="eastAsia" w:ascii="宋体" w:hAnsi="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设计方案</w:t>
            </w:r>
          </w:p>
        </w:tc>
        <w:tc>
          <w:tcPr>
            <w:tcW w:w="1255" w:type="dxa"/>
            <w:gridSpan w:val="2"/>
            <w:noWrap w:val="0"/>
            <w:vAlign w:val="center"/>
          </w:tcPr>
          <w:p w14:paraId="4C3566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0</w:t>
            </w:r>
            <w:r>
              <w:rPr>
                <w:rFonts w:hint="eastAsia" w:ascii="宋体" w:hAnsi="宋体" w:eastAsia="宋体" w:cs="宋体"/>
                <w:color w:val="auto"/>
                <w:sz w:val="21"/>
                <w:szCs w:val="21"/>
                <w:highlight w:val="none"/>
                <w:lang w:val="en-US" w:eastAsia="zh-CN"/>
              </w:rPr>
              <w:t>分</w:t>
            </w:r>
          </w:p>
        </w:tc>
        <w:tc>
          <w:tcPr>
            <w:tcW w:w="5716" w:type="dxa"/>
            <w:gridSpan w:val="2"/>
            <w:noWrap w:val="0"/>
            <w:vAlign w:val="center"/>
          </w:tcPr>
          <w:p w14:paraId="482121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1、前期调研及构思（</w:t>
            </w:r>
            <w:r>
              <w:rPr>
                <w:rFonts w:hint="eastAsia" w:ascii="宋体" w:hAnsi="宋体" w:cs="宋体"/>
                <w:color w:val="auto"/>
                <w:highlight w:val="none"/>
                <w:lang w:val="en-US" w:eastAsia="zh-CN"/>
              </w:rPr>
              <w:t>4</w:t>
            </w:r>
            <w:r>
              <w:rPr>
                <w:rFonts w:hint="eastAsia" w:ascii="宋体" w:hAnsi="宋体" w:eastAsia="宋体" w:cs="宋体"/>
                <w:color w:val="auto"/>
                <w:highlight w:val="none"/>
              </w:rPr>
              <w:t>分）</w:t>
            </w:r>
          </w:p>
          <w:p w14:paraId="5EB84C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投标人应仔细踏勘现场、前期工作细致、资料收集齐全，对现状建筑物改造作合理分析及评估，构思新颖有创意。评标委员会对此进行横向比较、综合打分，优秀得</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分，良好得</w:t>
            </w:r>
            <w:r>
              <w:rPr>
                <w:rFonts w:hint="eastAsia" w:ascii="宋体" w:hAnsi="宋体" w:eastAsia="宋体" w:cs="宋体"/>
                <w:color w:val="auto"/>
                <w:highlight w:val="none"/>
                <w:lang w:val="en-US" w:eastAsia="zh-CN"/>
              </w:rPr>
              <w:t>3.6</w:t>
            </w:r>
            <w:r>
              <w:rPr>
                <w:rFonts w:hint="eastAsia" w:ascii="宋体" w:hAnsi="宋体" w:eastAsia="宋体" w:cs="宋体"/>
                <w:color w:val="auto"/>
                <w:highlight w:val="none"/>
              </w:rPr>
              <w:t>分，一般得</w:t>
            </w:r>
            <w:r>
              <w:rPr>
                <w:rFonts w:hint="eastAsia" w:ascii="宋体" w:hAnsi="宋体" w:eastAsia="宋体" w:cs="宋体"/>
                <w:color w:val="auto"/>
                <w:highlight w:val="none"/>
                <w:lang w:val="en-US" w:eastAsia="zh-CN"/>
              </w:rPr>
              <w:t>3.2</w:t>
            </w:r>
            <w:r>
              <w:rPr>
                <w:rFonts w:hint="eastAsia" w:ascii="宋体" w:hAnsi="宋体" w:eastAsia="宋体" w:cs="宋体"/>
                <w:color w:val="auto"/>
                <w:highlight w:val="none"/>
              </w:rPr>
              <w:t>分，合格的得</w:t>
            </w:r>
            <w:r>
              <w:rPr>
                <w:rFonts w:hint="eastAsia" w:ascii="宋体" w:hAnsi="宋体" w:eastAsia="宋体" w:cs="宋体"/>
                <w:color w:val="auto"/>
                <w:highlight w:val="none"/>
                <w:lang w:val="en-US" w:eastAsia="zh-CN"/>
              </w:rPr>
              <w:t>2.8</w:t>
            </w:r>
            <w:r>
              <w:rPr>
                <w:rFonts w:hint="eastAsia" w:ascii="宋体" w:hAnsi="宋体" w:eastAsia="宋体" w:cs="宋体"/>
                <w:color w:val="auto"/>
                <w:highlight w:val="none"/>
              </w:rPr>
              <w:t>分，不合格或未提供</w:t>
            </w:r>
            <w:r>
              <w:rPr>
                <w:rFonts w:hint="eastAsia" w:ascii="宋体" w:hAnsi="宋体" w:eastAsia="宋体" w:cs="宋体"/>
                <w:color w:val="auto"/>
                <w:highlight w:val="none"/>
                <w:lang w:val="en-US" w:eastAsia="zh-CN"/>
              </w:rPr>
              <w:t>不得分，本项满分4分</w:t>
            </w:r>
            <w:r>
              <w:rPr>
                <w:rFonts w:hint="eastAsia" w:ascii="宋体" w:hAnsi="宋体" w:eastAsia="宋体" w:cs="宋体"/>
                <w:color w:val="auto"/>
                <w:highlight w:val="none"/>
              </w:rPr>
              <w:t>。</w:t>
            </w:r>
          </w:p>
          <w:p w14:paraId="2C4192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2、设计方案可行性及经济性、功能合理性（</w:t>
            </w:r>
            <w:r>
              <w:rPr>
                <w:rFonts w:hint="eastAsia" w:ascii="宋体" w:hAnsi="宋体" w:cs="宋体"/>
                <w:color w:val="auto"/>
                <w:highlight w:val="none"/>
                <w:lang w:val="en-US" w:eastAsia="zh-CN"/>
              </w:rPr>
              <w:t>16</w:t>
            </w:r>
            <w:r>
              <w:rPr>
                <w:rFonts w:hint="eastAsia" w:ascii="宋体" w:hAnsi="宋体" w:eastAsia="宋体" w:cs="宋体"/>
                <w:color w:val="auto"/>
                <w:highlight w:val="none"/>
              </w:rPr>
              <w:t>分）</w:t>
            </w:r>
          </w:p>
          <w:p w14:paraId="529CDA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①投标人所提供的设计方案满足实际需求，具有可行性和经济性。有初设概算清单、平面布置图或节点图；布线安全合理且隐藏，避免影响外部视觉效果。概算准确、全面，并能提供投资控制上的比较意见。</w:t>
            </w:r>
          </w:p>
          <w:p w14:paraId="7EEEDE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评标委员会对此进行横向比较、综合打分，优秀得</w:t>
            </w:r>
            <w:r>
              <w:rPr>
                <w:rFonts w:hint="eastAsia" w:ascii="宋体" w:hAnsi="宋体" w:cs="宋体"/>
                <w:color w:val="auto"/>
                <w:highlight w:val="none"/>
                <w:lang w:val="en-US" w:eastAsia="zh-CN"/>
              </w:rPr>
              <w:t>8</w:t>
            </w:r>
            <w:r>
              <w:rPr>
                <w:rFonts w:hint="eastAsia" w:ascii="宋体" w:hAnsi="宋体" w:eastAsia="宋体" w:cs="宋体"/>
                <w:color w:val="auto"/>
                <w:highlight w:val="none"/>
              </w:rPr>
              <w:t>分，良好得</w:t>
            </w:r>
            <w:r>
              <w:rPr>
                <w:rFonts w:hint="eastAsia" w:ascii="宋体" w:hAnsi="宋体" w:cs="宋体"/>
                <w:color w:val="auto"/>
                <w:highlight w:val="none"/>
                <w:lang w:val="en-US" w:eastAsia="zh-CN"/>
              </w:rPr>
              <w:t>7.2</w:t>
            </w:r>
            <w:r>
              <w:rPr>
                <w:rFonts w:hint="eastAsia" w:ascii="宋体" w:hAnsi="宋体" w:eastAsia="宋体" w:cs="宋体"/>
                <w:color w:val="auto"/>
                <w:highlight w:val="none"/>
              </w:rPr>
              <w:t>分，一般得</w:t>
            </w:r>
            <w:r>
              <w:rPr>
                <w:rFonts w:hint="eastAsia" w:ascii="宋体" w:hAnsi="宋体" w:cs="宋体"/>
                <w:color w:val="auto"/>
                <w:highlight w:val="none"/>
                <w:lang w:val="en-US" w:eastAsia="zh-CN"/>
              </w:rPr>
              <w:t>6.4</w:t>
            </w:r>
            <w:r>
              <w:rPr>
                <w:rFonts w:hint="eastAsia" w:ascii="宋体" w:hAnsi="宋体" w:eastAsia="宋体" w:cs="宋体"/>
                <w:color w:val="auto"/>
                <w:highlight w:val="none"/>
              </w:rPr>
              <w:t>分，较差得</w:t>
            </w:r>
            <w:r>
              <w:rPr>
                <w:rFonts w:hint="eastAsia" w:ascii="宋体" w:hAnsi="宋体" w:cs="宋体"/>
                <w:color w:val="auto"/>
                <w:highlight w:val="none"/>
                <w:lang w:val="en-US" w:eastAsia="zh-CN"/>
              </w:rPr>
              <w:t>5.6</w:t>
            </w:r>
            <w:r>
              <w:rPr>
                <w:rFonts w:hint="eastAsia" w:ascii="宋体" w:hAnsi="宋体" w:eastAsia="宋体" w:cs="宋体"/>
                <w:color w:val="auto"/>
                <w:highlight w:val="none"/>
              </w:rPr>
              <w:t>分，未提供的不得分，本</w:t>
            </w:r>
            <w:r>
              <w:rPr>
                <w:rFonts w:hint="eastAsia" w:ascii="宋体" w:hAnsi="宋体" w:eastAsia="宋体" w:cs="宋体"/>
                <w:color w:val="auto"/>
                <w:highlight w:val="none"/>
                <w:lang w:val="en-US" w:eastAsia="zh-CN"/>
              </w:rPr>
              <w:t>项</w:t>
            </w:r>
            <w:r>
              <w:rPr>
                <w:rFonts w:hint="eastAsia" w:ascii="宋体" w:hAnsi="宋体" w:eastAsia="宋体" w:cs="宋体"/>
                <w:color w:val="auto"/>
                <w:highlight w:val="none"/>
              </w:rPr>
              <w:t>满分</w:t>
            </w:r>
            <w:r>
              <w:rPr>
                <w:rFonts w:hint="eastAsia" w:ascii="宋体" w:hAnsi="宋体" w:cs="宋体"/>
                <w:color w:val="auto"/>
                <w:highlight w:val="none"/>
                <w:lang w:val="en-US" w:eastAsia="zh-CN"/>
              </w:rPr>
              <w:t>8</w:t>
            </w:r>
            <w:r>
              <w:rPr>
                <w:rFonts w:hint="eastAsia" w:ascii="宋体" w:hAnsi="宋体" w:eastAsia="宋体" w:cs="宋体"/>
                <w:color w:val="auto"/>
                <w:highlight w:val="none"/>
              </w:rPr>
              <w:t>分。</w:t>
            </w:r>
          </w:p>
          <w:p w14:paraId="735209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②设计按功能合理布置，各具特色又紧密相连，符合招标人使用需求、主次分明、功能明确、合理利用空间结构。</w:t>
            </w:r>
          </w:p>
          <w:p w14:paraId="5AB6C1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highlight w:val="none"/>
              </w:rPr>
              <w:t>评标委员会对此进行横向比较、综合打分，优秀得</w:t>
            </w:r>
            <w:r>
              <w:rPr>
                <w:rFonts w:hint="eastAsia" w:ascii="宋体" w:hAnsi="宋体" w:cs="宋体"/>
                <w:color w:val="auto"/>
                <w:highlight w:val="none"/>
                <w:lang w:val="en-US" w:eastAsia="zh-CN"/>
              </w:rPr>
              <w:t>8</w:t>
            </w:r>
            <w:r>
              <w:rPr>
                <w:rFonts w:hint="eastAsia" w:ascii="宋体" w:hAnsi="宋体" w:eastAsia="宋体" w:cs="宋体"/>
                <w:color w:val="auto"/>
                <w:highlight w:val="none"/>
              </w:rPr>
              <w:t>分，良好得</w:t>
            </w:r>
            <w:r>
              <w:rPr>
                <w:rFonts w:hint="eastAsia" w:ascii="宋体" w:hAnsi="宋体" w:cs="宋体"/>
                <w:color w:val="auto"/>
                <w:highlight w:val="none"/>
                <w:lang w:val="en-US" w:eastAsia="zh-CN"/>
              </w:rPr>
              <w:t>7.2</w:t>
            </w:r>
            <w:r>
              <w:rPr>
                <w:rFonts w:hint="eastAsia" w:ascii="宋体" w:hAnsi="宋体" w:eastAsia="宋体" w:cs="宋体"/>
                <w:color w:val="auto"/>
                <w:highlight w:val="none"/>
              </w:rPr>
              <w:t>分，一般得</w:t>
            </w:r>
            <w:r>
              <w:rPr>
                <w:rFonts w:hint="eastAsia" w:ascii="宋体" w:hAnsi="宋体" w:cs="宋体"/>
                <w:color w:val="auto"/>
                <w:highlight w:val="none"/>
                <w:lang w:val="en-US" w:eastAsia="zh-CN"/>
              </w:rPr>
              <w:t>6.4</w:t>
            </w:r>
            <w:r>
              <w:rPr>
                <w:rFonts w:hint="eastAsia" w:ascii="宋体" w:hAnsi="宋体" w:eastAsia="宋体" w:cs="宋体"/>
                <w:color w:val="auto"/>
                <w:highlight w:val="none"/>
              </w:rPr>
              <w:t>分，较差得</w:t>
            </w:r>
            <w:r>
              <w:rPr>
                <w:rFonts w:hint="eastAsia" w:ascii="宋体" w:hAnsi="宋体" w:cs="宋体"/>
                <w:color w:val="auto"/>
                <w:highlight w:val="none"/>
                <w:lang w:val="en-US" w:eastAsia="zh-CN"/>
              </w:rPr>
              <w:t>5.6</w:t>
            </w:r>
            <w:r>
              <w:rPr>
                <w:rFonts w:hint="eastAsia" w:ascii="宋体" w:hAnsi="宋体" w:eastAsia="宋体" w:cs="宋体"/>
                <w:color w:val="auto"/>
                <w:highlight w:val="none"/>
              </w:rPr>
              <w:t>分，未提供的不得分，本</w:t>
            </w:r>
            <w:r>
              <w:rPr>
                <w:rFonts w:hint="eastAsia" w:ascii="宋体" w:hAnsi="宋体" w:eastAsia="宋体" w:cs="宋体"/>
                <w:color w:val="auto"/>
                <w:highlight w:val="none"/>
                <w:lang w:val="en-US" w:eastAsia="zh-CN"/>
              </w:rPr>
              <w:t>项</w:t>
            </w:r>
            <w:r>
              <w:rPr>
                <w:rFonts w:hint="eastAsia" w:ascii="宋体" w:hAnsi="宋体" w:eastAsia="宋体" w:cs="宋体"/>
                <w:color w:val="auto"/>
                <w:highlight w:val="none"/>
              </w:rPr>
              <w:t>满分</w:t>
            </w:r>
            <w:r>
              <w:rPr>
                <w:rFonts w:hint="eastAsia" w:ascii="宋体" w:hAnsi="宋体" w:cs="宋体"/>
                <w:color w:val="auto"/>
                <w:highlight w:val="none"/>
                <w:lang w:val="en-US" w:eastAsia="zh-CN"/>
              </w:rPr>
              <w:t>8</w:t>
            </w:r>
            <w:r>
              <w:rPr>
                <w:rFonts w:hint="eastAsia" w:ascii="宋体" w:hAnsi="宋体" w:eastAsia="宋体" w:cs="宋体"/>
                <w:color w:val="auto"/>
                <w:highlight w:val="none"/>
              </w:rPr>
              <w:t>分。</w:t>
            </w:r>
          </w:p>
        </w:tc>
      </w:tr>
      <w:tr w14:paraId="38B6D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736" w:type="dxa"/>
            <w:noWrap w:val="0"/>
            <w:vAlign w:val="center"/>
          </w:tcPr>
          <w:p w14:paraId="30A10459">
            <w:pPr>
              <w:keepNext w:val="0"/>
              <w:keepLines w:val="0"/>
              <w:suppressLineNumbers w:val="0"/>
              <w:shd w:val="clear"/>
              <w:adjustRightInd w:val="0"/>
              <w:snapToGrid w:val="0"/>
              <w:spacing w:before="0" w:beforeAutospacing="0" w:after="0" w:afterAutospacing="0" w:line="560" w:lineRule="exact"/>
              <w:ind w:left="0" w:right="0" w:firstLine="210" w:firstLineChars="100"/>
              <w:jc w:val="both"/>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767" w:type="dxa"/>
            <w:gridSpan w:val="2"/>
            <w:noWrap w:val="0"/>
            <w:vAlign w:val="center"/>
          </w:tcPr>
          <w:p w14:paraId="363FD2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施工组织设计</w:t>
            </w:r>
          </w:p>
        </w:tc>
        <w:tc>
          <w:tcPr>
            <w:tcW w:w="1255" w:type="dxa"/>
            <w:gridSpan w:val="2"/>
            <w:noWrap w:val="0"/>
            <w:vAlign w:val="center"/>
          </w:tcPr>
          <w:p w14:paraId="62307C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center"/>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10分</w:t>
            </w:r>
          </w:p>
        </w:tc>
        <w:tc>
          <w:tcPr>
            <w:tcW w:w="5716" w:type="dxa"/>
            <w:gridSpan w:val="2"/>
            <w:noWrap w:val="0"/>
            <w:vAlign w:val="top"/>
          </w:tcPr>
          <w:p w14:paraId="69F8F2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包括①主要施工方案与技术措施；②总体筹划与总平面布置；③工程进度计划与措施及施工网络图；④劳动力安排计划，主要施工机械</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设备进场计划，主要物质供应计划；⑤确保工程质量的管理体系与措施，确保安全生产的管理体系与措施，确保文明施工的管理体系与措施，工程重难点及对应保证措施。</w:t>
            </w:r>
          </w:p>
          <w:p w14:paraId="7657B3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rPr>
              <w:t>评标委员会对此进行横向比较、综合打分，每小项优秀的得</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分；良好的得</w:t>
            </w:r>
            <w:r>
              <w:rPr>
                <w:rFonts w:hint="eastAsia" w:ascii="宋体" w:hAnsi="宋体" w:eastAsia="宋体" w:cs="宋体"/>
                <w:color w:val="auto"/>
                <w:highlight w:val="none"/>
                <w:lang w:val="en-US" w:eastAsia="zh-CN"/>
              </w:rPr>
              <w:t>1.8</w:t>
            </w:r>
            <w:r>
              <w:rPr>
                <w:rFonts w:hint="eastAsia" w:ascii="宋体" w:hAnsi="宋体" w:eastAsia="宋体" w:cs="宋体"/>
                <w:color w:val="auto"/>
                <w:highlight w:val="none"/>
              </w:rPr>
              <w:t>分；一般的得</w:t>
            </w:r>
            <w:r>
              <w:rPr>
                <w:rFonts w:hint="eastAsia" w:ascii="宋体" w:hAnsi="宋体" w:eastAsia="宋体" w:cs="宋体"/>
                <w:color w:val="auto"/>
                <w:highlight w:val="none"/>
                <w:lang w:val="en-US" w:eastAsia="zh-CN"/>
              </w:rPr>
              <w:t>1.6</w:t>
            </w:r>
            <w:r>
              <w:rPr>
                <w:rFonts w:hint="eastAsia" w:ascii="宋体" w:hAnsi="宋体" w:eastAsia="宋体" w:cs="宋体"/>
                <w:color w:val="auto"/>
                <w:highlight w:val="none"/>
              </w:rPr>
              <w:t>分；</w:t>
            </w:r>
            <w:r>
              <w:rPr>
                <w:rFonts w:hint="eastAsia" w:ascii="宋体" w:hAnsi="宋体" w:eastAsia="宋体" w:cs="宋体"/>
                <w:color w:val="auto"/>
                <w:highlight w:val="none"/>
                <w:lang w:val="en-US" w:eastAsia="zh-CN"/>
              </w:rPr>
              <w:t>合格</w:t>
            </w:r>
            <w:r>
              <w:rPr>
                <w:rFonts w:hint="eastAsia" w:ascii="宋体" w:hAnsi="宋体" w:eastAsia="宋体" w:cs="宋体"/>
                <w:color w:val="auto"/>
                <w:highlight w:val="none"/>
              </w:rPr>
              <w:t>的得</w:t>
            </w:r>
            <w:r>
              <w:rPr>
                <w:rFonts w:hint="eastAsia" w:ascii="宋体" w:hAnsi="宋体" w:eastAsia="宋体" w:cs="宋体"/>
                <w:color w:val="auto"/>
                <w:highlight w:val="none"/>
                <w:lang w:val="en-US" w:eastAsia="zh-CN"/>
              </w:rPr>
              <w:t>1.4</w:t>
            </w:r>
            <w:r>
              <w:rPr>
                <w:rFonts w:hint="eastAsia" w:ascii="宋体" w:hAnsi="宋体" w:eastAsia="宋体" w:cs="宋体"/>
                <w:color w:val="auto"/>
                <w:highlight w:val="none"/>
              </w:rPr>
              <w:t>分；未提供的不得分。</w:t>
            </w:r>
          </w:p>
        </w:tc>
      </w:tr>
    </w:tbl>
    <w:p w14:paraId="7E39AACF">
      <w:pPr>
        <w:pStyle w:val="14"/>
        <w:spacing w:after="0" w:line="560" w:lineRule="exact"/>
        <w:ind w:left="0" w:leftChars="0" w:firstLine="422"/>
        <w:jc w:val="left"/>
        <w:rPr>
          <w:rFonts w:hint="eastAsia" w:ascii="宋体" w:hAnsi="宋体" w:eastAsia="宋体" w:cs="宋体"/>
          <w:b/>
          <w:bCs/>
          <w:color w:val="000000"/>
          <w:highlight w:val="none"/>
          <w:lang w:eastAsia="zh-CN"/>
        </w:rPr>
      </w:pPr>
      <w:r>
        <w:rPr>
          <w:rFonts w:hint="eastAsia" w:ascii="宋体" w:hAnsi="宋体" w:cs="宋体"/>
          <w:b/>
          <w:bCs/>
          <w:color w:val="000000"/>
          <w:highlight w:val="none"/>
        </w:rPr>
        <w:t>注：1、该项由专家评委评审打分，取所有评委评分的平均值为最终得分，保留两位小数点，第三位四舍五入。</w:t>
      </w:r>
    </w:p>
    <w:p w14:paraId="1CBD3EDE">
      <w:pPr>
        <w:numPr>
          <w:ilvl w:val="0"/>
          <w:numId w:val="0"/>
        </w:numPr>
        <w:shd w:val="clear"/>
        <w:spacing w:line="560" w:lineRule="exact"/>
        <w:jc w:val="center"/>
        <w:rPr>
          <w:rFonts w:hint="eastAsia"/>
          <w:b/>
          <w:color w:val="auto"/>
          <w:sz w:val="28"/>
          <w:szCs w:val="21"/>
          <w:highlight w:val="none"/>
        </w:rPr>
      </w:pPr>
      <w:r>
        <w:rPr>
          <w:rFonts w:hint="eastAsia"/>
          <w:b/>
          <w:color w:val="auto"/>
          <w:sz w:val="28"/>
          <w:szCs w:val="21"/>
          <w:highlight w:val="none"/>
        </w:rPr>
        <w:t>（四）商务标评审</w:t>
      </w:r>
    </w:p>
    <w:tbl>
      <w:tblPr>
        <w:tblStyle w:val="47"/>
        <w:tblW w:w="9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780"/>
        <w:gridCol w:w="2831"/>
        <w:gridCol w:w="5016"/>
      </w:tblGrid>
      <w:tr w14:paraId="10093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61" w:type="dxa"/>
            <w:gridSpan w:val="2"/>
            <w:noWrap w:val="0"/>
            <w:vAlign w:val="center"/>
          </w:tcPr>
          <w:p w14:paraId="2A3D1966">
            <w:pPr>
              <w:keepNext w:val="0"/>
              <w:keepLines w:val="0"/>
              <w:suppressLineNumbers w:val="0"/>
              <w:shd w:val="clear"/>
              <w:adjustRightInd w:val="0"/>
              <w:snapToGrid w:val="0"/>
              <w:spacing w:before="0" w:beforeAutospacing="0" w:after="0" w:afterAutospacing="0" w:line="560" w:lineRule="exact"/>
              <w:ind w:left="0" w:right="0"/>
              <w:jc w:val="center"/>
              <w:rPr>
                <w:rFonts w:hint="default" w:ascii="宋体" w:hAnsi="宋体"/>
                <w:color w:val="auto"/>
                <w:szCs w:val="21"/>
                <w:highlight w:val="none"/>
              </w:rPr>
            </w:pPr>
            <w:r>
              <w:rPr>
                <w:rFonts w:hint="eastAsia" w:ascii="宋体" w:hAnsi="宋体"/>
                <w:color w:val="auto"/>
                <w:szCs w:val="21"/>
                <w:highlight w:val="none"/>
              </w:rPr>
              <w:t>条款号</w:t>
            </w:r>
          </w:p>
        </w:tc>
        <w:tc>
          <w:tcPr>
            <w:tcW w:w="2831" w:type="dxa"/>
            <w:noWrap w:val="0"/>
            <w:vAlign w:val="center"/>
          </w:tcPr>
          <w:p w14:paraId="5326B487">
            <w:pPr>
              <w:keepNext w:val="0"/>
              <w:keepLines w:val="0"/>
              <w:suppressLineNumbers w:val="0"/>
              <w:shd w:val="clear"/>
              <w:adjustRightInd w:val="0"/>
              <w:snapToGrid w:val="0"/>
              <w:spacing w:before="0" w:beforeAutospacing="0" w:after="0" w:afterAutospacing="0" w:line="560" w:lineRule="exact"/>
              <w:ind w:left="0" w:right="0"/>
              <w:jc w:val="center"/>
              <w:rPr>
                <w:rFonts w:hint="default" w:ascii="宋体" w:hAnsi="宋体"/>
                <w:color w:val="auto"/>
                <w:szCs w:val="21"/>
                <w:highlight w:val="none"/>
              </w:rPr>
            </w:pPr>
            <w:r>
              <w:rPr>
                <w:rFonts w:hint="eastAsia" w:ascii="宋体" w:hAnsi="宋体"/>
                <w:color w:val="auto"/>
                <w:szCs w:val="21"/>
                <w:highlight w:val="none"/>
              </w:rPr>
              <w:t>评审因素</w:t>
            </w:r>
          </w:p>
        </w:tc>
        <w:tc>
          <w:tcPr>
            <w:tcW w:w="5016" w:type="dxa"/>
            <w:noWrap w:val="0"/>
            <w:vAlign w:val="center"/>
          </w:tcPr>
          <w:p w14:paraId="097773AD">
            <w:pPr>
              <w:keepNext w:val="0"/>
              <w:keepLines w:val="0"/>
              <w:suppressLineNumbers w:val="0"/>
              <w:shd w:val="clear"/>
              <w:adjustRightInd w:val="0"/>
              <w:snapToGrid w:val="0"/>
              <w:spacing w:before="0" w:beforeAutospacing="0" w:after="0" w:afterAutospacing="0" w:line="560" w:lineRule="exact"/>
              <w:ind w:left="0" w:right="0"/>
              <w:jc w:val="center"/>
              <w:rPr>
                <w:rFonts w:hint="default" w:ascii="宋体" w:hAnsi="宋体"/>
                <w:color w:val="auto"/>
                <w:szCs w:val="21"/>
                <w:highlight w:val="none"/>
              </w:rPr>
            </w:pPr>
            <w:r>
              <w:rPr>
                <w:rFonts w:hint="eastAsia" w:ascii="宋体" w:hAnsi="宋体"/>
                <w:color w:val="auto"/>
                <w:szCs w:val="21"/>
                <w:highlight w:val="none"/>
              </w:rPr>
              <w:t>评审标准</w:t>
            </w:r>
          </w:p>
        </w:tc>
      </w:tr>
      <w:tr w14:paraId="5F264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81" w:type="dxa"/>
            <w:vMerge w:val="restart"/>
            <w:noWrap w:val="0"/>
            <w:vAlign w:val="center"/>
          </w:tcPr>
          <w:p w14:paraId="6364B971">
            <w:pPr>
              <w:keepNext w:val="0"/>
              <w:keepLines w:val="0"/>
              <w:suppressLineNumbers w:val="0"/>
              <w:shd w:val="clear"/>
              <w:adjustRightInd w:val="0"/>
              <w:snapToGrid w:val="0"/>
              <w:spacing w:before="0" w:beforeAutospacing="0" w:after="0" w:afterAutospacing="0" w:line="560" w:lineRule="exact"/>
              <w:ind w:left="0" w:right="0"/>
              <w:jc w:val="center"/>
              <w:rPr>
                <w:rFonts w:hint="default" w:ascii="宋体" w:hAnsi="宋体"/>
                <w:color w:val="auto"/>
                <w:szCs w:val="21"/>
                <w:highlight w:val="none"/>
              </w:rPr>
            </w:pPr>
            <w:r>
              <w:rPr>
                <w:rFonts w:hint="default" w:ascii="宋体" w:hAnsi="宋体"/>
                <w:color w:val="auto"/>
                <w:szCs w:val="21"/>
                <w:highlight w:val="none"/>
              </w:rPr>
              <w:t>4.2.1</w:t>
            </w:r>
          </w:p>
        </w:tc>
        <w:tc>
          <w:tcPr>
            <w:tcW w:w="780" w:type="dxa"/>
            <w:vMerge w:val="restart"/>
            <w:noWrap w:val="0"/>
            <w:vAlign w:val="center"/>
          </w:tcPr>
          <w:p w14:paraId="38E973AB">
            <w:pPr>
              <w:keepNext w:val="0"/>
              <w:keepLines w:val="0"/>
              <w:suppressLineNumbers w:val="0"/>
              <w:shd w:val="clear"/>
              <w:adjustRightInd w:val="0"/>
              <w:snapToGrid w:val="0"/>
              <w:spacing w:before="0" w:beforeAutospacing="0" w:after="0" w:afterAutospacing="0" w:line="560" w:lineRule="exact"/>
              <w:ind w:left="0" w:right="0"/>
              <w:jc w:val="center"/>
              <w:rPr>
                <w:rFonts w:hint="default" w:ascii="宋体" w:hAnsi="宋体"/>
                <w:color w:val="auto"/>
                <w:szCs w:val="21"/>
                <w:highlight w:val="none"/>
              </w:rPr>
            </w:pPr>
            <w:r>
              <w:rPr>
                <w:rFonts w:hint="eastAsia" w:ascii="宋体" w:hAnsi="宋体"/>
                <w:color w:val="auto"/>
                <w:szCs w:val="21"/>
                <w:highlight w:val="none"/>
              </w:rPr>
              <w:t>形式评审标准</w:t>
            </w:r>
          </w:p>
        </w:tc>
        <w:tc>
          <w:tcPr>
            <w:tcW w:w="2831" w:type="dxa"/>
            <w:noWrap w:val="0"/>
            <w:vAlign w:val="center"/>
          </w:tcPr>
          <w:p w14:paraId="463B4A0B">
            <w:pPr>
              <w:keepNext w:val="0"/>
              <w:keepLines w:val="0"/>
              <w:suppressLineNumbers w:val="0"/>
              <w:shd w:val="clear"/>
              <w:adjustRightInd w:val="0"/>
              <w:snapToGrid w:val="0"/>
              <w:spacing w:before="0" w:beforeAutospacing="0" w:after="0" w:afterAutospacing="0" w:line="560" w:lineRule="exact"/>
              <w:ind w:left="0" w:right="0"/>
              <w:rPr>
                <w:rFonts w:hint="default" w:ascii="宋体" w:hAnsi="宋体"/>
                <w:color w:val="auto"/>
                <w:szCs w:val="21"/>
                <w:highlight w:val="none"/>
              </w:rPr>
            </w:pPr>
            <w:r>
              <w:rPr>
                <w:rFonts w:hint="eastAsia" w:ascii="宋体" w:hAnsi="宋体"/>
                <w:color w:val="auto"/>
                <w:szCs w:val="21"/>
                <w:highlight w:val="none"/>
              </w:rPr>
              <w:t>投标函签字盖章</w:t>
            </w:r>
          </w:p>
        </w:tc>
        <w:tc>
          <w:tcPr>
            <w:tcW w:w="5016" w:type="dxa"/>
            <w:noWrap w:val="0"/>
            <w:vAlign w:val="center"/>
          </w:tcPr>
          <w:p w14:paraId="08D1F48A">
            <w:pPr>
              <w:keepNext w:val="0"/>
              <w:keepLines w:val="0"/>
              <w:suppressLineNumbers w:val="0"/>
              <w:shd w:val="clear"/>
              <w:adjustRightInd w:val="0"/>
              <w:snapToGrid w:val="0"/>
              <w:spacing w:before="0" w:beforeAutospacing="0" w:after="0" w:afterAutospacing="0" w:line="560" w:lineRule="exact"/>
              <w:ind w:left="0" w:right="0"/>
              <w:jc w:val="left"/>
              <w:rPr>
                <w:rFonts w:hint="default" w:ascii="宋体" w:hAnsi="宋体"/>
                <w:color w:val="auto"/>
                <w:szCs w:val="21"/>
                <w:highlight w:val="none"/>
              </w:rPr>
            </w:pPr>
            <w:r>
              <w:rPr>
                <w:rFonts w:hint="eastAsia" w:ascii="宋体" w:hAnsi="宋体"/>
                <w:color w:val="auto"/>
                <w:szCs w:val="21"/>
                <w:highlight w:val="none"/>
              </w:rPr>
              <w:t>有投标人及其法定代表人签章。</w:t>
            </w:r>
          </w:p>
        </w:tc>
      </w:tr>
      <w:tr w14:paraId="3CCD9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81" w:type="dxa"/>
            <w:vMerge w:val="continue"/>
            <w:noWrap w:val="0"/>
            <w:vAlign w:val="center"/>
          </w:tcPr>
          <w:p w14:paraId="33CCEA2F">
            <w:pPr>
              <w:keepNext w:val="0"/>
              <w:keepLines w:val="0"/>
              <w:widowControl/>
              <w:suppressLineNumbers w:val="0"/>
              <w:shd w:val="clear"/>
              <w:adjustRightInd w:val="0"/>
              <w:snapToGrid w:val="0"/>
              <w:spacing w:before="0" w:beforeAutospacing="0" w:after="0" w:afterAutospacing="0" w:line="560" w:lineRule="exact"/>
              <w:ind w:left="0" w:right="0"/>
              <w:jc w:val="left"/>
              <w:rPr>
                <w:rFonts w:hint="default" w:ascii="宋体" w:hAnsi="宋体"/>
                <w:color w:val="auto"/>
                <w:szCs w:val="21"/>
                <w:highlight w:val="none"/>
              </w:rPr>
            </w:pPr>
          </w:p>
        </w:tc>
        <w:tc>
          <w:tcPr>
            <w:tcW w:w="780" w:type="dxa"/>
            <w:vMerge w:val="continue"/>
            <w:noWrap w:val="0"/>
            <w:vAlign w:val="center"/>
          </w:tcPr>
          <w:p w14:paraId="5CB4917D">
            <w:pPr>
              <w:keepNext w:val="0"/>
              <w:keepLines w:val="0"/>
              <w:widowControl/>
              <w:suppressLineNumbers w:val="0"/>
              <w:shd w:val="clear"/>
              <w:adjustRightInd w:val="0"/>
              <w:snapToGrid w:val="0"/>
              <w:spacing w:before="0" w:beforeAutospacing="0" w:after="0" w:afterAutospacing="0" w:line="560" w:lineRule="exact"/>
              <w:ind w:left="0" w:right="0"/>
              <w:jc w:val="left"/>
              <w:rPr>
                <w:rFonts w:hint="default" w:ascii="宋体" w:hAnsi="宋体"/>
                <w:color w:val="auto"/>
                <w:szCs w:val="21"/>
                <w:highlight w:val="none"/>
              </w:rPr>
            </w:pPr>
          </w:p>
        </w:tc>
        <w:tc>
          <w:tcPr>
            <w:tcW w:w="2831" w:type="dxa"/>
            <w:noWrap w:val="0"/>
            <w:vAlign w:val="center"/>
          </w:tcPr>
          <w:p w14:paraId="0D3452B4">
            <w:pPr>
              <w:keepNext w:val="0"/>
              <w:keepLines w:val="0"/>
              <w:suppressLineNumbers w:val="0"/>
              <w:shd w:val="clear"/>
              <w:adjustRightInd w:val="0"/>
              <w:snapToGrid w:val="0"/>
              <w:spacing w:before="0" w:beforeAutospacing="0" w:after="0" w:afterAutospacing="0" w:line="560" w:lineRule="exact"/>
              <w:ind w:left="0" w:right="0"/>
              <w:rPr>
                <w:rFonts w:hint="default" w:ascii="宋体" w:hAnsi="宋体"/>
                <w:color w:val="auto"/>
                <w:szCs w:val="21"/>
                <w:highlight w:val="none"/>
              </w:rPr>
            </w:pPr>
            <w:r>
              <w:rPr>
                <w:rFonts w:hint="eastAsia" w:ascii="宋体" w:hAnsi="宋体"/>
                <w:color w:val="auto"/>
                <w:szCs w:val="21"/>
                <w:highlight w:val="none"/>
              </w:rPr>
              <w:t>投标文件格式</w:t>
            </w:r>
          </w:p>
        </w:tc>
        <w:tc>
          <w:tcPr>
            <w:tcW w:w="5016" w:type="dxa"/>
            <w:noWrap w:val="0"/>
            <w:vAlign w:val="center"/>
          </w:tcPr>
          <w:p w14:paraId="44F9BBD4">
            <w:pPr>
              <w:keepNext w:val="0"/>
              <w:keepLines w:val="0"/>
              <w:suppressLineNumbers w:val="0"/>
              <w:shd w:val="clear"/>
              <w:adjustRightInd w:val="0"/>
              <w:snapToGrid w:val="0"/>
              <w:spacing w:before="0" w:beforeAutospacing="0" w:after="0" w:afterAutospacing="0" w:line="560" w:lineRule="exact"/>
              <w:ind w:left="0" w:right="0"/>
              <w:jc w:val="left"/>
              <w:rPr>
                <w:rFonts w:hint="default" w:ascii="宋体" w:hAnsi="宋体"/>
                <w:color w:val="auto"/>
                <w:szCs w:val="21"/>
                <w:highlight w:val="none"/>
              </w:rPr>
            </w:pPr>
            <w:r>
              <w:rPr>
                <w:rFonts w:hint="eastAsia" w:ascii="宋体" w:hAnsi="宋体"/>
                <w:color w:val="auto"/>
                <w:szCs w:val="21"/>
                <w:highlight w:val="none"/>
              </w:rPr>
              <w:t>符合第</w:t>
            </w:r>
            <w:r>
              <w:rPr>
                <w:rFonts w:hint="eastAsia" w:ascii="宋体" w:hAnsi="宋体" w:cs="宋体"/>
                <w:color w:val="auto"/>
                <w:szCs w:val="21"/>
                <w:highlight w:val="none"/>
                <w:lang w:val="en-US" w:eastAsia="zh-CN"/>
              </w:rPr>
              <w:t>八</w:t>
            </w:r>
            <w:r>
              <w:rPr>
                <w:rFonts w:hint="eastAsia" w:ascii="宋体" w:hAnsi="宋体"/>
                <w:color w:val="auto"/>
                <w:szCs w:val="21"/>
                <w:highlight w:val="none"/>
              </w:rPr>
              <w:t>章“投标文件格式”的要求。</w:t>
            </w:r>
          </w:p>
        </w:tc>
      </w:tr>
      <w:tr w14:paraId="5C0C0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81" w:type="dxa"/>
            <w:vMerge w:val="continue"/>
            <w:noWrap w:val="0"/>
            <w:vAlign w:val="center"/>
          </w:tcPr>
          <w:p w14:paraId="5A4EABCE">
            <w:pPr>
              <w:keepNext w:val="0"/>
              <w:keepLines w:val="0"/>
              <w:widowControl/>
              <w:suppressLineNumbers w:val="0"/>
              <w:shd w:val="clear"/>
              <w:adjustRightInd w:val="0"/>
              <w:snapToGrid w:val="0"/>
              <w:spacing w:before="0" w:beforeAutospacing="0" w:after="0" w:afterAutospacing="0" w:line="560" w:lineRule="exact"/>
              <w:ind w:left="0" w:right="0"/>
              <w:jc w:val="left"/>
              <w:rPr>
                <w:rFonts w:hint="default" w:ascii="宋体" w:hAnsi="宋体"/>
                <w:color w:val="auto"/>
                <w:szCs w:val="21"/>
                <w:highlight w:val="none"/>
              </w:rPr>
            </w:pPr>
          </w:p>
        </w:tc>
        <w:tc>
          <w:tcPr>
            <w:tcW w:w="780" w:type="dxa"/>
            <w:vMerge w:val="continue"/>
            <w:noWrap w:val="0"/>
            <w:vAlign w:val="center"/>
          </w:tcPr>
          <w:p w14:paraId="7D3C29F0">
            <w:pPr>
              <w:keepNext w:val="0"/>
              <w:keepLines w:val="0"/>
              <w:widowControl/>
              <w:suppressLineNumbers w:val="0"/>
              <w:shd w:val="clear"/>
              <w:adjustRightInd w:val="0"/>
              <w:snapToGrid w:val="0"/>
              <w:spacing w:before="0" w:beforeAutospacing="0" w:after="0" w:afterAutospacing="0" w:line="560" w:lineRule="exact"/>
              <w:ind w:left="0" w:right="0"/>
              <w:jc w:val="left"/>
              <w:rPr>
                <w:rFonts w:hint="default" w:ascii="宋体" w:hAnsi="宋体"/>
                <w:color w:val="auto"/>
                <w:szCs w:val="21"/>
                <w:highlight w:val="none"/>
              </w:rPr>
            </w:pPr>
          </w:p>
        </w:tc>
        <w:tc>
          <w:tcPr>
            <w:tcW w:w="2831" w:type="dxa"/>
            <w:noWrap w:val="0"/>
            <w:vAlign w:val="center"/>
          </w:tcPr>
          <w:p w14:paraId="33E22FD9">
            <w:pPr>
              <w:keepNext w:val="0"/>
              <w:keepLines w:val="0"/>
              <w:suppressLineNumbers w:val="0"/>
              <w:shd w:val="clear"/>
              <w:adjustRightInd w:val="0"/>
              <w:snapToGrid w:val="0"/>
              <w:spacing w:before="0" w:beforeAutospacing="0" w:after="0" w:afterAutospacing="0" w:line="560" w:lineRule="exact"/>
              <w:ind w:left="0" w:right="0"/>
              <w:rPr>
                <w:rFonts w:hint="default" w:ascii="宋体" w:hAnsi="宋体"/>
                <w:color w:val="auto"/>
                <w:szCs w:val="21"/>
                <w:highlight w:val="none"/>
              </w:rPr>
            </w:pPr>
            <w:r>
              <w:rPr>
                <w:rFonts w:hint="eastAsia" w:ascii="宋体" w:hAnsi="宋体"/>
                <w:color w:val="auto"/>
                <w:szCs w:val="21"/>
                <w:highlight w:val="none"/>
              </w:rPr>
              <w:t>商务标签字盖章</w:t>
            </w:r>
          </w:p>
        </w:tc>
        <w:tc>
          <w:tcPr>
            <w:tcW w:w="5016" w:type="dxa"/>
            <w:noWrap w:val="0"/>
            <w:vAlign w:val="center"/>
          </w:tcPr>
          <w:p w14:paraId="789ED4D5">
            <w:pPr>
              <w:keepNext w:val="0"/>
              <w:keepLines w:val="0"/>
              <w:suppressLineNumbers w:val="0"/>
              <w:shd w:val="clear"/>
              <w:adjustRightInd w:val="0"/>
              <w:snapToGrid w:val="0"/>
              <w:spacing w:before="0" w:beforeAutospacing="0" w:after="0" w:afterAutospacing="0" w:line="560" w:lineRule="exact"/>
              <w:ind w:left="0" w:right="0"/>
              <w:jc w:val="left"/>
              <w:rPr>
                <w:rFonts w:hint="default" w:ascii="宋体" w:hAnsi="宋体"/>
                <w:color w:val="auto"/>
                <w:szCs w:val="21"/>
                <w:highlight w:val="none"/>
              </w:rPr>
            </w:pPr>
            <w:r>
              <w:rPr>
                <w:rFonts w:hint="eastAsia" w:ascii="宋体" w:hAnsi="宋体"/>
                <w:color w:val="auto"/>
                <w:szCs w:val="21"/>
                <w:highlight w:val="none"/>
              </w:rPr>
              <w:t>按投标文件格式要求签章。</w:t>
            </w:r>
          </w:p>
        </w:tc>
      </w:tr>
      <w:tr w14:paraId="772A5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881" w:type="dxa"/>
            <w:vMerge w:val="continue"/>
            <w:noWrap w:val="0"/>
            <w:vAlign w:val="center"/>
          </w:tcPr>
          <w:p w14:paraId="57DDEE10">
            <w:pPr>
              <w:keepNext w:val="0"/>
              <w:keepLines w:val="0"/>
              <w:widowControl/>
              <w:suppressLineNumbers w:val="0"/>
              <w:shd w:val="clear"/>
              <w:adjustRightInd w:val="0"/>
              <w:snapToGrid w:val="0"/>
              <w:spacing w:before="0" w:beforeAutospacing="0" w:after="0" w:afterAutospacing="0" w:line="560" w:lineRule="exact"/>
              <w:ind w:left="0" w:right="0"/>
              <w:jc w:val="left"/>
              <w:rPr>
                <w:rFonts w:hint="default" w:ascii="宋体" w:hAnsi="宋体"/>
                <w:color w:val="auto"/>
                <w:szCs w:val="21"/>
                <w:highlight w:val="none"/>
              </w:rPr>
            </w:pPr>
          </w:p>
        </w:tc>
        <w:tc>
          <w:tcPr>
            <w:tcW w:w="780" w:type="dxa"/>
            <w:vMerge w:val="continue"/>
            <w:noWrap w:val="0"/>
            <w:vAlign w:val="center"/>
          </w:tcPr>
          <w:p w14:paraId="21E69139">
            <w:pPr>
              <w:keepNext w:val="0"/>
              <w:keepLines w:val="0"/>
              <w:widowControl/>
              <w:suppressLineNumbers w:val="0"/>
              <w:shd w:val="clear"/>
              <w:adjustRightInd w:val="0"/>
              <w:snapToGrid w:val="0"/>
              <w:spacing w:before="0" w:beforeAutospacing="0" w:after="0" w:afterAutospacing="0" w:line="560" w:lineRule="exact"/>
              <w:ind w:left="0" w:right="0"/>
              <w:jc w:val="left"/>
              <w:rPr>
                <w:rFonts w:hint="default" w:ascii="宋体" w:hAnsi="宋体"/>
                <w:color w:val="auto"/>
                <w:szCs w:val="21"/>
                <w:highlight w:val="none"/>
              </w:rPr>
            </w:pPr>
          </w:p>
        </w:tc>
        <w:tc>
          <w:tcPr>
            <w:tcW w:w="2831" w:type="dxa"/>
            <w:noWrap w:val="0"/>
            <w:vAlign w:val="center"/>
          </w:tcPr>
          <w:p w14:paraId="5B3F1012">
            <w:pPr>
              <w:keepNext w:val="0"/>
              <w:keepLines w:val="0"/>
              <w:suppressLineNumbers w:val="0"/>
              <w:shd w:val="clear"/>
              <w:adjustRightInd w:val="0"/>
              <w:snapToGrid w:val="0"/>
              <w:spacing w:before="0" w:beforeAutospacing="0" w:after="0" w:afterAutospacing="0" w:line="560" w:lineRule="exact"/>
              <w:ind w:left="0" w:right="0"/>
              <w:rPr>
                <w:rFonts w:hint="default" w:ascii="宋体" w:hAnsi="宋体"/>
                <w:color w:val="auto"/>
                <w:szCs w:val="21"/>
                <w:highlight w:val="none"/>
              </w:rPr>
            </w:pPr>
            <w:r>
              <w:rPr>
                <w:rFonts w:hint="eastAsia" w:ascii="宋体" w:hAnsi="宋体"/>
                <w:color w:val="auto"/>
                <w:szCs w:val="21"/>
                <w:highlight w:val="none"/>
              </w:rPr>
              <w:t>报价唯一</w:t>
            </w:r>
          </w:p>
        </w:tc>
        <w:tc>
          <w:tcPr>
            <w:tcW w:w="5016" w:type="dxa"/>
            <w:noWrap w:val="0"/>
            <w:vAlign w:val="center"/>
          </w:tcPr>
          <w:p w14:paraId="770D0E37">
            <w:pPr>
              <w:keepNext w:val="0"/>
              <w:keepLines w:val="0"/>
              <w:suppressLineNumbers w:val="0"/>
              <w:shd w:val="clear"/>
              <w:adjustRightInd w:val="0"/>
              <w:snapToGrid w:val="0"/>
              <w:spacing w:before="0" w:beforeAutospacing="0" w:after="0" w:afterAutospacing="0" w:line="560" w:lineRule="exact"/>
              <w:ind w:left="0" w:right="0"/>
              <w:jc w:val="left"/>
              <w:rPr>
                <w:rFonts w:hint="default" w:ascii="宋体" w:hAnsi="宋体"/>
                <w:color w:val="auto"/>
                <w:szCs w:val="21"/>
                <w:highlight w:val="none"/>
              </w:rPr>
            </w:pPr>
            <w:r>
              <w:rPr>
                <w:rFonts w:hint="eastAsia" w:ascii="宋体" w:hAnsi="宋体"/>
                <w:color w:val="auto"/>
                <w:szCs w:val="21"/>
                <w:highlight w:val="none"/>
              </w:rPr>
              <w:t>只能有一个报价。</w:t>
            </w:r>
          </w:p>
        </w:tc>
      </w:tr>
      <w:tr w14:paraId="6748C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81" w:type="dxa"/>
            <w:vMerge w:val="restart"/>
            <w:noWrap w:val="0"/>
            <w:vAlign w:val="center"/>
          </w:tcPr>
          <w:p w14:paraId="655D77A9">
            <w:pPr>
              <w:keepNext w:val="0"/>
              <w:keepLines w:val="0"/>
              <w:suppressLineNumbers w:val="0"/>
              <w:shd w:val="clear"/>
              <w:adjustRightInd w:val="0"/>
              <w:snapToGrid w:val="0"/>
              <w:spacing w:before="0" w:beforeAutospacing="0" w:after="0" w:afterAutospacing="0" w:line="560" w:lineRule="exact"/>
              <w:ind w:left="0" w:right="0"/>
              <w:jc w:val="center"/>
              <w:rPr>
                <w:rFonts w:hint="default" w:ascii="宋体" w:hAnsi="宋体"/>
                <w:color w:val="auto"/>
                <w:szCs w:val="21"/>
                <w:highlight w:val="none"/>
              </w:rPr>
            </w:pPr>
            <w:r>
              <w:rPr>
                <w:rFonts w:hint="default" w:ascii="宋体" w:hAnsi="宋体"/>
                <w:color w:val="auto"/>
                <w:szCs w:val="21"/>
                <w:highlight w:val="none"/>
              </w:rPr>
              <w:t>4.2.2</w:t>
            </w:r>
          </w:p>
        </w:tc>
        <w:tc>
          <w:tcPr>
            <w:tcW w:w="780" w:type="dxa"/>
            <w:vMerge w:val="restart"/>
            <w:noWrap w:val="0"/>
            <w:vAlign w:val="center"/>
          </w:tcPr>
          <w:p w14:paraId="69F0943F">
            <w:pPr>
              <w:keepNext w:val="0"/>
              <w:keepLines w:val="0"/>
              <w:suppressLineNumbers w:val="0"/>
              <w:shd w:val="clear"/>
              <w:adjustRightInd w:val="0"/>
              <w:snapToGrid w:val="0"/>
              <w:spacing w:before="0" w:beforeAutospacing="0" w:after="0" w:afterAutospacing="0" w:line="560" w:lineRule="exact"/>
              <w:ind w:left="0" w:right="0"/>
              <w:rPr>
                <w:rFonts w:hint="default" w:ascii="宋体" w:hAnsi="宋体"/>
                <w:color w:val="auto"/>
                <w:szCs w:val="21"/>
                <w:highlight w:val="none"/>
              </w:rPr>
            </w:pPr>
            <w:r>
              <w:rPr>
                <w:rFonts w:hint="eastAsia" w:ascii="宋体" w:hAnsi="宋体"/>
                <w:color w:val="auto"/>
                <w:szCs w:val="21"/>
                <w:highlight w:val="none"/>
              </w:rPr>
              <w:t>响应性评审标准</w:t>
            </w:r>
          </w:p>
          <w:p w14:paraId="150C1FBF">
            <w:pPr>
              <w:keepNext w:val="0"/>
              <w:keepLines w:val="0"/>
              <w:suppressLineNumbers w:val="0"/>
              <w:shd w:val="clear"/>
              <w:adjustRightInd w:val="0"/>
              <w:snapToGrid w:val="0"/>
              <w:spacing w:before="0" w:beforeAutospacing="0" w:after="0" w:afterAutospacing="0" w:line="560" w:lineRule="exact"/>
              <w:ind w:left="0" w:right="0"/>
              <w:jc w:val="center"/>
              <w:rPr>
                <w:rFonts w:hint="default" w:ascii="宋体" w:hAnsi="宋体"/>
                <w:color w:val="auto"/>
                <w:szCs w:val="21"/>
                <w:highlight w:val="none"/>
              </w:rPr>
            </w:pPr>
          </w:p>
        </w:tc>
        <w:tc>
          <w:tcPr>
            <w:tcW w:w="2831" w:type="dxa"/>
            <w:noWrap w:val="0"/>
            <w:vAlign w:val="center"/>
          </w:tcPr>
          <w:p w14:paraId="2646A76A">
            <w:pPr>
              <w:keepNext w:val="0"/>
              <w:keepLines w:val="0"/>
              <w:suppressLineNumbers w:val="0"/>
              <w:shd w:val="clear"/>
              <w:adjustRightInd w:val="0"/>
              <w:snapToGrid w:val="0"/>
              <w:spacing w:before="0" w:beforeAutospacing="0" w:after="0" w:afterAutospacing="0" w:line="560" w:lineRule="exact"/>
              <w:ind w:left="0" w:right="0"/>
              <w:jc w:val="left"/>
              <w:rPr>
                <w:rFonts w:hint="default" w:ascii="宋体" w:hAnsi="宋体"/>
                <w:color w:val="auto"/>
                <w:szCs w:val="21"/>
                <w:highlight w:val="none"/>
              </w:rPr>
            </w:pPr>
            <w:r>
              <w:rPr>
                <w:rFonts w:hint="eastAsia" w:ascii="宋体" w:hAnsi="宋体"/>
                <w:color w:val="auto"/>
                <w:szCs w:val="21"/>
                <w:highlight w:val="none"/>
              </w:rPr>
              <w:t>工期</w:t>
            </w:r>
          </w:p>
        </w:tc>
        <w:tc>
          <w:tcPr>
            <w:tcW w:w="5016" w:type="dxa"/>
            <w:noWrap w:val="0"/>
            <w:vAlign w:val="center"/>
          </w:tcPr>
          <w:p w14:paraId="369795CC">
            <w:pPr>
              <w:keepNext w:val="0"/>
              <w:keepLines w:val="0"/>
              <w:suppressLineNumbers w:val="0"/>
              <w:shd w:val="clear"/>
              <w:adjustRightInd w:val="0"/>
              <w:snapToGrid w:val="0"/>
              <w:spacing w:before="0" w:beforeAutospacing="0" w:after="0" w:afterAutospacing="0" w:line="560" w:lineRule="exact"/>
              <w:ind w:left="0" w:right="0"/>
              <w:rPr>
                <w:rFonts w:hint="default" w:ascii="宋体" w:hAnsi="宋体"/>
                <w:color w:val="auto"/>
                <w:szCs w:val="21"/>
                <w:highlight w:val="none"/>
              </w:rPr>
            </w:pPr>
            <w:r>
              <w:rPr>
                <w:rFonts w:hint="eastAsia" w:ascii="宋体" w:hAnsi="宋体"/>
                <w:color w:val="auto"/>
                <w:szCs w:val="21"/>
                <w:highlight w:val="none"/>
              </w:rPr>
              <w:t>符合投标须知前附表规定。</w:t>
            </w:r>
          </w:p>
        </w:tc>
      </w:tr>
      <w:tr w14:paraId="70BEF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81" w:type="dxa"/>
            <w:vMerge w:val="continue"/>
            <w:noWrap w:val="0"/>
            <w:vAlign w:val="center"/>
          </w:tcPr>
          <w:p w14:paraId="02B4CD90">
            <w:pPr>
              <w:keepNext w:val="0"/>
              <w:keepLines w:val="0"/>
              <w:widowControl/>
              <w:suppressLineNumbers w:val="0"/>
              <w:shd w:val="clear"/>
              <w:adjustRightInd w:val="0"/>
              <w:snapToGrid w:val="0"/>
              <w:spacing w:before="0" w:beforeAutospacing="0" w:after="0" w:afterAutospacing="0" w:line="560" w:lineRule="exact"/>
              <w:ind w:left="0" w:right="0"/>
              <w:jc w:val="left"/>
              <w:rPr>
                <w:rFonts w:hint="default" w:ascii="宋体" w:hAnsi="宋体"/>
                <w:color w:val="auto"/>
                <w:szCs w:val="21"/>
                <w:highlight w:val="none"/>
              </w:rPr>
            </w:pPr>
          </w:p>
        </w:tc>
        <w:tc>
          <w:tcPr>
            <w:tcW w:w="780" w:type="dxa"/>
            <w:vMerge w:val="continue"/>
            <w:noWrap w:val="0"/>
            <w:vAlign w:val="center"/>
          </w:tcPr>
          <w:p w14:paraId="65B42786">
            <w:pPr>
              <w:keepNext w:val="0"/>
              <w:keepLines w:val="0"/>
              <w:widowControl/>
              <w:suppressLineNumbers w:val="0"/>
              <w:shd w:val="clear"/>
              <w:adjustRightInd w:val="0"/>
              <w:snapToGrid w:val="0"/>
              <w:spacing w:before="0" w:beforeAutospacing="0" w:after="0" w:afterAutospacing="0" w:line="560" w:lineRule="exact"/>
              <w:ind w:left="0" w:right="0"/>
              <w:jc w:val="left"/>
              <w:rPr>
                <w:rFonts w:hint="default" w:ascii="宋体" w:hAnsi="宋体"/>
                <w:color w:val="auto"/>
                <w:szCs w:val="21"/>
                <w:highlight w:val="none"/>
              </w:rPr>
            </w:pPr>
          </w:p>
        </w:tc>
        <w:tc>
          <w:tcPr>
            <w:tcW w:w="2831" w:type="dxa"/>
            <w:noWrap w:val="0"/>
            <w:vAlign w:val="center"/>
          </w:tcPr>
          <w:p w14:paraId="0C9E7DB2">
            <w:pPr>
              <w:keepNext w:val="0"/>
              <w:keepLines w:val="0"/>
              <w:suppressLineNumbers w:val="0"/>
              <w:shd w:val="clear"/>
              <w:adjustRightInd w:val="0"/>
              <w:snapToGrid w:val="0"/>
              <w:spacing w:before="0" w:beforeAutospacing="0" w:after="0" w:afterAutospacing="0" w:line="560" w:lineRule="exact"/>
              <w:ind w:left="0" w:right="0"/>
              <w:rPr>
                <w:rFonts w:hint="default" w:ascii="宋体" w:hAnsi="宋体"/>
                <w:color w:val="auto"/>
                <w:szCs w:val="21"/>
                <w:highlight w:val="none"/>
              </w:rPr>
            </w:pPr>
            <w:r>
              <w:rPr>
                <w:rFonts w:hint="eastAsia" w:ascii="宋体" w:hAnsi="宋体"/>
                <w:color w:val="auto"/>
                <w:szCs w:val="21"/>
                <w:highlight w:val="none"/>
              </w:rPr>
              <w:t>工程质量</w:t>
            </w:r>
          </w:p>
        </w:tc>
        <w:tc>
          <w:tcPr>
            <w:tcW w:w="5016" w:type="dxa"/>
            <w:noWrap w:val="0"/>
            <w:vAlign w:val="center"/>
          </w:tcPr>
          <w:p w14:paraId="4165C6B7">
            <w:pPr>
              <w:keepNext w:val="0"/>
              <w:keepLines w:val="0"/>
              <w:suppressLineNumbers w:val="0"/>
              <w:shd w:val="clear"/>
              <w:adjustRightInd w:val="0"/>
              <w:snapToGrid w:val="0"/>
              <w:spacing w:before="0" w:beforeAutospacing="0" w:after="0" w:afterAutospacing="0" w:line="560" w:lineRule="exact"/>
              <w:ind w:left="0" w:right="0"/>
              <w:rPr>
                <w:rFonts w:hint="default" w:ascii="宋体" w:hAnsi="宋体"/>
                <w:color w:val="auto"/>
                <w:szCs w:val="21"/>
                <w:highlight w:val="none"/>
              </w:rPr>
            </w:pPr>
            <w:r>
              <w:rPr>
                <w:rFonts w:hint="eastAsia" w:ascii="宋体" w:hAnsi="宋体"/>
                <w:color w:val="auto"/>
                <w:szCs w:val="21"/>
                <w:highlight w:val="none"/>
              </w:rPr>
              <w:t>符合投标须知前附表规定。</w:t>
            </w:r>
          </w:p>
        </w:tc>
      </w:tr>
      <w:tr w14:paraId="19698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81" w:type="dxa"/>
            <w:vMerge w:val="continue"/>
            <w:noWrap w:val="0"/>
            <w:vAlign w:val="center"/>
          </w:tcPr>
          <w:p w14:paraId="3CF18B13">
            <w:pPr>
              <w:keepNext w:val="0"/>
              <w:keepLines w:val="0"/>
              <w:widowControl/>
              <w:suppressLineNumbers w:val="0"/>
              <w:shd w:val="clear"/>
              <w:adjustRightInd w:val="0"/>
              <w:snapToGrid w:val="0"/>
              <w:spacing w:before="0" w:beforeAutospacing="0" w:after="0" w:afterAutospacing="0" w:line="560" w:lineRule="exact"/>
              <w:ind w:left="0" w:right="0"/>
              <w:jc w:val="left"/>
              <w:rPr>
                <w:rFonts w:hint="default" w:ascii="宋体" w:hAnsi="宋体"/>
                <w:color w:val="auto"/>
                <w:szCs w:val="21"/>
                <w:highlight w:val="none"/>
              </w:rPr>
            </w:pPr>
          </w:p>
        </w:tc>
        <w:tc>
          <w:tcPr>
            <w:tcW w:w="780" w:type="dxa"/>
            <w:vMerge w:val="continue"/>
            <w:noWrap w:val="0"/>
            <w:vAlign w:val="center"/>
          </w:tcPr>
          <w:p w14:paraId="174E7F99">
            <w:pPr>
              <w:keepNext w:val="0"/>
              <w:keepLines w:val="0"/>
              <w:widowControl/>
              <w:suppressLineNumbers w:val="0"/>
              <w:shd w:val="clear"/>
              <w:adjustRightInd w:val="0"/>
              <w:snapToGrid w:val="0"/>
              <w:spacing w:before="0" w:beforeAutospacing="0" w:after="0" w:afterAutospacing="0" w:line="560" w:lineRule="exact"/>
              <w:ind w:left="0" w:right="0"/>
              <w:jc w:val="left"/>
              <w:rPr>
                <w:rFonts w:hint="default" w:ascii="宋体" w:hAnsi="宋体"/>
                <w:color w:val="auto"/>
                <w:szCs w:val="21"/>
                <w:highlight w:val="none"/>
              </w:rPr>
            </w:pPr>
          </w:p>
        </w:tc>
        <w:tc>
          <w:tcPr>
            <w:tcW w:w="2831" w:type="dxa"/>
            <w:noWrap w:val="0"/>
            <w:vAlign w:val="center"/>
          </w:tcPr>
          <w:p w14:paraId="3C398398">
            <w:pPr>
              <w:keepNext w:val="0"/>
              <w:keepLines w:val="0"/>
              <w:suppressLineNumbers w:val="0"/>
              <w:shd w:val="clear"/>
              <w:adjustRightInd w:val="0"/>
              <w:snapToGrid w:val="0"/>
              <w:spacing w:before="0" w:beforeAutospacing="0" w:after="0" w:afterAutospacing="0" w:line="560" w:lineRule="exact"/>
              <w:ind w:left="0" w:right="0"/>
              <w:rPr>
                <w:rFonts w:hint="default" w:ascii="宋体" w:hAnsi="宋体"/>
                <w:color w:val="auto"/>
                <w:szCs w:val="21"/>
                <w:highlight w:val="none"/>
              </w:rPr>
            </w:pPr>
            <w:r>
              <w:rPr>
                <w:rFonts w:hint="eastAsia" w:ascii="宋体" w:hAnsi="宋体"/>
                <w:color w:val="auto"/>
                <w:szCs w:val="21"/>
                <w:highlight w:val="none"/>
              </w:rPr>
              <w:t>投标有效期</w:t>
            </w:r>
          </w:p>
        </w:tc>
        <w:tc>
          <w:tcPr>
            <w:tcW w:w="5016" w:type="dxa"/>
            <w:noWrap w:val="0"/>
            <w:vAlign w:val="center"/>
          </w:tcPr>
          <w:p w14:paraId="36B2E8B9">
            <w:pPr>
              <w:keepNext w:val="0"/>
              <w:keepLines w:val="0"/>
              <w:suppressLineNumbers w:val="0"/>
              <w:shd w:val="clear"/>
              <w:adjustRightInd w:val="0"/>
              <w:snapToGrid w:val="0"/>
              <w:spacing w:before="0" w:beforeAutospacing="0" w:after="0" w:afterAutospacing="0" w:line="560" w:lineRule="exact"/>
              <w:ind w:left="0" w:right="0"/>
              <w:rPr>
                <w:rFonts w:hint="default" w:ascii="宋体" w:hAnsi="宋体"/>
                <w:color w:val="auto"/>
                <w:szCs w:val="21"/>
                <w:highlight w:val="none"/>
              </w:rPr>
            </w:pPr>
            <w:r>
              <w:rPr>
                <w:rFonts w:hint="eastAsia" w:ascii="宋体" w:hAnsi="宋体"/>
                <w:color w:val="auto"/>
                <w:szCs w:val="21"/>
                <w:highlight w:val="none"/>
              </w:rPr>
              <w:t>符合投标须知前附表规定。</w:t>
            </w:r>
          </w:p>
        </w:tc>
      </w:tr>
      <w:tr w14:paraId="6CF82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81" w:type="dxa"/>
            <w:vMerge w:val="continue"/>
            <w:noWrap w:val="0"/>
            <w:vAlign w:val="center"/>
          </w:tcPr>
          <w:p w14:paraId="5E065BBA">
            <w:pPr>
              <w:keepNext w:val="0"/>
              <w:keepLines w:val="0"/>
              <w:suppressLineNumbers w:val="0"/>
              <w:shd w:val="clear"/>
              <w:adjustRightInd w:val="0"/>
              <w:snapToGrid w:val="0"/>
              <w:spacing w:before="0" w:beforeAutospacing="0" w:after="0" w:afterAutospacing="0" w:line="560" w:lineRule="exact"/>
              <w:ind w:left="0" w:right="0"/>
              <w:rPr>
                <w:rFonts w:hint="default" w:ascii="宋体" w:hAnsi="宋体"/>
                <w:color w:val="auto"/>
                <w:szCs w:val="21"/>
                <w:highlight w:val="none"/>
              </w:rPr>
            </w:pPr>
          </w:p>
        </w:tc>
        <w:tc>
          <w:tcPr>
            <w:tcW w:w="780" w:type="dxa"/>
            <w:vMerge w:val="continue"/>
            <w:noWrap w:val="0"/>
            <w:vAlign w:val="center"/>
          </w:tcPr>
          <w:p w14:paraId="4BB36C79">
            <w:pPr>
              <w:keepNext w:val="0"/>
              <w:keepLines w:val="0"/>
              <w:suppressLineNumbers w:val="0"/>
              <w:shd w:val="clear"/>
              <w:adjustRightInd w:val="0"/>
              <w:snapToGrid w:val="0"/>
              <w:spacing w:before="0" w:beforeAutospacing="0" w:after="0" w:afterAutospacing="0" w:line="560" w:lineRule="exact"/>
              <w:ind w:left="0" w:right="0"/>
              <w:rPr>
                <w:rFonts w:hint="default" w:ascii="宋体" w:hAnsi="宋体"/>
                <w:color w:val="auto"/>
                <w:szCs w:val="21"/>
                <w:highlight w:val="none"/>
              </w:rPr>
            </w:pPr>
          </w:p>
        </w:tc>
        <w:tc>
          <w:tcPr>
            <w:tcW w:w="2831" w:type="dxa"/>
            <w:noWrap w:val="0"/>
            <w:vAlign w:val="center"/>
          </w:tcPr>
          <w:p w14:paraId="35CE7FEC">
            <w:pPr>
              <w:keepNext w:val="0"/>
              <w:keepLines w:val="0"/>
              <w:suppressLineNumbers w:val="0"/>
              <w:shd w:val="clear"/>
              <w:adjustRightInd w:val="0"/>
              <w:snapToGrid w:val="0"/>
              <w:spacing w:before="0" w:beforeAutospacing="0" w:after="0" w:afterAutospacing="0" w:line="560" w:lineRule="exact"/>
              <w:ind w:left="0" w:right="0"/>
              <w:rPr>
                <w:rFonts w:hint="default" w:ascii="宋体" w:hAnsi="宋体"/>
                <w:color w:val="auto"/>
                <w:szCs w:val="21"/>
                <w:highlight w:val="none"/>
              </w:rPr>
            </w:pPr>
            <w:r>
              <w:rPr>
                <w:rFonts w:hint="eastAsia" w:ascii="宋体" w:hAnsi="宋体"/>
                <w:color w:val="auto"/>
                <w:szCs w:val="21"/>
                <w:highlight w:val="none"/>
              </w:rPr>
              <w:t>工程成本评审</w:t>
            </w:r>
          </w:p>
        </w:tc>
        <w:tc>
          <w:tcPr>
            <w:tcW w:w="5016" w:type="dxa"/>
            <w:noWrap w:val="0"/>
            <w:vAlign w:val="center"/>
          </w:tcPr>
          <w:p w14:paraId="04B57A77">
            <w:pPr>
              <w:keepNext w:val="0"/>
              <w:keepLines w:val="0"/>
              <w:suppressLineNumbers w:val="0"/>
              <w:shd w:val="clear"/>
              <w:adjustRightInd w:val="0"/>
              <w:snapToGrid w:val="0"/>
              <w:spacing w:before="0" w:beforeAutospacing="0" w:after="0" w:afterAutospacing="0" w:line="560" w:lineRule="exact"/>
              <w:ind w:left="0" w:right="0"/>
              <w:rPr>
                <w:rFonts w:hint="eastAsia" w:ascii="宋体" w:hAnsi="宋体" w:eastAsia="宋体"/>
                <w:color w:val="auto"/>
                <w:spacing w:val="-6"/>
                <w:szCs w:val="21"/>
                <w:highlight w:val="none"/>
                <w:lang w:eastAsia="zh-CN"/>
              </w:rPr>
            </w:pPr>
            <w:r>
              <w:rPr>
                <w:rFonts w:hint="eastAsia"/>
                <w:color w:val="auto"/>
                <w:highlight w:val="none"/>
              </w:rPr>
              <w:t>投标报价</w:t>
            </w:r>
            <w:r>
              <w:rPr>
                <w:rFonts w:hint="eastAsia" w:ascii="宋体" w:hAnsi="宋体"/>
                <w:color w:val="auto"/>
                <w:szCs w:val="21"/>
                <w:highlight w:val="none"/>
              </w:rPr>
              <w:t>低于同一工程</w:t>
            </w:r>
            <w:r>
              <w:rPr>
                <w:rFonts w:hint="eastAsia"/>
                <w:color w:val="auto"/>
                <w:highlight w:val="none"/>
              </w:rPr>
              <w:t>投标报价</w:t>
            </w:r>
            <w:r>
              <w:rPr>
                <w:rFonts w:hint="eastAsia" w:ascii="宋体" w:hAnsi="宋体"/>
                <w:color w:val="auto"/>
                <w:szCs w:val="21"/>
                <w:highlight w:val="none"/>
              </w:rPr>
              <w:t>平均值10%以上的，由评标委员会重点评审后界定其报价是否低于工程成本。</w:t>
            </w:r>
          </w:p>
        </w:tc>
      </w:tr>
      <w:tr w14:paraId="5637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9" w:hRule="atLeast"/>
          <w:jc w:val="center"/>
        </w:trPr>
        <w:tc>
          <w:tcPr>
            <w:tcW w:w="881" w:type="dxa"/>
            <w:noWrap w:val="0"/>
            <w:vAlign w:val="center"/>
          </w:tcPr>
          <w:p w14:paraId="47FA777E">
            <w:pPr>
              <w:keepNext w:val="0"/>
              <w:keepLines w:val="0"/>
              <w:suppressLineNumbers w:val="0"/>
              <w:shd w:val="clear"/>
              <w:adjustRightInd w:val="0"/>
              <w:snapToGrid w:val="0"/>
              <w:spacing w:before="0" w:beforeAutospacing="0" w:after="0" w:afterAutospacing="0" w:line="560" w:lineRule="exact"/>
              <w:ind w:left="0" w:right="0"/>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7.1</w:t>
            </w:r>
          </w:p>
        </w:tc>
        <w:tc>
          <w:tcPr>
            <w:tcW w:w="780" w:type="dxa"/>
            <w:noWrap w:val="0"/>
            <w:vAlign w:val="center"/>
          </w:tcPr>
          <w:p w14:paraId="5BFB92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w:t>
            </w:r>
          </w:p>
          <w:p w14:paraId="01D72D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评分</w:t>
            </w:r>
          </w:p>
          <w:p w14:paraId="5F195A8D">
            <w:pPr>
              <w:keepNext w:val="0"/>
              <w:keepLines w:val="0"/>
              <w:suppressLineNumbers w:val="0"/>
              <w:shd w:val="clear"/>
              <w:adjustRightInd w:val="0"/>
              <w:snapToGrid w:val="0"/>
              <w:spacing w:before="0" w:beforeAutospacing="0" w:after="0" w:afterAutospacing="0" w:line="560" w:lineRule="exact"/>
              <w:ind w:left="0" w:right="0"/>
              <w:rPr>
                <w:rFonts w:hint="eastAsia" w:ascii="宋体" w:hAnsi="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40</w:t>
            </w:r>
            <w:r>
              <w:rPr>
                <w:rFonts w:hint="eastAsia" w:ascii="宋体" w:hAnsi="宋体" w:eastAsia="宋体" w:cs="宋体"/>
                <w:color w:val="auto"/>
                <w:szCs w:val="21"/>
                <w:highlight w:val="none"/>
              </w:rPr>
              <w:t>分）</w:t>
            </w:r>
          </w:p>
        </w:tc>
        <w:tc>
          <w:tcPr>
            <w:tcW w:w="7847" w:type="dxa"/>
            <w:gridSpan w:val="2"/>
            <w:noWrap w:val="0"/>
            <w:vAlign w:val="center"/>
          </w:tcPr>
          <w:p w14:paraId="635458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该部分商务标评分按下列步骤计算：</w:t>
            </w:r>
          </w:p>
          <w:p w14:paraId="3053B3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第一步：计算B值。</w:t>
            </w:r>
          </w:p>
          <w:p w14:paraId="61C983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①B值为计算范围内有效投标人报价的算术平均值。</w:t>
            </w:r>
          </w:p>
          <w:p w14:paraId="5D4933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第二步：计算评标基准价F值。</w:t>
            </w:r>
          </w:p>
          <w:p w14:paraId="0E8056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①F=B×（1-K），其中K为调整系数，K的取值为-0.5%（1号），0%（2号），0.5%（3号），1.0%（4号），1.5%（5号）。</w:t>
            </w:r>
          </w:p>
          <w:p w14:paraId="0EC7B5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第三步：计算报价偏差率。</w:t>
            </w:r>
          </w:p>
          <w:p w14:paraId="441D1243">
            <w:pPr>
              <w:keepNext w:val="0"/>
              <w:keepLines w:val="0"/>
              <w:suppressLineNumbers w:val="0"/>
              <w:kinsoku/>
              <w:wordWrap/>
              <w:overflowPunct/>
              <w:topLinePunct w:val="0"/>
              <w:autoSpaceDE/>
              <w:autoSpaceDN/>
              <w:bidi w:val="0"/>
              <w:spacing w:before="0" w:beforeAutospacing="0" w:after="0" w:afterAutospacing="0" w:line="440" w:lineRule="exact"/>
              <w:ind w:left="0" w:right="0"/>
              <w:rPr>
                <w:rFonts w:hint="eastAsia" w:ascii="宋体" w:hAnsi="宋体" w:eastAsia="宋体" w:cs="宋体"/>
                <w:color w:val="auto"/>
                <w:szCs w:val="21"/>
                <w:highlight w:val="none"/>
              </w:rPr>
            </w:pPr>
            <w:r>
              <w:rPr>
                <w:rFonts w:hint="eastAsia" w:ascii="宋体" w:hAnsi="宋体" w:cs="宋体"/>
                <w:color w:val="auto"/>
                <w:szCs w:val="21"/>
                <w:highlight w:val="none"/>
              </w:rPr>
              <w:t>①偏差率=|（投标报价-评标基</w:t>
            </w:r>
            <w:r>
              <w:rPr>
                <w:rFonts w:hint="eastAsia" w:ascii="宋体" w:hAnsi="宋体" w:eastAsia="宋体" w:cs="宋体"/>
                <w:color w:val="auto"/>
                <w:szCs w:val="21"/>
                <w:highlight w:val="none"/>
              </w:rPr>
              <w:t>准价）/评标基准价|×100%</w:t>
            </w:r>
          </w:p>
          <w:p w14:paraId="581373B0">
            <w:pPr>
              <w:keepNext w:val="0"/>
              <w:keepLines w:val="0"/>
              <w:suppressLineNumbers w:val="0"/>
              <w:kinsoku/>
              <w:wordWrap/>
              <w:overflowPunct/>
              <w:topLinePunct w:val="0"/>
              <w:autoSpaceDE/>
              <w:autoSpaceDN/>
              <w:bidi w:val="0"/>
              <w:spacing w:before="0" w:beforeAutospacing="0" w:after="0" w:afterAutospacing="0" w:line="440" w:lineRule="exact"/>
              <w:ind w:left="0" w:right="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第四步：计算报价得分</w:t>
            </w:r>
          </w:p>
          <w:p w14:paraId="3B7B820B">
            <w:pPr>
              <w:keepNext w:val="0"/>
              <w:keepLines w:val="0"/>
              <w:suppressLineNumbers w:val="0"/>
              <w:kinsoku/>
              <w:wordWrap/>
              <w:overflowPunct/>
              <w:topLinePunct w:val="0"/>
              <w:autoSpaceDE/>
              <w:autoSpaceDN/>
              <w:bidi w:val="0"/>
              <w:spacing w:before="0" w:beforeAutospacing="0" w:after="0" w:afterAutospacing="0" w:line="4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①投标报价等于评标基准价的得满分。</w:t>
            </w:r>
          </w:p>
          <w:p w14:paraId="6BEF603F">
            <w:pPr>
              <w:keepNext w:val="0"/>
              <w:keepLines w:val="0"/>
              <w:suppressLineNumbers w:val="0"/>
              <w:kinsoku/>
              <w:wordWrap/>
              <w:overflowPunct/>
              <w:topLinePunct w:val="0"/>
              <w:autoSpaceDE/>
              <w:autoSpaceDN/>
              <w:bidi w:val="0"/>
              <w:spacing w:before="0" w:beforeAutospacing="0" w:after="0" w:afterAutospacing="0" w:line="4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②投标报价高于评标基准价的，投标报价得分=报价满分值-偏差率×100×1</w:t>
            </w:r>
          </w:p>
          <w:p w14:paraId="55DA65A8">
            <w:pPr>
              <w:keepNext w:val="0"/>
              <w:keepLines w:val="0"/>
              <w:suppressLineNumbers w:val="0"/>
              <w:kinsoku/>
              <w:wordWrap/>
              <w:overflowPunct/>
              <w:topLinePunct w:val="0"/>
              <w:autoSpaceDE/>
              <w:autoSpaceDN/>
              <w:bidi w:val="0"/>
              <w:spacing w:before="0" w:beforeAutospacing="0" w:after="0" w:afterAutospacing="0" w:line="4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③投标报价低于评标基准价的，投标报价得分=报价满分值-偏差率×100×0.5</w:t>
            </w:r>
          </w:p>
          <w:p w14:paraId="36C734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jc w:val="left"/>
              <w:textAlignment w:val="auto"/>
              <w:rPr>
                <w:rFonts w:hint="eastAsia" w:ascii="宋体" w:hAnsi="宋体"/>
                <w:color w:val="auto"/>
                <w:szCs w:val="21"/>
                <w:highlight w:val="none"/>
              </w:rPr>
            </w:pPr>
            <w:r>
              <w:rPr>
                <w:rFonts w:hint="eastAsia" w:ascii="宋体" w:hAnsi="宋体" w:cs="宋体"/>
                <w:b/>
                <w:color w:val="auto"/>
                <w:szCs w:val="21"/>
                <w:highlight w:val="none"/>
              </w:rPr>
              <w:t>注：</w:t>
            </w:r>
            <w:r>
              <w:rPr>
                <w:rFonts w:hint="eastAsia" w:ascii="宋体" w:hAnsi="宋体" w:cs="宋体"/>
                <w:b/>
                <w:color w:val="auto"/>
                <w:szCs w:val="21"/>
                <w:highlight w:val="none"/>
                <w:lang w:val="en-US" w:eastAsia="zh-CN"/>
              </w:rPr>
              <w:t>该部分</w:t>
            </w:r>
            <w:r>
              <w:rPr>
                <w:rFonts w:hint="eastAsia" w:ascii="宋体" w:hAnsi="宋体" w:cs="宋体"/>
                <w:b/>
                <w:color w:val="auto"/>
                <w:szCs w:val="21"/>
                <w:highlight w:val="none"/>
              </w:rPr>
              <w:t>计算过程中，B值、评标基准价F值、偏差率、报价得分均保留两位小数，小数点后第三位四舍五入。</w:t>
            </w:r>
          </w:p>
        </w:tc>
      </w:tr>
    </w:tbl>
    <w:p w14:paraId="5FE8A723">
      <w:pPr>
        <w:shd w:val="clear"/>
        <w:adjustRightInd w:val="0"/>
        <w:snapToGrid w:val="0"/>
        <w:spacing w:line="560" w:lineRule="exact"/>
        <w:ind w:firstLine="316" w:firstLineChars="150"/>
        <w:rPr>
          <w:rFonts w:hint="eastAsia" w:ascii="黑体" w:hAnsi="黑体" w:eastAsia="黑体" w:cs="黑体"/>
          <w:b/>
          <w:color w:val="auto"/>
          <w:szCs w:val="21"/>
          <w:highlight w:val="none"/>
        </w:rPr>
      </w:pPr>
      <w:r>
        <w:rPr>
          <w:rFonts w:hint="eastAsia" w:ascii="黑体" w:hAnsi="黑体" w:eastAsia="黑体" w:cs="黑体"/>
          <w:b/>
          <w:color w:val="auto"/>
          <w:szCs w:val="21"/>
          <w:highlight w:val="none"/>
        </w:rPr>
        <w:t>商务标评审表注：</w:t>
      </w:r>
    </w:p>
    <w:p w14:paraId="198E3E65">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、只有通过详细评审的投标人才能参加评分。</w:t>
      </w:r>
    </w:p>
    <w:p w14:paraId="3E333F4A">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、本表所称投标报价是指按招标文件规定修正后的投标总报价（多算投标报价、多报费用不扣减）。</w:t>
      </w:r>
    </w:p>
    <w:p w14:paraId="2D0AEB44">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、B值计算方法：</w:t>
      </w:r>
    </w:p>
    <w:p w14:paraId="01542754">
      <w:pPr>
        <w:kinsoku/>
        <w:wordWrap/>
        <w:overflowPunct/>
        <w:topLinePunct w:val="0"/>
        <w:autoSpaceDE/>
        <w:autoSpaceDN/>
        <w:bidi w:val="0"/>
        <w:adjustRightInd w:val="0"/>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（1）本项目T取值为10。</w:t>
      </w:r>
    </w:p>
    <w:p w14:paraId="1B8F82AD">
      <w:pPr>
        <w:kinsoku/>
        <w:wordWrap/>
        <w:overflowPunct/>
        <w:topLinePunct w:val="0"/>
        <w:autoSpaceDE/>
        <w:autoSpaceDN/>
        <w:bidi w:val="0"/>
        <w:adjustRightInd w:val="0"/>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（2）资信技术合计分值大于等于所有通过（资信、技术、商务）详细评审有效投标人资信技术平均分值的投标人数量为M。</w:t>
      </w:r>
    </w:p>
    <w:p w14:paraId="1C22B4CB">
      <w:pPr>
        <w:kinsoku/>
        <w:wordWrap/>
        <w:overflowPunct/>
        <w:topLinePunct w:val="0"/>
        <w:autoSpaceDE/>
        <w:autoSpaceDN/>
        <w:bidi w:val="0"/>
        <w:adjustRightInd w:val="0"/>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（3）若M 未超过 T 时，B 值为符合上述条件的 M 个投标人投标报价的算术平均值。</w:t>
      </w:r>
    </w:p>
    <w:p w14:paraId="77773020">
      <w:pPr>
        <w:kinsoku/>
        <w:wordWrap/>
        <w:overflowPunct/>
        <w:topLinePunct w:val="0"/>
        <w:autoSpaceDE/>
        <w:autoSpaceDN/>
        <w:bidi w:val="0"/>
        <w:adjustRightInd w:val="0"/>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（4）若M 超过 T 时，B 值为符合上述条件的 M 个投标人投标报价中去除(M-T)/2【M-T 为奇数时，则为(M-T+1)/2】个最高价和(M-T)/2【M-T 为奇数时，则为(M-T-1)/2】个最低价后，剩余有效投标报价的算术平均值（如去高去低的最后一名存在报价相同的，则通过随机抽取确定被去除的投标人。只保留T个投标人的投标报价）。</w:t>
      </w:r>
    </w:p>
    <w:p w14:paraId="1416E79F">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、K值（评标基准价系数）的抽取：资信标、技术标、商务标评审完成后，</w:t>
      </w:r>
      <w:r>
        <w:rPr>
          <w:rFonts w:hint="eastAsia" w:ascii="宋体" w:hAnsi="宋体" w:eastAsia="宋体" w:cs="宋体"/>
          <w:kern w:val="2"/>
          <w:sz w:val="21"/>
          <w:szCs w:val="21"/>
          <w:highlight w:val="none"/>
          <w:lang w:val="en-US" w:eastAsia="zh-CN" w:bidi="ar-SA"/>
        </w:rPr>
        <w:t>由评标委员会主任委员或招标人现场随机</w:t>
      </w:r>
      <w:r>
        <w:rPr>
          <w:rFonts w:hint="eastAsia" w:ascii="宋体" w:hAnsi="宋体" w:eastAsia="宋体" w:cs="宋体"/>
          <w:color w:val="auto"/>
          <w:szCs w:val="21"/>
          <w:highlight w:val="none"/>
        </w:rPr>
        <w:t>抽取K值，并根据抽取的K值计算F值，评标办法中的评标基准价计算出来后，除数字计算错误外，其他情况均不再调整。</w:t>
      </w:r>
    </w:p>
    <w:p w14:paraId="19C921B3">
      <w:pPr>
        <w:widowControl/>
        <w:adjustRightInd w:val="0"/>
        <w:snapToGrid w:val="0"/>
        <w:spacing w:line="560" w:lineRule="exact"/>
        <w:ind w:firstLine="420" w:firstLineChars="200"/>
        <w:jc w:val="left"/>
        <w:rPr>
          <w:rFonts w:hint="eastAsia" w:ascii="宋体" w:hAnsi="宋体" w:cs="宋体"/>
          <w:color w:val="000000"/>
          <w:szCs w:val="21"/>
          <w:highlight w:val="none"/>
        </w:rPr>
      </w:pPr>
      <w:r>
        <w:rPr>
          <w:rFonts w:hint="eastAsia"/>
          <w:highlight w:val="none"/>
          <w:lang w:val="en-US" w:eastAsia="zh-CN"/>
        </w:rPr>
        <w:t>5、</w:t>
      </w:r>
      <w:r>
        <w:rPr>
          <w:rFonts w:hint="eastAsia" w:ascii="宋体" w:hAnsi="宋体" w:cs="宋体"/>
          <w:color w:val="000000"/>
          <w:szCs w:val="21"/>
          <w:highlight w:val="none"/>
        </w:rPr>
        <w:t>投标人（如投标人为联合体，联合体各方均需提供）</w:t>
      </w:r>
      <w:r>
        <w:rPr>
          <w:rFonts w:hint="default" w:ascii="宋体" w:hAnsi="宋体" w:eastAsia="宋体" w:cs="宋体"/>
          <w:b w:val="0"/>
          <w:bCs w:val="0"/>
          <w:color w:val="000000"/>
          <w:sz w:val="21"/>
          <w:szCs w:val="21"/>
          <w:highlight w:val="none"/>
          <w:lang w:val="en-US" w:eastAsia="zh-CN"/>
        </w:rPr>
        <w:t>的注册建造师必须满足相应建筑业企业资质标准要求，评标委员会在评审时，将对此进行评审。投标单位（如投标人为联合体，</w:t>
      </w:r>
      <w:r>
        <w:rPr>
          <w:rFonts w:hint="eastAsia" w:ascii="宋体" w:hAnsi="宋体" w:cs="宋体"/>
          <w:color w:val="000000"/>
          <w:szCs w:val="21"/>
          <w:highlight w:val="none"/>
        </w:rPr>
        <w:t>联合体各方均需提供</w:t>
      </w:r>
      <w:r>
        <w:rPr>
          <w:rFonts w:hint="default" w:ascii="宋体" w:hAnsi="宋体" w:eastAsia="宋体" w:cs="宋体"/>
          <w:b w:val="0"/>
          <w:bCs w:val="0"/>
          <w:color w:val="000000"/>
          <w:sz w:val="21"/>
          <w:szCs w:val="21"/>
          <w:highlight w:val="none"/>
          <w:lang w:val="en-US" w:eastAsia="zh-CN"/>
        </w:rPr>
        <w:t>）应在商务标文件中提供全国建筑市场监管公共服务平台(四库一平台)企业注册人员网页截图，并在投标函中承诺，</w:t>
      </w:r>
      <w:r>
        <w:rPr>
          <w:rFonts w:hint="eastAsia" w:ascii="宋体" w:hAnsi="宋体" w:eastAsia="宋体" w:cs="宋体"/>
          <w:b w:val="0"/>
          <w:bCs w:val="0"/>
          <w:color w:val="000000"/>
          <w:sz w:val="21"/>
          <w:szCs w:val="21"/>
          <w:highlight w:val="none"/>
          <w:lang w:val="en-US" w:eastAsia="zh-CN"/>
        </w:rPr>
        <w:t>承诺本单位（如投标人为联合体，联合体各方）现有注册建造师专业、数量满足《建筑业企业资质标准》及有关文件中对应资质等级标准要求等内容。</w:t>
      </w:r>
      <w:r>
        <w:rPr>
          <w:rFonts w:hint="eastAsia" w:ascii="宋体" w:hAnsi="宋体" w:eastAsia="宋体" w:cs="宋体"/>
          <w:b/>
          <w:bCs/>
          <w:color w:val="000000"/>
          <w:sz w:val="21"/>
          <w:szCs w:val="21"/>
          <w:highlight w:val="none"/>
          <w:lang w:val="en-US" w:eastAsia="zh-CN"/>
        </w:rPr>
        <w:t>未提供相关截图或承诺的，提供的相关截图或承诺未体现注册建造师满足相应建筑业企业资质标准要求的，按无效标处理。</w:t>
      </w:r>
    </w:p>
    <w:p w14:paraId="59E5148A">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1.评标方法</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14:paraId="2AE84BFC">
      <w:pPr>
        <w:adjustRightInd w:val="0"/>
        <w:snapToGrid w:val="0"/>
        <w:spacing w:line="560" w:lineRule="exact"/>
        <w:ind w:firstLine="420" w:firstLineChars="200"/>
        <w:rPr>
          <w:rFonts w:hint="eastAsia" w:ascii="宋体" w:hAnsi="宋体" w:eastAsia="宋体" w:cs="宋体"/>
          <w:color w:val="000000"/>
          <w:szCs w:val="21"/>
          <w:highlight w:val="none"/>
        </w:rPr>
      </w:pPr>
      <w:bookmarkStart w:id="791" w:name="_Toc324404873"/>
      <w:bookmarkStart w:id="792" w:name="_Toc35424948"/>
      <w:bookmarkStart w:id="793" w:name="_Toc11945"/>
      <w:bookmarkStart w:id="794" w:name="_Toc506107325"/>
      <w:bookmarkStart w:id="795" w:name="_Toc78803382"/>
      <w:bookmarkStart w:id="796" w:name="_Toc15058914"/>
      <w:bookmarkStart w:id="797" w:name="_Toc35425114"/>
      <w:bookmarkStart w:id="798" w:name="_Toc247085748"/>
      <w:bookmarkStart w:id="799" w:name="_Toc152045590"/>
      <w:bookmarkStart w:id="800" w:name="_Toc296602478"/>
      <w:bookmarkStart w:id="801" w:name="_Toc179632608"/>
      <w:bookmarkStart w:id="802" w:name="_Toc152042367"/>
      <w:bookmarkStart w:id="803" w:name="_Toc246996233"/>
      <w:bookmarkStart w:id="804" w:name="_Toc246996976"/>
      <w:bookmarkStart w:id="805" w:name="_Toc144974557"/>
      <w:r>
        <w:rPr>
          <w:rFonts w:hint="eastAsia" w:ascii="宋体" w:hAnsi="宋体" w:eastAsia="宋体" w:cs="宋体"/>
          <w:color w:val="000000"/>
          <w:szCs w:val="21"/>
          <w:highlight w:val="none"/>
        </w:rPr>
        <w:t>本次评标采用综合评估法。评标委员会对满足招标文件实质性要求的投标文件，按照本章规定的评分标准计算得分，并按总得分由高到低顺序推荐中标候选人（3名），并标明排序，但投标报价低于其成本的除外。如总得分相等，以投标报价低的优先，投标报价仍相等，由评标委员会主任委员随机抽取确定排名。</w:t>
      </w:r>
    </w:p>
    <w:p w14:paraId="53F28D04">
      <w:pPr>
        <w:widowControl/>
        <w:adjustRightInd w:val="0"/>
        <w:snapToGrid w:val="0"/>
        <w:spacing w:line="560" w:lineRule="exact"/>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（1）根据评标委员会评审初步结论，项目单位（代理机构）对预中标候选人</w:t>
      </w:r>
      <w:r>
        <w:rPr>
          <w:rFonts w:hint="eastAsia" w:ascii="Times New Roman" w:hAnsi="Times New Roman"/>
          <w:smallCaps w:val="0"/>
          <w:highlight w:val="none"/>
        </w:rPr>
        <w:t>（包括联合体各成员）</w:t>
      </w:r>
      <w:r>
        <w:rPr>
          <w:rFonts w:hint="eastAsia" w:ascii="宋体" w:hAnsi="宋体" w:cs="宋体"/>
          <w:color w:val="000000"/>
          <w:szCs w:val="21"/>
          <w:highlight w:val="none"/>
        </w:rPr>
        <w:t>是否存在招标文件要求查询的失信行为进行网上核查后，提交网站截图等查询记录给评标委员会复核。若核查结果不符合招标文件规定的投标人资格条件信誉要求，由评标委员会取消其预中标候选人资格，并依次替补，再次对替补单位进行核查。如评标现场未发现问题但标后质疑（异议）、投诉发现中标候选人</w:t>
      </w:r>
      <w:r>
        <w:rPr>
          <w:rFonts w:hint="eastAsia" w:ascii="Times New Roman" w:hAnsi="Times New Roman"/>
          <w:smallCaps w:val="0"/>
          <w:highlight w:val="none"/>
        </w:rPr>
        <w:t>（包括联合体各成员）</w:t>
      </w:r>
      <w:r>
        <w:rPr>
          <w:rFonts w:hint="eastAsia" w:ascii="宋体" w:hAnsi="宋体" w:cs="宋体"/>
          <w:color w:val="000000"/>
          <w:szCs w:val="21"/>
          <w:highlight w:val="none"/>
        </w:rPr>
        <w:t>存在信誉问题，则组织评标委员会重新启动复核程序。核查结果不改变原评标基准价。</w:t>
      </w:r>
    </w:p>
    <w:p w14:paraId="4E3865BA">
      <w:pPr>
        <w:wordWrap w:val="0"/>
        <w:adjustRightInd w:val="0"/>
        <w:snapToGrid w:val="0"/>
        <w:spacing w:line="560" w:lineRule="exact"/>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（2）评标委员会登录全国建筑市场监管公共服务平台(四库</w:t>
      </w:r>
      <w:r>
        <w:rPr>
          <w:rFonts w:hint="eastAsia" w:ascii="宋体" w:hAnsi="宋体" w:cs="宋体"/>
          <w:color w:val="000000"/>
          <w:szCs w:val="21"/>
          <w:highlight w:val="none"/>
          <w:lang w:eastAsia="zh-CN"/>
        </w:rPr>
        <w:t>一</w:t>
      </w:r>
      <w:r>
        <w:rPr>
          <w:rFonts w:hint="eastAsia" w:ascii="宋体" w:hAnsi="宋体" w:cs="宋体"/>
          <w:color w:val="000000"/>
          <w:szCs w:val="21"/>
          <w:highlight w:val="none"/>
        </w:rPr>
        <w:t>平台)https://jzsc.mohurd.gov.cn/home 进行实时查询，并结合《住房城乡建设部关于进一步加强建设工程企业资质审批管理工作的通知》（建市规〔2023〕3号）、《住房和城乡建设部办公厅关于建设工程企业资质有关事项的通知》（建办市函〔2022〕361号）和安徽省住建厅《关于建设工程企业资质有关事宜的通知》（建市函〔2022〕748 号），对中标候选人的关系企业履约能力的建造师数量进行评审：</w:t>
      </w:r>
    </w:p>
    <w:p w14:paraId="385D7827">
      <w:pPr>
        <w:widowControl/>
        <w:adjustRightInd w:val="0"/>
        <w:snapToGrid w:val="0"/>
        <w:spacing w:line="560" w:lineRule="exact"/>
        <w:ind w:firstLine="420" w:firstLineChars="200"/>
        <w:jc w:val="left"/>
        <w:rPr>
          <w:rFonts w:ascii="宋体" w:hAnsi="宋体" w:cs="宋体"/>
          <w:color w:val="auto"/>
          <w:szCs w:val="21"/>
          <w:highlight w:val="none"/>
        </w:rPr>
      </w:pPr>
      <w:r>
        <w:rPr>
          <w:rFonts w:hint="eastAsia" w:ascii="仿宋_GB2312" w:hAnsi="宋体" w:eastAsia="仿宋_GB2312" w:cs="宋体"/>
          <w:color w:val="auto"/>
          <w:szCs w:val="21"/>
          <w:highlight w:val="none"/>
        </w:rPr>
        <w:t>①</w:t>
      </w:r>
      <w:r>
        <w:rPr>
          <w:rFonts w:hint="eastAsia" w:ascii="宋体" w:hAnsi="宋体" w:eastAsia="宋体" w:cs="宋体"/>
          <w:color w:val="auto"/>
          <w:szCs w:val="21"/>
          <w:highlight w:val="none"/>
        </w:rPr>
        <w:t>电力工程施工总承包</w:t>
      </w:r>
      <w:r>
        <w:rPr>
          <w:rFonts w:hint="eastAsia" w:ascii="宋体" w:hAnsi="宋体" w:cs="宋体"/>
          <w:color w:val="auto"/>
          <w:szCs w:val="21"/>
          <w:highlight w:val="none"/>
        </w:rPr>
        <w:t>特级资质企业：注册一级建造师 50人以上。</w:t>
      </w:r>
    </w:p>
    <w:p w14:paraId="7BA92AD1">
      <w:pPr>
        <w:widowControl/>
        <w:adjustRightInd w:val="0"/>
        <w:snapToGrid w:val="0"/>
        <w:spacing w:line="560" w:lineRule="exact"/>
        <w:ind w:firstLine="420" w:firstLineChars="200"/>
        <w:jc w:val="left"/>
        <w:rPr>
          <w:rFonts w:ascii="宋体" w:hAnsi="宋体" w:cs="宋体"/>
          <w:color w:val="auto"/>
          <w:szCs w:val="21"/>
          <w:highlight w:val="none"/>
        </w:rPr>
      </w:pPr>
      <w:r>
        <w:rPr>
          <w:rFonts w:hint="eastAsia" w:ascii="仿宋_GB2312" w:hAnsi="宋体" w:eastAsia="仿宋_GB2312" w:cs="宋体"/>
          <w:color w:val="auto"/>
          <w:szCs w:val="21"/>
          <w:highlight w:val="none"/>
        </w:rPr>
        <w:t>②</w:t>
      </w:r>
      <w:r>
        <w:rPr>
          <w:rFonts w:hint="eastAsia" w:ascii="宋体" w:hAnsi="宋体" w:eastAsia="宋体" w:cs="宋体"/>
          <w:color w:val="auto"/>
          <w:szCs w:val="21"/>
          <w:highlight w:val="none"/>
        </w:rPr>
        <w:t>电力工程施工总承包</w:t>
      </w:r>
      <w:r>
        <w:rPr>
          <w:rFonts w:hint="eastAsia" w:ascii="宋体" w:hAnsi="宋体" w:cs="宋体"/>
          <w:color w:val="auto"/>
          <w:szCs w:val="21"/>
          <w:highlight w:val="none"/>
        </w:rPr>
        <w:t>壹级资质企业：</w:t>
      </w:r>
      <w:r>
        <w:rPr>
          <w:rFonts w:hint="eastAsia" w:ascii="宋体" w:hAnsi="宋体" w:eastAsia="宋体" w:cs="宋体"/>
          <w:color w:val="auto"/>
          <w:szCs w:val="21"/>
          <w:highlight w:val="none"/>
          <w:lang w:val="en-US" w:eastAsia="zh-CN"/>
        </w:rPr>
        <w:t>机电工程专业一级注册建造师不少于1</w:t>
      </w:r>
      <w:r>
        <w:rPr>
          <w:rFonts w:hint="eastAsia" w:ascii="宋体" w:hAnsi="宋体" w:eastAsia="宋体" w:cs="宋体"/>
          <w:color w:val="auto"/>
          <w:szCs w:val="21"/>
          <w:highlight w:val="none"/>
        </w:rPr>
        <w:t>5人</w:t>
      </w:r>
      <w:r>
        <w:rPr>
          <w:rFonts w:hint="eastAsia" w:ascii="宋体" w:hAnsi="宋体" w:cs="宋体"/>
          <w:color w:val="auto"/>
          <w:szCs w:val="21"/>
          <w:highlight w:val="none"/>
        </w:rPr>
        <w:t>。</w:t>
      </w:r>
    </w:p>
    <w:p w14:paraId="1C68D453">
      <w:pPr>
        <w:widowControl/>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仿宋_GB2312" w:hAnsi="宋体" w:eastAsia="仿宋_GB2312" w:cs="宋体"/>
          <w:color w:val="auto"/>
          <w:szCs w:val="21"/>
          <w:highlight w:val="none"/>
        </w:rPr>
        <w:t>③</w:t>
      </w:r>
      <w:r>
        <w:rPr>
          <w:rFonts w:hint="eastAsia" w:ascii="宋体" w:hAnsi="宋体" w:eastAsia="宋体" w:cs="宋体"/>
          <w:color w:val="auto"/>
          <w:szCs w:val="21"/>
          <w:highlight w:val="none"/>
        </w:rPr>
        <w:t>电力工程施工总承包</w:t>
      </w:r>
      <w:r>
        <w:rPr>
          <w:rFonts w:hint="eastAsia" w:ascii="宋体" w:hAnsi="宋体" w:cs="宋体"/>
          <w:color w:val="auto"/>
          <w:szCs w:val="21"/>
          <w:highlight w:val="none"/>
        </w:rPr>
        <w:t>贰级、叁级资质企业：</w:t>
      </w:r>
      <w:r>
        <w:rPr>
          <w:rFonts w:hint="eastAsia" w:ascii="宋体" w:hAnsi="宋体" w:eastAsia="宋体" w:cs="宋体"/>
          <w:color w:val="auto"/>
          <w:szCs w:val="21"/>
          <w:highlight w:val="none"/>
          <w:lang w:val="en-US" w:eastAsia="zh-CN"/>
        </w:rPr>
        <w:t>机电工程专业注册建造师不少于</w:t>
      </w:r>
      <w:r>
        <w:rPr>
          <w:rFonts w:hint="eastAsia" w:ascii="宋体" w:hAnsi="宋体" w:eastAsia="宋体" w:cs="宋体"/>
          <w:color w:val="auto"/>
          <w:szCs w:val="21"/>
          <w:highlight w:val="none"/>
        </w:rPr>
        <w:t>5人</w:t>
      </w:r>
      <w:r>
        <w:rPr>
          <w:rFonts w:hint="eastAsia" w:ascii="宋体" w:hAnsi="宋体" w:cs="宋体"/>
          <w:color w:val="auto"/>
          <w:szCs w:val="21"/>
          <w:highlight w:val="none"/>
        </w:rPr>
        <w:t>。</w:t>
      </w:r>
    </w:p>
    <w:p w14:paraId="6A161807">
      <w:pPr>
        <w:widowControl/>
        <w:adjustRightInd w:val="0"/>
        <w:snapToGrid w:val="0"/>
        <w:spacing w:line="560" w:lineRule="exact"/>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中标候选人的注册建造师不满足上述要求的，评标委员会对该投标不予认可，并将该情形报送相关行政主管部门。中标候选人依次替补，评标委员会再次对替补单位进行核查。</w:t>
      </w:r>
    </w:p>
    <w:p w14:paraId="3F12DD3B">
      <w:pPr>
        <w:pStyle w:val="3"/>
        <w:spacing w:beforeLines="50" w:afterLines="50"/>
        <w:ind w:firstLine="422" w:firstLineChars="200"/>
        <w:rPr>
          <w:rFonts w:hint="eastAsia" w:ascii="宋体" w:hAnsi="宋体" w:eastAsia="宋体" w:cs="宋体"/>
          <w:highlight w:val="none"/>
        </w:rPr>
      </w:pPr>
      <w:r>
        <w:rPr>
          <w:rFonts w:hint="eastAsia" w:ascii="宋体" w:hAnsi="宋体" w:eastAsia="宋体" w:cs="宋体"/>
          <w:highlight w:val="none"/>
        </w:rPr>
        <w:t>2.评标委员会的职责</w:t>
      </w:r>
      <w:bookmarkEnd w:id="791"/>
      <w:bookmarkEnd w:id="792"/>
      <w:bookmarkEnd w:id="793"/>
      <w:bookmarkEnd w:id="794"/>
      <w:bookmarkEnd w:id="795"/>
      <w:bookmarkEnd w:id="796"/>
      <w:bookmarkEnd w:id="797"/>
    </w:p>
    <w:p w14:paraId="5A7B7719">
      <w:pPr>
        <w:adjustRightInd w:val="0"/>
        <w:snapToGrid w:val="0"/>
        <w:spacing w:line="560" w:lineRule="exact"/>
        <w:ind w:firstLine="420" w:firstLineChars="200"/>
        <w:rPr>
          <w:rFonts w:hint="eastAsia" w:ascii="宋体" w:hAnsi="宋体" w:cs="宋体"/>
          <w:color w:val="000000"/>
          <w:szCs w:val="21"/>
          <w:highlight w:val="none"/>
        </w:rPr>
      </w:pPr>
      <w:bookmarkStart w:id="806" w:name="_Toc35425115"/>
      <w:bookmarkStart w:id="807" w:name="_Toc324404874"/>
      <w:bookmarkStart w:id="808" w:name="_Toc78803384"/>
      <w:bookmarkStart w:id="809" w:name="_Toc15058915"/>
      <w:bookmarkStart w:id="810" w:name="_Toc17377"/>
      <w:bookmarkStart w:id="811" w:name="_Toc35424949"/>
      <w:bookmarkStart w:id="812" w:name="_Toc506107326"/>
      <w:r>
        <w:rPr>
          <w:rFonts w:hint="eastAsia" w:ascii="宋体" w:hAnsi="宋体" w:cs="宋体"/>
          <w:color w:val="000000"/>
          <w:szCs w:val="21"/>
          <w:highlight w:val="none"/>
        </w:rPr>
        <w:t>评标委员会应当根据本评标办法，应进行系统地评审和比较，向招标人推荐中标候选人或根据招标人的授权直接确定中标人。各评委必须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00585F0E">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评标委员会应加强对报价合理性审查。评标评审委员会认为拟推荐的中标候选人的报价明显低于其他通过符合性审查投标人的报价，有可能影响项目质量或者不能诚信履约的，应当要求投标人在评标现场合理的时间内提供书面说明，必要时提交相关证明材料；投标人不能证明其报价合理性的，或评标委员会认定其存在履约及质量安全风险的，评标评审委员会应当将其作为无效投标处理。</w:t>
      </w:r>
    </w:p>
    <w:p w14:paraId="2EE942C7">
      <w:pPr>
        <w:pStyle w:val="3"/>
        <w:spacing w:beforeLines="50" w:afterLines="50"/>
        <w:ind w:firstLine="422" w:firstLineChars="200"/>
        <w:rPr>
          <w:rFonts w:hint="eastAsia" w:ascii="宋体" w:hAnsi="宋体" w:eastAsia="宋体" w:cs="宋体"/>
          <w:highlight w:val="none"/>
        </w:rPr>
      </w:pPr>
      <w:r>
        <w:rPr>
          <w:rFonts w:hint="eastAsia" w:ascii="宋体" w:hAnsi="宋体" w:eastAsia="宋体" w:cs="宋体"/>
          <w:highlight w:val="none"/>
        </w:rPr>
        <w:t>3.评标程序</w:t>
      </w:r>
      <w:bookmarkEnd w:id="806"/>
      <w:bookmarkEnd w:id="807"/>
      <w:bookmarkEnd w:id="808"/>
      <w:bookmarkEnd w:id="809"/>
      <w:bookmarkEnd w:id="810"/>
      <w:bookmarkEnd w:id="811"/>
      <w:bookmarkEnd w:id="812"/>
    </w:p>
    <w:p w14:paraId="74F4CF37">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bookmarkStart w:id="813" w:name="_Toc35424950"/>
      <w:bookmarkStart w:id="814" w:name="_Toc27389"/>
      <w:bookmarkStart w:id="815" w:name="_Toc78803385"/>
      <w:bookmarkStart w:id="816" w:name="_Toc15058916"/>
      <w:bookmarkStart w:id="817" w:name="_Toc35425116"/>
      <w:r>
        <w:rPr>
          <w:rFonts w:hint="eastAsia" w:ascii="宋体" w:hAnsi="宋体" w:eastAsia="宋体" w:cs="宋体"/>
          <w:color w:val="auto"/>
          <w:szCs w:val="21"/>
          <w:highlight w:val="none"/>
        </w:rPr>
        <w:t>评标先做准备工作，再进行资格、技术标评审，然后进行商务标评审。</w:t>
      </w:r>
    </w:p>
    <w:p w14:paraId="6E980930">
      <w:pPr>
        <w:pStyle w:val="3"/>
        <w:ind w:firstLine="422" w:firstLineChars="200"/>
        <w:rPr>
          <w:rFonts w:ascii="宋体" w:hAnsi="宋体" w:eastAsia="宋体" w:cs="宋体"/>
          <w:highlight w:val="none"/>
        </w:rPr>
      </w:pPr>
      <w:r>
        <w:rPr>
          <w:rFonts w:hint="eastAsia" w:ascii="宋体" w:hAnsi="宋体" w:eastAsia="宋体" w:cs="宋体"/>
          <w:highlight w:val="none"/>
        </w:rPr>
        <w:t>3.1评标准备工作</w:t>
      </w:r>
      <w:bookmarkEnd w:id="813"/>
      <w:bookmarkEnd w:id="814"/>
      <w:bookmarkEnd w:id="815"/>
      <w:bookmarkEnd w:id="816"/>
      <w:bookmarkEnd w:id="817"/>
    </w:p>
    <w:p w14:paraId="12DD11E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评标委员会熟悉评标工作情况：</w:t>
      </w:r>
    </w:p>
    <w:p w14:paraId="61A7679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（1）阅读由招标人或者其委托的工程代理机构编制的招标项目情况材料。</w:t>
      </w:r>
    </w:p>
    <w:p w14:paraId="3327388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（2）阅读、研究招标文件和相关评标资料，获取评标所需要的重要信息和数据，至少应了解和熟悉以下内容：招标项目的范围和性质，招标文件规定的主要技术要求、标准和商务条款。</w:t>
      </w:r>
    </w:p>
    <w:p w14:paraId="3514C3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（3）熟悉招标文件规定的评标标准和评标方法及在评标过程中需要考虑的相关因素。</w:t>
      </w:r>
    </w:p>
    <w:p w14:paraId="0377C0C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（4）核对评标工作用表。</w:t>
      </w:r>
    </w:p>
    <w:p w14:paraId="11CF5DD7">
      <w:pPr>
        <w:pStyle w:val="3"/>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818" w:name="_Toc95223433"/>
      <w:bookmarkStart w:id="819" w:name="_Toc324404875"/>
      <w:bookmarkStart w:id="820" w:name="_Toc35425120"/>
      <w:bookmarkStart w:id="821" w:name="_Toc15058919"/>
      <w:bookmarkStart w:id="822" w:name="_Toc78803389"/>
      <w:bookmarkStart w:id="823" w:name="_Toc506107327"/>
      <w:bookmarkStart w:id="824" w:name="_Toc35424954"/>
      <w:bookmarkStart w:id="825" w:name="_Toc12200"/>
      <w:r>
        <w:rPr>
          <w:rFonts w:hint="eastAsia" w:ascii="黑体" w:hAnsi="黑体" w:cs="黑体"/>
          <w:color w:val="000000"/>
          <w:sz w:val="21"/>
          <w:szCs w:val="21"/>
          <w:highlight w:val="none"/>
        </w:rPr>
        <w:t>3.2技术标评审</w:t>
      </w:r>
      <w:bookmarkEnd w:id="818"/>
    </w:p>
    <w:p w14:paraId="0D2D6BD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详见技术标评审表。</w:t>
      </w:r>
    </w:p>
    <w:p w14:paraId="2DE8CA6E">
      <w:pPr>
        <w:pStyle w:val="3"/>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826" w:name="_Toc95223434"/>
      <w:r>
        <w:rPr>
          <w:rFonts w:hint="eastAsia" w:ascii="黑体" w:hAnsi="黑体" w:cs="黑体"/>
          <w:color w:val="000000"/>
          <w:sz w:val="21"/>
          <w:szCs w:val="21"/>
          <w:highlight w:val="none"/>
        </w:rPr>
        <w:t>3.3商务标评审</w:t>
      </w:r>
      <w:bookmarkEnd w:id="826"/>
    </w:p>
    <w:p w14:paraId="53463FF0">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详见商务标评审表。</w:t>
      </w:r>
    </w:p>
    <w:p w14:paraId="617E89B0">
      <w:pPr>
        <w:pStyle w:val="3"/>
        <w:adjustRightInd w:val="0"/>
        <w:snapToGrid w:val="0"/>
        <w:spacing w:before="0" w:after="0" w:line="560" w:lineRule="exact"/>
        <w:ind w:firstLine="422" w:firstLineChars="200"/>
        <w:rPr>
          <w:rFonts w:hint="eastAsia" w:ascii="黑体" w:hAnsi="黑体" w:cs="黑体"/>
          <w:color w:val="000000"/>
          <w:sz w:val="21"/>
          <w:szCs w:val="21"/>
          <w:highlight w:val="none"/>
        </w:rPr>
      </w:pPr>
      <w:r>
        <w:rPr>
          <w:rFonts w:hint="eastAsia" w:ascii="黑体" w:hAnsi="黑体" w:cs="黑体"/>
          <w:color w:val="000000"/>
          <w:sz w:val="21"/>
          <w:szCs w:val="21"/>
          <w:highlight w:val="none"/>
        </w:rPr>
        <w:t>3.4推荐中标候选人</w:t>
      </w:r>
    </w:p>
    <w:p w14:paraId="18371287">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资信评审、技术标评审、商务标评审后，推荐中标候选人，并标明排序。</w:t>
      </w:r>
    </w:p>
    <w:p w14:paraId="3113A55A">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4.评审内容</w:t>
      </w:r>
      <w:bookmarkEnd w:id="819"/>
      <w:bookmarkEnd w:id="820"/>
      <w:bookmarkEnd w:id="821"/>
      <w:bookmarkEnd w:id="822"/>
      <w:bookmarkEnd w:id="823"/>
      <w:bookmarkEnd w:id="824"/>
      <w:bookmarkEnd w:id="825"/>
    </w:p>
    <w:p w14:paraId="3980C2DF">
      <w:pPr>
        <w:pStyle w:val="3"/>
        <w:ind w:firstLine="422" w:firstLineChars="200"/>
        <w:rPr>
          <w:rFonts w:hint="eastAsia" w:ascii="宋体" w:hAnsi="宋体" w:eastAsia="宋体" w:cs="宋体"/>
          <w:highlight w:val="none"/>
        </w:rPr>
      </w:pPr>
      <w:bookmarkStart w:id="827" w:name="_Toc95223436"/>
      <w:bookmarkStart w:id="828" w:name="_Toc78803390"/>
      <w:bookmarkStart w:id="829" w:name="_Toc9630"/>
      <w:r>
        <w:rPr>
          <w:rFonts w:hint="eastAsia" w:ascii="宋体" w:hAnsi="宋体" w:eastAsia="宋体" w:cs="宋体"/>
          <w:highlight w:val="none"/>
        </w:rPr>
        <w:t>4.1技术标评审</w:t>
      </w:r>
      <w:bookmarkEnd w:id="827"/>
    </w:p>
    <w:p w14:paraId="4D238764">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4.1.1形式性评审标准：见技术标评审表。</w:t>
      </w:r>
    </w:p>
    <w:p w14:paraId="24C8A179">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4.1.2响应性评审标准：见技术标评审表。</w:t>
      </w:r>
    </w:p>
    <w:p w14:paraId="4B6D9D4A">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评标委员会依据上述标准对投标文件进行形式性评审和响应性评审。有一项不符合评审标准的，作无效投标处理。对否定的技术标，评标委员会要提出充足的否定理由，并填写在技术标评标记录上。</w:t>
      </w:r>
    </w:p>
    <w:bookmarkEnd w:id="828"/>
    <w:bookmarkEnd w:id="829"/>
    <w:p w14:paraId="55926CFF">
      <w:pPr>
        <w:pStyle w:val="3"/>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830" w:name="_Toc95223437"/>
      <w:bookmarkStart w:id="831" w:name="_Toc35425123"/>
      <w:bookmarkStart w:id="832" w:name="_Toc506107328"/>
      <w:bookmarkStart w:id="833" w:name="_Toc15058922"/>
      <w:bookmarkStart w:id="834" w:name="_Toc13125"/>
      <w:bookmarkStart w:id="835" w:name="_Toc35424957"/>
      <w:bookmarkStart w:id="836" w:name="_Toc324404876"/>
      <w:bookmarkStart w:id="837" w:name="_Toc78803392"/>
      <w:r>
        <w:rPr>
          <w:rFonts w:hint="eastAsia" w:ascii="黑体" w:hAnsi="黑体" w:cs="黑体"/>
          <w:color w:val="000000"/>
          <w:sz w:val="21"/>
          <w:szCs w:val="21"/>
          <w:highlight w:val="none"/>
        </w:rPr>
        <w:t>4.2商务标评审</w:t>
      </w:r>
      <w:bookmarkEnd w:id="830"/>
    </w:p>
    <w:p w14:paraId="3A94F44D">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只有通过技术标评审的投标才能够进入本阶段评审。</w:t>
      </w:r>
    </w:p>
    <w:p w14:paraId="7793FEBA">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4.2.1形式性评审标准：见商务标评审表。</w:t>
      </w:r>
    </w:p>
    <w:p w14:paraId="655F15CC">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4.2.2响应性评审标准：见商务标评审表。</w:t>
      </w:r>
    </w:p>
    <w:p w14:paraId="079F1557">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评标委员会依据上述标准对投标文件进行初步评审。有一项不符合评审标准的，作无效投标处理。</w:t>
      </w:r>
    </w:p>
    <w:p w14:paraId="3D50DD69">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4.2.3详细评审标准：见商务标评审表。</w:t>
      </w:r>
    </w:p>
    <w:p w14:paraId="7DFCA053">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4.2.4评标委员会审查投标文件，审核并确认清标结果，包括工程投标报价的校核、审查全部数据计算的正确性、分析各种费用构成的合理性和正确性等内容，看其是否有计算或表达上的错误，投标报价有错误的，评标委员会按以下原则对投标报价进行修正。</w:t>
      </w:r>
    </w:p>
    <w:p w14:paraId="1FF06586">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（1）投标文件中的大写金额与小写金额不一致的，以大写金额为准。</w:t>
      </w:r>
    </w:p>
    <w:p w14:paraId="255794AA">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上述修正错误的原则及方法调整或修正投标文件的投标报价，调整或修正的价格经投标人书面确认后具有约束力。中标价原则上以调整或修正后的价格为准，调整或修正后的价格与投标报价相比，价格低的为中标价。投标人不接受的，其投标将被拒绝。</w:t>
      </w:r>
    </w:p>
    <w:p w14:paraId="0D8AA3CD">
      <w:pPr>
        <w:pStyle w:val="3"/>
        <w:spacing w:beforeLines="50" w:afterLines="50"/>
        <w:ind w:firstLine="422" w:firstLineChars="200"/>
        <w:rPr>
          <w:rFonts w:hint="eastAsia" w:ascii="宋体" w:hAnsi="宋体" w:eastAsia="宋体" w:cs="宋体"/>
          <w:highlight w:val="none"/>
        </w:rPr>
      </w:pPr>
      <w:r>
        <w:rPr>
          <w:rFonts w:hint="eastAsia" w:ascii="宋体" w:hAnsi="宋体" w:eastAsia="宋体" w:cs="宋体"/>
          <w:highlight w:val="none"/>
        </w:rPr>
        <w:t>5.无效投标条款</w:t>
      </w:r>
      <w:bookmarkEnd w:id="831"/>
      <w:bookmarkEnd w:id="832"/>
      <w:bookmarkEnd w:id="833"/>
      <w:bookmarkEnd w:id="834"/>
      <w:bookmarkEnd w:id="835"/>
      <w:bookmarkEnd w:id="836"/>
      <w:bookmarkEnd w:id="837"/>
    </w:p>
    <w:p w14:paraId="3E3E65E8">
      <w:pPr>
        <w:adjustRightInd w:val="0"/>
        <w:snapToGrid w:val="0"/>
        <w:spacing w:line="560" w:lineRule="exact"/>
        <w:ind w:firstLine="420" w:firstLineChars="200"/>
        <w:rPr>
          <w:rFonts w:hint="eastAsia" w:ascii="宋体" w:hAnsi="宋体" w:eastAsia="宋体" w:cs="宋体"/>
          <w:color w:val="000000"/>
          <w:szCs w:val="21"/>
          <w:highlight w:val="none"/>
        </w:rPr>
      </w:pPr>
      <w:bookmarkStart w:id="838" w:name="_Toc324404877"/>
      <w:bookmarkStart w:id="839" w:name="_Toc78803393"/>
      <w:bookmarkStart w:id="840" w:name="_Toc506107329"/>
      <w:bookmarkStart w:id="841" w:name="_Toc27846"/>
      <w:bookmarkStart w:id="842" w:name="_Toc15058923"/>
      <w:bookmarkStart w:id="843" w:name="_Toc35425124"/>
      <w:bookmarkStart w:id="844" w:name="_Toc35424958"/>
      <w:r>
        <w:rPr>
          <w:rFonts w:hint="eastAsia" w:ascii="宋体" w:hAnsi="宋体" w:eastAsia="宋体" w:cs="宋体"/>
          <w:color w:val="000000"/>
          <w:szCs w:val="21"/>
          <w:highlight w:val="none"/>
        </w:rPr>
        <w:t>5.1投标人存在下列情形的招标人将拒收投标文件：</w:t>
      </w:r>
    </w:p>
    <w:p w14:paraId="7C3A9FFB">
      <w:pPr>
        <w:adjustRightInd w:val="0"/>
        <w:snapToGrid w:val="0"/>
        <w:spacing w:line="560" w:lineRule="exact"/>
        <w:ind w:firstLine="420" w:firstLineChars="200"/>
        <w:rPr>
          <w:rFonts w:hint="eastAsia" w:ascii="宋体" w:hAnsi="宋体" w:eastAsia="宋体" w:cs="宋体"/>
          <w:color w:val="000000"/>
          <w:szCs w:val="21"/>
          <w:highlight w:val="none"/>
          <w:lang w:eastAsia="zh-CN"/>
        </w:rPr>
      </w:pPr>
      <w:bookmarkStart w:id="845" w:name="_Toc60061505"/>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1</w:t>
      </w:r>
      <w:r>
        <w:rPr>
          <w:rFonts w:hint="eastAsia" w:ascii="宋体" w:hAnsi="宋体" w:eastAsia="宋体" w:cs="宋体"/>
          <w:color w:val="000000"/>
          <w:szCs w:val="21"/>
          <w:highlight w:val="none"/>
        </w:rPr>
        <w:t>）未在投标截止时</w:t>
      </w:r>
      <w:bookmarkEnd w:id="845"/>
      <w:r>
        <w:rPr>
          <w:rFonts w:hint="eastAsia" w:ascii="宋体" w:hAnsi="宋体" w:eastAsia="宋体" w:cs="宋体"/>
          <w:color w:val="000000"/>
          <w:szCs w:val="21"/>
          <w:highlight w:val="none"/>
        </w:rPr>
        <w:t>间前通过网上招标投标系统递交有效电子投标文件的，开标系统不予接收，投标将被拒绝</w:t>
      </w:r>
      <w:r>
        <w:rPr>
          <w:rFonts w:hint="eastAsia" w:ascii="宋体" w:hAnsi="宋体" w:eastAsia="宋体" w:cs="宋体"/>
          <w:color w:val="000000"/>
          <w:szCs w:val="21"/>
          <w:highlight w:val="none"/>
          <w:lang w:eastAsia="zh-CN"/>
        </w:rPr>
        <w:t>。</w:t>
      </w:r>
    </w:p>
    <w:p w14:paraId="0794123B">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所有投标人应在规定时间里完成投标文件的解密工作【投标企业接到远程解密指令后，须在规定时间内解密（以网上开评标系统解密倒计时为准）。因投标人自身原因导致投标文件在规定时间内未能解密、解密失败或解密超时，投标文件无效</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w:t>
      </w:r>
    </w:p>
    <w:p w14:paraId="66C9671D">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5.2投标人有下列情形的，经评审后其投标作无效投标处理：</w:t>
      </w:r>
    </w:p>
    <w:p w14:paraId="34DC5366">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5.2.1技术标评审</w:t>
      </w:r>
    </w:p>
    <w:p w14:paraId="039E0426">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评标委员会依据《技术标评审表》进行形式性评审和响应性评审。有一项不符合评审标准的，做无效投标处理；对否定的技术标，评标委员会要提出充足的否定理由，并填写在技术标评标记录上。</w:t>
      </w:r>
    </w:p>
    <w:p w14:paraId="7B09A123">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5.2.2商务标评审</w:t>
      </w:r>
    </w:p>
    <w:p w14:paraId="169EECD8">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1</w:t>
      </w:r>
      <w:r>
        <w:rPr>
          <w:rFonts w:hint="eastAsia" w:ascii="宋体" w:hAnsi="宋体" w:eastAsia="宋体" w:cs="宋体"/>
          <w:color w:val="000000"/>
          <w:szCs w:val="21"/>
          <w:highlight w:val="none"/>
        </w:rPr>
        <w:t>）</w:t>
      </w:r>
      <w:r>
        <w:rPr>
          <w:rFonts w:hint="eastAsia" w:ascii="宋体" w:hAnsi="宋体" w:cs="宋体"/>
          <w:color w:val="000000"/>
          <w:szCs w:val="21"/>
          <w:highlight w:val="none"/>
        </w:rPr>
        <w:t>评标委员会依据《商务标评审表》进行形式性评审和响应性评审。有一项不符合评审标准的，做无效投标处理；</w:t>
      </w:r>
    </w:p>
    <w:p w14:paraId="520DB812">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（2）商务标详细评审标准中有任何一项不能通过评审的，作无效投标处理。</w:t>
      </w:r>
    </w:p>
    <w:p w14:paraId="11B68C29">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5.3其他无效投标情况</w:t>
      </w:r>
    </w:p>
    <w:p w14:paraId="5D501451">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214A4A89">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（2）按第四章“评标方法”第4.2.</w:t>
      </w:r>
      <w:r>
        <w:rPr>
          <w:rFonts w:hint="eastAsia" w:ascii="宋体" w:hAnsi="宋体" w:eastAsia="宋体" w:cs="宋体"/>
          <w:color w:val="000000"/>
          <w:szCs w:val="21"/>
          <w:highlight w:val="none"/>
          <w:lang w:val="en-US" w:eastAsia="zh-CN"/>
        </w:rPr>
        <w:t>3</w:t>
      </w:r>
      <w:r>
        <w:rPr>
          <w:rFonts w:hint="eastAsia" w:ascii="宋体" w:hAnsi="宋体" w:eastAsia="宋体" w:cs="宋体"/>
          <w:color w:val="000000"/>
          <w:szCs w:val="21"/>
          <w:highlight w:val="none"/>
        </w:rPr>
        <w:t>项修正错误的原则及方法调整或修正投标文件的投标报价，调整或修正的价格经投标人书面确认后具有约束力。投标人不接受修正价格的，其投标将被拒绝。</w:t>
      </w:r>
    </w:p>
    <w:p w14:paraId="7C1D2B26">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（3）第二章“投标人须知”第1.4.3项规定的任何一种情形的。</w:t>
      </w:r>
    </w:p>
    <w:p w14:paraId="48DD6505">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（4）投标人有串通投标、视为串通投标、弄虚作假、行贿等违法行为。</w:t>
      </w:r>
    </w:p>
    <w:p w14:paraId="7AE90BB0">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（5）投标文件没有对招标文件的实质性要求和条件作出响应。</w:t>
      </w:r>
    </w:p>
    <w:p w14:paraId="08A90169">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（6）未按规定的格式填写导致实质性内容不全以及实质上不响应，或者关键字迹模糊、无法辨认。</w:t>
      </w:r>
    </w:p>
    <w:p w14:paraId="00808C1E">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（7）同一投标人提交两个以上不同的投标文件或者投标报价，但招标文件规定提交备选投标的除外。</w:t>
      </w:r>
    </w:p>
    <w:p w14:paraId="2533827A">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（8）投标文件中存在招标人不能接受的其他实质性条件。</w:t>
      </w:r>
    </w:p>
    <w:p w14:paraId="524D53D9">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（9）投标文件中填报的拟任项目经理（建造师）</w:t>
      </w:r>
      <w:r>
        <w:rPr>
          <w:rFonts w:hint="eastAsia" w:ascii="宋体" w:hAnsi="宋体" w:cs="宋体"/>
          <w:color w:val="000000"/>
          <w:szCs w:val="21"/>
          <w:highlight w:val="none"/>
          <w:lang w:eastAsia="zh-CN"/>
        </w:rPr>
        <w:t>、</w:t>
      </w:r>
      <w:r>
        <w:rPr>
          <w:rFonts w:hint="eastAsia" w:ascii="宋体" w:hAnsi="宋体" w:cs="宋体"/>
          <w:color w:val="000000"/>
          <w:szCs w:val="21"/>
          <w:highlight w:val="none"/>
          <w:lang w:val="en-US" w:eastAsia="zh-CN"/>
        </w:rPr>
        <w:t>设计负责人</w:t>
      </w:r>
      <w:r>
        <w:rPr>
          <w:rFonts w:hint="eastAsia" w:ascii="宋体" w:hAnsi="宋体" w:eastAsia="宋体" w:cs="宋体"/>
          <w:color w:val="000000"/>
          <w:szCs w:val="21"/>
          <w:highlight w:val="none"/>
        </w:rPr>
        <w:t>与资格审查通过的项目经理（建造师）</w:t>
      </w:r>
      <w:r>
        <w:rPr>
          <w:rFonts w:hint="eastAsia" w:ascii="宋体" w:hAnsi="宋体" w:cs="宋体"/>
          <w:color w:val="000000"/>
          <w:szCs w:val="21"/>
          <w:highlight w:val="none"/>
          <w:lang w:eastAsia="zh-CN"/>
        </w:rPr>
        <w:t>、</w:t>
      </w:r>
      <w:r>
        <w:rPr>
          <w:rFonts w:hint="eastAsia" w:ascii="宋体" w:hAnsi="宋体" w:cs="宋体"/>
          <w:color w:val="000000"/>
          <w:szCs w:val="21"/>
          <w:highlight w:val="none"/>
          <w:lang w:val="en-US" w:eastAsia="zh-CN"/>
        </w:rPr>
        <w:t>设计负责人</w:t>
      </w:r>
      <w:r>
        <w:rPr>
          <w:rFonts w:hint="eastAsia" w:ascii="宋体" w:hAnsi="宋体" w:eastAsia="宋体" w:cs="宋体"/>
          <w:color w:val="000000"/>
          <w:szCs w:val="21"/>
          <w:highlight w:val="none"/>
        </w:rPr>
        <w:t>前后不一致的。</w:t>
      </w:r>
    </w:p>
    <w:p w14:paraId="3D744B31">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（10）投标人拒不按照要求对投标文件进行澄清、说明、补正的，或评标委员会根据招标文件的规定对招标文件的计算错误进行修正后，投标人不接受修正的投标报价的。</w:t>
      </w:r>
    </w:p>
    <w:p w14:paraId="687CDF04">
      <w:pPr>
        <w:shd w:val="clear"/>
        <w:adjustRightInd w:val="0"/>
        <w:snapToGrid w:val="0"/>
        <w:spacing w:line="560" w:lineRule="exact"/>
        <w:ind w:firstLine="420" w:firstLineChars="200"/>
        <w:rPr>
          <w:rFonts w:hint="eastAsia" w:ascii="宋体" w:hAnsi="宋体" w:cs="宋体"/>
          <w:color w:val="auto"/>
          <w:szCs w:val="21"/>
          <w:highlight w:val="none"/>
        </w:rPr>
      </w:pPr>
      <w:bookmarkStart w:id="846" w:name="_Toc95223409"/>
      <w:r>
        <w:rPr>
          <w:rFonts w:hint="eastAsia" w:ascii="宋体" w:hAnsi="宋体" w:cs="宋体"/>
          <w:color w:val="auto"/>
          <w:szCs w:val="21"/>
          <w:highlight w:val="none"/>
        </w:rPr>
        <w:t>（11）投标人投标MAC地址一致。</w:t>
      </w:r>
    </w:p>
    <w:p w14:paraId="2C767D1D">
      <w:pPr>
        <w:shd w:val="clea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（12）投标人单方面出现其他投标人材料。</w:t>
      </w:r>
    </w:p>
    <w:p w14:paraId="76E1A2B9">
      <w:pPr>
        <w:shd w:val="clear"/>
        <w:adjustRightInd w:val="0"/>
        <w:snapToGrid w:val="0"/>
        <w:spacing w:line="560" w:lineRule="exact"/>
        <w:ind w:firstLine="420" w:firstLineChars="200"/>
        <w:rPr>
          <w:rFonts w:hint="eastAsia" w:ascii="宋体" w:hAnsi="宋体" w:cs="宋体"/>
          <w:strike/>
          <w:color w:val="auto"/>
          <w:szCs w:val="21"/>
          <w:highlight w:val="none"/>
        </w:rPr>
      </w:pPr>
      <w:r>
        <w:rPr>
          <w:rFonts w:hint="eastAsia" w:ascii="宋体" w:hAnsi="宋体" w:cs="宋体"/>
          <w:color w:val="auto"/>
          <w:szCs w:val="21"/>
          <w:highlight w:val="none"/>
        </w:rPr>
        <w:t>（13）</w:t>
      </w:r>
      <w:r>
        <w:rPr>
          <w:rFonts w:hint="eastAsia" w:ascii="宋体" w:hAnsi="宋体" w:cs="宋体"/>
          <w:bCs/>
          <w:color w:val="auto"/>
          <w:szCs w:val="21"/>
          <w:highlight w:val="none"/>
        </w:rPr>
        <w:t>评标时查询投标文件制作机器码、文件创建标识码及造价软件加密锁号。若存在投标文件制作机器码或创建标识码或造价软件加密锁号信息与其他投标人雷同的，投标无效。</w:t>
      </w:r>
    </w:p>
    <w:p w14:paraId="203ECAC6">
      <w:pPr>
        <w:shd w:val="clear"/>
        <w:adjustRightInd w:val="0"/>
        <w:snapToGrid w:val="0"/>
        <w:spacing w:line="560" w:lineRule="exact"/>
        <w:ind w:firstLine="420" w:firstLineChars="200"/>
        <w:rPr>
          <w:rFonts w:hint="eastAsia" w:ascii="宋体" w:hAnsi="宋体" w:cs="宋体"/>
          <w:strike/>
          <w:color w:val="auto"/>
          <w:szCs w:val="21"/>
          <w:highlight w:val="none"/>
        </w:rPr>
      </w:pPr>
      <w:r>
        <w:rPr>
          <w:rFonts w:hint="eastAsia" w:ascii="宋体" w:hAnsi="宋体" w:cs="宋体"/>
          <w:bCs/>
          <w:color w:val="auto"/>
          <w:szCs w:val="21"/>
          <w:highlight w:val="none"/>
        </w:rPr>
        <w:t>（14）</w:t>
      </w:r>
      <w:r>
        <w:rPr>
          <w:rFonts w:hint="eastAsia" w:ascii="宋体" w:hAnsi="宋体" w:cs="宋体"/>
          <w:color w:val="auto"/>
          <w:szCs w:val="21"/>
          <w:highlight w:val="none"/>
          <w:lang w:bidi="ar"/>
        </w:rPr>
        <w:t>投标人申请开具电子保函MAC地址一致。</w:t>
      </w:r>
    </w:p>
    <w:p w14:paraId="7C442CAD">
      <w:pPr>
        <w:shd w:val="clea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（15）投标人联系人或联系电话相同的。</w:t>
      </w:r>
    </w:p>
    <w:p w14:paraId="178C70F9">
      <w:pPr>
        <w:shd w:val="clea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）法律、法规规定的其他情形。</w:t>
      </w:r>
    </w:p>
    <w:p w14:paraId="5A018EF6">
      <w:pPr>
        <w:pStyle w:val="3"/>
        <w:spacing w:beforeLines="50" w:afterLines="50"/>
        <w:ind w:firstLine="422" w:firstLineChars="200"/>
        <w:rPr>
          <w:rFonts w:hint="eastAsia" w:ascii="宋体" w:hAnsi="宋体" w:eastAsia="宋体" w:cs="宋体"/>
          <w:highlight w:val="none"/>
        </w:rPr>
      </w:pPr>
      <w:r>
        <w:rPr>
          <w:rFonts w:hint="eastAsia" w:ascii="宋体" w:hAnsi="宋体" w:eastAsia="宋体" w:cs="宋体"/>
          <w:highlight w:val="none"/>
        </w:rPr>
        <w:t>6.投标文件的澄清和补正</w:t>
      </w:r>
      <w:bookmarkEnd w:id="846"/>
    </w:p>
    <w:p w14:paraId="4C9D7324">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6.1在评标过程中，评标委员会可以书面形式要求投标</w:t>
      </w:r>
      <w:bookmarkStart w:id="847" w:name="_Toc60061506"/>
      <w:r>
        <w:rPr>
          <w:rFonts w:hint="eastAsia" w:ascii="宋体" w:hAnsi="宋体" w:eastAsia="宋体" w:cs="宋体"/>
          <w:color w:val="000000"/>
          <w:szCs w:val="21"/>
          <w:highlight w:val="none"/>
        </w:rPr>
        <w:t>人对所提交的投标文件中含</w:t>
      </w:r>
      <w:bookmarkEnd w:id="847"/>
      <w:r>
        <w:rPr>
          <w:rFonts w:hint="eastAsia" w:ascii="宋体" w:hAnsi="宋体" w:eastAsia="宋体" w:cs="宋体"/>
          <w:color w:val="000000"/>
          <w:szCs w:val="21"/>
          <w:highlight w:val="none"/>
        </w:rPr>
        <w:t>义不明确、对同类问题表述不一致或者有明显文字和计算错误的内容进行书面澄清或说明，或者对细微偏差进行补正。评标委员会不接受投标人主动提出的澄清、说明或补正。</w:t>
      </w:r>
    </w:p>
    <w:p w14:paraId="4AF5F2BE">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6.2澄清、说明和补正不得改变投标文件的实质性内容（算术性错误修正的除外）。投标人的书面澄清、说明和补正属于投标文件的组成部分。</w:t>
      </w:r>
    </w:p>
    <w:p w14:paraId="5067B074">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6.3评标委员会对投标人提交的澄清、说明和补正有疑问的，可以要求投标人进一步澄清、说明或补正、直至满足评标委员会的要求。</w:t>
      </w:r>
    </w:p>
    <w:p w14:paraId="42BDF8A3">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按照投标文件规定进行澄清、补正后的投标报价经投标人的法定代表人或其委托代理人确认后即为该投标人的最终投标报价。投标人一旦中标，此报价即为中标价。</w:t>
      </w:r>
    </w:p>
    <w:bookmarkEnd w:id="798"/>
    <w:bookmarkEnd w:id="799"/>
    <w:bookmarkEnd w:id="800"/>
    <w:bookmarkEnd w:id="801"/>
    <w:bookmarkEnd w:id="802"/>
    <w:bookmarkEnd w:id="803"/>
    <w:bookmarkEnd w:id="804"/>
    <w:bookmarkEnd w:id="805"/>
    <w:bookmarkEnd w:id="838"/>
    <w:bookmarkEnd w:id="839"/>
    <w:bookmarkEnd w:id="840"/>
    <w:bookmarkEnd w:id="841"/>
    <w:bookmarkEnd w:id="842"/>
    <w:bookmarkEnd w:id="843"/>
    <w:bookmarkEnd w:id="844"/>
    <w:p w14:paraId="7BC20C8A">
      <w:pPr>
        <w:pStyle w:val="3"/>
        <w:spacing w:beforeLines="50" w:afterLines="50"/>
        <w:ind w:firstLine="422" w:firstLineChars="200"/>
        <w:rPr>
          <w:rFonts w:hint="eastAsia" w:ascii="宋体" w:hAnsi="宋体" w:eastAsia="宋体" w:cs="宋体"/>
          <w:highlight w:val="none"/>
        </w:rPr>
      </w:pPr>
      <w:bookmarkStart w:id="848" w:name="_Toc95223410"/>
      <w:bookmarkStart w:id="849" w:name="_Toc15058927"/>
      <w:bookmarkStart w:id="850" w:name="_Toc35425128"/>
      <w:bookmarkStart w:id="851" w:name="_Toc35424962"/>
      <w:bookmarkStart w:id="852" w:name="_Toc506107333"/>
      <w:bookmarkStart w:id="853" w:name="_Toc152042546"/>
      <w:bookmarkStart w:id="854" w:name="_Toc144974826"/>
      <w:bookmarkStart w:id="855" w:name="_Toc152045767"/>
      <w:bookmarkStart w:id="856" w:name="_Toc179632785"/>
      <w:r>
        <w:rPr>
          <w:rFonts w:hint="eastAsia" w:ascii="宋体" w:hAnsi="宋体" w:eastAsia="宋体" w:cs="宋体"/>
          <w:highlight w:val="none"/>
        </w:rPr>
        <w:t>7.评分标准</w:t>
      </w:r>
      <w:bookmarkEnd w:id="848"/>
    </w:p>
    <w:p w14:paraId="7412FA8E">
      <w:pPr>
        <w:adjustRightInd w:val="0"/>
        <w:snapToGrid w:val="0"/>
        <w:spacing w:line="560" w:lineRule="exact"/>
        <w:ind w:firstLine="420" w:firstLineChars="200"/>
        <w:rPr>
          <w:rFonts w:hint="eastAsia" w:ascii="宋体" w:hAnsi="宋体" w:eastAsia="宋体" w:cs="宋体"/>
          <w:color w:val="000000"/>
          <w:szCs w:val="21"/>
          <w:highlight w:val="none"/>
        </w:rPr>
      </w:pPr>
      <w:bookmarkStart w:id="857" w:name="_Toc95223411"/>
      <w:r>
        <w:rPr>
          <w:rFonts w:hint="eastAsia" w:ascii="宋体" w:hAnsi="宋体" w:eastAsia="宋体" w:cs="宋体"/>
          <w:color w:val="000000"/>
          <w:szCs w:val="21"/>
          <w:highlight w:val="none"/>
          <w:lang w:val="en-US" w:eastAsia="zh-CN"/>
        </w:rPr>
        <w:t>7.1</w:t>
      </w:r>
      <w:r>
        <w:rPr>
          <w:rFonts w:hint="eastAsia" w:ascii="宋体" w:hAnsi="宋体" w:eastAsia="宋体" w:cs="宋体"/>
          <w:color w:val="000000"/>
          <w:szCs w:val="21"/>
          <w:highlight w:val="none"/>
        </w:rPr>
        <w:t>评分标准：见资信、技术及商务评分表。</w:t>
      </w:r>
    </w:p>
    <w:p w14:paraId="1ED9F886">
      <w:pPr>
        <w:pStyle w:val="3"/>
        <w:spacing w:beforeLines="50" w:afterLines="50"/>
        <w:ind w:firstLine="422" w:firstLineChars="200"/>
        <w:rPr>
          <w:rFonts w:hint="eastAsia" w:ascii="宋体" w:hAnsi="宋体" w:eastAsia="宋体" w:cs="宋体"/>
          <w:highlight w:val="none"/>
        </w:rPr>
      </w:pPr>
      <w:r>
        <w:rPr>
          <w:rFonts w:hint="eastAsia" w:ascii="宋体" w:hAnsi="宋体" w:eastAsia="宋体" w:cs="宋体"/>
          <w:highlight w:val="none"/>
        </w:rPr>
        <w:t>8.评审结果</w:t>
      </w:r>
      <w:bookmarkEnd w:id="857"/>
    </w:p>
    <w:p w14:paraId="5A148736">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8.1除第二章“投标人须知”及其前附表授权直接确定中标人外，评</w:t>
      </w:r>
      <w:bookmarkStart w:id="858" w:name="_Toc60061508"/>
      <w:bookmarkStart w:id="859" w:name="_Toc506107331"/>
      <w:bookmarkStart w:id="860" w:name="_Toc15058925"/>
      <w:bookmarkStart w:id="861" w:name="_Toc324404879"/>
      <w:r>
        <w:rPr>
          <w:rFonts w:hint="eastAsia" w:ascii="宋体" w:hAnsi="宋体" w:eastAsia="宋体" w:cs="宋体"/>
          <w:color w:val="000000"/>
          <w:szCs w:val="21"/>
          <w:highlight w:val="none"/>
        </w:rPr>
        <w:t>标委员会</w:t>
      </w:r>
      <w:bookmarkEnd w:id="858"/>
      <w:bookmarkEnd w:id="859"/>
      <w:bookmarkEnd w:id="860"/>
      <w:bookmarkEnd w:id="861"/>
      <w:r>
        <w:rPr>
          <w:rFonts w:hint="eastAsia" w:ascii="宋体" w:hAnsi="宋体" w:eastAsia="宋体" w:cs="宋体"/>
          <w:color w:val="000000"/>
          <w:szCs w:val="21"/>
          <w:highlight w:val="none"/>
        </w:rPr>
        <w:t>按有效报价由低到高的顺序推荐中标候选人）。</w:t>
      </w:r>
    </w:p>
    <w:p w14:paraId="0586443D">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8.2评标委员会完成评标后，应当向招标人提交书面评标报告。评标报告应当如实记载以下内容：</w:t>
      </w:r>
    </w:p>
    <w:p w14:paraId="60C496F3">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（1）基本情况和数据表。</w:t>
      </w:r>
    </w:p>
    <w:p w14:paraId="2FF38250">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（2）评标委员会成员名单。</w:t>
      </w:r>
    </w:p>
    <w:p w14:paraId="3E8F5A80">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（3）开标记录。</w:t>
      </w:r>
    </w:p>
    <w:p w14:paraId="77CE3783">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（4）符合要求的投标人一览表。</w:t>
      </w:r>
    </w:p>
    <w:p w14:paraId="1A0FCCDD">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（5）否决投标情况说明。</w:t>
      </w:r>
    </w:p>
    <w:p w14:paraId="18FE4A2D">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（6）评标标准、评标方法或者评标因素。</w:t>
      </w:r>
    </w:p>
    <w:p w14:paraId="4F8B3E86">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（7）经评审的价格比较一览表。</w:t>
      </w:r>
    </w:p>
    <w:p w14:paraId="4B89E24A">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（8）经评审的投标人排序。</w:t>
      </w:r>
    </w:p>
    <w:p w14:paraId="3C2A0C70">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（9）推荐的中标候选人名单与签订合同前要处理的事宜。</w:t>
      </w:r>
    </w:p>
    <w:p w14:paraId="03A977F1">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（10）澄清、说明、补正事项纪要。</w:t>
      </w:r>
    </w:p>
    <w:p w14:paraId="7CC0D938">
      <w:pPr>
        <w:adjustRightInd w:val="0"/>
        <w:snapToGrid w:val="0"/>
        <w:spacing w:line="560" w:lineRule="exact"/>
        <w:ind w:firstLine="420" w:firstLineChars="200"/>
        <w:rPr>
          <w:rFonts w:hint="eastAsia" w:ascii="宋体" w:hAnsi="宋体" w:eastAsia="宋体" w:cs="宋体"/>
          <w:color w:val="000000"/>
          <w:szCs w:val="21"/>
          <w:highlight w:val="none"/>
        </w:rPr>
      </w:pPr>
      <w:bookmarkStart w:id="862" w:name="_Toc95223412"/>
      <w:r>
        <w:rPr>
          <w:rFonts w:hint="eastAsia" w:ascii="宋体" w:hAnsi="宋体" w:eastAsia="宋体" w:cs="宋体"/>
          <w:color w:val="000000"/>
          <w:szCs w:val="21"/>
          <w:highlight w:val="none"/>
        </w:rPr>
        <w:t>8.3依法必须进行招标的项目，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15095E2F">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依法必须进行招标的项目，除第一中标候选人或者中标人以外的其他投标人存在串通投标、弄虚作假、行贿情形且在评标过程中未被发现的，视为对中标结果没有造成实质性影响，招标人可以依法继续开展招标活动。</w:t>
      </w:r>
    </w:p>
    <w:p w14:paraId="22FE37EA">
      <w:pPr>
        <w:pStyle w:val="3"/>
        <w:spacing w:beforeLines="50" w:afterLines="50"/>
        <w:ind w:firstLine="422" w:firstLineChars="200"/>
        <w:rPr>
          <w:rFonts w:hint="eastAsia" w:ascii="宋体" w:hAnsi="宋体" w:eastAsia="宋体" w:cs="宋体"/>
          <w:highlight w:val="none"/>
        </w:rPr>
      </w:pPr>
      <w:r>
        <w:rPr>
          <w:rFonts w:hint="eastAsia" w:ascii="宋体" w:hAnsi="宋体" w:eastAsia="宋体" w:cs="宋体"/>
          <w:highlight w:val="none"/>
        </w:rPr>
        <w:t>9.其他</w:t>
      </w:r>
      <w:bookmarkEnd w:id="862"/>
    </w:p>
    <w:p w14:paraId="754314B4">
      <w:pPr>
        <w:adjustRightInd w:val="0"/>
        <w:snapToGrid w:val="0"/>
        <w:spacing w:line="560" w:lineRule="exact"/>
        <w:ind w:firstLine="420" w:firstLineChars="200"/>
        <w:rPr>
          <w:rFonts w:hint="eastAsia" w:ascii="宋体" w:hAnsi="宋体" w:eastAsia="宋体" w:cs="宋体"/>
          <w:color w:val="000000"/>
          <w:szCs w:val="21"/>
          <w:highlight w:val="none"/>
        </w:rPr>
        <w:sectPr>
          <w:footerReference r:id="rId6" w:type="default"/>
          <w:footnotePr>
            <w:numFmt w:val="decimalEnclosedCircleChinese"/>
            <w:numRestart w:val="eachPage"/>
          </w:footnotePr>
          <w:pgSz w:w="11907" w:h="16840"/>
          <w:pgMar w:top="1474" w:right="1474" w:bottom="1474" w:left="1474" w:header="799" w:footer="907" w:gutter="0"/>
          <w:pgNumType w:start="1"/>
          <w:cols w:space="720" w:num="1"/>
          <w:docGrid w:linePitch="271" w:charSpace="0"/>
        </w:sectPr>
      </w:pPr>
      <w:r>
        <w:rPr>
          <w:rFonts w:hint="eastAsia" w:ascii="宋体" w:hAnsi="宋体" w:eastAsia="宋体" w:cs="宋体"/>
          <w:color w:val="000000"/>
          <w:szCs w:val="21"/>
          <w:highlight w:val="none"/>
        </w:rPr>
        <w:t>投标人提供的与投标文件有关的各类证书、证明、文件、资料等的真实性、合法性由投标人负全责。</w:t>
      </w:r>
    </w:p>
    <w:p w14:paraId="65923B12">
      <w:pPr>
        <w:rPr>
          <w:rFonts w:hint="eastAsia"/>
          <w:highlight w:val="none"/>
        </w:rPr>
      </w:pPr>
      <w:bookmarkStart w:id="863" w:name="_Toc78803397"/>
    </w:p>
    <w:bookmarkEnd w:id="849"/>
    <w:bookmarkEnd w:id="850"/>
    <w:bookmarkEnd w:id="851"/>
    <w:bookmarkEnd w:id="852"/>
    <w:bookmarkEnd w:id="863"/>
    <w:p w14:paraId="226BC7FC">
      <w:pPr>
        <w:pStyle w:val="44"/>
        <w:spacing w:beforeLines="50" w:afterLines="50" w:line="440" w:lineRule="exact"/>
        <w:jc w:val="center"/>
        <w:rPr>
          <w:rFonts w:hint="eastAsia" w:eastAsia="宋体" w:cs="Times New Roman"/>
          <w:bCs/>
          <w:szCs w:val="32"/>
          <w:highlight w:val="none"/>
          <w:lang w:val="en-US" w:eastAsia="zh-CN"/>
        </w:rPr>
      </w:pPr>
      <w:bookmarkStart w:id="864" w:name="_Toc16721"/>
      <w:r>
        <w:rPr>
          <w:rFonts w:hint="eastAsia" w:eastAsia="宋体" w:cs="Times New Roman"/>
          <w:bCs/>
          <w:szCs w:val="32"/>
          <w:highlight w:val="none"/>
          <w:lang w:val="en-US" w:eastAsia="zh-CN"/>
        </w:rPr>
        <w:t>第五章  合同条款及格式</w:t>
      </w:r>
      <w:bookmarkEnd w:id="864"/>
    </w:p>
    <w:p w14:paraId="4CE3F04B">
      <w:pPr>
        <w:spacing w:line="360" w:lineRule="auto"/>
        <w:jc w:val="center"/>
        <w:rPr>
          <w:rFonts w:ascii="仿宋_GB2312" w:eastAsia="仿宋_GB2312"/>
          <w:b/>
          <w:sz w:val="28"/>
          <w:szCs w:val="28"/>
          <w:highlight w:val="none"/>
        </w:rPr>
      </w:pPr>
    </w:p>
    <w:p w14:paraId="03175083">
      <w:pPr>
        <w:rPr>
          <w:rFonts w:ascii="仿宋_GB2312" w:hAnsi="仿宋_GB2312" w:eastAsia="仿宋_GB2312" w:cs="仿宋_GB2312"/>
          <w:color w:val="auto"/>
          <w:sz w:val="32"/>
          <w:szCs w:val="32"/>
          <w:highlight w:val="none"/>
        </w:rPr>
      </w:pPr>
      <w:bookmarkStart w:id="865" w:name="_Toc25898"/>
      <w:r>
        <w:rPr>
          <w:rFonts w:hint="eastAsia" w:ascii="仿宋_GB2312" w:hAnsi="仿宋_GB2312" w:eastAsia="仿宋_GB2312" w:cs="仿宋_GB2312"/>
          <w:color w:val="auto"/>
          <w:sz w:val="32"/>
          <w:szCs w:val="32"/>
          <w:highlight w:val="none"/>
        </w:rPr>
        <w:t>GF-2020-0216</w:t>
      </w:r>
    </w:p>
    <w:p w14:paraId="1E31D059">
      <w:pPr>
        <w:rPr>
          <w:color w:val="auto"/>
          <w:highlight w:val="none"/>
        </w:rPr>
      </w:pPr>
    </w:p>
    <w:p w14:paraId="11807677">
      <w:pPr>
        <w:rPr>
          <w:color w:val="auto"/>
          <w:highlight w:val="none"/>
        </w:rPr>
      </w:pPr>
    </w:p>
    <w:p w14:paraId="194FF8FD">
      <w:pPr>
        <w:rPr>
          <w:color w:val="auto"/>
          <w:highlight w:val="none"/>
        </w:rPr>
      </w:pPr>
    </w:p>
    <w:p w14:paraId="7369D8CD">
      <w:pPr>
        <w:rPr>
          <w:color w:val="auto"/>
          <w:highlight w:val="none"/>
        </w:rPr>
      </w:pPr>
    </w:p>
    <w:p w14:paraId="5E3F1AD5">
      <w:pPr>
        <w:rPr>
          <w:color w:val="auto"/>
          <w:highlight w:val="none"/>
        </w:rPr>
      </w:pPr>
    </w:p>
    <w:p w14:paraId="59C50472">
      <w:pPr>
        <w:pStyle w:val="214"/>
        <w:rPr>
          <w:rFonts w:hint="eastAsia" w:ascii="方正小标宋简体" w:hAnsi="方正小标宋简体" w:eastAsia="方正小标宋简体" w:cs="方正小标宋简体"/>
          <w:color w:val="auto"/>
          <w:sz w:val="72"/>
          <w:szCs w:val="72"/>
          <w:highlight w:val="none"/>
        </w:rPr>
      </w:pPr>
      <w:r>
        <w:rPr>
          <w:rFonts w:hint="eastAsia" w:ascii="宋体" w:hAnsi="宋体" w:eastAsia="宋体" w:cs="宋体"/>
          <w:color w:val="auto"/>
          <w:sz w:val="72"/>
          <w:szCs w:val="72"/>
          <w:highlight w:val="none"/>
        </w:rPr>
        <w:t>建设项目工程总承包合同</w:t>
      </w:r>
    </w:p>
    <w:p w14:paraId="26252F96">
      <w:pPr>
        <w:pStyle w:val="214"/>
        <w:rPr>
          <w:rFonts w:ascii="华文中宋" w:hAnsi="华文中宋" w:eastAsia="华文中宋"/>
          <w:color w:val="auto"/>
          <w:sz w:val="40"/>
          <w:szCs w:val="40"/>
          <w:highlight w:val="none"/>
        </w:rPr>
      </w:pPr>
    </w:p>
    <w:p w14:paraId="09CBF29E">
      <w:pPr>
        <w:pStyle w:val="214"/>
        <w:rPr>
          <w:rFonts w:ascii="华文中宋" w:hAnsi="华文中宋" w:eastAsia="华文中宋"/>
          <w:color w:val="auto"/>
          <w:sz w:val="40"/>
          <w:szCs w:val="40"/>
          <w:highlight w:val="none"/>
        </w:rPr>
      </w:pPr>
    </w:p>
    <w:p w14:paraId="2F0DB7BE">
      <w:pPr>
        <w:rPr>
          <w:color w:val="auto"/>
          <w:highlight w:val="none"/>
        </w:rPr>
      </w:pPr>
    </w:p>
    <w:p w14:paraId="47C8F763">
      <w:pPr>
        <w:pStyle w:val="214"/>
        <w:rPr>
          <w:rFonts w:ascii="华文中宋" w:hAnsi="华文中宋" w:eastAsia="华文中宋"/>
          <w:color w:val="auto"/>
          <w:sz w:val="40"/>
          <w:szCs w:val="40"/>
          <w:highlight w:val="none"/>
        </w:rPr>
      </w:pPr>
    </w:p>
    <w:p w14:paraId="433A2D83">
      <w:pPr>
        <w:rPr>
          <w:rFonts w:ascii="华文中宋" w:hAnsi="华文中宋" w:eastAsia="华文中宋"/>
          <w:color w:val="auto"/>
          <w:sz w:val="40"/>
          <w:szCs w:val="40"/>
          <w:highlight w:val="none"/>
        </w:rPr>
      </w:pPr>
    </w:p>
    <w:p w14:paraId="57C721CE">
      <w:pPr>
        <w:rPr>
          <w:rFonts w:ascii="华文中宋" w:hAnsi="华文中宋" w:eastAsia="华文中宋"/>
          <w:color w:val="auto"/>
          <w:sz w:val="40"/>
          <w:szCs w:val="40"/>
          <w:highlight w:val="none"/>
        </w:rPr>
      </w:pPr>
    </w:p>
    <w:p w14:paraId="102A746B">
      <w:pPr>
        <w:rPr>
          <w:rFonts w:ascii="华文中宋" w:hAnsi="华文中宋" w:eastAsia="华文中宋"/>
          <w:color w:val="auto"/>
          <w:sz w:val="40"/>
          <w:szCs w:val="40"/>
          <w:highlight w:val="none"/>
        </w:rPr>
      </w:pPr>
    </w:p>
    <w:p w14:paraId="22DD16F0">
      <w:pPr>
        <w:rPr>
          <w:rFonts w:ascii="华文中宋" w:hAnsi="华文中宋" w:eastAsia="华文中宋"/>
          <w:color w:val="auto"/>
          <w:sz w:val="40"/>
          <w:szCs w:val="40"/>
          <w:highlight w:val="none"/>
        </w:rPr>
      </w:pPr>
    </w:p>
    <w:p w14:paraId="373C4BC9">
      <w:pPr>
        <w:pStyle w:val="3"/>
        <w:rPr>
          <w:rFonts w:ascii="华文中宋" w:hAnsi="华文中宋" w:eastAsia="华文中宋"/>
          <w:color w:val="auto"/>
          <w:sz w:val="40"/>
          <w:szCs w:val="40"/>
          <w:highlight w:val="none"/>
        </w:rPr>
      </w:pPr>
    </w:p>
    <w:p w14:paraId="3845CD61">
      <w:pPr>
        <w:rPr>
          <w:color w:val="auto"/>
          <w:highlight w:val="none"/>
        </w:rPr>
      </w:pPr>
    </w:p>
    <w:p w14:paraId="6603850E">
      <w:pPr>
        <w:rPr>
          <w:color w:val="auto"/>
          <w:highlight w:val="none"/>
        </w:rPr>
      </w:pPr>
    </w:p>
    <w:p w14:paraId="1AA18752">
      <w:pPr>
        <w:pStyle w:val="214"/>
        <w:rPr>
          <w:rFonts w:ascii="宋体" w:hAnsi="宋体" w:eastAsia="宋体"/>
          <w:color w:val="auto"/>
          <w:sz w:val="32"/>
          <w:szCs w:val="32"/>
          <w:highlight w:val="none"/>
        </w:rPr>
      </w:pPr>
    </w:p>
    <w:p w14:paraId="65FBC1E1">
      <w:pPr>
        <w:ind w:right="2182" w:rightChars="1039"/>
        <w:jc w:val="distribute"/>
        <w:rPr>
          <w:b/>
          <w:bCs/>
          <w:color w:val="auto"/>
          <w:sz w:val="32"/>
          <w:szCs w:val="32"/>
          <w:highlight w:val="none"/>
        </w:rPr>
      </w:pPr>
      <w:r>
        <w:rPr>
          <w:rFonts w:hint="eastAsia"/>
          <w:b/>
          <w:color w:val="auto"/>
          <w:sz w:val="32"/>
          <w:szCs w:val="28"/>
          <w:highlight w:val="none"/>
        </w:rPr>
        <w:t xml:space="preserve">     </w:t>
      </w:r>
      <w:r>
        <w:rPr>
          <w:b/>
          <w:bCs/>
          <w:color w:val="auto"/>
          <w:sz w:val="32"/>
          <w:szCs w:val="32"/>
          <w:highlight w:val="none"/>
        </w:rPr>
        <mc:AlternateContent>
          <mc:Choice Requires="wps">
            <w:drawing>
              <wp:anchor distT="0" distB="0" distL="114300" distR="114300" simplePos="0" relativeHeight="251659264" behindDoc="0" locked="0" layoutInCell="1" allowOverlap="1">
                <wp:simplePos x="0" y="0"/>
                <wp:positionH relativeFrom="column">
                  <wp:posOffset>3954780</wp:posOffset>
                </wp:positionH>
                <wp:positionV relativeFrom="paragraph">
                  <wp:posOffset>150495</wp:posOffset>
                </wp:positionV>
                <wp:extent cx="754380" cy="1772285"/>
                <wp:effectExtent l="0" t="0" r="7620" b="18415"/>
                <wp:wrapNone/>
                <wp:docPr id="2" name="文本框 2"/>
                <wp:cNvGraphicFramePr/>
                <a:graphic xmlns:a="http://schemas.openxmlformats.org/drawingml/2006/main">
                  <a:graphicData uri="http://schemas.microsoft.com/office/word/2010/wordprocessingShape">
                    <wps:wsp>
                      <wps:cNvSpPr txBox="1"/>
                      <wps:spPr>
                        <a:xfrm>
                          <a:off x="0" y="0"/>
                          <a:ext cx="754380" cy="1772285"/>
                        </a:xfrm>
                        <a:prstGeom prst="rect">
                          <a:avLst/>
                        </a:prstGeom>
                        <a:solidFill>
                          <a:srgbClr val="FFFFFF"/>
                        </a:solidFill>
                        <a:ln>
                          <a:noFill/>
                        </a:ln>
                      </wps:spPr>
                      <wps:txbx>
                        <w:txbxContent>
                          <w:p w14:paraId="67E5895D">
                            <w:pPr>
                              <w:jc w:val="center"/>
                              <w:rPr>
                                <w:b/>
                                <w:bCs/>
                                <w:sz w:val="32"/>
                                <w:szCs w:val="32"/>
                              </w:rPr>
                            </w:pPr>
                            <w:r>
                              <w:rPr>
                                <w:rFonts w:hint="eastAsia"/>
                                <w:b/>
                                <w:bCs/>
                                <w:sz w:val="32"/>
                                <w:szCs w:val="32"/>
                              </w:rPr>
                              <w:t>制定</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11.4pt;margin-top:11.85pt;height:139.55pt;width:59.4pt;z-index:251659264;mso-width-relative:page;mso-height-relative:margin;mso-height-percent:200;" fillcolor="#FFFFFF" filled="t" stroked="f" coordsize="21600,21600" o:gfxdata="UEsDBAoAAAAAAIdO4kAAAAAAAAAAAAAAAAAEAAAAZHJzL1BLAwQUAAAACACHTuJA5Ew3gNgAAAAK&#10;AQAADwAAAGRycy9kb3ducmV2LnhtbE2PMU/DMBSEdyT+g/WQ2KidFFIU4lSIioUBiYIEoxs7cYT9&#10;HNluGv49j4mOpzvdfddsF+/YbGIaA0ooVgKYwS7oEQcJH+/PN/fAUlaolQtoJPyYBNv28qJRtQ4n&#10;fDPzPg+MSjDVSoLNeao5T501XqVVmAyS14foVSYZB66jOlG5d7wUouJejUgLVk3myZrue3/0Ej69&#10;HfUuvn712s27l/7xblriJOX1VSEegGWz5P8w/OETOrTEdAhH1Ik5CVVZEnqWUK43wCiwuS0qYAcJ&#10;a0EObxt+fqH9BVBLAwQUAAAACACHTuJABk1C48wBAACRAwAADgAAAGRycy9lMm9Eb2MueG1srVNN&#10;jtMwFN4jcQfLe5o2MLSKmo6AqmwQIA0cwHXsxJL/5Oc26QXgBqzYsOdcPcc8O5kOzGxmMVk49nuf&#10;P7/ve/b6ejCaHEUA5WxNF7M5JcJy1yjb1vT7t92rFSUQmW2YdlbU9CSAXm9evlj3vhKl65xuRCBI&#10;YqHqfU27GH1VFMA7YRjMnBcWk9IFwyIuQ1s0gfXIbnRRzudvi96FxgfHBQBGt2OSTozhKYROSsXF&#10;1vGDETaOrEFoFlESdMoD3eRqpRQ8fpESRCS6pqg05hEPwfk+jcVmzao2MN8pPpXAnlLCA02GKYuH&#10;Xqi2LDJyCOoRlVE8OHAyzrgzxSgkO4IqFvMH3tx0zIusBa0GfzEdno+Wfz5+DUQ1NS0pscxgw8+/&#10;fp5//z3/+UHKZE/voULUjUdcHN67AS/NXRwwmFQPMpj0Rz0E82ju6WKuGCLhGFxevXm9wgzH1GK5&#10;LMvVVaIp7nf7APGjcIakSU0DNi97yo6fII7QO0g6DJxWzU5pnReh3X/QgRwZNnqXv4n9P5i2CWxd&#10;2jYypkiRNI5a0iwO+2ESvnfNCXUffFBthzUtckHg3x0icuSi0o4RNhFhp7Ks6Valq/DvOqPuX9Lm&#10;F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ORMN4DYAAAACgEAAA8AAAAAAAAAAQAgAAAAIgAAAGRy&#10;cy9kb3ducmV2LnhtbFBLAQIUABQAAAAIAIdO4kAGTULjzAEAAJEDAAAOAAAAAAAAAAEAIAAAACcB&#10;AABkcnMvZTJvRG9jLnhtbFBLBQYAAAAABgAGAFkBAABlBQAAAAA=&#10;">
                <v:fill on="t" focussize="0,0"/>
                <v:stroke on="f"/>
                <v:imagedata o:title=""/>
                <o:lock v:ext="edit" aspectratio="f"/>
                <v:textbox style="mso-fit-shape-to-text:t;">
                  <w:txbxContent>
                    <w:p w14:paraId="67E5895D">
                      <w:pPr>
                        <w:jc w:val="center"/>
                        <w:rPr>
                          <w:b/>
                          <w:bCs/>
                          <w:sz w:val="32"/>
                          <w:szCs w:val="32"/>
                        </w:rPr>
                      </w:pPr>
                      <w:r>
                        <w:rPr>
                          <w:rFonts w:hint="eastAsia"/>
                          <w:b/>
                          <w:bCs/>
                          <w:sz w:val="32"/>
                          <w:szCs w:val="32"/>
                        </w:rPr>
                        <w:t>制定</w:t>
                      </w:r>
                    </w:p>
                  </w:txbxContent>
                </v:textbox>
              </v:shape>
            </w:pict>
          </mc:Fallback>
        </mc:AlternateContent>
      </w:r>
      <w:r>
        <w:rPr>
          <w:rFonts w:hint="eastAsia"/>
          <w:b/>
          <w:bCs/>
          <w:color w:val="auto"/>
          <w:sz w:val="32"/>
          <w:szCs w:val="32"/>
          <w:highlight w:val="none"/>
        </w:rPr>
        <w:t>中华人民共和国</w:t>
      </w:r>
      <w:r>
        <w:rPr>
          <w:b/>
          <w:bCs/>
          <w:color w:val="auto"/>
          <w:sz w:val="32"/>
          <w:szCs w:val="32"/>
          <w:highlight w:val="none"/>
        </w:rPr>
        <w:t>住房</w:t>
      </w:r>
      <w:r>
        <w:rPr>
          <w:rFonts w:hint="eastAsia"/>
          <w:b/>
          <w:bCs/>
          <w:color w:val="auto"/>
          <w:sz w:val="32"/>
          <w:szCs w:val="32"/>
          <w:highlight w:val="none"/>
        </w:rPr>
        <w:t>和</w:t>
      </w:r>
      <w:r>
        <w:rPr>
          <w:b/>
          <w:bCs/>
          <w:color w:val="auto"/>
          <w:sz w:val="32"/>
          <w:szCs w:val="32"/>
          <w:highlight w:val="none"/>
        </w:rPr>
        <w:t>城乡建设部</w:t>
      </w:r>
    </w:p>
    <w:p w14:paraId="59D497DD">
      <w:pPr>
        <w:ind w:right="2182" w:rightChars="1039"/>
        <w:jc w:val="distribute"/>
        <w:rPr>
          <w:b/>
          <w:bCs/>
          <w:color w:val="auto"/>
          <w:sz w:val="32"/>
          <w:szCs w:val="32"/>
          <w:highlight w:val="none"/>
        </w:rPr>
      </w:pPr>
      <w:r>
        <w:rPr>
          <w:rFonts w:hint="eastAsia"/>
          <w:b/>
          <w:color w:val="auto"/>
          <w:sz w:val="32"/>
          <w:szCs w:val="28"/>
          <w:highlight w:val="none"/>
        </w:rPr>
        <w:t xml:space="preserve">     国家</w:t>
      </w:r>
      <w:r>
        <w:rPr>
          <w:rFonts w:hint="eastAsia"/>
          <w:b/>
          <w:bCs/>
          <w:color w:val="auto"/>
          <w:sz w:val="32"/>
          <w:szCs w:val="32"/>
          <w:highlight w:val="none"/>
        </w:rPr>
        <w:t>市场监</w:t>
      </w:r>
      <w:r>
        <w:rPr>
          <w:rFonts w:hint="eastAsia"/>
          <w:b/>
          <w:color w:val="auto"/>
          <w:sz w:val="32"/>
          <w:szCs w:val="28"/>
          <w:highlight w:val="none"/>
        </w:rPr>
        <w:t>督</w:t>
      </w:r>
      <w:r>
        <w:rPr>
          <w:rFonts w:hint="eastAsia"/>
          <w:b/>
          <w:bCs/>
          <w:color w:val="auto"/>
          <w:sz w:val="32"/>
          <w:szCs w:val="32"/>
          <w:highlight w:val="none"/>
        </w:rPr>
        <w:t>管理</w:t>
      </w:r>
      <w:r>
        <w:rPr>
          <w:b/>
          <w:bCs/>
          <w:color w:val="auto"/>
          <w:sz w:val="32"/>
          <w:szCs w:val="32"/>
          <w:highlight w:val="none"/>
        </w:rPr>
        <w:t>总局</w:t>
      </w:r>
    </w:p>
    <w:p w14:paraId="32018A69">
      <w:pPr>
        <w:ind w:right="2182" w:rightChars="1039"/>
        <w:jc w:val="distribute"/>
        <w:rPr>
          <w:rFonts w:ascii="仿宋_GB2312" w:eastAsia="仿宋_GB2312"/>
          <w:color w:val="auto"/>
          <w:sz w:val="30"/>
          <w:szCs w:val="30"/>
          <w:highlight w:val="none"/>
        </w:rPr>
      </w:pPr>
    </w:p>
    <w:p w14:paraId="2BE2A67B">
      <w:pPr>
        <w:ind w:right="2182" w:rightChars="1039"/>
        <w:jc w:val="distribute"/>
        <w:rPr>
          <w:rFonts w:ascii="仿宋_GB2312" w:eastAsia="仿宋_GB2312"/>
          <w:color w:val="auto"/>
          <w:sz w:val="30"/>
          <w:szCs w:val="30"/>
          <w:highlight w:val="none"/>
        </w:rPr>
      </w:pPr>
    </w:p>
    <w:p w14:paraId="5F227AD1">
      <w:pPr>
        <w:ind w:right="2182" w:rightChars="1039"/>
        <w:jc w:val="distribute"/>
        <w:rPr>
          <w:rFonts w:ascii="仿宋_GB2312" w:eastAsia="仿宋_GB2312"/>
          <w:color w:val="auto"/>
          <w:sz w:val="30"/>
          <w:szCs w:val="30"/>
          <w:highlight w:val="none"/>
        </w:rPr>
        <w:sectPr>
          <w:footerReference r:id="rId8" w:type="first"/>
          <w:footerReference r:id="rId7" w:type="default"/>
          <w:pgSz w:w="11906" w:h="16838"/>
          <w:pgMar w:top="1440" w:right="1800" w:bottom="1440" w:left="1800" w:header="720" w:footer="998" w:gutter="0"/>
          <w:pgNumType w:fmt="decimal"/>
          <w:cols w:space="720" w:num="1"/>
          <w:titlePg/>
          <w:docGrid w:linePitch="326" w:charSpace="0"/>
        </w:sectPr>
      </w:pPr>
    </w:p>
    <w:p w14:paraId="14189E81">
      <w:pPr>
        <w:rPr>
          <w:rFonts w:ascii="仿宋_GB2312" w:eastAsia="仿宋_GB2312"/>
          <w:color w:val="auto"/>
          <w:sz w:val="30"/>
          <w:szCs w:val="30"/>
          <w:highlight w:val="none"/>
        </w:rPr>
      </w:pPr>
    </w:p>
    <w:p w14:paraId="45F62D44">
      <w:pPr>
        <w:rPr>
          <w:color w:val="auto"/>
          <w:highlight w:val="none"/>
        </w:rPr>
        <w:sectPr>
          <w:footerReference r:id="rId9" w:type="default"/>
          <w:type w:val="continuous"/>
          <w:pgSz w:w="11906" w:h="16838"/>
          <w:pgMar w:top="1440" w:right="1800" w:bottom="1440" w:left="1800" w:header="720" w:footer="998" w:gutter="0"/>
          <w:pgNumType w:fmt="decimal"/>
          <w:cols w:space="720" w:num="1"/>
          <w:titlePg/>
          <w:docGrid w:linePitch="326" w:charSpace="0"/>
        </w:sectPr>
      </w:pPr>
    </w:p>
    <w:bookmarkEnd w:id="865"/>
    <w:p w14:paraId="6825FE85">
      <w:pPr>
        <w:pStyle w:val="215"/>
        <w:keepNext w:val="0"/>
        <w:keepLines w:val="0"/>
        <w:widowControl/>
        <w:adjustRightInd w:val="0"/>
        <w:snapToGrid w:val="0"/>
        <w:spacing w:before="120" w:beforeLines="50" w:after="120" w:afterLines="50" w:line="440" w:lineRule="exact"/>
        <w:jc w:val="center"/>
        <w:rPr>
          <w:rFonts w:hint="eastAsia" w:cs="宋体"/>
          <w:color w:val="auto"/>
          <w:sz w:val="32"/>
          <w:szCs w:val="32"/>
          <w:highlight w:val="none"/>
        </w:rPr>
      </w:pPr>
      <w:bookmarkStart w:id="866" w:name="_Toc54862164"/>
      <w:r>
        <w:rPr>
          <w:rFonts w:hint="eastAsia" w:cs="宋体"/>
          <w:color w:val="auto"/>
          <w:sz w:val="32"/>
          <w:szCs w:val="32"/>
          <w:highlight w:val="none"/>
        </w:rPr>
        <w:t>第一部分 合同协议书</w:t>
      </w:r>
      <w:bookmarkEnd w:id="866"/>
    </w:p>
    <w:p w14:paraId="3D658D35">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发包人（全称）：</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p>
    <w:p w14:paraId="1266314B">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cs="宋体"/>
          <w:color w:val="auto"/>
          <w:szCs w:val="21"/>
          <w:highlight w:val="none"/>
        </w:rPr>
      </w:pPr>
      <w:r>
        <w:rPr>
          <w:rFonts w:hint="eastAsia" w:ascii="宋体" w:hAnsi="宋体" w:cs="宋体"/>
          <w:color w:val="auto"/>
          <w:szCs w:val="21"/>
          <w:highlight w:val="none"/>
        </w:rPr>
        <w:t>承包人（全称）：</w:t>
      </w:r>
      <w:r>
        <w:rPr>
          <w:rFonts w:hint="eastAsia" w:ascii="宋体" w:hAnsi="宋体" w:cs="宋体"/>
          <w:color w:val="auto"/>
          <w:szCs w:val="21"/>
          <w:highlight w:val="none"/>
          <w:u w:val="single"/>
        </w:rPr>
        <w:t xml:space="preserve">                                    </w:t>
      </w:r>
    </w:p>
    <w:p w14:paraId="1B6298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420" w:rightChars="-20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根据《中华人民共和国民法典》、《中华人民共和国建筑法》及有关法律规定，遵循平等、自愿、公平和诚实信用的原则，双方就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滁宁城际铁路相官车辆段光伏EPC项目</w:t>
      </w:r>
      <w:r>
        <w:rPr>
          <w:rFonts w:hint="eastAsia" w:cs="宋体"/>
          <w:color w:val="auto"/>
          <w:szCs w:val="21"/>
          <w:highlight w:val="none"/>
          <w:u w:val="single"/>
          <w:lang w:val="en-US" w:eastAsia="zh-CN"/>
        </w:rPr>
        <w:t xml:space="preserve"> </w:t>
      </w:r>
      <w:r>
        <w:rPr>
          <w:rFonts w:hint="eastAsia" w:ascii="宋体" w:hAnsi="宋体" w:cs="宋体"/>
          <w:color w:val="auto"/>
          <w:szCs w:val="21"/>
          <w:highlight w:val="none"/>
        </w:rPr>
        <w:t>的工程总承包及有关事项协商一致，共同达成如下协议：</w:t>
      </w:r>
    </w:p>
    <w:p w14:paraId="1A6401AF">
      <w:pPr>
        <w:pStyle w:val="216"/>
        <w:keepNext w:val="0"/>
        <w:keepLines w:val="0"/>
        <w:pageBreakBefore w:val="0"/>
        <w:widowControl/>
        <w:numPr>
          <w:ilvl w:val="0"/>
          <w:numId w:val="0"/>
        </w:numPr>
        <w:wordWrap/>
        <w:overflowPunct/>
        <w:topLinePunct w:val="0"/>
        <w:bidi w:val="0"/>
        <w:adjustRightInd w:val="0"/>
        <w:snapToGrid w:val="0"/>
        <w:spacing w:before="72" w:beforeLines="30" w:after="72" w:afterLines="30" w:line="440" w:lineRule="exact"/>
        <w:textAlignment w:val="auto"/>
        <w:rPr>
          <w:rFonts w:hint="eastAsia" w:cs="宋体"/>
          <w:bCs w:val="0"/>
          <w:color w:val="auto"/>
          <w:sz w:val="21"/>
          <w:szCs w:val="21"/>
          <w:highlight w:val="none"/>
        </w:rPr>
      </w:pPr>
      <w:bookmarkStart w:id="867" w:name="_Toc54862165"/>
      <w:r>
        <w:rPr>
          <w:rFonts w:hint="eastAsia" w:cs="宋体"/>
          <w:bCs w:val="0"/>
          <w:color w:val="auto"/>
          <w:sz w:val="21"/>
          <w:szCs w:val="21"/>
          <w:highlight w:val="none"/>
        </w:rPr>
        <w:t>一、工程概况</w:t>
      </w:r>
      <w:bookmarkEnd w:id="867"/>
    </w:p>
    <w:p w14:paraId="3C989859">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cs="宋体"/>
          <w:color w:val="auto"/>
          <w:szCs w:val="21"/>
          <w:highlight w:val="none"/>
        </w:rPr>
      </w:pPr>
      <w:r>
        <w:rPr>
          <w:rFonts w:hint="eastAsia" w:ascii="宋体" w:hAnsi="宋体" w:cs="宋体"/>
          <w:color w:val="auto"/>
          <w:szCs w:val="21"/>
          <w:highlight w:val="none"/>
        </w:rPr>
        <w:t>1. 工程名称：</w:t>
      </w:r>
      <w:r>
        <w:rPr>
          <w:rFonts w:hint="eastAsia" w:ascii="宋体" w:hAnsi="宋体" w:cs="宋体"/>
          <w:color w:val="auto"/>
          <w:szCs w:val="21"/>
          <w:highlight w:val="none"/>
          <w:u w:val="single"/>
          <w:lang w:val="en-US" w:eastAsia="zh-CN"/>
        </w:rPr>
        <w:t>滁宁城际铁路相官车辆段光伏EPC项目</w:t>
      </w:r>
      <w:r>
        <w:rPr>
          <w:rFonts w:hint="eastAsia" w:ascii="宋体" w:hAnsi="宋体" w:cs="宋体"/>
          <w:color w:val="auto"/>
          <w:szCs w:val="21"/>
          <w:highlight w:val="none"/>
        </w:rPr>
        <w:t>。</w:t>
      </w:r>
    </w:p>
    <w:p w14:paraId="34AC6A51">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cs="宋体"/>
          <w:color w:val="auto"/>
          <w:szCs w:val="21"/>
          <w:highlight w:val="none"/>
        </w:rPr>
      </w:pPr>
      <w:r>
        <w:rPr>
          <w:rFonts w:hint="eastAsia" w:ascii="宋体" w:hAnsi="宋体" w:cs="宋体"/>
          <w:color w:val="auto"/>
          <w:szCs w:val="21"/>
          <w:highlight w:val="none"/>
        </w:rPr>
        <w:t>2. 工程地点：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招标人指定地点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5E6B3FC">
      <w:pPr>
        <w:keepNext w:val="0"/>
        <w:keepLines w:val="0"/>
        <w:pageBreakBefore w:val="0"/>
        <w:widowControl/>
        <w:wordWrap/>
        <w:overflowPunct/>
        <w:topLinePunct w:val="0"/>
        <w:bidi w:val="0"/>
        <w:adjustRightInd w:val="0"/>
        <w:snapToGrid w:val="0"/>
        <w:spacing w:line="440" w:lineRule="exact"/>
        <w:ind w:firstLine="600"/>
        <w:jc w:val="left"/>
        <w:textAlignment w:val="auto"/>
        <w:rPr>
          <w:rFonts w:hint="default" w:ascii="宋体" w:hAnsi="宋体" w:cs="宋体"/>
          <w:color w:val="auto"/>
          <w:szCs w:val="21"/>
          <w:highlight w:val="none"/>
          <w:u w:val="single"/>
          <w:lang w:val="en-US" w:eastAsia="zh-CN"/>
        </w:rPr>
      </w:pPr>
      <w:r>
        <w:rPr>
          <w:rFonts w:hint="eastAsia" w:ascii="宋体" w:hAnsi="宋体" w:cs="宋体"/>
          <w:color w:val="auto"/>
          <w:szCs w:val="21"/>
          <w:highlight w:val="none"/>
        </w:rPr>
        <w:t>3. 工程审批、核准或备案文号：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none"/>
          <w:lang w:val="en-US" w:eastAsia="zh-CN"/>
        </w:rPr>
        <w:t>。</w:t>
      </w:r>
    </w:p>
    <w:p w14:paraId="3827B257">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cs="宋体"/>
          <w:color w:val="auto"/>
          <w:szCs w:val="21"/>
          <w:highlight w:val="none"/>
        </w:rPr>
      </w:pPr>
      <w:r>
        <w:rPr>
          <w:rFonts w:hint="eastAsia" w:ascii="宋体" w:hAnsi="宋体" w:cs="宋体"/>
          <w:color w:val="auto"/>
          <w:szCs w:val="21"/>
          <w:highlight w:val="none"/>
        </w:rPr>
        <w:t>4. 资金来源：</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lang w:val="en-US" w:eastAsia="zh-CN"/>
        </w:rPr>
        <w:t>自筹</w:t>
      </w:r>
      <w:r>
        <w:rPr>
          <w:rFonts w:hint="eastAsia" w:cs="宋体"/>
          <w:color w:val="auto"/>
          <w:szCs w:val="21"/>
          <w:highlight w:val="none"/>
          <w:u w:val="single"/>
        </w:rPr>
        <w:t>资金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FE54D77">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5.工程内容及规模：</w:t>
      </w:r>
      <w:r>
        <w:rPr>
          <w:rFonts w:hint="eastAsia" w:ascii="宋体" w:hAnsi="宋体" w:eastAsia="宋体" w:cs="宋体"/>
          <w:color w:val="auto"/>
          <w:szCs w:val="21"/>
          <w:highlight w:val="none"/>
          <w:u w:val="single"/>
          <w:lang w:eastAsia="zh-CN"/>
        </w:rPr>
        <w:t>滁宁城际铁路相官车辆段</w:t>
      </w:r>
      <w:r>
        <w:rPr>
          <w:rFonts w:hint="eastAsia" w:ascii="宋体" w:hAnsi="宋体" w:eastAsia="宋体" w:cs="宋体"/>
          <w:color w:val="auto"/>
          <w:szCs w:val="21"/>
          <w:highlight w:val="none"/>
          <w:u w:val="single"/>
          <w:lang w:val="en-US" w:eastAsia="zh-CN"/>
        </w:rPr>
        <w:t>利用基础设施分布式光伏发电项目，装机容量规模约0.8</w:t>
      </w:r>
      <w:r>
        <w:rPr>
          <w:rFonts w:hint="eastAsia" w:ascii="宋体" w:hAnsi="宋体" w:cs="宋体"/>
          <w:color w:val="auto"/>
          <w:szCs w:val="21"/>
          <w:highlight w:val="none"/>
          <w:u w:val="single"/>
          <w:lang w:val="en-US" w:eastAsia="zh-CN"/>
        </w:rPr>
        <w:t>MWP</w:t>
      </w:r>
      <w:r>
        <w:rPr>
          <w:rFonts w:hint="eastAsia" w:ascii="宋体" w:hAnsi="宋体" w:eastAsia="宋体" w:cs="宋体"/>
          <w:color w:val="auto"/>
          <w:szCs w:val="21"/>
          <w:highlight w:val="none"/>
          <w:u w:val="single"/>
          <w:lang w:val="en-US" w:eastAsia="zh-CN"/>
        </w:rPr>
        <w:t>。实际装机容量以项目验收结算为准，项目采用低压并网，自发自用、余电上网模式</w:t>
      </w:r>
      <w:r>
        <w:rPr>
          <w:rFonts w:hint="eastAsia" w:ascii="宋体" w:hAnsi="宋体" w:eastAsia="宋体" w:cs="宋体"/>
          <w:color w:val="auto"/>
          <w:szCs w:val="21"/>
          <w:highlight w:val="none"/>
          <w:lang w:val="en-US" w:eastAsia="zh-CN"/>
        </w:rPr>
        <w:t>。</w:t>
      </w:r>
    </w:p>
    <w:p w14:paraId="746A8EFF">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工程承包范围：</w:t>
      </w:r>
      <w:bookmarkStart w:id="868" w:name="_Toc54862166"/>
      <w:r>
        <w:rPr>
          <w:rFonts w:hint="eastAsia" w:ascii="宋体" w:hAnsi="宋体" w:eastAsia="宋体" w:cs="宋体"/>
          <w:color w:val="auto"/>
          <w:szCs w:val="21"/>
          <w:highlight w:val="none"/>
          <w:u w:val="single"/>
          <w:lang w:val="en-US" w:eastAsia="zh-CN"/>
        </w:rPr>
        <w:t>包括但不限于：①设计部分：包括但不限于本项目投资分析、可研报告编制（含单个项目及整个标段项目） 、初步设计方案（含设计基础排布，方案需经专家评审通过）、屋面荷载鉴定报告、加固设计方案（如需）、施工图设计、竣工图编制、概算编制、配合图纸审查等，以上如涉及必须提供。中标人负责协助招标人办理光伏绿证。②施工部分：包括但不限于备案、并网接入等相关手续办理、施工图范围内的所有工作内容、屋顶加固（如需）、屋面瓦更换（如需）、土建及安装施工等工作、本工程内所有设备和系统的供货安装、检验、试验、竣工验收、全站全容量并网240小时安全稳定试运行(出具试运行报告)、消缺、整套系统启动的性能保证的考核验收、技术和售后服务、人员培训、直至移交等全部工作。本项目的逆变器、数据采集器、远红及运维平台所需要的相关硬件及软件等设备（详见</w:t>
      </w:r>
      <w:r>
        <w:rPr>
          <w:rFonts w:hint="eastAsia" w:ascii="宋体" w:hAnsi="宋体" w:eastAsia="宋体" w:cs="宋体"/>
          <w:color w:val="auto"/>
          <w:szCs w:val="21"/>
          <w:highlight w:val="none"/>
          <w:u w:val="single"/>
        </w:rPr>
        <w:t>技术标准和要求</w:t>
      </w:r>
      <w:r>
        <w:rPr>
          <w:rFonts w:hint="eastAsia" w:ascii="宋体" w:hAnsi="宋体" w:eastAsia="宋体" w:cs="宋体"/>
          <w:color w:val="auto"/>
          <w:szCs w:val="21"/>
          <w:highlight w:val="none"/>
          <w:u w:val="single"/>
          <w:lang w:val="en-US" w:eastAsia="zh-CN"/>
        </w:rPr>
        <w:t>），由中标单位设计和采购，并负责接入招标人已建或者后续要建设的能源管理平台便于后期统一运营管理， 相关费用均在投标报价中。移交前的运维管理， 竣工验收交付后， 光伏板产品质保10年、发电量质保25年、逆变器质保5年，其他电器设备2年质保。</w:t>
      </w:r>
    </w:p>
    <w:p w14:paraId="02C267BD">
      <w:pPr>
        <w:keepNext w:val="0"/>
        <w:keepLines w:val="0"/>
        <w:pageBreakBefore w:val="0"/>
        <w:widowControl/>
        <w:numPr>
          <w:ilvl w:val="0"/>
          <w:numId w:val="0"/>
        </w:numPr>
        <w:wordWrap/>
        <w:overflowPunct/>
        <w:topLinePunct w:val="0"/>
        <w:bidi w:val="0"/>
        <w:adjustRightInd w:val="0"/>
        <w:snapToGrid w:val="0"/>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二、合同工期</w:t>
      </w:r>
      <w:bookmarkEnd w:id="868"/>
    </w:p>
    <w:p w14:paraId="6E253293">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cs="宋体"/>
          <w:color w:val="auto"/>
          <w:szCs w:val="21"/>
          <w:highlight w:val="none"/>
        </w:rPr>
      </w:pPr>
      <w:r>
        <w:rPr>
          <w:rFonts w:hint="eastAsia" w:ascii="宋体" w:hAnsi="宋体" w:cs="宋体"/>
          <w:color w:val="auto"/>
          <w:szCs w:val="21"/>
          <w:highlight w:val="none"/>
        </w:rPr>
        <w:t>计划开工日期：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052CAB49">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cs="宋体"/>
          <w:color w:val="auto"/>
          <w:szCs w:val="21"/>
          <w:highlight w:val="none"/>
        </w:rPr>
      </w:pPr>
      <w:r>
        <w:rPr>
          <w:rFonts w:hint="eastAsia" w:ascii="宋体" w:hAnsi="宋体" w:cs="宋体"/>
          <w:color w:val="auto"/>
          <w:szCs w:val="21"/>
          <w:highlight w:val="none"/>
        </w:rPr>
        <w:t>计划竣工日期：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1105B128">
      <w:pPr>
        <w:pStyle w:val="216"/>
        <w:keepNext w:val="0"/>
        <w:keepLines w:val="0"/>
        <w:pageBreakBefore w:val="0"/>
        <w:widowControl/>
        <w:numPr>
          <w:ilvl w:val="0"/>
          <w:numId w:val="0"/>
        </w:numPr>
        <w:wordWrap/>
        <w:overflowPunct/>
        <w:topLinePunct w:val="0"/>
        <w:bidi w:val="0"/>
        <w:adjustRightInd w:val="0"/>
        <w:snapToGrid w:val="0"/>
        <w:spacing w:before="72" w:beforeLines="30" w:after="72" w:afterLines="30" w:line="440" w:lineRule="exact"/>
        <w:ind w:firstLine="630" w:firstLineChars="300"/>
        <w:textAlignment w:val="auto"/>
        <w:rPr>
          <w:rFonts w:hint="eastAsia" w:ascii="宋体" w:hAnsi="宋体" w:eastAsia="宋体" w:cs="宋体"/>
          <w:b w:val="0"/>
          <w:bCs/>
          <w:color w:val="auto"/>
          <w:sz w:val="21"/>
          <w:szCs w:val="21"/>
          <w:highlight w:val="none"/>
          <w:lang w:val="en-US" w:eastAsia="zh-CN"/>
        </w:rPr>
      </w:pPr>
      <w:bookmarkStart w:id="869" w:name="_Toc54862167"/>
      <w:r>
        <w:rPr>
          <w:rFonts w:hint="eastAsia" w:ascii="宋体" w:hAnsi="宋体" w:eastAsia="宋体" w:cs="宋体"/>
          <w:b w:val="0"/>
          <w:bCs/>
          <w:color w:val="auto"/>
          <w:sz w:val="21"/>
          <w:szCs w:val="21"/>
          <w:highlight w:val="none"/>
          <w:lang w:val="en-US" w:eastAsia="zh-CN"/>
        </w:rPr>
        <w:t>竣工验收不高于90个日历天，并网验收不高于60个日历天（具体开工日期以开工通知为准或招标时由招标人根据实际情况自行规定）。</w:t>
      </w:r>
    </w:p>
    <w:p w14:paraId="4AA4F2B8">
      <w:pPr>
        <w:pStyle w:val="216"/>
        <w:keepNext w:val="0"/>
        <w:keepLines w:val="0"/>
        <w:pageBreakBefore w:val="0"/>
        <w:widowControl/>
        <w:numPr>
          <w:ilvl w:val="0"/>
          <w:numId w:val="0"/>
        </w:numPr>
        <w:wordWrap/>
        <w:overflowPunct/>
        <w:topLinePunct w:val="0"/>
        <w:bidi w:val="0"/>
        <w:adjustRightInd w:val="0"/>
        <w:snapToGrid w:val="0"/>
        <w:spacing w:before="72" w:beforeLines="30" w:after="72" w:afterLines="30" w:line="440" w:lineRule="exact"/>
        <w:ind w:firstLine="630" w:firstLineChars="3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注：以投标人自报的承诺工期为考核标准，每延期一天将处以5000元违约金。工期提前不奖励。</w:t>
      </w:r>
    </w:p>
    <w:p w14:paraId="5411213F">
      <w:pPr>
        <w:pStyle w:val="216"/>
        <w:keepNext w:val="0"/>
        <w:keepLines w:val="0"/>
        <w:pageBreakBefore w:val="0"/>
        <w:widowControl/>
        <w:numPr>
          <w:ilvl w:val="0"/>
          <w:numId w:val="0"/>
        </w:numPr>
        <w:wordWrap/>
        <w:overflowPunct/>
        <w:topLinePunct w:val="0"/>
        <w:bidi w:val="0"/>
        <w:adjustRightInd w:val="0"/>
        <w:snapToGrid w:val="0"/>
        <w:spacing w:before="72" w:beforeLines="30" w:after="72" w:afterLines="30" w:line="440" w:lineRule="exact"/>
        <w:textAlignment w:val="auto"/>
        <w:rPr>
          <w:rFonts w:hint="eastAsia" w:cs="宋体"/>
          <w:bCs w:val="0"/>
          <w:color w:val="auto"/>
          <w:sz w:val="21"/>
          <w:szCs w:val="21"/>
          <w:highlight w:val="none"/>
        </w:rPr>
      </w:pPr>
      <w:r>
        <w:rPr>
          <w:rFonts w:hint="eastAsia" w:cs="宋体"/>
          <w:bCs w:val="0"/>
          <w:color w:val="auto"/>
          <w:sz w:val="21"/>
          <w:szCs w:val="21"/>
          <w:highlight w:val="none"/>
        </w:rPr>
        <w:t>三、质量标准</w:t>
      </w:r>
      <w:bookmarkEnd w:id="869"/>
    </w:p>
    <w:p w14:paraId="5325C81E">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eastAsia="宋体" w:cs="宋体"/>
          <w:color w:val="auto"/>
          <w:szCs w:val="21"/>
          <w:highlight w:val="none"/>
          <w:lang w:val="en-US" w:eastAsia="zh-CN"/>
        </w:rPr>
      </w:pPr>
      <w:bookmarkStart w:id="870" w:name="_Toc54862168"/>
      <w:r>
        <w:rPr>
          <w:rFonts w:hint="eastAsia" w:ascii="宋体" w:hAnsi="宋体" w:eastAsia="宋体" w:cs="宋体"/>
          <w:color w:val="auto"/>
          <w:szCs w:val="21"/>
          <w:highlight w:val="none"/>
        </w:rPr>
        <w:t>质量必须达到国家工程施工质量验收合格标准。</w:t>
      </w:r>
      <w:r>
        <w:rPr>
          <w:rFonts w:hint="eastAsia" w:ascii="宋体" w:hAnsi="宋体" w:eastAsia="宋体" w:cs="宋体"/>
          <w:color w:val="auto"/>
          <w:szCs w:val="21"/>
          <w:highlight w:val="none"/>
          <w:lang w:val="en-US" w:eastAsia="zh-CN"/>
        </w:rPr>
        <w:t xml:space="preserve">符合 GB/T 50796-2012《光伏发电工程验收规范》，确保通过供电公司验收、并网。 </w:t>
      </w:r>
    </w:p>
    <w:p w14:paraId="62A4A045">
      <w:pPr>
        <w:pStyle w:val="216"/>
        <w:keepNext w:val="0"/>
        <w:keepLines w:val="0"/>
        <w:pageBreakBefore w:val="0"/>
        <w:widowControl/>
        <w:numPr>
          <w:ilvl w:val="0"/>
          <w:numId w:val="0"/>
        </w:numPr>
        <w:wordWrap/>
        <w:overflowPunct/>
        <w:topLinePunct w:val="0"/>
        <w:bidi w:val="0"/>
        <w:adjustRightInd w:val="0"/>
        <w:snapToGrid w:val="0"/>
        <w:spacing w:before="72" w:beforeLines="30" w:after="72" w:afterLines="30" w:line="440" w:lineRule="exact"/>
        <w:textAlignment w:val="auto"/>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四、签约合同价与合同价格形式</w:t>
      </w:r>
      <w:bookmarkEnd w:id="870"/>
    </w:p>
    <w:p w14:paraId="55C2C52E">
      <w:pPr>
        <w:keepNext w:val="0"/>
        <w:keepLines w:val="0"/>
        <w:pageBreakBefore w:val="0"/>
        <w:widowControl/>
        <w:wordWrap/>
        <w:overflowPunct/>
        <w:topLinePunct w:val="0"/>
        <w:bidi w:val="0"/>
        <w:adjustRightInd w:val="0"/>
        <w:snapToGrid w:val="0"/>
        <w:spacing w:line="440" w:lineRule="exact"/>
        <w:ind w:firstLine="6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1.本合同固定单价：为人民币【     】元/W</w:t>
      </w:r>
      <w:r>
        <w:rPr>
          <w:rFonts w:hint="eastAsia" w:ascii="宋体" w:hAnsi="宋体" w:cs="宋体"/>
          <w:color w:val="auto"/>
          <w:szCs w:val="21"/>
          <w:highlight w:val="none"/>
          <w:lang w:val="en-US" w:eastAsia="zh-CN"/>
        </w:rPr>
        <w:t>P</w:t>
      </w:r>
      <w:r>
        <w:rPr>
          <w:rFonts w:hint="eastAsia" w:ascii="宋体" w:hAnsi="宋体" w:eastAsia="宋体" w:cs="宋体"/>
          <w:color w:val="auto"/>
          <w:szCs w:val="21"/>
          <w:highlight w:val="none"/>
          <w:lang w:val="en-US" w:eastAsia="zh-CN"/>
        </w:rPr>
        <w:t>（含税）。</w:t>
      </w:r>
    </w:p>
    <w:p w14:paraId="21E6AA27">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最终结算方式=按照项目通过竣工验收且实际并网发电的装机容量直流侧*中标单价（含税）</w:t>
      </w:r>
      <w:r>
        <w:rPr>
          <w:rFonts w:hint="eastAsia" w:ascii="宋体" w:hAnsi="宋体" w:eastAsia="宋体" w:cs="宋体"/>
          <w:color w:val="auto"/>
          <w:szCs w:val="21"/>
          <w:highlight w:val="none"/>
          <w:lang w:val="en-US" w:eastAsia="zh-CN"/>
        </w:rPr>
        <w:t>2. 合同价格形式：</w:t>
      </w:r>
    </w:p>
    <w:p w14:paraId="56FD0DC3">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eastAsia="宋体" w:cs="宋体"/>
          <w:color w:val="auto"/>
          <w:szCs w:val="21"/>
          <w:highlight w:val="none"/>
          <w:lang w:val="en-US" w:eastAsia="zh-CN"/>
        </w:rPr>
      </w:pPr>
      <w:bookmarkStart w:id="871" w:name="_Toc54862169"/>
      <w:r>
        <w:rPr>
          <w:rFonts w:hint="eastAsia" w:ascii="宋体" w:hAnsi="宋体" w:eastAsia="宋体" w:cs="宋体"/>
          <w:color w:val="auto"/>
          <w:szCs w:val="21"/>
          <w:highlight w:val="none"/>
          <w:lang w:val="en-US" w:eastAsia="zh-CN"/>
        </w:rPr>
        <w:t>合同价格形式为固定单价合同。</w:t>
      </w:r>
    </w:p>
    <w:p w14:paraId="3E96B083">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合同单价包含但不限于调查、可研报告、测量、建筑物荷载测试、设计方案和施工图设计、材料采购（除甲供材外）、设备采购、施工、调试、验收、档案移交、缺陷责任期内的缺陷修复、保修及施工期间的指导和配合服务等所发生的一切费用（包含但不限于自行收集相关规划资料、设备维护更新、办公费用及人员工资、交通、保险、税费等）、并网验收所涉及全部手续办理费用、临时设施费等以及招标文件规定的与本次招标相关的等所有费用，合同单价含税（元/W）不予调整。</w:t>
      </w:r>
    </w:p>
    <w:p w14:paraId="0CEF35FA">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合同当事人对合同价格形式的其他约定：</w:t>
      </w:r>
      <w:r>
        <w:rPr>
          <w:rFonts w:hint="eastAsia" w:ascii="宋体" w:hAnsi="宋体" w:eastAsia="宋体" w:cs="宋体"/>
          <w:color w:val="auto"/>
          <w:szCs w:val="21"/>
          <w:highlight w:val="none"/>
          <w:u w:val="single"/>
        </w:rPr>
        <w:t xml:space="preserve">  详见专用合同条件    </w:t>
      </w:r>
      <w:r>
        <w:rPr>
          <w:rFonts w:hint="eastAsia" w:ascii="宋体" w:hAnsi="宋体" w:eastAsia="宋体" w:cs="宋体"/>
          <w:color w:val="auto"/>
          <w:szCs w:val="21"/>
          <w:highlight w:val="none"/>
        </w:rPr>
        <w:t>。</w:t>
      </w:r>
    </w:p>
    <w:p w14:paraId="3C14E9A5">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3.项目装机容量</w:t>
      </w:r>
    </w:p>
    <w:p w14:paraId="7823CA95">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项目拟装机容量为【   kWp】，实际装机容量以项目通过竣工验收且并网发电的装机容量为准。</w:t>
      </w:r>
    </w:p>
    <w:p w14:paraId="60B3C0D9">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4.安全目标</w:t>
      </w:r>
    </w:p>
    <w:p w14:paraId="42D0384E">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杜绝人身死亡、伤害事故；杜绝重大机械设备事故；杜绝重大火灾事故；杜绝主要设备的损坏事故；杜绝负主要责任的重大交通事故；杜绝重大环境污染事故；杜绝重大垮（坍）塌事故；避免和严格控制一般安全事故。</w:t>
      </w:r>
    </w:p>
    <w:p w14:paraId="72CD5DD4">
      <w:pPr>
        <w:pStyle w:val="216"/>
        <w:keepNext w:val="0"/>
        <w:keepLines w:val="0"/>
        <w:pageBreakBefore w:val="0"/>
        <w:widowControl/>
        <w:numPr>
          <w:ilvl w:val="0"/>
          <w:numId w:val="0"/>
        </w:numPr>
        <w:wordWrap/>
        <w:overflowPunct/>
        <w:topLinePunct w:val="0"/>
        <w:bidi w:val="0"/>
        <w:adjustRightInd w:val="0"/>
        <w:snapToGrid w:val="0"/>
        <w:spacing w:before="72" w:beforeLines="30" w:after="72" w:afterLines="30" w:line="440" w:lineRule="exact"/>
        <w:textAlignment w:val="auto"/>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五、</w:t>
      </w:r>
      <w:bookmarkEnd w:id="871"/>
      <w:r>
        <w:rPr>
          <w:rFonts w:hint="eastAsia" w:ascii="宋体" w:hAnsi="宋体" w:eastAsia="宋体" w:cs="宋体"/>
          <w:bCs w:val="0"/>
          <w:color w:val="auto"/>
          <w:sz w:val="21"/>
          <w:szCs w:val="21"/>
          <w:highlight w:val="none"/>
        </w:rPr>
        <w:t>项目负责人</w:t>
      </w:r>
    </w:p>
    <w:p w14:paraId="5CF7E302">
      <w:pPr>
        <w:keepNext w:val="0"/>
        <w:keepLines w:val="0"/>
        <w:pageBreakBefore w:val="0"/>
        <w:widowControl/>
        <w:wordWrap/>
        <w:overflowPunct/>
        <w:topLinePunct w:val="0"/>
        <w:bidi w:val="0"/>
        <w:adjustRightInd w:val="0"/>
        <w:snapToGrid w:val="0"/>
        <w:spacing w:line="440" w:lineRule="exact"/>
        <w:ind w:firstLine="600"/>
        <w:textAlignment w:val="auto"/>
        <w:rPr>
          <w:rFonts w:ascii="宋体" w:hAnsi="宋体" w:cs="宋体"/>
          <w:color w:val="auto"/>
          <w:szCs w:val="21"/>
          <w:highlight w:val="none"/>
        </w:rPr>
      </w:pPr>
      <w:r>
        <w:rPr>
          <w:rFonts w:hint="eastAsia" w:ascii="宋体" w:hAnsi="宋体" w:cs="宋体"/>
          <w:color w:val="auto"/>
          <w:szCs w:val="21"/>
          <w:highlight w:val="none"/>
          <w:lang w:val="en-US" w:eastAsia="zh-CN"/>
        </w:rPr>
        <w:t>项目经理：</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；设计负责人：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B69617E">
      <w:pPr>
        <w:pStyle w:val="216"/>
        <w:keepNext w:val="0"/>
        <w:keepLines w:val="0"/>
        <w:pageBreakBefore w:val="0"/>
        <w:widowControl/>
        <w:numPr>
          <w:ilvl w:val="0"/>
          <w:numId w:val="0"/>
        </w:numPr>
        <w:wordWrap/>
        <w:overflowPunct/>
        <w:topLinePunct w:val="0"/>
        <w:bidi w:val="0"/>
        <w:adjustRightInd w:val="0"/>
        <w:snapToGrid w:val="0"/>
        <w:spacing w:before="72" w:beforeLines="30" w:after="72" w:afterLines="30" w:line="440" w:lineRule="exact"/>
        <w:textAlignment w:val="auto"/>
        <w:rPr>
          <w:rFonts w:hint="eastAsia" w:cs="宋体"/>
          <w:bCs w:val="0"/>
          <w:color w:val="auto"/>
          <w:sz w:val="21"/>
          <w:szCs w:val="21"/>
          <w:highlight w:val="none"/>
        </w:rPr>
      </w:pPr>
      <w:bookmarkStart w:id="872" w:name="_Toc54862170"/>
      <w:r>
        <w:rPr>
          <w:rFonts w:hint="eastAsia" w:cs="宋体"/>
          <w:bCs w:val="0"/>
          <w:color w:val="auto"/>
          <w:sz w:val="21"/>
          <w:szCs w:val="21"/>
          <w:highlight w:val="none"/>
        </w:rPr>
        <w:t>六、合同文件构成</w:t>
      </w:r>
      <w:bookmarkEnd w:id="872"/>
    </w:p>
    <w:p w14:paraId="0E9E0E6D">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本协议书与下列文件一起构成合同文件： </w:t>
      </w:r>
    </w:p>
    <w:p w14:paraId="798658BB">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cs="宋体"/>
          <w:color w:val="auto"/>
          <w:szCs w:val="21"/>
          <w:highlight w:val="none"/>
        </w:rPr>
      </w:pPr>
      <w:r>
        <w:rPr>
          <w:rFonts w:hint="eastAsia" w:ascii="宋体" w:hAnsi="宋体" w:cs="宋体"/>
          <w:color w:val="auto"/>
          <w:szCs w:val="21"/>
          <w:highlight w:val="none"/>
        </w:rPr>
        <w:t>（1） 中标通知书（如果有）；</w:t>
      </w:r>
    </w:p>
    <w:p w14:paraId="4387A790">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cs="宋体"/>
          <w:color w:val="auto"/>
          <w:szCs w:val="21"/>
          <w:highlight w:val="none"/>
        </w:rPr>
      </w:pPr>
      <w:r>
        <w:rPr>
          <w:rFonts w:hint="eastAsia" w:ascii="宋体" w:hAnsi="宋体" w:cs="宋体"/>
          <w:color w:val="auto"/>
          <w:szCs w:val="21"/>
          <w:highlight w:val="none"/>
        </w:rPr>
        <w:t>（2） 投标函及投标函附录（如果有）；</w:t>
      </w:r>
    </w:p>
    <w:p w14:paraId="3A7AE2AD">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cs="宋体"/>
          <w:color w:val="auto"/>
          <w:szCs w:val="21"/>
          <w:highlight w:val="none"/>
        </w:rPr>
      </w:pPr>
      <w:r>
        <w:rPr>
          <w:rFonts w:hint="eastAsia" w:ascii="宋体" w:hAnsi="宋体" w:cs="宋体"/>
          <w:color w:val="auto"/>
          <w:szCs w:val="21"/>
          <w:highlight w:val="none"/>
        </w:rPr>
        <w:t>（3） 专用合同条件及《发包人要求》等附件；</w:t>
      </w:r>
    </w:p>
    <w:p w14:paraId="2BFB2906">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cs="宋体"/>
          <w:color w:val="auto"/>
          <w:szCs w:val="21"/>
          <w:highlight w:val="none"/>
        </w:rPr>
      </w:pPr>
      <w:r>
        <w:rPr>
          <w:rFonts w:hint="eastAsia" w:ascii="宋体" w:hAnsi="宋体" w:cs="宋体"/>
          <w:color w:val="auto"/>
          <w:szCs w:val="21"/>
          <w:highlight w:val="none"/>
        </w:rPr>
        <w:t>（4） 通用合同条件；</w:t>
      </w:r>
    </w:p>
    <w:p w14:paraId="301FBEE4">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（5） 承包人建议书； </w:t>
      </w:r>
    </w:p>
    <w:p w14:paraId="4B588C77">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cs="宋体"/>
          <w:color w:val="auto"/>
          <w:szCs w:val="21"/>
          <w:highlight w:val="none"/>
        </w:rPr>
      </w:pPr>
      <w:r>
        <w:rPr>
          <w:rFonts w:hint="eastAsia" w:ascii="宋体" w:hAnsi="宋体" w:cs="宋体"/>
          <w:color w:val="auto"/>
          <w:szCs w:val="21"/>
          <w:highlight w:val="none"/>
        </w:rPr>
        <w:t>（6） 价格清单；</w:t>
      </w:r>
    </w:p>
    <w:p w14:paraId="0C3917CF">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cs="宋体"/>
          <w:color w:val="auto"/>
          <w:szCs w:val="21"/>
          <w:highlight w:val="none"/>
        </w:rPr>
      </w:pPr>
      <w:r>
        <w:rPr>
          <w:rFonts w:hint="eastAsia" w:ascii="宋体" w:hAnsi="宋体" w:cs="宋体"/>
          <w:color w:val="auto"/>
          <w:szCs w:val="21"/>
          <w:highlight w:val="none"/>
        </w:rPr>
        <w:t>（7） 双方约定的其他合同文件。</w:t>
      </w:r>
    </w:p>
    <w:p w14:paraId="71DE56C1">
      <w:pPr>
        <w:keepNext w:val="0"/>
        <w:keepLines w:val="0"/>
        <w:pageBreakBefore w:val="0"/>
        <w:wordWrap/>
        <w:overflowPunct/>
        <w:topLinePunct w:val="0"/>
        <w:autoSpaceDE w:val="0"/>
        <w:autoSpaceDN w:val="0"/>
        <w:bidi w:val="0"/>
        <w:adjustRightInd w:val="0"/>
        <w:snapToGrid w:val="0"/>
        <w:spacing w:line="44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在合同订立及履行过程中形成的与合同有关的文件均构成合同文件组成部分。若招标文件与合同不符时，以招标文件为准，若合同专用条款与通用条款不符时，以专用条款为准，补充条款优先于专用条款。</w:t>
      </w:r>
    </w:p>
    <w:p w14:paraId="7779B858">
      <w:pPr>
        <w:keepNext w:val="0"/>
        <w:keepLines w:val="0"/>
        <w:pageBreakBefore w:val="0"/>
        <w:wordWrap/>
        <w:overflowPunct/>
        <w:topLinePunct w:val="0"/>
        <w:autoSpaceDE w:val="0"/>
        <w:autoSpaceDN w:val="0"/>
        <w:bidi w:val="0"/>
        <w:adjustRightInd w:val="0"/>
        <w:snapToGrid w:val="0"/>
        <w:spacing w:line="44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上述各项合同文件包括合同当事人就该项合同文件所作出的补充和修改，属于同一类内容的文件，应以最新签署的为准。专用合同条款及其附件须经合同当事人签字或盖章。</w:t>
      </w:r>
    </w:p>
    <w:p w14:paraId="370FFDF2">
      <w:pPr>
        <w:pStyle w:val="216"/>
        <w:keepNext w:val="0"/>
        <w:keepLines w:val="0"/>
        <w:pageBreakBefore w:val="0"/>
        <w:widowControl/>
        <w:numPr>
          <w:ilvl w:val="0"/>
          <w:numId w:val="0"/>
        </w:numPr>
        <w:wordWrap/>
        <w:overflowPunct/>
        <w:topLinePunct w:val="0"/>
        <w:bidi w:val="0"/>
        <w:adjustRightInd w:val="0"/>
        <w:snapToGrid w:val="0"/>
        <w:spacing w:before="72" w:beforeLines="30" w:after="72" w:afterLines="30" w:line="440" w:lineRule="exact"/>
        <w:textAlignment w:val="auto"/>
        <w:rPr>
          <w:rFonts w:hint="eastAsia" w:cs="宋体"/>
          <w:bCs w:val="0"/>
          <w:color w:val="auto"/>
          <w:sz w:val="21"/>
          <w:szCs w:val="21"/>
          <w:highlight w:val="none"/>
        </w:rPr>
      </w:pPr>
      <w:bookmarkStart w:id="873" w:name="_Toc54862171"/>
      <w:r>
        <w:rPr>
          <w:rFonts w:hint="eastAsia" w:cs="宋体"/>
          <w:bCs w:val="0"/>
          <w:color w:val="auto"/>
          <w:sz w:val="21"/>
          <w:szCs w:val="21"/>
          <w:highlight w:val="none"/>
        </w:rPr>
        <w:t>七、承诺</w:t>
      </w:r>
      <w:bookmarkEnd w:id="873"/>
    </w:p>
    <w:p w14:paraId="3E3307A8">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1.发包人承诺按照在承包人按照合同约定及发包人要求全部履行本合同义务的情况下，发包人按合同约定向承包人支付工程款项。</w:t>
      </w:r>
    </w:p>
    <w:p w14:paraId="2D726F78">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2.承包人承诺</w:t>
      </w:r>
    </w:p>
    <w:p w14:paraId="574DE338">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承包人必须在施工前和设备采购前向发包人提交施工图和设备采购的技术协议，以便发包人进行审核，经发包人审核同意后才能施工和采购设备。</w:t>
      </w:r>
    </w:p>
    <w:p w14:paraId="4016F7A3">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承包人在施工过程中应接受发包人质监人员的质量抽查，承包人应当予以无条件配合。</w:t>
      </w:r>
    </w:p>
    <w:p w14:paraId="464DA3A9">
      <w:pPr>
        <w:keepNext w:val="0"/>
        <w:keepLines w:val="0"/>
        <w:pageBreakBefore w:val="0"/>
        <w:widowControl/>
        <w:wordWrap/>
        <w:overflowPunct/>
        <w:topLinePunct w:val="0"/>
        <w:bidi w:val="0"/>
        <w:adjustRightInd w:val="0"/>
        <w:snapToGrid w:val="0"/>
        <w:spacing w:line="440" w:lineRule="exact"/>
        <w:ind w:firstLine="600"/>
        <w:textAlignment w:val="auto"/>
        <w:rPr>
          <w:rFonts w:ascii="宋体" w:hAnsi="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发包人和承包人通过招投标形式签</w:t>
      </w:r>
      <w:r>
        <w:rPr>
          <w:rFonts w:hint="eastAsia" w:ascii="宋体" w:hAnsi="宋体" w:cs="宋体"/>
          <w:color w:val="auto"/>
          <w:szCs w:val="21"/>
          <w:highlight w:val="none"/>
        </w:rPr>
        <w:t>订合同的，双方理解并承诺不再就同一工程另行签订与合同实质性内容相背离的协议。</w:t>
      </w:r>
    </w:p>
    <w:p w14:paraId="2A47D460">
      <w:pPr>
        <w:pStyle w:val="216"/>
        <w:keepNext w:val="0"/>
        <w:keepLines w:val="0"/>
        <w:pageBreakBefore w:val="0"/>
        <w:widowControl/>
        <w:numPr>
          <w:ilvl w:val="0"/>
          <w:numId w:val="0"/>
        </w:numPr>
        <w:wordWrap/>
        <w:overflowPunct/>
        <w:topLinePunct w:val="0"/>
        <w:bidi w:val="0"/>
        <w:adjustRightInd w:val="0"/>
        <w:snapToGrid w:val="0"/>
        <w:spacing w:before="72" w:beforeLines="30" w:after="72" w:afterLines="30" w:line="440" w:lineRule="exact"/>
        <w:textAlignment w:val="auto"/>
        <w:rPr>
          <w:rFonts w:hint="eastAsia" w:cs="宋体"/>
          <w:bCs w:val="0"/>
          <w:color w:val="auto"/>
          <w:sz w:val="21"/>
          <w:szCs w:val="21"/>
          <w:highlight w:val="none"/>
        </w:rPr>
      </w:pPr>
      <w:bookmarkStart w:id="874" w:name="_Toc54862172"/>
      <w:r>
        <w:rPr>
          <w:rFonts w:hint="eastAsia" w:cs="宋体"/>
          <w:bCs w:val="0"/>
          <w:color w:val="auto"/>
          <w:sz w:val="21"/>
          <w:szCs w:val="21"/>
          <w:highlight w:val="none"/>
        </w:rPr>
        <w:t>八、订立时间</w:t>
      </w:r>
      <w:bookmarkEnd w:id="874"/>
    </w:p>
    <w:p w14:paraId="4589EADA">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cs="宋体"/>
          <w:color w:val="auto"/>
          <w:szCs w:val="21"/>
          <w:highlight w:val="none"/>
        </w:rPr>
      </w:pPr>
      <w:r>
        <w:rPr>
          <w:rFonts w:hint="eastAsia" w:ascii="宋体" w:hAnsi="宋体" w:cs="宋体"/>
          <w:color w:val="auto"/>
          <w:szCs w:val="21"/>
          <w:highlight w:val="none"/>
        </w:rPr>
        <w:t>本合同于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日订立。</w:t>
      </w:r>
    </w:p>
    <w:p w14:paraId="37660364">
      <w:pPr>
        <w:pStyle w:val="216"/>
        <w:keepNext w:val="0"/>
        <w:keepLines w:val="0"/>
        <w:pageBreakBefore w:val="0"/>
        <w:widowControl/>
        <w:numPr>
          <w:ilvl w:val="0"/>
          <w:numId w:val="0"/>
        </w:numPr>
        <w:wordWrap/>
        <w:overflowPunct/>
        <w:topLinePunct w:val="0"/>
        <w:bidi w:val="0"/>
        <w:adjustRightInd w:val="0"/>
        <w:snapToGrid w:val="0"/>
        <w:spacing w:before="72" w:beforeLines="30" w:after="72" w:afterLines="30" w:line="440" w:lineRule="exact"/>
        <w:textAlignment w:val="auto"/>
        <w:rPr>
          <w:rFonts w:hint="eastAsia" w:cs="宋体"/>
          <w:bCs w:val="0"/>
          <w:color w:val="auto"/>
          <w:sz w:val="21"/>
          <w:szCs w:val="21"/>
          <w:highlight w:val="none"/>
        </w:rPr>
      </w:pPr>
      <w:bookmarkStart w:id="875" w:name="_Toc54862173"/>
      <w:r>
        <w:rPr>
          <w:rFonts w:hint="eastAsia" w:cs="宋体"/>
          <w:bCs w:val="0"/>
          <w:color w:val="auto"/>
          <w:sz w:val="21"/>
          <w:szCs w:val="21"/>
          <w:highlight w:val="none"/>
        </w:rPr>
        <w:t>九、订立地点</w:t>
      </w:r>
      <w:bookmarkEnd w:id="875"/>
    </w:p>
    <w:p w14:paraId="0FFF977E">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cs="宋体"/>
          <w:color w:val="auto"/>
          <w:szCs w:val="21"/>
          <w:highlight w:val="none"/>
        </w:rPr>
      </w:pPr>
      <w:r>
        <w:rPr>
          <w:rFonts w:hint="eastAsia" w:ascii="宋体" w:hAnsi="宋体" w:cs="宋体"/>
          <w:color w:val="auto"/>
          <w:szCs w:val="21"/>
          <w:highlight w:val="none"/>
        </w:rPr>
        <w:t>本合同在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订立。</w:t>
      </w:r>
    </w:p>
    <w:p w14:paraId="416EE206">
      <w:pPr>
        <w:pStyle w:val="216"/>
        <w:keepNext w:val="0"/>
        <w:keepLines w:val="0"/>
        <w:pageBreakBefore w:val="0"/>
        <w:widowControl/>
        <w:numPr>
          <w:ilvl w:val="0"/>
          <w:numId w:val="0"/>
        </w:numPr>
        <w:wordWrap/>
        <w:overflowPunct/>
        <w:topLinePunct w:val="0"/>
        <w:bidi w:val="0"/>
        <w:adjustRightInd w:val="0"/>
        <w:snapToGrid w:val="0"/>
        <w:spacing w:before="72" w:beforeLines="30" w:after="72" w:afterLines="30" w:line="440" w:lineRule="exact"/>
        <w:textAlignment w:val="auto"/>
        <w:rPr>
          <w:rFonts w:hint="eastAsia" w:cs="宋体"/>
          <w:bCs w:val="0"/>
          <w:color w:val="auto"/>
          <w:sz w:val="21"/>
          <w:szCs w:val="21"/>
          <w:highlight w:val="none"/>
        </w:rPr>
      </w:pPr>
      <w:bookmarkStart w:id="876" w:name="_Toc54862174"/>
      <w:r>
        <w:rPr>
          <w:rFonts w:hint="eastAsia" w:cs="宋体"/>
          <w:bCs w:val="0"/>
          <w:color w:val="auto"/>
          <w:sz w:val="21"/>
          <w:szCs w:val="21"/>
          <w:highlight w:val="none"/>
        </w:rPr>
        <w:t>十、合同生效</w:t>
      </w:r>
      <w:bookmarkEnd w:id="876"/>
    </w:p>
    <w:p w14:paraId="74B8497D">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cs="宋体"/>
          <w:color w:val="auto"/>
          <w:szCs w:val="21"/>
          <w:highlight w:val="none"/>
        </w:rPr>
      </w:pPr>
      <w:r>
        <w:rPr>
          <w:rFonts w:hint="eastAsia" w:ascii="宋体" w:hAnsi="宋体" w:cs="宋体"/>
          <w:color w:val="auto"/>
          <w:szCs w:val="21"/>
          <w:highlight w:val="none"/>
        </w:rPr>
        <w:t>本合同经双方签字或盖章后成立，并自</w:t>
      </w:r>
      <w:r>
        <w:rPr>
          <w:rFonts w:hint="eastAsia" w:ascii="宋体" w:hAnsi="宋体" w:cs="宋体"/>
          <w:color w:val="auto"/>
          <w:szCs w:val="21"/>
          <w:highlight w:val="none"/>
          <w:u w:val="single"/>
        </w:rPr>
        <w:t xml:space="preserve">  双方签字盖章后  </w:t>
      </w:r>
      <w:r>
        <w:rPr>
          <w:rFonts w:hint="eastAsia" w:ascii="宋体" w:hAnsi="宋体" w:cs="宋体"/>
          <w:color w:val="auto"/>
          <w:szCs w:val="21"/>
          <w:highlight w:val="none"/>
        </w:rPr>
        <w:t>生效。</w:t>
      </w:r>
    </w:p>
    <w:p w14:paraId="7022FB22">
      <w:pPr>
        <w:pStyle w:val="216"/>
        <w:keepNext w:val="0"/>
        <w:keepLines w:val="0"/>
        <w:pageBreakBefore w:val="0"/>
        <w:widowControl/>
        <w:numPr>
          <w:ilvl w:val="0"/>
          <w:numId w:val="0"/>
        </w:numPr>
        <w:wordWrap/>
        <w:overflowPunct/>
        <w:topLinePunct w:val="0"/>
        <w:bidi w:val="0"/>
        <w:adjustRightInd w:val="0"/>
        <w:snapToGrid w:val="0"/>
        <w:spacing w:before="72" w:beforeLines="30" w:after="72" w:afterLines="30" w:line="440" w:lineRule="exact"/>
        <w:textAlignment w:val="auto"/>
        <w:rPr>
          <w:rFonts w:hint="eastAsia" w:cs="宋体"/>
          <w:bCs w:val="0"/>
          <w:color w:val="auto"/>
          <w:sz w:val="21"/>
          <w:szCs w:val="21"/>
          <w:highlight w:val="none"/>
        </w:rPr>
      </w:pPr>
      <w:bookmarkStart w:id="877" w:name="_Toc54862175"/>
      <w:r>
        <w:rPr>
          <w:rFonts w:hint="eastAsia" w:cs="宋体"/>
          <w:bCs w:val="0"/>
          <w:color w:val="auto"/>
          <w:sz w:val="21"/>
          <w:szCs w:val="21"/>
          <w:highlight w:val="none"/>
        </w:rPr>
        <w:t>十一、合同份数</w:t>
      </w:r>
      <w:bookmarkEnd w:id="877"/>
    </w:p>
    <w:p w14:paraId="06EFE545">
      <w:pPr>
        <w:keepNext w:val="0"/>
        <w:keepLines w:val="0"/>
        <w:pageBreakBefore w:val="0"/>
        <w:widowControl/>
        <w:wordWrap/>
        <w:overflowPunct/>
        <w:topLinePunct w:val="0"/>
        <w:bidi w:val="0"/>
        <w:adjustRightInd w:val="0"/>
        <w:snapToGrid w:val="0"/>
        <w:spacing w:line="440" w:lineRule="exact"/>
        <w:ind w:firstLine="600"/>
        <w:textAlignment w:val="auto"/>
        <w:rPr>
          <w:rFonts w:hint="eastAsia" w:ascii="宋体" w:hAnsi="宋体" w:cs="宋体"/>
          <w:color w:val="auto"/>
          <w:szCs w:val="21"/>
          <w:highlight w:val="none"/>
        </w:rPr>
      </w:pPr>
      <w:r>
        <w:rPr>
          <w:rFonts w:hint="eastAsia" w:ascii="宋体" w:hAnsi="宋体" w:cs="宋体"/>
          <w:color w:val="auto"/>
          <w:szCs w:val="21"/>
          <w:highlight w:val="none"/>
        </w:rPr>
        <w:t>本合同一式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份，均具有同等法律效力，发包人执</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份，承包人执</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份，代理机构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份，公管局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w:t>
      </w:r>
    </w:p>
    <w:tbl>
      <w:tblPr>
        <w:tblStyle w:val="47"/>
        <w:tblpPr w:leftFromText="180" w:rightFromText="180" w:vertAnchor="text" w:horzAnchor="page" w:tblpX="1702" w:tblpY="119"/>
        <w:tblW w:w="9072" w:type="dxa"/>
        <w:tblInd w:w="0" w:type="dxa"/>
        <w:tblLayout w:type="fixed"/>
        <w:tblCellMar>
          <w:top w:w="0" w:type="dxa"/>
          <w:left w:w="108" w:type="dxa"/>
          <w:bottom w:w="0" w:type="dxa"/>
          <w:right w:w="108" w:type="dxa"/>
        </w:tblCellMar>
      </w:tblPr>
      <w:tblGrid>
        <w:gridCol w:w="4507"/>
        <w:gridCol w:w="4565"/>
      </w:tblGrid>
      <w:tr w14:paraId="3C620217">
        <w:tblPrEx>
          <w:tblCellMar>
            <w:top w:w="0" w:type="dxa"/>
            <w:left w:w="108" w:type="dxa"/>
            <w:bottom w:w="0" w:type="dxa"/>
            <w:right w:w="108" w:type="dxa"/>
          </w:tblCellMar>
        </w:tblPrEx>
        <w:trPr>
          <w:trHeight w:val="535" w:hRule="atLeast"/>
        </w:trPr>
        <w:tc>
          <w:tcPr>
            <w:tcW w:w="4507" w:type="dxa"/>
            <w:noWrap w:val="0"/>
            <w:vAlign w:val="center"/>
          </w:tcPr>
          <w:p w14:paraId="767BB201">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rPr>
            </w:pPr>
            <w:r>
              <w:rPr>
                <w:rFonts w:hint="eastAsia" w:hAnsi="宋体" w:cs="宋体"/>
                <w:color w:val="auto"/>
                <w:sz w:val="21"/>
                <w:szCs w:val="21"/>
                <w:highlight w:val="none"/>
              </w:rPr>
              <w:t>发包人：（公章）</w:t>
            </w:r>
          </w:p>
        </w:tc>
        <w:tc>
          <w:tcPr>
            <w:tcW w:w="4565" w:type="dxa"/>
            <w:noWrap w:val="0"/>
            <w:vAlign w:val="center"/>
          </w:tcPr>
          <w:p w14:paraId="2E70C625">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rPr>
            </w:pPr>
            <w:r>
              <w:rPr>
                <w:rFonts w:hint="eastAsia" w:hAnsi="宋体" w:cs="宋体"/>
                <w:color w:val="auto"/>
                <w:sz w:val="21"/>
                <w:szCs w:val="21"/>
                <w:highlight w:val="none"/>
              </w:rPr>
              <w:t>承包人：（公章）</w:t>
            </w:r>
          </w:p>
        </w:tc>
      </w:tr>
      <w:tr w14:paraId="39CCE870">
        <w:tblPrEx>
          <w:tblCellMar>
            <w:top w:w="0" w:type="dxa"/>
            <w:left w:w="108" w:type="dxa"/>
            <w:bottom w:w="0" w:type="dxa"/>
            <w:right w:w="108" w:type="dxa"/>
          </w:tblCellMar>
        </w:tblPrEx>
        <w:trPr>
          <w:trHeight w:val="930" w:hRule="atLeast"/>
        </w:trPr>
        <w:tc>
          <w:tcPr>
            <w:tcW w:w="4507" w:type="dxa"/>
            <w:noWrap w:val="0"/>
            <w:vAlign w:val="center"/>
          </w:tcPr>
          <w:p w14:paraId="325670F8">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rPr>
            </w:pPr>
            <w:r>
              <w:rPr>
                <w:rFonts w:hint="eastAsia" w:hAnsi="宋体" w:cs="宋体"/>
                <w:color w:val="auto"/>
                <w:sz w:val="21"/>
                <w:szCs w:val="21"/>
                <w:highlight w:val="none"/>
              </w:rPr>
              <w:t>法定代表人或其委托代理人：</w:t>
            </w:r>
          </w:p>
          <w:p w14:paraId="37B501DF">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rPr>
            </w:pPr>
            <w:r>
              <w:rPr>
                <w:rFonts w:hint="eastAsia" w:hAnsi="宋体" w:cs="宋体"/>
                <w:color w:val="auto"/>
                <w:sz w:val="21"/>
                <w:szCs w:val="21"/>
                <w:highlight w:val="none"/>
              </w:rPr>
              <w:t>（签字）</w:t>
            </w:r>
          </w:p>
        </w:tc>
        <w:tc>
          <w:tcPr>
            <w:tcW w:w="4565" w:type="dxa"/>
            <w:noWrap w:val="0"/>
            <w:vAlign w:val="center"/>
          </w:tcPr>
          <w:p w14:paraId="0B928B4C">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rPr>
            </w:pPr>
            <w:r>
              <w:rPr>
                <w:rFonts w:hint="eastAsia" w:hAnsi="宋体" w:cs="宋体"/>
                <w:color w:val="auto"/>
                <w:sz w:val="21"/>
                <w:szCs w:val="21"/>
                <w:highlight w:val="none"/>
              </w:rPr>
              <w:t>法定代表人或其委托代理人：</w:t>
            </w:r>
          </w:p>
          <w:p w14:paraId="6300316E">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rPr>
            </w:pPr>
            <w:r>
              <w:rPr>
                <w:rFonts w:hint="eastAsia" w:hAnsi="宋体" w:cs="宋体"/>
                <w:color w:val="auto"/>
                <w:sz w:val="21"/>
                <w:szCs w:val="21"/>
                <w:highlight w:val="none"/>
              </w:rPr>
              <w:t>（签字）</w:t>
            </w:r>
          </w:p>
        </w:tc>
      </w:tr>
      <w:tr w14:paraId="49D26254">
        <w:tblPrEx>
          <w:tblCellMar>
            <w:top w:w="0" w:type="dxa"/>
            <w:left w:w="108" w:type="dxa"/>
            <w:bottom w:w="0" w:type="dxa"/>
            <w:right w:w="108" w:type="dxa"/>
          </w:tblCellMar>
        </w:tblPrEx>
        <w:trPr>
          <w:trHeight w:val="4445" w:hRule="atLeast"/>
        </w:trPr>
        <w:tc>
          <w:tcPr>
            <w:tcW w:w="4507" w:type="dxa"/>
            <w:noWrap w:val="0"/>
            <w:vAlign w:val="top"/>
          </w:tcPr>
          <w:p w14:paraId="41BA7F06">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rPr>
            </w:pPr>
            <w:r>
              <w:rPr>
                <w:rFonts w:hint="eastAsia" w:hAnsi="宋体" w:cs="宋体"/>
                <w:color w:val="auto"/>
                <w:sz w:val="21"/>
                <w:szCs w:val="21"/>
                <w:highlight w:val="none"/>
              </w:rPr>
              <w:t>统一社会信用代码：</w:t>
            </w:r>
            <w:r>
              <w:rPr>
                <w:rFonts w:hint="eastAsia" w:hAnsi="宋体" w:cs="宋体"/>
                <w:color w:val="auto"/>
                <w:kern w:val="0"/>
                <w:sz w:val="21"/>
                <w:szCs w:val="21"/>
                <w:highlight w:val="none"/>
                <w:u w:val="single"/>
              </w:rPr>
              <w:t xml:space="preserve">            </w:t>
            </w:r>
          </w:p>
          <w:p w14:paraId="58297E91">
            <w:pPr>
              <w:keepNext w:val="0"/>
              <w:keepLines w:val="0"/>
              <w:widowControl/>
              <w:suppressLineNumbers w:val="0"/>
              <w:adjustRightInd w:val="0"/>
              <w:snapToGrid w:val="0"/>
              <w:spacing w:before="0" w:beforeAutospacing="0" w:after="0" w:afterAutospacing="0" w:line="560" w:lineRule="exact"/>
              <w:ind w:left="0" w:right="0"/>
              <w:jc w:val="left"/>
              <w:rPr>
                <w:rFonts w:hint="eastAsia" w:ascii="宋体" w:hAnsi="宋体" w:eastAsia="宋体" w:cs="宋体"/>
                <w:color w:val="auto"/>
                <w:kern w:val="0"/>
                <w:sz w:val="21"/>
                <w:szCs w:val="21"/>
                <w:highlight w:val="none"/>
                <w:u w:val="single"/>
                <w:lang w:val="en-US" w:eastAsia="zh-CN" w:bidi="ar-SA"/>
              </w:rPr>
            </w:pPr>
            <w:r>
              <w:rPr>
                <w:rFonts w:hint="eastAsia" w:hAnsi="宋体" w:cs="宋体"/>
                <w:color w:val="auto"/>
                <w:sz w:val="21"/>
                <w:szCs w:val="21"/>
                <w:highlight w:val="none"/>
              </w:rPr>
              <w:t>地址：</w:t>
            </w:r>
            <w:r>
              <w:rPr>
                <w:rFonts w:hint="eastAsia" w:ascii="宋体" w:hAnsi="宋体" w:eastAsia="宋体" w:cs="宋体"/>
                <w:color w:val="auto"/>
                <w:kern w:val="0"/>
                <w:sz w:val="21"/>
                <w:szCs w:val="21"/>
                <w:highlight w:val="none"/>
                <w:u w:val="single"/>
                <w:lang w:val="en-US" w:eastAsia="zh-CN" w:bidi="ar-SA"/>
              </w:rPr>
              <w:t>安徽省滁州市南谯区中都大道1598号15层</w:t>
            </w:r>
          </w:p>
          <w:p w14:paraId="00A439A8">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rPr>
            </w:pPr>
            <w:r>
              <w:rPr>
                <w:rFonts w:hint="eastAsia" w:hAnsi="宋体" w:cs="宋体"/>
                <w:color w:val="auto"/>
                <w:sz w:val="21"/>
                <w:szCs w:val="21"/>
                <w:highlight w:val="none"/>
              </w:rPr>
              <w:t>邮政编码：</w:t>
            </w:r>
            <w:r>
              <w:rPr>
                <w:rFonts w:hint="eastAsia" w:ascii="宋体" w:hAnsi="宋体" w:cs="宋体"/>
                <w:color w:val="auto"/>
                <w:kern w:val="0"/>
                <w:highlight w:val="none"/>
                <w:u w:val="single"/>
                <w:lang w:val="en-US" w:eastAsia="zh-CN"/>
              </w:rPr>
              <w:t>239000</w:t>
            </w:r>
          </w:p>
          <w:p w14:paraId="5FD42647">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rPr>
            </w:pPr>
            <w:r>
              <w:rPr>
                <w:rFonts w:hint="eastAsia" w:hAnsi="宋体" w:cs="宋体"/>
                <w:color w:val="auto"/>
                <w:sz w:val="21"/>
                <w:szCs w:val="21"/>
                <w:highlight w:val="none"/>
              </w:rPr>
              <w:t>法定代表人：</w:t>
            </w:r>
            <w:r>
              <w:rPr>
                <w:rFonts w:hint="eastAsia" w:hAnsi="宋体" w:cs="宋体"/>
                <w:color w:val="auto"/>
                <w:kern w:val="0"/>
                <w:sz w:val="21"/>
                <w:szCs w:val="21"/>
                <w:highlight w:val="none"/>
                <w:u w:val="single"/>
              </w:rPr>
              <w:t xml:space="preserve">                 </w:t>
            </w:r>
          </w:p>
          <w:p w14:paraId="084F11C0">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rPr>
            </w:pPr>
            <w:r>
              <w:rPr>
                <w:rFonts w:hint="eastAsia" w:hAnsi="宋体" w:cs="宋体"/>
                <w:color w:val="auto"/>
                <w:sz w:val="21"/>
                <w:szCs w:val="21"/>
                <w:highlight w:val="none"/>
              </w:rPr>
              <w:t>委托代理人：</w:t>
            </w:r>
            <w:r>
              <w:rPr>
                <w:rFonts w:hint="eastAsia" w:hAnsi="宋体" w:cs="宋体"/>
                <w:color w:val="auto"/>
                <w:kern w:val="0"/>
                <w:sz w:val="21"/>
                <w:szCs w:val="21"/>
                <w:highlight w:val="none"/>
                <w:u w:val="single"/>
              </w:rPr>
              <w:t xml:space="preserve">                 </w:t>
            </w:r>
          </w:p>
          <w:p w14:paraId="2D04A8F9">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default" w:hAnsi="宋体" w:cs="宋体"/>
                <w:color w:val="auto"/>
                <w:sz w:val="21"/>
                <w:szCs w:val="21"/>
                <w:highlight w:val="none"/>
                <w:lang w:val="en-US"/>
              </w:rPr>
            </w:pPr>
            <w:r>
              <w:rPr>
                <w:rFonts w:hint="eastAsia" w:hAnsi="宋体" w:cs="宋体"/>
                <w:color w:val="auto"/>
                <w:sz w:val="21"/>
                <w:szCs w:val="21"/>
                <w:highlight w:val="none"/>
              </w:rPr>
              <w:t>电话：</w:t>
            </w:r>
            <w:r>
              <w:rPr>
                <w:rFonts w:hint="eastAsia" w:hAnsi="宋体" w:cs="宋体"/>
                <w:color w:val="auto"/>
                <w:kern w:val="0"/>
                <w:sz w:val="21"/>
                <w:szCs w:val="21"/>
                <w:highlight w:val="none"/>
                <w:u w:val="single"/>
                <w:lang w:val="en-US" w:eastAsia="zh-CN"/>
              </w:rPr>
              <w:t xml:space="preserve">                  </w:t>
            </w:r>
          </w:p>
          <w:p w14:paraId="79FA4523">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lang w:val="en-US" w:eastAsia="zh-CN"/>
              </w:rPr>
            </w:pPr>
            <w:r>
              <w:rPr>
                <w:rFonts w:hint="eastAsia" w:hAnsi="宋体" w:cs="宋体"/>
                <w:color w:val="auto"/>
                <w:sz w:val="21"/>
                <w:szCs w:val="21"/>
                <w:highlight w:val="none"/>
              </w:rPr>
              <w:t>传真：</w:t>
            </w:r>
            <w:r>
              <w:rPr>
                <w:rFonts w:hint="eastAsia" w:hAnsi="宋体" w:cs="宋体"/>
                <w:color w:val="auto"/>
                <w:kern w:val="0"/>
                <w:sz w:val="21"/>
                <w:szCs w:val="21"/>
                <w:highlight w:val="none"/>
                <w:u w:val="single"/>
                <w:lang w:val="en-US" w:eastAsia="zh-CN"/>
              </w:rPr>
              <w:t>/</w:t>
            </w:r>
          </w:p>
          <w:p w14:paraId="28C533FD">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eastAsia="宋体" w:cs="宋体"/>
                <w:color w:val="auto"/>
                <w:sz w:val="21"/>
                <w:szCs w:val="21"/>
                <w:highlight w:val="none"/>
                <w:lang w:eastAsia="zh-CN"/>
              </w:rPr>
            </w:pPr>
            <w:r>
              <w:rPr>
                <w:rFonts w:hint="eastAsia" w:hAnsi="宋体" w:cs="宋体"/>
                <w:color w:val="auto"/>
                <w:sz w:val="21"/>
                <w:szCs w:val="21"/>
                <w:highlight w:val="none"/>
              </w:rPr>
              <w:t>电子信箱：</w:t>
            </w:r>
            <w:r>
              <w:rPr>
                <w:rFonts w:hint="eastAsia" w:hAnsi="宋体" w:cs="宋体"/>
                <w:color w:val="auto"/>
                <w:kern w:val="0"/>
                <w:sz w:val="21"/>
                <w:szCs w:val="21"/>
                <w:highlight w:val="none"/>
                <w:u w:val="single"/>
                <w:lang w:val="en-US" w:eastAsia="zh-CN"/>
              </w:rPr>
              <w:t>/</w:t>
            </w:r>
          </w:p>
          <w:p w14:paraId="456C2D50">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eastAsia="宋体" w:cs="宋体"/>
                <w:color w:val="auto"/>
                <w:sz w:val="21"/>
                <w:szCs w:val="21"/>
                <w:highlight w:val="none"/>
                <w:lang w:eastAsia="zh-CN"/>
              </w:rPr>
            </w:pPr>
            <w:r>
              <w:rPr>
                <w:rFonts w:hint="eastAsia" w:hAnsi="宋体" w:cs="宋体"/>
                <w:color w:val="auto"/>
                <w:sz w:val="21"/>
                <w:szCs w:val="21"/>
                <w:highlight w:val="none"/>
              </w:rPr>
              <w:t>开户银行：</w:t>
            </w:r>
            <w:r>
              <w:rPr>
                <w:rFonts w:hint="eastAsia" w:hAnsi="宋体" w:cs="宋体"/>
                <w:color w:val="auto"/>
                <w:kern w:val="0"/>
                <w:sz w:val="21"/>
                <w:szCs w:val="21"/>
                <w:highlight w:val="none"/>
                <w:u w:val="single"/>
                <w:lang w:val="en-US" w:eastAsia="zh-CN"/>
              </w:rPr>
              <w:t>/</w:t>
            </w:r>
          </w:p>
          <w:p w14:paraId="7C1D1103">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eastAsia="宋体" w:cs="宋体"/>
                <w:color w:val="auto"/>
                <w:sz w:val="21"/>
                <w:szCs w:val="21"/>
                <w:highlight w:val="none"/>
                <w:lang w:eastAsia="zh-CN"/>
              </w:rPr>
            </w:pPr>
            <w:r>
              <w:rPr>
                <w:rFonts w:hint="eastAsia" w:hAnsi="宋体" w:cs="宋体"/>
                <w:color w:val="auto"/>
                <w:sz w:val="21"/>
                <w:szCs w:val="21"/>
                <w:highlight w:val="none"/>
              </w:rPr>
              <w:t>账号：</w:t>
            </w:r>
            <w:r>
              <w:rPr>
                <w:rFonts w:hint="eastAsia" w:hAnsi="宋体" w:cs="宋体"/>
                <w:color w:val="auto"/>
                <w:kern w:val="0"/>
                <w:sz w:val="21"/>
                <w:szCs w:val="21"/>
                <w:highlight w:val="none"/>
                <w:u w:val="single"/>
                <w:lang w:val="en-US" w:eastAsia="zh-CN"/>
              </w:rPr>
              <w:t>/</w:t>
            </w:r>
          </w:p>
        </w:tc>
        <w:tc>
          <w:tcPr>
            <w:tcW w:w="4565" w:type="dxa"/>
            <w:noWrap w:val="0"/>
            <w:vAlign w:val="top"/>
          </w:tcPr>
          <w:p w14:paraId="54C0FB4B">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rPr>
            </w:pPr>
            <w:r>
              <w:rPr>
                <w:rFonts w:hint="eastAsia" w:hAnsi="宋体" w:cs="宋体"/>
                <w:color w:val="auto"/>
                <w:sz w:val="21"/>
                <w:szCs w:val="21"/>
                <w:highlight w:val="none"/>
              </w:rPr>
              <w:t>统一社会信用代码：</w:t>
            </w:r>
            <w:r>
              <w:rPr>
                <w:rFonts w:hint="eastAsia" w:hAnsi="宋体" w:cs="宋体"/>
                <w:color w:val="auto"/>
                <w:kern w:val="0"/>
                <w:sz w:val="21"/>
                <w:szCs w:val="21"/>
                <w:highlight w:val="none"/>
                <w:u w:val="single"/>
              </w:rPr>
              <w:t xml:space="preserve">            </w:t>
            </w:r>
          </w:p>
          <w:p w14:paraId="742B4A2B">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rPr>
            </w:pPr>
            <w:r>
              <w:rPr>
                <w:rFonts w:hint="eastAsia" w:hAnsi="宋体" w:cs="宋体"/>
                <w:color w:val="auto"/>
                <w:sz w:val="21"/>
                <w:szCs w:val="21"/>
                <w:highlight w:val="none"/>
              </w:rPr>
              <w:t>地址：</w:t>
            </w:r>
            <w:r>
              <w:rPr>
                <w:rFonts w:hint="eastAsia" w:hAnsi="宋体" w:cs="宋体"/>
                <w:color w:val="auto"/>
                <w:kern w:val="0"/>
                <w:sz w:val="21"/>
                <w:szCs w:val="21"/>
                <w:highlight w:val="none"/>
                <w:u w:val="single"/>
              </w:rPr>
              <w:t xml:space="preserve">                        </w:t>
            </w:r>
          </w:p>
          <w:p w14:paraId="000701D5">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rPr>
            </w:pPr>
            <w:r>
              <w:rPr>
                <w:rFonts w:hint="eastAsia" w:hAnsi="宋体" w:cs="宋体"/>
                <w:color w:val="auto"/>
                <w:sz w:val="21"/>
                <w:szCs w:val="21"/>
                <w:highlight w:val="none"/>
              </w:rPr>
              <w:t>邮政编码：</w:t>
            </w:r>
            <w:r>
              <w:rPr>
                <w:rFonts w:hint="eastAsia" w:hAnsi="宋体" w:cs="宋体"/>
                <w:color w:val="auto"/>
                <w:kern w:val="0"/>
                <w:sz w:val="21"/>
                <w:szCs w:val="21"/>
                <w:highlight w:val="none"/>
                <w:u w:val="single"/>
              </w:rPr>
              <w:t xml:space="preserve">                      </w:t>
            </w:r>
          </w:p>
          <w:p w14:paraId="195737DB">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rPr>
            </w:pPr>
            <w:r>
              <w:rPr>
                <w:rFonts w:hint="eastAsia" w:hAnsi="宋体" w:cs="宋体"/>
                <w:color w:val="auto"/>
                <w:sz w:val="21"/>
                <w:szCs w:val="21"/>
                <w:highlight w:val="none"/>
              </w:rPr>
              <w:t>法定代表人：</w:t>
            </w:r>
            <w:r>
              <w:rPr>
                <w:rFonts w:hint="eastAsia" w:hAnsi="宋体" w:cs="宋体"/>
                <w:color w:val="auto"/>
                <w:kern w:val="0"/>
                <w:sz w:val="21"/>
                <w:szCs w:val="21"/>
                <w:highlight w:val="none"/>
                <w:u w:val="single"/>
              </w:rPr>
              <w:t xml:space="preserve">                  </w:t>
            </w:r>
          </w:p>
          <w:p w14:paraId="59688CFD">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rPr>
            </w:pPr>
            <w:r>
              <w:rPr>
                <w:rFonts w:hint="eastAsia" w:hAnsi="宋体" w:cs="宋体"/>
                <w:color w:val="auto"/>
                <w:sz w:val="21"/>
                <w:szCs w:val="21"/>
                <w:highlight w:val="none"/>
              </w:rPr>
              <w:t>委托代理人：</w:t>
            </w:r>
            <w:r>
              <w:rPr>
                <w:rFonts w:hint="eastAsia" w:hAnsi="宋体" w:cs="宋体"/>
                <w:color w:val="auto"/>
                <w:kern w:val="0"/>
                <w:sz w:val="21"/>
                <w:szCs w:val="21"/>
                <w:highlight w:val="none"/>
                <w:u w:val="single"/>
              </w:rPr>
              <w:t xml:space="preserve">                 </w:t>
            </w:r>
          </w:p>
          <w:p w14:paraId="2A24C2DC">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rPr>
            </w:pPr>
            <w:r>
              <w:rPr>
                <w:rFonts w:hint="eastAsia" w:hAnsi="宋体" w:cs="宋体"/>
                <w:color w:val="auto"/>
                <w:sz w:val="21"/>
                <w:szCs w:val="21"/>
                <w:highlight w:val="none"/>
              </w:rPr>
              <w:t>电话：</w:t>
            </w:r>
            <w:r>
              <w:rPr>
                <w:rFonts w:hint="eastAsia" w:hAnsi="宋体" w:cs="宋体"/>
                <w:color w:val="auto"/>
                <w:kern w:val="0"/>
                <w:sz w:val="21"/>
                <w:szCs w:val="21"/>
                <w:highlight w:val="none"/>
                <w:u w:val="single"/>
              </w:rPr>
              <w:t xml:space="preserve">                       </w:t>
            </w:r>
          </w:p>
          <w:p w14:paraId="14A94376">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rPr>
            </w:pPr>
            <w:r>
              <w:rPr>
                <w:rFonts w:hint="eastAsia" w:hAnsi="宋体" w:cs="宋体"/>
                <w:color w:val="auto"/>
                <w:sz w:val="21"/>
                <w:szCs w:val="21"/>
                <w:highlight w:val="none"/>
              </w:rPr>
              <w:t>传真：</w:t>
            </w:r>
            <w:r>
              <w:rPr>
                <w:rFonts w:hint="eastAsia" w:hAnsi="宋体" w:cs="宋体"/>
                <w:color w:val="auto"/>
                <w:kern w:val="0"/>
                <w:sz w:val="21"/>
                <w:szCs w:val="21"/>
                <w:highlight w:val="none"/>
                <w:u w:val="single"/>
              </w:rPr>
              <w:t xml:space="preserve">                       </w:t>
            </w:r>
          </w:p>
          <w:p w14:paraId="24EA8B29">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rPr>
            </w:pPr>
            <w:r>
              <w:rPr>
                <w:rFonts w:hint="eastAsia" w:hAnsi="宋体" w:cs="宋体"/>
                <w:color w:val="auto"/>
                <w:sz w:val="21"/>
                <w:szCs w:val="21"/>
                <w:highlight w:val="none"/>
              </w:rPr>
              <w:t>电子信箱：</w:t>
            </w:r>
            <w:r>
              <w:rPr>
                <w:rFonts w:hint="eastAsia" w:hAnsi="宋体" w:cs="宋体"/>
                <w:color w:val="auto"/>
                <w:kern w:val="0"/>
                <w:sz w:val="21"/>
                <w:szCs w:val="21"/>
                <w:highlight w:val="none"/>
                <w:u w:val="single"/>
              </w:rPr>
              <w:t xml:space="preserve">                   </w:t>
            </w:r>
          </w:p>
          <w:p w14:paraId="204F9C21">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rPr>
            </w:pPr>
            <w:r>
              <w:rPr>
                <w:rFonts w:hint="eastAsia" w:hAnsi="宋体" w:cs="宋体"/>
                <w:color w:val="auto"/>
                <w:sz w:val="21"/>
                <w:szCs w:val="21"/>
                <w:highlight w:val="none"/>
              </w:rPr>
              <w:t>开户银行：</w:t>
            </w:r>
            <w:r>
              <w:rPr>
                <w:rFonts w:hint="eastAsia" w:hAnsi="宋体" w:cs="宋体"/>
                <w:color w:val="auto"/>
                <w:kern w:val="0"/>
                <w:sz w:val="21"/>
                <w:szCs w:val="21"/>
                <w:highlight w:val="none"/>
                <w:u w:val="single"/>
              </w:rPr>
              <w:t xml:space="preserve">                   </w:t>
            </w:r>
          </w:p>
          <w:p w14:paraId="6DFD805E">
            <w:pPr>
              <w:pStyle w:val="217"/>
              <w:keepNext w:val="0"/>
              <w:keepLines w:val="0"/>
              <w:pageBreakBefore w:val="0"/>
              <w:framePr w:hSpace="0" w:wrap="auto" w:vAnchor="margin" w:hAnchor="text" w:yAlign="inline"/>
              <w:widowControl/>
              <w:suppressLineNumbers w:val="0"/>
              <w:wordWrap/>
              <w:overflowPunct/>
              <w:topLinePunct w:val="0"/>
              <w:bidi w:val="0"/>
              <w:spacing w:before="0" w:beforeAutospacing="0" w:after="0" w:afterAutospacing="0" w:line="440" w:lineRule="exact"/>
              <w:ind w:left="0" w:right="0"/>
              <w:textAlignment w:val="auto"/>
              <w:rPr>
                <w:rFonts w:hint="eastAsia" w:hAnsi="宋体" w:cs="宋体"/>
                <w:color w:val="auto"/>
                <w:sz w:val="21"/>
                <w:szCs w:val="21"/>
                <w:highlight w:val="none"/>
              </w:rPr>
            </w:pPr>
            <w:r>
              <w:rPr>
                <w:rFonts w:hint="eastAsia" w:hAnsi="宋体" w:cs="宋体"/>
                <w:color w:val="auto"/>
                <w:sz w:val="21"/>
                <w:szCs w:val="21"/>
                <w:highlight w:val="none"/>
              </w:rPr>
              <w:t>账号：</w:t>
            </w:r>
            <w:r>
              <w:rPr>
                <w:rFonts w:hint="eastAsia" w:hAnsi="宋体" w:cs="宋体"/>
                <w:color w:val="auto"/>
                <w:sz w:val="21"/>
                <w:szCs w:val="21"/>
                <w:highlight w:val="none"/>
                <w:u w:val="single"/>
              </w:rPr>
              <w:t xml:space="preserve">                       </w:t>
            </w:r>
          </w:p>
        </w:tc>
      </w:tr>
    </w:tbl>
    <w:p w14:paraId="456EBDE4">
      <w:pPr>
        <w:keepNext w:val="0"/>
        <w:keepLines w:val="0"/>
        <w:pageBreakBefore w:val="0"/>
        <w:wordWrap/>
        <w:overflowPunct/>
        <w:topLinePunct w:val="0"/>
        <w:bidi w:val="0"/>
        <w:spacing w:line="440" w:lineRule="exact"/>
        <w:textAlignment w:val="auto"/>
        <w:rPr>
          <w:color w:val="auto"/>
          <w:highlight w:val="none"/>
        </w:rPr>
        <w:sectPr>
          <w:footerReference r:id="rId10" w:type="default"/>
          <w:pgSz w:w="11906" w:h="16838"/>
          <w:pgMar w:top="1440" w:right="1800" w:bottom="1440" w:left="1800" w:header="720" w:footer="850" w:gutter="0"/>
          <w:pgNumType w:fmt="decimal"/>
          <w:cols w:space="720" w:num="1"/>
          <w:docGrid w:linePitch="326" w:charSpace="0"/>
        </w:sectPr>
      </w:pPr>
    </w:p>
    <w:p w14:paraId="634DE494">
      <w:pPr>
        <w:pStyle w:val="215"/>
        <w:keepNext w:val="0"/>
        <w:keepLines w:val="0"/>
        <w:widowControl/>
        <w:tabs>
          <w:tab w:val="left" w:pos="220"/>
        </w:tabs>
        <w:adjustRightInd w:val="0"/>
        <w:snapToGrid w:val="0"/>
        <w:spacing w:before="156" w:beforeLines="50" w:after="156" w:afterLines="50" w:line="440" w:lineRule="exact"/>
        <w:ind w:left="0" w:leftChars="0" w:right="250" w:rightChars="119" w:hanging="15" w:firstLineChars="0"/>
        <w:jc w:val="center"/>
        <w:rPr>
          <w:rFonts w:hint="eastAsia" w:cs="宋体"/>
          <w:color w:val="auto"/>
          <w:sz w:val="32"/>
          <w:szCs w:val="32"/>
          <w:highlight w:val="none"/>
        </w:rPr>
      </w:pPr>
      <w:bookmarkStart w:id="878" w:name="_Toc54862176"/>
      <w:r>
        <w:rPr>
          <w:rFonts w:hint="eastAsia" w:cs="宋体"/>
          <w:color w:val="auto"/>
          <w:sz w:val="32"/>
          <w:szCs w:val="32"/>
          <w:highlight w:val="none"/>
        </w:rPr>
        <w:t>第二部分 通用合同条件</w:t>
      </w:r>
      <w:bookmarkEnd w:id="878"/>
    </w:p>
    <w:p w14:paraId="17446C5F">
      <w:pPr>
        <w:pStyle w:val="218"/>
        <w:keepNext w:val="0"/>
        <w:keepLines w:val="0"/>
        <w:pageBreakBefore w:val="0"/>
        <w:widowControl/>
        <w:numPr>
          <w:ilvl w:val="0"/>
          <w:numId w:val="0"/>
        </w:numPr>
        <w:tabs>
          <w:tab w:val="left" w:pos="220"/>
        </w:tabs>
        <w:kinsoku/>
        <w:wordWrap/>
        <w:overflowPunct/>
        <w:topLinePunct w:val="0"/>
        <w:autoSpaceDE/>
        <w:autoSpaceDN/>
        <w:bidi w:val="0"/>
        <w:adjustRightInd w:val="0"/>
        <w:snapToGrid w:val="0"/>
        <w:spacing w:after="0" w:line="440" w:lineRule="exact"/>
        <w:ind w:left="-17" w:leftChars="0" w:right="250" w:rightChars="119" w:firstLine="420" w:firstLineChars="200"/>
        <w:jc w:val="left"/>
        <w:textAlignment w:val="auto"/>
        <w:rPr>
          <w:rFonts w:hint="eastAsia"/>
          <w:b w:val="0"/>
          <w:color w:val="auto"/>
          <w:highlight w:val="none"/>
        </w:rPr>
      </w:pPr>
      <w:bookmarkStart w:id="879" w:name="_Ref508893699"/>
      <w:bookmarkStart w:id="880" w:name="_Ref509040826"/>
      <w:bookmarkStart w:id="881" w:name="_Ref509040831"/>
      <w:bookmarkStart w:id="882" w:name="_Toc54862177"/>
      <w:r>
        <w:rPr>
          <w:rFonts w:hint="eastAsia" w:ascii="宋体" w:hAnsi="宋体" w:eastAsia="宋体" w:cs="宋体"/>
          <w:b w:val="0"/>
          <w:color w:val="auto"/>
          <w:sz w:val="21"/>
          <w:szCs w:val="21"/>
          <w:highlight w:val="none"/>
        </w:rPr>
        <w:t>使用住房和城乡建设部、市场监管总局制定的《建设项目工程总承包合同（示范文本）》（GF-2020-0216）第二部分通用合同条件。（因办理施工许可证时需要通用条款，请签订施工合同时，一并打印出来。）</w:t>
      </w:r>
    </w:p>
    <w:bookmarkEnd w:id="879"/>
    <w:bookmarkEnd w:id="880"/>
    <w:bookmarkEnd w:id="881"/>
    <w:bookmarkEnd w:id="882"/>
    <w:p w14:paraId="7DAB36BA">
      <w:pPr>
        <w:pStyle w:val="215"/>
        <w:keepNext w:val="0"/>
        <w:keepLines w:val="0"/>
        <w:widowControl/>
        <w:tabs>
          <w:tab w:val="left" w:pos="220"/>
        </w:tabs>
        <w:adjustRightInd w:val="0"/>
        <w:snapToGrid w:val="0"/>
        <w:spacing w:before="156" w:beforeLines="50" w:after="156" w:afterLines="50" w:line="440" w:lineRule="exact"/>
        <w:ind w:left="0" w:leftChars="0" w:right="250" w:rightChars="119" w:hanging="15" w:firstLineChars="0"/>
        <w:jc w:val="center"/>
        <w:rPr>
          <w:rFonts w:hint="eastAsia" w:cs="宋体"/>
          <w:color w:val="auto"/>
          <w:sz w:val="32"/>
          <w:szCs w:val="32"/>
          <w:highlight w:val="none"/>
        </w:rPr>
      </w:pPr>
      <w:bookmarkStart w:id="883" w:name="_Toc54862331"/>
      <w:r>
        <w:rPr>
          <w:rFonts w:hint="eastAsia" w:cs="宋体"/>
          <w:color w:val="auto"/>
          <w:sz w:val="32"/>
          <w:szCs w:val="32"/>
          <w:highlight w:val="none"/>
        </w:rPr>
        <w:t>第三部分 专用合同条件</w:t>
      </w:r>
      <w:bookmarkEnd w:id="883"/>
    </w:p>
    <w:p w14:paraId="6B26A1A1">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cs="宋体"/>
          <w:bCs w:val="0"/>
          <w:color w:val="auto"/>
          <w:sz w:val="21"/>
          <w:szCs w:val="21"/>
          <w:highlight w:val="none"/>
        </w:rPr>
      </w:pPr>
      <w:bookmarkStart w:id="884" w:name="_Toc54862332"/>
      <w:r>
        <w:rPr>
          <w:rFonts w:hint="eastAsia" w:cs="宋体"/>
          <w:bCs w:val="0"/>
          <w:color w:val="auto"/>
          <w:sz w:val="21"/>
          <w:szCs w:val="21"/>
          <w:highlight w:val="none"/>
        </w:rPr>
        <w:t>第1条 一般约定</w:t>
      </w:r>
      <w:bookmarkEnd w:id="884"/>
    </w:p>
    <w:p w14:paraId="70C0D78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1.1 词语定义和解释</w:t>
      </w:r>
    </w:p>
    <w:p w14:paraId="6EB4180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1.1.1 合同</w:t>
      </w:r>
    </w:p>
    <w:p w14:paraId="6D7FCAC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1.1.1.10 其他合同文件：</w:t>
      </w:r>
      <w:r>
        <w:rPr>
          <w:rFonts w:hint="eastAsia" w:ascii="宋体" w:hAnsi="宋体" w:cs="宋体"/>
          <w:color w:val="auto"/>
          <w:szCs w:val="21"/>
          <w:highlight w:val="none"/>
          <w:u w:val="single"/>
        </w:rPr>
        <w:t xml:space="preserve"> 本项目招标文件、在合同订立及履行过程中形成的与合同有关的文件均构成合同文件组成部分。</w:t>
      </w:r>
    </w:p>
    <w:p w14:paraId="4DD0CB7D">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1.1.3 工程和设备</w:t>
      </w:r>
    </w:p>
    <w:p w14:paraId="155DD761">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1.1.3.5 单位/区段工程的范围：</w:t>
      </w:r>
      <w:r>
        <w:rPr>
          <w:rFonts w:hint="eastAsia" w:ascii="宋体" w:hAnsi="宋体" w:cs="宋体"/>
          <w:color w:val="auto"/>
          <w:szCs w:val="21"/>
          <w:highlight w:val="none"/>
          <w:u w:val="single"/>
        </w:rPr>
        <w:t>执行通用合同条件</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45CDBAA">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1.1.3.9 作为施工场所组成部分的其他场所包括：</w:t>
      </w:r>
      <w:r>
        <w:rPr>
          <w:rFonts w:hint="eastAsia" w:ascii="宋体" w:hAnsi="宋体" w:cs="宋体"/>
          <w:color w:val="auto"/>
          <w:szCs w:val="21"/>
          <w:highlight w:val="none"/>
          <w:u w:val="single"/>
        </w:rPr>
        <w:t>见施工图纸并现场确定</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496120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1.1.3.10 永久占地包括：</w:t>
      </w:r>
      <w:r>
        <w:rPr>
          <w:rFonts w:hint="eastAsia" w:cs="宋体"/>
          <w:color w:val="auto"/>
          <w:szCs w:val="21"/>
          <w:highlight w:val="none"/>
          <w:u w:val="single"/>
        </w:rPr>
        <w:t xml:space="preserve">现场确定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4713351">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1.1.3.11 临时占地包括：</w:t>
      </w:r>
      <w:r>
        <w:rPr>
          <w:rFonts w:hint="eastAsia" w:ascii="宋体" w:hAnsi="宋体" w:cs="宋体"/>
          <w:color w:val="auto"/>
          <w:szCs w:val="21"/>
          <w:highlight w:val="none"/>
          <w:u w:val="single"/>
        </w:rPr>
        <w:t>现场确定</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1971ED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1.2 语言文字</w:t>
      </w:r>
    </w:p>
    <w:p w14:paraId="76BE897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本合同除使用汉语外，还使用</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语言。</w:t>
      </w:r>
    </w:p>
    <w:p w14:paraId="002F329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1.3 法律</w:t>
      </w:r>
    </w:p>
    <w:p w14:paraId="77CB9E9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适用于合同的其他规范性文件：</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D1BE0D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 标准和规范</w:t>
      </w:r>
    </w:p>
    <w:p w14:paraId="5A2D3874">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1.4.1 适用于本合同的标准、规范（名称）包括：</w:t>
      </w:r>
      <w:r>
        <w:rPr>
          <w:rFonts w:hint="eastAsia" w:ascii="宋体" w:hAnsi="宋体" w:cs="宋体"/>
          <w:color w:val="auto"/>
          <w:szCs w:val="21"/>
          <w:highlight w:val="none"/>
          <w:u w:val="single"/>
        </w:rPr>
        <w:t xml:space="preserve"> 中华人民共和国住房和城乡建设部等部门及省、市发布的有关文件 </w:t>
      </w:r>
      <w:r>
        <w:rPr>
          <w:rFonts w:hint="eastAsia" w:ascii="宋体" w:hAnsi="宋体" w:cs="宋体"/>
          <w:color w:val="auto"/>
          <w:szCs w:val="21"/>
          <w:highlight w:val="none"/>
        </w:rPr>
        <w:t>。</w:t>
      </w:r>
    </w:p>
    <w:p w14:paraId="41B4EB2A">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1.4.2 发包人提供的国外标准、规范的名称：</w:t>
      </w:r>
      <w:r>
        <w:rPr>
          <w:rFonts w:hint="eastAsia" w:ascii="宋体" w:hAnsi="宋体" w:cs="宋体"/>
          <w:color w:val="auto"/>
          <w:szCs w:val="21"/>
          <w:highlight w:val="none"/>
          <w:u w:val="single"/>
        </w:rPr>
        <w:t>承包人自备国内现行适用的标准、规范</w:t>
      </w:r>
      <w:r>
        <w:rPr>
          <w:rFonts w:hint="eastAsia" w:cs="宋体"/>
          <w:color w:val="auto"/>
          <w:szCs w:val="21"/>
          <w:highlight w:val="none"/>
          <w:u w:val="single"/>
        </w:rPr>
        <w:t xml:space="preserve"> </w:t>
      </w:r>
      <w:r>
        <w:rPr>
          <w:rFonts w:hint="eastAsia" w:ascii="宋体" w:hAnsi="宋体" w:cs="宋体"/>
          <w:color w:val="auto"/>
          <w:szCs w:val="21"/>
          <w:highlight w:val="none"/>
        </w:rPr>
        <w:t>；发包人提供的国外标准、规范的份数：</w:t>
      </w:r>
      <w:r>
        <w:rPr>
          <w:rFonts w:hint="eastAsia" w:ascii="宋体" w:hAnsi="宋体" w:cs="宋体"/>
          <w:color w:val="auto"/>
          <w:szCs w:val="21"/>
          <w:highlight w:val="none"/>
          <w:u w:val="single"/>
        </w:rPr>
        <w:t xml:space="preserve">   </w:t>
      </w:r>
      <w:r>
        <w:rPr>
          <w:rFonts w:hint="eastAsia" w:cs="宋体"/>
          <w:color w:val="auto"/>
          <w:szCs w:val="21"/>
          <w:highlight w:val="none"/>
          <w:u w:val="single"/>
        </w:rPr>
        <w:t>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；发包人提供的国外标准、规范的时间：</w:t>
      </w:r>
      <w:r>
        <w:rPr>
          <w:rFonts w:hint="eastAsia" w:ascii="宋体" w:hAnsi="宋体" w:cs="宋体"/>
          <w:color w:val="auto"/>
          <w:szCs w:val="21"/>
          <w:highlight w:val="none"/>
          <w:u w:val="single"/>
        </w:rPr>
        <w:t xml:space="preserve">   </w:t>
      </w:r>
      <w:r>
        <w:rPr>
          <w:rFonts w:hint="eastAsia" w:cs="宋体"/>
          <w:color w:val="auto"/>
          <w:szCs w:val="21"/>
          <w:highlight w:val="none"/>
          <w:u w:val="single"/>
        </w:rPr>
        <w:t>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8A316F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1.4.3 没有成文规范、标准规定的约定：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无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4F27B4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1.4.4 发包人对于工程的技术标准、功能要求：</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现行规范执行</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AE1880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1.5 合同文件的优先顺序</w:t>
      </w:r>
    </w:p>
    <w:p w14:paraId="0C160C76">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合同文件组成及优先顺序为：</w:t>
      </w:r>
      <w:r>
        <w:rPr>
          <w:rFonts w:hint="eastAsia" w:ascii="宋体" w:hAnsi="宋体" w:cs="宋体"/>
          <w:color w:val="auto"/>
          <w:szCs w:val="21"/>
          <w:highlight w:val="none"/>
          <w:u w:val="single"/>
        </w:rPr>
        <w:t xml:space="preserve"> （1）合同协议书；（2）中标通知书；（3）投标函及其附录；（4）招标文件；（5）专用合同条款及其附件；（6）通用合同</w:t>
      </w:r>
      <w:r>
        <w:rPr>
          <w:rFonts w:hint="eastAsia" w:cs="宋体"/>
          <w:color w:val="auto"/>
          <w:szCs w:val="21"/>
          <w:highlight w:val="none"/>
          <w:u w:val="single"/>
        </w:rPr>
        <w:t>条件</w:t>
      </w:r>
      <w:r>
        <w:rPr>
          <w:rFonts w:hint="eastAsia" w:ascii="宋体" w:hAnsi="宋体" w:cs="宋体"/>
          <w:color w:val="auto"/>
          <w:szCs w:val="21"/>
          <w:highlight w:val="none"/>
          <w:u w:val="single"/>
        </w:rPr>
        <w:t>；（7）技术标准和要求；（8）图纸；（9）预算书；（10）其他合同文件</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525D1C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上述各项合同文件包括合同当事人就该项合同文件所作出的补充和修改，属于同一类内容的文件，应以最新签署的为准。</w:t>
      </w:r>
    </w:p>
    <w:p w14:paraId="6630BC2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在合同订立及履行过程中形成的与合同有关的文件均构成合同文件组成部分，并根据其性质确定优先解释顺序。</w:t>
      </w:r>
    </w:p>
    <w:p w14:paraId="3E064A2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1.6 文件的提供和照管</w:t>
      </w:r>
    </w:p>
    <w:p w14:paraId="444A306A">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1.6.1 发包人文件的提供</w:t>
      </w:r>
    </w:p>
    <w:p w14:paraId="3A2CC88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发包人文件的提供期限、名称、数量和形式：</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7FBF9C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1.6.2 承包人文件的提供</w:t>
      </w:r>
    </w:p>
    <w:p w14:paraId="734C7CC0">
      <w:pPr>
        <w:widowControl/>
        <w:tabs>
          <w:tab w:val="left" w:pos="220"/>
          <w:tab w:val="left" w:pos="5760"/>
          <w:tab w:val="left" w:pos="8880"/>
        </w:tabs>
        <w:adjustRightInd w:val="0"/>
        <w:snapToGrid w:val="0"/>
        <w:spacing w:line="440" w:lineRule="exact"/>
        <w:ind w:left="0" w:leftChars="0" w:right="250" w:rightChars="119" w:hanging="15" w:firstLineChars="0"/>
        <w:jc w:val="left"/>
        <w:rPr>
          <w:rFonts w:ascii="宋体" w:hAnsi="宋体" w:cs="宋体"/>
          <w:color w:val="auto"/>
          <w:szCs w:val="21"/>
          <w:highlight w:val="none"/>
          <w:u w:val="single"/>
        </w:rPr>
      </w:pPr>
      <w:r>
        <w:rPr>
          <w:rFonts w:hint="eastAsia" w:ascii="宋体" w:hAnsi="宋体" w:cs="宋体"/>
          <w:color w:val="auto"/>
          <w:szCs w:val="21"/>
          <w:highlight w:val="none"/>
        </w:rPr>
        <w:t>承包人文件的内容、提供期限、名称、数量和</w:t>
      </w:r>
      <w:r>
        <w:rPr>
          <w:rFonts w:hint="eastAsia" w:cs="宋体"/>
          <w:color w:val="auto"/>
          <w:szCs w:val="21"/>
          <w:highlight w:val="none"/>
        </w:rPr>
        <w:t>形式：</w:t>
      </w:r>
      <w:r>
        <w:rPr>
          <w:rFonts w:hint="eastAsia" w:cs="宋体"/>
          <w:color w:val="auto"/>
          <w:szCs w:val="21"/>
          <w:highlight w:val="none"/>
          <w:u w:val="single"/>
        </w:rPr>
        <w:t xml:space="preserve"> 按监理要求执行，包括但不限于项目部人员证书（在领取中标通知书前）、项目部任命文、实施性施工组织设计等   </w:t>
      </w:r>
      <w:r>
        <w:rPr>
          <w:rFonts w:hint="eastAsia" w:cs="宋体"/>
          <w:color w:val="auto"/>
          <w:szCs w:val="21"/>
          <w:highlight w:val="none"/>
        </w:rPr>
        <w:t>。</w:t>
      </w:r>
    </w:p>
    <w:p w14:paraId="0FB635D1">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1.6.4 文件的照管</w:t>
      </w:r>
    </w:p>
    <w:p w14:paraId="25E2386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关于现场文件准备的约定：</w:t>
      </w:r>
      <w:r>
        <w:rPr>
          <w:rFonts w:hint="eastAsia" w:ascii="宋体" w:hAnsi="宋体" w:cs="宋体"/>
          <w:color w:val="auto"/>
          <w:szCs w:val="21"/>
          <w:highlight w:val="none"/>
          <w:u w:val="single"/>
        </w:rPr>
        <w:t xml:space="preserve"> 除专用合同条款另有约定外，承包人应在施工现场另外保存一套完整的图纸和承包人文件，供发包人、监理人及有关人员进行工程检查时使用 </w:t>
      </w:r>
      <w:r>
        <w:rPr>
          <w:rFonts w:hint="eastAsia" w:ascii="宋体" w:hAnsi="宋体" w:cs="宋体"/>
          <w:color w:val="auto"/>
          <w:szCs w:val="21"/>
          <w:highlight w:val="none"/>
        </w:rPr>
        <w:t>。</w:t>
      </w:r>
    </w:p>
    <w:p w14:paraId="0A835AA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1.7 联络</w:t>
      </w:r>
    </w:p>
    <w:p w14:paraId="5427E99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1.7.2 发包人指定的送达方式（包括电子传输方</w:t>
      </w:r>
      <w:r>
        <w:rPr>
          <w:rFonts w:hint="eastAsia" w:cs="宋体"/>
          <w:color w:val="auto"/>
          <w:szCs w:val="21"/>
          <w:highlight w:val="none"/>
        </w:rPr>
        <w:t>式）：</w:t>
      </w:r>
      <w:r>
        <w:rPr>
          <w:rFonts w:hint="eastAsia" w:cs="宋体"/>
          <w:color w:val="auto"/>
          <w:szCs w:val="21"/>
          <w:highlight w:val="none"/>
          <w:u w:val="single"/>
        </w:rPr>
        <w:t xml:space="preserve">        </w:t>
      </w:r>
      <w:r>
        <w:rPr>
          <w:rFonts w:hint="eastAsia" w:ascii="宋体" w:hAnsi="宋体" w:cs="宋体"/>
          <w:color w:val="auto"/>
          <w:szCs w:val="21"/>
          <w:highlight w:val="none"/>
          <w:u w:val="single"/>
        </w:rPr>
        <w:t>书面函件</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7008722">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发包人的送达地址：</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项目部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BA6BF9A">
      <w:pPr>
        <w:widowControl/>
        <w:tabs>
          <w:tab w:val="left" w:pos="220"/>
        </w:tabs>
        <w:adjustRightInd w:val="0"/>
        <w:snapToGrid w:val="0"/>
        <w:spacing w:line="440" w:lineRule="exact"/>
        <w:ind w:left="0" w:leftChars="0" w:right="250" w:rightChars="119" w:hanging="15" w:firstLineChars="0"/>
        <w:jc w:val="left"/>
        <w:rPr>
          <w:rFonts w:ascii="宋体" w:hAnsi="宋体" w:cs="宋体"/>
          <w:color w:val="auto"/>
          <w:szCs w:val="21"/>
          <w:highlight w:val="none"/>
        </w:rPr>
      </w:pPr>
      <w:r>
        <w:rPr>
          <w:rFonts w:hint="eastAsia" w:ascii="宋体" w:hAnsi="宋体" w:cs="宋体"/>
          <w:color w:val="auto"/>
          <w:szCs w:val="21"/>
          <w:highlight w:val="none"/>
        </w:rPr>
        <w:t>承包人指定的送达方式（包括电子传输方</w:t>
      </w:r>
      <w:r>
        <w:rPr>
          <w:rFonts w:hint="eastAsia" w:cs="宋体"/>
          <w:color w:val="auto"/>
          <w:szCs w:val="21"/>
          <w:highlight w:val="none"/>
        </w:rPr>
        <w:t>式）：</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书面函件   </w:t>
      </w:r>
      <w:r>
        <w:rPr>
          <w:rFonts w:hint="eastAsia" w:cs="宋体"/>
          <w:color w:val="auto"/>
          <w:szCs w:val="21"/>
          <w:highlight w:val="none"/>
          <w:u w:val="single"/>
        </w:rPr>
        <w:t xml:space="preserve">          </w:t>
      </w:r>
      <w:r>
        <w:rPr>
          <w:rFonts w:hint="eastAsia" w:cs="宋体"/>
          <w:color w:val="auto"/>
          <w:szCs w:val="21"/>
          <w:highlight w:val="none"/>
        </w:rPr>
        <w:t>。</w:t>
      </w:r>
    </w:p>
    <w:p w14:paraId="6C7BF4A1">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承包人的送达地址：</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项目部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34255F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1.10 知识产权</w:t>
      </w:r>
    </w:p>
    <w:p w14:paraId="3DD77F03">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1.10.1 由发包人（或以发包人名义）编制的《发包人要求》和其他文件的著作权归</w:t>
      </w:r>
      <w:r>
        <w:rPr>
          <w:rFonts w:hint="eastAsia" w:cs="宋体"/>
          <w:color w:val="auto"/>
          <w:szCs w:val="21"/>
          <w:highlight w:val="none"/>
        </w:rPr>
        <w:t>属：</w:t>
      </w:r>
      <w:r>
        <w:rPr>
          <w:rFonts w:hint="eastAsia" w:cs="宋体"/>
          <w:color w:val="auto"/>
          <w:szCs w:val="21"/>
          <w:highlight w:val="none"/>
          <w:u w:val="single"/>
        </w:rPr>
        <w:t>发包人。</w:t>
      </w:r>
    </w:p>
    <w:p w14:paraId="3574A9F6">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1.10.2 由承包人（或以承包人名义）为实施工程所编制的文件、承包人完成的设计工作成果和建造完成的建筑物的知识产权归属：</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发包人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8B2D722">
      <w:pPr>
        <w:widowControl/>
        <w:tabs>
          <w:tab w:val="left" w:pos="220"/>
        </w:tabs>
        <w:adjustRightInd w:val="0"/>
        <w:snapToGrid w:val="0"/>
        <w:spacing w:line="440" w:lineRule="exact"/>
        <w:ind w:left="0" w:leftChars="0" w:right="250" w:rightChars="119" w:hanging="15" w:firstLineChars="0"/>
        <w:jc w:val="left"/>
        <w:rPr>
          <w:rFonts w:hint="eastAsia" w:cs="宋体"/>
          <w:color w:val="auto"/>
          <w:szCs w:val="21"/>
          <w:highlight w:val="none"/>
          <w:u w:val="single"/>
        </w:rPr>
      </w:pPr>
      <w:r>
        <w:rPr>
          <w:rFonts w:hint="eastAsia" w:ascii="宋体" w:hAnsi="宋体" w:cs="宋体"/>
          <w:color w:val="auto"/>
          <w:szCs w:val="21"/>
          <w:highlight w:val="none"/>
        </w:rPr>
        <w:t>1.10.4 承包人在投标文件中采用的专利、专有技术、技术秘密的使用费的承担方</w:t>
      </w:r>
      <w:r>
        <w:rPr>
          <w:rFonts w:hint="eastAsia" w:cs="宋体"/>
          <w:color w:val="auto"/>
          <w:szCs w:val="21"/>
          <w:highlight w:val="none"/>
        </w:rPr>
        <w:t>式：</w:t>
      </w:r>
      <w:r>
        <w:rPr>
          <w:rFonts w:hint="eastAsia" w:cs="宋体"/>
          <w:color w:val="auto"/>
          <w:szCs w:val="21"/>
          <w:highlight w:val="none"/>
          <w:u w:val="single"/>
        </w:rPr>
        <w:t>该费用已包含在签约合同价中。</w:t>
      </w:r>
    </w:p>
    <w:p w14:paraId="232B370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1.11 保密</w:t>
      </w:r>
    </w:p>
    <w:p w14:paraId="64721C0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双方订立的商业保密协议（名称）：</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无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，作为本合同附件。</w:t>
      </w:r>
    </w:p>
    <w:p w14:paraId="682571C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双方订立的技术保密协议（名称）：</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无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，作为本合同附件。</w:t>
      </w:r>
    </w:p>
    <w:p w14:paraId="77336E8F">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1.13 责任限制</w:t>
      </w:r>
    </w:p>
    <w:p w14:paraId="642490B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承包人对发包人赔偿责任的最高限额为</w:t>
      </w:r>
      <w:r>
        <w:rPr>
          <w:rFonts w:hint="eastAsia" w:ascii="宋体" w:hAnsi="宋体" w:cs="宋体"/>
          <w:color w:val="auto"/>
          <w:szCs w:val="21"/>
          <w:highlight w:val="none"/>
          <w:u w:val="single"/>
        </w:rPr>
        <w:t xml:space="preserve"> </w:t>
      </w:r>
      <w:r>
        <w:rPr>
          <w:rFonts w:hint="eastAsia" w:cs="宋体"/>
          <w:color w:val="auto"/>
          <w:szCs w:val="21"/>
          <w:highlight w:val="none"/>
          <w:u w:val="single"/>
        </w:rPr>
        <w:t>不应超过签约合同价，但对于因欺诈、犯罪、故意、重大过失、人身伤害等不当行为造成的损失，赔偿的责任限度不受最高限额的限制</w:t>
      </w:r>
      <w:r>
        <w:rPr>
          <w:rFonts w:hint="eastAsia" w:ascii="宋体" w:hAnsi="宋体" w:cs="宋体"/>
          <w:color w:val="auto"/>
          <w:szCs w:val="21"/>
          <w:highlight w:val="none"/>
        </w:rPr>
        <w:t>。</w:t>
      </w:r>
    </w:p>
    <w:p w14:paraId="74D4E286">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1.14 建筑信息模型技术的应用</w:t>
      </w:r>
    </w:p>
    <w:p w14:paraId="4CC9C575">
      <w:pPr>
        <w:widowControl/>
        <w:tabs>
          <w:tab w:val="left" w:pos="220"/>
        </w:tabs>
        <w:adjustRightInd w:val="0"/>
        <w:snapToGrid w:val="0"/>
        <w:spacing w:line="440" w:lineRule="exact"/>
        <w:ind w:left="0" w:leftChars="0" w:right="250" w:rightChars="119" w:hanging="15" w:firstLineChars="0"/>
        <w:jc w:val="left"/>
        <w:rPr>
          <w:rFonts w:ascii="宋体" w:hAnsi="宋体" w:cs="宋体"/>
          <w:color w:val="auto"/>
          <w:szCs w:val="21"/>
          <w:highlight w:val="none"/>
        </w:rPr>
      </w:pPr>
      <w:r>
        <w:rPr>
          <w:rFonts w:hint="eastAsia" w:ascii="宋体" w:hAnsi="宋体" w:cs="宋体"/>
          <w:color w:val="auto"/>
          <w:szCs w:val="21"/>
          <w:highlight w:val="none"/>
        </w:rPr>
        <w:t>关于建筑信息模型技术的开发、使用、存储、传输、交付及费用约定如</w:t>
      </w:r>
      <w:r>
        <w:rPr>
          <w:rFonts w:hint="eastAsia" w:cs="宋体"/>
          <w:color w:val="auto"/>
          <w:szCs w:val="21"/>
          <w:highlight w:val="none"/>
        </w:rPr>
        <w:t>下：</w:t>
      </w:r>
      <w:r>
        <w:rPr>
          <w:rFonts w:hint="eastAsia" w:cs="宋体"/>
          <w:color w:val="auto"/>
          <w:szCs w:val="21"/>
          <w:highlight w:val="none"/>
          <w:u w:val="single"/>
        </w:rPr>
        <w:t xml:space="preserve">              </w:t>
      </w:r>
      <w:r>
        <w:rPr>
          <w:rFonts w:hint="eastAsia" w:cs="宋体"/>
          <w:color w:val="auto"/>
          <w:szCs w:val="21"/>
          <w:highlight w:val="none"/>
        </w:rPr>
        <w:t>。</w:t>
      </w:r>
    </w:p>
    <w:p w14:paraId="58944B62">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cs="宋体"/>
          <w:bCs w:val="0"/>
          <w:color w:val="auto"/>
          <w:sz w:val="21"/>
          <w:szCs w:val="21"/>
          <w:highlight w:val="none"/>
        </w:rPr>
      </w:pPr>
      <w:bookmarkStart w:id="885" w:name="_Toc54862333"/>
      <w:r>
        <w:rPr>
          <w:rFonts w:hint="eastAsia" w:cs="宋体"/>
          <w:bCs w:val="0"/>
          <w:color w:val="auto"/>
          <w:sz w:val="21"/>
          <w:szCs w:val="21"/>
          <w:highlight w:val="none"/>
        </w:rPr>
        <w:t>第2条 发包人</w:t>
      </w:r>
      <w:bookmarkEnd w:id="885"/>
    </w:p>
    <w:p w14:paraId="1A02B4D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2.2 提供施工现场和工作条件</w:t>
      </w:r>
    </w:p>
    <w:p w14:paraId="1DD46954">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2.2.1 提供施工现场</w:t>
      </w:r>
    </w:p>
    <w:p w14:paraId="101E4461">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关于发包人提供施工现场的范围和期限：</w:t>
      </w:r>
      <w:r>
        <w:rPr>
          <w:rFonts w:hint="eastAsia" w:ascii="宋体" w:hAnsi="宋体" w:cs="宋体"/>
          <w:color w:val="auto"/>
          <w:szCs w:val="21"/>
          <w:highlight w:val="none"/>
          <w:u w:val="single"/>
        </w:rPr>
        <w:t xml:space="preserve"> 发包人应最迟于开工日期7天前向承包人移交施工现场</w:t>
      </w:r>
      <w:r>
        <w:rPr>
          <w:rFonts w:hint="eastAsia" w:cs="宋体"/>
          <w:color w:val="auto"/>
          <w:szCs w:val="21"/>
          <w:highlight w:val="none"/>
          <w:u w:val="single"/>
        </w:rPr>
        <w:t>，但承包人未能按照第4.2款[履约担保]提供履约担保的除外</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7A63032">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2.2.2 提供工作条件</w:t>
      </w:r>
    </w:p>
    <w:p w14:paraId="7640CC4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关于发包人应负责提供的工作条件包括：</w:t>
      </w:r>
      <w:r>
        <w:rPr>
          <w:rFonts w:hint="eastAsia" w:ascii="宋体" w:hAnsi="宋体" w:cs="宋体"/>
          <w:color w:val="auto"/>
          <w:szCs w:val="21"/>
          <w:highlight w:val="none"/>
          <w:u w:val="single"/>
        </w:rPr>
        <w:t>（1）将施工用水、电力、通讯线路等施工所必需的条件接至施工现场内；（2）保证向承包人提供正常施工所需要的进入施工现场的交通条件；（3）协调处理施工现场周围地下管线和邻近建筑物、构筑物、古树名木的保护工作，并承担相关费用。若上述费用已包含在本项目发包范围，则由承包人自行解决并承担费用</w:t>
      </w:r>
      <w:r>
        <w:rPr>
          <w:rFonts w:hint="eastAsia" w:ascii="宋体" w:hAnsi="宋体" w:cs="宋体"/>
          <w:color w:val="auto"/>
          <w:szCs w:val="21"/>
          <w:highlight w:val="none"/>
        </w:rPr>
        <w:t>。</w:t>
      </w:r>
    </w:p>
    <w:p w14:paraId="5AC29DA2">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2.3 提供基础资料</w:t>
      </w:r>
    </w:p>
    <w:p w14:paraId="2FD67443">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关于发包人应提供的基础资料的范围和期限：</w:t>
      </w:r>
      <w:r>
        <w:rPr>
          <w:rFonts w:hint="eastAsia" w:ascii="宋体" w:hAnsi="宋体" w:cs="宋体"/>
          <w:color w:val="auto"/>
          <w:szCs w:val="21"/>
          <w:highlight w:val="none"/>
          <w:u w:val="single"/>
        </w:rPr>
        <w:t>向承包人提供施工现场及工程实施所必需的毗邻区域内的供水、排水、供电、供气、供热、通信、广播电视等地上、地下管线和设施资料，气象和水文观测资料，地质勘察资料，相邻建筑物、构筑物和地下工程等有关基础资料。上述资料在开工前14日内提供。</w:t>
      </w:r>
    </w:p>
    <w:p w14:paraId="68C16182">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2.5 支付合同价款</w:t>
      </w:r>
    </w:p>
    <w:p w14:paraId="71072D4E">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2.5.2 发包人提供资金来源证明及资金安排的期限要求：在取得施工许可证的 3 个月内办结工程款支付担保。施工单位在收到工程款支付担保后 3 日内将相关资料上传至至项目所在地农民工工资支付监管平台，未按时按承诺提交工程款支付担保的工程建设项目，将视作建设资金未落实。</w:t>
      </w:r>
    </w:p>
    <w:p w14:paraId="735711CB">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2.5.3 发包人提供支付担保的形式、期限、金额（或比例）：提供支付担保。</w:t>
      </w:r>
    </w:p>
    <w:p w14:paraId="666C6C7D">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工程款支付担保可以采用银行保函、保证保险、工程担保公司担保等方式。银行保函、保证保险和工程担保保单应当为不可撤销的保证。发包人应当向承包人提供签约合同价8%的工程款支付担保。</w:t>
      </w:r>
    </w:p>
    <w:p w14:paraId="2D4614ED">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于政府投资的工程建设项目，发包人可以提供财政等政府有权部门出具的落实项目建设资金保障证明作为工程款支付担保凭证。工程款支付担保保证期限原则上应与施工合同约定的期限保持一致（采用分阶段担保的，建设单位支付相应的工程款后，当期工程款支付担保解除，进入下一阶段工程款支付担保）。施工工期延期的，建设单位应在保证期限到期前 30 天，办理保函、保单延期手续。</w:t>
      </w:r>
    </w:p>
    <w:p w14:paraId="11B5B5F4">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款支付担保保证有效期内，建设单位未按照规定向农民工工资专用账户拨付工资性工程款或者未按照合同约定支付施工进度款的，施工总承包企业（包括专业承包企业，下同）可以要求保证人履行保证责任，同时将拖欠信息报送工程所在地住房城乡建设主管部门和人力资源社会保障主管部门。</w:t>
      </w:r>
    </w:p>
    <w:p w14:paraId="2FA32ADE">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在我省开展工程款支付担保业务的保证人应向有关主管部门提供担保凭证网络验证途径。</w:t>
      </w:r>
    </w:p>
    <w:p w14:paraId="0F698CCF">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2.7 其他义务</w:t>
      </w:r>
    </w:p>
    <w:p w14:paraId="0EA3FC5F">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发包人应履行的其他义务：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A6BC9F6">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cs="宋体"/>
          <w:bCs w:val="0"/>
          <w:color w:val="auto"/>
          <w:sz w:val="21"/>
          <w:szCs w:val="21"/>
          <w:highlight w:val="none"/>
        </w:rPr>
      </w:pPr>
      <w:bookmarkStart w:id="886" w:name="_Toc54862334"/>
      <w:r>
        <w:rPr>
          <w:rFonts w:hint="eastAsia" w:cs="宋体"/>
          <w:bCs w:val="0"/>
          <w:color w:val="auto"/>
          <w:sz w:val="21"/>
          <w:szCs w:val="21"/>
          <w:highlight w:val="none"/>
        </w:rPr>
        <w:t>第3条 发包人的管理</w:t>
      </w:r>
      <w:bookmarkEnd w:id="886"/>
    </w:p>
    <w:p w14:paraId="645DC4D3">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3.1 发包人代表</w:t>
      </w:r>
    </w:p>
    <w:p w14:paraId="2BFF2B5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发包人代表的姓名：</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E78FBEF">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发包人代表的身份证号：</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542A3D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发包人代表的职务：</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F8F1C01">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发包人代表的联系电话：</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cs="宋体"/>
          <w:color w:val="auto"/>
          <w:szCs w:val="21"/>
          <w:highlight w:val="none"/>
          <w:u w:val="single"/>
          <w:lang w:val="en-US" w:eastAsia="zh-CN"/>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EE067C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发包人代表的电子邮箱：</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9EFA93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发包人代表的通信地址：</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DECFFE3">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发包人对发包人代表的授权范围如下：</w:t>
      </w:r>
      <w:r>
        <w:rPr>
          <w:rFonts w:hint="eastAsia" w:ascii="宋体" w:hAnsi="宋体" w:cs="宋体"/>
          <w:color w:val="auto"/>
          <w:szCs w:val="21"/>
          <w:highlight w:val="none"/>
          <w:u w:val="single"/>
        </w:rPr>
        <w:t>施工组织设计和总进度计划的审批权和调整权；人员在岗、工程进度、质量、安全、环保的监督检查权和建议处罚权；工程款的初步审查权；第三方检测的委托权；主要材料的质量否决权；工程量的确认权；工程变更签证的审核权；可调价格材料的价格确认权；工程结算的审核权；合同的解释；等等。</w:t>
      </w:r>
    </w:p>
    <w:p w14:paraId="305F13D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发包人代表的职责：</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执行通用合同条件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EC9294F">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3.2 发包人人员</w:t>
      </w:r>
    </w:p>
    <w:p w14:paraId="0BF6B9A2">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发包人人员姓名：</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58A2A63">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发包人人员职务：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cs="宋体"/>
          <w:color w:val="auto"/>
          <w:szCs w:val="21"/>
          <w:highlight w:val="none"/>
        </w:rPr>
        <w:t xml:space="preserve"> </w:t>
      </w:r>
    </w:p>
    <w:p w14:paraId="201900CA">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发包人人员职责：</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75B0F6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3.3 工程师（注册监理工程师）</w:t>
      </w:r>
    </w:p>
    <w:p w14:paraId="0E63BF1A">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3.3.1 工程师姓名：</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DA67F6D">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工程师监督管理范围、内</w:t>
      </w:r>
      <w:r>
        <w:rPr>
          <w:rFonts w:hint="eastAsia" w:cs="宋体"/>
          <w:color w:val="auto"/>
          <w:szCs w:val="21"/>
          <w:highlight w:val="none"/>
        </w:rPr>
        <w:t>容：</w:t>
      </w:r>
      <w:r>
        <w:rPr>
          <w:rFonts w:hint="eastAsia" w:cs="宋体"/>
          <w:color w:val="auto"/>
          <w:szCs w:val="21"/>
          <w:highlight w:val="none"/>
          <w:u w:val="single"/>
        </w:rPr>
        <w:t xml:space="preserve">   详见监理合同                           </w:t>
      </w:r>
      <w:r>
        <w:rPr>
          <w:rFonts w:hint="eastAsia" w:ascii="宋体" w:hAnsi="宋体" w:cs="宋体"/>
          <w:color w:val="auto"/>
          <w:szCs w:val="21"/>
          <w:highlight w:val="none"/>
        </w:rPr>
        <w:t>；</w:t>
      </w:r>
    </w:p>
    <w:p w14:paraId="6D63D19A">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工程师权限：</w:t>
      </w:r>
      <w:r>
        <w:rPr>
          <w:rFonts w:hint="eastAsia" w:ascii="宋体" w:hAnsi="宋体" w:cs="宋体"/>
          <w:color w:val="auto"/>
          <w:szCs w:val="21"/>
          <w:highlight w:val="none"/>
          <w:u w:val="single"/>
        </w:rPr>
        <w:t>发布开工令、停工令、复工令权；工程质量的监督权；工程上使用的材料和施工质量检验权、确认权；工程施工进度、安全的检查、监督权、发包人授权的处罚权；工程款支付的审核权；向承包人提出施工组织设计和技术方案的建议权；发包人和承包人间的组织协调的主持权；撤换不合格的工程建设分包单位和注册建造师及有关人员的建议权；分包单位资质及能力的审查权；</w:t>
      </w:r>
      <w:r>
        <w:rPr>
          <w:rFonts w:hint="eastAsia" w:cs="宋体"/>
          <w:color w:val="auto"/>
          <w:szCs w:val="21"/>
          <w:highlight w:val="none"/>
          <w:u w:val="single"/>
        </w:rPr>
        <w:t>对承包人的设计、采购、施工、服务等工作过程或过程节点实施监理管理，</w:t>
      </w:r>
      <w:r>
        <w:rPr>
          <w:rFonts w:hint="eastAsia" w:ascii="宋体" w:hAnsi="宋体" w:cs="宋体"/>
          <w:color w:val="auto"/>
          <w:szCs w:val="21"/>
          <w:highlight w:val="none"/>
          <w:u w:val="single"/>
        </w:rPr>
        <w:t>等等。</w:t>
      </w:r>
    </w:p>
    <w:p w14:paraId="6EC76EBA">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3.6 商定或确定</w:t>
      </w:r>
    </w:p>
    <w:p w14:paraId="2BEA40E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3.6.2 关于商定时间限制的具体约定：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执行通用合同条件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0A5E96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3.6.3 关于商定或确定效力的具体约定：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执行通用合同条件   </w:t>
      </w:r>
      <w:r>
        <w:rPr>
          <w:rFonts w:hint="eastAsia" w:ascii="宋体" w:hAnsi="宋体" w:cs="宋体"/>
          <w:color w:val="auto"/>
          <w:szCs w:val="21"/>
          <w:highlight w:val="none"/>
        </w:rPr>
        <w:t>；关于对工程师的确定提出异议的具体约定：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任何一方对工程师的确定有异议的，应在收到确定的结果后28天内向另一方发出书面异议通知并抄送工程师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3E1EC8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3.7 会议</w:t>
      </w:r>
    </w:p>
    <w:p w14:paraId="5EA67FD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3.7.1 关于召开会议的具体约定：</w:t>
      </w:r>
      <w:r>
        <w:rPr>
          <w:rFonts w:hint="eastAsia" w:ascii="宋体" w:hAnsi="宋体" w:cs="宋体"/>
          <w:color w:val="auto"/>
          <w:szCs w:val="21"/>
          <w:highlight w:val="none"/>
          <w:u w:val="single"/>
        </w:rPr>
        <w:t xml:space="preserve"> 按</w:t>
      </w:r>
      <w:r>
        <w:rPr>
          <w:rFonts w:hint="eastAsia" w:ascii="宋体" w:hAnsi="宋体" w:cs="宋体"/>
          <w:color w:val="auto"/>
          <w:szCs w:val="21"/>
          <w:highlight w:val="none"/>
          <w:u w:val="single"/>
          <w:lang w:eastAsia="zh-CN"/>
        </w:rPr>
        <w:t>招标人</w:t>
      </w:r>
      <w:r>
        <w:rPr>
          <w:rFonts w:hint="eastAsia" w:ascii="宋体" w:hAnsi="宋体" w:cs="宋体"/>
          <w:color w:val="auto"/>
          <w:szCs w:val="21"/>
          <w:highlight w:val="none"/>
          <w:u w:val="single"/>
        </w:rPr>
        <w:t xml:space="preserve">相关规定执行   </w:t>
      </w:r>
      <w:r>
        <w:rPr>
          <w:rFonts w:hint="eastAsia" w:ascii="宋体" w:hAnsi="宋体" w:cs="宋体"/>
          <w:color w:val="auto"/>
          <w:szCs w:val="21"/>
          <w:highlight w:val="none"/>
        </w:rPr>
        <w:t>。</w:t>
      </w:r>
    </w:p>
    <w:p w14:paraId="2F9FB002">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3.7.2 关于保存和提供会议纪要的具体约定：</w:t>
      </w:r>
      <w:r>
        <w:rPr>
          <w:rFonts w:hint="eastAsia" w:ascii="宋体" w:hAnsi="宋体" w:cs="宋体"/>
          <w:color w:val="auto"/>
          <w:szCs w:val="21"/>
          <w:highlight w:val="none"/>
          <w:u w:val="single"/>
        </w:rPr>
        <w:t>按</w:t>
      </w:r>
      <w:r>
        <w:rPr>
          <w:rFonts w:hint="eastAsia" w:ascii="宋体" w:hAnsi="宋体" w:cs="宋体"/>
          <w:color w:val="auto"/>
          <w:szCs w:val="21"/>
          <w:highlight w:val="none"/>
          <w:u w:val="single"/>
          <w:lang w:eastAsia="zh-CN"/>
        </w:rPr>
        <w:t>招标人</w:t>
      </w:r>
      <w:r>
        <w:rPr>
          <w:rFonts w:hint="eastAsia" w:ascii="宋体" w:hAnsi="宋体" w:cs="宋体"/>
          <w:color w:val="auto"/>
          <w:szCs w:val="21"/>
          <w:highlight w:val="none"/>
          <w:u w:val="single"/>
        </w:rPr>
        <w:t xml:space="preserve">相关规定执行 </w:t>
      </w:r>
      <w:r>
        <w:rPr>
          <w:rFonts w:hint="eastAsia" w:ascii="宋体" w:hAnsi="宋体" w:cs="宋体"/>
          <w:color w:val="auto"/>
          <w:szCs w:val="21"/>
          <w:highlight w:val="none"/>
        </w:rPr>
        <w:t>。</w:t>
      </w:r>
    </w:p>
    <w:p w14:paraId="3A7F1A2D">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cs="宋体"/>
          <w:bCs w:val="0"/>
          <w:color w:val="auto"/>
          <w:sz w:val="21"/>
          <w:szCs w:val="21"/>
          <w:highlight w:val="none"/>
        </w:rPr>
      </w:pPr>
      <w:bookmarkStart w:id="887" w:name="_Toc54862335"/>
      <w:r>
        <w:rPr>
          <w:rFonts w:hint="eastAsia" w:cs="宋体"/>
          <w:bCs w:val="0"/>
          <w:color w:val="auto"/>
          <w:sz w:val="21"/>
          <w:szCs w:val="21"/>
          <w:highlight w:val="none"/>
        </w:rPr>
        <w:t>第4条 承包人</w:t>
      </w:r>
      <w:bookmarkEnd w:id="887"/>
    </w:p>
    <w:p w14:paraId="7F685FB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4.1 承包人的一般义务</w:t>
      </w:r>
    </w:p>
    <w:p w14:paraId="6D136E63">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承包人应履行的其他义务：</w:t>
      </w:r>
      <w:r>
        <w:rPr>
          <w:rFonts w:hint="eastAsia" w:ascii="宋体" w:hAnsi="宋体" w:cs="宋体"/>
          <w:color w:val="auto"/>
          <w:szCs w:val="21"/>
          <w:highlight w:val="none"/>
          <w:u w:val="single"/>
        </w:rPr>
        <w:t>①工程竣工半年(含)内完成竣工结算的；②无合同纠纷等原因拖欠农民工工资、材料款，出现群访及时处理；③质量无缺陷，及时整改到位，处理及时；④施工现场服从调度或工程进度不超过合同工期或按合同期限按时移交的；⑤月工程量进度及时完成；⑥按规定提供工程资料并及时归档的</w:t>
      </w:r>
      <w:r>
        <w:rPr>
          <w:rFonts w:hint="eastAsia" w:cs="宋体"/>
          <w:color w:val="auto"/>
          <w:szCs w:val="21"/>
          <w:highlight w:val="none"/>
          <w:u w:val="single"/>
        </w:rPr>
        <w:t>；⑦其余均按合同通用条款执行。</w:t>
      </w:r>
    </w:p>
    <w:p w14:paraId="03700A6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4.2 履约担保</w:t>
      </w:r>
    </w:p>
    <w:p w14:paraId="08B654EF">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承包人是否提供履约担保：</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是</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69E1CC0">
      <w:pPr>
        <w:widowControl/>
        <w:tabs>
          <w:tab w:val="left" w:pos="220"/>
        </w:tabs>
        <w:adjustRightInd w:val="0"/>
        <w:snapToGrid w:val="0"/>
        <w:spacing w:line="440" w:lineRule="exact"/>
        <w:ind w:left="0" w:leftChars="0" w:right="250" w:rightChars="119" w:hanging="15" w:firstLineChars="0"/>
        <w:jc w:val="left"/>
        <w:rPr>
          <w:rFonts w:ascii="宋体" w:hAnsi="宋体" w:cs="宋体"/>
          <w:color w:val="auto"/>
          <w:szCs w:val="21"/>
          <w:highlight w:val="none"/>
          <w:u w:val="single"/>
        </w:rPr>
      </w:pPr>
      <w:r>
        <w:rPr>
          <w:rFonts w:hint="eastAsia" w:ascii="宋体" w:hAnsi="宋体" w:cs="宋体"/>
          <w:color w:val="auto"/>
          <w:szCs w:val="21"/>
          <w:highlight w:val="none"/>
        </w:rPr>
        <w:t>履约担保的方式、金额及期限:</w:t>
      </w:r>
      <w:r>
        <w:rPr>
          <w:rFonts w:hint="eastAsia" w:ascii="宋体" w:hAnsi="宋体" w:cs="宋体"/>
          <w:color w:val="auto"/>
          <w:szCs w:val="21"/>
          <w:highlight w:val="none"/>
          <w:u w:val="single"/>
        </w:rPr>
        <w:t xml:space="preserve"> 方式：</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；金额：</w:t>
      </w:r>
      <w:r>
        <w:rPr>
          <w:rFonts w:hint="eastAsia" w:ascii="宋体" w:hAnsi="宋体" w:cs="宋体"/>
          <w:color w:val="auto"/>
          <w:szCs w:val="21"/>
          <w:highlight w:val="none"/>
          <w:u w:val="single"/>
          <w:lang w:val="en-US" w:eastAsia="zh-CN"/>
        </w:rPr>
        <w:t>0.8MWP</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u w:val="single"/>
          <w:lang w:val="en-US" w:eastAsia="zh-CN"/>
        </w:rPr>
        <w:t>中标单价</w:t>
      </w:r>
      <w:r>
        <w:rPr>
          <w:rFonts w:hint="eastAsia" w:ascii="宋体" w:hAnsi="宋体" w:eastAsia="宋体" w:cs="宋体"/>
          <w:color w:val="auto"/>
          <w:szCs w:val="21"/>
          <w:highlight w:val="none"/>
          <w:u w:val="single"/>
        </w:rPr>
        <w:t>×</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u w:val="single"/>
        </w:rPr>
        <w:t>%；期限：中标人须在中标通知书后30个日历天内缴纳履约保证金及签订</w:t>
      </w:r>
      <w:r>
        <w:rPr>
          <w:rFonts w:hint="eastAsia" w:ascii="宋体" w:hAnsi="宋体" w:cs="宋体"/>
          <w:color w:val="auto"/>
          <w:szCs w:val="21"/>
          <w:highlight w:val="none"/>
          <w:u w:val="single"/>
        </w:rPr>
        <w:t>合同。 退还时间：履约保证金有效期满7日内。</w:t>
      </w:r>
    </w:p>
    <w:p w14:paraId="3FD1106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4.3 工程总承包项目经理（</w:t>
      </w:r>
      <w:r>
        <w:rPr>
          <w:rFonts w:hint="eastAsia" w:ascii="宋体" w:hAnsi="宋体" w:eastAsia="宋体" w:cs="宋体"/>
          <w:color w:val="auto"/>
          <w:sz w:val="21"/>
          <w:szCs w:val="21"/>
          <w:highlight w:val="none"/>
        </w:rPr>
        <w:t>项目经理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建造师）</w:t>
      </w:r>
      <w:r>
        <w:rPr>
          <w:rFonts w:hint="eastAsia" w:ascii="宋体" w:hAnsi="宋体" w:cs="宋体"/>
          <w:color w:val="auto"/>
          <w:szCs w:val="21"/>
          <w:highlight w:val="none"/>
        </w:rPr>
        <w:t>，下同）</w:t>
      </w:r>
    </w:p>
    <w:p w14:paraId="0FA91FC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4.3.1 工程总承包项目经理姓名：</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720FF2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执业资格或职称类型：</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cs="宋体"/>
          <w:color w:val="auto"/>
          <w:szCs w:val="21"/>
          <w:highlight w:val="none"/>
          <w:u w:val="single"/>
          <w:lang w:val="en-US" w:eastAsia="zh-CN"/>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F077FCD">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执业资格证或职称证号码：</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8E9B49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cs="宋体"/>
          <w:color w:val="auto"/>
          <w:szCs w:val="21"/>
          <w:highlight w:val="none"/>
          <w:u w:val="single"/>
          <w:lang w:val="en-US" w:eastAsia="zh-CN"/>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4FA2D8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电子邮箱：</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4E63D6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B94AFFA">
      <w:pPr>
        <w:widowControl/>
        <w:tabs>
          <w:tab w:val="left" w:pos="220"/>
        </w:tabs>
        <w:adjustRightInd w:val="0"/>
        <w:snapToGrid w:val="0"/>
        <w:spacing w:line="440" w:lineRule="exact"/>
        <w:ind w:left="0" w:leftChars="0" w:right="250" w:rightChars="119" w:hanging="15" w:firstLineChars="0"/>
        <w:jc w:val="left"/>
        <w:rPr>
          <w:rFonts w:cs="宋体"/>
          <w:color w:val="auto"/>
          <w:szCs w:val="21"/>
          <w:highlight w:val="none"/>
          <w:u w:val="single"/>
        </w:rPr>
      </w:pPr>
      <w:r>
        <w:rPr>
          <w:rFonts w:hint="eastAsia" w:ascii="宋体" w:hAnsi="宋体" w:cs="宋体"/>
          <w:color w:val="auto"/>
          <w:szCs w:val="21"/>
          <w:highlight w:val="none"/>
        </w:rPr>
        <w:t>承包人未提交劳动合同，以及没有为工程总承包</w:t>
      </w:r>
      <w:r>
        <w:rPr>
          <w:rFonts w:hint="eastAsia" w:ascii="宋体" w:hAnsi="宋体" w:eastAsia="宋体" w:cs="宋体"/>
          <w:color w:val="auto"/>
          <w:sz w:val="21"/>
          <w:szCs w:val="21"/>
          <w:highlight w:val="none"/>
        </w:rPr>
        <w:t>项目经理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建造师）</w:t>
      </w:r>
      <w:r>
        <w:rPr>
          <w:rFonts w:hint="eastAsia" w:ascii="宋体" w:hAnsi="宋体" w:cs="宋体"/>
          <w:color w:val="auto"/>
          <w:szCs w:val="21"/>
          <w:highlight w:val="none"/>
        </w:rPr>
        <w:t>缴纳社会保险证明的违约责</w:t>
      </w:r>
      <w:r>
        <w:rPr>
          <w:rFonts w:hint="eastAsia" w:cs="宋体"/>
          <w:color w:val="auto"/>
          <w:szCs w:val="21"/>
          <w:highlight w:val="none"/>
        </w:rPr>
        <w:t>任：</w:t>
      </w:r>
      <w:r>
        <w:rPr>
          <w:rFonts w:hint="eastAsia" w:cs="宋体"/>
          <w:color w:val="auto"/>
          <w:szCs w:val="21"/>
          <w:highlight w:val="none"/>
          <w:u w:val="single"/>
        </w:rPr>
        <w:t xml:space="preserve"> 签订本合同前提供，资格审查时已提供的，不再重复提供 </w:t>
      </w:r>
      <w:r>
        <w:rPr>
          <w:rFonts w:hint="eastAsia" w:cs="宋体"/>
          <w:color w:val="auto"/>
          <w:szCs w:val="21"/>
          <w:highlight w:val="none"/>
        </w:rPr>
        <w:t>。</w:t>
      </w:r>
    </w:p>
    <w:p w14:paraId="0782A1FA">
      <w:pPr>
        <w:widowControl/>
        <w:tabs>
          <w:tab w:val="left" w:pos="220"/>
        </w:tabs>
        <w:adjustRightInd w:val="0"/>
        <w:snapToGrid w:val="0"/>
        <w:spacing w:line="440" w:lineRule="exact"/>
        <w:ind w:left="0" w:leftChars="0" w:right="250" w:rightChars="119" w:hanging="15" w:firstLineChars="0"/>
        <w:jc w:val="left"/>
        <w:rPr>
          <w:rFonts w:ascii="宋体" w:hAnsi="宋体" w:cs="宋体"/>
          <w:color w:val="auto"/>
          <w:szCs w:val="21"/>
          <w:highlight w:val="none"/>
          <w:u w:val="single"/>
        </w:rPr>
      </w:pPr>
      <w:r>
        <w:rPr>
          <w:rFonts w:hint="eastAsia" w:ascii="宋体" w:hAnsi="宋体" w:cs="宋体"/>
          <w:color w:val="auto"/>
          <w:szCs w:val="21"/>
          <w:highlight w:val="none"/>
        </w:rPr>
        <w:t>4.3.2 工程总承包项目经理每月在现场的时间要</w:t>
      </w:r>
      <w:r>
        <w:rPr>
          <w:rFonts w:hint="eastAsia" w:cs="宋体"/>
          <w:color w:val="auto"/>
          <w:szCs w:val="21"/>
          <w:highlight w:val="none"/>
        </w:rPr>
        <w:t>求：</w:t>
      </w:r>
      <w:r>
        <w:rPr>
          <w:rFonts w:hint="eastAsia" w:cs="宋体"/>
          <w:color w:val="auto"/>
          <w:szCs w:val="21"/>
          <w:highlight w:val="none"/>
          <w:u w:val="single"/>
        </w:rPr>
        <w:t xml:space="preserve"> 项目经理</w:t>
      </w:r>
      <w:r>
        <w:rPr>
          <w:rFonts w:hint="eastAsia" w:cs="宋体"/>
          <w:color w:val="auto"/>
          <w:szCs w:val="21"/>
          <w:highlight w:val="none"/>
          <w:u w:val="single"/>
          <w:lang w:eastAsia="zh-CN"/>
        </w:rPr>
        <w:t>（</w:t>
      </w:r>
      <w:r>
        <w:rPr>
          <w:rFonts w:hint="eastAsia" w:cs="宋体"/>
          <w:color w:val="auto"/>
          <w:szCs w:val="21"/>
          <w:highlight w:val="none"/>
          <w:u w:val="single"/>
          <w:lang w:val="en-US" w:eastAsia="zh-CN"/>
        </w:rPr>
        <w:t>建造师）</w:t>
      </w:r>
      <w:r>
        <w:rPr>
          <w:rFonts w:hint="eastAsia" w:cs="宋体"/>
          <w:color w:val="auto"/>
          <w:szCs w:val="21"/>
          <w:highlight w:val="none"/>
          <w:u w:val="single"/>
        </w:rPr>
        <w:t>每月在岗时间不得少于20天，施工现场其他管理人员每月在岗时间不得少于22天。</w:t>
      </w:r>
    </w:p>
    <w:p w14:paraId="2CE5B960">
      <w:pPr>
        <w:widowControl/>
        <w:tabs>
          <w:tab w:val="left" w:pos="220"/>
        </w:tabs>
        <w:adjustRightInd w:val="0"/>
        <w:snapToGrid w:val="0"/>
        <w:spacing w:line="440" w:lineRule="exact"/>
        <w:ind w:left="0" w:leftChars="0" w:right="250" w:rightChars="119" w:hanging="15" w:firstLineChars="0"/>
        <w:jc w:val="left"/>
        <w:rPr>
          <w:rFonts w:ascii="宋体" w:hAnsi="宋体" w:cs="宋体"/>
          <w:color w:val="auto"/>
          <w:szCs w:val="21"/>
          <w:highlight w:val="none"/>
        </w:rPr>
      </w:pPr>
      <w:r>
        <w:rPr>
          <w:rFonts w:hint="eastAsia" w:ascii="宋体" w:hAnsi="宋体" w:cs="宋体"/>
          <w:color w:val="auto"/>
          <w:szCs w:val="21"/>
          <w:highlight w:val="none"/>
        </w:rPr>
        <w:t>工程总承包项目经理未经批准擅自离开施工现场的违约责</w:t>
      </w:r>
      <w:r>
        <w:rPr>
          <w:rFonts w:hint="eastAsia" w:cs="宋体"/>
          <w:color w:val="auto"/>
          <w:szCs w:val="21"/>
          <w:highlight w:val="none"/>
        </w:rPr>
        <w:t>任：</w:t>
      </w:r>
      <w:r>
        <w:rPr>
          <w:rFonts w:hint="eastAsia" w:cs="宋体"/>
          <w:color w:val="auto"/>
          <w:szCs w:val="21"/>
          <w:highlight w:val="none"/>
          <w:u w:val="single"/>
        </w:rPr>
        <w:t xml:space="preserve"> 未按规定在岗履责的，对项目经理和技术负责人处罚</w:t>
      </w:r>
      <w:r>
        <w:rPr>
          <w:rFonts w:hint="eastAsia" w:cs="宋体"/>
          <w:color w:val="auto"/>
          <w:szCs w:val="21"/>
          <w:highlight w:val="none"/>
          <w:u w:val="single"/>
          <w:lang w:val="en-US" w:eastAsia="zh-CN"/>
        </w:rPr>
        <w:t>10000</w:t>
      </w:r>
      <w:r>
        <w:rPr>
          <w:rFonts w:hint="eastAsia" w:cs="宋体"/>
          <w:color w:val="auto"/>
          <w:szCs w:val="21"/>
          <w:highlight w:val="none"/>
          <w:u w:val="single"/>
        </w:rPr>
        <w:t>元/人·天的违约金，对施工现场其他管理人员处罚</w:t>
      </w:r>
      <w:r>
        <w:rPr>
          <w:rFonts w:hint="eastAsia" w:cs="宋体"/>
          <w:color w:val="auto"/>
          <w:szCs w:val="21"/>
          <w:highlight w:val="none"/>
          <w:u w:val="single"/>
          <w:lang w:val="en-US" w:eastAsia="zh-CN"/>
        </w:rPr>
        <w:t>5</w:t>
      </w:r>
      <w:r>
        <w:rPr>
          <w:rFonts w:hint="eastAsia" w:cs="宋体"/>
          <w:color w:val="auto"/>
          <w:szCs w:val="21"/>
          <w:highlight w:val="none"/>
          <w:u w:val="single"/>
        </w:rPr>
        <w:t>000元/人·天的违约金。项目部关键岗位人员离岗必须向发包人项目组长履行请假手续，若被我单位和相关部门日常检查和随机抽查中发现不在岗的，又未履行请假手续的，处罚</w:t>
      </w:r>
      <w:r>
        <w:rPr>
          <w:rFonts w:hint="eastAsia" w:cs="宋体"/>
          <w:color w:val="auto"/>
          <w:szCs w:val="21"/>
          <w:highlight w:val="none"/>
          <w:u w:val="single"/>
          <w:lang w:val="en-US" w:eastAsia="zh-CN"/>
        </w:rPr>
        <w:t>10000</w:t>
      </w:r>
      <w:r>
        <w:rPr>
          <w:rFonts w:hint="eastAsia" w:cs="宋体"/>
          <w:color w:val="auto"/>
          <w:szCs w:val="21"/>
          <w:highlight w:val="none"/>
          <w:u w:val="single"/>
        </w:rPr>
        <w:t xml:space="preserve">元/人·次的违约金 </w:t>
      </w:r>
      <w:r>
        <w:rPr>
          <w:rFonts w:hint="eastAsia" w:cs="宋体"/>
          <w:color w:val="auto"/>
          <w:szCs w:val="21"/>
          <w:highlight w:val="none"/>
        </w:rPr>
        <w:t>。</w:t>
      </w:r>
    </w:p>
    <w:p w14:paraId="2E0634EB">
      <w:pPr>
        <w:widowControl/>
        <w:tabs>
          <w:tab w:val="left" w:pos="220"/>
        </w:tabs>
        <w:adjustRightInd w:val="0"/>
        <w:snapToGrid w:val="0"/>
        <w:spacing w:line="440" w:lineRule="exact"/>
        <w:ind w:left="0" w:leftChars="0" w:right="250" w:rightChars="119" w:hanging="15" w:firstLineChars="0"/>
        <w:jc w:val="left"/>
        <w:rPr>
          <w:rFonts w:ascii="宋体" w:hAnsi="宋体" w:cs="宋体"/>
          <w:color w:val="auto"/>
          <w:szCs w:val="21"/>
          <w:highlight w:val="none"/>
        </w:rPr>
      </w:pPr>
      <w:r>
        <w:rPr>
          <w:rFonts w:hint="eastAsia" w:ascii="宋体" w:hAnsi="宋体" w:cs="宋体"/>
          <w:color w:val="auto"/>
          <w:szCs w:val="21"/>
          <w:highlight w:val="none"/>
        </w:rPr>
        <w:t>4.3.3 承包人对工程总承包</w:t>
      </w:r>
      <w:r>
        <w:rPr>
          <w:rFonts w:hint="eastAsia" w:ascii="宋体" w:hAnsi="宋体" w:eastAsia="宋体" w:cs="宋体"/>
          <w:color w:val="auto"/>
          <w:sz w:val="21"/>
          <w:szCs w:val="21"/>
          <w:highlight w:val="none"/>
        </w:rPr>
        <w:t>项目经理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建造师）</w:t>
      </w:r>
      <w:r>
        <w:rPr>
          <w:rFonts w:hint="eastAsia" w:ascii="宋体" w:hAnsi="宋体" w:cs="宋体"/>
          <w:color w:val="auto"/>
          <w:szCs w:val="21"/>
          <w:highlight w:val="none"/>
        </w:rPr>
        <w:t>的授权范</w:t>
      </w:r>
      <w:r>
        <w:rPr>
          <w:rFonts w:hint="eastAsia" w:cs="宋体"/>
          <w:color w:val="auto"/>
          <w:szCs w:val="21"/>
          <w:highlight w:val="none"/>
        </w:rPr>
        <w:t>围：</w:t>
      </w:r>
      <w:r>
        <w:rPr>
          <w:rFonts w:hint="eastAsia" w:cs="宋体"/>
          <w:color w:val="auto"/>
          <w:szCs w:val="21"/>
          <w:highlight w:val="none"/>
          <w:u w:val="single"/>
        </w:rPr>
        <w:t xml:space="preserve"> 由承包人明确授权范围 </w:t>
      </w:r>
      <w:r>
        <w:rPr>
          <w:rFonts w:hint="eastAsia" w:cs="宋体"/>
          <w:color w:val="auto"/>
          <w:szCs w:val="21"/>
          <w:highlight w:val="none"/>
        </w:rPr>
        <w:t>。</w:t>
      </w:r>
    </w:p>
    <w:p w14:paraId="5EBEB000">
      <w:pPr>
        <w:widowControl/>
        <w:tabs>
          <w:tab w:val="left" w:pos="220"/>
        </w:tabs>
        <w:adjustRightInd w:val="0"/>
        <w:snapToGrid w:val="0"/>
        <w:spacing w:line="440" w:lineRule="exact"/>
        <w:ind w:left="0" w:leftChars="0" w:right="250" w:rightChars="119" w:hanging="15" w:firstLineChars="0"/>
        <w:jc w:val="left"/>
        <w:rPr>
          <w:rFonts w:ascii="宋体" w:hAnsi="宋体" w:cs="宋体"/>
          <w:color w:val="auto"/>
          <w:szCs w:val="21"/>
          <w:highlight w:val="none"/>
        </w:rPr>
      </w:pPr>
      <w:r>
        <w:rPr>
          <w:rFonts w:hint="eastAsia" w:ascii="宋体" w:hAnsi="宋体" w:cs="宋体"/>
          <w:color w:val="auto"/>
          <w:szCs w:val="21"/>
          <w:highlight w:val="none"/>
        </w:rPr>
        <w:t>4.3.4 承包人擅自更换工程总承包</w:t>
      </w:r>
      <w:r>
        <w:rPr>
          <w:rFonts w:hint="eastAsia" w:ascii="宋体" w:hAnsi="宋体" w:eastAsia="宋体" w:cs="宋体"/>
          <w:color w:val="auto"/>
          <w:sz w:val="21"/>
          <w:szCs w:val="21"/>
          <w:highlight w:val="none"/>
        </w:rPr>
        <w:t>项目经理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建造师）</w:t>
      </w:r>
      <w:r>
        <w:rPr>
          <w:rFonts w:hint="eastAsia" w:ascii="宋体" w:hAnsi="宋体" w:cs="宋体"/>
          <w:color w:val="auto"/>
          <w:szCs w:val="21"/>
          <w:highlight w:val="none"/>
        </w:rPr>
        <w:t>的违约责</w:t>
      </w:r>
      <w:r>
        <w:rPr>
          <w:rFonts w:hint="eastAsia" w:cs="宋体"/>
          <w:color w:val="auto"/>
          <w:szCs w:val="21"/>
          <w:highlight w:val="none"/>
        </w:rPr>
        <w:t>任：</w:t>
      </w:r>
      <w:r>
        <w:rPr>
          <w:rFonts w:hint="eastAsia" w:cs="宋体"/>
          <w:color w:val="auto"/>
          <w:szCs w:val="21"/>
          <w:highlight w:val="none"/>
          <w:u w:val="single"/>
        </w:rPr>
        <w:t>项目经理变更必须经发包人批准，并满足《关于进一步加强建筑施工现场项目负责人变更行为管理的通知》及滁州市其他相关规定要求，除</w:t>
      </w:r>
      <w:r>
        <w:rPr>
          <w:rFonts w:hint="eastAsia" w:ascii="宋体" w:hAnsi="宋体" w:cs="宋体"/>
          <w:color w:val="auto"/>
          <w:szCs w:val="21"/>
          <w:highlight w:val="none"/>
          <w:u w:val="single"/>
        </w:rPr>
        <w:t>①患重病、发生意外等身体原因不能在施工现场进行管理的</w:t>
      </w:r>
      <w:r>
        <w:rPr>
          <w:rFonts w:hint="eastAsia" w:cs="宋体"/>
          <w:color w:val="auto"/>
          <w:szCs w:val="21"/>
          <w:highlight w:val="none"/>
          <w:u w:val="single"/>
        </w:rPr>
        <w:t>；②</w:t>
      </w:r>
      <w:r>
        <w:rPr>
          <w:rFonts w:hint="eastAsia" w:ascii="宋体" w:hAnsi="宋体" w:cs="宋体"/>
          <w:color w:val="auto"/>
          <w:szCs w:val="21"/>
          <w:highlight w:val="none"/>
          <w:u w:val="single"/>
        </w:rPr>
        <w:t>离职的</w:t>
      </w:r>
      <w:r>
        <w:rPr>
          <w:rFonts w:hint="eastAsia" w:cs="宋体"/>
          <w:color w:val="auto"/>
          <w:szCs w:val="21"/>
          <w:highlight w:val="none"/>
          <w:u w:val="single"/>
        </w:rPr>
        <w:t>；</w:t>
      </w:r>
      <w:r>
        <w:rPr>
          <w:rFonts w:hint="eastAsia" w:ascii="宋体" w:hAnsi="宋体" w:cs="宋体"/>
          <w:color w:val="auto"/>
          <w:szCs w:val="21"/>
          <w:highlight w:val="none"/>
          <w:u w:val="single"/>
        </w:rPr>
        <w:t>③违法违规行为不能继续从事施工现场管理工作的</w:t>
      </w:r>
      <w:r>
        <w:rPr>
          <w:rFonts w:hint="eastAsia" w:cs="宋体"/>
          <w:color w:val="auto"/>
          <w:szCs w:val="21"/>
          <w:highlight w:val="none"/>
          <w:u w:val="single"/>
        </w:rPr>
        <w:t>；</w:t>
      </w:r>
      <w:r>
        <w:rPr>
          <w:rFonts w:hint="eastAsia" w:ascii="宋体" w:hAnsi="宋体" w:cs="宋体"/>
          <w:color w:val="auto"/>
          <w:szCs w:val="21"/>
          <w:highlight w:val="none"/>
          <w:u w:val="single"/>
        </w:rPr>
        <w:t>④无能力履行合同责任义务被建设行政主管部门或建设单位责令更换的等原因外</w:t>
      </w:r>
      <w:r>
        <w:rPr>
          <w:rFonts w:hint="eastAsia" w:cs="宋体"/>
          <w:color w:val="auto"/>
          <w:szCs w:val="21"/>
          <w:highlight w:val="none"/>
          <w:u w:val="single"/>
        </w:rPr>
        <w:t>，原则上不得变更。其中亡故的需提供公安部门开具的死亡证明，重大疾病的需提供三甲及以上医院证明；出国、辞职等原因提出变更的，除需提供相关证明外，还须缴纳</w:t>
      </w:r>
      <w:r>
        <w:rPr>
          <w:rFonts w:hint="eastAsia" w:cs="宋体"/>
          <w:color w:val="auto"/>
          <w:szCs w:val="21"/>
          <w:highlight w:val="none"/>
          <w:u w:val="single"/>
          <w:lang w:val="en-US" w:eastAsia="zh-CN"/>
        </w:rPr>
        <w:t>10</w:t>
      </w:r>
      <w:r>
        <w:rPr>
          <w:rFonts w:hint="eastAsia" w:cs="宋体"/>
          <w:color w:val="auto"/>
          <w:szCs w:val="21"/>
          <w:highlight w:val="none"/>
          <w:u w:val="single"/>
        </w:rPr>
        <w:t xml:space="preserve">万元违约金，否则不得变更。变更后的项目负责人必须符合本项目招标文件和投标承诺配备的同等条件人员 </w:t>
      </w:r>
      <w:r>
        <w:rPr>
          <w:rFonts w:hint="eastAsia" w:cs="宋体"/>
          <w:color w:val="auto"/>
          <w:szCs w:val="21"/>
          <w:highlight w:val="none"/>
        </w:rPr>
        <w:t>。</w:t>
      </w:r>
    </w:p>
    <w:p w14:paraId="744F4C07">
      <w:pPr>
        <w:widowControl/>
        <w:tabs>
          <w:tab w:val="left" w:pos="220"/>
        </w:tabs>
        <w:adjustRightInd w:val="0"/>
        <w:snapToGrid w:val="0"/>
        <w:spacing w:line="440" w:lineRule="exact"/>
        <w:ind w:left="0" w:leftChars="0" w:right="250" w:rightChars="119" w:hanging="15" w:firstLineChars="0"/>
        <w:jc w:val="left"/>
        <w:rPr>
          <w:rFonts w:hint="eastAsia" w:cs="宋体"/>
          <w:color w:val="auto"/>
          <w:szCs w:val="21"/>
          <w:highlight w:val="none"/>
          <w:u w:val="single"/>
        </w:rPr>
      </w:pPr>
      <w:r>
        <w:rPr>
          <w:rFonts w:hint="eastAsia" w:ascii="宋体" w:hAnsi="宋体" w:cs="宋体"/>
          <w:color w:val="auto"/>
          <w:szCs w:val="21"/>
          <w:highlight w:val="none"/>
        </w:rPr>
        <w:t>4.3.5 承包人无正当理由拒绝更换工程总承包项目经理的违约责</w:t>
      </w:r>
      <w:r>
        <w:rPr>
          <w:rFonts w:hint="eastAsia" w:cs="宋体"/>
          <w:color w:val="auto"/>
          <w:szCs w:val="21"/>
          <w:highlight w:val="none"/>
        </w:rPr>
        <w:t>任：</w:t>
      </w:r>
      <w:r>
        <w:rPr>
          <w:rFonts w:hint="eastAsia" w:cs="宋体"/>
          <w:color w:val="auto"/>
          <w:szCs w:val="21"/>
          <w:highlight w:val="none"/>
          <w:u w:val="single"/>
        </w:rPr>
        <w:t xml:space="preserve"> 发包人将组织对项目经理</w:t>
      </w:r>
      <w:r>
        <w:rPr>
          <w:rFonts w:hint="eastAsia" w:cs="宋体"/>
          <w:color w:val="auto"/>
          <w:szCs w:val="21"/>
          <w:highlight w:val="none"/>
          <w:u w:val="single"/>
          <w:lang w:eastAsia="zh-CN"/>
        </w:rPr>
        <w:t>（</w:t>
      </w:r>
      <w:r>
        <w:rPr>
          <w:rFonts w:hint="eastAsia" w:cs="宋体"/>
          <w:color w:val="auto"/>
          <w:szCs w:val="21"/>
          <w:highlight w:val="none"/>
          <w:u w:val="single"/>
          <w:lang w:val="en-US" w:eastAsia="zh-CN"/>
        </w:rPr>
        <w:t>建造师）</w:t>
      </w:r>
      <w:r>
        <w:rPr>
          <w:rFonts w:hint="eastAsia" w:cs="宋体"/>
          <w:color w:val="auto"/>
          <w:szCs w:val="21"/>
          <w:highlight w:val="none"/>
          <w:u w:val="single"/>
        </w:rPr>
        <w:t>进行业务能力考核，对未按投标文件配备或经考核不合格要求更换人员的，承包人7日内必须整改调整到位。否则，对于项目经理</w:t>
      </w:r>
      <w:r>
        <w:rPr>
          <w:rFonts w:hint="eastAsia" w:cs="宋体"/>
          <w:color w:val="auto"/>
          <w:szCs w:val="21"/>
          <w:highlight w:val="none"/>
          <w:u w:val="single"/>
          <w:lang w:eastAsia="zh-CN"/>
        </w:rPr>
        <w:t>（</w:t>
      </w:r>
      <w:r>
        <w:rPr>
          <w:rFonts w:hint="eastAsia" w:cs="宋体"/>
          <w:color w:val="auto"/>
          <w:szCs w:val="21"/>
          <w:highlight w:val="none"/>
          <w:u w:val="single"/>
          <w:lang w:val="en-US" w:eastAsia="zh-CN"/>
        </w:rPr>
        <w:t>建造师）</w:t>
      </w:r>
      <w:r>
        <w:rPr>
          <w:rFonts w:hint="eastAsia" w:cs="宋体"/>
          <w:color w:val="auto"/>
          <w:szCs w:val="21"/>
          <w:highlight w:val="none"/>
          <w:u w:val="single"/>
        </w:rPr>
        <w:t>和技术负责人，按照</w:t>
      </w:r>
      <w:r>
        <w:rPr>
          <w:rFonts w:hint="eastAsia" w:cs="宋体"/>
          <w:color w:val="auto"/>
          <w:szCs w:val="21"/>
          <w:highlight w:val="none"/>
          <w:u w:val="single"/>
          <w:lang w:val="en-US" w:eastAsia="zh-CN"/>
        </w:rPr>
        <w:t>10000</w:t>
      </w:r>
      <w:r>
        <w:rPr>
          <w:rFonts w:hint="eastAsia" w:cs="宋体"/>
          <w:color w:val="auto"/>
          <w:szCs w:val="21"/>
          <w:highlight w:val="none"/>
          <w:u w:val="single"/>
        </w:rPr>
        <w:t>元/人·天的违约金进行处罚，对于施工现场其他管理人员按照</w:t>
      </w:r>
      <w:r>
        <w:rPr>
          <w:rFonts w:hint="eastAsia" w:cs="宋体"/>
          <w:color w:val="auto"/>
          <w:szCs w:val="21"/>
          <w:highlight w:val="none"/>
          <w:u w:val="single"/>
          <w:lang w:val="en-US" w:eastAsia="zh-CN"/>
        </w:rPr>
        <w:t>5</w:t>
      </w:r>
      <w:r>
        <w:rPr>
          <w:rFonts w:hint="eastAsia" w:cs="宋体"/>
          <w:color w:val="auto"/>
          <w:szCs w:val="21"/>
          <w:highlight w:val="none"/>
          <w:u w:val="single"/>
        </w:rPr>
        <w:t>000元/人·天的违约金进行处罚。28日内未整改调整到位的，发包人有权终止合同，并提请相关行政主管部门对企业和人员进行“黑名单”处罚。</w:t>
      </w:r>
    </w:p>
    <w:p w14:paraId="3C93978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4.4 承包人人员</w:t>
      </w:r>
    </w:p>
    <w:p w14:paraId="086BE62F">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4.4.1 人员安排</w:t>
      </w:r>
    </w:p>
    <w:p w14:paraId="27C37CF4">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承包人提交项目管理机构及施工现场人员安排的报告的期</w:t>
      </w:r>
      <w:r>
        <w:rPr>
          <w:rFonts w:hint="eastAsia" w:cs="宋体"/>
          <w:color w:val="auto"/>
          <w:szCs w:val="21"/>
          <w:highlight w:val="none"/>
        </w:rPr>
        <w:t>限：</w:t>
      </w:r>
      <w:r>
        <w:rPr>
          <w:rFonts w:hint="eastAsia" w:cs="宋体"/>
          <w:color w:val="auto"/>
          <w:szCs w:val="21"/>
          <w:highlight w:val="none"/>
          <w:u w:val="single"/>
        </w:rPr>
        <w:t xml:space="preserve"> 承包人应在合同签订后7日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6E5C02C4">
      <w:pPr>
        <w:widowControl/>
        <w:tabs>
          <w:tab w:val="left" w:pos="220"/>
        </w:tabs>
        <w:adjustRightInd w:val="0"/>
        <w:snapToGrid w:val="0"/>
        <w:spacing w:line="440" w:lineRule="exact"/>
        <w:ind w:left="0" w:leftChars="0" w:right="250" w:rightChars="119" w:hanging="15" w:firstLineChars="0"/>
        <w:jc w:val="left"/>
        <w:rPr>
          <w:rFonts w:ascii="宋体" w:hAnsi="宋体" w:cs="宋体"/>
          <w:color w:val="auto"/>
          <w:szCs w:val="21"/>
          <w:highlight w:val="none"/>
          <w:u w:val="single"/>
        </w:rPr>
      </w:pPr>
      <w:r>
        <w:rPr>
          <w:rFonts w:hint="eastAsia" w:ascii="宋体" w:hAnsi="宋体" w:cs="宋体"/>
          <w:color w:val="auto"/>
          <w:szCs w:val="21"/>
          <w:highlight w:val="none"/>
        </w:rPr>
        <w:t>承包人提交关键人员信息及注册执业资格等证明其具备担任关键人员能力的相关文件的期</w:t>
      </w:r>
      <w:r>
        <w:rPr>
          <w:rFonts w:hint="eastAsia" w:cs="宋体"/>
          <w:color w:val="auto"/>
          <w:szCs w:val="21"/>
          <w:highlight w:val="none"/>
        </w:rPr>
        <w:t>限:</w:t>
      </w:r>
      <w:r>
        <w:rPr>
          <w:rFonts w:hint="eastAsia" w:cs="宋体"/>
          <w:color w:val="auto"/>
          <w:szCs w:val="21"/>
          <w:highlight w:val="none"/>
          <w:u w:val="single"/>
        </w:rPr>
        <w:t xml:space="preserve"> 承包人应在合同签订后7日内。</w:t>
      </w:r>
    </w:p>
    <w:p w14:paraId="263C4ACA">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4.4.2 关键人员更换</w:t>
      </w:r>
    </w:p>
    <w:p w14:paraId="2E71C8A8">
      <w:pPr>
        <w:widowControl/>
        <w:tabs>
          <w:tab w:val="left" w:pos="220"/>
        </w:tabs>
        <w:adjustRightInd w:val="0"/>
        <w:snapToGrid w:val="0"/>
        <w:spacing w:line="440" w:lineRule="exact"/>
        <w:ind w:left="0" w:leftChars="0" w:right="250" w:rightChars="119" w:hanging="15" w:firstLineChars="0"/>
        <w:jc w:val="left"/>
        <w:rPr>
          <w:rFonts w:ascii="宋体" w:hAnsi="宋体" w:cs="宋体"/>
          <w:color w:val="auto"/>
          <w:szCs w:val="21"/>
          <w:highlight w:val="none"/>
          <w:u w:val="single"/>
        </w:rPr>
      </w:pPr>
      <w:r>
        <w:rPr>
          <w:rFonts w:hint="eastAsia" w:ascii="宋体" w:hAnsi="宋体" w:cs="宋体"/>
          <w:color w:val="auto"/>
          <w:szCs w:val="21"/>
          <w:highlight w:val="none"/>
        </w:rPr>
        <w:t>承包人擅自更换关键人员的违约责任：</w:t>
      </w:r>
      <w:r>
        <w:rPr>
          <w:rFonts w:hint="eastAsia" w:cs="宋体"/>
          <w:color w:val="auto"/>
          <w:szCs w:val="21"/>
          <w:highlight w:val="none"/>
          <w:u w:val="single"/>
        </w:rPr>
        <w:t xml:space="preserve">     </w:t>
      </w:r>
      <w:r>
        <w:rPr>
          <w:rFonts w:hint="eastAsia" w:ascii="宋体" w:hAnsi="宋体" w:cs="宋体"/>
          <w:color w:val="auto"/>
          <w:szCs w:val="21"/>
          <w:highlight w:val="none"/>
          <w:u w:val="single"/>
        </w:rPr>
        <w:t>按照未按规定在岗履责进行处罚</w:t>
      </w:r>
      <w:r>
        <w:rPr>
          <w:rFonts w:hint="eastAsia" w:cs="宋体"/>
          <w:color w:val="auto"/>
          <w:szCs w:val="21"/>
          <w:highlight w:val="none"/>
          <w:u w:val="single"/>
        </w:rPr>
        <w:t xml:space="preserve">。            </w:t>
      </w:r>
    </w:p>
    <w:p w14:paraId="113C75C9">
      <w:pPr>
        <w:widowControl/>
        <w:tabs>
          <w:tab w:val="left" w:pos="220"/>
        </w:tabs>
        <w:adjustRightInd w:val="0"/>
        <w:snapToGrid w:val="0"/>
        <w:spacing w:line="440" w:lineRule="exact"/>
        <w:ind w:left="0" w:leftChars="0" w:right="250" w:rightChars="119" w:hanging="15" w:firstLineChars="0"/>
        <w:jc w:val="left"/>
        <w:rPr>
          <w:rFonts w:hint="eastAsia" w:cs="宋体"/>
          <w:color w:val="auto"/>
          <w:szCs w:val="21"/>
          <w:highlight w:val="none"/>
          <w:u w:val="single"/>
        </w:rPr>
      </w:pPr>
      <w:r>
        <w:rPr>
          <w:rFonts w:hint="eastAsia" w:ascii="宋体" w:hAnsi="宋体" w:cs="宋体"/>
          <w:color w:val="auto"/>
          <w:szCs w:val="21"/>
          <w:highlight w:val="none"/>
        </w:rPr>
        <w:t>承包人无正当理由拒绝撤换关键人员的违约责</w:t>
      </w:r>
      <w:r>
        <w:rPr>
          <w:rFonts w:hint="eastAsia" w:cs="宋体"/>
          <w:color w:val="auto"/>
          <w:szCs w:val="21"/>
          <w:highlight w:val="none"/>
        </w:rPr>
        <w:t>任：</w:t>
      </w:r>
      <w:r>
        <w:rPr>
          <w:rFonts w:hint="eastAsia" w:cs="宋体"/>
          <w:color w:val="auto"/>
          <w:szCs w:val="21"/>
          <w:highlight w:val="none"/>
          <w:u w:val="single"/>
        </w:rPr>
        <w:t>发包人将组织对人员进行业务能力考核，对未按投标文件配备或经考核不合格要求更换人员的，承包人7日内必须整改调整到位。否则，对于项目经理和技术负责人，按照</w:t>
      </w:r>
      <w:r>
        <w:rPr>
          <w:rFonts w:hint="eastAsia" w:cs="宋体"/>
          <w:color w:val="auto"/>
          <w:szCs w:val="21"/>
          <w:highlight w:val="none"/>
          <w:u w:val="single"/>
          <w:lang w:val="en-US" w:eastAsia="zh-CN"/>
        </w:rPr>
        <w:t>10000</w:t>
      </w:r>
      <w:r>
        <w:rPr>
          <w:rFonts w:hint="eastAsia" w:cs="宋体"/>
          <w:color w:val="auto"/>
          <w:szCs w:val="21"/>
          <w:highlight w:val="none"/>
          <w:u w:val="single"/>
        </w:rPr>
        <w:t>元/人·天的违约金进行处罚，对于施工现场其他管理人员按照</w:t>
      </w:r>
      <w:r>
        <w:rPr>
          <w:rFonts w:hint="eastAsia" w:cs="宋体"/>
          <w:color w:val="auto"/>
          <w:szCs w:val="21"/>
          <w:highlight w:val="none"/>
          <w:u w:val="single"/>
          <w:lang w:val="en-US" w:eastAsia="zh-CN"/>
        </w:rPr>
        <w:t>5000</w:t>
      </w:r>
      <w:r>
        <w:rPr>
          <w:rFonts w:hint="eastAsia" w:cs="宋体"/>
          <w:color w:val="auto"/>
          <w:szCs w:val="21"/>
          <w:highlight w:val="none"/>
          <w:u w:val="single"/>
        </w:rPr>
        <w:t>元/人·天的违约金进行处罚。28日内未整改调整到位的，发包人有权终止合同。</w:t>
      </w:r>
    </w:p>
    <w:p w14:paraId="39A9F03A">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4.4.3 现场管理关键人员在岗要求</w:t>
      </w:r>
    </w:p>
    <w:p w14:paraId="4316011B">
      <w:pPr>
        <w:widowControl/>
        <w:tabs>
          <w:tab w:val="left" w:pos="220"/>
        </w:tabs>
        <w:adjustRightInd w:val="0"/>
        <w:snapToGrid w:val="0"/>
        <w:spacing w:line="440" w:lineRule="exact"/>
        <w:ind w:left="0" w:leftChars="0" w:right="250" w:rightChars="119" w:hanging="15" w:firstLineChars="0"/>
        <w:jc w:val="left"/>
        <w:rPr>
          <w:rFonts w:ascii="宋体" w:hAnsi="宋体" w:cs="宋体"/>
          <w:color w:val="auto"/>
          <w:szCs w:val="21"/>
          <w:highlight w:val="none"/>
          <w:u w:val="single"/>
        </w:rPr>
      </w:pPr>
      <w:r>
        <w:rPr>
          <w:rFonts w:hint="eastAsia" w:ascii="宋体" w:hAnsi="宋体" w:cs="宋体"/>
          <w:color w:val="auto"/>
          <w:szCs w:val="21"/>
          <w:highlight w:val="none"/>
        </w:rPr>
        <w:t>承包人现场管理关键人员离开施工现场的批准要</w:t>
      </w:r>
      <w:r>
        <w:rPr>
          <w:rFonts w:hint="eastAsia" w:cs="宋体"/>
          <w:color w:val="auto"/>
          <w:szCs w:val="21"/>
          <w:highlight w:val="none"/>
        </w:rPr>
        <w:t>求：</w:t>
      </w:r>
      <w:r>
        <w:rPr>
          <w:rFonts w:hint="eastAsia" w:cs="宋体"/>
          <w:color w:val="auto"/>
          <w:szCs w:val="21"/>
          <w:highlight w:val="none"/>
          <w:u w:val="single"/>
        </w:rPr>
        <w:t>项目部关键岗位人员离岗必须向发包人项目组履行请假手续，经批准后方可离开施工现场。</w:t>
      </w:r>
    </w:p>
    <w:p w14:paraId="71ECE2D9">
      <w:pPr>
        <w:widowControl/>
        <w:tabs>
          <w:tab w:val="left" w:pos="220"/>
        </w:tabs>
        <w:adjustRightInd w:val="0"/>
        <w:snapToGrid w:val="0"/>
        <w:spacing w:line="440" w:lineRule="exact"/>
        <w:ind w:left="0" w:leftChars="0" w:right="250" w:rightChars="119" w:hanging="15" w:firstLineChars="0"/>
        <w:jc w:val="left"/>
        <w:rPr>
          <w:rFonts w:ascii="宋体" w:hAnsi="宋体" w:cs="宋体"/>
          <w:color w:val="auto"/>
          <w:szCs w:val="21"/>
          <w:highlight w:val="none"/>
          <w:u w:val="single"/>
        </w:rPr>
      </w:pPr>
      <w:r>
        <w:rPr>
          <w:rFonts w:hint="eastAsia" w:ascii="宋体" w:hAnsi="宋体" w:cs="宋体"/>
          <w:color w:val="auto"/>
          <w:szCs w:val="21"/>
          <w:highlight w:val="none"/>
        </w:rPr>
        <w:t>承包人现场管理关键人员擅自离开施工现场的违约责</w:t>
      </w:r>
      <w:r>
        <w:rPr>
          <w:rFonts w:hint="eastAsia" w:cs="宋体"/>
          <w:color w:val="auto"/>
          <w:szCs w:val="21"/>
          <w:highlight w:val="none"/>
        </w:rPr>
        <w:t>任：</w:t>
      </w:r>
      <w:r>
        <w:rPr>
          <w:rFonts w:hint="eastAsia" w:cs="宋体"/>
          <w:color w:val="auto"/>
          <w:szCs w:val="21"/>
          <w:highlight w:val="none"/>
          <w:u w:val="single"/>
        </w:rPr>
        <w:t>未按规定在岗履责的，对项目经理和技术负责人处罚</w:t>
      </w:r>
      <w:r>
        <w:rPr>
          <w:rFonts w:hint="eastAsia" w:cs="宋体"/>
          <w:color w:val="auto"/>
          <w:szCs w:val="21"/>
          <w:highlight w:val="none"/>
          <w:u w:val="single"/>
          <w:lang w:val="en-US" w:eastAsia="zh-CN"/>
        </w:rPr>
        <w:t>10000</w:t>
      </w:r>
      <w:r>
        <w:rPr>
          <w:rFonts w:hint="eastAsia" w:cs="宋体"/>
          <w:color w:val="auto"/>
          <w:szCs w:val="21"/>
          <w:highlight w:val="none"/>
          <w:u w:val="single"/>
        </w:rPr>
        <w:t>元/人·天的违约金，对施工现场其他管理人员处罚</w:t>
      </w:r>
      <w:r>
        <w:rPr>
          <w:rFonts w:hint="eastAsia" w:cs="宋体"/>
          <w:color w:val="auto"/>
          <w:szCs w:val="21"/>
          <w:highlight w:val="none"/>
          <w:u w:val="single"/>
          <w:lang w:val="en-US" w:eastAsia="zh-CN"/>
        </w:rPr>
        <w:t>5</w:t>
      </w:r>
      <w:r>
        <w:rPr>
          <w:rFonts w:hint="eastAsia" w:cs="宋体"/>
          <w:color w:val="auto"/>
          <w:szCs w:val="21"/>
          <w:highlight w:val="none"/>
          <w:u w:val="single"/>
        </w:rPr>
        <w:t>000元/人·天的违约金。项目部关键岗位人员离岗必须向发包人项目组履行请假手续，若被我</w:t>
      </w:r>
      <w:r>
        <w:rPr>
          <w:rFonts w:hint="eastAsia" w:cs="宋体"/>
          <w:color w:val="auto"/>
          <w:szCs w:val="21"/>
          <w:highlight w:val="none"/>
          <w:u w:val="single"/>
          <w:lang w:val="en-US" w:eastAsia="zh-CN"/>
        </w:rPr>
        <w:t>单位</w:t>
      </w:r>
      <w:r>
        <w:rPr>
          <w:rFonts w:hint="eastAsia" w:cs="宋体"/>
          <w:color w:val="auto"/>
          <w:szCs w:val="21"/>
          <w:highlight w:val="none"/>
          <w:u w:val="single"/>
        </w:rPr>
        <w:t>和相关部门日常检查和随机抽查中发现不在岗的，又未履行请假手续的，处罚</w:t>
      </w:r>
      <w:r>
        <w:rPr>
          <w:rFonts w:hint="eastAsia" w:cs="宋体"/>
          <w:color w:val="auto"/>
          <w:szCs w:val="21"/>
          <w:highlight w:val="none"/>
          <w:u w:val="single"/>
          <w:lang w:val="en-US" w:eastAsia="zh-CN"/>
        </w:rPr>
        <w:t>10000</w:t>
      </w:r>
      <w:r>
        <w:rPr>
          <w:rFonts w:hint="eastAsia" w:cs="宋体"/>
          <w:color w:val="auto"/>
          <w:szCs w:val="21"/>
          <w:highlight w:val="none"/>
          <w:u w:val="single"/>
        </w:rPr>
        <w:t>元/人·次的违约金 。</w:t>
      </w:r>
    </w:p>
    <w:p w14:paraId="53D2EEF2">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4.5 分包</w:t>
      </w:r>
    </w:p>
    <w:p w14:paraId="74DBC6C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4.5.1 一般约定</w:t>
      </w:r>
    </w:p>
    <w:p w14:paraId="6248E514">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禁止分包的工程包括：</w:t>
      </w:r>
      <w:r>
        <w:rPr>
          <w:rFonts w:hint="eastAsia" w:ascii="宋体" w:hAnsi="宋体" w:eastAsia="宋体" w:cs="宋体"/>
          <w:color w:val="auto"/>
          <w:sz w:val="21"/>
          <w:szCs w:val="21"/>
          <w:highlight w:val="none"/>
          <w:u w:val="single"/>
        </w:rPr>
        <w:t>主体结构、关键性工作</w:t>
      </w:r>
      <w:r>
        <w:rPr>
          <w:rFonts w:hint="eastAsia" w:cs="宋体"/>
          <w:color w:val="auto"/>
          <w:szCs w:val="21"/>
          <w:highlight w:val="none"/>
          <w:u w:val="single"/>
        </w:rPr>
        <w:t xml:space="preserve">    </w:t>
      </w:r>
      <w:r>
        <w:rPr>
          <w:rFonts w:hint="eastAsia" w:ascii="宋体" w:hAnsi="宋体" w:cs="宋体"/>
          <w:color w:val="auto"/>
          <w:szCs w:val="21"/>
          <w:highlight w:val="none"/>
        </w:rPr>
        <w:t>。</w:t>
      </w:r>
    </w:p>
    <w:p w14:paraId="4C9EAD0D">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4.5.2 分包的确定</w:t>
      </w:r>
    </w:p>
    <w:p w14:paraId="5DA92F93">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允许分包的工程包括：</w:t>
      </w:r>
      <w:r>
        <w:rPr>
          <w:rFonts w:hint="eastAsia" w:ascii="宋体" w:hAnsi="宋体" w:cs="宋体"/>
          <w:color w:val="auto"/>
          <w:szCs w:val="21"/>
          <w:highlight w:val="none"/>
          <w:u w:val="single"/>
        </w:rPr>
        <w:t xml:space="preserve">  </w:t>
      </w:r>
      <w:r>
        <w:rPr>
          <w:rFonts w:hint="eastAsia" w:ascii="宋体" w:hAnsi="宋体" w:eastAsia="宋体" w:cs="宋体"/>
          <w:color w:val="auto"/>
          <w:sz w:val="21"/>
          <w:szCs w:val="21"/>
          <w:highlight w:val="none"/>
          <w:u w:val="single"/>
        </w:rPr>
        <w:t>主体结构、关键性工作的范围以外的专业工程</w:t>
      </w:r>
      <w:r>
        <w:rPr>
          <w:rFonts w:hint="eastAsia" w:ascii="宋体" w:hAnsi="宋体" w:cs="宋体"/>
          <w:color w:val="auto"/>
          <w:szCs w:val="21"/>
          <w:highlight w:val="none"/>
          <w:u w:val="single"/>
        </w:rPr>
        <w:t xml:space="preserve"> 。</w:t>
      </w:r>
    </w:p>
    <w:p w14:paraId="1D73D7D4">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其他关于分包的约定：</w:t>
      </w:r>
      <w:r>
        <w:rPr>
          <w:rFonts w:hint="eastAsia" w:ascii="宋体" w:hAnsi="宋体" w:cs="宋体"/>
          <w:color w:val="auto"/>
          <w:szCs w:val="21"/>
          <w:highlight w:val="none"/>
          <w:u w:val="single"/>
        </w:rPr>
        <w:t xml:space="preserve"> 承包人不得以劳务分包的名义转包或违法分包工程。发包人在施工进场第一个月或施工过程中发现承包人转包、挂靠等行为的，发包人立即解除合同，清退出场，承包人已完合格工程量按合同价款60%进行结算。</w:t>
      </w:r>
    </w:p>
    <w:p w14:paraId="137CC0F6">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4.5.5 分包合同价款支付</w:t>
      </w:r>
    </w:p>
    <w:p w14:paraId="772C674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关于分包合同价款支付的约定：</w:t>
      </w:r>
      <w:r>
        <w:rPr>
          <w:rFonts w:hint="eastAsia" w:ascii="宋体" w:hAnsi="宋体" w:cs="宋体"/>
          <w:color w:val="auto"/>
          <w:szCs w:val="21"/>
          <w:highlight w:val="none"/>
          <w:u w:val="single"/>
        </w:rPr>
        <w:t xml:space="preserve"> （1）除本项第（2）和（3）条约定的情况外，分包合同价款由承包人与分包人结算，未经承包人同意，发包人不得向分包人支付分包工程价款；（2）生效法律文书要求发包人向分包人支付分包合同价款的，发包人有权从应付承包人工程款中扣除该部分款项 ；（3）恶意拖欠农民工工资，并经人力资源和社会保障部门核实的，发包人有权从应付承包人工程款中代付</w:t>
      </w:r>
      <w:r>
        <w:rPr>
          <w:rFonts w:hint="eastAsia" w:ascii="宋体" w:hAnsi="宋体" w:cs="宋体"/>
          <w:color w:val="auto"/>
          <w:szCs w:val="21"/>
          <w:highlight w:val="none"/>
        </w:rPr>
        <w:t>。</w:t>
      </w:r>
    </w:p>
    <w:p w14:paraId="5CBD4DB3">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4.6 联合体</w:t>
      </w:r>
    </w:p>
    <w:p w14:paraId="093389E2">
      <w:pPr>
        <w:widowControl/>
        <w:tabs>
          <w:tab w:val="left" w:pos="220"/>
        </w:tabs>
        <w:adjustRightInd w:val="0"/>
        <w:snapToGrid w:val="0"/>
        <w:spacing w:line="440" w:lineRule="exact"/>
        <w:ind w:left="0" w:leftChars="0" w:right="250" w:rightChars="119" w:hanging="15" w:firstLineChars="0"/>
        <w:jc w:val="left"/>
        <w:rPr>
          <w:rFonts w:ascii="宋体" w:hAnsi="宋体" w:cs="宋体"/>
          <w:color w:val="auto"/>
          <w:szCs w:val="21"/>
          <w:highlight w:val="none"/>
          <w:u w:val="single"/>
        </w:rPr>
      </w:pPr>
      <w:r>
        <w:rPr>
          <w:rFonts w:hint="eastAsia" w:ascii="宋体" w:hAnsi="宋体" w:cs="宋体"/>
          <w:color w:val="auto"/>
          <w:szCs w:val="21"/>
          <w:highlight w:val="none"/>
        </w:rPr>
        <w:t>4.6.2 联合体各成员的分工、费用收取、发票开具等事</w:t>
      </w:r>
      <w:r>
        <w:rPr>
          <w:rFonts w:hint="eastAsia" w:cs="宋体"/>
          <w:color w:val="auto"/>
          <w:szCs w:val="21"/>
          <w:highlight w:val="none"/>
        </w:rPr>
        <w:t>项：</w:t>
      </w:r>
      <w:r>
        <w:rPr>
          <w:rFonts w:hint="eastAsia" w:cs="宋体"/>
          <w:color w:val="auto"/>
          <w:szCs w:val="21"/>
          <w:highlight w:val="none"/>
          <w:u w:val="single"/>
        </w:rPr>
        <w:t xml:space="preserve">  由承包人明确  。</w:t>
      </w:r>
    </w:p>
    <w:p w14:paraId="0C6C0E3A">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4.7 承包人现场查勘</w:t>
      </w:r>
    </w:p>
    <w:p w14:paraId="0375D7AE">
      <w:pPr>
        <w:widowControl/>
        <w:tabs>
          <w:tab w:val="left" w:pos="220"/>
        </w:tabs>
        <w:adjustRightInd w:val="0"/>
        <w:snapToGrid w:val="0"/>
        <w:spacing w:line="440" w:lineRule="exact"/>
        <w:ind w:left="0" w:leftChars="0" w:right="250" w:rightChars="119" w:hanging="15" w:firstLineChars="0"/>
        <w:jc w:val="left"/>
        <w:rPr>
          <w:rFonts w:hint="eastAsia" w:cs="宋体"/>
          <w:color w:val="auto"/>
          <w:szCs w:val="21"/>
          <w:highlight w:val="none"/>
        </w:rPr>
      </w:pPr>
      <w:r>
        <w:rPr>
          <w:rFonts w:hint="eastAsia" w:ascii="宋体" w:hAnsi="宋体" w:cs="宋体"/>
          <w:color w:val="auto"/>
          <w:szCs w:val="21"/>
          <w:highlight w:val="none"/>
        </w:rPr>
        <w:t>4.7.1 双方当事人对现场查勘的责任承担的约</w:t>
      </w:r>
      <w:r>
        <w:rPr>
          <w:rFonts w:hint="eastAsia" w:cs="宋体"/>
          <w:color w:val="auto"/>
          <w:szCs w:val="21"/>
          <w:highlight w:val="none"/>
        </w:rPr>
        <w:t>定：</w:t>
      </w:r>
      <w:r>
        <w:rPr>
          <w:rFonts w:hint="eastAsia" w:cs="宋体"/>
          <w:color w:val="auto"/>
          <w:szCs w:val="21"/>
          <w:highlight w:val="none"/>
          <w:u w:val="single"/>
        </w:rPr>
        <w:t xml:space="preserve">  承包人自行承担        。</w:t>
      </w:r>
      <w:r>
        <w:rPr>
          <w:rFonts w:hint="eastAsia" w:cs="宋体"/>
          <w:color w:val="auto"/>
          <w:szCs w:val="21"/>
          <w:highlight w:val="none"/>
        </w:rPr>
        <w:t xml:space="preserve">   </w:t>
      </w:r>
    </w:p>
    <w:p w14:paraId="37F5DE43">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4.8 不可预见的困难</w:t>
      </w:r>
      <w:r>
        <w:rPr>
          <w:rFonts w:hint="eastAsia" w:cs="宋体"/>
          <w:color w:val="auto"/>
          <w:szCs w:val="21"/>
          <w:highlight w:val="none"/>
        </w:rPr>
        <w:t xml:space="preserve"> </w:t>
      </w:r>
    </w:p>
    <w:p w14:paraId="1B377BE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不可预见的困难包括：</w:t>
      </w:r>
      <w:r>
        <w:rPr>
          <w:rFonts w:hint="eastAsia" w:cs="宋体"/>
          <w:color w:val="auto"/>
          <w:szCs w:val="21"/>
          <w:highlight w:val="none"/>
          <w:u w:val="single"/>
        </w:rPr>
        <w:t>执行通用条合同条件约定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38682AD">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cs="宋体"/>
          <w:bCs w:val="0"/>
          <w:color w:val="auto"/>
          <w:sz w:val="21"/>
          <w:szCs w:val="21"/>
          <w:highlight w:val="none"/>
        </w:rPr>
      </w:pPr>
      <w:bookmarkStart w:id="888" w:name="_Toc54862336"/>
      <w:r>
        <w:rPr>
          <w:rFonts w:hint="eastAsia" w:cs="宋体"/>
          <w:bCs w:val="0"/>
          <w:color w:val="auto"/>
          <w:sz w:val="21"/>
          <w:szCs w:val="21"/>
          <w:highlight w:val="none"/>
        </w:rPr>
        <w:t>第5条 设计</w:t>
      </w:r>
      <w:bookmarkEnd w:id="888"/>
    </w:p>
    <w:p w14:paraId="490F45E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5.2 承包人文件审查</w:t>
      </w:r>
    </w:p>
    <w:p w14:paraId="40BFC56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5.2.1 承包人文件审查的期限：</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发包人对承包人文件审查不超过21天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0857DC2">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5.2.2 审查会议的审查形式和时间安排为：</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，审查会议的相关费用由</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承包人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承担。</w:t>
      </w:r>
    </w:p>
    <w:p w14:paraId="33871A03">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5.2.3 关于第三方审查单位的约定：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执行通用条合同条件约定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9B00654">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5.3 培训</w:t>
      </w:r>
    </w:p>
    <w:p w14:paraId="1E18749E">
      <w:pPr>
        <w:widowControl/>
        <w:tabs>
          <w:tab w:val="left" w:pos="220"/>
        </w:tabs>
        <w:adjustRightInd w:val="0"/>
        <w:snapToGrid w:val="0"/>
        <w:spacing w:line="440" w:lineRule="exact"/>
        <w:ind w:left="0" w:leftChars="0" w:right="250" w:rightChars="119" w:hanging="15" w:firstLineChars="0"/>
        <w:jc w:val="left"/>
        <w:rPr>
          <w:rFonts w:cs="宋体"/>
          <w:color w:val="auto"/>
          <w:szCs w:val="21"/>
          <w:highlight w:val="none"/>
          <w:u w:val="single"/>
        </w:rPr>
      </w:pPr>
      <w:r>
        <w:rPr>
          <w:rFonts w:hint="eastAsia" w:ascii="宋体" w:hAnsi="宋体" w:cs="宋体"/>
          <w:color w:val="auto"/>
          <w:szCs w:val="21"/>
          <w:highlight w:val="none"/>
        </w:rPr>
        <w:t>培训的时长为</w:t>
      </w:r>
      <w:r>
        <w:rPr>
          <w:rFonts w:hint="eastAsia" w:ascii="宋体" w:hAnsi="宋体" w:cs="宋体"/>
          <w:color w:val="auto"/>
          <w:szCs w:val="21"/>
          <w:highlight w:val="none"/>
          <w:u w:val="single"/>
        </w:rPr>
        <w:t xml:space="preserve"> 以发包人需求为准</w:t>
      </w:r>
      <w:r>
        <w:rPr>
          <w:rFonts w:hint="eastAsia" w:ascii="宋体" w:hAnsi="宋体" w:cs="宋体"/>
          <w:color w:val="auto"/>
          <w:szCs w:val="21"/>
          <w:highlight w:val="none"/>
        </w:rPr>
        <w:t>，承包人应为培训提供的人员、设施和其它必要条件</w:t>
      </w:r>
      <w:r>
        <w:rPr>
          <w:rFonts w:hint="eastAsia" w:cs="宋体"/>
          <w:color w:val="auto"/>
          <w:szCs w:val="21"/>
          <w:highlight w:val="none"/>
        </w:rPr>
        <w:t>为</w:t>
      </w:r>
      <w:r>
        <w:rPr>
          <w:rFonts w:hint="eastAsia" w:cs="宋体"/>
          <w:color w:val="auto"/>
          <w:szCs w:val="21"/>
          <w:highlight w:val="none"/>
          <w:u w:val="single"/>
        </w:rPr>
        <w:t xml:space="preserve"> 另行协商确定 。</w:t>
      </w:r>
    </w:p>
    <w:p w14:paraId="06402B1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5.4 竣工文件</w:t>
      </w:r>
    </w:p>
    <w:p w14:paraId="71A02DC8">
      <w:pPr>
        <w:widowControl/>
        <w:tabs>
          <w:tab w:val="left" w:pos="220"/>
        </w:tabs>
        <w:adjustRightInd w:val="0"/>
        <w:snapToGrid w:val="0"/>
        <w:spacing w:line="440" w:lineRule="exact"/>
        <w:ind w:left="0" w:leftChars="0" w:right="250" w:rightChars="119" w:hanging="15" w:firstLineChars="0"/>
        <w:jc w:val="left"/>
        <w:rPr>
          <w:rFonts w:cs="宋体"/>
          <w:color w:val="auto"/>
          <w:szCs w:val="21"/>
          <w:highlight w:val="none"/>
          <w:u w:val="single"/>
        </w:rPr>
      </w:pPr>
      <w:r>
        <w:rPr>
          <w:rFonts w:hint="eastAsia" w:ascii="宋体" w:hAnsi="宋体" w:cs="宋体"/>
          <w:color w:val="auto"/>
          <w:szCs w:val="21"/>
          <w:highlight w:val="none"/>
        </w:rPr>
        <w:t>5.4.1 竣工文件的形式、提供的份数、技术标准以及其它相关要</w:t>
      </w:r>
      <w:r>
        <w:rPr>
          <w:rFonts w:hint="eastAsia" w:cs="宋体"/>
          <w:color w:val="auto"/>
          <w:szCs w:val="21"/>
          <w:highlight w:val="none"/>
        </w:rPr>
        <w:t>求</w:t>
      </w:r>
      <w:r>
        <w:rPr>
          <w:rFonts w:hint="eastAsia" w:cs="宋体"/>
          <w:color w:val="auto"/>
          <w:szCs w:val="21"/>
          <w:highlight w:val="none"/>
          <w:u w:val="single"/>
        </w:rPr>
        <w:t xml:space="preserve"> 执行发包人统一内容格式   。</w:t>
      </w:r>
    </w:p>
    <w:p w14:paraId="5FBDD2C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5.4.3 关于竣工文件的其他约定：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执行发包人统一内容格式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10884D1">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5.5 操作和维修手册</w:t>
      </w:r>
    </w:p>
    <w:p w14:paraId="12A61E5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5.5.3 对最终操作和维修手册的约定：</w:t>
      </w:r>
      <w:r>
        <w:rPr>
          <w:rFonts w:hint="eastAsia" w:cs="宋体"/>
          <w:color w:val="auto"/>
          <w:szCs w:val="21"/>
          <w:highlight w:val="none"/>
          <w:u w:val="single"/>
        </w:rPr>
        <w:t xml:space="preserve"> /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3E976C8">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cs="宋体"/>
          <w:bCs w:val="0"/>
          <w:color w:val="auto"/>
          <w:sz w:val="21"/>
          <w:szCs w:val="21"/>
          <w:highlight w:val="none"/>
        </w:rPr>
      </w:pPr>
      <w:bookmarkStart w:id="889" w:name="_Toc54862337"/>
      <w:r>
        <w:rPr>
          <w:rFonts w:hint="eastAsia" w:cs="宋体"/>
          <w:bCs w:val="0"/>
          <w:color w:val="auto"/>
          <w:sz w:val="21"/>
          <w:szCs w:val="21"/>
          <w:highlight w:val="none"/>
        </w:rPr>
        <w:t>第6条 材料、工程设备</w:t>
      </w:r>
      <w:bookmarkEnd w:id="889"/>
    </w:p>
    <w:p w14:paraId="10523D12">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cs="宋体"/>
          <w:bCs w:val="0"/>
          <w:color w:val="auto"/>
          <w:sz w:val="21"/>
          <w:szCs w:val="21"/>
          <w:highlight w:val="none"/>
        </w:rPr>
      </w:pPr>
      <w:r>
        <w:rPr>
          <w:rFonts w:hint="eastAsia" w:cs="宋体"/>
          <w:bCs w:val="0"/>
          <w:color w:val="auto"/>
          <w:sz w:val="21"/>
          <w:szCs w:val="21"/>
          <w:highlight w:val="none"/>
        </w:rPr>
        <w:t>6.1 实施方法</w:t>
      </w:r>
    </w:p>
    <w:p w14:paraId="4C6576BB">
      <w:pPr>
        <w:widowControl/>
        <w:tabs>
          <w:tab w:val="left" w:pos="220"/>
        </w:tabs>
        <w:adjustRightInd w:val="0"/>
        <w:snapToGrid w:val="0"/>
        <w:spacing w:line="440" w:lineRule="exact"/>
        <w:ind w:left="0" w:leftChars="0" w:right="250" w:rightChars="119" w:hanging="15" w:firstLineChars="0"/>
        <w:jc w:val="left"/>
        <w:rPr>
          <w:rFonts w:ascii="宋体" w:hAnsi="宋体" w:cs="宋体"/>
          <w:color w:val="auto"/>
          <w:szCs w:val="21"/>
          <w:highlight w:val="none"/>
          <w:u w:val="single"/>
        </w:rPr>
      </w:pPr>
      <w:r>
        <w:rPr>
          <w:rFonts w:hint="eastAsia" w:ascii="宋体" w:hAnsi="宋体" w:cs="宋体"/>
          <w:color w:val="auto"/>
          <w:szCs w:val="21"/>
          <w:highlight w:val="none"/>
        </w:rPr>
        <w:t>双方当事人约定的实施方法、设备、设施和材</w:t>
      </w:r>
      <w:r>
        <w:rPr>
          <w:rFonts w:hint="eastAsia" w:cs="宋体"/>
          <w:color w:val="auto"/>
          <w:szCs w:val="21"/>
          <w:highlight w:val="none"/>
        </w:rPr>
        <w:t>料：</w:t>
      </w:r>
      <w:r>
        <w:rPr>
          <w:rFonts w:hint="eastAsia" w:cs="宋体"/>
          <w:color w:val="auto"/>
          <w:szCs w:val="21"/>
          <w:highlight w:val="none"/>
          <w:u w:val="single"/>
        </w:rPr>
        <w:t xml:space="preserve">执行通用条合同条件约定      </w:t>
      </w:r>
      <w:r>
        <w:rPr>
          <w:rFonts w:hint="eastAsia" w:cs="宋体"/>
          <w:color w:val="auto"/>
          <w:szCs w:val="21"/>
          <w:highlight w:val="none"/>
        </w:rPr>
        <w:t xml:space="preserve"> 。</w:t>
      </w:r>
    </w:p>
    <w:p w14:paraId="0C9DB75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6.2 材料和工程设备</w:t>
      </w:r>
    </w:p>
    <w:p w14:paraId="266A82E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6.2.1 发包人提供的材料和工程设备</w:t>
      </w:r>
    </w:p>
    <w:p w14:paraId="58016994">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发包人提供的材料和工程设备验收后，由</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承包人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负责接收、运输和保管。</w:t>
      </w:r>
    </w:p>
    <w:p w14:paraId="015A616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6.2.2 承包人提供的材料和工程设备</w:t>
      </w:r>
    </w:p>
    <w:p w14:paraId="2892F47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材料和工程设备的类别、估算数量：</w:t>
      </w:r>
      <w:r>
        <w:rPr>
          <w:rFonts w:hint="eastAsia" w:ascii="宋体" w:hAnsi="宋体" w:cs="宋体"/>
          <w:color w:val="auto"/>
          <w:szCs w:val="21"/>
          <w:highlight w:val="none"/>
          <w:u w:val="single"/>
        </w:rPr>
        <w:t xml:space="preserve">    根据项目实际情况另行约定     </w:t>
      </w:r>
      <w:r>
        <w:rPr>
          <w:rFonts w:hint="eastAsia" w:ascii="宋体" w:hAnsi="宋体" w:cs="宋体"/>
          <w:color w:val="auto"/>
          <w:szCs w:val="21"/>
          <w:highlight w:val="none"/>
        </w:rPr>
        <w:t>。</w:t>
      </w:r>
    </w:p>
    <w:p w14:paraId="5E3B6724">
      <w:pPr>
        <w:widowControl/>
        <w:tabs>
          <w:tab w:val="left" w:pos="220"/>
        </w:tabs>
        <w:adjustRightInd w:val="0"/>
        <w:snapToGrid w:val="0"/>
        <w:spacing w:line="440" w:lineRule="exact"/>
        <w:ind w:left="0" w:leftChars="0" w:right="250" w:rightChars="119" w:hanging="15" w:firstLineChars="0"/>
        <w:jc w:val="left"/>
        <w:rPr>
          <w:rFonts w:ascii="宋体" w:hAnsi="宋体" w:cs="宋体"/>
          <w:color w:val="auto"/>
          <w:szCs w:val="21"/>
          <w:highlight w:val="none"/>
          <w:u w:val="single"/>
        </w:rPr>
      </w:pPr>
      <w:r>
        <w:rPr>
          <w:rFonts w:hint="eastAsia" w:ascii="宋体" w:hAnsi="宋体" w:cs="宋体"/>
          <w:color w:val="auto"/>
          <w:szCs w:val="21"/>
          <w:highlight w:val="none"/>
        </w:rPr>
        <w:t>竣工后试验的生产性材料的类别或（和）清</w:t>
      </w:r>
      <w:r>
        <w:rPr>
          <w:rFonts w:hint="eastAsia" w:cs="宋体"/>
          <w:color w:val="auto"/>
          <w:szCs w:val="21"/>
          <w:highlight w:val="none"/>
        </w:rPr>
        <w:t>单：</w:t>
      </w:r>
      <w:r>
        <w:rPr>
          <w:rFonts w:hint="eastAsia" w:cs="宋体"/>
          <w:color w:val="auto"/>
          <w:szCs w:val="21"/>
          <w:highlight w:val="none"/>
          <w:u w:val="single"/>
        </w:rPr>
        <w:t xml:space="preserve">   </w:t>
      </w:r>
      <w:r>
        <w:rPr>
          <w:rFonts w:hint="eastAsia" w:ascii="宋体" w:hAnsi="宋体" w:cs="宋体"/>
          <w:color w:val="auto"/>
          <w:szCs w:val="21"/>
          <w:highlight w:val="none"/>
          <w:u w:val="single"/>
        </w:rPr>
        <w:t>根据项目实际情况另行约定</w:t>
      </w:r>
      <w:r>
        <w:rPr>
          <w:rFonts w:hint="eastAsia" w:cs="宋体"/>
          <w:color w:val="auto"/>
          <w:szCs w:val="21"/>
          <w:highlight w:val="none"/>
          <w:u w:val="single"/>
        </w:rPr>
        <w:t xml:space="preserve">     。</w:t>
      </w:r>
    </w:p>
    <w:p w14:paraId="32686622">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6.2.3 材料和工程设备的保管</w:t>
      </w:r>
    </w:p>
    <w:p w14:paraId="512B8096">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发包人供应的材料和工程设备的保管费用由</w:t>
      </w:r>
      <w:r>
        <w:rPr>
          <w:rFonts w:hint="eastAsia" w:ascii="宋体" w:hAnsi="宋体" w:cs="宋体"/>
          <w:color w:val="auto"/>
          <w:szCs w:val="21"/>
          <w:highlight w:val="none"/>
          <w:u w:val="single"/>
        </w:rPr>
        <w:t xml:space="preserve">   </w:t>
      </w:r>
      <w:r>
        <w:rPr>
          <w:rFonts w:hint="eastAsia" w:cs="宋体"/>
          <w:color w:val="auto"/>
          <w:szCs w:val="21"/>
          <w:highlight w:val="none"/>
          <w:u w:val="single"/>
        </w:rPr>
        <w:t>发包人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承担。按照材料设备总价款的1.3%计取，支付给承包人，纳入项目结算，但超出施工合理损耗之外部分，不计保管费，且材料设备费用由承包人承担。</w:t>
      </w:r>
    </w:p>
    <w:p w14:paraId="1BD700DF">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承包人提交保管、维护方案的时间：</w:t>
      </w:r>
      <w:r>
        <w:rPr>
          <w:rFonts w:hint="eastAsia" w:ascii="宋体" w:hAnsi="宋体" w:cs="宋体"/>
          <w:color w:val="auto"/>
          <w:szCs w:val="21"/>
          <w:highlight w:val="none"/>
          <w:u w:val="single"/>
        </w:rPr>
        <w:t xml:space="preserve">     根据项目实际情况另行约定</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12E28E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发包人提供的库房、堆场、设施和设备：</w:t>
      </w:r>
      <w:r>
        <w:rPr>
          <w:rFonts w:hint="eastAsia" w:ascii="宋体" w:hAnsi="宋体" w:cs="宋体"/>
          <w:color w:val="auto"/>
          <w:szCs w:val="21"/>
          <w:highlight w:val="none"/>
          <w:u w:val="single"/>
        </w:rPr>
        <w:t xml:space="preserve">   根据项目实际情况另行约定</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17A0AD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6.3 样品</w:t>
      </w:r>
    </w:p>
    <w:p w14:paraId="00E6BC5A">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6.3.1 样品的报送与封存</w:t>
      </w:r>
    </w:p>
    <w:p w14:paraId="70AB14EF">
      <w:pPr>
        <w:widowControl/>
        <w:tabs>
          <w:tab w:val="left" w:pos="220"/>
        </w:tabs>
        <w:adjustRightInd w:val="0"/>
        <w:snapToGrid w:val="0"/>
        <w:spacing w:line="440" w:lineRule="exact"/>
        <w:ind w:left="0" w:leftChars="0" w:right="250" w:rightChars="119" w:hanging="15" w:firstLineChars="0"/>
        <w:jc w:val="left"/>
        <w:rPr>
          <w:rFonts w:ascii="宋体" w:hAnsi="宋体" w:cs="宋体"/>
          <w:color w:val="auto"/>
          <w:szCs w:val="21"/>
          <w:highlight w:val="none"/>
          <w:u w:val="single"/>
        </w:rPr>
      </w:pPr>
      <w:r>
        <w:rPr>
          <w:rFonts w:hint="eastAsia" w:ascii="宋体" w:hAnsi="宋体" w:cs="宋体"/>
          <w:color w:val="auto"/>
          <w:szCs w:val="21"/>
          <w:highlight w:val="none"/>
        </w:rPr>
        <w:t>需要承包人报送样品的材料或工程设备，样品种类、名称、规格、数</w:t>
      </w:r>
      <w:r>
        <w:rPr>
          <w:rFonts w:hint="eastAsia" w:cs="宋体"/>
          <w:color w:val="auto"/>
          <w:szCs w:val="21"/>
          <w:highlight w:val="none"/>
        </w:rPr>
        <w:t>量：</w:t>
      </w:r>
      <w:r>
        <w:rPr>
          <w:rFonts w:hint="eastAsia" w:cs="宋体"/>
          <w:color w:val="auto"/>
          <w:szCs w:val="21"/>
          <w:highlight w:val="none"/>
          <w:u w:val="single"/>
        </w:rPr>
        <w:t xml:space="preserve"> </w:t>
      </w:r>
      <w:r>
        <w:rPr>
          <w:rFonts w:hint="eastAsia" w:ascii="宋体" w:hAnsi="宋体" w:cs="宋体"/>
          <w:color w:val="auto"/>
          <w:szCs w:val="21"/>
          <w:highlight w:val="none"/>
          <w:u w:val="single"/>
        </w:rPr>
        <w:t>根据项目实际情况另行约定</w:t>
      </w:r>
      <w:r>
        <w:rPr>
          <w:rFonts w:hint="eastAsia" w:cs="宋体"/>
          <w:color w:val="auto"/>
          <w:szCs w:val="21"/>
          <w:highlight w:val="none"/>
          <w:u w:val="single"/>
        </w:rPr>
        <w:t xml:space="preserve"> 。 </w:t>
      </w:r>
    </w:p>
    <w:p w14:paraId="00BF2163">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6.4 质量检查</w:t>
      </w:r>
    </w:p>
    <w:p w14:paraId="034C8D6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6.4.1 工程质量要求</w:t>
      </w:r>
    </w:p>
    <w:p w14:paraId="3CFE2851">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工程质量的特殊标准或要求：</w:t>
      </w:r>
      <w:r>
        <w:rPr>
          <w:rFonts w:hint="eastAsia" w:ascii="宋体" w:hAnsi="宋体" w:cs="宋体"/>
          <w:color w:val="auto"/>
          <w:szCs w:val="21"/>
          <w:highlight w:val="none"/>
          <w:u w:val="single"/>
        </w:rPr>
        <w:t xml:space="preserve"> 工程质量必须达到国家工程施工质量验收合格标准。</w:t>
      </w:r>
    </w:p>
    <w:p w14:paraId="6CE5AB81">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6.4.2 质量检查</w:t>
      </w:r>
    </w:p>
    <w:p w14:paraId="6F4FF421">
      <w:pPr>
        <w:widowControl/>
        <w:tabs>
          <w:tab w:val="left" w:pos="220"/>
        </w:tabs>
        <w:adjustRightInd w:val="0"/>
        <w:snapToGrid w:val="0"/>
        <w:spacing w:line="440" w:lineRule="exact"/>
        <w:ind w:left="0" w:leftChars="0" w:right="250" w:rightChars="119" w:hanging="15" w:firstLineChars="0"/>
        <w:jc w:val="left"/>
        <w:rPr>
          <w:rFonts w:cs="宋体"/>
          <w:color w:val="auto"/>
          <w:szCs w:val="21"/>
          <w:highlight w:val="none"/>
          <w:u w:val="single"/>
        </w:rPr>
      </w:pPr>
      <w:r>
        <w:rPr>
          <w:rFonts w:hint="eastAsia" w:ascii="宋体" w:hAnsi="宋体" w:cs="宋体"/>
          <w:color w:val="auto"/>
          <w:szCs w:val="21"/>
          <w:highlight w:val="none"/>
        </w:rPr>
        <w:t>除通用合同条件已列明的质量检查的地点外，发包人有权进行质量检查的其他地</w:t>
      </w:r>
      <w:r>
        <w:rPr>
          <w:rFonts w:hint="eastAsia" w:cs="宋体"/>
          <w:color w:val="auto"/>
          <w:szCs w:val="21"/>
          <w:highlight w:val="none"/>
        </w:rPr>
        <w:t>点：</w:t>
      </w:r>
      <w:r>
        <w:rPr>
          <w:rFonts w:hint="eastAsia" w:cs="宋体"/>
          <w:color w:val="auto"/>
          <w:szCs w:val="21"/>
          <w:highlight w:val="none"/>
          <w:u w:val="single"/>
        </w:rPr>
        <w:t xml:space="preserve"> 执行通用合同条件 </w:t>
      </w:r>
      <w:r>
        <w:rPr>
          <w:rFonts w:hint="eastAsia" w:cs="宋体"/>
          <w:color w:val="auto"/>
          <w:szCs w:val="21"/>
          <w:highlight w:val="none"/>
        </w:rPr>
        <w:t>。</w:t>
      </w:r>
    </w:p>
    <w:p w14:paraId="0C9E87D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6.4.3 隐蔽工程检查</w:t>
      </w:r>
    </w:p>
    <w:p w14:paraId="4061341A">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u w:val="single"/>
        </w:rPr>
      </w:pPr>
      <w:r>
        <w:rPr>
          <w:rFonts w:hint="eastAsia" w:ascii="宋体" w:hAnsi="宋体" w:cs="宋体"/>
          <w:color w:val="auto"/>
          <w:szCs w:val="21"/>
          <w:highlight w:val="none"/>
        </w:rPr>
        <w:t>关于隐蔽工程的特别约定：</w:t>
      </w:r>
      <w:r>
        <w:rPr>
          <w:rFonts w:hint="eastAsia" w:ascii="宋体" w:hAnsi="宋体" w:eastAsia="宋体" w:cs="宋体"/>
          <w:color w:val="auto"/>
          <w:szCs w:val="21"/>
          <w:highlight w:val="none"/>
          <w:u w:val="single"/>
        </w:rPr>
        <w:t>隐蔽工程在隐蔽前12小时内、其它项目(分部、分项工程)完工后12小时内，承包人将验收内容、时间和地点以书面形式通知工程师到现场验收，验收合格后 12 小时内，工程师在验收记录上签字后，承包人可继续施工；验收不合格，承包人在发包人限定的时间内整改后重新验收。当发包人要求对已经隐蔽的工程重新检验时，承包人应按其要求进行剥离或开孔，并在检验后重新覆盖或修复。检验合格，发包人承担由此发生的全部费用，赔偿承包人损失，并相应顺延工期；检验不合格，承包人承担由此发生的全部费用，工期不予顺延。</w:t>
      </w:r>
    </w:p>
    <w:p w14:paraId="38DA29D1">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color w:val="auto"/>
          <w:highlight w:val="none"/>
        </w:rPr>
      </w:pPr>
      <w:r>
        <w:rPr>
          <w:rFonts w:hint="eastAsia" w:ascii="宋体" w:hAnsi="宋体" w:eastAsia="宋体" w:cs="宋体"/>
          <w:color w:val="auto"/>
          <w:szCs w:val="21"/>
          <w:highlight w:val="none"/>
          <w:u w:val="single"/>
        </w:rPr>
        <w:t>承包人应认真按照行业标准、规范、设计标准的要求以及发包人代表依据合同发出的指令施工，随时接受发包人代表及其委派人员检查检验，为检查检验提供便利条件。由承包人原因引起的质量问题，发包人代表及其委派人员的有权要求返工、修改，由此而导致返工、修改的费用，承包人全部承担，工期不予顺延。</w:t>
      </w:r>
    </w:p>
    <w:p w14:paraId="329BCBA6">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关于延期最长不得超过：</w:t>
      </w:r>
      <w:r>
        <w:rPr>
          <w:rFonts w:hint="eastAsia" w:ascii="宋体" w:hAnsi="宋体" w:cs="宋体"/>
          <w:color w:val="auto"/>
          <w:szCs w:val="21"/>
          <w:highlight w:val="none"/>
          <w:u w:val="single"/>
          <w:lang w:val="en-US" w:eastAsia="zh-CN"/>
        </w:rPr>
        <w:t>12</w:t>
      </w:r>
      <w:r>
        <w:rPr>
          <w:rFonts w:hint="eastAsia" w:ascii="宋体" w:hAnsi="宋体" w:cs="宋体"/>
          <w:color w:val="auto"/>
          <w:szCs w:val="21"/>
          <w:highlight w:val="none"/>
          <w:u w:val="single"/>
        </w:rPr>
        <w:t>小时。</w:t>
      </w:r>
    </w:p>
    <w:p w14:paraId="306E2A1F">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6.5 由承包人试验和检验</w:t>
      </w:r>
    </w:p>
    <w:p w14:paraId="15EBBB6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6.5.1 试验设备与试验人员</w:t>
      </w:r>
    </w:p>
    <w:p w14:paraId="6D9E0E4F">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试验的内容、时间和地点：</w:t>
      </w:r>
      <w:r>
        <w:rPr>
          <w:rFonts w:hint="eastAsia" w:ascii="宋体" w:hAnsi="宋体" w:cs="宋体"/>
          <w:color w:val="auto"/>
          <w:szCs w:val="21"/>
          <w:highlight w:val="none"/>
          <w:u w:val="single"/>
        </w:rPr>
        <w:t xml:space="preserve">根据质量检测及验收相关规定和现场实际情况确定  </w:t>
      </w:r>
      <w:r>
        <w:rPr>
          <w:rFonts w:hint="eastAsia" w:ascii="宋体" w:hAnsi="宋体" w:cs="宋体"/>
          <w:color w:val="auto"/>
          <w:szCs w:val="21"/>
          <w:highlight w:val="none"/>
        </w:rPr>
        <w:t>。</w:t>
      </w:r>
    </w:p>
    <w:p w14:paraId="401BD79C">
      <w:pPr>
        <w:widowControl/>
        <w:tabs>
          <w:tab w:val="left" w:pos="220"/>
        </w:tabs>
        <w:adjustRightInd w:val="0"/>
        <w:snapToGrid w:val="0"/>
        <w:spacing w:line="440" w:lineRule="exact"/>
        <w:ind w:left="0" w:leftChars="0" w:right="250" w:rightChars="119" w:hanging="15" w:firstLineChars="0"/>
        <w:jc w:val="left"/>
        <w:rPr>
          <w:rFonts w:ascii="宋体" w:hAnsi="宋体" w:cs="宋体"/>
          <w:color w:val="auto"/>
          <w:szCs w:val="21"/>
          <w:highlight w:val="none"/>
          <w:u w:val="single"/>
        </w:rPr>
      </w:pPr>
      <w:r>
        <w:rPr>
          <w:rFonts w:hint="eastAsia" w:ascii="宋体" w:hAnsi="宋体" w:cs="宋体"/>
          <w:color w:val="auto"/>
          <w:szCs w:val="21"/>
          <w:highlight w:val="none"/>
        </w:rPr>
        <w:t>试验所需要的试验设备、取样装置、试验场所和试验条</w:t>
      </w:r>
      <w:r>
        <w:rPr>
          <w:rFonts w:hint="eastAsia" w:cs="宋体"/>
          <w:color w:val="auto"/>
          <w:szCs w:val="21"/>
          <w:highlight w:val="none"/>
        </w:rPr>
        <w:t>件：</w:t>
      </w:r>
      <w:r>
        <w:rPr>
          <w:rFonts w:hint="eastAsia" w:ascii="宋体" w:hAnsi="宋体" w:cs="宋体"/>
          <w:color w:val="auto"/>
          <w:szCs w:val="21"/>
          <w:highlight w:val="none"/>
          <w:u w:val="single"/>
        </w:rPr>
        <w:t>根据质量检测及验收相关规定和现场实际情况确定</w:t>
      </w:r>
      <w:r>
        <w:rPr>
          <w:rFonts w:hint="eastAsia" w:cs="宋体"/>
          <w:color w:val="auto"/>
          <w:szCs w:val="21"/>
          <w:highlight w:val="none"/>
          <w:u w:val="single"/>
        </w:rPr>
        <w:t>。</w:t>
      </w:r>
    </w:p>
    <w:p w14:paraId="705F41D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试验和检验费用的计价原则：</w:t>
      </w:r>
      <w:r>
        <w:rPr>
          <w:rFonts w:hint="eastAsia" w:ascii="宋体" w:hAnsi="宋体" w:cs="宋体"/>
          <w:color w:val="auto"/>
          <w:szCs w:val="21"/>
          <w:highlight w:val="none"/>
          <w:u w:val="single"/>
        </w:rPr>
        <w:t xml:space="preserve"> </w:t>
      </w:r>
      <w:r>
        <w:rPr>
          <w:rFonts w:hint="eastAsia" w:cs="宋体"/>
          <w:color w:val="auto"/>
          <w:szCs w:val="21"/>
          <w:highlight w:val="none"/>
          <w:u w:val="single"/>
        </w:rPr>
        <w:t>由承包人自理，在投标价中自行考虑</w:t>
      </w:r>
      <w:r>
        <w:rPr>
          <w:rFonts w:hint="eastAsia" w:ascii="宋体" w:hAnsi="宋体" w:cs="宋体"/>
          <w:color w:val="auto"/>
          <w:szCs w:val="21"/>
          <w:highlight w:val="none"/>
        </w:rPr>
        <w:t>。</w:t>
      </w:r>
    </w:p>
    <w:p w14:paraId="0C1BC492">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cs="宋体"/>
          <w:bCs w:val="0"/>
          <w:color w:val="auto"/>
          <w:sz w:val="21"/>
          <w:szCs w:val="21"/>
          <w:highlight w:val="none"/>
        </w:rPr>
      </w:pPr>
      <w:bookmarkStart w:id="890" w:name="_Toc54862338"/>
      <w:r>
        <w:rPr>
          <w:rFonts w:hint="eastAsia" w:cs="宋体"/>
          <w:bCs w:val="0"/>
          <w:color w:val="auto"/>
          <w:sz w:val="21"/>
          <w:szCs w:val="21"/>
          <w:highlight w:val="none"/>
        </w:rPr>
        <w:t>第7条 施工</w:t>
      </w:r>
      <w:bookmarkEnd w:id="890"/>
    </w:p>
    <w:p w14:paraId="61420236">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7.1 交通运输</w:t>
      </w:r>
    </w:p>
    <w:p w14:paraId="60180A5F">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7.1.1 出入现场的权利</w:t>
      </w:r>
    </w:p>
    <w:p w14:paraId="7942C88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关于出入现场的权利的约定：</w:t>
      </w:r>
      <w:r>
        <w:rPr>
          <w:rFonts w:hint="eastAsia" w:ascii="宋体" w:hAnsi="宋体" w:cs="宋体"/>
          <w:color w:val="auto"/>
          <w:szCs w:val="21"/>
          <w:highlight w:val="none"/>
          <w:u w:val="single"/>
        </w:rPr>
        <w:t>发包人应根据施工需要，负责取得出入施工现场所需的批准手续和全部权利，以及取得因施工所需修建道路、桥梁以及其他基础设施的权利，并承担相关手续费用和建设费用，若该费用已包含在本项目发包范围，则由承包人自行解决并承担费用。承包人应协助发包人办理修建场内外道路、桥梁以及其他基础设施的手续。</w:t>
      </w:r>
    </w:p>
    <w:p w14:paraId="2793187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承包人应在订立合同前查勘施工现场，并根据工程规模及技术参数合理预见工程施工所需的进出施工现场的方式、手段、路径等。因承包人未合理预见所增加的费用和（或）延误的工期由承包人承担。</w:t>
      </w:r>
    </w:p>
    <w:p w14:paraId="1B99476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7.1.2 场外交通</w:t>
      </w:r>
    </w:p>
    <w:p w14:paraId="03670DB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关于场外交通的特别约定：</w:t>
      </w:r>
      <w:r>
        <w:rPr>
          <w:rFonts w:hint="eastAsia" w:ascii="宋体" w:hAnsi="宋体" w:cs="宋体"/>
          <w:color w:val="auto"/>
          <w:szCs w:val="21"/>
          <w:highlight w:val="none"/>
          <w:u w:val="single"/>
        </w:rPr>
        <w:t xml:space="preserve">  自行踏勘，自行解决   </w:t>
      </w:r>
      <w:r>
        <w:rPr>
          <w:rFonts w:hint="eastAsia" w:ascii="宋体" w:hAnsi="宋体" w:cs="宋体"/>
          <w:color w:val="auto"/>
          <w:szCs w:val="21"/>
          <w:highlight w:val="none"/>
        </w:rPr>
        <w:t>。</w:t>
      </w:r>
    </w:p>
    <w:p w14:paraId="4CEBEE6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7.1.3 场内交通</w:t>
      </w:r>
    </w:p>
    <w:p w14:paraId="31FD92C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关于场内交通的特别约定：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自行踏勘，自行解决    </w:t>
      </w:r>
      <w:r>
        <w:rPr>
          <w:rFonts w:hint="eastAsia" w:ascii="宋体" w:hAnsi="宋体" w:cs="宋体"/>
          <w:color w:val="auto"/>
          <w:szCs w:val="21"/>
          <w:highlight w:val="none"/>
        </w:rPr>
        <w:t>。</w:t>
      </w:r>
    </w:p>
    <w:p w14:paraId="7EE6550D">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关于场内交通与场外交通边界的约定：</w:t>
      </w:r>
      <w:r>
        <w:rPr>
          <w:rFonts w:hint="eastAsia" w:ascii="宋体" w:hAnsi="宋体" w:cs="宋体"/>
          <w:color w:val="auto"/>
          <w:szCs w:val="21"/>
          <w:highlight w:val="none"/>
          <w:u w:val="single"/>
        </w:rPr>
        <w:t xml:space="preserve">场内交通设施和道路由承包人负责建设，发包人不另支付费用，场内交通边界现场确定。 </w:t>
      </w:r>
    </w:p>
    <w:p w14:paraId="5E3C2A31">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7.1.4 超大件和超重件的运输</w:t>
      </w:r>
    </w:p>
    <w:p w14:paraId="18893C8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运输超大件或超重件所需的道路和桥梁临时加固改造费用和其他有关费用由</w:t>
      </w:r>
      <w:r>
        <w:rPr>
          <w:rFonts w:hint="eastAsia" w:ascii="宋体" w:hAnsi="宋体" w:cs="宋体"/>
          <w:color w:val="auto"/>
          <w:szCs w:val="21"/>
          <w:highlight w:val="none"/>
          <w:u w:val="single"/>
        </w:rPr>
        <w:t xml:space="preserve">  </w:t>
      </w:r>
      <w:r>
        <w:rPr>
          <w:rFonts w:hint="eastAsia" w:cs="宋体"/>
          <w:color w:val="auto"/>
          <w:szCs w:val="21"/>
          <w:highlight w:val="none"/>
          <w:u w:val="single"/>
        </w:rPr>
        <w:t>承包人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承担。</w:t>
      </w:r>
    </w:p>
    <w:p w14:paraId="5D8741F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7.2 施工设备和临时设施</w:t>
      </w:r>
    </w:p>
    <w:p w14:paraId="4D02AC8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7.2.1 承包人提供的施工设备和临时设施</w:t>
      </w:r>
    </w:p>
    <w:p w14:paraId="75DFE57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临时设施的费用和临时占地手续和费用承担的特别约定：</w:t>
      </w:r>
      <w:r>
        <w:rPr>
          <w:rFonts w:hint="eastAsia" w:ascii="宋体" w:hAnsi="宋体" w:cs="宋体"/>
          <w:color w:val="auto"/>
          <w:szCs w:val="21"/>
          <w:highlight w:val="none"/>
          <w:u w:val="single"/>
        </w:rPr>
        <w:t xml:space="preserve">  由承包人自行承担费用   </w:t>
      </w:r>
      <w:r>
        <w:rPr>
          <w:rFonts w:hint="eastAsia" w:ascii="宋体" w:hAnsi="宋体" w:cs="宋体"/>
          <w:color w:val="auto"/>
          <w:szCs w:val="21"/>
          <w:highlight w:val="none"/>
        </w:rPr>
        <w:t>。</w:t>
      </w:r>
    </w:p>
    <w:p w14:paraId="21B8EF3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7.2.2 发包人提供的施工设备和临时设施</w:t>
      </w:r>
    </w:p>
    <w:p w14:paraId="0D63F87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发包人提供的施工设备或临时设施范围：</w:t>
      </w:r>
      <w:r>
        <w:rPr>
          <w:rFonts w:hint="eastAsia" w:ascii="宋体" w:hAnsi="宋体" w:cs="宋体"/>
          <w:color w:val="auto"/>
          <w:szCs w:val="21"/>
          <w:highlight w:val="none"/>
          <w:u w:val="single"/>
        </w:rPr>
        <w:t xml:space="preserve">       </w:t>
      </w:r>
      <w:r>
        <w:rPr>
          <w:rFonts w:hint="eastAsia" w:ascii="宋体" w:hAnsi="宋体" w:cs="宋体"/>
          <w:color w:val="auto"/>
          <w:sz w:val="20"/>
          <w:szCs w:val="20"/>
          <w:highlight w:val="none"/>
          <w:u w:val="single"/>
        </w:rPr>
        <w:t xml:space="preserve"> </w:t>
      </w:r>
      <w:r>
        <w:rPr>
          <w:rFonts w:hint="eastAsia" w:cs="宋体"/>
          <w:color w:val="auto"/>
          <w:sz w:val="20"/>
          <w:szCs w:val="20"/>
          <w:highlight w:val="none"/>
          <w:u w:val="single"/>
        </w:rPr>
        <w:t xml:space="preserve">无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4E21ED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7.3 现场合作</w:t>
      </w:r>
    </w:p>
    <w:p w14:paraId="3A0E1AF4">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关于现场合作费用的特别约定：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由承包人自行承担费用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323259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7.4 测量放线</w:t>
      </w:r>
    </w:p>
    <w:p w14:paraId="1AE6151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7.4.1 关于测量放线的特别约定的技术规范：</w:t>
      </w:r>
      <w:r>
        <w:rPr>
          <w:rFonts w:hint="eastAsia" w:cs="宋体"/>
          <w:color w:val="auto"/>
          <w:szCs w:val="21"/>
          <w:highlight w:val="none"/>
          <w:u w:val="single"/>
        </w:rPr>
        <w:t>根据国家测绘基准、测绘系统和工程测量技术规范，按基准点（线）以及合同工程精度要求，测设施工控制网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。施工控制网资料的告知期限：</w:t>
      </w:r>
      <w:r>
        <w:rPr>
          <w:rFonts w:hint="eastAsia" w:cs="宋体"/>
          <w:color w:val="auto"/>
          <w:szCs w:val="21"/>
          <w:highlight w:val="none"/>
          <w:u w:val="single"/>
        </w:rPr>
        <w:t>在满足发包人实际要求的期限内将施工控制网资料报送工程师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E1D062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7.5 现场劳动用工</w:t>
      </w:r>
    </w:p>
    <w:p w14:paraId="40F71356">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7.5.2 合同当事人对建筑工人工资清偿事宜和违约责任的约定：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FB269B3">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7.6 安全文明施工</w:t>
      </w:r>
    </w:p>
    <w:p w14:paraId="28C5973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7.6.1 安全生产要求</w:t>
      </w:r>
    </w:p>
    <w:p w14:paraId="123BF3C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合同当事人对安全施工的要求：</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执行国家、省、市的相关规定和招标文件</w:t>
      </w:r>
      <w:r>
        <w:rPr>
          <w:rFonts w:hint="eastAsia" w:cs="宋体"/>
          <w:color w:val="auto"/>
          <w:szCs w:val="21"/>
          <w:highlight w:val="none"/>
          <w:u w:val="single"/>
        </w:rPr>
        <w:t xml:space="preserve">      </w:t>
      </w:r>
      <w:r>
        <w:rPr>
          <w:rFonts w:hint="eastAsia" w:ascii="宋体" w:hAnsi="宋体" w:cs="宋体"/>
          <w:color w:val="auto"/>
          <w:szCs w:val="21"/>
          <w:highlight w:val="none"/>
        </w:rPr>
        <w:t>。</w:t>
      </w:r>
    </w:p>
    <w:p w14:paraId="5FAED02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7.6.3 文明施工</w:t>
      </w:r>
    </w:p>
    <w:p w14:paraId="08A76623">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合同当事人对文明施工的要求：</w:t>
      </w:r>
      <w:r>
        <w:rPr>
          <w:rFonts w:hint="eastAsia" w:ascii="宋体" w:hAnsi="宋体" w:cs="宋体"/>
          <w:color w:val="auto"/>
          <w:szCs w:val="21"/>
          <w:highlight w:val="none"/>
          <w:u w:val="single"/>
        </w:rPr>
        <w:t xml:space="preserve">  执行国家、省、市的相关规定和招标文件</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B527E7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7.9 临时性公用设施</w:t>
      </w:r>
    </w:p>
    <w:p w14:paraId="14DD7E8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关于临时性公用设施的特别约定：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现场已完成三通一平  </w:t>
      </w:r>
      <w:r>
        <w:rPr>
          <w:rFonts w:hint="eastAsia" w:ascii="宋体" w:hAnsi="宋体" w:cs="宋体"/>
          <w:color w:val="auto"/>
          <w:szCs w:val="21"/>
          <w:highlight w:val="none"/>
        </w:rPr>
        <w:t>。</w:t>
      </w:r>
    </w:p>
    <w:p w14:paraId="4127DC42">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7.10 现场安保</w:t>
      </w:r>
    </w:p>
    <w:p w14:paraId="51EB9292">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承包人现场安保义务的特别约定：</w:t>
      </w:r>
      <w:r>
        <w:rPr>
          <w:rFonts w:hint="eastAsia" w:ascii="宋体" w:hAnsi="宋体" w:cs="宋体"/>
          <w:color w:val="auto"/>
          <w:szCs w:val="21"/>
          <w:highlight w:val="none"/>
          <w:u w:val="single"/>
          <w:lang w:val="en-US" w:eastAsia="zh-CN"/>
        </w:rPr>
        <w:t>承包人承担所有安保责任，发包人负责做好与当地公安部门协调工作。</w:t>
      </w:r>
      <w:r>
        <w:rPr>
          <w:rFonts w:hint="eastAsia" w:ascii="宋体" w:hAnsi="宋体" w:cs="宋体"/>
          <w:color w:val="auto"/>
          <w:szCs w:val="21"/>
          <w:highlight w:val="none"/>
          <w:u w:val="single"/>
        </w:rPr>
        <w:t xml:space="preserve">承包人应在工程开工后7天内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 </w:t>
      </w:r>
    </w:p>
    <w:p w14:paraId="26CB370D">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cs="宋体"/>
          <w:bCs w:val="0"/>
          <w:color w:val="auto"/>
          <w:sz w:val="21"/>
          <w:szCs w:val="21"/>
          <w:highlight w:val="none"/>
        </w:rPr>
      </w:pPr>
      <w:bookmarkStart w:id="891" w:name="_Toc54862339"/>
      <w:r>
        <w:rPr>
          <w:rFonts w:hint="eastAsia" w:cs="宋体"/>
          <w:bCs w:val="0"/>
          <w:color w:val="auto"/>
          <w:sz w:val="21"/>
          <w:szCs w:val="21"/>
          <w:highlight w:val="none"/>
        </w:rPr>
        <w:t>第8条 工期和进度</w:t>
      </w:r>
      <w:bookmarkEnd w:id="891"/>
    </w:p>
    <w:p w14:paraId="7377425A">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8.1 开始工作</w:t>
      </w:r>
    </w:p>
    <w:p w14:paraId="1EB40B5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8.1.1 开始准备工作：</w:t>
      </w:r>
      <w:r>
        <w:rPr>
          <w:rFonts w:hint="eastAsia" w:ascii="宋体" w:hAnsi="宋体" w:cs="宋体"/>
          <w:color w:val="auto"/>
          <w:szCs w:val="21"/>
          <w:highlight w:val="none"/>
          <w:u w:val="single"/>
        </w:rPr>
        <w:t xml:space="preserve">中标公示期满且无异议后立即开展施工准备工作 </w:t>
      </w:r>
      <w:r>
        <w:rPr>
          <w:rFonts w:hint="eastAsia" w:ascii="宋体" w:hAnsi="宋体" w:cs="宋体"/>
          <w:color w:val="auto"/>
          <w:szCs w:val="21"/>
          <w:highlight w:val="none"/>
        </w:rPr>
        <w:t>。</w:t>
      </w:r>
    </w:p>
    <w:p w14:paraId="2D839292">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bookmarkStart w:id="892" w:name="_Hlk73873366"/>
      <w:r>
        <w:rPr>
          <w:rFonts w:hint="eastAsia" w:ascii="宋体" w:hAnsi="宋体" w:cs="宋体"/>
          <w:color w:val="auto"/>
          <w:szCs w:val="21"/>
          <w:highlight w:val="none"/>
        </w:rPr>
        <w:t>8.1.2 发包人可在计划开始工作之日起3日后发出开始工作通知的特殊情形：</w:t>
      </w:r>
      <w:r>
        <w:rPr>
          <w:rFonts w:hint="eastAsia" w:ascii="宋体" w:hAnsi="宋体" w:cs="宋体"/>
          <w:color w:val="auto"/>
          <w:szCs w:val="21"/>
          <w:highlight w:val="none"/>
          <w:u w:val="single"/>
        </w:rPr>
        <w:t>根据项目实际情况另行约定 。</w:t>
      </w:r>
    </w:p>
    <w:bookmarkEnd w:id="892"/>
    <w:p w14:paraId="2203BB6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8.2 竣工日期</w:t>
      </w:r>
    </w:p>
    <w:p w14:paraId="7FEC216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竣工日期的约定：</w:t>
      </w:r>
      <w:r>
        <w:rPr>
          <w:rFonts w:hint="eastAsia" w:cs="宋体"/>
          <w:color w:val="auto"/>
          <w:szCs w:val="21"/>
          <w:highlight w:val="none"/>
          <w:u w:val="single"/>
        </w:rPr>
        <w:t xml:space="preserve">整体工程完工后组织竣工验收，验收合格之日作为竣工日期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58FF3C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8.3 项目实施计划</w:t>
      </w:r>
    </w:p>
    <w:p w14:paraId="05B0FF5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8.3.1 项目实施计划的内容</w:t>
      </w:r>
    </w:p>
    <w:p w14:paraId="4203E2D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项目实施计划的内容：</w:t>
      </w:r>
      <w:r>
        <w:rPr>
          <w:rFonts w:hint="eastAsia" w:cs="宋体"/>
          <w:color w:val="auto"/>
          <w:szCs w:val="21"/>
          <w:highlight w:val="none"/>
          <w:u w:val="single"/>
        </w:rPr>
        <w:t xml:space="preserve">本工程需按照总进度计划编制每月施工进度计划，经监理、发包人审批后作为进度考核和进度款支付的依据 </w:t>
      </w:r>
      <w:r>
        <w:rPr>
          <w:rFonts w:hint="eastAsia" w:ascii="宋体" w:hAnsi="宋体" w:cs="宋体"/>
          <w:color w:val="auto"/>
          <w:szCs w:val="21"/>
          <w:highlight w:val="none"/>
        </w:rPr>
        <w:t>。</w:t>
      </w:r>
    </w:p>
    <w:p w14:paraId="671E466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8.3.2 项目实施计划的提交和修改</w:t>
      </w:r>
    </w:p>
    <w:p w14:paraId="7C8060C1">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项目实施计划的提交及修改期限：</w:t>
      </w:r>
      <w:r>
        <w:rPr>
          <w:rFonts w:hint="eastAsia" w:cs="宋体"/>
          <w:color w:val="auto"/>
          <w:szCs w:val="21"/>
          <w:highlight w:val="none"/>
          <w:u w:val="single"/>
        </w:rPr>
        <w:t>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 。</w:t>
      </w:r>
    </w:p>
    <w:p w14:paraId="7BD5BB3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8.4 项目进度计划</w:t>
      </w:r>
    </w:p>
    <w:p w14:paraId="69D9B93B">
      <w:pPr>
        <w:widowControl/>
        <w:tabs>
          <w:tab w:val="left" w:pos="220"/>
        </w:tabs>
        <w:adjustRightInd w:val="0"/>
        <w:snapToGrid w:val="0"/>
        <w:spacing w:line="440" w:lineRule="exact"/>
        <w:ind w:left="0" w:leftChars="0" w:right="250" w:rightChars="119" w:hanging="15" w:firstLineChars="0"/>
        <w:jc w:val="left"/>
        <w:rPr>
          <w:rFonts w:hint="eastAsia" w:cs="宋体"/>
          <w:color w:val="auto"/>
          <w:szCs w:val="21"/>
          <w:highlight w:val="none"/>
          <w:u w:val="single"/>
        </w:rPr>
      </w:pPr>
      <w:r>
        <w:rPr>
          <w:rFonts w:hint="eastAsia" w:ascii="宋体" w:hAnsi="宋体" w:cs="宋体"/>
          <w:color w:val="auto"/>
          <w:szCs w:val="21"/>
          <w:highlight w:val="none"/>
        </w:rPr>
        <w:t>8.4.1 工程师在收到进度计划后确认或提出修改意见的期限：</w:t>
      </w:r>
      <w:r>
        <w:rPr>
          <w:rFonts w:hint="eastAsia" w:cs="宋体"/>
          <w:color w:val="auto"/>
          <w:szCs w:val="21"/>
          <w:highlight w:val="none"/>
          <w:u w:val="single"/>
        </w:rPr>
        <w:t>发包人和监理人应在收到修订的施工进度计划后7天内完成审核和批准或提出修改意见。发包人和监理人对承包人提交的施工进度计划的确认，不能减轻或免除承包人根据法律规定和合同约定应承担的任何责任或义务。承包人必须按照批准的进度计划组织施工，接受发包人对进度的检查、监督，工程实际进展与进度计划不符时，应提供修改，调整后的进度计划及相应的措施报发包人批准后执行。</w:t>
      </w:r>
    </w:p>
    <w:p w14:paraId="0D090E5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8.4.2 进度计划的具体要求：</w:t>
      </w:r>
      <w:r>
        <w:rPr>
          <w:rFonts w:hint="eastAsia" w:ascii="宋体" w:hAnsi="宋体" w:cs="宋体"/>
          <w:color w:val="auto"/>
          <w:szCs w:val="21"/>
          <w:highlight w:val="none"/>
          <w:u w:val="single"/>
        </w:rPr>
        <w:t xml:space="preserve">   另行协商    </w:t>
      </w:r>
      <w:r>
        <w:rPr>
          <w:rFonts w:hint="eastAsia" w:ascii="宋体" w:hAnsi="宋体" w:cs="宋体"/>
          <w:color w:val="auto"/>
          <w:szCs w:val="21"/>
          <w:highlight w:val="none"/>
        </w:rPr>
        <w:t>。</w:t>
      </w:r>
    </w:p>
    <w:p w14:paraId="61C592D4">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关键路径及关键路径变化的确定原则：</w:t>
      </w:r>
      <w:r>
        <w:rPr>
          <w:rFonts w:hint="eastAsia" w:ascii="宋体" w:hAnsi="宋体" w:cs="宋体"/>
          <w:color w:val="auto"/>
          <w:szCs w:val="21"/>
          <w:highlight w:val="none"/>
          <w:u w:val="single"/>
        </w:rPr>
        <w:t xml:space="preserve">  另行协商   </w:t>
      </w:r>
      <w:r>
        <w:rPr>
          <w:rFonts w:hint="eastAsia" w:ascii="宋体" w:hAnsi="宋体" w:cs="宋体"/>
          <w:color w:val="auto"/>
          <w:szCs w:val="21"/>
          <w:highlight w:val="none"/>
        </w:rPr>
        <w:t>。</w:t>
      </w:r>
    </w:p>
    <w:p w14:paraId="157305A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承包人提交项目进度计划的份数和时间：</w:t>
      </w:r>
      <w:r>
        <w:rPr>
          <w:rFonts w:hint="eastAsia" w:ascii="宋体" w:hAnsi="宋体" w:cs="宋体"/>
          <w:color w:val="auto"/>
          <w:szCs w:val="21"/>
          <w:highlight w:val="none"/>
          <w:u w:val="single"/>
        </w:rPr>
        <w:t xml:space="preserve">  另行协商   </w:t>
      </w:r>
      <w:r>
        <w:rPr>
          <w:rFonts w:hint="eastAsia" w:ascii="宋体" w:hAnsi="宋体" w:cs="宋体"/>
          <w:color w:val="auto"/>
          <w:szCs w:val="21"/>
          <w:highlight w:val="none"/>
        </w:rPr>
        <w:t>。</w:t>
      </w:r>
    </w:p>
    <w:p w14:paraId="3D144286">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8.4.3 进度计划的修订</w:t>
      </w:r>
    </w:p>
    <w:p w14:paraId="5F7F5494">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承包人提交修订项目进度计划申请报告的期限：</w:t>
      </w:r>
      <w:r>
        <w:rPr>
          <w:rFonts w:hint="eastAsia" w:ascii="宋体" w:hAnsi="宋体" w:cs="宋体"/>
          <w:color w:val="auto"/>
          <w:szCs w:val="21"/>
          <w:highlight w:val="none"/>
          <w:u w:val="single"/>
        </w:rPr>
        <w:t xml:space="preserve">  另行协商  </w:t>
      </w:r>
      <w:r>
        <w:rPr>
          <w:rFonts w:hint="eastAsia" w:ascii="宋体" w:hAnsi="宋体" w:cs="宋体"/>
          <w:color w:val="auto"/>
          <w:szCs w:val="21"/>
          <w:highlight w:val="none"/>
        </w:rPr>
        <w:t>。</w:t>
      </w:r>
    </w:p>
    <w:p w14:paraId="6C52FC16">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发包人批复修订项目进度计划申请报告的期限：</w:t>
      </w:r>
      <w:r>
        <w:rPr>
          <w:rFonts w:hint="eastAsia" w:ascii="宋体" w:hAnsi="宋体" w:cs="宋体"/>
          <w:color w:val="auto"/>
          <w:szCs w:val="21"/>
          <w:highlight w:val="none"/>
          <w:u w:val="single"/>
        </w:rPr>
        <w:t xml:space="preserve">  另行协商       </w:t>
      </w:r>
      <w:r>
        <w:rPr>
          <w:rFonts w:hint="eastAsia" w:ascii="宋体" w:hAnsi="宋体" w:cs="宋体"/>
          <w:color w:val="auto"/>
          <w:szCs w:val="21"/>
          <w:highlight w:val="none"/>
        </w:rPr>
        <w:t>。</w:t>
      </w:r>
    </w:p>
    <w:p w14:paraId="099FB40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承包人答复发包人提出修订合同计划的期限：</w:t>
      </w:r>
      <w:r>
        <w:rPr>
          <w:rFonts w:hint="eastAsia" w:ascii="宋体" w:hAnsi="宋体" w:cs="宋体"/>
          <w:color w:val="auto"/>
          <w:szCs w:val="21"/>
          <w:highlight w:val="none"/>
          <w:u w:val="single"/>
        </w:rPr>
        <w:t xml:space="preserve">   另行协商        </w:t>
      </w:r>
      <w:r>
        <w:rPr>
          <w:rFonts w:hint="eastAsia" w:ascii="宋体" w:hAnsi="宋体" w:cs="宋体"/>
          <w:color w:val="auto"/>
          <w:szCs w:val="21"/>
          <w:highlight w:val="none"/>
        </w:rPr>
        <w:t>。</w:t>
      </w:r>
    </w:p>
    <w:p w14:paraId="1D076044">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8.5 进度报告</w:t>
      </w:r>
    </w:p>
    <w:p w14:paraId="0395B4F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进度报告的具体要求：</w:t>
      </w:r>
      <w:r>
        <w:rPr>
          <w:rFonts w:hint="eastAsia" w:ascii="宋体" w:hAnsi="宋体" w:cs="宋体"/>
          <w:color w:val="auto"/>
          <w:szCs w:val="21"/>
          <w:highlight w:val="none"/>
          <w:u w:val="single"/>
        </w:rPr>
        <w:t xml:space="preserve">  另行协商                   </w:t>
      </w:r>
      <w:r>
        <w:rPr>
          <w:rFonts w:hint="eastAsia" w:ascii="宋体" w:hAnsi="宋体" w:cs="宋体"/>
          <w:color w:val="auto"/>
          <w:szCs w:val="21"/>
          <w:highlight w:val="none"/>
        </w:rPr>
        <w:t>。</w:t>
      </w:r>
    </w:p>
    <w:p w14:paraId="578883A1">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8.7 工期延误</w:t>
      </w:r>
    </w:p>
    <w:p w14:paraId="5FC44402">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8.7.2 因承包人原因导致工期延误</w:t>
      </w:r>
    </w:p>
    <w:p w14:paraId="588DA55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lang w:val="en-US" w:eastAsia="zh-CN"/>
        </w:rPr>
      </w:pPr>
      <w:r>
        <w:rPr>
          <w:rFonts w:hint="eastAsia" w:ascii="宋体" w:hAnsi="宋体" w:eastAsia="宋体" w:cs="宋体"/>
          <w:color w:val="auto"/>
          <w:szCs w:val="21"/>
          <w:highlight w:val="none"/>
          <w:u w:val="single"/>
          <w:lang w:val="en-US" w:eastAsia="zh-CN"/>
        </w:rPr>
        <w:t>每延期一天将处以5000元违约金。工期提前不奖励。</w:t>
      </w:r>
    </w:p>
    <w:p w14:paraId="1D0221E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8.7.3 行政审批迟延</w:t>
      </w:r>
    </w:p>
    <w:p w14:paraId="0E75B9B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行政审批报送的职责分工：</w:t>
      </w:r>
      <w:r>
        <w:rPr>
          <w:rFonts w:hint="eastAsia" w:ascii="宋体" w:hAnsi="宋体" w:cs="宋体"/>
          <w:color w:val="auto"/>
          <w:szCs w:val="21"/>
          <w:highlight w:val="none"/>
          <w:u w:val="single"/>
        </w:rPr>
        <w:t xml:space="preserve">  根据发包人要求，承包人配合   </w:t>
      </w:r>
      <w:r>
        <w:rPr>
          <w:rFonts w:hint="eastAsia" w:ascii="宋体" w:hAnsi="宋体" w:cs="宋体"/>
          <w:color w:val="auto"/>
          <w:szCs w:val="21"/>
          <w:highlight w:val="none"/>
        </w:rPr>
        <w:t>。</w:t>
      </w:r>
    </w:p>
    <w:p w14:paraId="7DA4410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8.7.4 异常恶劣的气候条件</w:t>
      </w:r>
    </w:p>
    <w:p w14:paraId="3CDF7C2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双方约定视为异常恶劣的气候条件的情形：</w:t>
      </w:r>
      <w:r>
        <w:rPr>
          <w:rFonts w:hint="eastAsia" w:ascii="宋体" w:hAnsi="宋体" w:cs="宋体"/>
          <w:color w:val="auto"/>
          <w:szCs w:val="21"/>
          <w:highlight w:val="none"/>
          <w:u w:val="single"/>
        </w:rPr>
        <w:t xml:space="preserve">    </w:t>
      </w:r>
      <w:r>
        <w:rPr>
          <w:rFonts w:hint="eastAsia" w:cs="宋体"/>
          <w:color w:val="auto"/>
          <w:szCs w:val="21"/>
          <w:highlight w:val="none"/>
          <w:u w:val="single"/>
        </w:rPr>
        <w:t>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0CFD68A">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8.8 工期提前</w:t>
      </w:r>
    </w:p>
    <w:p w14:paraId="7E84CAB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8.8.2 承包人提前竣工的奖励：</w:t>
      </w:r>
      <w:r>
        <w:rPr>
          <w:rFonts w:hint="eastAsia" w:ascii="宋体" w:hAnsi="宋体" w:cs="宋体"/>
          <w:color w:val="auto"/>
          <w:szCs w:val="21"/>
          <w:highlight w:val="none"/>
          <w:u w:val="single"/>
        </w:rPr>
        <w:t xml:space="preserve">   提前无奖励    </w:t>
      </w:r>
      <w:r>
        <w:rPr>
          <w:rFonts w:hint="eastAsia" w:ascii="宋体" w:hAnsi="宋体" w:cs="宋体"/>
          <w:color w:val="auto"/>
          <w:szCs w:val="21"/>
          <w:highlight w:val="none"/>
        </w:rPr>
        <w:t>。</w:t>
      </w:r>
    </w:p>
    <w:p w14:paraId="10F60390">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cs="宋体"/>
          <w:bCs w:val="0"/>
          <w:color w:val="auto"/>
          <w:sz w:val="21"/>
          <w:szCs w:val="21"/>
          <w:highlight w:val="none"/>
        </w:rPr>
      </w:pPr>
      <w:bookmarkStart w:id="893" w:name="_Toc54862340"/>
      <w:r>
        <w:rPr>
          <w:rFonts w:hint="eastAsia" w:cs="宋体"/>
          <w:bCs w:val="0"/>
          <w:color w:val="auto"/>
          <w:sz w:val="21"/>
          <w:szCs w:val="21"/>
          <w:highlight w:val="none"/>
        </w:rPr>
        <w:t>第9条 竣工试验</w:t>
      </w:r>
      <w:bookmarkEnd w:id="893"/>
    </w:p>
    <w:p w14:paraId="34DF0E7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9.1 竣工试验的义务</w:t>
      </w:r>
    </w:p>
    <w:p w14:paraId="12D5ED2D">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u w:val="single"/>
          <w:lang w:eastAsia="zh-CN"/>
        </w:rPr>
      </w:pPr>
      <w:r>
        <w:rPr>
          <w:rFonts w:hint="eastAsia" w:ascii="宋体" w:hAnsi="宋体" w:cs="宋体"/>
          <w:color w:val="auto"/>
          <w:szCs w:val="21"/>
          <w:highlight w:val="none"/>
        </w:rPr>
        <w:t>9.1.3 竣工试验的阶段、内容和顺序：</w:t>
      </w:r>
      <w:r>
        <w:rPr>
          <w:rFonts w:hint="eastAsia" w:ascii="宋体" w:hAnsi="宋体" w:cs="宋体"/>
          <w:color w:val="auto"/>
          <w:szCs w:val="21"/>
          <w:highlight w:val="none"/>
          <w:u w:val="single"/>
        </w:rPr>
        <w:t xml:space="preserve">  执行国家、省、市的相关规定 </w:t>
      </w:r>
      <w:r>
        <w:rPr>
          <w:rFonts w:hint="eastAsia" w:ascii="宋体" w:hAnsi="宋体" w:cs="宋体"/>
          <w:color w:val="auto"/>
          <w:szCs w:val="21"/>
          <w:highlight w:val="none"/>
          <w:u w:val="single"/>
          <w:lang w:eastAsia="zh-CN"/>
        </w:rPr>
        <w:t>。</w:t>
      </w:r>
    </w:p>
    <w:p w14:paraId="735F3F5A">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竣工试验的操作要求：</w:t>
      </w:r>
      <w:r>
        <w:rPr>
          <w:rFonts w:hint="eastAsia" w:ascii="宋体" w:hAnsi="宋体" w:cs="宋体"/>
          <w:color w:val="auto"/>
          <w:szCs w:val="21"/>
          <w:highlight w:val="none"/>
          <w:u w:val="single"/>
        </w:rPr>
        <w:t xml:space="preserve">   执行国家、省、市的相关规定    </w:t>
      </w:r>
      <w:r>
        <w:rPr>
          <w:rFonts w:hint="eastAsia" w:ascii="宋体" w:hAnsi="宋体" w:cs="宋体"/>
          <w:color w:val="auto"/>
          <w:szCs w:val="21"/>
          <w:highlight w:val="none"/>
        </w:rPr>
        <w:t>。</w:t>
      </w:r>
    </w:p>
    <w:p w14:paraId="0FF8483B">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cs="宋体"/>
          <w:bCs w:val="0"/>
          <w:color w:val="auto"/>
          <w:sz w:val="21"/>
          <w:szCs w:val="21"/>
          <w:highlight w:val="none"/>
        </w:rPr>
      </w:pPr>
      <w:bookmarkStart w:id="894" w:name="_Toc54862341"/>
      <w:r>
        <w:rPr>
          <w:rFonts w:hint="eastAsia" w:cs="宋体"/>
          <w:bCs w:val="0"/>
          <w:color w:val="auto"/>
          <w:sz w:val="21"/>
          <w:szCs w:val="21"/>
          <w:highlight w:val="none"/>
        </w:rPr>
        <w:t>第10条 验收和工程接收</w:t>
      </w:r>
      <w:bookmarkEnd w:id="894"/>
    </w:p>
    <w:p w14:paraId="53F16E3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10.1 竣工验收</w:t>
      </w:r>
    </w:p>
    <w:p w14:paraId="3524112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10.1.2 关于竣工验收程序的约定：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执行国家、省、市的相关规定    </w:t>
      </w:r>
      <w:r>
        <w:rPr>
          <w:rFonts w:hint="eastAsia" w:ascii="宋体" w:hAnsi="宋体" w:cs="宋体"/>
          <w:color w:val="auto"/>
          <w:szCs w:val="21"/>
          <w:highlight w:val="none"/>
        </w:rPr>
        <w:t>。</w:t>
      </w:r>
    </w:p>
    <w:p w14:paraId="1FEB0953">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bookmarkStart w:id="895" w:name="_Hlk46406260"/>
      <w:r>
        <w:rPr>
          <w:rFonts w:hint="eastAsia" w:ascii="宋体" w:hAnsi="宋体" w:cs="宋体"/>
          <w:color w:val="auto"/>
          <w:szCs w:val="21"/>
          <w:highlight w:val="none"/>
        </w:rPr>
        <w:t>发包人不按照合同约定组织竣工验收、颁发工程接受证书的违约金的计算方式：</w:t>
      </w:r>
      <w:r>
        <w:rPr>
          <w:rFonts w:hint="eastAsia" w:cs="宋体"/>
          <w:color w:val="auto"/>
          <w:szCs w:val="21"/>
          <w:highlight w:val="none"/>
          <w:u w:val="single"/>
        </w:rPr>
        <w:t>不考虑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bookmarkEnd w:id="895"/>
    <w:p w14:paraId="07722423">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10.3工程的接收</w:t>
      </w:r>
    </w:p>
    <w:p w14:paraId="1246EF6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10.3.1工程接收的先后顺序、时间安排和其他要求：</w:t>
      </w:r>
      <w:r>
        <w:rPr>
          <w:rFonts w:hint="eastAsia" w:ascii="宋体" w:hAnsi="宋体" w:cs="宋体"/>
          <w:color w:val="auto"/>
          <w:szCs w:val="21"/>
          <w:highlight w:val="none"/>
          <w:u w:val="single"/>
        </w:rPr>
        <w:t xml:space="preserve"> 承包人应当无条件配合发包人在30日内完成工程移交。</w:t>
      </w:r>
    </w:p>
    <w:p w14:paraId="1A531A5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10.3.2 接受工程时承包人需提交竣工验收资料的类别、内容、份数和提交时间：</w:t>
      </w:r>
      <w:r>
        <w:rPr>
          <w:rFonts w:hint="eastAsia" w:ascii="宋体" w:hAnsi="宋体" w:cs="宋体"/>
          <w:color w:val="auto"/>
          <w:szCs w:val="21"/>
          <w:highlight w:val="none"/>
          <w:u w:val="single"/>
        </w:rPr>
        <w:t xml:space="preserve">  </w:t>
      </w:r>
      <w:r>
        <w:rPr>
          <w:rFonts w:hint="eastAsia" w:cs="宋体"/>
          <w:color w:val="auto"/>
          <w:szCs w:val="21"/>
          <w:highlight w:val="none"/>
          <w:u w:val="single"/>
        </w:rPr>
        <w:t>执行发包人同意内容格式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4BE4D5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10.3.3 发包人逾期接收工程的违约责任：</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B2DA866">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10.3.4 承包人无正当理由不移交工程的违约责任：</w:t>
      </w:r>
      <w:r>
        <w:rPr>
          <w:rFonts w:hint="eastAsia" w:ascii="宋体" w:hAnsi="宋体" w:cs="宋体"/>
          <w:color w:val="auto"/>
          <w:szCs w:val="21"/>
          <w:highlight w:val="none"/>
          <w:u w:val="single"/>
        </w:rPr>
        <w:t xml:space="preserve"> 因承包人原因，未按合同期限按时移交的，暂停工程款支付，发包人可动用质保金，用于工程质量整改。</w:t>
      </w:r>
    </w:p>
    <w:p w14:paraId="1F8B10C6">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10.4 接收证书</w:t>
      </w:r>
    </w:p>
    <w:p w14:paraId="2BD0E8A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10.4.1 工程接收证书颁发时间：</w:t>
      </w:r>
      <w:r>
        <w:rPr>
          <w:rFonts w:hint="eastAsia" w:ascii="宋体" w:hAnsi="宋体" w:cs="宋体"/>
          <w:color w:val="auto"/>
          <w:szCs w:val="21"/>
          <w:highlight w:val="none"/>
          <w:u w:val="single"/>
        </w:rPr>
        <w:t xml:space="preserve"> </w:t>
      </w:r>
      <w:r>
        <w:rPr>
          <w:rFonts w:hint="eastAsia" w:cs="宋体"/>
          <w:color w:val="auto"/>
          <w:szCs w:val="21"/>
          <w:highlight w:val="none"/>
          <w:u w:val="single"/>
        </w:rPr>
        <w:t>执行通用合同条件</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8F04F2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10.5 竣工退场</w:t>
      </w:r>
    </w:p>
    <w:p w14:paraId="72FAA7E2">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10.5.1 竣工退场的相关约定：</w:t>
      </w:r>
      <w:r>
        <w:rPr>
          <w:rFonts w:hint="eastAsia" w:ascii="宋体" w:hAnsi="宋体" w:cs="宋体"/>
          <w:color w:val="auto"/>
          <w:szCs w:val="21"/>
          <w:highlight w:val="none"/>
          <w:u w:val="single"/>
        </w:rPr>
        <w:t xml:space="preserve">  工程竣工合格后，7天内退场。</w:t>
      </w:r>
    </w:p>
    <w:p w14:paraId="7A2FE95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10.5.3人员撤离</w:t>
      </w:r>
    </w:p>
    <w:p w14:paraId="0F5DFDDA">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工程师同意需在缺陷责任期内继续工作和使用的人员、施工设备和临时工程的内容：</w:t>
      </w:r>
      <w:r>
        <w:rPr>
          <w:rFonts w:hint="eastAsia" w:ascii="宋体" w:hAnsi="宋体" w:cs="宋体"/>
          <w:color w:val="auto"/>
          <w:szCs w:val="21"/>
          <w:highlight w:val="none"/>
          <w:u w:val="single"/>
        </w:rPr>
        <w:t xml:space="preserve"> </w:t>
      </w:r>
      <w:r>
        <w:rPr>
          <w:rFonts w:hint="eastAsia" w:cs="宋体"/>
          <w:color w:val="auto"/>
          <w:szCs w:val="21"/>
          <w:highlight w:val="none"/>
          <w:u w:val="single"/>
        </w:rPr>
        <w:t>满足缺陷责任期内继续工作的使用要求</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8538A96">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cs="宋体"/>
          <w:bCs w:val="0"/>
          <w:color w:val="auto"/>
          <w:sz w:val="21"/>
          <w:szCs w:val="21"/>
          <w:highlight w:val="none"/>
        </w:rPr>
      </w:pPr>
      <w:bookmarkStart w:id="896" w:name="_Toc54862342"/>
      <w:r>
        <w:rPr>
          <w:rFonts w:hint="eastAsia" w:cs="宋体"/>
          <w:bCs w:val="0"/>
          <w:color w:val="auto"/>
          <w:sz w:val="21"/>
          <w:szCs w:val="21"/>
          <w:highlight w:val="none"/>
        </w:rPr>
        <w:t>第11条 缺陷责任与保修</w:t>
      </w:r>
      <w:bookmarkEnd w:id="896"/>
    </w:p>
    <w:p w14:paraId="2C4A4D61">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11.2 缺陷责任期</w:t>
      </w:r>
    </w:p>
    <w:p w14:paraId="30492EF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缺陷责任期的期限：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4FA8B71">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11.3 缺陷调查</w:t>
      </w:r>
    </w:p>
    <w:p w14:paraId="0E289AB6">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11.3.4 修复通知</w:t>
      </w:r>
    </w:p>
    <w:p w14:paraId="012F186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承包人收到保修通知并到达工程现场的合理时间：</w:t>
      </w:r>
      <w:r>
        <w:rPr>
          <w:rStyle w:val="220"/>
          <w:rFonts w:hint="eastAsia" w:eastAsia="宋体" w:cs="宋体"/>
          <w:b/>
          <w:bCs/>
          <w:color w:val="auto"/>
          <w:sz w:val="21"/>
          <w:szCs w:val="21"/>
          <w:highlight w:val="none"/>
          <w:u w:val="single"/>
        </w:rPr>
        <w:t>按照本合同附件《质量管理协议》中约定的条款执行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2651C92">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11.6 缺陷责任期终止证书</w:t>
      </w:r>
    </w:p>
    <w:p w14:paraId="4A55D4C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承包人应于缺陷责任期届满后</w:t>
      </w:r>
      <w:r>
        <w:rPr>
          <w:rFonts w:hint="eastAsia" w:ascii="宋体" w:hAnsi="宋体" w:cs="宋体"/>
          <w:color w:val="auto"/>
          <w:szCs w:val="21"/>
          <w:highlight w:val="none"/>
          <w:u w:val="single"/>
        </w:rPr>
        <w:t xml:space="preserve">  </w:t>
      </w:r>
      <w:r>
        <w:rPr>
          <w:rFonts w:hint="eastAsia" w:cs="宋体"/>
          <w:color w:val="auto"/>
          <w:szCs w:val="21"/>
          <w:highlight w:val="none"/>
          <w:u w:val="single"/>
        </w:rPr>
        <w:t>7</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天内向发包人发出缺陷责任期届满通知，发包人应在收到缺陷责任期满通知后</w:t>
      </w:r>
      <w:r>
        <w:rPr>
          <w:rFonts w:hint="eastAsia" w:ascii="宋体" w:hAnsi="宋体" w:cs="宋体"/>
          <w:color w:val="auto"/>
          <w:szCs w:val="21"/>
          <w:highlight w:val="none"/>
          <w:u w:val="single"/>
        </w:rPr>
        <w:t xml:space="preserve">  </w:t>
      </w:r>
      <w:r>
        <w:rPr>
          <w:rFonts w:hint="eastAsia" w:cs="宋体"/>
          <w:color w:val="auto"/>
          <w:szCs w:val="21"/>
          <w:highlight w:val="none"/>
          <w:u w:val="single"/>
        </w:rPr>
        <w:t>7</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天内核实承包人是否履行缺陷修复义务，承包人未能履行缺陷修复义务的，发包人有权扣除相应金额的维修费用。发包人应在收到缺陷责任期届满通知，经现场回访合格后</w:t>
      </w:r>
      <w:r>
        <w:rPr>
          <w:rFonts w:hint="eastAsia" w:ascii="宋体" w:hAnsi="宋体" w:cs="宋体"/>
          <w:color w:val="auto"/>
          <w:szCs w:val="21"/>
          <w:highlight w:val="none"/>
          <w:u w:val="single"/>
        </w:rPr>
        <w:t xml:space="preserve"> </w:t>
      </w:r>
      <w:r>
        <w:rPr>
          <w:rFonts w:hint="eastAsia" w:cs="宋体"/>
          <w:color w:val="auto"/>
          <w:szCs w:val="21"/>
          <w:highlight w:val="none"/>
          <w:u w:val="single"/>
        </w:rPr>
        <w:t>28</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天内，向承包人颁发缺陷责任期终止证书。</w:t>
      </w:r>
    </w:p>
    <w:p w14:paraId="6FEBC0D6">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11.7 保修责任</w:t>
      </w:r>
    </w:p>
    <w:p w14:paraId="730C2ED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工程质量保修范围、期限和责任为：</w:t>
      </w:r>
      <w:r>
        <w:rPr>
          <w:rStyle w:val="220"/>
          <w:rFonts w:hint="eastAsia" w:eastAsia="宋体" w:cs="宋体"/>
          <w:b/>
          <w:bCs/>
          <w:color w:val="auto"/>
          <w:sz w:val="21"/>
          <w:szCs w:val="21"/>
          <w:highlight w:val="none"/>
          <w:u w:val="single"/>
        </w:rPr>
        <w:t>按照本合同附件《质量管理协议》中约定的条款执行</w:t>
      </w:r>
      <w:r>
        <w:rPr>
          <w:rFonts w:hint="eastAsia" w:ascii="宋体" w:hAnsi="宋体" w:cs="宋体"/>
          <w:b/>
          <w:bCs/>
          <w:color w:val="auto"/>
          <w:szCs w:val="21"/>
          <w:highlight w:val="none"/>
          <w:u w:val="single"/>
        </w:rPr>
        <w:t xml:space="preserve"> </w:t>
      </w:r>
      <w:r>
        <w:rPr>
          <w:rFonts w:hint="eastAsia" w:ascii="宋体" w:hAnsi="宋体" w:cs="宋体"/>
          <w:color w:val="auto"/>
          <w:szCs w:val="21"/>
          <w:highlight w:val="none"/>
        </w:rPr>
        <w:t>。</w:t>
      </w:r>
    </w:p>
    <w:p w14:paraId="7C7AC570">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cs="宋体"/>
          <w:bCs w:val="0"/>
          <w:color w:val="auto"/>
          <w:sz w:val="21"/>
          <w:szCs w:val="21"/>
          <w:highlight w:val="none"/>
        </w:rPr>
      </w:pPr>
      <w:bookmarkStart w:id="897" w:name="_Toc54862343"/>
      <w:r>
        <w:rPr>
          <w:rFonts w:hint="eastAsia" w:cs="宋体"/>
          <w:bCs w:val="0"/>
          <w:color w:val="auto"/>
          <w:sz w:val="21"/>
          <w:szCs w:val="21"/>
          <w:highlight w:val="none"/>
        </w:rPr>
        <w:t>第12条 竣工后试验</w:t>
      </w:r>
      <w:bookmarkEnd w:id="897"/>
    </w:p>
    <w:p w14:paraId="08E3998D">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本合同工程是否包含竣工后试验：</w:t>
      </w:r>
      <w:r>
        <w:rPr>
          <w:rFonts w:hint="eastAsia" w:ascii="宋体" w:hAnsi="宋体" w:cs="宋体"/>
          <w:color w:val="auto"/>
          <w:szCs w:val="21"/>
          <w:highlight w:val="none"/>
          <w:u w:val="single"/>
        </w:rPr>
        <w:t xml:space="preserve">   是                  </w:t>
      </w:r>
      <w:r>
        <w:rPr>
          <w:rFonts w:hint="eastAsia" w:ascii="宋体" w:hAnsi="宋体" w:cs="宋体"/>
          <w:color w:val="auto"/>
          <w:szCs w:val="21"/>
          <w:highlight w:val="none"/>
        </w:rPr>
        <w:t>。</w:t>
      </w:r>
    </w:p>
    <w:p w14:paraId="525B473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12.1 竣工后试验的程序</w:t>
      </w:r>
    </w:p>
    <w:p w14:paraId="72D37D93">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12.1.2 竣工后试验全部电力、水、污水处理、燃料、消耗品和材料，以及全部其他仪器、协助、文件或其他信息、设备、工具、劳力，启动工程设备，并组织安排有适当资质、经验和能力的工作人员等必要条件的提供方：</w:t>
      </w:r>
      <w:r>
        <w:rPr>
          <w:rFonts w:hint="eastAsia" w:ascii="宋体" w:hAnsi="宋体" w:cs="宋体"/>
          <w:color w:val="auto"/>
          <w:szCs w:val="21"/>
          <w:highlight w:val="none"/>
          <w:u w:val="single"/>
        </w:rPr>
        <w:t xml:space="preserve">承包人   </w:t>
      </w:r>
      <w:r>
        <w:rPr>
          <w:rFonts w:hint="eastAsia" w:ascii="宋体" w:hAnsi="宋体" w:cs="宋体"/>
          <w:color w:val="auto"/>
          <w:szCs w:val="21"/>
          <w:highlight w:val="none"/>
        </w:rPr>
        <w:t>。</w:t>
      </w:r>
    </w:p>
    <w:p w14:paraId="13655E76">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cs="宋体"/>
          <w:bCs w:val="0"/>
          <w:color w:val="auto"/>
          <w:sz w:val="21"/>
          <w:szCs w:val="21"/>
          <w:highlight w:val="none"/>
        </w:rPr>
      </w:pPr>
      <w:bookmarkStart w:id="898" w:name="_Toc54862344"/>
      <w:r>
        <w:rPr>
          <w:rFonts w:hint="eastAsia" w:cs="宋体"/>
          <w:bCs w:val="0"/>
          <w:color w:val="auto"/>
          <w:sz w:val="21"/>
          <w:szCs w:val="21"/>
          <w:highlight w:val="none"/>
        </w:rPr>
        <w:t>第13条 变更与调整</w:t>
      </w:r>
      <w:bookmarkEnd w:id="898"/>
    </w:p>
    <w:p w14:paraId="218DAAD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13.2 承包人的合理化建议</w:t>
      </w:r>
    </w:p>
    <w:p w14:paraId="6280EB91">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13.2.2 工程师应在收到承包人提交的合理化建议后</w:t>
      </w:r>
      <w:r>
        <w:rPr>
          <w:rFonts w:hint="eastAsia" w:ascii="宋体" w:hAnsi="宋体" w:cs="宋体"/>
          <w:color w:val="auto"/>
          <w:szCs w:val="21"/>
          <w:highlight w:val="none"/>
          <w:u w:val="single"/>
        </w:rPr>
        <w:t xml:space="preserve"> </w:t>
      </w:r>
      <w:r>
        <w:rPr>
          <w:rFonts w:hint="eastAsia" w:cs="宋体"/>
          <w:color w:val="auto"/>
          <w:szCs w:val="21"/>
          <w:highlight w:val="none"/>
          <w:u w:val="single"/>
        </w:rPr>
        <w:t>7</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日内审查完毕并报送发包人，发现其中存在技术上的缺陷，应通知承包人修改。发包人应在收到工程师报送的合理化建议后</w:t>
      </w:r>
      <w:r>
        <w:rPr>
          <w:rFonts w:hint="eastAsia" w:ascii="宋体" w:hAnsi="宋体" w:cs="宋体"/>
          <w:color w:val="auto"/>
          <w:szCs w:val="21"/>
          <w:highlight w:val="none"/>
          <w:u w:val="single"/>
        </w:rPr>
        <w:t xml:space="preserve">  </w:t>
      </w:r>
      <w:r>
        <w:rPr>
          <w:rFonts w:hint="eastAsia" w:cs="宋体"/>
          <w:color w:val="auto"/>
          <w:szCs w:val="21"/>
          <w:highlight w:val="none"/>
          <w:u w:val="single"/>
        </w:rPr>
        <w:t>7</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日内审批完毕。合理化建议经发包人批准的，工程师应及时发出变更指示，由此引起的合同价格调整按照</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执行。发包人不同意变更的，工程师应书面通知承包人</w:t>
      </w:r>
    </w:p>
    <w:p w14:paraId="0A2F40B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13.2.3 承包人提出的合理化变更建议的利益分享约定：</w:t>
      </w:r>
      <w:r>
        <w:rPr>
          <w:rFonts w:hint="eastAsia" w:ascii="宋体" w:hAnsi="宋体" w:cs="宋体"/>
          <w:color w:val="auto"/>
          <w:szCs w:val="21"/>
          <w:highlight w:val="none"/>
          <w:u w:val="single"/>
        </w:rPr>
        <w:t xml:space="preserve"> 由发包人根据合同价格降低额或工程经济效益提高</w:t>
      </w:r>
      <w:r>
        <w:rPr>
          <w:rFonts w:hint="eastAsia" w:cs="宋体"/>
          <w:color w:val="auto"/>
          <w:szCs w:val="21"/>
          <w:highlight w:val="none"/>
          <w:u w:val="single"/>
        </w:rPr>
        <w:t>程度</w:t>
      </w:r>
      <w:r>
        <w:rPr>
          <w:rFonts w:hint="eastAsia" w:ascii="宋体" w:hAnsi="宋体" w:cs="宋体"/>
          <w:color w:val="auto"/>
          <w:szCs w:val="21"/>
          <w:highlight w:val="none"/>
          <w:u w:val="single"/>
        </w:rPr>
        <w:t>，结合项目考勤、质量、安全、进度等实际情况综合考虑。</w:t>
      </w:r>
    </w:p>
    <w:p w14:paraId="108BF73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13.3 变更程序</w:t>
      </w:r>
    </w:p>
    <w:p w14:paraId="1C2F899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13.3.3 变更估价</w:t>
      </w:r>
    </w:p>
    <w:p w14:paraId="39C9F6E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13.3.3.1 变更估价原则</w:t>
      </w:r>
    </w:p>
    <w:p w14:paraId="4D231CFA">
      <w:pPr>
        <w:pStyle w:val="14"/>
        <w:tabs>
          <w:tab w:val="left" w:pos="220"/>
        </w:tabs>
        <w:spacing w:after="0" w:line="420" w:lineRule="exact"/>
        <w:ind w:left="0" w:leftChars="0" w:right="250" w:rightChars="119" w:hanging="15" w:firstLineChars="0"/>
        <w:rPr>
          <w:color w:val="auto"/>
          <w:highlight w:val="none"/>
          <w:u w:val="single"/>
        </w:rPr>
      </w:pPr>
      <w:r>
        <w:rPr>
          <w:rFonts w:hint="eastAsia" w:hAnsi="宋体" w:cs="宋体"/>
          <w:color w:val="auto"/>
          <w:szCs w:val="21"/>
          <w:highlight w:val="none"/>
        </w:rPr>
        <w:t>关于变更估价原则的约定：</w:t>
      </w:r>
      <w:r>
        <w:rPr>
          <w:rFonts w:hint="eastAsia"/>
          <w:color w:val="auto"/>
          <w:highlight w:val="none"/>
          <w:u w:val="single"/>
        </w:rPr>
        <w:t>因发包人指令引起工程量的增减或变更，按实结算。其变更原则按市相关部门相关文件要求执行。</w:t>
      </w:r>
    </w:p>
    <w:p w14:paraId="79EAE89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13.4 暂估价</w:t>
      </w:r>
    </w:p>
    <w:p w14:paraId="434F15F4">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13.4.1 依法必须招标的暂估价项目</w:t>
      </w:r>
    </w:p>
    <w:p w14:paraId="120AFF5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承包人可以参与投标的暂估价项目范围：</w:t>
      </w:r>
      <w:r>
        <w:rPr>
          <w:rFonts w:hint="eastAsia" w:ascii="宋体" w:hAnsi="宋体" w:cs="宋体"/>
          <w:color w:val="auto"/>
          <w:szCs w:val="21"/>
          <w:highlight w:val="none"/>
          <w:u w:val="single"/>
        </w:rPr>
        <w:t xml:space="preserve">  承包人资质符合要求且自愿参与投标的项目    </w:t>
      </w:r>
      <w:r>
        <w:rPr>
          <w:rFonts w:hint="eastAsia" w:ascii="宋体" w:hAnsi="宋体" w:cs="宋体"/>
          <w:color w:val="auto"/>
          <w:szCs w:val="21"/>
          <w:highlight w:val="none"/>
        </w:rPr>
        <w:t>。</w:t>
      </w:r>
    </w:p>
    <w:p w14:paraId="65969CF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承包人不得参与投标的暂估价项目范围：</w:t>
      </w:r>
      <w:r>
        <w:rPr>
          <w:rFonts w:hint="eastAsia" w:ascii="宋体" w:hAnsi="宋体" w:cs="宋体"/>
          <w:color w:val="auto"/>
          <w:szCs w:val="21"/>
          <w:highlight w:val="none"/>
          <w:u w:val="single"/>
        </w:rPr>
        <w:t xml:space="preserve">  承包人资质不符合要求或不愿参与投标的项目    </w:t>
      </w:r>
      <w:r>
        <w:rPr>
          <w:rFonts w:hint="eastAsia" w:ascii="宋体" w:hAnsi="宋体" w:cs="宋体"/>
          <w:color w:val="auto"/>
          <w:szCs w:val="21"/>
          <w:highlight w:val="none"/>
        </w:rPr>
        <w:t>。</w:t>
      </w:r>
    </w:p>
    <w:p w14:paraId="25FE885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招投标程序及其他约定：</w:t>
      </w:r>
      <w:r>
        <w:rPr>
          <w:rFonts w:hint="eastAsia" w:ascii="宋体" w:hAnsi="宋体" w:cs="宋体"/>
          <w:color w:val="auto"/>
          <w:szCs w:val="21"/>
          <w:highlight w:val="none"/>
          <w:u w:val="single"/>
        </w:rPr>
        <w:t xml:space="preserve">  按法律法规规定及省、市相关文件执行    </w:t>
      </w:r>
      <w:r>
        <w:rPr>
          <w:rFonts w:hint="eastAsia" w:ascii="宋体" w:hAnsi="宋体" w:cs="宋体"/>
          <w:color w:val="auto"/>
          <w:szCs w:val="21"/>
          <w:highlight w:val="none"/>
        </w:rPr>
        <w:t>。</w:t>
      </w:r>
    </w:p>
    <w:p w14:paraId="7BCDFA31">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13.4.2 不属于依法必须招标的暂估价项目</w:t>
      </w:r>
    </w:p>
    <w:p w14:paraId="7B0EE5D4">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不属于依法必须招标的暂估价项目的协商及估价的约定：</w:t>
      </w:r>
      <w:r>
        <w:rPr>
          <w:rFonts w:hint="eastAsia" w:ascii="宋体" w:hAnsi="宋体" w:cs="宋体"/>
          <w:color w:val="auto"/>
          <w:szCs w:val="21"/>
          <w:highlight w:val="none"/>
          <w:u w:val="single"/>
        </w:rPr>
        <w:t>对于不属于依法必须招标的暂估价项目的确认和批准采取询价或招标采购方式确定。</w:t>
      </w:r>
    </w:p>
    <w:p w14:paraId="1F2C0D0F">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13.5 暂列金额</w:t>
      </w:r>
    </w:p>
    <w:p w14:paraId="46B6291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其他关于暂列金额使用的约定：</w:t>
      </w:r>
      <w:r>
        <w:rPr>
          <w:rFonts w:hint="eastAsia" w:ascii="宋体" w:hAnsi="宋体" w:cs="宋体"/>
          <w:color w:val="auto"/>
          <w:szCs w:val="21"/>
          <w:highlight w:val="none"/>
          <w:u w:val="single"/>
        </w:rPr>
        <w:t>暂列金额应按照发包人的要求使用 。</w:t>
      </w:r>
    </w:p>
    <w:p w14:paraId="0DF4F4DF">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13.8 市场价格波动引起的调整</w:t>
      </w:r>
    </w:p>
    <w:p w14:paraId="5C86C2B7">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ascii="宋体" w:hAnsi="宋体" w:eastAsia="宋体" w:cs="宋体"/>
          <w:b w:val="0"/>
          <w:bCs w:val="0"/>
          <w:color w:val="auto"/>
          <w:kern w:val="2"/>
          <w:sz w:val="21"/>
          <w:szCs w:val="21"/>
          <w:highlight w:val="none"/>
          <w:lang w:val="en-US" w:eastAsia="zh-CN" w:bidi="ar-SA"/>
        </w:rPr>
      </w:pPr>
      <w:bookmarkStart w:id="899" w:name="_Toc54862345"/>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b w:val="0"/>
          <w:bCs w:val="0"/>
          <w:color w:val="auto"/>
          <w:kern w:val="2"/>
          <w:sz w:val="21"/>
          <w:szCs w:val="21"/>
          <w:highlight w:val="none"/>
          <w:lang w:val="en-US" w:eastAsia="zh-CN" w:bidi="ar-SA"/>
        </w:rPr>
        <w:t>3.8.2 关于是否采用《价格指数权重表》的约定：</w:t>
      </w:r>
      <w:r>
        <w:rPr>
          <w:rFonts w:hint="eastAsia" w:ascii="宋体" w:hAnsi="宋体" w:eastAsia="宋体" w:cs="宋体"/>
          <w:b w:val="0"/>
          <w:bCs w:val="0"/>
          <w:color w:val="auto"/>
          <w:kern w:val="2"/>
          <w:sz w:val="21"/>
          <w:szCs w:val="21"/>
          <w:highlight w:val="none"/>
          <w:u w:val="single"/>
          <w:lang w:val="en-US" w:eastAsia="zh-CN" w:bidi="ar-SA"/>
        </w:rPr>
        <w:t xml:space="preserve"> 不采用      </w:t>
      </w:r>
      <w:r>
        <w:rPr>
          <w:rFonts w:hint="eastAsia" w:ascii="宋体" w:hAnsi="宋体" w:eastAsia="宋体" w:cs="宋体"/>
          <w:b w:val="0"/>
          <w:bCs w:val="0"/>
          <w:color w:val="auto"/>
          <w:kern w:val="2"/>
          <w:sz w:val="21"/>
          <w:szCs w:val="21"/>
          <w:highlight w:val="none"/>
          <w:lang w:val="en-US" w:eastAsia="zh-CN" w:bidi="ar-SA"/>
        </w:rPr>
        <w:t xml:space="preserve"> 。</w:t>
      </w:r>
    </w:p>
    <w:p w14:paraId="7C461A3C">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default" w:ascii="宋体" w:hAnsi="宋体" w:eastAsia="宋体" w:cs="宋体"/>
          <w:b w:val="0"/>
          <w:bCs w:val="0"/>
          <w:color w:val="auto"/>
          <w:kern w:val="2"/>
          <w:sz w:val="21"/>
          <w:szCs w:val="21"/>
          <w:highlight w:val="none"/>
          <w:u w:val="single"/>
          <w:lang w:val="en-US" w:eastAsia="zh-CN" w:bidi="ar-SA"/>
        </w:rPr>
      </w:pPr>
      <w:r>
        <w:rPr>
          <w:rFonts w:hint="eastAsia" w:ascii="宋体" w:hAnsi="宋体" w:eastAsia="宋体" w:cs="宋体"/>
          <w:b w:val="0"/>
          <w:bCs w:val="0"/>
          <w:color w:val="auto"/>
          <w:kern w:val="2"/>
          <w:sz w:val="21"/>
          <w:szCs w:val="21"/>
          <w:highlight w:val="none"/>
          <w:lang w:val="en-US" w:eastAsia="zh-CN" w:bidi="ar-SA"/>
        </w:rPr>
        <w:t>13.8.3 关于采用其他方式调整合同价款的约定：</w:t>
      </w:r>
      <w:r>
        <w:rPr>
          <w:rFonts w:hint="eastAsia" w:ascii="宋体" w:hAnsi="宋体" w:eastAsia="宋体" w:cs="宋体"/>
          <w:b w:val="0"/>
          <w:bCs w:val="0"/>
          <w:color w:val="auto"/>
          <w:kern w:val="2"/>
          <w:sz w:val="21"/>
          <w:szCs w:val="21"/>
          <w:highlight w:val="none"/>
          <w:u w:val="single"/>
          <w:lang w:val="en-US" w:eastAsia="zh-CN" w:bidi="ar-SA"/>
        </w:rPr>
        <w:t>/</w:t>
      </w:r>
      <w:r>
        <w:rPr>
          <w:rFonts w:hint="eastAsia" w:ascii="宋体" w:hAnsi="宋体" w:eastAsia="宋体" w:cs="宋体"/>
          <w:b w:val="0"/>
          <w:bCs w:val="0"/>
          <w:color w:val="auto"/>
          <w:kern w:val="2"/>
          <w:sz w:val="21"/>
          <w:szCs w:val="21"/>
          <w:highlight w:val="none"/>
          <w:u w:val="none"/>
          <w:lang w:val="en-US" w:eastAsia="zh-CN" w:bidi="ar-SA"/>
        </w:rPr>
        <w:t>。</w:t>
      </w:r>
    </w:p>
    <w:p w14:paraId="496FC0F4">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cs="宋体"/>
          <w:bCs w:val="0"/>
          <w:color w:val="auto"/>
          <w:sz w:val="21"/>
          <w:szCs w:val="21"/>
          <w:highlight w:val="none"/>
        </w:rPr>
      </w:pPr>
      <w:r>
        <w:rPr>
          <w:rFonts w:hint="eastAsia" w:cs="宋体"/>
          <w:bCs w:val="0"/>
          <w:color w:val="auto"/>
          <w:sz w:val="21"/>
          <w:szCs w:val="21"/>
          <w:highlight w:val="none"/>
        </w:rPr>
        <w:t>第14条 合同价格与支付</w:t>
      </w:r>
      <w:bookmarkEnd w:id="899"/>
    </w:p>
    <w:p w14:paraId="4671633A">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14.1 合同价格形式</w:t>
      </w:r>
    </w:p>
    <w:p w14:paraId="1A63341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14.1.1 关于合同价格形式的约定：</w:t>
      </w:r>
      <w:r>
        <w:rPr>
          <w:rFonts w:hint="eastAsia" w:ascii="宋体" w:hAnsi="宋体" w:cs="宋体"/>
          <w:color w:val="auto"/>
          <w:szCs w:val="21"/>
          <w:highlight w:val="none"/>
          <w:u w:val="single"/>
        </w:rPr>
        <w:t xml:space="preserve">  固定单价合同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CEE3B2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14.1.2 关于合同价格调整的约定：</w:t>
      </w:r>
    </w:p>
    <w:p w14:paraId="478BBEAC">
      <w:pPr>
        <w:widowControl/>
        <w:tabs>
          <w:tab w:val="left" w:pos="220"/>
        </w:tabs>
        <w:adjustRightInd w:val="0"/>
        <w:snapToGrid w:val="0"/>
        <w:spacing w:line="440" w:lineRule="exact"/>
        <w:ind w:left="0" w:leftChars="0" w:right="250" w:rightChars="119" w:hanging="15" w:firstLineChars="0"/>
        <w:jc w:val="left"/>
        <w:rPr>
          <w:rFonts w:ascii="宋体" w:hAnsi="宋体" w:cs="宋体"/>
          <w:color w:val="auto"/>
          <w:szCs w:val="21"/>
          <w:highlight w:val="none"/>
        </w:rPr>
      </w:pPr>
      <w:r>
        <w:rPr>
          <w:rFonts w:hint="eastAsia" w:cs="宋体"/>
          <w:color w:val="auto"/>
          <w:szCs w:val="21"/>
          <w:highlight w:val="none"/>
        </w:rPr>
        <w:t>1、</w:t>
      </w:r>
      <w:r>
        <w:rPr>
          <w:rFonts w:ascii="宋体" w:hAnsi="宋体" w:cs="宋体"/>
          <w:color w:val="auto"/>
          <w:szCs w:val="21"/>
          <w:highlight w:val="none"/>
        </w:rPr>
        <w:t>工程量清单错误的修正</w:t>
      </w:r>
    </w:p>
    <w:p w14:paraId="3D43638F">
      <w:pPr>
        <w:widowControl/>
        <w:tabs>
          <w:tab w:val="left" w:pos="220"/>
        </w:tabs>
        <w:adjustRightInd w:val="0"/>
        <w:snapToGrid w:val="0"/>
        <w:spacing w:line="440" w:lineRule="exact"/>
        <w:ind w:left="0" w:leftChars="0" w:right="250" w:rightChars="119" w:hanging="15" w:firstLineChars="0"/>
        <w:jc w:val="left"/>
        <w:rPr>
          <w:rFonts w:ascii="宋体" w:hAnsi="宋体" w:cs="宋体"/>
          <w:color w:val="auto"/>
          <w:szCs w:val="21"/>
          <w:highlight w:val="none"/>
        </w:rPr>
      </w:pPr>
      <w:r>
        <w:rPr>
          <w:rFonts w:ascii="宋体" w:hAnsi="宋体" w:cs="宋体"/>
          <w:color w:val="auto"/>
          <w:szCs w:val="21"/>
          <w:highlight w:val="none"/>
        </w:rPr>
        <w:t>出现工程量清单错误时，是否调整合同价格：</w:t>
      </w:r>
      <w:r>
        <w:rPr>
          <w:rFonts w:ascii="宋体" w:hAnsi="宋体" w:cs="宋体"/>
          <w:color w:val="auto"/>
          <w:szCs w:val="21"/>
          <w:highlight w:val="none"/>
          <w:u w:val="single"/>
        </w:rPr>
        <w:t xml:space="preserve">  是，具体调整方式见下款  </w:t>
      </w:r>
      <w:r>
        <w:rPr>
          <w:rFonts w:ascii="宋体" w:hAnsi="宋体" w:cs="宋体"/>
          <w:color w:val="auto"/>
          <w:szCs w:val="21"/>
          <w:highlight w:val="none"/>
        </w:rPr>
        <w:t>。</w:t>
      </w:r>
    </w:p>
    <w:p w14:paraId="39C4CB85">
      <w:pPr>
        <w:widowControl/>
        <w:tabs>
          <w:tab w:val="left" w:pos="220"/>
        </w:tabs>
        <w:adjustRightInd w:val="0"/>
        <w:snapToGrid w:val="0"/>
        <w:spacing w:line="440" w:lineRule="exact"/>
        <w:ind w:left="0" w:leftChars="0" w:right="250" w:rightChars="119" w:hanging="15" w:firstLineChars="0"/>
        <w:jc w:val="left"/>
        <w:rPr>
          <w:rFonts w:hint="default" w:ascii="宋体" w:hAnsi="宋体" w:eastAsia="宋体" w:cs="宋体"/>
          <w:color w:val="auto"/>
          <w:szCs w:val="21"/>
          <w:highlight w:val="none"/>
          <w:u w:val="single"/>
          <w:lang w:val="en-US" w:eastAsia="zh-CN"/>
        </w:rPr>
      </w:pPr>
      <w:r>
        <w:rPr>
          <w:rFonts w:ascii="宋体" w:hAnsi="宋体" w:cs="宋体"/>
          <w:color w:val="auto"/>
          <w:szCs w:val="21"/>
          <w:highlight w:val="none"/>
        </w:rPr>
        <w:t>允许调整合同价格的工程量偏差范围：</w:t>
      </w:r>
      <w:r>
        <w:rPr>
          <w:rFonts w:hint="eastAsia" w:ascii="宋体" w:hAnsi="宋体" w:cs="宋体"/>
          <w:color w:val="auto"/>
          <w:szCs w:val="21"/>
          <w:highlight w:val="none"/>
          <w:u w:val="single"/>
          <w:lang w:val="en-US" w:eastAsia="zh-CN"/>
        </w:rPr>
        <w:t xml:space="preserve">承包人拒绝实施因此产生变化的施工内容或范围，将被视为违约，发包人视情节轻重给予违约处罚。结算时，工程量按实计算 </w:t>
      </w:r>
      <w:r>
        <w:rPr>
          <w:rFonts w:hint="eastAsia" w:ascii="宋体" w:hAnsi="宋体" w:cs="宋体"/>
          <w:color w:val="auto"/>
          <w:szCs w:val="21"/>
          <w:highlight w:val="none"/>
          <w:u w:val="single"/>
        </w:rPr>
        <w:t>。</w:t>
      </w:r>
    </w:p>
    <w:p w14:paraId="2D74E64A">
      <w:pPr>
        <w:widowControl/>
        <w:tabs>
          <w:tab w:val="left" w:pos="220"/>
        </w:tabs>
        <w:adjustRightInd w:val="0"/>
        <w:snapToGrid w:val="0"/>
        <w:spacing w:line="440" w:lineRule="exact"/>
        <w:ind w:left="0" w:leftChars="0" w:right="250" w:rightChars="119" w:hanging="15" w:firstLineChars="0"/>
        <w:jc w:val="left"/>
        <w:rPr>
          <w:rFonts w:ascii="宋体" w:hAnsi="宋体" w:cs="宋体"/>
          <w:color w:val="auto"/>
          <w:szCs w:val="21"/>
          <w:highlight w:val="none"/>
          <w:u w:val="single"/>
        </w:rPr>
      </w:pPr>
      <w:r>
        <w:rPr>
          <w:rFonts w:ascii="宋体" w:hAnsi="宋体" w:cs="宋体"/>
          <w:color w:val="auto"/>
          <w:szCs w:val="21"/>
          <w:highlight w:val="none"/>
        </w:rPr>
        <w:t>技术措施费调整：</w:t>
      </w:r>
      <w:r>
        <w:rPr>
          <w:rFonts w:ascii="宋体" w:hAnsi="宋体" w:cs="宋体"/>
          <w:color w:val="auto"/>
          <w:szCs w:val="21"/>
          <w:highlight w:val="none"/>
          <w:u w:val="single"/>
        </w:rPr>
        <w:t xml:space="preserve"> 因承包人改变施工技术措施，造成的价格变动，措施费不予调整。因工程量清单错误必须改变原来施工技术措施，造成价格变动的，措施费不予调整。</w:t>
      </w:r>
    </w:p>
    <w:p w14:paraId="5776EB98">
      <w:pPr>
        <w:widowControl/>
        <w:tabs>
          <w:tab w:val="left" w:pos="220"/>
        </w:tabs>
        <w:adjustRightInd w:val="0"/>
        <w:snapToGrid w:val="0"/>
        <w:spacing w:line="440" w:lineRule="exact"/>
        <w:ind w:left="0" w:leftChars="0" w:right="250" w:rightChars="119" w:hanging="15" w:firstLineChars="0"/>
        <w:jc w:val="left"/>
        <w:rPr>
          <w:rFonts w:ascii="宋体" w:hAnsi="宋体" w:cs="宋体"/>
          <w:color w:val="auto"/>
          <w:szCs w:val="21"/>
          <w:highlight w:val="none"/>
        </w:rPr>
      </w:pPr>
      <w:r>
        <w:rPr>
          <w:rFonts w:ascii="宋体" w:hAnsi="宋体" w:cs="宋体"/>
          <w:color w:val="auto"/>
          <w:szCs w:val="21"/>
          <w:highlight w:val="none"/>
        </w:rPr>
        <w:t>组织措施费调整：</w:t>
      </w:r>
      <w:r>
        <w:rPr>
          <w:rFonts w:ascii="宋体" w:hAnsi="宋体" w:cs="宋体"/>
          <w:color w:val="auto"/>
          <w:szCs w:val="21"/>
          <w:highlight w:val="none"/>
          <w:u w:val="single"/>
        </w:rPr>
        <w:t>按实调整</w:t>
      </w:r>
      <w:r>
        <w:rPr>
          <w:rFonts w:ascii="宋体" w:hAnsi="宋体" w:cs="宋体"/>
          <w:color w:val="auto"/>
          <w:szCs w:val="21"/>
          <w:highlight w:val="none"/>
        </w:rPr>
        <w:t>。</w:t>
      </w:r>
    </w:p>
    <w:p w14:paraId="4E5A9E3D">
      <w:pPr>
        <w:widowControl/>
        <w:numPr>
          <w:ilvl w:val="0"/>
          <w:numId w:val="3"/>
        </w:numPr>
        <w:tabs>
          <w:tab w:val="left" w:pos="220"/>
        </w:tabs>
        <w:adjustRightInd w:val="0"/>
        <w:snapToGrid w:val="0"/>
        <w:spacing w:line="440" w:lineRule="exact"/>
        <w:ind w:left="0" w:leftChars="0" w:right="250" w:rightChars="119" w:hanging="15" w:firstLineChars="0"/>
        <w:jc w:val="left"/>
        <w:rPr>
          <w:rFonts w:hint="eastAsia" w:cs="宋体"/>
          <w:color w:val="auto"/>
          <w:szCs w:val="21"/>
          <w:highlight w:val="none"/>
          <w:u w:val="single"/>
        </w:rPr>
      </w:pPr>
      <w:r>
        <w:rPr>
          <w:rFonts w:hint="eastAsia" w:ascii="宋体" w:hAnsi="宋体" w:cs="宋体"/>
          <w:color w:val="auto"/>
          <w:szCs w:val="21"/>
          <w:highlight w:val="none"/>
        </w:rPr>
        <w:t>市场价格波动引起的调整</w:t>
      </w:r>
      <w:r>
        <w:rPr>
          <w:rFonts w:hint="eastAsia" w:cs="宋体"/>
          <w:color w:val="auto"/>
          <w:szCs w:val="21"/>
          <w:highlight w:val="none"/>
        </w:rPr>
        <w:t>：</w:t>
      </w:r>
      <w:r>
        <w:rPr>
          <w:rFonts w:hint="eastAsia" w:cs="宋体"/>
          <w:color w:val="auto"/>
          <w:szCs w:val="21"/>
          <w:highlight w:val="none"/>
          <w:u w:val="single"/>
        </w:rPr>
        <w:t>详见第13.8款内容。</w:t>
      </w:r>
    </w:p>
    <w:p w14:paraId="3A9C9404">
      <w:pPr>
        <w:widowControl/>
        <w:numPr>
          <w:ilvl w:val="0"/>
          <w:numId w:val="3"/>
        </w:numPr>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风险费用的计算方法：</w:t>
      </w:r>
      <w:r>
        <w:rPr>
          <w:rFonts w:hint="eastAsia" w:ascii="宋体" w:hAnsi="宋体" w:cs="宋体"/>
          <w:color w:val="auto"/>
          <w:szCs w:val="21"/>
          <w:highlight w:val="none"/>
          <w:u w:val="single"/>
        </w:rPr>
        <w:t xml:space="preserve"> 不考虑  </w:t>
      </w:r>
      <w:r>
        <w:rPr>
          <w:rFonts w:hint="eastAsia" w:cs="宋体"/>
          <w:color w:val="auto"/>
          <w:szCs w:val="21"/>
          <w:highlight w:val="none"/>
          <w:u w:val="single"/>
        </w:rPr>
        <w:t>。</w:t>
      </w:r>
    </w:p>
    <w:p w14:paraId="3CECBBF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b w:val="0"/>
          <w:bCs w:val="0"/>
          <w:color w:val="auto"/>
          <w:szCs w:val="21"/>
          <w:highlight w:val="none"/>
        </w:rPr>
        <w:t>14.1.3 按实际完成的工程量支付工程价款的计量方法、估价方法：</w:t>
      </w:r>
      <w:r>
        <w:rPr>
          <w:rFonts w:hint="eastAsia"/>
          <w:color w:val="auto"/>
          <w:highlight w:val="none"/>
          <w:u w:val="single"/>
        </w:rPr>
        <w:t>因招标人指令引起工程量的增减或变更，按实结算。</w:t>
      </w:r>
    </w:p>
    <w:p w14:paraId="74D0FB1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14.2 预付款</w:t>
      </w:r>
    </w:p>
    <w:p w14:paraId="3C06F3C1">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14.2.1 预付款支付</w:t>
      </w:r>
    </w:p>
    <w:p w14:paraId="185A0763">
      <w:pPr>
        <w:widowControl/>
        <w:tabs>
          <w:tab w:val="left" w:pos="220"/>
        </w:tabs>
        <w:adjustRightInd w:val="0"/>
        <w:snapToGrid w:val="0"/>
        <w:spacing w:line="440" w:lineRule="exact"/>
        <w:ind w:left="0" w:leftChars="0" w:right="-313" w:rightChars="-14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预付款支付比例或金额：合同总价（扣除暂列金额）的10%。</w:t>
      </w:r>
    </w:p>
    <w:p w14:paraId="0949519B">
      <w:pPr>
        <w:widowControl/>
        <w:tabs>
          <w:tab w:val="left" w:pos="220"/>
        </w:tabs>
        <w:adjustRightInd w:val="0"/>
        <w:snapToGrid w:val="0"/>
        <w:spacing w:line="440" w:lineRule="exact"/>
        <w:ind w:left="0" w:leftChars="0" w:right="-313" w:rightChars="-14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预付款支付期限：在具备施工条件的前提下，发包人在合同签订后一个月内或不迟于约定的开工日期前 7 天内预付工程款。</w:t>
      </w:r>
    </w:p>
    <w:p w14:paraId="0B26371D">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预付款扣回的方式：在支付工程进度款中按比例扣除，扣完为止。</w:t>
      </w:r>
    </w:p>
    <w:p w14:paraId="6C2AD8A6">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14.2.2预付款担保</w:t>
      </w:r>
    </w:p>
    <w:p w14:paraId="0965D4D3">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提供预付款担保期限：</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68E96A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预付款担保形式：</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0ABE7D4">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14.3 工程进度款</w:t>
      </w:r>
    </w:p>
    <w:p w14:paraId="3507A4D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14.3.1 工程进度付款申请</w:t>
      </w:r>
    </w:p>
    <w:p w14:paraId="37D9F38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工程进度付款申请方式：</w:t>
      </w:r>
      <w:r>
        <w:rPr>
          <w:rFonts w:hint="eastAsia" w:cs="宋体"/>
          <w:color w:val="auto"/>
          <w:szCs w:val="21"/>
          <w:highlight w:val="none"/>
          <w:u w:val="single"/>
        </w:rPr>
        <w:t>详见支付方式</w:t>
      </w:r>
      <w:r>
        <w:rPr>
          <w:rFonts w:hint="eastAsia" w:ascii="宋体" w:hAnsi="宋体" w:cs="宋体"/>
          <w:color w:val="auto"/>
          <w:szCs w:val="21"/>
          <w:highlight w:val="none"/>
          <w:u w:val="single"/>
        </w:rPr>
        <w:t xml:space="preserve"> 。</w:t>
      </w:r>
    </w:p>
    <w:p w14:paraId="723DAE5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承包人提交进度付款申请单的格式、内容、份数和时间：</w:t>
      </w:r>
      <w:r>
        <w:rPr>
          <w:rFonts w:hint="eastAsia" w:ascii="宋体" w:hAnsi="宋体" w:cs="宋体"/>
          <w:color w:val="auto"/>
          <w:szCs w:val="21"/>
          <w:highlight w:val="none"/>
          <w:u w:val="single"/>
        </w:rPr>
        <w:t>执行发包人统一内容格式 。</w:t>
      </w:r>
    </w:p>
    <w:p w14:paraId="499A6992">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进度付款申请单应包括的内容：</w:t>
      </w:r>
      <w:r>
        <w:rPr>
          <w:rFonts w:hint="eastAsia" w:ascii="宋体" w:hAnsi="宋体" w:cs="宋体"/>
          <w:color w:val="auto"/>
          <w:szCs w:val="21"/>
          <w:highlight w:val="none"/>
          <w:u w:val="single"/>
        </w:rPr>
        <w:t xml:space="preserve">  执行发包人统一内容格式    。</w:t>
      </w:r>
    </w:p>
    <w:p w14:paraId="497D0F2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14.3.2 进度付款审核和支付</w:t>
      </w:r>
    </w:p>
    <w:p w14:paraId="7A08D0B4">
      <w:pPr>
        <w:widowControl/>
        <w:tabs>
          <w:tab w:val="left" w:pos="220"/>
        </w:tabs>
        <w:adjustRightInd w:val="0"/>
        <w:snapToGrid w:val="0"/>
        <w:spacing w:line="440" w:lineRule="exact"/>
        <w:ind w:left="0" w:leftChars="0" w:right="-313" w:rightChars="-149" w:hanging="15" w:firstLineChars="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在具备施工条件的前提下，发包人在合同签订后一个月内或不迟于约定的开工日期前 7 天内预付工程款为合同总价（扣除暂列金额）的10%；完成全容量并网支付至合同总价（扣除暂列金额）的50%；工程竣工验收结算审核完成并经复核后付至复核价款的</w:t>
      </w:r>
      <w:r>
        <w:rPr>
          <w:rFonts w:hint="default" w:ascii="宋体" w:hAnsi="宋体" w:eastAsia="宋体" w:cs="宋体"/>
          <w:color w:val="auto"/>
          <w:szCs w:val="21"/>
          <w:highlight w:val="none"/>
          <w:lang w:val="en-US" w:eastAsia="zh-CN"/>
        </w:rPr>
        <w:t>9</w:t>
      </w:r>
      <w:r>
        <w:rPr>
          <w:rFonts w:hint="eastAsia" w:ascii="宋体" w:hAnsi="宋体" w:cs="宋体"/>
          <w:color w:val="auto"/>
          <w:szCs w:val="21"/>
          <w:highlight w:val="none"/>
          <w:lang w:val="en-US" w:eastAsia="zh-CN"/>
        </w:rPr>
        <w:t>7</w:t>
      </w:r>
      <w:r>
        <w:rPr>
          <w:rFonts w:hint="default"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val="en-US" w:eastAsia="zh-CN"/>
        </w:rPr>
        <w:t>；剩余</w:t>
      </w:r>
      <w:r>
        <w:rPr>
          <w:rFonts w:hint="eastAsia" w:ascii="宋体" w:hAnsi="宋体" w:cs="宋体"/>
          <w:color w:val="auto"/>
          <w:szCs w:val="21"/>
          <w:highlight w:val="none"/>
          <w:lang w:val="en-US" w:eastAsia="zh-CN"/>
        </w:rPr>
        <w:t>3</w:t>
      </w:r>
      <w:r>
        <w:rPr>
          <w:rFonts w:hint="default"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val="en-US" w:eastAsia="zh-CN"/>
        </w:rPr>
        <w:t xml:space="preserve">作为质保金，工程缺陷责任期 </w:t>
      </w:r>
      <w:r>
        <w:rPr>
          <w:rFonts w:hint="default"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val="en-US" w:eastAsia="zh-CN"/>
        </w:rPr>
        <w:t>自竣工验收合格之日起满2年</w:t>
      </w:r>
      <w:r>
        <w:rPr>
          <w:rFonts w:hint="default"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val="en-US" w:eastAsia="zh-CN"/>
        </w:rPr>
        <w:t>满后付清余款。质量保证金支持保函（银行保函）使用。采用保函的不再从工程进度款中扣留质量保证金，保函有效期须与工程缺陷责任期截止时间保持一致。</w:t>
      </w:r>
    </w:p>
    <w:p w14:paraId="53A51D8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发包人应在进度款支付证书或临时进度款支付证书签发后的</w:t>
      </w:r>
      <w:r>
        <w:rPr>
          <w:rFonts w:hint="eastAsia" w:ascii="宋体" w:hAnsi="宋体" w:cs="宋体"/>
          <w:color w:val="auto"/>
          <w:szCs w:val="21"/>
          <w:highlight w:val="none"/>
          <w:u w:val="single"/>
        </w:rPr>
        <w:t xml:space="preserve"> </w:t>
      </w:r>
      <w:r>
        <w:rPr>
          <w:rFonts w:hint="eastAsia" w:cs="宋体"/>
          <w:color w:val="auto"/>
          <w:szCs w:val="21"/>
          <w:highlight w:val="none"/>
          <w:u w:val="single"/>
          <w:lang w:val="en-US" w:eastAsia="zh-CN"/>
        </w:rPr>
        <w:t xml:space="preserve"> </w:t>
      </w:r>
      <w:r>
        <w:rPr>
          <w:rFonts w:hint="eastAsia" w:cs="宋体"/>
          <w:color w:val="auto"/>
          <w:szCs w:val="21"/>
          <w:highlight w:val="none"/>
          <w:u w:val="single"/>
        </w:rPr>
        <w:t>发票送达7</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天内完成支付，发包人逾期支付进度款的，应按照</w:t>
      </w:r>
      <w:r>
        <w:rPr>
          <w:rFonts w:hint="eastAsia" w:ascii="宋体" w:hAnsi="宋体" w:cs="宋体"/>
          <w:color w:val="auto"/>
          <w:szCs w:val="21"/>
          <w:highlight w:val="none"/>
          <w:u w:val="single"/>
        </w:rPr>
        <w:t xml:space="preserve">  不采用  </w:t>
      </w:r>
      <w:r>
        <w:rPr>
          <w:rFonts w:hint="eastAsia" w:ascii="宋体" w:hAnsi="宋体" w:cs="宋体"/>
          <w:color w:val="auto"/>
          <w:szCs w:val="21"/>
          <w:highlight w:val="none"/>
        </w:rPr>
        <w:t>支付违约金。</w:t>
      </w:r>
    </w:p>
    <w:p w14:paraId="74365FB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14.4 付款计划表</w:t>
      </w:r>
    </w:p>
    <w:p w14:paraId="0936CBDF">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14.4.1 付款计划表的编制要求：</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执行发包人统一内容格式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80B40AD">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14.4.2 付款计划表的编制与审批</w:t>
      </w:r>
    </w:p>
    <w:p w14:paraId="58C50F7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付款计划表的编制：</w:t>
      </w:r>
      <w:r>
        <w:rPr>
          <w:rFonts w:hint="eastAsia" w:ascii="宋体" w:hAnsi="宋体" w:cs="宋体"/>
          <w:color w:val="auto"/>
          <w:szCs w:val="21"/>
          <w:highlight w:val="none"/>
          <w:u w:val="single"/>
        </w:rPr>
        <w:t xml:space="preserve">    不采用        </w:t>
      </w:r>
      <w:r>
        <w:rPr>
          <w:rFonts w:hint="eastAsia" w:ascii="宋体" w:hAnsi="宋体" w:cs="宋体"/>
          <w:color w:val="auto"/>
          <w:szCs w:val="21"/>
          <w:highlight w:val="none"/>
        </w:rPr>
        <w:t>。</w:t>
      </w:r>
    </w:p>
    <w:p w14:paraId="1682F0BD">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14.5 竣工结算</w:t>
      </w:r>
    </w:p>
    <w:p w14:paraId="0E71D1CF">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14.5.1 竣工结算申请</w:t>
      </w:r>
    </w:p>
    <w:p w14:paraId="51A76644">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承包人提交竣工结算申请的时间：</w:t>
      </w:r>
      <w:r>
        <w:rPr>
          <w:rFonts w:hint="eastAsia" w:ascii="宋体" w:hAnsi="宋体" w:cs="宋体"/>
          <w:color w:val="auto"/>
          <w:szCs w:val="21"/>
          <w:highlight w:val="none"/>
          <w:u w:val="single"/>
        </w:rPr>
        <w:t>承包人须于竣工验收合格后60日内完成竣工结算报告和完整结算资料上报，特殊情况，经分管领导批准的可以延长。凡因承包人原因，未能在规定时间内上报竣工结算的，处罚5000元/月的违约金。情节严重的，招标人有权按已有资料或按已付款报审计部门办理结算。</w:t>
      </w:r>
    </w:p>
    <w:p w14:paraId="29C4B40F">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竣工结算申请的资料清单和份数：</w:t>
      </w:r>
      <w:r>
        <w:rPr>
          <w:rFonts w:hint="eastAsia" w:ascii="宋体" w:hAnsi="宋体" w:cs="宋体"/>
          <w:color w:val="auto"/>
          <w:szCs w:val="21"/>
          <w:highlight w:val="none"/>
          <w:u w:val="single"/>
        </w:rPr>
        <w:t xml:space="preserve"> 执行发包人统一内容格式  </w:t>
      </w:r>
      <w:r>
        <w:rPr>
          <w:rFonts w:hint="eastAsia" w:ascii="宋体" w:hAnsi="宋体" w:cs="宋体"/>
          <w:color w:val="auto"/>
          <w:szCs w:val="21"/>
          <w:highlight w:val="none"/>
        </w:rPr>
        <w:t>。</w:t>
      </w:r>
    </w:p>
    <w:p w14:paraId="7549827D">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竣工结算申请单的内容应包括：</w:t>
      </w:r>
      <w:r>
        <w:rPr>
          <w:rFonts w:hint="eastAsia" w:ascii="宋体" w:hAnsi="宋体" w:cs="宋体"/>
          <w:color w:val="auto"/>
          <w:szCs w:val="21"/>
          <w:highlight w:val="none"/>
          <w:u w:val="single"/>
        </w:rPr>
        <w:t xml:space="preserve">  执行发包人统一内容格式  </w:t>
      </w:r>
      <w:r>
        <w:rPr>
          <w:rFonts w:hint="eastAsia" w:ascii="宋体" w:hAnsi="宋体" w:cs="宋体"/>
          <w:color w:val="auto"/>
          <w:szCs w:val="21"/>
          <w:highlight w:val="none"/>
        </w:rPr>
        <w:t>。</w:t>
      </w:r>
    </w:p>
    <w:p w14:paraId="21D96D72">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14.5.2 竣工结算审核</w:t>
      </w:r>
    </w:p>
    <w:p w14:paraId="069FDF96">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发包人审批竣工付款申请单的期限：</w:t>
      </w:r>
      <w:r>
        <w:rPr>
          <w:rFonts w:hint="eastAsia" w:ascii="宋体" w:hAnsi="宋体" w:cs="宋体"/>
          <w:color w:val="auto"/>
          <w:szCs w:val="21"/>
          <w:highlight w:val="none"/>
          <w:u w:val="single"/>
        </w:rPr>
        <w:t xml:space="preserve"> 经审计部门审核确认后7天内完成审批并签发结算款支付证书。</w:t>
      </w:r>
    </w:p>
    <w:p w14:paraId="5FC2318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发包人完成竣工付款的期限：</w:t>
      </w:r>
      <w:r>
        <w:rPr>
          <w:rFonts w:hint="eastAsia" w:ascii="宋体" w:hAnsi="宋体" w:cs="宋体"/>
          <w:color w:val="auto"/>
          <w:szCs w:val="21"/>
          <w:highlight w:val="none"/>
          <w:u w:val="single"/>
        </w:rPr>
        <w:t xml:space="preserve">  发包人在发票送达一周内完成支付 </w:t>
      </w:r>
      <w:r>
        <w:rPr>
          <w:rFonts w:hint="eastAsia" w:ascii="宋体" w:hAnsi="宋体" w:cs="宋体"/>
          <w:color w:val="auto"/>
          <w:szCs w:val="21"/>
          <w:highlight w:val="none"/>
        </w:rPr>
        <w:t>。</w:t>
      </w:r>
    </w:p>
    <w:p w14:paraId="593FB8F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关于竣工付款证书异议部分复核的方式和程序：</w:t>
      </w:r>
      <w:r>
        <w:rPr>
          <w:rFonts w:hint="eastAsia" w:ascii="宋体" w:hAnsi="宋体" w:cs="宋体"/>
          <w:color w:val="auto"/>
          <w:szCs w:val="21"/>
          <w:highlight w:val="none"/>
          <w:u w:val="single"/>
        </w:rPr>
        <w:t xml:space="preserve">   按照第20条〔争议解决〕约定处理   </w:t>
      </w:r>
      <w:r>
        <w:rPr>
          <w:rFonts w:hint="eastAsia" w:ascii="宋体" w:hAnsi="宋体" w:cs="宋体"/>
          <w:color w:val="auto"/>
          <w:szCs w:val="21"/>
          <w:highlight w:val="none"/>
        </w:rPr>
        <w:t>。</w:t>
      </w:r>
    </w:p>
    <w:p w14:paraId="45F84C8F">
      <w:pPr>
        <w:widowControl/>
        <w:tabs>
          <w:tab w:val="left" w:pos="220"/>
        </w:tabs>
        <w:adjustRightInd w:val="0"/>
        <w:snapToGrid w:val="0"/>
        <w:spacing w:line="440" w:lineRule="exact"/>
        <w:ind w:right="250" w:rightChars="119"/>
        <w:jc w:val="lef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工程造价</w:t>
      </w:r>
      <w:r>
        <w:rPr>
          <w:rFonts w:hint="eastAsia" w:ascii="宋体" w:hAnsi="宋体" w:eastAsia="宋体" w:cs="宋体"/>
          <w:b w:val="0"/>
          <w:bCs w:val="0"/>
          <w:color w:val="auto"/>
          <w:szCs w:val="21"/>
          <w:highlight w:val="none"/>
        </w:rPr>
        <w:t>审减率超过</w:t>
      </w:r>
      <w:r>
        <w:rPr>
          <w:rFonts w:hint="eastAsia" w:ascii="宋体" w:hAnsi="宋体" w:eastAsia="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时</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将对施工单位进行处罚，处罚金额为超出部分的</w:t>
      </w:r>
      <w:r>
        <w:rPr>
          <w:rFonts w:hint="eastAsia" w:ascii="宋体" w:hAnsi="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rPr>
        <w:t>。</w:t>
      </w:r>
      <w:r>
        <w:rPr>
          <w:rFonts w:hint="default" w:ascii="Times New Roman" w:hAnsi="Times New Roman" w:eastAsia="宋体" w:cs="Times New Roman"/>
          <w:b w:val="0"/>
          <w:bCs w:val="0"/>
          <w:color w:val="auto"/>
          <w:highlight w:val="none"/>
          <w:lang w:val="en-US" w:eastAsia="zh-CN"/>
        </w:rPr>
        <w:t>项目结算付款单位根据审计结果将此部分费用缴纳至指定账户，不提供票据。</w:t>
      </w:r>
      <w:r>
        <w:rPr>
          <w:rFonts w:hint="eastAsia" w:ascii="Times New Roman" w:hAnsi="Times New Roman" w:eastAsia="宋体" w:cs="Times New Roman"/>
          <w:b w:val="0"/>
          <w:bCs w:val="0"/>
          <w:color w:val="auto"/>
          <w:highlight w:val="none"/>
          <w:lang w:val="en-US" w:eastAsia="zh-CN"/>
        </w:rPr>
        <w:t>另外扣减结算费用。</w:t>
      </w:r>
    </w:p>
    <w:p w14:paraId="67752DA4">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14.6 质量保证金</w:t>
      </w:r>
    </w:p>
    <w:p w14:paraId="4F7675B9">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14.6 质量保证金（质量保证金支持保函使用）</w:t>
      </w:r>
    </w:p>
    <w:p w14:paraId="3CE01B25">
      <w:pPr>
        <w:spacing w:line="44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14.6.1 承包人提供质量保证金的方式</w:t>
      </w:r>
    </w:p>
    <w:p w14:paraId="636BBABA">
      <w:pPr>
        <w:spacing w:line="44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质量保证金采用以下第</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种方式：</w:t>
      </w:r>
    </w:p>
    <w:p w14:paraId="128CD92F">
      <w:pPr>
        <w:spacing w:line="44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工程质量保证担保，保证金额为：</w:t>
      </w:r>
      <w:r>
        <w:rPr>
          <w:rFonts w:hint="eastAsia" w:ascii="宋体" w:hAnsi="宋体" w:eastAsia="宋体" w:cs="宋体"/>
          <w:color w:val="auto"/>
          <w:szCs w:val="21"/>
          <w:highlight w:val="none"/>
          <w:u w:val="single"/>
        </w:rPr>
        <w:t>2%的工程款</w:t>
      </w:r>
      <w:r>
        <w:rPr>
          <w:rFonts w:hint="eastAsia" w:ascii="宋体" w:hAnsi="宋体" w:eastAsia="宋体" w:cs="宋体"/>
          <w:color w:val="auto"/>
          <w:szCs w:val="21"/>
          <w:highlight w:val="none"/>
        </w:rPr>
        <w:t>；</w:t>
      </w:r>
    </w:p>
    <w:p w14:paraId="60ADB9E2">
      <w:pPr>
        <w:spacing w:line="44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u w:val="single"/>
          <w:lang w:val="en-US" w:eastAsia="zh-CN"/>
        </w:rPr>
        <w:t>2</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rPr>
        <w:t>的工程款；</w:t>
      </w:r>
    </w:p>
    <w:p w14:paraId="5FC285B9">
      <w:pPr>
        <w:spacing w:line="44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其他方式：</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p>
    <w:p w14:paraId="7A9926C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14.6.2 质量保证金的预留</w:t>
      </w:r>
    </w:p>
    <w:p w14:paraId="4D79BC92">
      <w:pPr>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质量保证金的扣留采取以下方式：</w:t>
      </w:r>
    </w:p>
    <w:p w14:paraId="512EFF73">
      <w:pPr>
        <w:widowControl/>
        <w:adjustRightInd w:val="0"/>
        <w:snapToGrid w:val="0"/>
        <w:spacing w:line="440" w:lineRule="exact"/>
        <w:ind w:right="-307" w:rightChars="-146"/>
        <w:jc w:val="left"/>
        <w:rPr>
          <w:rFonts w:hint="eastAsia" w:ascii="宋体" w:hAnsi="宋体" w:cs="宋体"/>
          <w:color w:val="auto"/>
          <w:szCs w:val="21"/>
          <w:highlight w:val="none"/>
        </w:rPr>
      </w:pPr>
      <w:r>
        <w:rPr>
          <w:rFonts w:hint="eastAsia" w:ascii="宋体" w:hAnsi="宋体" w:cs="宋体"/>
          <w:color w:val="auto"/>
          <w:szCs w:val="21"/>
          <w:highlight w:val="none"/>
        </w:rPr>
        <w:t>(1) 在支付工程进度款时逐次扣留，在此情形下，质量保证金的计算基数不包括预付款的支付、扣回以及价格调整的金额；</w:t>
      </w:r>
    </w:p>
    <w:p w14:paraId="0457FEDD">
      <w:pPr>
        <w:widowControl/>
        <w:adjustRightInd w:val="0"/>
        <w:snapToGrid w:val="0"/>
        <w:spacing w:line="440" w:lineRule="exact"/>
        <w:ind w:right="-307" w:rightChars="-146"/>
        <w:jc w:val="left"/>
        <w:rPr>
          <w:rFonts w:hint="eastAsia" w:ascii="宋体" w:hAnsi="宋体" w:cs="宋体"/>
          <w:color w:val="auto"/>
          <w:szCs w:val="21"/>
          <w:highlight w:val="none"/>
        </w:rPr>
      </w:pPr>
      <w:r>
        <w:rPr>
          <w:rFonts w:hint="eastAsia" w:ascii="宋体" w:hAnsi="宋体" w:cs="宋体"/>
          <w:color w:val="auto"/>
          <w:szCs w:val="21"/>
          <w:highlight w:val="none"/>
        </w:rPr>
        <w:t>(2) 工程竣工结算时一次性扣留质量保证金；</w:t>
      </w:r>
    </w:p>
    <w:p w14:paraId="7F02A33B">
      <w:pPr>
        <w:widowControl/>
        <w:adjustRightInd w:val="0"/>
        <w:snapToGrid w:val="0"/>
        <w:spacing w:line="440" w:lineRule="exact"/>
        <w:ind w:right="-307" w:rightChars="-146"/>
        <w:jc w:val="left"/>
        <w:rPr>
          <w:rFonts w:hint="eastAsia" w:ascii="宋体" w:hAnsi="宋体" w:cs="宋体"/>
          <w:color w:val="auto"/>
          <w:szCs w:val="21"/>
          <w:highlight w:val="none"/>
        </w:rPr>
      </w:pPr>
      <w:r>
        <w:rPr>
          <w:rFonts w:hint="eastAsia" w:ascii="宋体" w:hAnsi="宋体" w:cs="宋体"/>
          <w:color w:val="auto"/>
          <w:szCs w:val="21"/>
          <w:highlight w:val="none"/>
        </w:rPr>
        <w:t xml:space="preserve">(3) 其他预留方式: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8D5395D">
      <w:pPr>
        <w:widowControl/>
        <w:adjustRightInd w:val="0"/>
        <w:snapToGrid w:val="0"/>
        <w:spacing w:line="440" w:lineRule="exact"/>
        <w:ind w:right="-307" w:rightChars="-146"/>
        <w:jc w:val="left"/>
        <w:rPr>
          <w:rFonts w:hint="eastAsia" w:cs="宋体"/>
          <w:color w:val="auto"/>
          <w:szCs w:val="21"/>
          <w:highlight w:val="none"/>
          <w:u w:val="single"/>
        </w:rPr>
      </w:pPr>
      <w:r>
        <w:rPr>
          <w:rFonts w:hint="eastAsia" w:ascii="宋体" w:hAnsi="宋体" w:cs="宋体"/>
          <w:color w:val="auto"/>
          <w:szCs w:val="21"/>
          <w:highlight w:val="none"/>
        </w:rPr>
        <w:t>关于质量保证金的补充约定：</w:t>
      </w:r>
      <w:r>
        <w:rPr>
          <w:rFonts w:hint="eastAsia" w:ascii="宋体" w:hAnsi="宋体" w:cs="宋体"/>
          <w:color w:val="auto"/>
          <w:kern w:val="0"/>
          <w:highlight w:val="none"/>
          <w:u w:val="single"/>
        </w:rPr>
        <w:t>质量保证金支持保函（银行保函）使用。采用保函的，保函有效期须与缺陷责任期截止时间保持一致</w:t>
      </w:r>
      <w:r>
        <w:rPr>
          <w:rFonts w:hint="eastAsia" w:cs="宋体"/>
          <w:color w:val="auto"/>
          <w:szCs w:val="21"/>
          <w:highlight w:val="none"/>
          <w:u w:val="single"/>
        </w:rPr>
        <w:t>。</w:t>
      </w:r>
    </w:p>
    <w:p w14:paraId="3643267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14.7 最终结清</w:t>
      </w:r>
    </w:p>
    <w:p w14:paraId="3EE96E4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14.7.1 最终结清申请单</w:t>
      </w:r>
    </w:p>
    <w:p w14:paraId="1717BB4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当事人双方关于最终结清申请的其他约定：</w:t>
      </w:r>
      <w:r>
        <w:rPr>
          <w:rFonts w:hint="eastAsia" w:ascii="宋体" w:hAnsi="宋体" w:cs="宋体"/>
          <w:color w:val="auto"/>
          <w:szCs w:val="21"/>
          <w:highlight w:val="none"/>
          <w:u w:val="single"/>
        </w:rPr>
        <w:t xml:space="preserve">缺陷责任期满经回访合格后7天内承包人提交最终结算申请单 </w:t>
      </w:r>
      <w:r>
        <w:rPr>
          <w:rFonts w:hint="eastAsia" w:ascii="宋体" w:hAnsi="宋体" w:cs="宋体"/>
          <w:color w:val="auto"/>
          <w:szCs w:val="21"/>
          <w:highlight w:val="none"/>
        </w:rPr>
        <w:t>。</w:t>
      </w:r>
    </w:p>
    <w:p w14:paraId="6769C06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14.7.2 最终结清证书和支付</w:t>
      </w:r>
    </w:p>
    <w:p w14:paraId="26CB421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当事人双方关于最终结清支付的其他约定：</w:t>
      </w:r>
      <w:r>
        <w:rPr>
          <w:rFonts w:hint="eastAsia" w:ascii="宋体" w:hAnsi="宋体" w:cs="宋体"/>
          <w:color w:val="auto"/>
          <w:szCs w:val="21"/>
          <w:highlight w:val="none"/>
          <w:u w:val="single"/>
        </w:rPr>
        <w:t xml:space="preserve"> 缺陷责任期满经回访合格后14天内发包人完成最终结清申请单的审批并颁发最终结清证书。发包人在发票送达一周内完成支付 。</w:t>
      </w:r>
    </w:p>
    <w:p w14:paraId="7C06B0F4">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cs="宋体"/>
          <w:bCs w:val="0"/>
          <w:color w:val="auto"/>
          <w:sz w:val="21"/>
          <w:szCs w:val="21"/>
          <w:highlight w:val="none"/>
        </w:rPr>
      </w:pPr>
      <w:bookmarkStart w:id="900" w:name="_Toc54862346"/>
      <w:r>
        <w:rPr>
          <w:rFonts w:hint="eastAsia" w:cs="宋体"/>
          <w:bCs w:val="0"/>
          <w:color w:val="auto"/>
          <w:sz w:val="21"/>
          <w:szCs w:val="21"/>
          <w:highlight w:val="none"/>
        </w:rPr>
        <w:t>第15条 违约</w:t>
      </w:r>
      <w:bookmarkEnd w:id="900"/>
    </w:p>
    <w:p w14:paraId="6CA0BEA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15.1 发包人违约</w:t>
      </w:r>
    </w:p>
    <w:p w14:paraId="33AE09C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15.1.1 发包人违约的情形</w:t>
      </w:r>
    </w:p>
    <w:p w14:paraId="5143BC1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发包人违约的其他情形</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无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D43752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15.1.3 发包人违约的责任</w:t>
      </w:r>
    </w:p>
    <w:p w14:paraId="67131CE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发包人违约责任的承担方式和计算方法：</w:t>
      </w:r>
    </w:p>
    <w:p w14:paraId="50609A9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（1）因发包人原因未能在计划开工日期前7天内下达开工通知的违约责任：</w:t>
      </w:r>
      <w:r>
        <w:rPr>
          <w:rFonts w:hint="eastAsia" w:ascii="宋体" w:hAnsi="宋体" w:cs="宋体"/>
          <w:color w:val="auto"/>
          <w:szCs w:val="21"/>
          <w:highlight w:val="none"/>
          <w:u w:val="single"/>
        </w:rPr>
        <w:t xml:space="preserve"> 对工期造成影响的可顺延工期  。</w:t>
      </w:r>
    </w:p>
    <w:p w14:paraId="1CBD44ED">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（2）因发包人原因未能按合同约定支付合同价款的违约责任：</w:t>
      </w:r>
      <w:r>
        <w:rPr>
          <w:rFonts w:hint="eastAsia" w:ascii="宋体" w:hAnsi="宋体" w:cs="宋体"/>
          <w:color w:val="auto"/>
          <w:szCs w:val="21"/>
          <w:highlight w:val="none"/>
          <w:u w:val="single"/>
        </w:rPr>
        <w:t xml:space="preserve"> 可按照中国人民银行发布的同期同类贷款基准利率支付违约金。</w:t>
      </w:r>
    </w:p>
    <w:p w14:paraId="0BC5FDD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（3）发包人违反“取消合同中任何工作，但转由他人实施的工作除外”约定，自行实施被取消的工作或转由他人实施的违约责任：</w:t>
      </w:r>
      <w:r>
        <w:rPr>
          <w:rFonts w:hint="eastAsia" w:ascii="宋体" w:hAnsi="宋体" w:cs="宋体"/>
          <w:color w:val="auto"/>
          <w:szCs w:val="21"/>
          <w:highlight w:val="none"/>
          <w:u w:val="single"/>
        </w:rPr>
        <w:t xml:space="preserve">发包人可追加与被取消的工作造价相当的额外工作做为补偿   </w:t>
      </w:r>
      <w:r>
        <w:rPr>
          <w:rFonts w:hint="eastAsia" w:ascii="宋体" w:hAnsi="宋体" w:cs="宋体"/>
          <w:color w:val="auto"/>
          <w:szCs w:val="21"/>
          <w:highlight w:val="none"/>
        </w:rPr>
        <w:t>。</w:t>
      </w:r>
    </w:p>
    <w:p w14:paraId="3F54924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（4）发包人提供的材料、工程设备的规格、数量或质量不符合合同约定，或因发包人原因导致交货日期延误或交货地点变更等情况的违约责任：</w:t>
      </w:r>
      <w:r>
        <w:rPr>
          <w:rFonts w:hint="eastAsia" w:ascii="宋体" w:hAnsi="宋体" w:cs="宋体"/>
          <w:color w:val="auto"/>
          <w:szCs w:val="21"/>
          <w:highlight w:val="none"/>
          <w:u w:val="single"/>
        </w:rPr>
        <w:t>发包人可补足或更换材料、工程设备；对工期造成延误的可以顺延；增加承包人成本的可予以补偿  。</w:t>
      </w:r>
    </w:p>
    <w:p w14:paraId="51AAE72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（5）因发包人违反合同约定造成暂停施工的违约责任：</w:t>
      </w:r>
      <w:r>
        <w:rPr>
          <w:rFonts w:hint="eastAsia" w:ascii="宋体" w:hAnsi="宋体" w:cs="宋体"/>
          <w:color w:val="auto"/>
          <w:szCs w:val="21"/>
          <w:highlight w:val="none"/>
          <w:u w:val="single"/>
        </w:rPr>
        <w:t xml:space="preserve">  可顺延工期  </w:t>
      </w:r>
      <w:r>
        <w:rPr>
          <w:rFonts w:hint="eastAsia" w:ascii="宋体" w:hAnsi="宋体" w:cs="宋体"/>
          <w:color w:val="auto"/>
          <w:szCs w:val="21"/>
          <w:highlight w:val="none"/>
        </w:rPr>
        <w:t>。</w:t>
      </w:r>
    </w:p>
    <w:p w14:paraId="4C73596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（6）发包人无正当理由没有在约定期限内发出复工指示，导致承包人无法复工的违约责任：</w:t>
      </w:r>
      <w:r>
        <w:rPr>
          <w:rFonts w:hint="eastAsia" w:ascii="宋体" w:hAnsi="宋体" w:cs="宋体"/>
          <w:color w:val="auto"/>
          <w:szCs w:val="21"/>
          <w:highlight w:val="none"/>
          <w:u w:val="single"/>
        </w:rPr>
        <w:t xml:space="preserve"> 对工期造成影响的可顺延工期  。</w:t>
      </w:r>
    </w:p>
    <w:p w14:paraId="212E135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（7）其他：</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151089E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15.2 承包人违约</w:t>
      </w:r>
    </w:p>
    <w:p w14:paraId="020BE14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15.2.1 承包人违约的情形</w:t>
      </w:r>
    </w:p>
    <w:p w14:paraId="370B381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承包人违约的其他情形：</w:t>
      </w:r>
      <w:r>
        <w:rPr>
          <w:rFonts w:hint="eastAsia" w:ascii="宋体" w:hAnsi="宋体" w:cs="宋体"/>
          <w:color w:val="auto"/>
          <w:szCs w:val="21"/>
          <w:highlight w:val="none"/>
          <w:u w:val="single"/>
        </w:rPr>
        <w:t xml:space="preserve">   执行补充条款      </w:t>
      </w:r>
      <w:r>
        <w:rPr>
          <w:rFonts w:hint="eastAsia" w:ascii="宋体" w:hAnsi="宋体" w:cs="宋体"/>
          <w:color w:val="auto"/>
          <w:szCs w:val="21"/>
          <w:highlight w:val="none"/>
        </w:rPr>
        <w:t>。</w:t>
      </w:r>
    </w:p>
    <w:p w14:paraId="4F6C475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15.2.2 通知改正</w:t>
      </w:r>
    </w:p>
    <w:p w14:paraId="20E707A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工程师通知承包人改正的合理期限是：</w:t>
      </w:r>
      <w:r>
        <w:rPr>
          <w:rFonts w:hint="eastAsia" w:ascii="宋体" w:hAnsi="宋体" w:cs="宋体"/>
          <w:color w:val="auto"/>
          <w:szCs w:val="21"/>
          <w:highlight w:val="none"/>
          <w:u w:val="single"/>
        </w:rPr>
        <w:t xml:space="preserve"> 执行国家、省、市有关规定  </w:t>
      </w:r>
      <w:r>
        <w:rPr>
          <w:rFonts w:hint="eastAsia" w:ascii="宋体" w:hAnsi="宋体" w:cs="宋体"/>
          <w:color w:val="auto"/>
          <w:szCs w:val="21"/>
          <w:highlight w:val="none"/>
        </w:rPr>
        <w:t>。</w:t>
      </w:r>
    </w:p>
    <w:p w14:paraId="19BF992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15.2.3 承包人违约的责任</w:t>
      </w:r>
    </w:p>
    <w:p w14:paraId="2239383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承包人违约责任的承担方式和计算方法：</w:t>
      </w:r>
      <w:r>
        <w:rPr>
          <w:rFonts w:hint="eastAsia" w:ascii="宋体" w:hAnsi="宋体" w:cs="宋体"/>
          <w:color w:val="auto"/>
          <w:szCs w:val="21"/>
          <w:highlight w:val="none"/>
          <w:u w:val="single"/>
        </w:rPr>
        <w:t xml:space="preserve">  执行补充条款  </w:t>
      </w:r>
      <w:r>
        <w:rPr>
          <w:rFonts w:hint="eastAsia" w:ascii="宋体" w:hAnsi="宋体" w:cs="宋体"/>
          <w:color w:val="auto"/>
          <w:szCs w:val="21"/>
          <w:highlight w:val="none"/>
        </w:rPr>
        <w:t>。</w:t>
      </w:r>
    </w:p>
    <w:p w14:paraId="41C0B3C8">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cs="宋体"/>
          <w:bCs w:val="0"/>
          <w:color w:val="auto"/>
          <w:sz w:val="21"/>
          <w:szCs w:val="21"/>
          <w:highlight w:val="none"/>
        </w:rPr>
      </w:pPr>
      <w:bookmarkStart w:id="901" w:name="_Toc54862347"/>
      <w:r>
        <w:rPr>
          <w:rFonts w:hint="eastAsia" w:cs="宋体"/>
          <w:bCs w:val="0"/>
          <w:color w:val="auto"/>
          <w:sz w:val="21"/>
          <w:szCs w:val="21"/>
          <w:highlight w:val="none"/>
        </w:rPr>
        <w:t>第16条 合同解除</w:t>
      </w:r>
      <w:bookmarkEnd w:id="901"/>
    </w:p>
    <w:p w14:paraId="6E4F4469">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bookmarkStart w:id="902" w:name="_Toc54862348"/>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.1 合同解除的因素：</w:t>
      </w:r>
    </w:p>
    <w:p w14:paraId="34A57E78">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发包人和承包人双方协商一致，可解除合同，解除合同应采用书面形式。</w:t>
      </w:r>
    </w:p>
    <w:p w14:paraId="3298B24C">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.2 发生下列情形之一的,守约方可以解除合同:</w:t>
      </w:r>
    </w:p>
    <w:p w14:paraId="0494070B">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1）因不可抗力,致使合同目的不能实现；</w:t>
      </w:r>
    </w:p>
    <w:p w14:paraId="2079777E">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2）承包人未按合同约定期限完成验收并移交生产,经催告后20个工作日内仍未补救；</w:t>
      </w:r>
    </w:p>
    <w:p w14:paraId="276BED16">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3）承包人采购的设备质量不符合约定，且承包人未按发包人要求采取必要补救措施的，发包人有权解除合同，承包人须就发包人所遭受的损失承担全部赔偿责任；</w:t>
      </w:r>
    </w:p>
    <w:p w14:paraId="41E65EBA">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4）工程发生安全事故或发生造成发包人直接经济损失50万（含）以上的质量事故，且承包人故意推脱，不积极配合发包人进行事故处理的；</w:t>
      </w:r>
    </w:p>
    <w:p w14:paraId="4D93AEB4">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5）承包人违反本合同第十六条约定，发包人有权解除合同, 承包人须就发包人所遭受的损失承担全部赔偿责任；</w:t>
      </w:r>
    </w:p>
    <w:p w14:paraId="042EF36A">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6）承包人态度恶劣或辱骂、恐吓、 殴打发包人员工；</w:t>
      </w:r>
    </w:p>
    <w:p w14:paraId="1BE078D5">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7）因一方违约致使合同无法履行；</w:t>
      </w:r>
    </w:p>
    <w:p w14:paraId="643F571B">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8）发生《生产安全事故报告和调查处理条例》规定的一般及以上等级的生产安全事故或一般及以上工程质量事故的，发包人有权解除合同；</w:t>
      </w:r>
    </w:p>
    <w:p w14:paraId="57CE47FB">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 承包人未取得合法有效的安全生产许可证，或承包人安全生产许可证在本合同履行期间内失效未及时补办的，发包人有权解除合同；</w:t>
      </w:r>
    </w:p>
    <w:p w14:paraId="06FFD00D">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 承包人未投保安全生产责任保险或安全生产责任保险在发包人颁发最终竣工验收证书之前失效且未能及时续保的，发包人有权解除合同；</w:t>
      </w:r>
    </w:p>
    <w:p w14:paraId="01EAB71D">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 因承包人原因导致其分包商、设备材料供应商、农民工等上访、闹事、妨碍发包人及其关联方的正常经营的，承包人在收到发包人书面通知之日起的三个工作日内未进行妥善处理的，发包人有权解除合同；</w:t>
      </w:r>
    </w:p>
    <w:p w14:paraId="20E2FCBA">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合同解除的处理：</w:t>
      </w:r>
    </w:p>
    <w:p w14:paraId="03899040">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.1 一方要求解除合同的，应在10个工作日内以书面形式向对方发出解除通知，通知到达时合同解除。对解除合同有争议的，按第十五条约定处理。</w:t>
      </w:r>
    </w:p>
    <w:p w14:paraId="66F0F4C6">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.2 合同解除后的善后工作，双方另行约定协商。</w:t>
      </w:r>
    </w:p>
    <w:p w14:paraId="5924733F">
      <w:pPr>
        <w:widowControl/>
        <w:tabs>
          <w:tab w:val="left" w:pos="220"/>
        </w:tabs>
        <w:adjustRightInd w:val="0"/>
        <w:snapToGrid w:val="0"/>
        <w:spacing w:line="440" w:lineRule="exact"/>
        <w:ind w:left="0" w:leftChars="0" w:right="250" w:rightChars="119" w:hanging="15"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 xml:space="preserve"> 承包人将工程交付发包人后，在发包人支付完毕全部竣工结算款，除有关争议解决、质量保证、售后服务条款、保密条款仍然生效外，其它条款即告终止。</w:t>
      </w:r>
    </w:p>
    <w:p w14:paraId="1C95F924">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cs="宋体"/>
          <w:bCs w:val="0"/>
          <w:color w:val="auto"/>
          <w:sz w:val="21"/>
          <w:szCs w:val="21"/>
          <w:highlight w:val="none"/>
        </w:rPr>
      </w:pPr>
      <w:r>
        <w:rPr>
          <w:rFonts w:hint="eastAsia" w:cs="宋体"/>
          <w:bCs w:val="0"/>
          <w:color w:val="auto"/>
          <w:sz w:val="21"/>
          <w:szCs w:val="21"/>
          <w:highlight w:val="none"/>
        </w:rPr>
        <w:t>第17条 不可抗力</w:t>
      </w:r>
      <w:bookmarkEnd w:id="902"/>
    </w:p>
    <w:p w14:paraId="6F0BD42A">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17.1 不可抗力的定义</w:t>
      </w:r>
    </w:p>
    <w:p w14:paraId="0F8AD61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除通用合同条件约定的不可抗力事件之外，视为不可抗力的其他情形：</w:t>
      </w:r>
      <w:r>
        <w:rPr>
          <w:rFonts w:hint="eastAsia" w:ascii="宋体" w:hAnsi="宋体" w:cs="宋体"/>
          <w:color w:val="auto"/>
          <w:szCs w:val="21"/>
          <w:highlight w:val="none"/>
          <w:u w:val="single"/>
        </w:rPr>
        <w:t xml:space="preserve">   </w:t>
      </w:r>
      <w:r>
        <w:rPr>
          <w:rFonts w:hint="eastAsia" w:cs="宋体"/>
          <w:color w:val="auto"/>
          <w:szCs w:val="21"/>
          <w:highlight w:val="none"/>
          <w:u w:val="single"/>
        </w:rPr>
        <w:t>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C6C2EC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17.6 因不可抗力解除合同</w:t>
      </w:r>
    </w:p>
    <w:p w14:paraId="288E4BB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合同解除后，发包人应当在商定或确定发包人应支付款项后的</w:t>
      </w:r>
      <w:r>
        <w:rPr>
          <w:rFonts w:hint="eastAsia" w:ascii="宋体" w:hAnsi="宋体" w:cs="宋体"/>
          <w:color w:val="auto"/>
          <w:szCs w:val="21"/>
          <w:highlight w:val="none"/>
          <w:u w:val="single"/>
          <w:lang w:val="en-US" w:eastAsia="zh-CN"/>
        </w:rPr>
        <w:t xml:space="preserve">  </w:t>
      </w:r>
      <w:r>
        <w:rPr>
          <w:rFonts w:hint="eastAsia" w:cs="宋体"/>
          <w:color w:val="auto"/>
          <w:szCs w:val="21"/>
          <w:highlight w:val="none"/>
          <w:u w:val="single"/>
        </w:rPr>
        <w:t>发票送达7</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天内完成款项的支付。</w:t>
      </w:r>
    </w:p>
    <w:p w14:paraId="1A437C7A">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cs="宋体"/>
          <w:bCs w:val="0"/>
          <w:color w:val="auto"/>
          <w:sz w:val="21"/>
          <w:szCs w:val="21"/>
          <w:highlight w:val="none"/>
        </w:rPr>
      </w:pPr>
      <w:bookmarkStart w:id="903" w:name="_Toc54862349"/>
      <w:r>
        <w:rPr>
          <w:rFonts w:hint="eastAsia" w:cs="宋体"/>
          <w:bCs w:val="0"/>
          <w:color w:val="auto"/>
          <w:sz w:val="21"/>
          <w:szCs w:val="21"/>
          <w:highlight w:val="none"/>
        </w:rPr>
        <w:t>第18条 保险</w:t>
      </w:r>
      <w:bookmarkEnd w:id="903"/>
    </w:p>
    <w:p w14:paraId="6AAC684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18.1 设计和工程保险</w:t>
      </w:r>
    </w:p>
    <w:p w14:paraId="4440C96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18.1.1 双方当事人关于设计和工程保险的特别约定：</w:t>
      </w:r>
      <w:r>
        <w:rPr>
          <w:rFonts w:hint="eastAsia" w:cs="宋体"/>
          <w:color w:val="auto"/>
          <w:szCs w:val="21"/>
          <w:highlight w:val="none"/>
          <w:u w:val="single"/>
        </w:rPr>
        <w:t xml:space="preserve"> 执行国家、省、市有关规定 </w:t>
      </w:r>
      <w:r>
        <w:rPr>
          <w:rFonts w:hint="eastAsia" w:ascii="宋体" w:hAnsi="宋体" w:cs="宋体"/>
          <w:color w:val="auto"/>
          <w:szCs w:val="21"/>
          <w:highlight w:val="none"/>
        </w:rPr>
        <w:t>。</w:t>
      </w:r>
    </w:p>
    <w:p w14:paraId="4224383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18.1.2 双方当事人关于第三方责任险的特别约定：</w:t>
      </w:r>
      <w:r>
        <w:rPr>
          <w:rFonts w:hint="eastAsia" w:ascii="宋体" w:hAnsi="宋体" w:cs="宋体"/>
          <w:color w:val="auto"/>
          <w:szCs w:val="21"/>
          <w:highlight w:val="none"/>
          <w:u w:val="single"/>
        </w:rPr>
        <w:t xml:space="preserve">           另行协商         </w:t>
      </w:r>
      <w:r>
        <w:rPr>
          <w:rFonts w:hint="eastAsia" w:ascii="宋体" w:hAnsi="宋体" w:cs="宋体"/>
          <w:color w:val="auto"/>
          <w:szCs w:val="21"/>
          <w:highlight w:val="none"/>
        </w:rPr>
        <w:t>。</w:t>
      </w:r>
    </w:p>
    <w:p w14:paraId="4895847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18.2 工伤和意外伤害保险</w:t>
      </w:r>
    </w:p>
    <w:p w14:paraId="2D252AAD">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18.2.3 关于工伤保险和意外伤害保险的特别约定：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执行国家、省、市有关规定  </w:t>
      </w:r>
      <w:r>
        <w:rPr>
          <w:rFonts w:hint="eastAsia" w:ascii="宋体" w:hAnsi="宋体" w:cs="宋体"/>
          <w:color w:val="auto"/>
          <w:szCs w:val="21"/>
          <w:highlight w:val="none"/>
        </w:rPr>
        <w:t>。</w:t>
      </w:r>
    </w:p>
    <w:p w14:paraId="4E3B21C1">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18.3 货物保险</w:t>
      </w:r>
    </w:p>
    <w:p w14:paraId="13DE8284">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关于承包人应为其施工设备、材料、工程设备和临时工程等办理财产保险的特别约定：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另行协商</w:t>
      </w:r>
      <w:r>
        <w:rPr>
          <w:rFonts w:hint="eastAsia" w:ascii="宋体" w:hAnsi="宋体" w:cs="宋体"/>
          <w:color w:val="auto"/>
          <w:szCs w:val="21"/>
          <w:highlight w:val="none"/>
        </w:rPr>
        <w:t>。</w:t>
      </w:r>
    </w:p>
    <w:p w14:paraId="0238426A">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18.4 其他保险</w:t>
      </w:r>
    </w:p>
    <w:p w14:paraId="45B1EE20">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关于其他保险的约定：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执行国家、省、市有关规定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87E0DD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18.5 对各项保险的一般要求</w:t>
      </w:r>
    </w:p>
    <w:p w14:paraId="1278ED0C">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18.5.2 保险凭证</w:t>
      </w:r>
    </w:p>
    <w:p w14:paraId="0EE494E1">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保险单的条件：</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8C922B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18.5.4 通知义务</w:t>
      </w:r>
    </w:p>
    <w:p w14:paraId="1B4B90D4">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关于变更保险合同时的通知义务的约定：</w:t>
      </w:r>
      <w:r>
        <w:rPr>
          <w:rFonts w:hint="eastAsia" w:ascii="宋体" w:hAnsi="宋体" w:cs="宋体"/>
          <w:color w:val="auto"/>
          <w:szCs w:val="21"/>
          <w:highlight w:val="none"/>
          <w:u w:val="single"/>
        </w:rPr>
        <w:t xml:space="preserve"> 发包人变更除工伤保险之外的保险合同时，应事先征得承包人同意，并通知监理人；承包人变更除工伤保险之外的保险合同时，应事先征得发包人同意，并通知监理人。</w:t>
      </w:r>
    </w:p>
    <w:p w14:paraId="0FFCEADB">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u w:val="single"/>
        </w:rPr>
        <w:t>保险事故发生时，投保人应按照保险合同规定的条件和期限及时向保险人报告。发包人和承包人应当在知道保险事故发生后及时通知对方</w:t>
      </w:r>
      <w:r>
        <w:rPr>
          <w:rFonts w:hint="eastAsia" w:ascii="宋体" w:hAnsi="宋体" w:cs="宋体"/>
          <w:color w:val="auto"/>
          <w:szCs w:val="21"/>
          <w:highlight w:val="none"/>
        </w:rPr>
        <w:t>。</w:t>
      </w:r>
    </w:p>
    <w:p w14:paraId="0FA2FA18">
      <w:pPr>
        <w:pStyle w:val="219"/>
        <w:widowControl/>
        <w:tabs>
          <w:tab w:val="left" w:pos="220"/>
        </w:tabs>
        <w:adjustRightInd w:val="0"/>
        <w:snapToGrid w:val="0"/>
        <w:spacing w:before="93" w:beforeLines="30" w:after="93" w:afterLines="30" w:line="440" w:lineRule="exact"/>
        <w:ind w:left="0" w:leftChars="0" w:right="250" w:rightChars="119" w:hanging="15" w:firstLineChars="0"/>
        <w:jc w:val="left"/>
        <w:rPr>
          <w:rFonts w:hint="eastAsia" w:cs="宋体"/>
          <w:bCs w:val="0"/>
          <w:color w:val="auto"/>
          <w:sz w:val="21"/>
          <w:szCs w:val="21"/>
          <w:highlight w:val="none"/>
        </w:rPr>
      </w:pPr>
      <w:bookmarkStart w:id="904" w:name="_Toc54862350"/>
      <w:r>
        <w:rPr>
          <w:rFonts w:hint="eastAsia" w:cs="宋体"/>
          <w:bCs w:val="0"/>
          <w:color w:val="auto"/>
          <w:sz w:val="21"/>
          <w:szCs w:val="21"/>
          <w:highlight w:val="none"/>
        </w:rPr>
        <w:t>第20条 争议解决</w:t>
      </w:r>
      <w:bookmarkEnd w:id="904"/>
    </w:p>
    <w:p w14:paraId="7310454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20.3 争议评审</w:t>
      </w:r>
    </w:p>
    <w:p w14:paraId="12D1941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 xml:space="preserve">合同当事人是否同意将工程争议提交争议评审小组决定：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否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2814769">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20.3.1 争议评审小组的确定</w:t>
      </w:r>
    </w:p>
    <w:p w14:paraId="0FDCC83D">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争议评审小组成员的人数：</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476A43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争议评审小组成员的确定：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7364AD6">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选定争议避免/评审组的期限：</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A5D7B6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评审机构：</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0A9DE06">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其他事项的约定：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E89B99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争议评审员报酬的承担人：</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DD8C2D3">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20.3.2 争议的避免</w:t>
      </w:r>
    </w:p>
    <w:p w14:paraId="4E673F5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发包人和承包人是否均出席争议避免的非正式讨论：</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6A11868">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20.3.3 争议评审小组的决定</w:t>
      </w:r>
    </w:p>
    <w:p w14:paraId="3FF8F185">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关于争议评审小组的决定的特别约定：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4D80DA2">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20.4 仲裁或诉讼</w:t>
      </w:r>
    </w:p>
    <w:p w14:paraId="04623A2E">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因合同及合同有关事项发生的争议，按下列第</w:t>
      </w:r>
      <w:r>
        <w:rPr>
          <w:rFonts w:hint="eastAsia" w:ascii="宋体" w:hAnsi="宋体" w:cs="宋体"/>
          <w:color w:val="auto"/>
          <w:szCs w:val="21"/>
          <w:highlight w:val="none"/>
          <w:u w:val="single"/>
        </w:rPr>
        <w:t xml:space="preserve">  </w:t>
      </w:r>
      <w:r>
        <w:rPr>
          <w:rFonts w:hint="eastAsia" w:cs="宋体"/>
          <w:color w:val="auto"/>
          <w:szCs w:val="21"/>
          <w:highlight w:val="none"/>
          <w:u w:val="single"/>
        </w:rPr>
        <w:t>（1）</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种方式解决：</w:t>
      </w:r>
    </w:p>
    <w:p w14:paraId="04870B66">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（1）向</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滁州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仲裁委员会申请仲裁；</w:t>
      </w:r>
    </w:p>
    <w:p w14:paraId="41EE71A7">
      <w:pPr>
        <w:widowControl/>
        <w:tabs>
          <w:tab w:val="left" w:pos="220"/>
        </w:tabs>
        <w:adjustRightInd w:val="0"/>
        <w:snapToGrid w:val="0"/>
        <w:spacing w:line="440" w:lineRule="exact"/>
        <w:ind w:left="0" w:leftChars="0" w:right="250" w:rightChars="119" w:hanging="15" w:firstLineChars="0"/>
        <w:jc w:val="left"/>
        <w:rPr>
          <w:rFonts w:hint="eastAsia" w:ascii="宋体" w:hAnsi="宋体" w:cs="宋体"/>
          <w:color w:val="auto"/>
          <w:szCs w:val="21"/>
          <w:highlight w:val="none"/>
        </w:rPr>
      </w:pPr>
      <w:r>
        <w:rPr>
          <w:rFonts w:hint="eastAsia" w:ascii="宋体" w:hAnsi="宋体" w:cs="宋体"/>
          <w:color w:val="auto"/>
          <w:szCs w:val="21"/>
          <w:highlight w:val="none"/>
        </w:rPr>
        <w:t>（2）向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人民法院起诉。</w:t>
      </w:r>
    </w:p>
    <w:p w14:paraId="45DBDE1E">
      <w:pPr>
        <w:adjustRightInd w:val="0"/>
        <w:snapToGrid w:val="0"/>
        <w:spacing w:line="360" w:lineRule="auto"/>
        <w:rPr>
          <w:rFonts w:hint="eastAsia" w:ascii="宋体" w:hAnsi="宋体" w:cs="宋体"/>
          <w:color w:val="auto"/>
          <w:highlight w:val="none"/>
        </w:rPr>
      </w:pPr>
    </w:p>
    <w:p w14:paraId="27C4FF7D">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发包人：  (公章)                           承包人：  (公章)</w:t>
      </w:r>
    </w:p>
    <w:p w14:paraId="50B2A051">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法定代表人或其委托代理人：                 法定代表人或其委托代理人：</w:t>
      </w:r>
    </w:p>
    <w:p w14:paraId="67160A5B">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（签字）                                  （签字）</w:t>
      </w:r>
    </w:p>
    <w:p w14:paraId="0343590D">
      <w:pPr>
        <w:adjustRightInd w:val="0"/>
        <w:snapToGrid w:val="0"/>
        <w:spacing w:line="360" w:lineRule="auto"/>
        <w:rPr>
          <w:rFonts w:ascii="宋体" w:hAnsi="宋体" w:cs="宋体"/>
          <w:color w:val="auto"/>
          <w:highlight w:val="none"/>
          <w:u w:val="single"/>
        </w:rPr>
      </w:pPr>
      <w:r>
        <w:rPr>
          <w:rFonts w:hint="eastAsia" w:ascii="宋体" w:hAnsi="宋体" w:cs="宋体"/>
          <w:color w:val="auto"/>
          <w:highlight w:val="none"/>
        </w:rPr>
        <w:t>组织机构代码：</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组织机构代码：</w:t>
      </w:r>
      <w:r>
        <w:rPr>
          <w:rFonts w:hint="eastAsia" w:ascii="宋体" w:hAnsi="宋体" w:cs="宋体"/>
          <w:color w:val="auto"/>
          <w:highlight w:val="none"/>
          <w:u w:val="single"/>
        </w:rPr>
        <w:t xml:space="preserve">          </w:t>
      </w:r>
    </w:p>
    <w:p w14:paraId="2B92CE34">
      <w:pPr>
        <w:adjustRightInd w:val="0"/>
        <w:snapToGrid w:val="0"/>
        <w:spacing w:line="360" w:lineRule="auto"/>
        <w:rPr>
          <w:rFonts w:hint="eastAsia" w:ascii="宋体" w:hAnsi="宋体" w:cs="宋体"/>
          <w:color w:val="auto"/>
          <w:highlight w:val="none"/>
          <w:u w:val="single"/>
        </w:rPr>
      </w:pPr>
      <w:r>
        <w:rPr>
          <w:rFonts w:hint="eastAsia" w:ascii="宋体" w:hAnsi="宋体" w:cs="宋体"/>
          <w:color w:val="auto"/>
          <w:highlight w:val="none"/>
        </w:rPr>
        <w:t>地  址：</w:t>
      </w:r>
      <w:r>
        <w:rPr>
          <w:rFonts w:hint="eastAsia" w:ascii="宋体" w:hAnsi="宋体" w:eastAsia="宋体" w:cs="宋体"/>
          <w:color w:val="auto"/>
          <w:kern w:val="0"/>
          <w:sz w:val="21"/>
          <w:szCs w:val="21"/>
          <w:highlight w:val="none"/>
          <w:lang w:val="en-US" w:eastAsia="zh-CN"/>
        </w:rPr>
        <w:t>安徽省滁州市南谯区中都大道1598</w:t>
      </w:r>
      <w:r>
        <w:rPr>
          <w:rFonts w:hint="eastAsia" w:ascii="宋体" w:hAnsi="宋体" w:cs="宋体"/>
          <w:color w:val="auto"/>
          <w:highlight w:val="none"/>
        </w:rPr>
        <w:t xml:space="preserve">    地  址：</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cs="宋体"/>
          <w:color w:val="auto"/>
          <w:highlight w:val="none"/>
          <w:u w:val="single"/>
        </w:rPr>
        <w:t xml:space="preserve">     </w:t>
      </w:r>
    </w:p>
    <w:p w14:paraId="2525A289">
      <w:pPr>
        <w:adjustRightInd w:val="0"/>
        <w:snapToGrid w:val="0"/>
        <w:spacing w:line="360" w:lineRule="auto"/>
        <w:ind w:firstLine="840" w:firstLineChars="400"/>
        <w:rPr>
          <w:rFonts w:hint="eastAsia" w:ascii="宋体" w:hAnsi="宋体" w:cs="宋体"/>
          <w:color w:val="auto"/>
          <w:highlight w:val="none"/>
          <w:u w:val="single"/>
        </w:rPr>
      </w:pPr>
      <w:r>
        <w:rPr>
          <w:rFonts w:hint="eastAsia" w:ascii="宋体" w:hAnsi="宋体" w:eastAsia="宋体" w:cs="宋体"/>
          <w:color w:val="auto"/>
          <w:kern w:val="0"/>
          <w:sz w:val="21"/>
          <w:szCs w:val="21"/>
          <w:highlight w:val="none"/>
          <w:lang w:val="en-US" w:eastAsia="zh-CN"/>
        </w:rPr>
        <w:t>号15层</w:t>
      </w:r>
    </w:p>
    <w:p w14:paraId="5FA624DB">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邮政编码：</w:t>
      </w:r>
      <w:r>
        <w:rPr>
          <w:rFonts w:hint="eastAsia" w:ascii="宋体" w:hAnsi="宋体" w:cs="宋体"/>
          <w:color w:val="auto"/>
          <w:highlight w:val="none"/>
          <w:u w:val="single"/>
          <w:lang w:val="en-US" w:eastAsia="zh-CN"/>
        </w:rPr>
        <w:t>239000</w:t>
      </w:r>
      <w:r>
        <w:rPr>
          <w:rFonts w:hint="eastAsia" w:ascii="宋体" w:hAnsi="宋体" w:cs="宋体"/>
          <w:color w:val="auto"/>
          <w:highlight w:val="none"/>
        </w:rPr>
        <w:t xml:space="preserve">               </w:t>
      </w:r>
      <w:r>
        <w:rPr>
          <w:rFonts w:hint="eastAsia" w:ascii="宋体" w:hAnsi="宋体" w:cs="宋体"/>
          <w:color w:val="auto"/>
          <w:highlight w:val="none"/>
          <w:lang w:val="en-US" w:eastAsia="zh-CN"/>
        </w:rPr>
        <w:t xml:space="preserve">            </w:t>
      </w:r>
      <w:r>
        <w:rPr>
          <w:rFonts w:hint="eastAsia" w:ascii="宋体" w:hAnsi="宋体" w:cs="宋体"/>
          <w:color w:val="auto"/>
          <w:highlight w:val="none"/>
        </w:rPr>
        <w:t>邮政编码：</w:t>
      </w:r>
      <w:r>
        <w:rPr>
          <w:rFonts w:hint="eastAsia" w:ascii="宋体" w:hAnsi="宋体" w:cs="宋体"/>
          <w:color w:val="auto"/>
          <w:highlight w:val="none"/>
          <w:u w:val="single"/>
        </w:rPr>
        <w:t xml:space="preserve">                   </w:t>
      </w:r>
    </w:p>
    <w:p w14:paraId="74A1BC93">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法定代表人：</w:t>
      </w:r>
      <w:r>
        <w:rPr>
          <w:rFonts w:hint="eastAsia" w:ascii="宋体" w:hAnsi="宋体" w:cs="宋体"/>
          <w:color w:val="auto"/>
          <w:highlight w:val="none"/>
          <w:u w:val="single"/>
        </w:rPr>
        <w:t xml:space="preserve">            </w:t>
      </w:r>
      <w:r>
        <w:rPr>
          <w:rFonts w:hint="eastAsia" w:ascii="宋体" w:hAnsi="宋体" w:cs="宋体"/>
          <w:color w:val="auto"/>
          <w:highlight w:val="none"/>
        </w:rPr>
        <w:t xml:space="preserve">              </w:t>
      </w:r>
      <w:r>
        <w:rPr>
          <w:rFonts w:hint="eastAsia" w:ascii="宋体" w:hAnsi="宋体" w:cs="宋体"/>
          <w:color w:val="auto"/>
          <w:highlight w:val="none"/>
          <w:lang w:val="en-US" w:eastAsia="zh-CN"/>
        </w:rPr>
        <w:t xml:space="preserve"> </w:t>
      </w:r>
      <w:r>
        <w:rPr>
          <w:rFonts w:hint="eastAsia" w:ascii="宋体" w:hAnsi="宋体" w:cs="宋体"/>
          <w:color w:val="auto"/>
          <w:highlight w:val="none"/>
        </w:rPr>
        <w:t>法定代表人：</w:t>
      </w:r>
      <w:r>
        <w:rPr>
          <w:rFonts w:hint="eastAsia" w:ascii="宋体" w:hAnsi="宋体" w:cs="宋体"/>
          <w:color w:val="auto"/>
          <w:highlight w:val="none"/>
          <w:u w:val="single"/>
        </w:rPr>
        <w:t xml:space="preserve">            </w:t>
      </w:r>
    </w:p>
    <w:p w14:paraId="56F0ECAB">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委托代理人：</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委托代理人：</w:t>
      </w:r>
      <w:r>
        <w:rPr>
          <w:rFonts w:hint="eastAsia" w:ascii="宋体" w:hAnsi="宋体" w:cs="宋体"/>
          <w:color w:val="auto"/>
          <w:highlight w:val="none"/>
          <w:u w:val="single"/>
        </w:rPr>
        <w:t xml:space="preserve">                </w:t>
      </w:r>
    </w:p>
    <w:p w14:paraId="13BF1098">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 xml:space="preserve">电  话：               </w:t>
      </w:r>
      <w:r>
        <w:rPr>
          <w:rFonts w:hint="eastAsia" w:ascii="宋体" w:hAnsi="宋体" w:cs="宋体"/>
          <w:color w:val="auto"/>
          <w:highlight w:val="none"/>
          <w:lang w:val="en-US" w:eastAsia="zh-CN"/>
        </w:rPr>
        <w:t xml:space="preserve">                    </w:t>
      </w:r>
      <w:r>
        <w:rPr>
          <w:rFonts w:hint="eastAsia" w:ascii="宋体" w:hAnsi="宋体" w:cs="宋体"/>
          <w:color w:val="auto"/>
          <w:highlight w:val="none"/>
        </w:rPr>
        <w:t>电  话：</w:t>
      </w:r>
      <w:r>
        <w:rPr>
          <w:rFonts w:hint="eastAsia" w:ascii="宋体" w:hAnsi="宋体" w:cs="宋体"/>
          <w:color w:val="auto"/>
          <w:highlight w:val="none"/>
          <w:u w:val="single"/>
        </w:rPr>
        <w:t xml:space="preserve">                     </w:t>
      </w:r>
    </w:p>
    <w:p w14:paraId="5CB3323D">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传  真：</w:t>
      </w:r>
      <w:r>
        <w:rPr>
          <w:rFonts w:hint="eastAsia" w:ascii="宋体" w:hAnsi="宋体" w:cs="宋体"/>
          <w:color w:val="auto"/>
          <w:highlight w:val="none"/>
          <w:u w:val="single"/>
          <w:lang w:val="en-US" w:eastAsia="zh-CN"/>
        </w:rPr>
        <w:t>/</w:t>
      </w:r>
      <w:r>
        <w:rPr>
          <w:rFonts w:hint="eastAsia" w:ascii="宋体" w:hAnsi="宋体" w:cs="宋体"/>
          <w:color w:val="auto"/>
          <w:highlight w:val="none"/>
        </w:rPr>
        <w:t xml:space="preserve">               </w:t>
      </w:r>
      <w:r>
        <w:rPr>
          <w:rFonts w:hint="eastAsia" w:ascii="宋体" w:hAnsi="宋体" w:cs="宋体"/>
          <w:color w:val="auto"/>
          <w:highlight w:val="none"/>
          <w:lang w:val="en-US" w:eastAsia="zh-CN"/>
        </w:rPr>
        <w:t xml:space="preserve">                   </w:t>
      </w:r>
      <w:r>
        <w:rPr>
          <w:rFonts w:hint="eastAsia" w:ascii="宋体" w:hAnsi="宋体" w:cs="宋体"/>
          <w:color w:val="auto"/>
          <w:highlight w:val="none"/>
        </w:rPr>
        <w:t>传  真：</w:t>
      </w:r>
      <w:r>
        <w:rPr>
          <w:rFonts w:hint="eastAsia" w:ascii="宋体" w:hAnsi="宋体" w:cs="宋体"/>
          <w:color w:val="auto"/>
          <w:highlight w:val="none"/>
          <w:u w:val="single"/>
        </w:rPr>
        <w:t xml:space="preserve">                   </w:t>
      </w:r>
    </w:p>
    <w:p w14:paraId="5879433E">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电子信箱：</w:t>
      </w:r>
      <w:r>
        <w:rPr>
          <w:rFonts w:hint="eastAsia" w:ascii="宋体" w:hAnsi="宋体" w:cs="宋体"/>
          <w:color w:val="auto"/>
          <w:highlight w:val="none"/>
          <w:u w:val="single"/>
          <w:lang w:val="en-US" w:eastAsia="zh-CN"/>
        </w:rPr>
        <w:t>/</w:t>
      </w:r>
      <w:r>
        <w:rPr>
          <w:rFonts w:hint="eastAsia" w:ascii="宋体" w:hAnsi="宋体" w:cs="宋体"/>
          <w:color w:val="auto"/>
          <w:highlight w:val="none"/>
        </w:rPr>
        <w:t xml:space="preserve">               </w:t>
      </w:r>
      <w:r>
        <w:rPr>
          <w:rFonts w:hint="eastAsia" w:ascii="宋体" w:hAnsi="宋体" w:cs="宋体"/>
          <w:color w:val="auto"/>
          <w:highlight w:val="none"/>
          <w:lang w:val="en-US" w:eastAsia="zh-CN"/>
        </w:rPr>
        <w:t xml:space="preserve">                 </w:t>
      </w:r>
      <w:r>
        <w:rPr>
          <w:rFonts w:hint="eastAsia" w:ascii="宋体" w:hAnsi="宋体" w:cs="宋体"/>
          <w:color w:val="auto"/>
          <w:highlight w:val="none"/>
        </w:rPr>
        <w:t>电子信箱：</w:t>
      </w:r>
      <w:r>
        <w:rPr>
          <w:rFonts w:hint="eastAsia" w:ascii="宋体" w:hAnsi="宋体" w:cs="宋体"/>
          <w:color w:val="auto"/>
          <w:highlight w:val="none"/>
          <w:u w:val="single"/>
        </w:rPr>
        <w:t xml:space="preserve">                   </w:t>
      </w:r>
    </w:p>
    <w:p w14:paraId="26D4A323">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开户银行：</w:t>
      </w:r>
      <w:r>
        <w:rPr>
          <w:rFonts w:hint="eastAsia" w:ascii="宋体" w:hAnsi="宋体" w:cs="宋体"/>
          <w:color w:val="auto"/>
          <w:highlight w:val="none"/>
          <w:u w:val="single"/>
          <w:lang w:val="en-US" w:eastAsia="zh-CN"/>
        </w:rPr>
        <w:t>/</w:t>
      </w:r>
      <w:r>
        <w:rPr>
          <w:rFonts w:hint="eastAsia" w:ascii="宋体" w:hAnsi="宋体" w:cs="宋体"/>
          <w:color w:val="auto"/>
          <w:highlight w:val="none"/>
        </w:rPr>
        <w:t xml:space="preserve">               </w:t>
      </w:r>
      <w:r>
        <w:rPr>
          <w:rFonts w:hint="eastAsia" w:ascii="宋体" w:hAnsi="宋体" w:cs="宋体"/>
          <w:color w:val="auto"/>
          <w:highlight w:val="none"/>
          <w:lang w:val="en-US" w:eastAsia="zh-CN"/>
        </w:rPr>
        <w:t xml:space="preserve">                 </w:t>
      </w:r>
      <w:r>
        <w:rPr>
          <w:rFonts w:hint="eastAsia" w:ascii="宋体" w:hAnsi="宋体" w:cs="宋体"/>
          <w:color w:val="auto"/>
          <w:highlight w:val="none"/>
        </w:rPr>
        <w:t>开户银行：</w:t>
      </w:r>
      <w:r>
        <w:rPr>
          <w:rFonts w:hint="eastAsia" w:ascii="宋体" w:hAnsi="宋体" w:cs="宋体"/>
          <w:color w:val="auto"/>
          <w:highlight w:val="none"/>
          <w:u w:val="single"/>
        </w:rPr>
        <w:t xml:space="preserve">                   </w:t>
      </w:r>
    </w:p>
    <w:p w14:paraId="4FF24F3A">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账  号：</w:t>
      </w:r>
      <w:r>
        <w:rPr>
          <w:rFonts w:hint="eastAsia" w:ascii="宋体" w:hAnsi="宋体" w:cs="宋体"/>
          <w:color w:val="auto"/>
          <w:highlight w:val="none"/>
          <w:u w:val="single"/>
          <w:lang w:val="en-US" w:eastAsia="zh-CN"/>
        </w:rPr>
        <w:t>/</w:t>
      </w:r>
      <w:r>
        <w:rPr>
          <w:rFonts w:hint="eastAsia" w:ascii="宋体" w:hAnsi="宋体" w:cs="宋体"/>
          <w:color w:val="auto"/>
          <w:highlight w:val="none"/>
        </w:rPr>
        <w:t xml:space="preserve">               </w:t>
      </w:r>
      <w:r>
        <w:rPr>
          <w:rFonts w:hint="eastAsia" w:ascii="宋体" w:hAnsi="宋体" w:cs="宋体"/>
          <w:color w:val="auto"/>
          <w:highlight w:val="none"/>
          <w:lang w:val="en-US" w:eastAsia="zh-CN"/>
        </w:rPr>
        <w:t xml:space="preserve">                   </w:t>
      </w:r>
      <w:r>
        <w:rPr>
          <w:rFonts w:hint="eastAsia" w:ascii="宋体" w:hAnsi="宋体" w:cs="宋体"/>
          <w:color w:val="auto"/>
          <w:highlight w:val="none"/>
        </w:rPr>
        <w:t>账  号：</w:t>
      </w:r>
      <w:r>
        <w:rPr>
          <w:rFonts w:hint="eastAsia" w:ascii="宋体" w:hAnsi="宋体" w:cs="宋体"/>
          <w:color w:val="auto"/>
          <w:highlight w:val="none"/>
          <w:u w:val="single"/>
        </w:rPr>
        <w:t xml:space="preserve">                     </w:t>
      </w:r>
    </w:p>
    <w:p w14:paraId="2FB02D1E">
      <w:pPr>
        <w:rPr>
          <w:rFonts w:hint="eastAsia" w:cs="宋体"/>
          <w:color w:val="auto"/>
          <w:sz w:val="32"/>
          <w:szCs w:val="32"/>
          <w:highlight w:val="none"/>
        </w:rPr>
      </w:pPr>
      <w:r>
        <w:rPr>
          <w:rFonts w:hint="eastAsia" w:cs="宋体"/>
          <w:color w:val="auto"/>
          <w:sz w:val="32"/>
          <w:szCs w:val="32"/>
          <w:highlight w:val="none"/>
        </w:rPr>
        <w:br w:type="page"/>
      </w:r>
    </w:p>
    <w:p w14:paraId="1B2FCC1B">
      <w:pPr>
        <w:pStyle w:val="215"/>
        <w:keepNext w:val="0"/>
        <w:keepLines w:val="0"/>
        <w:widowControl/>
        <w:adjustRightInd w:val="0"/>
        <w:snapToGrid w:val="0"/>
        <w:spacing w:before="156" w:beforeLines="50" w:after="156" w:afterLines="50" w:line="440" w:lineRule="exact"/>
        <w:jc w:val="center"/>
        <w:rPr>
          <w:rFonts w:cs="宋体"/>
          <w:color w:val="auto"/>
          <w:sz w:val="32"/>
          <w:szCs w:val="32"/>
          <w:highlight w:val="none"/>
        </w:rPr>
      </w:pPr>
      <w:r>
        <w:rPr>
          <w:rFonts w:hint="eastAsia" w:cs="宋体"/>
          <w:color w:val="auto"/>
          <w:sz w:val="32"/>
          <w:szCs w:val="32"/>
          <w:highlight w:val="none"/>
        </w:rPr>
        <w:t>第四部分 补充条款</w:t>
      </w:r>
    </w:p>
    <w:p w14:paraId="4C2E98D3">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本次招标根据</w:t>
      </w:r>
      <w:r>
        <w:rPr>
          <w:rFonts w:hint="eastAsia" w:ascii="宋体" w:hAnsi="宋体" w:eastAsia="宋体" w:cs="宋体"/>
          <w:color w:val="auto"/>
          <w:szCs w:val="21"/>
          <w:highlight w:val="none"/>
          <w:lang w:eastAsia="zh-CN"/>
        </w:rPr>
        <w:t>发包人</w:t>
      </w:r>
      <w:r>
        <w:rPr>
          <w:rFonts w:hint="eastAsia" w:ascii="宋体" w:hAnsi="宋体" w:eastAsia="宋体" w:cs="宋体"/>
          <w:color w:val="auto"/>
          <w:szCs w:val="21"/>
          <w:highlight w:val="none"/>
        </w:rPr>
        <w:t>提供的设计要求，实行设计、施工、采购、质保期内</w:t>
      </w:r>
      <w:r>
        <w:rPr>
          <w:rFonts w:hint="eastAsia" w:ascii="宋体" w:hAnsi="宋体" w:cs="宋体"/>
          <w:color w:val="auto"/>
          <w:szCs w:val="21"/>
          <w:highlight w:val="none"/>
          <w:lang w:val="en-US" w:eastAsia="zh-CN"/>
        </w:rPr>
        <w:t>运行维护</w:t>
      </w:r>
      <w:r>
        <w:rPr>
          <w:rFonts w:hint="eastAsia" w:ascii="宋体" w:hAnsi="宋体" w:eastAsia="宋体" w:cs="宋体"/>
          <w:color w:val="auto"/>
          <w:szCs w:val="21"/>
          <w:highlight w:val="none"/>
        </w:rPr>
        <w:t>服务等全过程的“交钥匙”工程。中标后需要根据</w:t>
      </w:r>
      <w:r>
        <w:rPr>
          <w:rFonts w:hint="eastAsia" w:ascii="宋体" w:hAnsi="宋体" w:eastAsia="宋体" w:cs="宋体"/>
          <w:color w:val="auto"/>
          <w:szCs w:val="21"/>
          <w:highlight w:val="none"/>
          <w:lang w:eastAsia="zh-CN"/>
        </w:rPr>
        <w:t>发包人</w:t>
      </w:r>
      <w:r>
        <w:rPr>
          <w:rFonts w:hint="eastAsia" w:ascii="宋体" w:hAnsi="宋体" w:eastAsia="宋体" w:cs="宋体"/>
          <w:color w:val="auto"/>
          <w:szCs w:val="21"/>
          <w:highlight w:val="none"/>
        </w:rPr>
        <w:t>要求及项目实际情况进行调整（优化）设计方案，优化设计方案必须经</w:t>
      </w:r>
      <w:r>
        <w:rPr>
          <w:rFonts w:hint="eastAsia" w:ascii="宋体" w:hAnsi="宋体" w:eastAsia="宋体" w:cs="宋体"/>
          <w:color w:val="auto"/>
          <w:szCs w:val="21"/>
          <w:highlight w:val="none"/>
          <w:lang w:eastAsia="zh-CN"/>
        </w:rPr>
        <w:t>发包人</w:t>
      </w:r>
      <w:r>
        <w:rPr>
          <w:rFonts w:hint="eastAsia" w:ascii="宋体" w:hAnsi="宋体" w:eastAsia="宋体" w:cs="宋体"/>
          <w:color w:val="auto"/>
          <w:szCs w:val="21"/>
          <w:highlight w:val="none"/>
        </w:rPr>
        <w:t>认可，费用全部包含在</w:t>
      </w:r>
      <w:r>
        <w:rPr>
          <w:rFonts w:hint="eastAsia" w:ascii="宋体" w:hAnsi="宋体" w:eastAsia="宋体" w:cs="宋体"/>
          <w:color w:val="auto"/>
          <w:szCs w:val="21"/>
          <w:highlight w:val="none"/>
          <w:lang w:eastAsia="zh-CN"/>
        </w:rPr>
        <w:t>合同价</w:t>
      </w:r>
      <w:r>
        <w:rPr>
          <w:rFonts w:hint="eastAsia" w:ascii="宋体" w:hAnsi="宋体" w:eastAsia="宋体" w:cs="宋体"/>
          <w:color w:val="auto"/>
          <w:szCs w:val="21"/>
          <w:highlight w:val="none"/>
        </w:rPr>
        <w:t>中，不单独计费。</w:t>
      </w:r>
    </w:p>
    <w:p w14:paraId="31AF9F4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若</w:t>
      </w:r>
      <w:r>
        <w:rPr>
          <w:rFonts w:hint="eastAsia" w:ascii="宋体" w:hAnsi="宋体" w:eastAsia="宋体" w:cs="宋体"/>
          <w:color w:val="auto"/>
          <w:szCs w:val="21"/>
          <w:highlight w:val="none"/>
          <w:lang w:eastAsia="zh-CN"/>
        </w:rPr>
        <w:t>发包人</w:t>
      </w:r>
      <w:r>
        <w:rPr>
          <w:rFonts w:hint="eastAsia" w:ascii="宋体" w:hAnsi="宋体" w:eastAsia="宋体" w:cs="宋体"/>
          <w:color w:val="auto"/>
          <w:szCs w:val="21"/>
          <w:highlight w:val="none"/>
        </w:rPr>
        <w:t>提供的相关资料明示或暗示已包含的内容中标单位设计时未设计，中标单位需按</w:t>
      </w:r>
      <w:r>
        <w:rPr>
          <w:rFonts w:hint="eastAsia" w:ascii="宋体" w:hAnsi="宋体" w:eastAsia="宋体" w:cs="宋体"/>
          <w:color w:val="auto"/>
          <w:szCs w:val="21"/>
          <w:highlight w:val="none"/>
          <w:lang w:eastAsia="zh-CN"/>
        </w:rPr>
        <w:t>发包人</w:t>
      </w:r>
      <w:r>
        <w:rPr>
          <w:rFonts w:hint="eastAsia" w:ascii="宋体" w:hAnsi="宋体" w:eastAsia="宋体" w:cs="宋体"/>
          <w:color w:val="auto"/>
          <w:szCs w:val="21"/>
          <w:highlight w:val="none"/>
        </w:rPr>
        <w:t>要求完成此部分内容的设计并施工完成。</w:t>
      </w:r>
    </w:p>
    <w:p w14:paraId="503515F5">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发包人</w:t>
      </w:r>
      <w:r>
        <w:rPr>
          <w:rFonts w:hint="eastAsia" w:ascii="宋体" w:hAnsi="宋体" w:eastAsia="宋体" w:cs="宋体"/>
          <w:color w:val="auto"/>
          <w:szCs w:val="21"/>
          <w:highlight w:val="none"/>
        </w:rPr>
        <w:t>取消或暂缓部分工程，</w:t>
      </w:r>
      <w:r>
        <w:rPr>
          <w:rFonts w:hint="eastAsia" w:ascii="宋体" w:hAnsi="宋体" w:eastAsia="宋体" w:cs="宋体"/>
          <w:color w:val="auto"/>
          <w:szCs w:val="21"/>
          <w:highlight w:val="none"/>
          <w:lang w:eastAsia="zh-CN"/>
        </w:rPr>
        <w:t>承包人</w:t>
      </w:r>
      <w:r>
        <w:rPr>
          <w:rFonts w:hint="eastAsia" w:ascii="宋体" w:hAnsi="宋体" w:eastAsia="宋体" w:cs="宋体"/>
          <w:color w:val="auto"/>
          <w:szCs w:val="21"/>
          <w:highlight w:val="none"/>
        </w:rPr>
        <w:t>需无条件执行</w:t>
      </w:r>
      <w:r>
        <w:rPr>
          <w:rFonts w:hint="eastAsia" w:ascii="宋体" w:hAnsi="宋体" w:eastAsia="宋体" w:cs="宋体"/>
          <w:color w:val="auto"/>
          <w:szCs w:val="21"/>
          <w:highlight w:val="none"/>
          <w:lang w:eastAsia="zh-CN"/>
        </w:rPr>
        <w:t>发包人</w:t>
      </w:r>
      <w:r>
        <w:rPr>
          <w:rFonts w:hint="eastAsia" w:ascii="宋体" w:hAnsi="宋体" w:eastAsia="宋体" w:cs="宋体"/>
          <w:color w:val="auto"/>
          <w:szCs w:val="21"/>
          <w:highlight w:val="none"/>
        </w:rPr>
        <w:t>的此类指令，同时也不得以“合同履行后可以获得的利益”为由要求赔偿损失。本项目采用固定综合单价合同，除根据合同变更条款以及合同中其他相关增减金额的约定进行调整外，合同综合单价不做调整。因承包人原因造成本工程费用增加或各分项项目费用增加、竣工日期延误等责任，均由承包人承担。</w:t>
      </w:r>
    </w:p>
    <w:p w14:paraId="020AA24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4、承包人</w:t>
      </w:r>
      <w:r>
        <w:rPr>
          <w:rFonts w:hint="eastAsia" w:ascii="宋体" w:hAnsi="宋体" w:eastAsia="宋体" w:cs="宋体"/>
          <w:color w:val="auto"/>
          <w:szCs w:val="21"/>
          <w:highlight w:val="none"/>
        </w:rPr>
        <w:t>有义务按</w:t>
      </w:r>
      <w:r>
        <w:rPr>
          <w:rFonts w:hint="eastAsia" w:ascii="宋体" w:hAnsi="宋体" w:eastAsia="宋体" w:cs="宋体"/>
          <w:color w:val="auto"/>
          <w:szCs w:val="21"/>
          <w:highlight w:val="none"/>
          <w:lang w:val="en-US" w:eastAsia="zh-CN"/>
        </w:rPr>
        <w:t>发包人</w:t>
      </w:r>
      <w:r>
        <w:rPr>
          <w:rFonts w:hint="eastAsia" w:ascii="宋体" w:hAnsi="宋体" w:eastAsia="宋体" w:cs="宋体"/>
          <w:color w:val="auto"/>
          <w:szCs w:val="21"/>
          <w:highlight w:val="none"/>
        </w:rPr>
        <w:t>要求和</w:t>
      </w:r>
      <w:r>
        <w:rPr>
          <w:rFonts w:hint="eastAsia" w:ascii="宋体" w:hAnsi="宋体" w:eastAsia="宋体" w:cs="宋体"/>
          <w:color w:val="auto"/>
          <w:szCs w:val="21"/>
          <w:highlight w:val="none"/>
          <w:lang w:val="en-US" w:eastAsia="zh-CN"/>
        </w:rPr>
        <w:t>发包人</w:t>
      </w:r>
      <w:r>
        <w:rPr>
          <w:rFonts w:hint="eastAsia" w:ascii="宋体" w:hAnsi="宋体" w:eastAsia="宋体" w:cs="宋体"/>
          <w:color w:val="auto"/>
          <w:szCs w:val="21"/>
          <w:highlight w:val="none"/>
        </w:rPr>
        <w:t>提供的基础资料及国家有关部门、行业工程建设标准规范规定的设计深度及要求 开展工程设计，并对设计的工艺技术和(或)功能，及工程的安全、环境保护、职业健康的标准，设备材料的质量、工程质量和完成时间负责。</w:t>
      </w:r>
      <w:r>
        <w:rPr>
          <w:rFonts w:hint="eastAsia" w:ascii="宋体" w:hAnsi="宋体" w:eastAsia="宋体" w:cs="宋体"/>
          <w:color w:val="auto"/>
          <w:szCs w:val="21"/>
          <w:highlight w:val="none"/>
          <w:lang w:val="en-US" w:eastAsia="zh-CN"/>
        </w:rPr>
        <w:t>承包人</w:t>
      </w:r>
      <w:r>
        <w:rPr>
          <w:rFonts w:hint="eastAsia" w:ascii="宋体" w:hAnsi="宋体" w:eastAsia="宋体" w:cs="宋体"/>
          <w:color w:val="auto"/>
          <w:szCs w:val="21"/>
          <w:highlight w:val="none"/>
        </w:rPr>
        <w:t>提供的图纸由</w:t>
      </w:r>
      <w:r>
        <w:rPr>
          <w:rFonts w:hint="eastAsia" w:ascii="宋体" w:hAnsi="宋体" w:eastAsia="宋体" w:cs="宋体"/>
          <w:color w:val="auto"/>
          <w:szCs w:val="21"/>
          <w:highlight w:val="none"/>
          <w:lang w:val="en-US" w:eastAsia="zh-CN"/>
        </w:rPr>
        <w:t>发包人</w:t>
      </w:r>
      <w:r>
        <w:rPr>
          <w:rFonts w:hint="eastAsia" w:ascii="宋体" w:hAnsi="宋体" w:eastAsia="宋体" w:cs="宋体"/>
          <w:color w:val="auto"/>
          <w:szCs w:val="21"/>
          <w:highlight w:val="none"/>
        </w:rPr>
        <w:t>主持委托评审，审查发生的所有相关费用由</w:t>
      </w:r>
      <w:r>
        <w:rPr>
          <w:rFonts w:hint="eastAsia" w:ascii="宋体" w:hAnsi="宋体" w:eastAsia="宋体" w:cs="宋体"/>
          <w:color w:val="auto"/>
          <w:szCs w:val="21"/>
          <w:highlight w:val="none"/>
          <w:lang w:eastAsia="zh-CN"/>
        </w:rPr>
        <w:t>承包人</w:t>
      </w:r>
      <w:r>
        <w:rPr>
          <w:rFonts w:hint="eastAsia" w:ascii="宋体" w:hAnsi="宋体" w:eastAsia="宋体" w:cs="宋体"/>
          <w:color w:val="auto"/>
          <w:szCs w:val="21"/>
          <w:highlight w:val="none"/>
        </w:rPr>
        <w:t>承担。</w:t>
      </w:r>
    </w:p>
    <w:p w14:paraId="4044D0ED">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承包人</w:t>
      </w:r>
      <w:r>
        <w:rPr>
          <w:rFonts w:hint="eastAsia" w:ascii="宋体" w:hAnsi="宋体" w:eastAsia="宋体" w:cs="宋体"/>
          <w:color w:val="auto"/>
          <w:szCs w:val="21"/>
          <w:highlight w:val="none"/>
        </w:rPr>
        <w:t>须在其提供的图纸经</w:t>
      </w:r>
      <w:r>
        <w:rPr>
          <w:rFonts w:hint="eastAsia" w:ascii="宋体" w:hAnsi="宋体" w:eastAsia="宋体" w:cs="宋体"/>
          <w:color w:val="auto"/>
          <w:szCs w:val="21"/>
          <w:highlight w:val="none"/>
          <w:lang w:val="en-US" w:eastAsia="zh-CN"/>
        </w:rPr>
        <w:t>发包人</w:t>
      </w:r>
      <w:r>
        <w:rPr>
          <w:rFonts w:hint="eastAsia" w:ascii="宋体" w:hAnsi="宋体" w:eastAsia="宋体" w:cs="宋体"/>
          <w:color w:val="auto"/>
          <w:szCs w:val="21"/>
          <w:highlight w:val="none"/>
        </w:rPr>
        <w:t>确认后方可开工建设，严禁边设计、边施工、边修改。</w:t>
      </w:r>
    </w:p>
    <w:p w14:paraId="54B34B28">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因</w:t>
      </w:r>
      <w:r>
        <w:rPr>
          <w:rFonts w:hint="eastAsia" w:ascii="宋体" w:hAnsi="宋体" w:eastAsia="宋体" w:cs="宋体"/>
          <w:color w:val="auto"/>
          <w:szCs w:val="21"/>
          <w:highlight w:val="none"/>
          <w:lang w:val="en-US" w:eastAsia="zh-CN"/>
        </w:rPr>
        <w:t>承包人</w:t>
      </w:r>
      <w:r>
        <w:rPr>
          <w:rFonts w:hint="eastAsia" w:ascii="宋体" w:hAnsi="宋体" w:eastAsia="宋体" w:cs="宋体"/>
          <w:color w:val="auto"/>
          <w:szCs w:val="21"/>
          <w:highlight w:val="none"/>
        </w:rPr>
        <w:t>未能按进度计划组织实施或未按合同履约导致工期延误或发生其他经双方协商未能达成一致意见情形的，</w:t>
      </w:r>
      <w:r>
        <w:rPr>
          <w:rFonts w:hint="eastAsia" w:ascii="宋体" w:hAnsi="宋体" w:eastAsia="宋体" w:cs="宋体"/>
          <w:color w:val="auto"/>
          <w:szCs w:val="21"/>
          <w:highlight w:val="none"/>
          <w:lang w:val="en-US" w:eastAsia="zh-CN"/>
        </w:rPr>
        <w:t>发包人</w:t>
      </w:r>
      <w:r>
        <w:rPr>
          <w:rFonts w:hint="eastAsia" w:ascii="宋体" w:hAnsi="宋体" w:eastAsia="宋体" w:cs="宋体"/>
          <w:color w:val="auto"/>
          <w:szCs w:val="21"/>
          <w:highlight w:val="none"/>
        </w:rPr>
        <w:t>可选择将部分分项项目或全部项目另行发包给第三方实施， 由此产生的所有相关费用由</w:t>
      </w:r>
      <w:r>
        <w:rPr>
          <w:rFonts w:hint="eastAsia" w:ascii="宋体" w:hAnsi="宋体" w:eastAsia="宋体" w:cs="宋体"/>
          <w:color w:val="auto"/>
          <w:szCs w:val="21"/>
          <w:highlight w:val="none"/>
          <w:lang w:val="en-US" w:eastAsia="zh-CN"/>
        </w:rPr>
        <w:t>发包人</w:t>
      </w:r>
      <w:r>
        <w:rPr>
          <w:rFonts w:hint="eastAsia" w:ascii="宋体" w:hAnsi="宋体" w:eastAsia="宋体" w:cs="宋体"/>
          <w:color w:val="auto"/>
          <w:szCs w:val="21"/>
          <w:highlight w:val="none"/>
        </w:rPr>
        <w:t>直接从合同价款中予以扣除，且</w:t>
      </w:r>
      <w:r>
        <w:rPr>
          <w:rFonts w:hint="eastAsia" w:ascii="宋体" w:hAnsi="宋体" w:eastAsia="宋体" w:cs="宋体"/>
          <w:color w:val="auto"/>
          <w:szCs w:val="21"/>
          <w:highlight w:val="none"/>
          <w:lang w:val="en-US" w:eastAsia="zh-CN"/>
        </w:rPr>
        <w:t>承包人</w:t>
      </w:r>
      <w:r>
        <w:rPr>
          <w:rFonts w:hint="eastAsia" w:ascii="宋体" w:hAnsi="宋体" w:eastAsia="宋体" w:cs="宋体"/>
          <w:color w:val="auto"/>
          <w:szCs w:val="21"/>
          <w:highlight w:val="none"/>
        </w:rPr>
        <w:t>须按合同约定承担相应的违约责任。因</w:t>
      </w:r>
      <w:r>
        <w:rPr>
          <w:rFonts w:hint="eastAsia" w:ascii="宋体" w:hAnsi="宋体" w:eastAsia="宋体" w:cs="宋体"/>
          <w:color w:val="auto"/>
          <w:szCs w:val="21"/>
          <w:highlight w:val="none"/>
          <w:lang w:val="en-US" w:eastAsia="zh-CN"/>
        </w:rPr>
        <w:t>承包人</w:t>
      </w:r>
      <w:r>
        <w:rPr>
          <w:rFonts w:hint="eastAsia" w:ascii="宋体" w:hAnsi="宋体" w:eastAsia="宋体" w:cs="宋体"/>
          <w:color w:val="auto"/>
          <w:szCs w:val="21"/>
          <w:highlight w:val="none"/>
        </w:rPr>
        <w:t>违约导致</w:t>
      </w:r>
      <w:r>
        <w:rPr>
          <w:rFonts w:hint="eastAsia" w:ascii="宋体" w:hAnsi="宋体" w:eastAsia="宋体" w:cs="宋体"/>
          <w:color w:val="auto"/>
          <w:szCs w:val="21"/>
          <w:highlight w:val="none"/>
          <w:lang w:val="en-US" w:eastAsia="zh-CN"/>
        </w:rPr>
        <w:t>发包人</w:t>
      </w:r>
      <w:r>
        <w:rPr>
          <w:rFonts w:hint="eastAsia" w:ascii="宋体" w:hAnsi="宋体" w:eastAsia="宋体" w:cs="宋体"/>
          <w:color w:val="auto"/>
          <w:szCs w:val="21"/>
          <w:highlight w:val="none"/>
        </w:rPr>
        <w:t>另行发包而造成工期延误、结算造价超过</w:t>
      </w:r>
      <w:r>
        <w:rPr>
          <w:rFonts w:hint="eastAsia" w:ascii="宋体" w:hAnsi="宋体" w:eastAsia="宋体" w:cs="宋体"/>
          <w:color w:val="auto"/>
          <w:szCs w:val="21"/>
          <w:highlight w:val="none"/>
          <w:lang w:val="en-US" w:eastAsia="zh-CN"/>
        </w:rPr>
        <w:t>承包人</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eastAsia="zh-CN"/>
        </w:rPr>
        <w:t>合同价</w:t>
      </w:r>
      <w:r>
        <w:rPr>
          <w:rFonts w:hint="eastAsia" w:ascii="宋体" w:hAnsi="宋体" w:eastAsia="宋体" w:cs="宋体"/>
          <w:color w:val="auto"/>
          <w:szCs w:val="21"/>
          <w:highlight w:val="none"/>
        </w:rPr>
        <w:t>等其他的损失，全部由</w:t>
      </w:r>
      <w:r>
        <w:rPr>
          <w:rFonts w:hint="eastAsia" w:ascii="宋体" w:hAnsi="宋体" w:eastAsia="宋体" w:cs="宋体"/>
          <w:color w:val="auto"/>
          <w:szCs w:val="21"/>
          <w:highlight w:val="none"/>
          <w:lang w:val="en-US" w:eastAsia="zh-CN"/>
        </w:rPr>
        <w:t>承包人</w:t>
      </w:r>
      <w:r>
        <w:rPr>
          <w:rFonts w:hint="eastAsia" w:ascii="宋体" w:hAnsi="宋体" w:eastAsia="宋体" w:cs="宋体"/>
          <w:color w:val="auto"/>
          <w:szCs w:val="21"/>
          <w:highlight w:val="none"/>
        </w:rPr>
        <w:t>承担</w:t>
      </w:r>
      <w:r>
        <w:rPr>
          <w:rFonts w:hint="eastAsia" w:ascii="宋体" w:hAnsi="宋体" w:eastAsia="宋体" w:cs="宋体"/>
          <w:color w:val="auto"/>
          <w:szCs w:val="21"/>
          <w:highlight w:val="none"/>
          <w:lang w:eastAsia="zh-CN"/>
        </w:rPr>
        <w:t>。</w:t>
      </w:r>
    </w:p>
    <w:p w14:paraId="6BA7F1FB">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因产品质量等原因造成的光伏发电系统故障或设备缺陷、部件损坏及光伏面板需清洗等，</w:t>
      </w:r>
      <w:r>
        <w:rPr>
          <w:rFonts w:hint="eastAsia" w:ascii="宋体" w:hAnsi="宋体" w:eastAsia="宋体" w:cs="宋体"/>
          <w:color w:val="auto"/>
          <w:szCs w:val="21"/>
          <w:highlight w:val="none"/>
          <w:lang w:eastAsia="zh-CN"/>
        </w:rPr>
        <w:t>承包人</w:t>
      </w:r>
      <w:r>
        <w:rPr>
          <w:rFonts w:hint="eastAsia" w:ascii="宋体" w:hAnsi="宋体" w:eastAsia="宋体" w:cs="宋体"/>
          <w:color w:val="auto"/>
          <w:szCs w:val="21"/>
          <w:highlight w:val="none"/>
        </w:rPr>
        <w:t>接到用户通知（书面或电话）1小时内给予答复，</w:t>
      </w:r>
      <w:r>
        <w:rPr>
          <w:rFonts w:hint="eastAsia" w:ascii="宋体" w:hAnsi="宋体" w:eastAsia="宋体" w:cs="宋体"/>
          <w:color w:val="auto"/>
          <w:szCs w:val="21"/>
          <w:highlight w:val="none"/>
          <w:lang w:eastAsia="zh-CN"/>
        </w:rPr>
        <w:t>承包人</w:t>
      </w:r>
      <w:r>
        <w:rPr>
          <w:rFonts w:hint="eastAsia" w:ascii="宋体" w:hAnsi="宋体" w:eastAsia="宋体" w:cs="宋体"/>
          <w:color w:val="auto"/>
          <w:szCs w:val="21"/>
          <w:highlight w:val="none"/>
        </w:rPr>
        <w:t>应设立运营维护服务机构，24小时内派专业人员到达</w:t>
      </w:r>
      <w:r>
        <w:rPr>
          <w:rStyle w:val="220"/>
          <w:rFonts w:hint="eastAsia" w:eastAsia="宋体" w:cs="宋体"/>
          <w:color w:val="auto"/>
          <w:sz w:val="21"/>
          <w:szCs w:val="21"/>
          <w:highlight w:val="none"/>
        </w:rPr>
        <w:t>现场处理解决（紧急情况下应立即到达现场）</w:t>
      </w:r>
      <w:r>
        <w:rPr>
          <w:rFonts w:hint="eastAsia" w:ascii="宋体" w:hAnsi="宋体" w:eastAsia="宋体" w:cs="宋体"/>
          <w:color w:val="auto"/>
          <w:szCs w:val="21"/>
          <w:highlight w:val="none"/>
        </w:rPr>
        <w:t>，时效两年。</w:t>
      </w:r>
      <w:r>
        <w:rPr>
          <w:rFonts w:hint="eastAsia" w:ascii="宋体" w:hAnsi="宋体" w:eastAsia="宋体" w:cs="宋体"/>
          <w:color w:val="auto"/>
          <w:szCs w:val="21"/>
          <w:highlight w:val="none"/>
          <w:lang w:val="en-US" w:eastAsia="zh-CN"/>
        </w:rPr>
        <w:t xml:space="preserve">  </w:t>
      </w:r>
    </w:p>
    <w:p w14:paraId="4868CE40">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8、投标人需自行了解当地接入系统方案；中标后相关设计及施工方案需得到发包人认可方可实施；发包人根据项目方案等因素，可以选择全部或部分终止合同，且不承担任何责任和费用。</w:t>
      </w:r>
    </w:p>
    <w:p w14:paraId="3DF6035B">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9、设备材料供应</w:t>
      </w:r>
    </w:p>
    <w:p w14:paraId="7500B17D">
      <w:pPr>
        <w:spacing w:line="360" w:lineRule="auto"/>
        <w:ind w:firstLine="420" w:firstLineChars="200"/>
        <w:rPr>
          <w:rStyle w:val="220"/>
          <w:rFonts w:hint="eastAsia" w:eastAsia="宋体" w:cs="宋体"/>
          <w:color w:val="auto"/>
          <w:sz w:val="21"/>
          <w:szCs w:val="21"/>
          <w:highlight w:val="none"/>
        </w:rPr>
      </w:pPr>
      <w:r>
        <w:rPr>
          <w:rStyle w:val="220"/>
          <w:rFonts w:hint="eastAsia" w:eastAsia="宋体" w:cs="宋体"/>
          <w:color w:val="auto"/>
          <w:sz w:val="21"/>
          <w:szCs w:val="21"/>
          <w:highlight w:val="none"/>
          <w:lang w:val="en-US" w:eastAsia="zh-CN"/>
        </w:rPr>
        <w:t>9</w:t>
      </w:r>
      <w:r>
        <w:rPr>
          <w:rStyle w:val="220"/>
          <w:rFonts w:hint="eastAsia" w:eastAsia="宋体" w:cs="宋体"/>
          <w:color w:val="auto"/>
          <w:sz w:val="21"/>
          <w:szCs w:val="21"/>
          <w:highlight w:val="none"/>
        </w:rPr>
        <w:t>.1承包人采购设备材料</w:t>
      </w:r>
    </w:p>
    <w:p w14:paraId="18B7138F">
      <w:pPr>
        <w:spacing w:line="360" w:lineRule="auto"/>
        <w:ind w:firstLine="420" w:firstLineChars="200"/>
        <w:rPr>
          <w:rStyle w:val="220"/>
          <w:rFonts w:hint="eastAsia" w:eastAsia="宋体" w:cs="宋体"/>
          <w:color w:val="auto"/>
          <w:sz w:val="21"/>
          <w:szCs w:val="21"/>
          <w:highlight w:val="none"/>
        </w:rPr>
      </w:pPr>
      <w:r>
        <w:rPr>
          <w:rStyle w:val="220"/>
          <w:rFonts w:hint="eastAsia" w:eastAsia="宋体" w:cs="宋体"/>
          <w:color w:val="auto"/>
          <w:sz w:val="21"/>
          <w:szCs w:val="21"/>
          <w:highlight w:val="none"/>
          <w:lang w:val="en-US" w:eastAsia="zh-CN"/>
        </w:rPr>
        <w:t>9</w:t>
      </w:r>
      <w:r>
        <w:rPr>
          <w:rStyle w:val="220"/>
          <w:rFonts w:hint="eastAsia" w:eastAsia="宋体" w:cs="宋体"/>
          <w:color w:val="auto"/>
          <w:sz w:val="21"/>
          <w:szCs w:val="21"/>
          <w:highlight w:val="none"/>
        </w:rPr>
        <w:t>.1.1由承包人负责采购除发包人设备以外的全部本项目工程并网发电以及本合同工程范围内所需的全部设备材料。</w:t>
      </w:r>
    </w:p>
    <w:p w14:paraId="1E25C207">
      <w:pPr>
        <w:spacing w:line="360" w:lineRule="auto"/>
        <w:ind w:firstLine="420" w:firstLineChars="200"/>
        <w:rPr>
          <w:rStyle w:val="220"/>
          <w:rFonts w:hint="eastAsia" w:eastAsia="宋体" w:cs="宋体"/>
          <w:color w:val="auto"/>
          <w:sz w:val="21"/>
          <w:szCs w:val="21"/>
          <w:highlight w:val="none"/>
        </w:rPr>
      </w:pPr>
      <w:r>
        <w:rPr>
          <w:rStyle w:val="220"/>
          <w:rFonts w:hint="eastAsia" w:eastAsia="宋体" w:cs="宋体"/>
          <w:color w:val="auto"/>
          <w:sz w:val="21"/>
          <w:szCs w:val="21"/>
          <w:highlight w:val="none"/>
          <w:lang w:val="en-US" w:eastAsia="zh-CN"/>
        </w:rPr>
        <w:t>9</w:t>
      </w:r>
      <w:r>
        <w:rPr>
          <w:rStyle w:val="220"/>
          <w:rFonts w:hint="eastAsia" w:eastAsia="宋体" w:cs="宋体"/>
          <w:color w:val="auto"/>
          <w:sz w:val="21"/>
          <w:szCs w:val="21"/>
          <w:highlight w:val="none"/>
        </w:rPr>
        <w:t>.1.2本项目工程除发包人负责采购的设备外的本项目满发并网发电所需要的其他设备材料以及本合同工程范围内所需的全部设备材料均由承包人采购。承包人应严格按照国家及行业标准以及设计图纸要求进行采购，发包人有权对该等材料设备的采购进行随机抽检，抽检不合格的发包人有权禁止承包人采购的设备材料用于项目现场，且发包人有权要求承包人限期予以更换，由此产生的费用全部由承包人自行承担，若因此造成本项目工程工期延误的，承包人应当按照本合同的有关规定承担工期延误的违约责任。</w:t>
      </w:r>
    </w:p>
    <w:p w14:paraId="2DFC7079">
      <w:pPr>
        <w:spacing w:line="360" w:lineRule="auto"/>
        <w:ind w:firstLine="420" w:firstLineChars="200"/>
        <w:jc w:val="left"/>
        <w:rPr>
          <w:rStyle w:val="220"/>
          <w:rFonts w:hint="eastAsia" w:eastAsia="宋体" w:cs="宋体"/>
          <w:color w:val="auto"/>
          <w:sz w:val="21"/>
          <w:szCs w:val="21"/>
          <w:highlight w:val="none"/>
        </w:rPr>
      </w:pPr>
      <w:r>
        <w:rPr>
          <w:rStyle w:val="220"/>
          <w:rFonts w:hint="eastAsia" w:eastAsia="宋体" w:cs="宋体"/>
          <w:color w:val="auto"/>
          <w:sz w:val="21"/>
          <w:szCs w:val="21"/>
          <w:highlight w:val="none"/>
          <w:lang w:val="en-US" w:eastAsia="zh-CN"/>
        </w:rPr>
        <w:t>9</w:t>
      </w:r>
      <w:r>
        <w:rPr>
          <w:rStyle w:val="220"/>
          <w:rFonts w:hint="eastAsia" w:eastAsia="宋体" w:cs="宋体"/>
          <w:color w:val="auto"/>
          <w:sz w:val="21"/>
          <w:szCs w:val="21"/>
          <w:highlight w:val="none"/>
        </w:rPr>
        <w:t>.1.3承包人供应的材料设备由承包人负责采购、运输、装卸货、场内二次搬运、储存、保管等，发包人负责提供设备材料的接货、卸货、场内二次搬运、储存、保管、维护、安装等工作均由承包人负责。</w:t>
      </w:r>
    </w:p>
    <w:p w14:paraId="7F1D7769">
      <w:pPr>
        <w:spacing w:line="360" w:lineRule="auto"/>
        <w:ind w:firstLine="420" w:firstLineChars="200"/>
        <w:rPr>
          <w:rStyle w:val="220"/>
          <w:rFonts w:hint="eastAsia" w:eastAsia="宋体" w:cs="宋体"/>
          <w:color w:val="auto"/>
          <w:sz w:val="21"/>
          <w:szCs w:val="21"/>
          <w:highlight w:val="none"/>
        </w:rPr>
      </w:pPr>
      <w:r>
        <w:rPr>
          <w:rStyle w:val="220"/>
          <w:rFonts w:hint="eastAsia" w:eastAsia="宋体" w:cs="宋体"/>
          <w:color w:val="auto"/>
          <w:sz w:val="21"/>
          <w:szCs w:val="21"/>
          <w:highlight w:val="none"/>
          <w:lang w:val="en-US" w:eastAsia="zh-CN"/>
        </w:rPr>
        <w:t>9</w:t>
      </w:r>
      <w:r>
        <w:rPr>
          <w:rStyle w:val="220"/>
          <w:rFonts w:hint="eastAsia" w:eastAsia="宋体" w:cs="宋体"/>
          <w:color w:val="auto"/>
          <w:sz w:val="21"/>
          <w:szCs w:val="21"/>
          <w:highlight w:val="none"/>
        </w:rPr>
        <w:t>.1.4承包人采购的所有材料及设备进场报验时必须经招标人书面认可方可进场施工，否则投标人必须进行更换。施工过程中发现投标人未得到招标人书面认可进场施工的材料设备，招标人不予验收，投标人自行拆除返工，由此造成的费用全部由投标人承担。 。</w:t>
      </w:r>
    </w:p>
    <w:p w14:paraId="6DB019FE">
      <w:pPr>
        <w:spacing w:line="360" w:lineRule="auto"/>
        <w:ind w:firstLine="420" w:firstLineChars="200"/>
        <w:rPr>
          <w:rStyle w:val="220"/>
          <w:rFonts w:hint="eastAsia" w:eastAsia="宋体" w:cs="宋体"/>
          <w:color w:val="auto"/>
          <w:sz w:val="21"/>
          <w:szCs w:val="21"/>
          <w:highlight w:val="none"/>
        </w:rPr>
      </w:pPr>
      <w:r>
        <w:rPr>
          <w:rStyle w:val="220"/>
          <w:rFonts w:hint="eastAsia" w:eastAsia="宋体" w:cs="宋体"/>
          <w:color w:val="auto"/>
          <w:sz w:val="21"/>
          <w:szCs w:val="21"/>
          <w:highlight w:val="none"/>
          <w:lang w:val="en-US" w:eastAsia="zh-CN"/>
        </w:rPr>
        <w:t>9</w:t>
      </w:r>
      <w:r>
        <w:rPr>
          <w:rStyle w:val="220"/>
          <w:rFonts w:hint="eastAsia" w:eastAsia="宋体" w:cs="宋体"/>
          <w:color w:val="auto"/>
          <w:sz w:val="21"/>
          <w:szCs w:val="21"/>
          <w:highlight w:val="none"/>
        </w:rPr>
        <w:t>.1.5在承包人的供应商就承包人负责采购的设备、材料开始生产前，承包人应提前通知发包人，发包人可视具体情况决定是否至承包人的供应商见证出厂试验。如发包人要求见证出厂试验的，承包人应当予以妥善安排并协助进行。发包人发现承包人采购并使用不符合设计或质量标准要求的材料设备时，有权要求承包人负责修复、拆除或重新采购，由此发生的费用由承包人承担，延误的工期不予顺延。</w:t>
      </w:r>
    </w:p>
    <w:p w14:paraId="549A02B4">
      <w:pPr>
        <w:spacing w:line="360" w:lineRule="auto"/>
        <w:ind w:firstLine="420" w:firstLineChars="200"/>
        <w:rPr>
          <w:rStyle w:val="220"/>
          <w:rFonts w:hint="eastAsia" w:eastAsia="宋体" w:cs="宋体"/>
          <w:color w:val="auto"/>
          <w:sz w:val="21"/>
          <w:szCs w:val="21"/>
          <w:highlight w:val="none"/>
        </w:rPr>
      </w:pPr>
      <w:r>
        <w:rPr>
          <w:rStyle w:val="220"/>
          <w:rFonts w:hint="eastAsia" w:eastAsia="宋体" w:cs="宋体"/>
          <w:color w:val="auto"/>
          <w:sz w:val="21"/>
          <w:szCs w:val="21"/>
          <w:highlight w:val="none"/>
          <w:lang w:val="en-US" w:eastAsia="zh-CN"/>
        </w:rPr>
        <w:t>9</w:t>
      </w:r>
      <w:r>
        <w:rPr>
          <w:rStyle w:val="220"/>
          <w:rFonts w:hint="eastAsia" w:eastAsia="宋体" w:cs="宋体"/>
          <w:color w:val="auto"/>
          <w:sz w:val="21"/>
          <w:szCs w:val="21"/>
          <w:highlight w:val="none"/>
        </w:rPr>
        <w:t>.1.6承包人应当按照发包人要求向发包人提供承包人采购的设备材料的质量检验合格证书和质量保证书，否则，发包人有权拒绝向承包人支付本合同项下的相应合同款项。</w:t>
      </w:r>
    </w:p>
    <w:p w14:paraId="14C8D9F1">
      <w:pPr>
        <w:spacing w:line="360" w:lineRule="auto"/>
        <w:ind w:firstLine="420" w:firstLineChars="200"/>
        <w:rPr>
          <w:rStyle w:val="220"/>
          <w:rFonts w:hint="eastAsia" w:eastAsia="宋体" w:cs="宋体"/>
          <w:color w:val="auto"/>
          <w:sz w:val="21"/>
          <w:szCs w:val="21"/>
          <w:highlight w:val="none"/>
        </w:rPr>
      </w:pPr>
      <w:r>
        <w:rPr>
          <w:rStyle w:val="220"/>
          <w:rFonts w:hint="eastAsia" w:eastAsia="宋体" w:cs="宋体"/>
          <w:color w:val="auto"/>
          <w:sz w:val="21"/>
          <w:szCs w:val="21"/>
          <w:highlight w:val="none"/>
          <w:lang w:val="en-US" w:eastAsia="zh-CN"/>
        </w:rPr>
        <w:t>9</w:t>
      </w:r>
      <w:r>
        <w:rPr>
          <w:rStyle w:val="220"/>
          <w:rFonts w:hint="eastAsia" w:eastAsia="宋体" w:cs="宋体"/>
          <w:color w:val="auto"/>
          <w:sz w:val="21"/>
          <w:szCs w:val="21"/>
          <w:highlight w:val="none"/>
        </w:rPr>
        <w:t>.1.7承包人负责采购的设备材料自运抵项目现场，且承包人完成卸货并经发包人对数量、外观、质量进行确认后，所有权归发包人所有，承包人需确保发包人享有排他的、不受干扰的、没有瑕疵的所有权。</w:t>
      </w:r>
    </w:p>
    <w:p w14:paraId="52F5C15E">
      <w:pPr>
        <w:spacing w:line="360" w:lineRule="auto"/>
        <w:ind w:firstLine="420" w:firstLineChars="200"/>
        <w:rPr>
          <w:rStyle w:val="220"/>
          <w:rFonts w:hint="eastAsia" w:eastAsia="宋体" w:cs="宋体"/>
          <w:color w:val="auto"/>
          <w:sz w:val="21"/>
          <w:szCs w:val="21"/>
          <w:highlight w:val="none"/>
        </w:rPr>
      </w:pPr>
      <w:r>
        <w:rPr>
          <w:rStyle w:val="220"/>
          <w:rFonts w:hint="eastAsia" w:eastAsia="宋体" w:cs="宋体"/>
          <w:color w:val="auto"/>
          <w:sz w:val="21"/>
          <w:szCs w:val="21"/>
          <w:highlight w:val="none"/>
          <w:lang w:val="en-US" w:eastAsia="zh-CN"/>
        </w:rPr>
        <w:t>9</w:t>
      </w:r>
      <w:r>
        <w:rPr>
          <w:rStyle w:val="220"/>
          <w:rFonts w:hint="eastAsia" w:eastAsia="宋体" w:cs="宋体"/>
          <w:color w:val="auto"/>
          <w:sz w:val="21"/>
          <w:szCs w:val="21"/>
          <w:highlight w:val="none"/>
        </w:rPr>
        <w:t>.1.8承包人应当按照设备的使用数量、设备或元器件的故障率或消耗率、合同要求提供的备品备件储备于本项目实施地（发包人提供的设备除外），以确保在项目现场及时消除缺陷，否则由此导致的发包人经济损失全部由承包人承担。</w:t>
      </w:r>
    </w:p>
    <w:p w14:paraId="2AB58122">
      <w:pPr>
        <w:spacing w:line="360" w:lineRule="auto"/>
        <w:ind w:firstLine="420" w:firstLineChars="200"/>
        <w:rPr>
          <w:rStyle w:val="220"/>
          <w:rFonts w:hint="eastAsia" w:eastAsia="宋体" w:cs="宋体"/>
          <w:color w:val="auto"/>
          <w:sz w:val="21"/>
          <w:szCs w:val="21"/>
          <w:highlight w:val="none"/>
        </w:rPr>
      </w:pPr>
      <w:r>
        <w:rPr>
          <w:rStyle w:val="220"/>
          <w:rFonts w:hint="eastAsia" w:eastAsia="宋体" w:cs="宋体"/>
          <w:color w:val="auto"/>
          <w:sz w:val="21"/>
          <w:szCs w:val="21"/>
          <w:highlight w:val="none"/>
          <w:lang w:val="en-US" w:eastAsia="zh-CN"/>
        </w:rPr>
        <w:t>9.</w:t>
      </w:r>
      <w:r>
        <w:rPr>
          <w:rStyle w:val="220"/>
          <w:rFonts w:hint="eastAsia" w:eastAsia="宋体" w:cs="宋体"/>
          <w:color w:val="auto"/>
          <w:sz w:val="21"/>
          <w:szCs w:val="21"/>
          <w:highlight w:val="none"/>
        </w:rPr>
        <w:t>1.9 承包人所采购的设备、材料造成发包人的损失，包括但不限于发电量减少导致的电费收入损失、电站暂停运行导致的电费收入损失、电力管理部门考核对发包人的处罚以及人力等其他费用，均由承包人承担。</w:t>
      </w:r>
    </w:p>
    <w:p w14:paraId="0CB8A6E2">
      <w:pPr>
        <w:spacing w:line="360" w:lineRule="auto"/>
        <w:ind w:firstLine="420" w:firstLineChars="200"/>
        <w:rPr>
          <w:rStyle w:val="220"/>
          <w:rFonts w:hint="eastAsia" w:eastAsia="宋体" w:cs="宋体"/>
          <w:color w:val="auto"/>
          <w:sz w:val="21"/>
          <w:szCs w:val="21"/>
          <w:highlight w:val="none"/>
        </w:rPr>
      </w:pPr>
      <w:r>
        <w:rPr>
          <w:rStyle w:val="220"/>
          <w:rFonts w:hint="eastAsia" w:eastAsia="宋体" w:cs="宋体"/>
          <w:color w:val="auto"/>
          <w:sz w:val="21"/>
          <w:szCs w:val="21"/>
          <w:highlight w:val="none"/>
          <w:lang w:val="en-US" w:eastAsia="zh-CN"/>
        </w:rPr>
        <w:t>9</w:t>
      </w:r>
      <w:r>
        <w:rPr>
          <w:rStyle w:val="220"/>
          <w:rFonts w:hint="eastAsia" w:eastAsia="宋体" w:cs="宋体"/>
          <w:color w:val="auto"/>
          <w:sz w:val="21"/>
          <w:szCs w:val="21"/>
          <w:highlight w:val="none"/>
        </w:rPr>
        <w:t>.2发包人设备</w:t>
      </w:r>
    </w:p>
    <w:p w14:paraId="62CE1A56">
      <w:pPr>
        <w:spacing w:line="360" w:lineRule="auto"/>
        <w:ind w:firstLine="420" w:firstLineChars="200"/>
        <w:rPr>
          <w:rStyle w:val="220"/>
          <w:rFonts w:hint="eastAsia" w:eastAsia="宋体" w:cs="宋体"/>
          <w:color w:val="auto"/>
          <w:sz w:val="21"/>
          <w:szCs w:val="21"/>
          <w:highlight w:val="none"/>
        </w:rPr>
      </w:pPr>
      <w:r>
        <w:rPr>
          <w:rStyle w:val="220"/>
          <w:rFonts w:hint="eastAsia" w:eastAsia="宋体" w:cs="宋体"/>
          <w:color w:val="auto"/>
          <w:sz w:val="21"/>
          <w:szCs w:val="21"/>
          <w:highlight w:val="none"/>
          <w:lang w:val="en-US" w:eastAsia="zh-CN"/>
        </w:rPr>
        <w:t>9</w:t>
      </w:r>
      <w:r>
        <w:rPr>
          <w:rStyle w:val="220"/>
          <w:rFonts w:hint="eastAsia" w:eastAsia="宋体" w:cs="宋体"/>
          <w:color w:val="auto"/>
          <w:sz w:val="21"/>
          <w:szCs w:val="21"/>
          <w:highlight w:val="none"/>
        </w:rPr>
        <w:t>.2.</w:t>
      </w:r>
      <w:r>
        <w:rPr>
          <w:rStyle w:val="220"/>
          <w:rFonts w:hint="eastAsia" w:eastAsia="宋体" w:cs="宋体"/>
          <w:color w:val="auto"/>
          <w:sz w:val="21"/>
          <w:szCs w:val="21"/>
          <w:highlight w:val="none"/>
          <w:lang w:val="en-US" w:eastAsia="zh-CN"/>
        </w:rPr>
        <w:t>1</w:t>
      </w:r>
      <w:r>
        <w:rPr>
          <w:rStyle w:val="220"/>
          <w:rFonts w:hint="eastAsia" w:eastAsia="宋体" w:cs="宋体"/>
          <w:color w:val="auto"/>
          <w:sz w:val="21"/>
          <w:szCs w:val="21"/>
          <w:highlight w:val="none"/>
        </w:rPr>
        <w:t>发包人应当按照承包人提供的施工计划所要求的时间向承包人提供发包人设备。</w:t>
      </w:r>
    </w:p>
    <w:p w14:paraId="0B797269">
      <w:pPr>
        <w:spacing w:line="360" w:lineRule="auto"/>
        <w:ind w:firstLine="420" w:firstLineChars="200"/>
        <w:rPr>
          <w:rStyle w:val="220"/>
          <w:rFonts w:hint="eastAsia" w:eastAsia="宋体" w:cs="宋体"/>
          <w:color w:val="auto"/>
          <w:sz w:val="21"/>
          <w:szCs w:val="21"/>
          <w:highlight w:val="none"/>
        </w:rPr>
      </w:pPr>
      <w:r>
        <w:rPr>
          <w:rStyle w:val="220"/>
          <w:rFonts w:hint="eastAsia" w:eastAsia="宋体" w:cs="宋体"/>
          <w:color w:val="auto"/>
          <w:sz w:val="21"/>
          <w:szCs w:val="21"/>
          <w:highlight w:val="none"/>
          <w:lang w:val="en-US" w:eastAsia="zh-CN"/>
        </w:rPr>
        <w:t>9</w:t>
      </w:r>
      <w:r>
        <w:rPr>
          <w:rStyle w:val="220"/>
          <w:rFonts w:hint="eastAsia" w:eastAsia="宋体" w:cs="宋体"/>
          <w:color w:val="auto"/>
          <w:sz w:val="21"/>
          <w:szCs w:val="21"/>
          <w:highlight w:val="none"/>
        </w:rPr>
        <w:t>.2.</w:t>
      </w:r>
      <w:r>
        <w:rPr>
          <w:rStyle w:val="220"/>
          <w:rFonts w:hint="eastAsia" w:eastAsia="宋体" w:cs="宋体"/>
          <w:color w:val="auto"/>
          <w:sz w:val="21"/>
          <w:szCs w:val="21"/>
          <w:highlight w:val="none"/>
          <w:lang w:val="en-US" w:eastAsia="zh-CN"/>
        </w:rPr>
        <w:t>2</w:t>
      </w:r>
      <w:r>
        <w:rPr>
          <w:rStyle w:val="220"/>
          <w:rFonts w:hint="eastAsia" w:eastAsia="宋体" w:cs="宋体"/>
          <w:color w:val="auto"/>
          <w:sz w:val="21"/>
          <w:szCs w:val="21"/>
          <w:highlight w:val="none"/>
        </w:rPr>
        <w:t>承包人应负责发包人设备的现场卸货、场内二次搬运、保管、储存等工作，承包人承担上述工作的费用已经包含在本合同单价中，发包人无需向承包人支付其他任何费用。如因承包人管理不善造成发包人设备损坏或者灭失的，承包人应负责进行更换（承包人向发包人进行购买），或者承包人按照发包人的购买价格予以赔偿，若工期延误的，不予延期，由此造成发包人经济损失的，承包人应当予以赔偿。</w:t>
      </w:r>
    </w:p>
    <w:p w14:paraId="1DE0405A">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9.3监造</w:t>
      </w:r>
    </w:p>
    <w:p w14:paraId="47B6736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发包人有权要求对承包人采购的设备材料进行监造，承包人应当提供积极配合。</w:t>
      </w:r>
    </w:p>
    <w:p w14:paraId="3707F782">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10、设计</w:t>
      </w:r>
    </w:p>
    <w:p w14:paraId="15180D36">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10.1设计内容</w:t>
      </w:r>
    </w:p>
    <w:p w14:paraId="0029C29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10.1.1初步设计</w:t>
      </w:r>
    </w:p>
    <w:p w14:paraId="389AB100">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含踏勘报告、初步设计报告、图纸、概算编制等。</w:t>
      </w:r>
    </w:p>
    <w:p w14:paraId="384D0356">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10.1.2施工图设计</w:t>
      </w:r>
    </w:p>
    <w:p w14:paraId="714B89EB">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主要包括：光伏电站总图布置、围栏与道路设计（如有）、光伏发电支架及基础、设备基础、集电线路设计、光伏发电设备选型及布置、光伏发电系统设计、电气一次设计、电气二次设计、电站监控、火灾报警及系统通信、送出线路设计工作等。</w:t>
      </w:r>
    </w:p>
    <w:p w14:paraId="11C0ACD6">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10.1.3竣工图编制</w:t>
      </w:r>
    </w:p>
    <w:p w14:paraId="1A154A31">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依据本工程的升版图、《设计变更（变更设计）通知单》，施工单位、调试单位或发包人《工程联系单》等有关文件，编制竣工图。</w:t>
      </w:r>
    </w:p>
    <w:p w14:paraId="761FF570">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10.2设计质量要求</w:t>
      </w:r>
    </w:p>
    <w:p w14:paraId="7CAF8448">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10.2.1在保证电站项目安全可靠运行的前提下，突出体现经济性、合理性和先进性。要以经济效益为中心，采用成熟先进的设计思路、设计手段和设计方案，提高电站的综合水平，降低消耗和运行管理成本。</w:t>
      </w:r>
    </w:p>
    <w:p w14:paraId="6D67E99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10.2.2系统效率保证：光伏电站系统的整体效率要满足大于等于80%。发包人提供的设备效率与承包人提供的最终版本的技术规范要求应相符合。</w:t>
      </w:r>
    </w:p>
    <w:p w14:paraId="0E15ED24">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10.2.3承包人应具备在项目现场开展项目设计的相关资质，并自行解决和设计资质及项目地设计主管单位备案相关的事宜。</w:t>
      </w:r>
    </w:p>
    <w:p w14:paraId="0427D0AA">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10.2.4 设计应符合现行相应行业最新的设计规范，施工图及预算通过业主和相关部门审查，施工图达到施工深度要求，经发包人同意后承包人方可实施。</w:t>
      </w:r>
    </w:p>
    <w:p w14:paraId="71CBDE09">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10.2.5 设计中所列出的主要设备、关键元器件，必须符合发包人推荐品牌要求。</w:t>
      </w:r>
    </w:p>
    <w:p w14:paraId="41451D6B">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10.3设计文件的审查和确认</w:t>
      </w:r>
    </w:p>
    <w:p w14:paraId="13450480">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10.3.1承包人按国家及行业有关规定，呈交符合各设计阶段内容、深度和要求的图纸文件供审查之用，且审核文件应齐全，文件包括但不限于初步设计方案、技术规范书、技术协议等，发包人组织并对上述文件进行确认和审查，审查通过后方可实施，承包人应积极予以配合。</w:t>
      </w:r>
    </w:p>
    <w:p w14:paraId="29B75936">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10.3.2承包人交付设计文件后，参加由发包人组织的有关审查。根据审查结论进行必要的修改补充，若审定的设计原则较之前有重大变更而重做或修改设计时，双方应协商确定相关事宜。</w:t>
      </w:r>
    </w:p>
    <w:p w14:paraId="4AB29E68">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10.3.3 对于屋顶分布式项目，承包人应提供具备合格资质的单位出具的荷载报告计算书（签字盖章）。</w:t>
      </w:r>
    </w:p>
    <w:p w14:paraId="20C4906E">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10.3.4发包人组织并对施工用设计图纸进行确认或施工图会审工作，承包人需提供必要的配合。对审图提出的问题承包人应在会议结束后3个工作日内予以修改完成。</w:t>
      </w:r>
    </w:p>
    <w:p w14:paraId="6E7BD73A">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10.3.5 外部施工图审查和消防审查</w:t>
      </w:r>
    </w:p>
    <w:p w14:paraId="69017D2D">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承包人委托的设计单位应配合项目所在地施工图审查机构、消防审查机构组织的施工图审查和消防审查，对审查机构提出的修改和整改意见及时响应，保证项目顺利通过相关审查。</w:t>
      </w:r>
    </w:p>
    <w:p w14:paraId="7344ACF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10.4设计文件份数</w:t>
      </w:r>
    </w:p>
    <w:p w14:paraId="1CFAC29E">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承包人提供设计纸质文件份数如下：</w:t>
      </w:r>
    </w:p>
    <w:p w14:paraId="3DE67EAE">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工程概算八份，</w:t>
      </w:r>
    </w:p>
    <w:p w14:paraId="3C608D5A">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施工图设计八份，</w:t>
      </w:r>
    </w:p>
    <w:p w14:paraId="62E65F55">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鸟瞰图一份，</w:t>
      </w:r>
    </w:p>
    <w:p w14:paraId="4983A3CA">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竣工图八份。</w:t>
      </w:r>
    </w:p>
    <w:p w14:paraId="3A20D2EA">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上述提供的设计文件不包括设计中采用国家、各部和各省、自治区、直辖市颁发的标准构配件图纸。</w:t>
      </w:r>
    </w:p>
    <w:p w14:paraId="219F745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同时，承包人需向发包人提供上述文件的CAD电子版一份及计算书。承包人须提供其负责的设计文件，该等设计文件的提供将作为通过竣工验收的必要条件之一，承包人在竣工验收前将设计文件发送给发包人的质量与安全管理部保存存档。</w:t>
      </w:r>
    </w:p>
    <w:p w14:paraId="60E37D0D">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10.5设计工期</w:t>
      </w:r>
    </w:p>
    <w:p w14:paraId="5ABD1E0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10.5.1除竣工图外，承包人应当按照本项目工程的设计工期需要或者发包人的具体时间要求向发包人提交设计文件。</w:t>
      </w:r>
    </w:p>
    <w:p w14:paraId="75E89A86">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10.5.2承包人应当在本项目工程完工、满发并网发电后的十五个工作日内向发包人提供竣工图纸，否则，发包人有权拒绝开展竣工验收工作。</w:t>
      </w:r>
    </w:p>
    <w:p w14:paraId="05CBA5A9">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10.6设计错误</w:t>
      </w:r>
    </w:p>
    <w:p w14:paraId="7490986E">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如果在承包人设计文件中发现有错误、遗漏、含糊、不一致、不适当或其他缺陷，承包人应自费对这些缺陷和其带来的工程问题进行改正。</w:t>
      </w:r>
    </w:p>
    <w:p w14:paraId="3AE29801">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因承包人设计文件未考虑屋顶遮挡情况导致最终发包人建设的项目电站存在遮挡问题的，则由此导致的发包人全部经济损失（包括但不限于发包人项目电站因受遮挡所遭受的发电量损失、项目电站受遮挡部分的设备及施工费用、项目电站受遮挡部分拆除费用以及其他因承包人设计文件未考虑屋顶遮挡情况所导致的发包人项目电站所遭受的直接或间接经济损失等）均由承包人承担。</w:t>
      </w:r>
    </w:p>
    <w:p w14:paraId="2390A1FB">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由于承包人原因导致设计错误的，承包人除负责采取补救措施外，应免收损失部分的设计费，造成发包人经济损失（包括但不限于发包人或者发包人关联公司进行项目整改所涉及的全部费用、设计错误导致发包人项目出现质量事故所导致的发包人的全部经济损失等）的，承包人应当予以全额赔偿。</w:t>
      </w:r>
    </w:p>
    <w:p w14:paraId="1D41476B">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10.7设计变更</w:t>
      </w:r>
    </w:p>
    <w:p w14:paraId="6FAC2E0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一切设计变更、材料更换、技术问题联系单均采用书面形式，且经双方盖章方为有效。</w:t>
      </w:r>
    </w:p>
    <w:p w14:paraId="538558C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11、承包人应履行的其他义务</w:t>
      </w:r>
    </w:p>
    <w:p w14:paraId="6C8B983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11.1承包人应按照合同设计、实施和完成工程，并修补合同规定的工程中由承包人造成的任何缺陷。完成后，合同中规定的由承包人负责的工程应能满足合同规定的工程预期目的。承包人应提供合同规定的由承包人负责的生产设备和承包人文件，以及施工、完工和修补缺陷所需的所有临时性或永久性的承包人人员、货物、消耗品及其他物品和服务。</w:t>
      </w:r>
    </w:p>
    <w:p w14:paraId="5450CBAD">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11.2承包人应完成为满足发包人要求或合同隐含要求的任何工作，以及（合同虽未提及但）为工程的稳定、或完成、或安全和有效运行所需的所有工作。</w:t>
      </w:r>
    </w:p>
    <w:p w14:paraId="0339B221">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11.3承包人应对所有合同范围内的（除合同明确由发包人完成的工作外）现场作业、所有施工方法和全部工程的完备性、稳定性和安全性承担责任。</w:t>
      </w:r>
    </w:p>
    <w:p w14:paraId="27758F64">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11.4承包人应当严格进行现场的施工管理。</w:t>
      </w:r>
    </w:p>
    <w:p w14:paraId="01B69C5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11.5承包人应支付，并应要求其分包商支付有关部门依法对承包人或其分包商及其劳工或雇员在履行本合同时所征收的所有税款及其他收费。</w:t>
      </w:r>
    </w:p>
    <w:p w14:paraId="308A356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11.6承包人应负责与其他系统的接口工作，并服从发包人或监理（如有）现场协调、安排。</w:t>
      </w:r>
    </w:p>
    <w:p w14:paraId="19C95012">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11.7承包人应保证系统240小时试运期间（本合同项下所指的“240小时试运行期间”均指30天）不因承包人的责任造成停运，应保证系统240小时试运结束后的质保期内不因承包人的责任造成停运。</w:t>
      </w:r>
    </w:p>
    <w:p w14:paraId="2B259833">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11.8本合同签署生效后，承包人不得以任何理由提出涨价、降低标准等影响发包人利益和工程进展的要求。承包人承诺不因满足合同进度要求或者变更进度而要求发包人追加任何合同费用。</w:t>
      </w:r>
    </w:p>
    <w:p w14:paraId="1F506CF5">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11.9承包人负责承担对相关专业参建单位的工程资料管理审查移交与接受工程质量监检的专业对口实施统一管理，对具体的管理费用与责任落实，按照规范规定由发包人项目经理负责协调完成。</w:t>
      </w:r>
    </w:p>
    <w:p w14:paraId="514A41B6">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11.10现场电气、热控、试验项目按最新标准规范执行，不漏项，费用已包含在合同价中。电气仪表、检测装置、保护装置（如互感器、变送器、指示仪表、热电偶、热电阻、压力开关等）的送检校验、单体试验出具有技术监督部门认证资质的合格证，费用已含在合同总价中，不另行计价。</w:t>
      </w:r>
    </w:p>
    <w:p w14:paraId="011A97F5">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11.11承包人承诺执行发包人和监理部门（如有）关于工程施工的有关指令。</w:t>
      </w:r>
    </w:p>
    <w:p w14:paraId="4DACAE52">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11.12承包人负责设备制造缺陷的现场处理并承担费用。</w:t>
      </w:r>
    </w:p>
    <w:p w14:paraId="385EC5B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11.13承包人在施工过程中应遵守政府的各项法令和规章，特别是交通、卫生、安全、消防及环境保护等方面的法令和规章。遵守双方或多方约定的现场管理规定。承包人应承担因自身原因造成的损失和罚款。</w:t>
      </w:r>
    </w:p>
    <w:p w14:paraId="69DD2368">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11.14在开工前5个工作日内完成承包人驻地界区以内的用水、用电、道路和临时设施的建设，承担相应的费用。</w:t>
      </w:r>
    </w:p>
    <w:p w14:paraId="75773D68">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11.15在开工前10个工作日，完成施工图纸编制，并且提交发包人审核。在开工前10个工作日内，编制施工组织设计（施工方案）报发包人审批，做好各项施工准备工作。</w:t>
      </w:r>
    </w:p>
    <w:p w14:paraId="71F096E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11.16工程开工前10工作日内提出书面开工报告。向发包人提交施工平面布置图、施工进度计划；按发包人要求向发包人提交本月施工进度报表及下月施工作业计划；隐蔽工程或中间验收前12小时内以书面形式通知工程师验收；达到竣工条件5个工作日内向发包人提交竣工验收报告；工程事故发生后2小时内向发包人通报，并在24小时内提交书面报告。</w:t>
      </w:r>
    </w:p>
    <w:p w14:paraId="08B69BED">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11.17对已完工的工程在交工前负责保管，并清理好场地。</w:t>
      </w:r>
    </w:p>
    <w:p w14:paraId="01808AA6">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11.18在施工过程中如发生较大工程质量事故，应及时报告工程师和安全管理部门，经工程师、安全管理部门共同研究，明确责任，确定处理方案后方可实施。</w:t>
      </w:r>
    </w:p>
    <w:p w14:paraId="3A458E65">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11.19做好施工场地地下管线和邻近建筑物、构筑物等的保护工作，并承担相应的费用。若因承包人施工原因导致发包人项目所在建筑物屋顶出现毁损的，由承包人负责进行维修，并承担相关的费用；</w:t>
      </w:r>
    </w:p>
    <w:p w14:paraId="4335A762">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11.20承包人不得将整个工程分包或转包/转让给任何第三方，在未取得发包人书面同意的情况下，承包人不得将任何一部分工程转包/转让给任何第三方。施工部分的分包商应当具备相应工程所需的电力工程施工资质证书及安全生产许可证。承包人应独立负责支付给每一分包商应由承包人支付的合同款项。</w:t>
      </w:r>
    </w:p>
    <w:p w14:paraId="4050A063">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11.21承包人应及时向其分包商、雇员支付合同款项或者工资，如承包人未及时向其分包商、雇员支付合同款项或者工资导致分包商、承包人雇员等干扰发包人项目的正常施工、发包人及其关联企业的正常生产经营的，每发生一次，发包人有权按照合同总价1%的标准计扣违约金，且承包人应在上述现象发生后的三天内予以妥善处理，如承包人未能在上述时间期限内妥善处理的，发包人有权向承包人的分包商、雇员直接支付合同款项或者工资，且相关款项从本合同尚未支付的合同款项中予以扣除，且不免除承包人的违约责任。</w:t>
      </w:r>
    </w:p>
    <w:p w14:paraId="45B7A97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11.22承包人提供的光伏组件进行卸货、搬运、存放及安装时应做好防护措施，防止组件损坏或隐裂，发包人有权在竣工验收时抽取部分光伏组件进行EL测试，如存在隐裂等问题，按照本合同附件《施工质量协议》中约定的条款执行，承包人必须安排人员配合整个抽样测试。 </w:t>
      </w:r>
    </w:p>
    <w:p w14:paraId="180D9394">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11.23承包人的安全管理职责：</w:t>
      </w:r>
    </w:p>
    <w:p w14:paraId="7827C9CB">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承包人应对合同工程施工现场的安全负总责，履行《中华人民共和国安全生产法》、《建设工程安全生产管理条例》、《电力建设工程施工安全监督管理办法》、《电力建设安全工作规程(火力发电厂部分)》、《电力建设文明施工规定及考核办法》、《生产安全事故报告和调查处理条例》等国家法律、法规和行业安全标准及合同履行期间变更的或新颁布的国家法律、法规和行业安全标准。按照“安全第一、预防为主、综合治理”的方针，从源头上防范化解重大安全风险，保证建设工程安全生产。</w:t>
      </w:r>
    </w:p>
    <w:p w14:paraId="2EFDC779">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承包人必须采取一切必要措施和手段强化施工安全健康文明管理，提高安全健康与文明施工水平，严格落实建设过程中安全生产资金、物资、技术、人员的投入保障力度，确定严格的安全施工秩序以保证施工人员及任何第三方在施工中的安全与健康。</w:t>
      </w:r>
    </w:p>
    <w:p w14:paraId="4BE6CCB1">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承包人应建立严密的安全管理网络和有效的安全保障体系；必须设立独立安全管理机构。</w:t>
      </w:r>
    </w:p>
    <w:p w14:paraId="05AA6535">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承包人必须按规定参加由监理工程师和发包人组织的各种安全活动和召开的安全会议。</w:t>
      </w:r>
    </w:p>
    <w:p w14:paraId="67533412">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承包人应审查施工分包商主要负责人、项目经理、专职安全人员是否达到国家有关安全生产许可证规定的考核要求，并将该条件作为投标资格的必备条件。</w:t>
      </w:r>
    </w:p>
    <w:p w14:paraId="63DCEB7D">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承包人所有安全设施、施工机具设备和高空作业的设备均应符合国家或行业安全技术标准并应定期检查，并有安全员的签字记录；特种设备(电梯、升降机、起重机械、厂内机动车辆、防爆电气设备等)应取得地方政府质量技术监督部门的许可使用证件方可使用。</w:t>
      </w:r>
    </w:p>
    <w:p w14:paraId="69CE8DE3">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承包人特殊工种(电工、电梯工、起重工、焊工、车船驾驶员、爆破工、潜水工等)要经专业培训，并持有政府主管部门签发的上岗合格证。</w:t>
      </w:r>
    </w:p>
    <w:p w14:paraId="5A6E13E4">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承包人组织制订合同工程的安全应急预案，定期组织演练。发生事故后，应及时启动相关应急预案，采取有效措施，最大程度减少人员伤亡、工程与设备损失，防止事故扩大。</w:t>
      </w:r>
    </w:p>
    <w:p w14:paraId="034B10D8">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监理工程师和发包人代表对承包人在合同工程期间的安全、健康、环境与文明施工等管理工作进行全面监督、考核。承包人承诺遵守安全、文明施工协议书的约定，接受发包人和监理工程师按照其中的考核条款进行考核。如承包人的安全与文明施工管理达不到安全、文明施工协议书的要求，符合其中处罚条件时，承包人同意按照安全、文明施工协议书中相应条款约定的金额向发包人支付违约赔偿金。</w:t>
      </w:r>
    </w:p>
    <w:p w14:paraId="327E2F4A">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承包人必须投保安全生产责任保险，保险范围包括本合同履行过程中发生的安全生产事故所导致的任何人身伤亡、财产损失赔偿责任，并确保在发包人颁发最终竣工验收证书之前投保的安全生产责任保险持续有效。</w:t>
      </w:r>
    </w:p>
    <w:p w14:paraId="0402AC4B">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承包人对合同履行过程中发生的任何生产安全事故负总责，无论任何原因发生的安全事故导致发包人的行政责任、民事赔偿责任所招致的经济损失皆由承包人向发包人承担赔偿责任，如确有第三方责任主体的再由承包人自行向第三方追偿。如发生承包人为主要责任方的生产安全事故，发包人亦有权向承包人主张惩罚性违约金，且发包人有权永久将承包人从合格供应商目录中剔除。</w:t>
      </w:r>
    </w:p>
    <w:p w14:paraId="3D36378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承包人应在其现场设置安全监督管理等机构，配备规定数量的安全员，专门处理安全及防止所有员工人身事故方面的问题。这些工作人员按规定持证上岗，服从发包人的管理，并有权发布各种指示及采取防止事故发生的预防措施。</w:t>
      </w:r>
    </w:p>
    <w:p w14:paraId="3972DDDA">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承包人应在安全事故发生后立即将其详细情况报告监理工程师、发包人代表。如果出现人员死亡或其他严重事故，承包人应以最快方式通知发包人代表、监理工程师及当地政府安全监察部门。善后事宜及费用由承包人自行负责。</w:t>
      </w:r>
    </w:p>
    <w:p w14:paraId="5435F6E0">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11.25对总承包范围内的资源进行整理、开发 (包含与各级政府或产权方的对接协调、现场踏勘、基础数据收集、资源梳理、屋面航拍及项目初步评估等工作；单个项目实施的位置需经政府和项目业主确认后，由项目业主与产权方签订合同)。</w:t>
      </w:r>
    </w:p>
    <w:p w14:paraId="45A5214D">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屋顶资源的梳理整合，项目可研报告优化等；</w:t>
      </w:r>
    </w:p>
    <w:p w14:paraId="20D3F9C0">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经发包人同意后开展项目备案(发包人协助)；</w:t>
      </w:r>
    </w:p>
    <w:p w14:paraId="1BB4BDB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编制单个工程的初步设计方案，并通过发包人审查；</w:t>
      </w:r>
    </w:p>
    <w:p w14:paraId="3F779184">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办理发电收益划扣手续(户用)、用电增容和电力接入报批(发包人协助)；</w:t>
      </w:r>
    </w:p>
    <w:p w14:paraId="3BC2B2F6">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按照相关要求完成环评登记表编制、报批，安全评价(含预评价、专篇和验收)；</w:t>
      </w:r>
    </w:p>
    <w:p w14:paraId="671077E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完成拟建光伏的构建筑物安全鉴定(含检测或结构复核)、加固和防水修复(如需)等；</w:t>
      </w:r>
    </w:p>
    <w:p w14:paraId="57CE4C4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施工组织设计、施工图设计及设计交底、竣工图和竣工文件编制、报审、交接；</w:t>
      </w:r>
    </w:p>
    <w:p w14:paraId="51D86115">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按照设计要求完成屋顶光伏及配套系统工程施工(含并网点改造)；</w:t>
      </w:r>
    </w:p>
    <w:p w14:paraId="6299604E">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提供工程所需的材料、设备、备品备件，包括但不限于：</w:t>
      </w:r>
    </w:p>
    <w:p w14:paraId="0A8F29C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 工程所需的钢筋、水泥、建筑结构件等各项材料。</w:t>
      </w:r>
    </w:p>
    <w:p w14:paraId="310A7AA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 导轨、支架及基础、逆变器、组件、交流汇流箱、配电设施(含并网设备)、</w:t>
      </w:r>
    </w:p>
    <w:p w14:paraId="4716AF88">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热浸镀锌电缆桥架、电缆(含防护套管)、上屋面独立钢梯(直爬梯， 按需)、屋顶检修通道 (含护栏) 等满足本工程需要的所有设备和材料。</w:t>
      </w:r>
    </w:p>
    <w:p w14:paraId="49EB8815">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 工程需要的主、辅材料。</w:t>
      </w:r>
    </w:p>
    <w:p w14:paraId="0C3867DE">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 工程需要的建筑材料。</w:t>
      </w:r>
    </w:p>
    <w:p w14:paraId="02E9D081">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 安全工器具和备品备件。</w:t>
      </w:r>
    </w:p>
    <w:p w14:paraId="65E2C661">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11.26本工程内安装工程：包含但不限于光伏组件基础安装、光伏组件安装、夹具安 装、支架(导轨) 安装、桥架安装、交直流电缆敷设及电缆头制作、逆变器安装、交流汇流 箱安装、室外配电箱(柜)安装、送出工程及其他配套设施安装等。</w:t>
      </w:r>
    </w:p>
    <w:p w14:paraId="48371955">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11.27本工程内土建工程：包含但不限于构建筑物加固(如需)、屋顶漏水修复(如需)、 逆变器基础、配电柜基础(含汇流箱等) 等。</w:t>
      </w:r>
    </w:p>
    <w:p w14:paraId="0BBE1795">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11.28 本工程内专项验收工作： 包含但不限于通过环境影响评价(登记表)、安全评价 (含预评价、专篇验收)、消防验收(如需)、防雷验收、电气性能检测、档案和职业健康(如 需)等验收。</w:t>
      </w:r>
    </w:p>
    <w:p w14:paraId="583867B2">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11.29若在安装、调试、运行中发现缺项，承包人需补充供货。</w:t>
      </w:r>
    </w:p>
    <w:p w14:paraId="0616CCB8">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11.30光伏电站整组启动，由承包人负责进行并网前后的调试和测试， 对于涉网部分调试， 由承包人负责委托具有资质的单位进行调试。</w:t>
      </w:r>
    </w:p>
    <w:p w14:paraId="7C5605C0">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11.31户外逆变器防护设施、配电柜(含汇流箱) 围栏、上屋面独立钢梯、屋面检修 通道和防护围栏、电缆标识桩等设计、施工、及验收等。</w:t>
      </w:r>
    </w:p>
    <w:p w14:paraId="51FF3F1E">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11.32负责通过业主及相关部门的项目验收： 含并网验收、竣工验收等按照相关部门 要求完成的验收，办理竣工手续。</w:t>
      </w:r>
    </w:p>
    <w:p w14:paraId="793731AD">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11.33按照发包人要求完成安全生产标准化达标。</w:t>
      </w:r>
    </w:p>
    <w:p w14:paraId="53613B5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11.34负责施工现场协调工作， 处理开工前和工程持续期与工程有关的各种事宜。</w:t>
      </w:r>
    </w:p>
    <w:p w14:paraId="6561E69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11.35提供光伏电站整套的初步设计方案、施工组织设计、施工图、竣工图、设备说明书、设备盘柜内部元器件布置图和电气接线原理图。</w:t>
      </w:r>
    </w:p>
    <w:p w14:paraId="3463515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11.36负责协调产权人、项目业主与国网公司三方供用电及电费划转手续等合同的签订(按需)。</w:t>
      </w:r>
    </w:p>
    <w:p w14:paraId="66B09B9E">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11.37提供本工程所需的安全工器具和备品备件，负责质保期内的本工程所有设备质保，以及质保期内的技术支持和售后服务。</w:t>
      </w:r>
    </w:p>
    <w:p w14:paraId="7D7C678A">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12、施工、竣工验收、结算与保修项基本原则</w:t>
      </w:r>
    </w:p>
    <w:p w14:paraId="35603069">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12.1 在施工过程中，发包人可以随时对作业进度、质量进行检查。发包人有权对工程不符合质量要求、承包人违反施工程序、施工操作工艺的施工，或材料不合格的，责令承包人返工，返工费用由承包人承担，承包人在接到发包人或监理发出的质量问题通知单后，应按时整改完毕，工期不因此顺延。发包人可对施工进度、质量、安全进行监督、检查。</w:t>
      </w:r>
    </w:p>
    <w:p w14:paraId="0F15FCB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12.2承包人应按合同约定完成对设备的安装与调试，达到合同约定的要求和标准，并保证设备正常运行。发包人在安装与调试过程中应提供必要的协助和配合。在安装调试期间，如果承包人提供的设备、材料有缺陷或由于承包人技术人员的错误或承包人提供的技术资料、图纸、说明书的错误造成发包人设备、材料损坏，承包人应采取必要的补救措施，并赔偿发包人的损失。安装工作完全符合发包人的要求或合同的要求和标准，并且单机试车成功，双方代表可在2个工作日内现场签署安装竣工书。但不免除承包人在安装调试过程中和质量保证期内所应承担的责任。设备整机经联运测试完全符合合同或技术附件约定的技术指标,经双方代表签字确认后，即完成了对全部设备的调试。</w:t>
      </w:r>
    </w:p>
    <w:p w14:paraId="0F1B6053">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12.3本合同工程完工并实现满发并网发电后，双方应共同对项目工程开展240小时（30天）试运行。承包人应提前5天将可以进行系统240小时试运行的日期通知发包人。240小时试运行应包括规定的操作试验，以证明工程或分项工程能够在所有可利用的操作条件下安全地操作。240小时试运行，应证明工程运行可靠，符合合同要求。</w:t>
      </w:r>
    </w:p>
    <w:p w14:paraId="020B021A">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如果承包人未经发包人同意、无合理理由地延误240小时试运行，发包人可通知承包人，要求在接到通知后7天内进行240小时试运行，否则，视为承包人违约，按照工期延误处理。</w:t>
      </w:r>
    </w:p>
    <w:p w14:paraId="350C415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如果因承包人原因导致工程未能通过240小时试运行的，承包人应对试运行期间发现的质量问题进行整改，相关整改费用全部由承包人自行承担。待承包人完成全部整改工作后，由承包人向发包人申请再次进行240小时试运行。</w:t>
      </w:r>
    </w:p>
    <w:p w14:paraId="7299C491">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12.4竣工工程验收以国家、省、市颁发的施工验收规范、质量检验标准及施工图为依据，在进行竣工验收时，承包人应向发包人提供增减工程变更的有关手续和其他洽商记录。工程通过240小时试运行的，承包人按国家工程竣工验收有关规定，向发包人现场代表提供完整竣工资料及竣工验收报告一式三份,发包人接到申请后15日内，确定验收时间并组织验收。竣工验收通过的，发包人签署“工程竣工验收合格证书”发放给承包人。如因承包人原因导致竣工验收未通过的，则由承包人负责对工程存在的质量缺陷进行整改，整改期限为承包人收到发包人的整改通知之日起的30日内完成，相关费用由承包人自行承担。整改完成后，由承包人申请发包人再次组织竣工验收。</w:t>
      </w:r>
    </w:p>
    <w:p w14:paraId="7261FBB9">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若承包人经过两次整改消缺但仍无法达到竣工验收合格标准的，承包人可申请对本工程项目进行“缺项验收”，即承包人可在以下方案中任选其一，作为本工程项目缺项验收的依据，并在“工程竣工验收合格证书”中予以载明。</w:t>
      </w:r>
    </w:p>
    <w:p w14:paraId="20896F19">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12.4.1 双方签署消缺协议，明确约定有条件通过工程竣工验收后，承包人需要继续进行整改消缺的内容以及整改消缺的时间，同时，发包人在整改消缺完成前，不予支付整改消缺部分所对应的合同款项。如承包人在消缺协议中所确定的期限内未完成整改消缺工作的，则发包人有权自行委托第三方进行整改消缺，所产生的费用从暂扣的工程款予以扣除，不足部分由承包人予以承担。</w:t>
      </w:r>
    </w:p>
    <w:p w14:paraId="7567169A">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12.4.2 双方书面确认承包人尚未完成的整改消缺工作，且承包人不再承担整改消缺的工作，整改消缺工作所对应的合同工程款项暂时不予支付。发包人可自行委托第三方进行本工程的整改消缺工作，所产生的费用在发包人暂扣的工程款中扣减，不足部分由承包人承担。</w:t>
      </w:r>
    </w:p>
    <w:p w14:paraId="117E800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无论承包人申请采用上述何种方式进行“缺项验收”，均不免除承包人的质量保证责任。</w:t>
      </w:r>
    </w:p>
    <w:p w14:paraId="6D768B63">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双方签署“工程竣工验收合格证书”之日为工程通过竣工验收的日期。</w:t>
      </w:r>
    </w:p>
    <w:p w14:paraId="112E826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12.5本合同项下约定的“质保期”均自工程通过竣工验收之日起算。在质保期内出现任何问题时，承包人接到发包人通知（书面或电话）1小时内给予答复，承包人应设立运营维护服务机构，24小时内派专业人员到达现场处理解决（紧急情况下应立即到达现场）。如承包人在72小时内仍无人员至现场（或紧急情况下未能立即到达现场抢修的），发包人有权另行委托他人进行维修，维修发生的费用由承包人承担，并承担由此造成发包人的全部经济损失（包括发包人光伏电站的电费收入损失、光伏补贴损失等）。质保期内发生的一切维修、抢修费用均由承包人承担。</w:t>
      </w:r>
    </w:p>
    <w:p w14:paraId="4C4B8915">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本工程经承包人申请后采取“缺项验收”的，相关整改消缺部分所对应的质保期自整改消缺部分完成且经发包人验收合格之日起算。</w:t>
      </w:r>
    </w:p>
    <w:p w14:paraId="7AE6EEC3">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12.6因承包人施工原因造成的项目所在及周围建筑物、发包人电站内的设备和地下管线损毁的，承包人应根据发包人的要求无偿恢复其原状或进行赔偿，所产生的费用及责任由承包人负责。如因上述问题导致发包人遭受任何损失（包括发包人光伏电站的电费收入损失）或导致发包人向任何第三方（包括项目所在建筑物所有权人）进行赔偿的，发包人有权就该等赔偿向承包人索赔，如发包人索赔时尚有部分合同款项未予支付，则发包人有权从尚未支付的款项中将赔偿金予以扣除。该条约定的效力不因本合同质保期的结束或者本合同的终止而终止。</w:t>
      </w:r>
    </w:p>
    <w:p w14:paraId="6B36EEB1">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13、暂停施工</w:t>
      </w:r>
    </w:p>
    <w:p w14:paraId="12C28866">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13.1发包人代表在确有必要时，可要求承包人暂停施工，并在提出要求后12小时内提出处理意见。承包人应按发包人要求停止施工，并妥善保护已完工工程。承包人实施发包人代表处理意见后，可提出复工要求，发包人代表应在12小时内给予答复。发包人代表未能在规定时间内提出处理意见，或收到承包人复工要求后24小时内未予答复，承包人可自行复工。停工责任在发包人，相应顺延工期；停工责任在承包人的，由承包人承担发生的费用及承担发包人全部损失的赔偿责任(含发包人光伏电站电费收入损失、光伏补贴损失等)。</w:t>
      </w:r>
    </w:p>
    <w:p w14:paraId="61A1BA29">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13.2暂停施工期间，由承包人负责对施工现场的设备、材料以及已完成的工程进行保管，由于承包人保管不善导致发包人经济损失的，全部由承包人进行赔偿。</w:t>
      </w:r>
    </w:p>
    <w:p w14:paraId="474EC3CD">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14、施工安全和工伤事故</w:t>
      </w:r>
    </w:p>
    <w:p w14:paraId="2EB1A07B">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14.1承包人按有关规定，采取严格的安全措施。承担由于自身安全措施不力造成事故的责任和因此发生的费用，非承包人责任造成的伤亡事故、由责任方承担责任和有关费用。发生重大伤亡事故，承包人应按有关规定立即上报有关部门并通知发包人代表。同时按政府有关要求处理。发包人为抢敷提供必要条件。发生的费用由事故责任方承担。承包人在动力设备、高电压线路、地下管道、密封防震车间、易燃易爆地段以及临街交通要道附近施工前，应向发包人代表提出安全保护措施，经发包人代表批准后实施，由承包人承担保护措施费用。在有毒有害环境中施工，承包人应按有关规定提供相应的防护措施，并承担有关的经济支出。</w:t>
      </w:r>
    </w:p>
    <w:p w14:paraId="0D63F2A2">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14.2 施工人员的人身意外伤害保险由承包人办理。承包人应按照本合同第十九条的约定购买相应保险并向发包人提供保单等证明文件。</w:t>
      </w:r>
    </w:p>
    <w:p w14:paraId="49F80E5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15、其他违约责任</w:t>
      </w:r>
    </w:p>
    <w:p w14:paraId="4546FB5B">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15.1 由于承包人责任未按本合同规定的日期竣工的，以实际竣工验收合格日期计算，每延期一天将处以5000元违约金；若工程逾期竣工超过合同约定时间30天(含30天)，视为承包人严重违约，发包人有权解除本合同并要求承包人根据本合同约定承担违约责任（包括发包人光伏电站的电费收入损失以及光伏补贴损失等）。</w:t>
      </w:r>
    </w:p>
    <w:p w14:paraId="1CFB5EE2">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15.2因承包人原因造成合同无法继续履行，或承包人严重违约，或承包人违反本合同约定经发包人通知后未在规定期限内纠正的，发包人有权立即解除本合同，承包人应向发包人支付本合同总价款10%的违约金，作为向发包人的赔偿，并且承包人应将发包人已经支付的费用及该等费用按照全国银行间同业拆借中心公布的一年期贷款市场报价利率计算的利息退还给发包人，如违约金不足以补偿发包人遭受的损失的，承包人应另行赔偿。</w:t>
      </w:r>
    </w:p>
    <w:p w14:paraId="4BB0E4FE">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15.3工程或设备质量不符合约定，承包人应当按照发包人的要求及时进行维修或者整改，由此产生的全部费用均由承包人承担，且由于工程或者承包人采购的设备质量不符合约定导致发包人经济损失（包括发包人光伏电站的电费收入损失、光伏补贴损失等）的，全部由承包人承担。工程或设备质量不符合约定且承包人未按发包人要求采取必要补救措施的，发包人有权解除合同，且要求承包人赔偿发包人损失（包括发包人光伏电站的电费收入损失、光伏补贴损失以及发包人自行补救所花费的全部费用等）。</w:t>
      </w:r>
    </w:p>
    <w:p w14:paraId="0B112FAE">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15.4 承包人保证安装施工过程中不侵犯第三方的权利。由施工造成的屋面渗漏、维修、翻修改造或其他损坏，承包人应承担相应的维修及赔偿责任。如承包人未在发包人限定的时间内维修完毕的，发包人有权自行委托第三方进行屋顶修缮，由此产生的维修费用由承包人承担，发包人有权从未付承包人的工程款中扣除相关维修费用，不足部分仍由承包人承担。若承包人未向受损方承担赔偿责任的，发包人有权从后续尚未支付的款项中扣除相应金额代为赔偿给受损方。</w:t>
      </w:r>
    </w:p>
    <w:p w14:paraId="186C4244">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15.5承包人应当在项目竣工前对项目电站组件清洗一次，如承包人在项目竣工前未清洗组件的，则发包人有权委托第三方清洗组件，由此产生的费用由承包人承担，发包人有权从未付承包人的工程款中直接扣除委托第三方清洗组件的费用。</w:t>
      </w:r>
    </w:p>
    <w:p w14:paraId="43376850">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15.6 承包人未按照约定期限向发包人开具符合要求的履约保函及质量保函，或履约保函及质量保函到期后/失效后/金额不足后，承包人未向发包人提供新的同类银行履约保函或质量保函的，每逾期一天，发包人有权要求承包人支付保函金额3%的违约金，违约金计算至承包人开具合格的银行履约保函、质量保函之日止。</w:t>
      </w:r>
    </w:p>
    <w:p w14:paraId="71B40C93">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16、本工程竣工后，应将施工现场周围和施工单位生活区周围现场清除干净；无建筑材料、无建筑设备、无临时垃圾、无坑池渠沟、无掩埋的硬化道路和垃圾，场地整洁。</w:t>
      </w:r>
    </w:p>
    <w:p w14:paraId="409B8600">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17、承包人应负责协调好与施工现场周围关系，由此产生费用由承包人承担。</w:t>
      </w:r>
    </w:p>
    <w:p w14:paraId="2D1B167E">
      <w:pPr>
        <w:rPr>
          <w:rFonts w:hint="eastAsia" w:ascii="宋体" w:hAnsi="宋体" w:cs="宋体"/>
          <w:color w:val="auto"/>
          <w:szCs w:val="21"/>
          <w:highlight w:val="none"/>
          <w:lang w:val="en-US" w:eastAsia="zh-CN"/>
        </w:rPr>
      </w:pPr>
      <w:r>
        <w:rPr>
          <w:rFonts w:hint="default"/>
          <w:color w:val="auto"/>
          <w:highlight w:val="none"/>
          <w:lang w:val="en-US" w:eastAsia="zh-CN"/>
        </w:rPr>
        <w:br w:type="page"/>
      </w:r>
    </w:p>
    <w:p w14:paraId="143097A8">
      <w:pPr>
        <w:widowControl/>
        <w:shd w:val="clear"/>
        <w:tabs>
          <w:tab w:val="left" w:leader="underscore" w:pos="6300"/>
        </w:tabs>
        <w:adjustRightInd w:val="0"/>
        <w:snapToGrid w:val="0"/>
        <w:spacing w:after="50" w:line="360" w:lineRule="auto"/>
        <w:jc w:val="center"/>
        <w:outlineLvl w:val="0"/>
        <w:rPr>
          <w:rFonts w:ascii="黑体" w:hAnsi="黑体" w:eastAsia="黑体"/>
          <w:b/>
          <w:bCs/>
          <w:color w:val="auto"/>
          <w:kern w:val="44"/>
          <w:sz w:val="28"/>
          <w:szCs w:val="28"/>
          <w:highlight w:val="none"/>
          <w:lang w:val="zh-CN"/>
        </w:rPr>
      </w:pPr>
      <w:r>
        <w:rPr>
          <w:rFonts w:hint="eastAsia" w:ascii="黑体" w:hAnsi="黑体" w:eastAsia="黑体"/>
          <w:b/>
          <w:bCs/>
          <w:color w:val="auto"/>
          <w:kern w:val="44"/>
          <w:sz w:val="30"/>
          <w:szCs w:val="30"/>
          <w:highlight w:val="none"/>
          <w:lang w:val="zh-CN"/>
        </w:rPr>
        <w:t>专用合同条件附件</w:t>
      </w:r>
    </w:p>
    <w:p w14:paraId="4385BF64">
      <w:pPr>
        <w:shd w:val="clear"/>
        <w:tabs>
          <w:tab w:val="left" w:leader="underscore" w:pos="6300"/>
        </w:tabs>
        <w:snapToGrid w:val="0"/>
        <w:spacing w:line="360" w:lineRule="auto"/>
        <w:ind w:firstLine="420" w:firstLineChars="200"/>
        <w:rPr>
          <w:color w:val="auto"/>
          <w:szCs w:val="21"/>
          <w:highlight w:val="none"/>
        </w:rPr>
      </w:pPr>
      <w:r>
        <w:rPr>
          <w:rFonts w:hint="eastAsia"/>
          <w:color w:val="auto"/>
          <w:szCs w:val="21"/>
          <w:highlight w:val="none"/>
        </w:rPr>
        <w:t>附件1：发包人要求</w:t>
      </w:r>
    </w:p>
    <w:p w14:paraId="262EE731">
      <w:pPr>
        <w:shd w:val="clear"/>
        <w:tabs>
          <w:tab w:val="left" w:leader="underscore" w:pos="6300"/>
        </w:tabs>
        <w:snapToGrid w:val="0"/>
        <w:spacing w:line="360" w:lineRule="auto"/>
        <w:ind w:firstLine="420" w:firstLineChars="200"/>
        <w:rPr>
          <w:color w:val="auto"/>
          <w:szCs w:val="21"/>
          <w:highlight w:val="none"/>
        </w:rPr>
      </w:pPr>
      <w:r>
        <w:rPr>
          <w:rFonts w:hint="eastAsia"/>
          <w:color w:val="auto"/>
          <w:szCs w:val="21"/>
          <w:highlight w:val="none"/>
        </w:rPr>
        <w:t>附件2：安全生产合同</w:t>
      </w:r>
    </w:p>
    <w:p w14:paraId="3A677B6D">
      <w:pPr>
        <w:shd w:val="clear"/>
        <w:tabs>
          <w:tab w:val="left" w:leader="underscore" w:pos="6300"/>
        </w:tabs>
        <w:snapToGrid w:val="0"/>
        <w:spacing w:line="360" w:lineRule="auto"/>
        <w:ind w:firstLine="420" w:firstLineChars="200"/>
        <w:rPr>
          <w:color w:val="auto"/>
          <w:szCs w:val="21"/>
          <w:highlight w:val="none"/>
        </w:rPr>
      </w:pPr>
      <w:r>
        <w:rPr>
          <w:rFonts w:hint="eastAsia"/>
          <w:color w:val="auto"/>
          <w:szCs w:val="21"/>
          <w:highlight w:val="none"/>
        </w:rPr>
        <w:t>附件3：工程质量保修书</w:t>
      </w:r>
    </w:p>
    <w:p w14:paraId="2C2CFA09">
      <w:pPr>
        <w:shd w:val="clear"/>
        <w:tabs>
          <w:tab w:val="left" w:leader="underscore" w:pos="6300"/>
        </w:tabs>
        <w:snapToGrid w:val="0"/>
        <w:spacing w:line="360" w:lineRule="auto"/>
        <w:ind w:firstLine="420" w:firstLineChars="200"/>
        <w:rPr>
          <w:color w:val="auto"/>
          <w:szCs w:val="21"/>
          <w:highlight w:val="none"/>
        </w:rPr>
      </w:pPr>
      <w:r>
        <w:rPr>
          <w:rFonts w:hint="eastAsia"/>
          <w:color w:val="auto"/>
          <w:szCs w:val="21"/>
          <w:highlight w:val="none"/>
        </w:rPr>
        <w:t>附件4：承包人设计、施工人员配备一览表</w:t>
      </w:r>
    </w:p>
    <w:p w14:paraId="13DF8059">
      <w:pPr>
        <w:shd w:val="clear"/>
        <w:tabs>
          <w:tab w:val="left" w:leader="underscore" w:pos="6300"/>
        </w:tabs>
        <w:snapToGrid w:val="0"/>
        <w:spacing w:line="360" w:lineRule="auto"/>
        <w:ind w:firstLine="420" w:firstLineChars="200"/>
        <w:rPr>
          <w:rFonts w:hint="eastAsia"/>
          <w:color w:val="auto"/>
          <w:szCs w:val="21"/>
          <w:highlight w:val="none"/>
        </w:rPr>
      </w:pPr>
      <w:r>
        <w:rPr>
          <w:rFonts w:hint="eastAsia"/>
          <w:color w:val="auto"/>
          <w:szCs w:val="21"/>
          <w:highlight w:val="none"/>
        </w:rPr>
        <w:t>附件</w:t>
      </w:r>
      <w:r>
        <w:rPr>
          <w:rFonts w:hint="eastAsia"/>
          <w:color w:val="auto"/>
          <w:szCs w:val="21"/>
          <w:highlight w:val="none"/>
          <w:lang w:val="en-US" w:eastAsia="zh-CN"/>
        </w:rPr>
        <w:t>5</w:t>
      </w:r>
      <w:r>
        <w:rPr>
          <w:rFonts w:hint="eastAsia"/>
          <w:color w:val="auto"/>
          <w:szCs w:val="21"/>
          <w:highlight w:val="none"/>
        </w:rPr>
        <w:t>：总承包管理配合义务</w:t>
      </w:r>
    </w:p>
    <w:p w14:paraId="387595CE">
      <w:pPr>
        <w:shd w:val="clear"/>
        <w:tabs>
          <w:tab w:val="left" w:leader="underscore" w:pos="6300"/>
        </w:tabs>
        <w:snapToGrid w:val="0"/>
        <w:spacing w:line="360" w:lineRule="auto"/>
        <w:ind w:firstLine="420" w:firstLineChars="200"/>
        <w:rPr>
          <w:rFonts w:hint="eastAsia"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附件</w:t>
      </w:r>
      <w:r>
        <w:rPr>
          <w:rFonts w:hint="eastAsia" w:cs="Times New Roman"/>
          <w:color w:val="auto"/>
          <w:szCs w:val="21"/>
          <w:highlight w:val="none"/>
          <w:lang w:val="en-US" w:eastAsia="zh-CN"/>
        </w:rPr>
        <w:t>6</w:t>
      </w:r>
      <w:r>
        <w:rPr>
          <w:rFonts w:hint="eastAsia" w:ascii="Times New Roman" w:hAnsi="Times New Roman" w:cs="Times New Roman"/>
          <w:color w:val="auto"/>
          <w:szCs w:val="21"/>
          <w:highlight w:val="none"/>
          <w:lang w:val="en-US" w:eastAsia="zh-CN"/>
        </w:rPr>
        <w:t>：</w:t>
      </w:r>
      <w:r>
        <w:rPr>
          <w:rFonts w:hint="eastAsia" w:ascii="Times New Roman" w:hAnsi="Times New Roman" w:cs="Times New Roman"/>
          <w:color w:val="auto"/>
          <w:szCs w:val="21"/>
          <w:highlight w:val="none"/>
        </w:rPr>
        <w:t>履约保函示范文本</w:t>
      </w:r>
    </w:p>
    <w:p w14:paraId="3018D2EF">
      <w:pPr>
        <w:shd w:val="clear"/>
        <w:tabs>
          <w:tab w:val="left" w:leader="underscore" w:pos="6300"/>
        </w:tabs>
        <w:snapToGrid w:val="0"/>
        <w:spacing w:line="360" w:lineRule="auto"/>
        <w:ind w:firstLine="420" w:firstLineChars="200"/>
        <w:rPr>
          <w:rFonts w:hint="eastAsia"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附件</w:t>
      </w:r>
      <w:r>
        <w:rPr>
          <w:rFonts w:hint="eastAsia" w:cs="Times New Roman"/>
          <w:color w:val="auto"/>
          <w:szCs w:val="21"/>
          <w:highlight w:val="none"/>
          <w:lang w:val="en-US" w:eastAsia="zh-CN"/>
        </w:rPr>
        <w:t>7</w:t>
      </w:r>
      <w:r>
        <w:rPr>
          <w:rFonts w:hint="eastAsia" w:ascii="Times New Roman" w:hAnsi="Times New Roman" w:cs="Times New Roman"/>
          <w:color w:val="auto"/>
          <w:szCs w:val="21"/>
          <w:highlight w:val="none"/>
          <w:lang w:val="en-US" w:eastAsia="zh-CN"/>
        </w:rPr>
        <w:t>：</w:t>
      </w:r>
      <w:r>
        <w:rPr>
          <w:rFonts w:hint="eastAsia" w:ascii="Times New Roman" w:hAnsi="Times New Roman" w:cs="Times New Roman"/>
          <w:color w:val="auto"/>
          <w:szCs w:val="21"/>
          <w:highlight w:val="none"/>
        </w:rPr>
        <w:t>预付款保函示范文本</w:t>
      </w:r>
    </w:p>
    <w:p w14:paraId="0E4F4FAC">
      <w:pPr>
        <w:shd w:val="clear"/>
        <w:tabs>
          <w:tab w:val="left" w:leader="underscore" w:pos="6300"/>
        </w:tabs>
        <w:snapToGrid w:val="0"/>
        <w:spacing w:line="360" w:lineRule="auto"/>
        <w:ind w:firstLine="420" w:firstLineChars="200"/>
        <w:rPr>
          <w:rFonts w:hint="eastAsia"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附件</w:t>
      </w:r>
      <w:r>
        <w:rPr>
          <w:rFonts w:hint="eastAsia" w:cs="Times New Roman"/>
          <w:color w:val="auto"/>
          <w:szCs w:val="21"/>
          <w:highlight w:val="none"/>
          <w:lang w:val="en-US" w:eastAsia="zh-CN"/>
        </w:rPr>
        <w:t>8</w:t>
      </w:r>
      <w:r>
        <w:rPr>
          <w:rFonts w:hint="eastAsia" w:ascii="Times New Roman" w:hAnsi="Times New Roman" w:cs="Times New Roman"/>
          <w:color w:val="auto"/>
          <w:szCs w:val="21"/>
          <w:highlight w:val="none"/>
          <w:lang w:val="en-US" w:eastAsia="zh-CN"/>
        </w:rPr>
        <w:t>：</w:t>
      </w:r>
      <w:r>
        <w:rPr>
          <w:rFonts w:hint="eastAsia" w:ascii="Times New Roman" w:hAnsi="Times New Roman" w:cs="Times New Roman"/>
          <w:color w:val="auto"/>
          <w:szCs w:val="21"/>
          <w:highlight w:val="none"/>
        </w:rPr>
        <w:t>支付保函示范文本</w:t>
      </w:r>
    </w:p>
    <w:p w14:paraId="6F3192E1">
      <w:pPr>
        <w:shd w:val="clear"/>
        <w:tabs>
          <w:tab w:val="left" w:leader="underscore" w:pos="6300"/>
        </w:tabs>
        <w:snapToGrid w:val="0"/>
        <w:spacing w:line="360" w:lineRule="auto"/>
        <w:ind w:firstLine="420" w:firstLineChars="200"/>
        <w:rPr>
          <w:rFonts w:hint="eastAsia"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附件</w:t>
      </w:r>
      <w:r>
        <w:rPr>
          <w:rFonts w:hint="eastAsia" w:cs="Times New Roman"/>
          <w:color w:val="auto"/>
          <w:szCs w:val="21"/>
          <w:highlight w:val="none"/>
          <w:lang w:val="en-US" w:eastAsia="zh-CN"/>
        </w:rPr>
        <w:t>9</w:t>
      </w:r>
      <w:r>
        <w:rPr>
          <w:rFonts w:hint="eastAsia" w:ascii="Times New Roman" w:hAnsi="Times New Roman" w:cs="Times New Roman"/>
          <w:color w:val="auto"/>
          <w:szCs w:val="21"/>
          <w:highlight w:val="none"/>
          <w:lang w:val="en-US" w:eastAsia="zh-CN"/>
        </w:rPr>
        <w:t>：</w:t>
      </w:r>
      <w:r>
        <w:rPr>
          <w:rFonts w:hint="eastAsia" w:ascii="Times New Roman" w:hAnsi="Times New Roman" w:cs="Times New Roman"/>
          <w:color w:val="auto"/>
          <w:szCs w:val="21"/>
          <w:highlight w:val="none"/>
        </w:rPr>
        <w:t>项目经理质量终身责任制</w:t>
      </w:r>
    </w:p>
    <w:p w14:paraId="6C88918D">
      <w:pPr>
        <w:shd w:val="clear"/>
        <w:tabs>
          <w:tab w:val="left" w:leader="underscore" w:pos="6300"/>
        </w:tabs>
        <w:snapToGrid w:val="0"/>
        <w:spacing w:line="360" w:lineRule="auto"/>
        <w:ind w:firstLine="420" w:firstLineChars="200"/>
        <w:rPr>
          <w:rFonts w:hint="eastAsia"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附件1</w:t>
      </w:r>
      <w:r>
        <w:rPr>
          <w:rFonts w:hint="eastAsia" w:cs="Times New Roman"/>
          <w:color w:val="auto"/>
          <w:szCs w:val="21"/>
          <w:highlight w:val="none"/>
          <w:lang w:val="en-US" w:eastAsia="zh-CN"/>
        </w:rPr>
        <w:t>0</w:t>
      </w:r>
      <w:r>
        <w:rPr>
          <w:rFonts w:hint="eastAsia" w:ascii="Times New Roman" w:hAnsi="Times New Roman" w:cs="Times New Roman"/>
          <w:color w:val="auto"/>
          <w:szCs w:val="21"/>
          <w:highlight w:val="none"/>
          <w:lang w:val="en-US" w:eastAsia="zh-CN"/>
        </w:rPr>
        <w:t>：</w:t>
      </w:r>
      <w:r>
        <w:rPr>
          <w:rFonts w:hint="eastAsia" w:ascii="Times New Roman" w:hAnsi="Times New Roman" w:cs="Times New Roman"/>
          <w:color w:val="auto"/>
          <w:szCs w:val="21"/>
          <w:highlight w:val="none"/>
        </w:rPr>
        <w:t>廉政建设责任书</w:t>
      </w:r>
    </w:p>
    <w:p w14:paraId="1FC8DA4D">
      <w:pPr>
        <w:shd w:val="clear"/>
        <w:tabs>
          <w:tab w:val="left" w:leader="underscore" w:pos="6300"/>
        </w:tabs>
        <w:snapToGrid w:val="0"/>
        <w:spacing w:line="360" w:lineRule="auto"/>
        <w:ind w:firstLine="420" w:firstLineChars="200"/>
        <w:rPr>
          <w:rFonts w:hint="default" w:ascii="Times New Roman" w:hAnsi="Times New Roman" w:cs="Times New Roman"/>
          <w:color w:val="auto"/>
          <w:szCs w:val="21"/>
          <w:highlight w:val="none"/>
          <w:lang w:val="en-US" w:eastAsia="zh-CN"/>
        </w:rPr>
        <w:sectPr>
          <w:footerReference r:id="rId11" w:type="default"/>
          <w:pgSz w:w="11906" w:h="16838"/>
          <w:pgMar w:top="1440" w:right="1800" w:bottom="1440" w:left="1800" w:header="720" w:footer="998" w:gutter="0"/>
          <w:pgNumType w:fmt="decimal"/>
          <w:cols w:space="720" w:num="1"/>
          <w:docGrid w:linePitch="326" w:charSpace="0"/>
        </w:sectPr>
      </w:pPr>
    </w:p>
    <w:p w14:paraId="23B5160F">
      <w:pPr>
        <w:keepNext/>
        <w:keepLines/>
        <w:widowControl/>
        <w:shd w:val="clear"/>
        <w:tabs>
          <w:tab w:val="left" w:pos="1134"/>
          <w:tab w:val="left" w:leader="underscore" w:pos="6300"/>
        </w:tabs>
        <w:topLinePunct/>
        <w:adjustRightInd w:val="0"/>
        <w:snapToGrid w:val="0"/>
        <w:spacing w:after="120" w:afterLines="50" w:line="360" w:lineRule="auto"/>
        <w:jc w:val="center"/>
        <w:outlineLvl w:val="1"/>
        <w:rPr>
          <w:rFonts w:hint="eastAsia" w:ascii="宋体" w:hAnsi="宋体" w:eastAsia="宋体" w:cs="宋体"/>
          <w:color w:val="auto"/>
          <w:szCs w:val="21"/>
          <w:highlight w:val="none"/>
          <w:lang w:val="en-US" w:eastAsia="zh-CN"/>
        </w:rPr>
      </w:pPr>
      <w:bookmarkStart w:id="905" w:name="_Hlk38571789"/>
      <w:bookmarkStart w:id="906" w:name="_Toc54862352"/>
      <w:r>
        <w:rPr>
          <w:rFonts w:hint="eastAsia" w:ascii="黑体" w:hAnsi="黑体" w:eastAsia="黑体"/>
          <w:b/>
          <w:color w:val="auto"/>
          <w:kern w:val="0"/>
          <w:sz w:val="30"/>
          <w:szCs w:val="30"/>
          <w:highlight w:val="none"/>
        </w:rPr>
        <w:t>附件1</w:t>
      </w:r>
      <w:r>
        <w:rPr>
          <w:rFonts w:ascii="黑体" w:hAnsi="黑体" w:eastAsia="黑体"/>
          <w:b/>
          <w:color w:val="auto"/>
          <w:kern w:val="0"/>
          <w:sz w:val="30"/>
          <w:szCs w:val="30"/>
          <w:highlight w:val="none"/>
        </w:rPr>
        <w:t xml:space="preserve"> </w:t>
      </w:r>
      <w:r>
        <w:rPr>
          <w:rFonts w:hint="eastAsia" w:ascii="黑体" w:hAnsi="黑体" w:eastAsia="黑体"/>
          <w:b/>
          <w:color w:val="auto"/>
          <w:kern w:val="0"/>
          <w:sz w:val="30"/>
          <w:szCs w:val="30"/>
          <w:highlight w:val="none"/>
        </w:rPr>
        <w:t>《发包人要求》</w:t>
      </w:r>
      <w:bookmarkEnd w:id="905"/>
      <w:bookmarkEnd w:id="906"/>
    </w:p>
    <w:p w14:paraId="70625A0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07" w:name="heading_0"/>
      <w:r>
        <w:rPr>
          <w:rFonts w:hint="eastAsia" w:ascii="宋体" w:hAnsi="宋体" w:cs="宋体"/>
          <w:color w:val="auto"/>
          <w:szCs w:val="21"/>
          <w:highlight w:val="none"/>
          <w:lang w:val="en-US" w:eastAsia="zh-CN"/>
        </w:rPr>
        <w:t>（一）</w:t>
      </w:r>
      <w:r>
        <w:rPr>
          <w:rFonts w:hint="eastAsia" w:ascii="宋体" w:hAnsi="宋体" w:eastAsia="宋体" w:cs="宋体"/>
          <w:color w:val="auto"/>
          <w:szCs w:val="21"/>
          <w:highlight w:val="none"/>
          <w:lang w:val="en-US" w:eastAsia="zh-CN"/>
        </w:rPr>
        <w:t>项目总则</w:t>
      </w:r>
      <w:bookmarkEnd w:id="907"/>
    </w:p>
    <w:p w14:paraId="772A6D61">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08" w:name="heading_1"/>
      <w:r>
        <w:rPr>
          <w:rFonts w:hint="eastAsia" w:ascii="宋体" w:hAnsi="宋体" w:eastAsia="宋体" w:cs="宋体"/>
          <w:color w:val="auto"/>
          <w:szCs w:val="21"/>
          <w:highlight w:val="none"/>
          <w:lang w:val="en-US" w:eastAsia="zh-CN"/>
        </w:rPr>
        <w:t>1.1 项目概况</w:t>
      </w:r>
      <w:bookmarkEnd w:id="908"/>
    </w:p>
    <w:p w14:paraId="177A35F5">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项目为滁宁城际铁路相官车辆段分布式光伏EPC总承包工程，建设范围包含场区指定屋面及停车区域。项目总装机容量约800kWp，其中屋面光伏装机约600kWp、光伏车棚装机约200kWp。项目光伏组件由甲方统一提供，整体采用EPC交钥匙总承包模式实施。</w:t>
      </w:r>
    </w:p>
    <w:p w14:paraId="738267B0">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本项目为分布式光伏发电系统，运行模式采用自发自用、余电上网，具体并网方式、电价标准及电费结算规则，均以属地供电公司最终批复文件为准。</w:t>
      </w:r>
    </w:p>
    <w:p w14:paraId="66953090">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乙方承包范围包含项目全周期建设及配套服务，主要涵盖可行性研究报告编制、项目实施方案编制、屋面结构安全检测鉴定（CMA报告）、滁宁城际铁路供电系统接入专项方案编制及专家评审、发改部门项目备案、供电公司并网报装、现场全方位勘察、全套施工图设计</w:t>
      </w:r>
      <w:r>
        <w:rPr>
          <w:rFonts w:hint="eastAsia" w:ascii="宋体" w:hAnsi="宋体" w:cs="宋体"/>
          <w:color w:val="auto"/>
          <w:szCs w:val="21"/>
          <w:highlight w:val="none"/>
          <w:lang w:val="en-US" w:eastAsia="zh-CN"/>
        </w:rPr>
        <w:t>、工程量清单编制</w:t>
      </w:r>
      <w:r>
        <w:rPr>
          <w:rFonts w:hint="eastAsia" w:ascii="宋体" w:hAnsi="宋体" w:eastAsia="宋体" w:cs="宋体"/>
          <w:color w:val="auto"/>
          <w:szCs w:val="21"/>
          <w:highlight w:val="none"/>
          <w:lang w:val="en-US" w:eastAsia="zh-CN"/>
        </w:rPr>
        <w:t>及节点交付、除甲供光伏组件外所有设备材料采购、土建及安装施工、系统调试、并网验收、竣工验收、资料整编归档、运维人员培训、设备质保及后期全程技术服务等全部工作内容。</w:t>
      </w:r>
    </w:p>
    <w:p w14:paraId="26FC0CA1">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09" w:name="heading_2"/>
      <w:r>
        <w:rPr>
          <w:rFonts w:hint="eastAsia" w:ascii="宋体" w:hAnsi="宋体" w:eastAsia="宋体" w:cs="宋体"/>
          <w:color w:val="auto"/>
          <w:szCs w:val="21"/>
          <w:highlight w:val="none"/>
          <w:lang w:val="en-US" w:eastAsia="zh-CN"/>
        </w:rPr>
        <w:t>1.2 编制依据</w:t>
      </w:r>
      <w:bookmarkEnd w:id="909"/>
    </w:p>
    <w:p w14:paraId="753FBA8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本用户需求书依据国家、行业、国家电网、轨道交通及地方现行有效规范标准、政策制度及技术文件编制，核心依据如下：</w:t>
      </w:r>
    </w:p>
    <w:p w14:paraId="57D7EFF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国家分布式光伏发电项目管理、新能源项目备案及并网管理相关政策文件</w:t>
      </w:r>
    </w:p>
    <w:p w14:paraId="419DEABE">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光伏发电站设计、施工、验收相关国家规范及行业标准</w:t>
      </w:r>
    </w:p>
    <w:p w14:paraId="757B7A1D">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建筑光伏应用、建筑结构荷载、建筑物防雷、消防安全相关技术规范</w:t>
      </w:r>
    </w:p>
    <w:p w14:paraId="4C3D46D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国家电网分布式光伏并网、报装、验收、电能质量管控相关技术管理规定</w:t>
      </w:r>
    </w:p>
    <w:p w14:paraId="1D95DEF6">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地方发改部门固定资产投资及分布式能源项目备案管理相关要求</w:t>
      </w:r>
    </w:p>
    <w:p w14:paraId="5282A41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城际铁路、轨道交通供电系统接入、继电保护匹配、供电安全兼容相关技术标准</w:t>
      </w:r>
    </w:p>
    <w:p w14:paraId="2BC7D3A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滁宁城际铁路及相官车辆段场区施工管理、安全运维、设备保护相关管理制度</w:t>
      </w:r>
    </w:p>
    <w:p w14:paraId="7C485609">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10" w:name="heading_3"/>
      <w:r>
        <w:rPr>
          <w:rFonts w:hint="eastAsia" w:ascii="宋体" w:hAnsi="宋体" w:eastAsia="宋体" w:cs="宋体"/>
          <w:color w:val="auto"/>
          <w:szCs w:val="21"/>
          <w:highlight w:val="none"/>
          <w:lang w:val="en-US" w:eastAsia="zh-CN"/>
        </w:rPr>
        <w:t>1.3 项目建设目标</w:t>
      </w:r>
      <w:bookmarkEnd w:id="910"/>
    </w:p>
    <w:p w14:paraId="6DAB0A86">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项目利用相官车辆段闲置屋面及停车场地建设分布式光伏电站，通过标准化设计、合规化施工、专业化评审，完成光伏系统与城际铁路供电系统的接入论证及专项评审工作。项目建设全过程严格遵守场区结构安全、防水安全、消防安全、电磁兼容及运营安全管控要求，保障光伏系统与滁宁城际铁路既有供电系统安全兼容、稳定运行。项目需办结全部合规手续，顺利实现并网发电，一次性通过竣工验收，有效降低场区生产用电成本，建成安全稳定、运维便捷、节能长效的分布式光伏供电体系。</w:t>
      </w:r>
    </w:p>
    <w:p w14:paraId="4CEB5C73">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11" w:name="heading_4"/>
      <w:r>
        <w:rPr>
          <w:rFonts w:hint="eastAsia" w:ascii="宋体" w:hAnsi="宋体" w:cs="宋体"/>
          <w:color w:val="auto"/>
          <w:szCs w:val="21"/>
          <w:highlight w:val="none"/>
          <w:lang w:val="en-US" w:eastAsia="zh-CN"/>
        </w:rPr>
        <w:t>（二）</w:t>
      </w:r>
      <w:r>
        <w:rPr>
          <w:rFonts w:hint="eastAsia" w:ascii="宋体" w:hAnsi="宋体" w:eastAsia="宋体" w:cs="宋体"/>
          <w:color w:val="auto"/>
          <w:szCs w:val="21"/>
          <w:highlight w:val="none"/>
          <w:lang w:val="en-US" w:eastAsia="zh-CN"/>
        </w:rPr>
        <w:t>项目总则</w:t>
      </w:r>
    </w:p>
    <w:p w14:paraId="35252213">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项目工作范围与内容</w:t>
      </w:r>
      <w:bookmarkEnd w:id="911"/>
    </w:p>
    <w:p w14:paraId="3B750C0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12" w:name="heading_5"/>
      <w:r>
        <w:rPr>
          <w:rFonts w:hint="eastAsia" w:ascii="宋体" w:hAnsi="宋体" w:eastAsia="宋体" w:cs="宋体"/>
          <w:color w:val="auto"/>
          <w:szCs w:val="21"/>
          <w:highlight w:val="none"/>
          <w:lang w:val="en-US" w:eastAsia="zh-CN"/>
        </w:rPr>
        <w:t>2.1 总体工作范围</w:t>
      </w:r>
      <w:bookmarkEnd w:id="912"/>
    </w:p>
    <w:p w14:paraId="52407AD0">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乙方全权负责本项目前期技术编制、专项方案评审、行政报批报建、现场勘察检测、施工图设计、设备材料采购、土建安装施工、系统调试并网、验收归档、人员培训、质保运维等全部工作。项目光伏组件由甲方供货，工程实施所需全部设备、辅材、人工、机械、检测、评审、手续办理及维保服务等所有费用，均包含在总承包报价内，甲方不另行追加费用。</w:t>
      </w:r>
    </w:p>
    <w:p w14:paraId="4367DEB0">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13" w:name="heading_6"/>
      <w:r>
        <w:rPr>
          <w:rFonts w:hint="eastAsia" w:ascii="宋体" w:hAnsi="宋体" w:eastAsia="宋体" w:cs="宋体"/>
          <w:color w:val="auto"/>
          <w:szCs w:val="21"/>
          <w:highlight w:val="none"/>
          <w:lang w:val="en-US" w:eastAsia="zh-CN"/>
        </w:rPr>
        <w:t>2.2 前期专项工作</w:t>
      </w:r>
      <w:bookmarkEnd w:id="913"/>
    </w:p>
    <w:p w14:paraId="5F59192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乙方统筹负责项目全部前期技术编制、专项检测、方案评审及行政报批工作，确保所有资料合规齐全、手续合法有效，满足项目备案、评审、并网及工程实施要求。</w:t>
      </w:r>
    </w:p>
    <w:p w14:paraId="2B97D92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一是可行性研究报告编制。结合现场建筑条件、结构荷载参数、场区用电负荷、电网接入条件、城际供电适配性、发电量测算及投资效益，编制完整的可行性研究报告，文件深度满足项目备案、内部评审及工程落地实施需求。</w:t>
      </w:r>
    </w:p>
    <w:p w14:paraId="76E44F8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二是项目实施方案编制。统筹编制项目总体建设方案、光伏阵列排布方案、电气接入方案、施工组织方案及安全专项方案，确保各项方案符合电网报装标准、现场施工条件及车辆段安全管理规定，顺利通过甲方及供电单位审核。</w:t>
      </w:r>
    </w:p>
    <w:p w14:paraId="02F93DF2">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三是屋面结构安全检测鉴定。乙方须委托具备CMA资质的第三方专业检测机构，对项目光伏拟建屋面开展结构安全性、承载力专项检测鉴定，核查屋面结构完整性、荷载适配性及安全冗余，出具正式有效的屋面结构安全鉴定（承载力）报告。该报告为屋面光伏结构设计、支架选型、施工实施的前置必备依据，检测数据及结论需真实合规，满足工程设计、施工及归档验收要求。屋面光伏所有设计工作必须严格依据鉴定报告结论开展，不得超出屋面承载限值。</w:t>
      </w:r>
    </w:p>
    <w:p w14:paraId="05FC82BD">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四是城际铁路供电系统接入方案编制及专家评审。结合相官车辆段既有供电系统现状，编制光伏系统接入专项技术方案，内容涵盖接入点位论证、系统潮流校核、短路电流计算、继电保护匹配、电能质量分析、防逆流与孤岛防控、供电安全保障、应急切换机制等核心内容。乙方牵头组织行业专家评审，全程负责会议筹备、资料答疑、问题整改，直至取得评审合格结论，作为工程实施、报审及并网的合法依据。</w:t>
      </w:r>
    </w:p>
    <w:p w14:paraId="5ACF2A36">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五是项目备案办理。整理全套备案资料，完成线上线下全流程申报、材料补正及问题答疑，持续跟踪推进，直至取得官方项目备案回执，确保备案信息与项目实际建设内容、规模、运行模式一致。</w:t>
      </w:r>
    </w:p>
    <w:p w14:paraId="577739F3">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六是供电并网报装。对接属地供电公司，完成并网申请、现场勘查、接入方案确认、协议签订、计量装置安装、并网验收申请等全流程工作，保障项目顺利装表并网，具备合法发电及电费结算条件。</w:t>
      </w:r>
    </w:p>
    <w:p w14:paraId="37F964F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14" w:name="heading_7"/>
      <w:r>
        <w:rPr>
          <w:rFonts w:hint="eastAsia" w:ascii="宋体" w:hAnsi="宋体" w:eastAsia="宋体" w:cs="宋体"/>
          <w:color w:val="auto"/>
          <w:szCs w:val="21"/>
          <w:highlight w:val="none"/>
          <w:lang w:val="en-US" w:eastAsia="zh-CN"/>
        </w:rPr>
        <w:t>2.3 勘察设计工作及设计时限要求</w:t>
      </w:r>
      <w:bookmarkEnd w:id="914"/>
    </w:p>
    <w:p w14:paraId="2C9B9535">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乙方开展全方位现场勘察，重点完成屋面结构复核、防水现状核查、场地测绘、建筑荷载验算、电网接入条件排查、城际供电适配校核及电磁环境检测等工作。结合勘察成果、CMA结构鉴定报告、专家评审方案及现行规范，完成全套施工图设计</w:t>
      </w:r>
      <w:r>
        <w:rPr>
          <w:rFonts w:hint="eastAsia" w:ascii="宋体" w:hAnsi="宋体" w:cs="宋体"/>
          <w:color w:val="auto"/>
          <w:szCs w:val="21"/>
          <w:highlight w:val="none"/>
          <w:lang w:val="en-US" w:eastAsia="zh-CN"/>
        </w:rPr>
        <w:t>、工程量清单编制</w:t>
      </w:r>
      <w:r>
        <w:rPr>
          <w:rFonts w:hint="eastAsia" w:ascii="宋体" w:hAnsi="宋体" w:eastAsia="宋体" w:cs="宋体"/>
          <w:color w:val="auto"/>
          <w:szCs w:val="21"/>
          <w:highlight w:val="none"/>
          <w:lang w:val="en-US" w:eastAsia="zh-CN"/>
        </w:rPr>
        <w:t>，所有设计成果不得影响滁宁城际铁路行车、信号、供电设备安全运行，经甲方及相关单位审核通过后方可施工。</w:t>
      </w:r>
    </w:p>
    <w:p w14:paraId="560D86E6">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项目设计及前期工作实行固定节点管控，所有时限自甲方开工令下达之日起计算，具体节点如下：现场勘察、检测踏勘及基础资料收集3日历天内完成；第三方CMA屋面结构安全鉴定（承载力）报告出具7日历天内完成；可研报告、项目初步方案、城际供电接入方案初稿编制及甲方内审7日历天内完成；城际铁路供电接入专项方案专家评审并取得合格结论15日历天内完成；全套施工图纸深化设计及送审</w:t>
      </w:r>
      <w:r>
        <w:rPr>
          <w:rFonts w:hint="eastAsia" w:ascii="宋体" w:hAnsi="宋体" w:cs="宋体"/>
          <w:color w:val="auto"/>
          <w:szCs w:val="21"/>
          <w:highlight w:val="none"/>
          <w:lang w:val="en-US" w:eastAsia="zh-CN"/>
        </w:rPr>
        <w:t>、工程量清单编制</w:t>
      </w:r>
      <w:r>
        <w:rPr>
          <w:rFonts w:hint="eastAsia" w:ascii="宋体" w:hAnsi="宋体" w:eastAsia="宋体" w:cs="宋体"/>
          <w:color w:val="auto"/>
          <w:szCs w:val="21"/>
          <w:highlight w:val="none"/>
          <w:lang w:val="en-US" w:eastAsia="zh-CN"/>
        </w:rPr>
        <w:t>20日历天内完成；结合各方审核意见完成图纸修改定稿，25日历天内全部完成并具备正式施工条件。</w:t>
      </w:r>
    </w:p>
    <w:p w14:paraId="19868D2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15" w:name="heading_8"/>
      <w:r>
        <w:rPr>
          <w:rFonts w:hint="eastAsia" w:ascii="宋体" w:hAnsi="宋体" w:eastAsia="宋体" w:cs="宋体"/>
          <w:color w:val="auto"/>
          <w:szCs w:val="21"/>
          <w:highlight w:val="none"/>
          <w:lang w:val="en-US" w:eastAsia="zh-CN"/>
        </w:rPr>
        <w:t>2.4 设备材料采购</w:t>
      </w:r>
      <w:bookmarkEnd w:id="915"/>
    </w:p>
    <w:p w14:paraId="34011694">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甲方仅提供光伏组件，其余所有设备及辅材由乙方负责采购，主要包含组串式逆变器、配电柜、GGD并网柜、屋面光伏支架、光伏车棚钢结构主体、光伏专用线缆、防雷接地材料、智能监控计量设备、屋面防水加固材料、视频监控、环境监测及各类安装辅材。所有采购物资须符合国家、行业、电网及城际铁路供电适配标准，配备齐全的合格证、检测报告及资质文件，严禁使用不合格、淘汰、三无产品。</w:t>
      </w:r>
    </w:p>
    <w:p w14:paraId="1B15058A">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16" w:name="heading_9"/>
      <w:r>
        <w:rPr>
          <w:rFonts w:hint="eastAsia" w:ascii="宋体" w:hAnsi="宋体" w:eastAsia="宋体" w:cs="宋体"/>
          <w:color w:val="auto"/>
          <w:szCs w:val="21"/>
          <w:highlight w:val="none"/>
          <w:lang w:val="en-US" w:eastAsia="zh-CN"/>
        </w:rPr>
        <w:t>2.5 土建及安装施工</w:t>
      </w:r>
      <w:bookmarkEnd w:id="916"/>
    </w:p>
    <w:p w14:paraId="4B75EB6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乙方严格按照审定施工图、专家评审方案及现行规范组织施工，主要施工内容包含屋面光伏工程、光伏车棚工程、电气系统工程。屋面光伏工程涵盖屋面清理、防水检查加固、支架安装、组件安装、线缆敷设、接地施工及成品保护，修复施工造成的屋面破损，保障原有屋面结构及防水体系完好。光伏车棚工程涵盖基础土建、钢结构制作安装、防腐防锈、排水系统布设、组件安装、场区平整及安全防护安装，结构满足当地风荷载、雪荷载、抗震规范及场区通行、检修要求。电气系统工程涵盖交直流线缆敷设、设备接线、防火封堵、绝缘处理、防雷接地及监控计量系统安装，严格落实供电接入评审方案，保障光伏系统与铁路供电系统兼容稳定运行。</w:t>
      </w:r>
    </w:p>
    <w:p w14:paraId="6BD3B2B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17" w:name="heading_10"/>
      <w:r>
        <w:rPr>
          <w:rFonts w:hint="eastAsia" w:ascii="宋体" w:hAnsi="宋体" w:eastAsia="宋体" w:cs="宋体"/>
          <w:color w:val="auto"/>
          <w:szCs w:val="21"/>
          <w:highlight w:val="none"/>
          <w:lang w:val="en-US" w:eastAsia="zh-CN"/>
        </w:rPr>
        <w:t>2.6 调试、并网与验收交付</w:t>
      </w:r>
      <w:bookmarkEnd w:id="917"/>
    </w:p>
    <w:p w14:paraId="4B094DB9">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乙方负责全站电气试验、光伏阵列调试、系统联动调试、并网模拟试验以及后期甲方系统接入等全部调试工作，全权对接属地供电公司完成并网验收、装表发电。自主完成项目自检与预验收，全程配合甲方开展整体竣工验收、档案验收及全套资料移交工作。</w:t>
      </w:r>
    </w:p>
    <w:p w14:paraId="1113CEC6">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18" w:name="heading_11"/>
      <w:r>
        <w:rPr>
          <w:rFonts w:hint="eastAsia" w:ascii="宋体" w:hAnsi="宋体" w:eastAsia="宋体" w:cs="宋体"/>
          <w:color w:val="auto"/>
          <w:szCs w:val="21"/>
          <w:highlight w:val="none"/>
          <w:lang w:val="en-US" w:eastAsia="zh-CN"/>
        </w:rPr>
        <w:t>2.7 培训与技术服务</w:t>
      </w:r>
      <w:bookmarkEnd w:id="918"/>
    </w:p>
    <w:p w14:paraId="3CF23F2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交付后，乙方针对甲方运维人员开展专项培训，内容涵盖系统操作、日常巡检、故障排查、设备养护、供电联动运维等实操内容，确保运维人员具备独立运维能力。项目全生命周期内提供常态化技术咨询、答疑及运维指导服务。</w:t>
      </w:r>
    </w:p>
    <w:p w14:paraId="523C0241">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19" w:name="heading_12"/>
      <w:r>
        <w:rPr>
          <w:rFonts w:hint="eastAsia" w:ascii="宋体" w:hAnsi="宋体" w:eastAsia="宋体" w:cs="宋体"/>
          <w:color w:val="auto"/>
          <w:szCs w:val="21"/>
          <w:highlight w:val="none"/>
          <w:lang w:val="en-US" w:eastAsia="zh-CN"/>
        </w:rPr>
        <w:t>2.8 甲乙双方工作边界</w:t>
      </w:r>
      <w:bookmarkEnd w:id="919"/>
    </w:p>
    <w:p w14:paraId="61B1DF13">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甲方负责提供甲供光伏组件，明确项目建设范围及技术标准，开展全过程监督管理，协调场内施工条件，统筹组织项目验收工作。</w:t>
      </w:r>
    </w:p>
    <w:p w14:paraId="31A4D435">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乙方负责项目勘察检测、设计交付、专项方案专家评审、报批报建、采购施工、调试并网、验收归档、人员培训及质保运维等全部工作，对项目安全、质量、进度、合规性及城际铁路供电系统运行安全承担全部主体责任，项目完工后负责场地清理复原及成品保护。</w:t>
      </w:r>
    </w:p>
    <w:p w14:paraId="55D9B48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20" w:name="heading_13"/>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lang w:val="en-US" w:eastAsia="zh-CN"/>
        </w:rPr>
        <w:t>主要技术要求</w:t>
      </w:r>
      <w:bookmarkEnd w:id="920"/>
    </w:p>
    <w:p w14:paraId="3C928B95">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21" w:name="heading_14"/>
      <w:r>
        <w:rPr>
          <w:rFonts w:hint="eastAsia" w:ascii="宋体" w:hAnsi="宋体" w:eastAsia="宋体" w:cs="宋体"/>
          <w:color w:val="auto"/>
          <w:szCs w:val="21"/>
          <w:highlight w:val="none"/>
          <w:lang w:val="en-US" w:eastAsia="zh-CN"/>
        </w:rPr>
        <w:t>3.1 总体技术原则</w:t>
      </w:r>
      <w:bookmarkEnd w:id="921"/>
    </w:p>
    <w:p w14:paraId="39AA1EA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遵循安全可靠、合规适用、运维便捷、兼容稳定、节能高效的建设原则，所有设计、选型、施工工艺不得对滁宁城际铁路行车、信号、供电设备造成冲击、电磁干扰、逆向送电等不良影响，全面保障场区运营安全稳定。</w:t>
      </w:r>
    </w:p>
    <w:p w14:paraId="40F01B8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22" w:name="heading_15"/>
      <w:r>
        <w:rPr>
          <w:rFonts w:hint="eastAsia" w:ascii="宋体" w:hAnsi="宋体" w:eastAsia="宋体" w:cs="宋体"/>
          <w:color w:val="auto"/>
          <w:szCs w:val="21"/>
          <w:highlight w:val="none"/>
          <w:lang w:val="en-US" w:eastAsia="zh-CN"/>
        </w:rPr>
        <w:t>3.2 光伏系统建设要求</w:t>
      </w:r>
      <w:bookmarkEnd w:id="922"/>
    </w:p>
    <w:p w14:paraId="35BEB286">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项目采用组串式并网光伏系统，乙方结合甲供组件参数及现场条件优化阵列排布，提升发电利用率。屋面支架选用轻量化高强度材质，固定方式科学合规，杜绝屋面开裂、渗漏及结构损伤。所有外露金属构件做防腐、防锈、耐候处理，适配户外长期运行环境。光伏车棚结构稳固、排水通畅、造型规整，合理预留检修及通行空间，满足场区安全使用标准。</w:t>
      </w:r>
    </w:p>
    <w:p w14:paraId="3B0550AA">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23" w:name="heading_16"/>
      <w:r>
        <w:rPr>
          <w:rFonts w:hint="eastAsia" w:ascii="宋体" w:hAnsi="宋体" w:eastAsia="宋体" w:cs="宋体"/>
          <w:color w:val="auto"/>
          <w:szCs w:val="21"/>
          <w:highlight w:val="none"/>
          <w:lang w:val="en-US" w:eastAsia="zh-CN"/>
        </w:rPr>
        <w:t>3.3 城际铁路供电接入技术要求</w:t>
      </w:r>
      <w:bookmarkEnd w:id="923"/>
    </w:p>
    <w:p w14:paraId="6CA22AA4">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光伏系统接入车辆段城际铁路供电系统，严格按照评审通过的专项方案实施。系统配套完善的防逆流保护、孤岛保护、过压过流保护、继电保护匹配及电能质量治理装置，确保光伏启停、负荷波动、设备故障等各类工况下，不影响铁路供电母线电压、频率及整体供电稳定性，满足城际铁路供电安全运行标准。</w:t>
      </w:r>
    </w:p>
    <w:p w14:paraId="5EF86904">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24" w:name="heading_17"/>
      <w:r>
        <w:rPr>
          <w:rFonts w:hint="eastAsia" w:ascii="宋体" w:hAnsi="宋体" w:eastAsia="宋体" w:cs="宋体"/>
          <w:color w:val="auto"/>
          <w:szCs w:val="21"/>
          <w:highlight w:val="none"/>
          <w:lang w:val="en-US" w:eastAsia="zh-CN"/>
        </w:rPr>
        <w:t>3.4 电气及监控系统要求</w:t>
      </w:r>
      <w:bookmarkEnd w:id="924"/>
    </w:p>
    <w:p w14:paraId="1896587B">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线缆选用阻燃、耐候、抗老化光伏专用线缆，现场布线规整、标识清晰。系统配置完整的电气保护及防雷接地装置，接地电阻符合国家规范。配套智能监控系统，可实时监测设备状态、发电数据、并网潮流及故障信息，支持远程查看、数据统计、报表导出，满足电站智能化运维需求。配备视频监控系统，可远程对光伏电站进行实时、清晰的查看。</w:t>
      </w:r>
    </w:p>
    <w:p w14:paraId="2214199D">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25" w:name="heading_18"/>
      <w:r>
        <w:rPr>
          <w:rFonts w:hint="eastAsia" w:ascii="宋体" w:hAnsi="宋体" w:eastAsia="宋体" w:cs="宋体"/>
          <w:color w:val="auto"/>
          <w:szCs w:val="21"/>
          <w:highlight w:val="none"/>
          <w:lang w:val="en-US" w:eastAsia="zh-CN"/>
        </w:rPr>
        <w:t>3.5 场区适配要求</w:t>
      </w:r>
      <w:bookmarkEnd w:id="925"/>
    </w:p>
    <w:p w14:paraId="2910BCD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施工区域、作业时段及设备安装位置主动避让车辆段核心运营区域及关键设备，严格遵守场区管理制度，规范施工流程，严控施工干扰，保障城际铁路场区日常运营安全。</w:t>
      </w:r>
    </w:p>
    <w:p w14:paraId="32CB4FEA">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26" w:name="heading_19"/>
      <w:r>
        <w:rPr>
          <w:rFonts w:hint="eastAsia" w:ascii="宋体" w:hAnsi="宋体" w:cs="宋体"/>
          <w:color w:val="auto"/>
          <w:szCs w:val="21"/>
          <w:highlight w:val="none"/>
          <w:lang w:val="en-US" w:eastAsia="zh-CN"/>
        </w:rPr>
        <w:t>（四）</w:t>
      </w:r>
      <w:r>
        <w:rPr>
          <w:rFonts w:hint="eastAsia" w:ascii="宋体" w:hAnsi="宋体" w:eastAsia="宋体" w:cs="宋体"/>
          <w:color w:val="auto"/>
          <w:szCs w:val="21"/>
          <w:highlight w:val="none"/>
          <w:lang w:val="en-US" w:eastAsia="zh-CN"/>
        </w:rPr>
        <w:t>工期、质量与安全管理</w:t>
      </w:r>
      <w:bookmarkEnd w:id="926"/>
    </w:p>
    <w:p w14:paraId="0DF8A41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27" w:name="heading_20"/>
      <w:r>
        <w:rPr>
          <w:rFonts w:hint="eastAsia" w:ascii="宋体" w:hAnsi="宋体" w:eastAsia="宋体" w:cs="宋体"/>
          <w:color w:val="auto"/>
          <w:szCs w:val="21"/>
          <w:highlight w:val="none"/>
          <w:lang w:val="en-US" w:eastAsia="zh-CN"/>
        </w:rPr>
        <w:t>4.1 工期要求</w:t>
      </w:r>
      <w:bookmarkEnd w:id="927"/>
    </w:p>
    <w:p w14:paraId="4238DE58">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项目总工期90个日历天，自甲方开工令下达之日起计算，涵盖勘察检测、设计评审、手续办理、施工安装、系统调试、并网发电、竣工验收等全部工作环节。乙方需编制详细进度计划，严格落实各关键节点，科学统筹施工资源，杜绝无故延期。</w:t>
      </w:r>
    </w:p>
    <w:p w14:paraId="583AA69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28" w:name="heading_21"/>
      <w:r>
        <w:rPr>
          <w:rFonts w:hint="eastAsia" w:ascii="宋体" w:hAnsi="宋体" w:eastAsia="宋体" w:cs="宋体"/>
          <w:color w:val="auto"/>
          <w:szCs w:val="21"/>
          <w:highlight w:val="none"/>
          <w:lang w:val="en-US" w:eastAsia="zh-CN"/>
        </w:rPr>
        <w:t>4.2 质量要求</w:t>
      </w:r>
      <w:bookmarkEnd w:id="928"/>
    </w:p>
    <w:p w14:paraId="2D69CEE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整体质量符合国家、行业、电网及城际铁路供电验收标准，确保一次性验收合格。供电接入专项方案、屋面结构鉴定报告需合规有效，现场实施内容与评审结论、检测结论保持一致。所有施工工序规范可控，隐蔽工程报验合格后方可覆盖施工。项目完工后无结构、防水、设备及供电兼容隐患，发电指标、供电稳定性满足设计及评审标准。</w:t>
      </w:r>
    </w:p>
    <w:p w14:paraId="4A7ED16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29" w:name="heading_22"/>
      <w:r>
        <w:rPr>
          <w:rFonts w:hint="eastAsia" w:ascii="宋体" w:hAnsi="宋体" w:eastAsia="宋体" w:cs="宋体"/>
          <w:color w:val="auto"/>
          <w:szCs w:val="21"/>
          <w:highlight w:val="none"/>
          <w:lang w:val="en-US" w:eastAsia="zh-CN"/>
        </w:rPr>
        <w:t>4.3 安全文明施工要求</w:t>
      </w:r>
      <w:bookmarkEnd w:id="929"/>
    </w:p>
    <w:p w14:paraId="7EE92058">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乙方为项目安全生产第一责任人，全面落实安全生产责任制，配备专职安全员，开展岗前安全技术交底及场区制度培训，重点强化铁路供电系统施工安全管控。施工全过程落实安全防护、警示标识、现场围挡等措施，严防安全事故。现场实行文明施工管理，物料堆放有序、垃圾及时清理，完工后恢复场地原貌，不得损坏场区原有设施及环境。</w:t>
      </w:r>
    </w:p>
    <w:p w14:paraId="502E31B5">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30" w:name="heading_23"/>
      <w:r>
        <w:rPr>
          <w:rFonts w:hint="eastAsia" w:ascii="宋体" w:hAnsi="宋体" w:cs="宋体"/>
          <w:color w:val="auto"/>
          <w:szCs w:val="21"/>
          <w:highlight w:val="none"/>
          <w:lang w:val="en-US" w:eastAsia="zh-CN"/>
        </w:rPr>
        <w:t>（五）</w:t>
      </w:r>
      <w:r>
        <w:rPr>
          <w:rFonts w:hint="eastAsia" w:ascii="宋体" w:hAnsi="宋体" w:eastAsia="宋体" w:cs="宋体"/>
          <w:color w:val="auto"/>
          <w:szCs w:val="21"/>
          <w:highlight w:val="none"/>
          <w:lang w:val="en-US" w:eastAsia="zh-CN"/>
        </w:rPr>
        <w:t>验收与资料交付</w:t>
      </w:r>
      <w:bookmarkEnd w:id="930"/>
    </w:p>
    <w:p w14:paraId="37EE60AB">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31" w:name="heading_24"/>
      <w:r>
        <w:rPr>
          <w:rFonts w:hint="eastAsia" w:ascii="宋体" w:hAnsi="宋体" w:eastAsia="宋体" w:cs="宋体"/>
          <w:color w:val="auto"/>
          <w:szCs w:val="21"/>
          <w:highlight w:val="none"/>
          <w:lang w:val="en-US" w:eastAsia="zh-CN"/>
        </w:rPr>
        <w:t>5.1 验收分类</w:t>
      </w:r>
      <w:bookmarkEnd w:id="931"/>
    </w:p>
    <w:p w14:paraId="36CBD0B5">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验收包含前期成果验收、专项方案评审验收、阶段性分项验收、并网专项验收、项目竣工验收。前期成果验收涵盖可研、实施方案、备案及电网批复资料；专项验收为城际铁路供电接入方案专家评审验收及屋面结构安全检测成果验收；阶段性验收包含设计成果、设备材料、隐蔽工程及分项工程验收；并网验收由供电公司组织，整体竣工验收由甲方组织。</w:t>
      </w:r>
    </w:p>
    <w:p w14:paraId="498318E3">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32" w:name="heading_25"/>
      <w:r>
        <w:rPr>
          <w:rFonts w:hint="eastAsia" w:ascii="宋体" w:hAnsi="宋体" w:eastAsia="宋体" w:cs="宋体"/>
          <w:color w:val="auto"/>
          <w:szCs w:val="21"/>
          <w:highlight w:val="none"/>
          <w:lang w:val="en-US" w:eastAsia="zh-CN"/>
        </w:rPr>
        <w:t>5.2 验收标准</w:t>
      </w:r>
      <w:bookmarkEnd w:id="932"/>
    </w:p>
    <w:p w14:paraId="535F728A">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所有建设内容、技术标准、施工工艺、资料成果，均按照国家规范、行业标准、电网要求、专家评审结论、本需求书及施工图纸执行，手续齐全、评审有效、检测合规、质量合格、功能完善、运行稳定即为验收合格。</w:t>
      </w:r>
    </w:p>
    <w:p w14:paraId="635C5FA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33" w:name="heading_26"/>
      <w:r>
        <w:rPr>
          <w:rFonts w:hint="eastAsia" w:ascii="宋体" w:hAnsi="宋体" w:eastAsia="宋体" w:cs="宋体"/>
          <w:color w:val="auto"/>
          <w:szCs w:val="21"/>
          <w:highlight w:val="none"/>
          <w:lang w:val="en-US" w:eastAsia="zh-CN"/>
        </w:rPr>
        <w:t>5.3 资料交付要求</w:t>
      </w:r>
      <w:bookmarkEnd w:id="933"/>
    </w:p>
    <w:p w14:paraId="363D202B">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乙方在竣工验收前完成全套归档资料整编提交，主要包含第三方CMA资质屋面结构安全鉴定（承载力）报告、可研报告、前期技术文件、报批手续资料、城际铁路供电接入方案及专家评审意见书、勘察设计资料、施工图纸、设备合格证及检测报告、施工记录、调试试验报告、运维手册、培训资料、竣工图纸等，同步提供纸质版四套及电子版资料，满足甲方档案归档及运维管理要求。</w:t>
      </w:r>
    </w:p>
    <w:p w14:paraId="7CA220F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34" w:name="heading_27"/>
      <w:r>
        <w:rPr>
          <w:rFonts w:hint="eastAsia" w:ascii="宋体" w:hAnsi="宋体" w:cs="宋体"/>
          <w:color w:val="auto"/>
          <w:szCs w:val="21"/>
          <w:highlight w:val="none"/>
          <w:lang w:val="en-US" w:eastAsia="zh-CN"/>
        </w:rPr>
        <w:t>（六）</w:t>
      </w:r>
      <w:r>
        <w:rPr>
          <w:rFonts w:hint="eastAsia" w:ascii="宋体" w:hAnsi="宋体" w:eastAsia="宋体" w:cs="宋体"/>
          <w:color w:val="auto"/>
          <w:szCs w:val="21"/>
          <w:highlight w:val="none"/>
          <w:lang w:val="en-US" w:eastAsia="zh-CN"/>
        </w:rPr>
        <w:t>质保期与售后服务</w:t>
      </w:r>
      <w:bookmarkEnd w:id="934"/>
    </w:p>
    <w:p w14:paraId="55A685EB">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35" w:name="heading_28"/>
      <w:r>
        <w:rPr>
          <w:rFonts w:hint="eastAsia" w:ascii="宋体" w:hAnsi="宋体" w:eastAsia="宋体" w:cs="宋体"/>
          <w:color w:val="auto"/>
          <w:szCs w:val="21"/>
          <w:highlight w:val="none"/>
          <w:lang w:val="en-US" w:eastAsia="zh-CN"/>
        </w:rPr>
        <w:t>6.1 质保期限</w:t>
      </w:r>
      <w:bookmarkEnd w:id="935"/>
    </w:p>
    <w:p w14:paraId="3406A6F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整体质保期不少于2年；逆变器、监控系统等核心电气设备质保期不少于5年；钢结构支架质保期不少于10年。甲供光伏组件质保按照厂家原厂政策执行，乙方协助甲方对接组件质保服务。质保期自项目竣工验收并网之日起计算。</w:t>
      </w:r>
    </w:p>
    <w:p w14:paraId="1FDB4CB4">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36" w:name="heading_29"/>
      <w:r>
        <w:rPr>
          <w:rFonts w:hint="eastAsia" w:ascii="宋体" w:hAnsi="宋体" w:eastAsia="宋体" w:cs="宋体"/>
          <w:color w:val="auto"/>
          <w:szCs w:val="21"/>
          <w:highlight w:val="none"/>
          <w:lang w:val="en-US" w:eastAsia="zh-CN"/>
        </w:rPr>
        <w:t>6.2 质保服务要求</w:t>
      </w:r>
      <w:bookmarkEnd w:id="936"/>
    </w:p>
    <w:p w14:paraId="6E9A7E2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质保期内，乙方对自身施工质量、乙供设备质量、供电适配问题提供免费整改、维修及更换服务。建立24小时故障响应机制，及时到场处置故障、限时完成修复，保障光伏电站及配套供电系统稳定运行。</w:t>
      </w:r>
    </w:p>
    <w:p w14:paraId="5A9B42E6">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37" w:name="heading_30"/>
      <w:r>
        <w:rPr>
          <w:rFonts w:hint="eastAsia" w:ascii="宋体" w:hAnsi="宋体" w:eastAsia="宋体" w:cs="宋体"/>
          <w:color w:val="auto"/>
          <w:szCs w:val="21"/>
          <w:highlight w:val="none"/>
          <w:lang w:val="en-US" w:eastAsia="zh-CN"/>
        </w:rPr>
        <w:t>6.3 运维服务</w:t>
      </w:r>
      <w:bookmarkEnd w:id="937"/>
    </w:p>
    <w:p w14:paraId="50BF425D">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施工期间，乙方定期开展现场巡检、设备养护、系统调试及供电适配校核，按时提交巡检报告，主动排查运行隐患，全周期提供技术咨询与运维指导服务。</w:t>
      </w:r>
    </w:p>
    <w:p w14:paraId="05DEAE62">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38" w:name="heading_31"/>
      <w:r>
        <w:rPr>
          <w:rFonts w:hint="eastAsia" w:ascii="宋体" w:hAnsi="宋体" w:cs="宋体"/>
          <w:color w:val="auto"/>
          <w:szCs w:val="21"/>
          <w:highlight w:val="none"/>
          <w:lang w:val="en-US" w:eastAsia="zh-CN"/>
        </w:rPr>
        <w:t>（七）</w:t>
      </w:r>
      <w:r>
        <w:rPr>
          <w:rFonts w:hint="eastAsia" w:ascii="宋体" w:hAnsi="宋体" w:eastAsia="宋体" w:cs="宋体"/>
          <w:color w:val="auto"/>
          <w:szCs w:val="21"/>
          <w:highlight w:val="none"/>
          <w:lang w:val="en-US" w:eastAsia="zh-CN"/>
        </w:rPr>
        <w:t>项目人员管理要求</w:t>
      </w:r>
      <w:bookmarkEnd w:id="938"/>
    </w:p>
    <w:p w14:paraId="677EAD6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乙方须组建专业项目管理团队，配齐项目经理、技术负责人、专职安全员、施工员、资料员、专项方案及报装专员等关键岗位人员。团队人员具备相应从业资质，可独立完成方案编制、专家评审、设计施工、并网验收、质保维保全流程工作。</w:t>
      </w:r>
    </w:p>
    <w:p w14:paraId="49E484A9">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39" w:name="heading_32"/>
      <w:r>
        <w:rPr>
          <w:rFonts w:hint="eastAsia" w:ascii="宋体" w:hAnsi="宋体" w:cs="宋体"/>
          <w:color w:val="auto"/>
          <w:szCs w:val="21"/>
          <w:highlight w:val="none"/>
          <w:lang w:val="en-US" w:eastAsia="zh-CN"/>
        </w:rPr>
        <w:t>（八）</w:t>
      </w:r>
      <w:r>
        <w:rPr>
          <w:rFonts w:hint="eastAsia" w:ascii="宋体" w:hAnsi="宋体" w:eastAsia="宋体" w:cs="宋体"/>
          <w:color w:val="auto"/>
          <w:szCs w:val="21"/>
          <w:highlight w:val="none"/>
          <w:lang w:val="en-US" w:eastAsia="zh-CN"/>
        </w:rPr>
        <w:t>违约及量化考核标准</w:t>
      </w:r>
      <w:bookmarkEnd w:id="939"/>
    </w:p>
    <w:p w14:paraId="6EB92F8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本章条款为项目履约考核、进度款结算及质保金管控的有效依据，乙方投标及签约即视为完全认可本条款约定。</w:t>
      </w:r>
    </w:p>
    <w:p w14:paraId="33CB59D6">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40" w:name="heading_33"/>
      <w:r>
        <w:rPr>
          <w:rFonts w:hint="eastAsia" w:ascii="宋体" w:hAnsi="宋体" w:eastAsia="宋体" w:cs="宋体"/>
          <w:color w:val="auto"/>
          <w:szCs w:val="21"/>
          <w:highlight w:val="none"/>
          <w:lang w:val="en-US" w:eastAsia="zh-CN"/>
        </w:rPr>
        <w:t>8.1 设计时限及图纸交付考核</w:t>
      </w:r>
      <w:bookmarkEnd w:id="940"/>
    </w:p>
    <w:p w14:paraId="6D5D40C0">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乙方未按约定节点完成勘察、CMA检测、方案初稿编制、施工图编制、图纸定稿等工作，每逾期一日扣款500元。交付图纸质量较差、错漏较多，需多次复审修改的，单次扣款1000元。单项关键节点逾期超过5天的，追加扣款2000元。</w:t>
      </w:r>
    </w:p>
    <w:p w14:paraId="0F046B02">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41" w:name="heading_34"/>
      <w:r>
        <w:rPr>
          <w:rFonts w:hint="eastAsia" w:ascii="宋体" w:hAnsi="宋体" w:eastAsia="宋体" w:cs="宋体"/>
          <w:color w:val="auto"/>
          <w:szCs w:val="21"/>
          <w:highlight w:val="none"/>
          <w:lang w:val="en-US" w:eastAsia="zh-CN"/>
        </w:rPr>
        <w:t>8.2 城际供电接入方案及评审考核</w:t>
      </w:r>
      <w:bookmarkEnd w:id="941"/>
    </w:p>
    <w:p w14:paraId="43B73003">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未按时提交城际铁路供电接入专项方案的，每日扣款500元。方案编制深度不足、存在重大缺陷，需整体修改后方可满足评审条件的，单次扣款2000元。因乙方编制失误、组织不力、整改滞后等自身原因，导致评审延期、评审不通过的，单次扣款5000元，由乙方无偿重新编制、组织评审。若专项方案最终无法通过专家评审，造成项目无法实施、无法并网的，甲方有权终止合同，并追索全部经济损失。</w:t>
      </w:r>
    </w:p>
    <w:p w14:paraId="36C741A2">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42" w:name="heading_35"/>
      <w:r>
        <w:rPr>
          <w:rFonts w:hint="eastAsia" w:ascii="宋体" w:hAnsi="宋体" w:eastAsia="宋体" w:cs="宋体"/>
          <w:color w:val="auto"/>
          <w:szCs w:val="21"/>
          <w:highlight w:val="none"/>
          <w:lang w:val="en-US" w:eastAsia="zh-CN"/>
        </w:rPr>
        <w:t>8.3 前期手续及技术文件考核</w:t>
      </w:r>
      <w:bookmarkEnd w:id="942"/>
    </w:p>
    <w:p w14:paraId="2B0DB294">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未按时提交可研报告、项目实施方案、第三方CMA屋面结构安全鉴定（承载力）报告的，每日扣款500元。各类前期技术文件、报审资料多次审核不合格、整改不到位的，单次扣款1000元，累计出现3次及以上不合格，扣除合同总价3%作为违约金。因乙方资料编制错误、申报操作不当、检测报告滞后或结论不满足设计施工要求，造成项目备案驳回、工期延误、设计返工的，单次扣款5000元，由乙方无偿整改、重新检测并出具合规报告。电网报装及并网手续因乙方原因滞后的，每日扣款500元。若因乙方自身原因导致项目无法合规备案、无法正常并网，甲方有权终止合同并追索全部损失。</w:t>
      </w:r>
    </w:p>
    <w:p w14:paraId="7C141825">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43" w:name="heading_36"/>
      <w:r>
        <w:rPr>
          <w:rFonts w:hint="eastAsia" w:ascii="宋体" w:hAnsi="宋体" w:eastAsia="宋体" w:cs="宋体"/>
          <w:color w:val="auto"/>
          <w:szCs w:val="21"/>
          <w:highlight w:val="none"/>
          <w:lang w:val="en-US" w:eastAsia="zh-CN"/>
        </w:rPr>
        <w:t>8.4 工期进度考核</w:t>
      </w:r>
      <w:bookmarkEnd w:id="943"/>
    </w:p>
    <w:p w14:paraId="71A8E62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项目总工期无正当合理理由逾期的，每日扣款1000元。各分项关键施工节点无故滞后的，单次扣款2000元。总工期逾期超过15天的，扣除合同总价5%作为违约金，甲方保留进一步追责的权利。</w:t>
      </w:r>
    </w:p>
    <w:p w14:paraId="7592F463">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44" w:name="heading_37"/>
      <w:r>
        <w:rPr>
          <w:rFonts w:hint="eastAsia" w:ascii="宋体" w:hAnsi="宋体" w:eastAsia="宋体" w:cs="宋体"/>
          <w:color w:val="auto"/>
          <w:szCs w:val="21"/>
          <w:highlight w:val="none"/>
          <w:lang w:val="en-US" w:eastAsia="zh-CN"/>
        </w:rPr>
        <w:t>8.5 工程质量考核</w:t>
      </w:r>
      <w:bookmarkEnd w:id="944"/>
    </w:p>
    <w:p w14:paraId="14BC60D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乙供设备材料规格不符、质量不合格、资质资料不全的，必须无条件退场更换，单次扣款3000元。施工造成屋面破损、渗漏、结构轻微损伤的，乙方无偿修复，单次扣款2000元；造成屋面严重破损、结构性损伤的，单次扣款5000元。车棚结构、防腐防锈、排水系统施工不达标，电气施工工艺不规范、接地及绝缘指标不合格的，轻微问题单次扣款1000元，严重问题单次扣款3000元。隐蔽工程未报验擅自施工的，单次扣款2000元并无条件复检整改。项目完工后，发电指标、供电适配性未达到设计及评审标准的，由乙方无偿优化整改，并扣除合同总价3%作为质量违约金。</w:t>
      </w:r>
    </w:p>
    <w:p w14:paraId="63805C50">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45" w:name="heading_38"/>
      <w:r>
        <w:rPr>
          <w:rFonts w:hint="eastAsia" w:ascii="宋体" w:hAnsi="宋体" w:eastAsia="宋体" w:cs="宋体"/>
          <w:color w:val="auto"/>
          <w:szCs w:val="21"/>
          <w:highlight w:val="none"/>
          <w:lang w:val="en-US" w:eastAsia="zh-CN"/>
        </w:rPr>
        <w:t>8.6 安全文明施工考核</w:t>
      </w:r>
      <w:bookmarkEnd w:id="945"/>
    </w:p>
    <w:p w14:paraId="53A433C4">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乙方人员违反场区管理制度、违规作业的，单次扣款1000元。安全防护措施缺失、施工人员违章操作的，单次扣款500元。施工损坏场内小型设施、绿化、路面的，无偿修复并单次扣款1000元；损坏核心设备、重要设施的，无偿修复并单次扣款3000元。文明施工整改不到位、现场脏乱差的，单次扣款500元。项目发生一般安全事故的，扣款10000元；发生重伤及以上安全事故的，甲方有权终止合同并全额追索损失。施工行为干扰城际铁路供电、信号系统及场区正常运营安全的，单次扣款20000元，并承担全部相关经济损失。</w:t>
      </w:r>
    </w:p>
    <w:p w14:paraId="6147E316">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46" w:name="heading_39"/>
      <w:r>
        <w:rPr>
          <w:rFonts w:hint="eastAsia" w:ascii="宋体" w:hAnsi="宋体" w:eastAsia="宋体" w:cs="宋体"/>
          <w:color w:val="auto"/>
          <w:szCs w:val="21"/>
          <w:highlight w:val="none"/>
          <w:lang w:val="en-US" w:eastAsia="zh-CN"/>
        </w:rPr>
        <w:t>8.7 并网及验收交付考核</w:t>
      </w:r>
      <w:bookmarkEnd w:id="946"/>
    </w:p>
    <w:p w14:paraId="6EEDB705">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因乙方自身施工、手续办理、设备调试等原因导致项目无法按期并网的，每日扣款1000元，直至并网工作完成。验收资料缺失、错乱、格式及内容不合格的，单次扣款1000元。项目首次竣工验收不合格、需整体整改复验的，单次扣款3000元。</w:t>
      </w:r>
    </w:p>
    <w:p w14:paraId="4B836B9F">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47" w:name="heading_40"/>
      <w:r>
        <w:rPr>
          <w:rFonts w:hint="eastAsia" w:ascii="宋体" w:hAnsi="宋体" w:eastAsia="宋体" w:cs="宋体"/>
          <w:color w:val="auto"/>
          <w:szCs w:val="21"/>
          <w:highlight w:val="none"/>
          <w:lang w:val="en-US" w:eastAsia="zh-CN"/>
        </w:rPr>
        <w:t>8.8 质保运维考核</w:t>
      </w:r>
      <w:bookmarkEnd w:id="947"/>
    </w:p>
    <w:p w14:paraId="631FB2A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质保期内，乙方故障响应不及时、未按约定时限到场处置的，单次扣款500元。设备故障长期未修复、同类故障反复出现、影响电站正常运行的，单次扣款1000元。未按规定开展定期巡检、未按时提交合规巡检报告的，单次扣款800元。乙方无故推诿质保责任、私自有偿维修质保范围内故障的，甲方可委托第三方开展维修工作，产生的所有费用双倍从乙方质保金中扣除。</w:t>
      </w:r>
    </w:p>
    <w:p w14:paraId="4A982EC9">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48" w:name="heading_41"/>
      <w:r>
        <w:rPr>
          <w:rFonts w:hint="eastAsia" w:ascii="宋体" w:hAnsi="宋体" w:eastAsia="宋体" w:cs="宋体"/>
          <w:color w:val="auto"/>
          <w:szCs w:val="21"/>
          <w:highlight w:val="none"/>
          <w:lang w:val="en-US" w:eastAsia="zh-CN"/>
        </w:rPr>
        <w:t>8.9 通用违约约定</w:t>
      </w:r>
      <w:bookmarkEnd w:id="948"/>
    </w:p>
    <w:p w14:paraId="5CC9EF09">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所有违约扣款可累计计算，甲方可在项目进度款、竣工结算款、质保金中直接抵扣扣除。乙方多次发生违约行为、履约能力不足、无法保障项目质量及工期的，甲方有权单方终止合同并另行委托第三方实施，由此产生的工程差价、整改费用、误工损失及全部经济损失，均由乙方全额承担。本章所有考核条款为合同有效组成部分，与合同正文具备同等法律效力。</w:t>
      </w:r>
    </w:p>
    <w:p w14:paraId="6EFC85D9">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bookmarkStart w:id="949" w:name="heading_42"/>
      <w:r>
        <w:rPr>
          <w:rFonts w:hint="eastAsia" w:ascii="宋体" w:hAnsi="宋体" w:cs="宋体"/>
          <w:color w:val="auto"/>
          <w:szCs w:val="21"/>
          <w:highlight w:val="none"/>
          <w:lang w:val="en-US" w:eastAsia="zh-CN"/>
        </w:rPr>
        <w:t>（九）</w:t>
      </w:r>
      <w:r>
        <w:rPr>
          <w:rFonts w:hint="eastAsia" w:ascii="宋体" w:hAnsi="宋体" w:eastAsia="宋体" w:cs="宋体"/>
          <w:color w:val="auto"/>
          <w:szCs w:val="21"/>
          <w:highlight w:val="none"/>
          <w:lang w:val="en-US" w:eastAsia="zh-CN"/>
        </w:rPr>
        <w:t>附则</w:t>
      </w:r>
      <w:bookmarkEnd w:id="949"/>
    </w:p>
    <w:p w14:paraId="5EC7AF5A">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 本需求书未尽事宜，遵照国家、行业现行规范标准及甲乙双方协商约定执行。</w:t>
      </w:r>
    </w:p>
    <w:p w14:paraId="04151D8D">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highlight w:val="none"/>
        </w:rPr>
      </w:pPr>
      <w:r>
        <w:rPr>
          <w:rFonts w:hint="eastAsia" w:ascii="宋体" w:hAnsi="宋体" w:eastAsia="宋体" w:cs="宋体"/>
          <w:color w:val="auto"/>
          <w:szCs w:val="21"/>
          <w:highlight w:val="none"/>
          <w:lang w:val="en-US" w:eastAsia="zh-CN"/>
        </w:rPr>
        <w:t>2. 本需求书最终解释权归甲方所有。</w:t>
      </w:r>
    </w:p>
    <w:p w14:paraId="111CC84B">
      <w:pPr>
        <w:widowControl/>
        <w:shd w:val="clear"/>
        <w:tabs>
          <w:tab w:val="left" w:leader="underscore" w:pos="6300"/>
        </w:tabs>
        <w:adjustRightInd w:val="0"/>
        <w:snapToGrid w:val="0"/>
        <w:spacing w:after="120" w:afterLines="50" w:line="360" w:lineRule="auto"/>
        <w:jc w:val="both"/>
        <w:rPr>
          <w:rFonts w:ascii="仿宋_GB2312" w:hAnsi="仿宋_GB2312" w:eastAsia="仿宋_GB2312" w:cs="仿宋_GB2312"/>
          <w:color w:val="auto"/>
          <w:kern w:val="0"/>
          <w:sz w:val="30"/>
          <w:szCs w:val="30"/>
          <w:highlight w:val="none"/>
        </w:rPr>
        <w:sectPr>
          <w:pgSz w:w="11906" w:h="16838"/>
          <w:pgMar w:top="1440" w:right="1800" w:bottom="1440" w:left="1800" w:header="720" w:footer="998" w:gutter="0"/>
          <w:pgNumType w:fmt="decimal"/>
          <w:cols w:space="720" w:num="1"/>
          <w:docGrid w:linePitch="326" w:charSpace="0"/>
        </w:sectPr>
      </w:pPr>
    </w:p>
    <w:p w14:paraId="0A0D2BBF">
      <w:pPr>
        <w:keepNext/>
        <w:keepLines/>
        <w:widowControl/>
        <w:shd w:val="clear"/>
        <w:tabs>
          <w:tab w:val="left" w:pos="1134"/>
          <w:tab w:val="left" w:leader="underscore" w:pos="6300"/>
        </w:tabs>
        <w:topLinePunct/>
        <w:adjustRightInd w:val="0"/>
        <w:snapToGrid w:val="0"/>
        <w:spacing w:after="120" w:afterLines="50" w:line="360" w:lineRule="auto"/>
        <w:jc w:val="center"/>
        <w:outlineLvl w:val="1"/>
        <w:rPr>
          <w:rFonts w:ascii="黑体" w:hAnsi="黑体" w:eastAsia="黑体"/>
          <w:b/>
          <w:color w:val="auto"/>
          <w:kern w:val="0"/>
          <w:sz w:val="30"/>
          <w:szCs w:val="30"/>
          <w:highlight w:val="none"/>
        </w:rPr>
      </w:pPr>
      <w:bookmarkStart w:id="950" w:name="_Toc20171894"/>
      <w:bookmarkStart w:id="951" w:name="_Toc54862353"/>
      <w:r>
        <w:rPr>
          <w:rFonts w:hint="eastAsia" w:ascii="黑体" w:hAnsi="黑体" w:eastAsia="黑体"/>
          <w:b/>
          <w:color w:val="auto"/>
          <w:kern w:val="0"/>
          <w:sz w:val="30"/>
          <w:szCs w:val="30"/>
          <w:highlight w:val="none"/>
        </w:rPr>
        <w:t>附件2</w:t>
      </w:r>
      <w:r>
        <w:rPr>
          <w:rFonts w:ascii="黑体" w:hAnsi="黑体" w:eastAsia="黑体"/>
          <w:b/>
          <w:color w:val="auto"/>
          <w:kern w:val="0"/>
          <w:sz w:val="30"/>
          <w:szCs w:val="30"/>
          <w:highlight w:val="none"/>
        </w:rPr>
        <w:t xml:space="preserve"> </w:t>
      </w:r>
      <w:bookmarkEnd w:id="950"/>
      <w:bookmarkEnd w:id="951"/>
      <w:r>
        <w:rPr>
          <w:rFonts w:hint="eastAsia" w:ascii="黑体" w:hAnsi="黑体" w:eastAsia="黑体"/>
          <w:b/>
          <w:color w:val="auto"/>
          <w:kern w:val="0"/>
          <w:sz w:val="30"/>
          <w:szCs w:val="30"/>
          <w:highlight w:val="none"/>
        </w:rPr>
        <w:t>安全生产合同</w:t>
      </w:r>
    </w:p>
    <w:p w14:paraId="172BEB20">
      <w:pPr>
        <w:shd w:val="clear"/>
        <w:tabs>
          <w:tab w:val="left" w:leader="underscore" w:pos="6300"/>
        </w:tabs>
        <w:spacing w:line="360" w:lineRule="auto"/>
        <w:jc w:val="center"/>
        <w:rPr>
          <w:color w:val="auto"/>
          <w:szCs w:val="21"/>
          <w:highlight w:val="none"/>
        </w:rPr>
      </w:pPr>
      <w:r>
        <w:rPr>
          <w:color w:val="auto"/>
          <w:szCs w:val="21"/>
          <w:highlight w:val="none"/>
        </w:rPr>
        <w:t>安全生产合同</w:t>
      </w:r>
    </w:p>
    <w:p w14:paraId="41897ECA">
      <w:pPr>
        <w:shd w:val="clear"/>
        <w:tabs>
          <w:tab w:val="left" w:leader="underscore" w:pos="6300"/>
        </w:tabs>
        <w:spacing w:line="400" w:lineRule="exact"/>
        <w:ind w:firstLine="420" w:firstLineChars="200"/>
        <w:rPr>
          <w:color w:val="auto"/>
          <w:szCs w:val="21"/>
          <w:highlight w:val="none"/>
        </w:rPr>
      </w:pPr>
      <w:r>
        <w:rPr>
          <w:color w:val="auto"/>
          <w:szCs w:val="21"/>
          <w:highlight w:val="none"/>
        </w:rPr>
        <w:t>为在</w:t>
      </w:r>
      <w:r>
        <w:rPr>
          <w:color w:val="auto"/>
          <w:szCs w:val="21"/>
          <w:highlight w:val="none"/>
          <w:u w:val="single"/>
        </w:rPr>
        <w:t xml:space="preserve">      </w:t>
      </w:r>
      <w:r>
        <w:rPr>
          <w:color w:val="auto"/>
          <w:szCs w:val="21"/>
          <w:highlight w:val="none"/>
        </w:rPr>
        <w:t>（项目名称）</w:t>
      </w:r>
      <w:r>
        <w:rPr>
          <w:color w:val="auto"/>
          <w:szCs w:val="21"/>
          <w:highlight w:val="none"/>
          <w:u w:val="single"/>
        </w:rPr>
        <w:t xml:space="preserve">     </w:t>
      </w:r>
      <w:r>
        <w:rPr>
          <w:color w:val="auto"/>
          <w:szCs w:val="21"/>
          <w:highlight w:val="none"/>
        </w:rPr>
        <w:t>（标段）施工合同的实施过程中创造安全、高效的施工环境，切实搞好本项目的安全管理工作，本项目发包人</w:t>
      </w:r>
      <w:r>
        <w:rPr>
          <w:color w:val="auto"/>
          <w:szCs w:val="21"/>
          <w:highlight w:val="none"/>
          <w:u w:val="single"/>
        </w:rPr>
        <w:t xml:space="preserve">    </w:t>
      </w:r>
      <w:r>
        <w:rPr>
          <w:color w:val="auto"/>
          <w:szCs w:val="21"/>
          <w:highlight w:val="none"/>
        </w:rPr>
        <w:t>（发包人名称，以下简称“发包人”）与承包人</w:t>
      </w:r>
      <w:r>
        <w:rPr>
          <w:color w:val="auto"/>
          <w:szCs w:val="21"/>
          <w:highlight w:val="none"/>
          <w:u w:val="single"/>
        </w:rPr>
        <w:t xml:space="preserve">    </w:t>
      </w:r>
      <w:r>
        <w:rPr>
          <w:color w:val="auto"/>
          <w:szCs w:val="21"/>
          <w:highlight w:val="none"/>
        </w:rPr>
        <w:t>（承包人名称，以下简称“承包人”）特此签订安全生产合同：</w:t>
      </w:r>
    </w:p>
    <w:p w14:paraId="4D7F212C">
      <w:pPr>
        <w:shd w:val="clear"/>
        <w:tabs>
          <w:tab w:val="left" w:leader="underscore" w:pos="6300"/>
        </w:tabs>
        <w:spacing w:line="400" w:lineRule="exact"/>
        <w:ind w:firstLine="420" w:firstLineChars="200"/>
        <w:rPr>
          <w:color w:val="auto"/>
          <w:szCs w:val="21"/>
          <w:highlight w:val="none"/>
        </w:rPr>
      </w:pPr>
      <w:r>
        <w:rPr>
          <w:color w:val="auto"/>
          <w:szCs w:val="21"/>
          <w:highlight w:val="none"/>
        </w:rPr>
        <w:t>1.发包人职责</w:t>
      </w:r>
    </w:p>
    <w:p w14:paraId="3E574B0B">
      <w:pPr>
        <w:shd w:val="clear"/>
        <w:tabs>
          <w:tab w:val="left" w:leader="underscore" w:pos="6300"/>
        </w:tabs>
        <w:spacing w:line="400" w:lineRule="exact"/>
        <w:ind w:firstLine="420" w:firstLineChars="200"/>
        <w:rPr>
          <w:color w:val="auto"/>
          <w:szCs w:val="21"/>
          <w:highlight w:val="none"/>
        </w:rPr>
      </w:pPr>
      <w:r>
        <w:rPr>
          <w:color w:val="auto"/>
          <w:szCs w:val="21"/>
          <w:highlight w:val="none"/>
        </w:rPr>
        <w:t>（1）严格遵守国家有关安全生产的法律法规，认真执行工程承包合同中的有关安全要求。</w:t>
      </w:r>
    </w:p>
    <w:p w14:paraId="294D62EB">
      <w:pPr>
        <w:shd w:val="clear"/>
        <w:tabs>
          <w:tab w:val="left" w:leader="underscore" w:pos="6300"/>
        </w:tabs>
        <w:spacing w:line="400" w:lineRule="exact"/>
        <w:ind w:firstLine="420" w:firstLineChars="200"/>
        <w:rPr>
          <w:color w:val="auto"/>
          <w:szCs w:val="21"/>
          <w:highlight w:val="none"/>
        </w:rPr>
      </w:pPr>
      <w:r>
        <w:rPr>
          <w:color w:val="auto"/>
          <w:szCs w:val="21"/>
          <w:highlight w:val="none"/>
        </w:rPr>
        <w:t>（2）按照“安全第一、预防为主”和坚持“管生产必须管安全”的原则进行安全生产管理，做到生产与安全工作同时计划、布置、检查、总结和评比。</w:t>
      </w:r>
    </w:p>
    <w:p w14:paraId="55E3BABA">
      <w:pPr>
        <w:shd w:val="clear"/>
        <w:tabs>
          <w:tab w:val="left" w:leader="underscore" w:pos="6300"/>
        </w:tabs>
        <w:spacing w:line="400" w:lineRule="exact"/>
        <w:ind w:firstLine="420" w:firstLineChars="200"/>
        <w:rPr>
          <w:color w:val="auto"/>
          <w:szCs w:val="21"/>
          <w:highlight w:val="none"/>
        </w:rPr>
      </w:pPr>
      <w:r>
        <w:rPr>
          <w:color w:val="auto"/>
          <w:szCs w:val="21"/>
          <w:highlight w:val="none"/>
        </w:rPr>
        <w:t>（3）重要的安全设施必须坚持与主体工程“三同时”的原则，即：同时设计、审批，同时施工，同时验收，投入使用。</w:t>
      </w:r>
    </w:p>
    <w:p w14:paraId="14184789">
      <w:pPr>
        <w:shd w:val="clear"/>
        <w:tabs>
          <w:tab w:val="left" w:leader="underscore" w:pos="6300"/>
        </w:tabs>
        <w:spacing w:line="400" w:lineRule="exact"/>
        <w:ind w:firstLine="420" w:firstLineChars="200"/>
        <w:rPr>
          <w:color w:val="auto"/>
          <w:szCs w:val="21"/>
          <w:highlight w:val="none"/>
        </w:rPr>
      </w:pPr>
      <w:r>
        <w:rPr>
          <w:color w:val="auto"/>
          <w:szCs w:val="21"/>
          <w:highlight w:val="none"/>
        </w:rPr>
        <w:t>（4）定期召开安全生产调度会，及时传达中央及地方有关安全生产的精神。</w:t>
      </w:r>
    </w:p>
    <w:p w14:paraId="0387F979">
      <w:pPr>
        <w:shd w:val="clear"/>
        <w:tabs>
          <w:tab w:val="left" w:leader="underscore" w:pos="6300"/>
        </w:tabs>
        <w:spacing w:line="400" w:lineRule="exact"/>
        <w:ind w:firstLine="420" w:firstLineChars="200"/>
        <w:rPr>
          <w:color w:val="auto"/>
          <w:szCs w:val="21"/>
          <w:highlight w:val="none"/>
        </w:rPr>
      </w:pPr>
      <w:r>
        <w:rPr>
          <w:color w:val="auto"/>
          <w:szCs w:val="21"/>
          <w:highlight w:val="none"/>
        </w:rPr>
        <w:t>（5）组织对承包人施工现场安全生产检查，监督承包人及时处理发现的各种安全隐患。</w:t>
      </w:r>
    </w:p>
    <w:p w14:paraId="1F6DF548">
      <w:pPr>
        <w:shd w:val="clear"/>
        <w:tabs>
          <w:tab w:val="left" w:leader="underscore" w:pos="6300"/>
        </w:tabs>
        <w:spacing w:line="400" w:lineRule="exact"/>
        <w:ind w:firstLine="420" w:firstLineChars="200"/>
        <w:rPr>
          <w:color w:val="auto"/>
          <w:szCs w:val="21"/>
          <w:highlight w:val="none"/>
        </w:rPr>
      </w:pPr>
      <w:r>
        <w:rPr>
          <w:color w:val="auto"/>
          <w:szCs w:val="21"/>
          <w:highlight w:val="none"/>
        </w:rPr>
        <w:t>2.承包人职责</w:t>
      </w:r>
    </w:p>
    <w:p w14:paraId="29B3F680">
      <w:pPr>
        <w:shd w:val="clear"/>
        <w:tabs>
          <w:tab w:val="left" w:leader="underscore" w:pos="6300"/>
        </w:tabs>
        <w:spacing w:line="400" w:lineRule="exact"/>
        <w:ind w:firstLine="420" w:firstLineChars="200"/>
        <w:rPr>
          <w:color w:val="auto"/>
          <w:szCs w:val="21"/>
          <w:highlight w:val="none"/>
        </w:rPr>
      </w:pPr>
      <w:r>
        <w:rPr>
          <w:color w:val="auto"/>
          <w:szCs w:val="21"/>
          <w:highlight w:val="none"/>
        </w:rPr>
        <w:t>（1）严格遵守《中华人民共和国安全生产法》、《建设工程安全生产管理条例》等国家有关安全生产的法律法规、《建设项目安全设施“三同时”监督管理办法》等有关安全生产的规定。认真执行工程承包合同中的有关安全要求。</w:t>
      </w:r>
    </w:p>
    <w:p w14:paraId="7AD9FF9A">
      <w:pPr>
        <w:shd w:val="clear"/>
        <w:tabs>
          <w:tab w:val="left" w:leader="underscore" w:pos="6300"/>
        </w:tabs>
        <w:spacing w:line="400" w:lineRule="exact"/>
        <w:ind w:firstLine="420" w:firstLineChars="200"/>
        <w:rPr>
          <w:color w:val="auto"/>
          <w:szCs w:val="21"/>
          <w:highlight w:val="none"/>
        </w:rPr>
      </w:pPr>
      <w:r>
        <w:rPr>
          <w:color w:val="auto"/>
          <w:szCs w:val="21"/>
          <w:highlight w:val="none"/>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769B534E">
      <w:pPr>
        <w:shd w:val="clear"/>
        <w:tabs>
          <w:tab w:val="left" w:leader="underscore" w:pos="6300"/>
        </w:tabs>
        <w:spacing w:line="400" w:lineRule="exact"/>
        <w:ind w:firstLine="420" w:firstLineChars="200"/>
        <w:rPr>
          <w:color w:val="auto"/>
          <w:szCs w:val="21"/>
          <w:highlight w:val="none"/>
        </w:rPr>
      </w:pPr>
      <w:r>
        <w:rPr>
          <w:color w:val="auto"/>
          <w:szCs w:val="21"/>
          <w:highlight w:val="none"/>
        </w:rPr>
        <w:t>（3）建立健全安全生产责任制。从派往项目实施的项目经理到生产工人（包括临时雇请的民工）的安全生产管理系统必须做到纵向到底，—环不漏；各职能部门、人员的安全生产责任制做到横向到边，人人有责。项目经理是安全生产的第一责任人。现场设置的安全机构，应按《建设工程安全生产管理条例》规定的最低数量和资质条件配备专职安全生产管理人员，专职负责所有员工的安全和治安保卫工作及预防事故的发生。安全机构人员有权按有关规定发布指令，并采取保护性措施防止事故发生。</w:t>
      </w:r>
    </w:p>
    <w:p w14:paraId="58A861A0">
      <w:pPr>
        <w:shd w:val="clear"/>
        <w:tabs>
          <w:tab w:val="left" w:leader="underscore" w:pos="6300"/>
        </w:tabs>
        <w:spacing w:line="400" w:lineRule="exact"/>
        <w:ind w:firstLine="420" w:firstLineChars="200"/>
        <w:rPr>
          <w:color w:val="auto"/>
          <w:szCs w:val="21"/>
          <w:highlight w:val="none"/>
        </w:rPr>
      </w:pPr>
      <w:r>
        <w:rPr>
          <w:color w:val="auto"/>
          <w:szCs w:val="21"/>
          <w:highlight w:val="none"/>
        </w:rPr>
        <w:t>（4）承包人在任何时候都应采取各种合理的预防措施，防止其员工发生任何违法、违禁、暴力或妨碍治安的行为。</w:t>
      </w:r>
    </w:p>
    <w:p w14:paraId="5F805217">
      <w:pPr>
        <w:shd w:val="clear"/>
        <w:tabs>
          <w:tab w:val="left" w:leader="underscore" w:pos="6300"/>
        </w:tabs>
        <w:spacing w:line="400" w:lineRule="exact"/>
        <w:ind w:firstLine="420" w:firstLineChars="200"/>
        <w:rPr>
          <w:color w:val="auto"/>
          <w:szCs w:val="21"/>
          <w:highlight w:val="none"/>
        </w:rPr>
      </w:pPr>
      <w:r>
        <w:rPr>
          <w:color w:val="auto"/>
          <w:szCs w:val="21"/>
          <w:highlight w:val="none"/>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12C2C4D2">
      <w:pPr>
        <w:shd w:val="clear"/>
        <w:tabs>
          <w:tab w:val="left" w:leader="underscore" w:pos="6300"/>
        </w:tabs>
        <w:spacing w:line="400" w:lineRule="exact"/>
        <w:ind w:firstLine="420" w:firstLineChars="200"/>
        <w:rPr>
          <w:color w:val="auto"/>
          <w:szCs w:val="21"/>
          <w:highlight w:val="none"/>
        </w:rPr>
      </w:pPr>
      <w:r>
        <w:rPr>
          <w:color w:val="auto"/>
          <w:szCs w:val="21"/>
          <w:highlight w:val="none"/>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463A6EFA">
      <w:pPr>
        <w:shd w:val="clear"/>
        <w:tabs>
          <w:tab w:val="left" w:leader="underscore" w:pos="6300"/>
        </w:tabs>
        <w:spacing w:line="400" w:lineRule="exact"/>
        <w:ind w:firstLine="420" w:firstLineChars="200"/>
        <w:rPr>
          <w:color w:val="auto"/>
          <w:szCs w:val="21"/>
          <w:highlight w:val="none"/>
        </w:rPr>
      </w:pPr>
      <w:r>
        <w:rPr>
          <w:color w:val="auto"/>
          <w:szCs w:val="21"/>
          <w:highlight w:val="none"/>
        </w:rPr>
        <w:t>（7）操作人员上岗，必须按规定穿戴防护用品。施工负责人和安全检查员应随时检查劳动防护用品的穿戴情况，不按规定穿戴防护用品的人员不得上岗。</w:t>
      </w:r>
    </w:p>
    <w:p w14:paraId="2B677D8C">
      <w:pPr>
        <w:shd w:val="clear"/>
        <w:tabs>
          <w:tab w:val="left" w:leader="underscore" w:pos="6300"/>
        </w:tabs>
        <w:spacing w:line="400" w:lineRule="exact"/>
        <w:ind w:firstLine="420" w:firstLineChars="200"/>
        <w:rPr>
          <w:color w:val="auto"/>
          <w:szCs w:val="21"/>
          <w:highlight w:val="none"/>
        </w:rPr>
      </w:pPr>
      <w:r>
        <w:rPr>
          <w:color w:val="auto"/>
          <w:szCs w:val="21"/>
          <w:highlight w:val="none"/>
        </w:rPr>
        <w:t>（8）所有施工机具设备和高空作业的设备均应定期检查，并有安全员的签字记录，保证其经常处于完好状态；不合格的机具、设备和劳动保护用品严禁使用：</w:t>
      </w:r>
    </w:p>
    <w:p w14:paraId="03CE6CB9">
      <w:pPr>
        <w:shd w:val="clear"/>
        <w:tabs>
          <w:tab w:val="left" w:leader="underscore" w:pos="6300"/>
        </w:tabs>
        <w:spacing w:line="400" w:lineRule="exact"/>
        <w:ind w:firstLine="420" w:firstLineChars="200"/>
        <w:rPr>
          <w:color w:val="auto"/>
          <w:szCs w:val="21"/>
          <w:highlight w:val="none"/>
        </w:rPr>
      </w:pPr>
      <w:r>
        <w:rPr>
          <w:color w:val="auto"/>
          <w:szCs w:val="21"/>
          <w:highlight w:val="none"/>
        </w:rPr>
        <w:t>（9）施工中采用新技术、新工艺、新设备、新材料时，必须制定相应的安全技术措施，施工现场必须具有相关的安全标志牌。</w:t>
      </w:r>
    </w:p>
    <w:p w14:paraId="3AEDCC67">
      <w:pPr>
        <w:shd w:val="clear"/>
        <w:tabs>
          <w:tab w:val="left" w:leader="underscore" w:pos="6300"/>
        </w:tabs>
        <w:spacing w:line="400" w:lineRule="exact"/>
        <w:ind w:firstLine="420" w:firstLineChars="200"/>
        <w:rPr>
          <w:color w:val="auto"/>
          <w:szCs w:val="21"/>
          <w:highlight w:val="none"/>
        </w:rPr>
      </w:pPr>
      <w:r>
        <w:rPr>
          <w:color w:val="auto"/>
          <w:szCs w:val="21"/>
          <w:highlight w:val="none"/>
        </w:rPr>
        <w:t>（10）承包人必须按照本工程项目特点，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14:paraId="61137718">
      <w:pPr>
        <w:shd w:val="clear"/>
        <w:tabs>
          <w:tab w:val="left" w:leader="underscore" w:pos="6300"/>
        </w:tabs>
        <w:spacing w:line="400" w:lineRule="exact"/>
        <w:ind w:firstLine="420" w:firstLineChars="200"/>
        <w:rPr>
          <w:color w:val="auto"/>
          <w:szCs w:val="21"/>
          <w:highlight w:val="none"/>
        </w:rPr>
      </w:pPr>
      <w:r>
        <w:rPr>
          <w:color w:val="auto"/>
          <w:szCs w:val="21"/>
          <w:highlight w:val="none"/>
        </w:rPr>
        <w:t>（11）安全生产费用按照《建设工程安全生产管理条例》的相关规定使用和管理。</w:t>
      </w:r>
    </w:p>
    <w:p w14:paraId="4E5CB49D">
      <w:pPr>
        <w:shd w:val="clear"/>
        <w:tabs>
          <w:tab w:val="left" w:leader="underscore" w:pos="6300"/>
        </w:tabs>
        <w:spacing w:line="400" w:lineRule="exact"/>
        <w:ind w:firstLine="420" w:firstLineChars="200"/>
        <w:rPr>
          <w:color w:val="auto"/>
          <w:szCs w:val="21"/>
          <w:highlight w:val="none"/>
        </w:rPr>
      </w:pPr>
      <w:r>
        <w:rPr>
          <w:color w:val="auto"/>
          <w:szCs w:val="21"/>
          <w:highlight w:val="none"/>
        </w:rPr>
        <w:t>3.违约责任</w:t>
      </w:r>
    </w:p>
    <w:p w14:paraId="66D34907">
      <w:pPr>
        <w:shd w:val="clear"/>
        <w:tabs>
          <w:tab w:val="left" w:leader="underscore" w:pos="6300"/>
        </w:tabs>
        <w:spacing w:line="400" w:lineRule="exact"/>
        <w:ind w:firstLine="420" w:firstLineChars="200"/>
        <w:rPr>
          <w:color w:val="auto"/>
          <w:szCs w:val="21"/>
          <w:highlight w:val="none"/>
        </w:rPr>
      </w:pPr>
      <w:r>
        <w:rPr>
          <w:color w:val="auto"/>
          <w:szCs w:val="21"/>
          <w:highlight w:val="none"/>
        </w:rPr>
        <w:t>如因发包人或承包人违约造成安全事故，将依法追究责任。</w:t>
      </w:r>
    </w:p>
    <w:p w14:paraId="79191BF4">
      <w:pPr>
        <w:shd w:val="clear"/>
        <w:tabs>
          <w:tab w:val="left" w:leader="underscore" w:pos="6300"/>
        </w:tabs>
        <w:spacing w:line="400" w:lineRule="exact"/>
        <w:ind w:firstLine="420" w:firstLineChars="200"/>
        <w:rPr>
          <w:color w:val="auto"/>
          <w:szCs w:val="21"/>
          <w:highlight w:val="none"/>
        </w:rPr>
      </w:pPr>
      <w:r>
        <w:rPr>
          <w:color w:val="auto"/>
          <w:szCs w:val="21"/>
          <w:highlight w:val="none"/>
        </w:rPr>
        <w:t>4.本合同由双方法定代表人或其授权的代理人签署并加盖单位章后生效，全部工程竣工验收后失效。</w:t>
      </w:r>
    </w:p>
    <w:p w14:paraId="2177E6BC">
      <w:pPr>
        <w:shd w:val="clear"/>
        <w:tabs>
          <w:tab w:val="left" w:leader="underscore" w:pos="6300"/>
        </w:tabs>
        <w:spacing w:line="400" w:lineRule="exact"/>
        <w:ind w:firstLine="420" w:firstLineChars="200"/>
        <w:rPr>
          <w:color w:val="auto"/>
          <w:szCs w:val="21"/>
          <w:highlight w:val="none"/>
        </w:rPr>
      </w:pPr>
      <w:r>
        <w:rPr>
          <w:color w:val="auto"/>
          <w:szCs w:val="21"/>
          <w:highlight w:val="none"/>
        </w:rPr>
        <w:t>5.本合同正本</w:t>
      </w:r>
      <w:r>
        <w:rPr>
          <w:rFonts w:hint="eastAsia"/>
          <w:color w:val="auto"/>
          <w:szCs w:val="21"/>
          <w:highlight w:val="none"/>
        </w:rPr>
        <w:t>一</w:t>
      </w:r>
      <w:r>
        <w:rPr>
          <w:color w:val="auto"/>
          <w:szCs w:val="21"/>
          <w:highlight w:val="none"/>
        </w:rPr>
        <w:t>式二份，副本</w:t>
      </w:r>
      <w:r>
        <w:rPr>
          <w:color w:val="auto"/>
          <w:szCs w:val="21"/>
          <w:highlight w:val="none"/>
          <w:u w:val="single"/>
        </w:rPr>
        <w:t xml:space="preserve">   </w:t>
      </w:r>
      <w:r>
        <w:rPr>
          <w:color w:val="auto"/>
          <w:szCs w:val="21"/>
          <w:highlight w:val="none"/>
        </w:rPr>
        <w:t>份，合同双方各执正本</w:t>
      </w:r>
      <w:r>
        <w:rPr>
          <w:rFonts w:hint="eastAsia"/>
          <w:color w:val="auto"/>
          <w:szCs w:val="21"/>
          <w:highlight w:val="none"/>
        </w:rPr>
        <w:t>一</w:t>
      </w:r>
      <w:r>
        <w:rPr>
          <w:color w:val="auto"/>
          <w:szCs w:val="21"/>
          <w:highlight w:val="none"/>
        </w:rPr>
        <w:t>份，副本</w:t>
      </w:r>
      <w:r>
        <w:rPr>
          <w:color w:val="auto"/>
          <w:szCs w:val="21"/>
          <w:highlight w:val="none"/>
          <w:u w:val="single"/>
        </w:rPr>
        <w:t xml:space="preserve">   </w:t>
      </w:r>
      <w:r>
        <w:rPr>
          <w:color w:val="auto"/>
          <w:szCs w:val="21"/>
          <w:highlight w:val="none"/>
        </w:rPr>
        <w:t>份，当正本与副本的内容不一致时，以正本为准。</w:t>
      </w:r>
    </w:p>
    <w:p w14:paraId="074D9016">
      <w:pPr>
        <w:shd w:val="clear"/>
        <w:tabs>
          <w:tab w:val="left" w:leader="underscore" w:pos="6300"/>
        </w:tabs>
        <w:rPr>
          <w:color w:val="auto"/>
          <w:szCs w:val="21"/>
          <w:highlight w:val="none"/>
        </w:rPr>
      </w:pPr>
    </w:p>
    <w:p w14:paraId="00B7EC12">
      <w:pPr>
        <w:shd w:val="clear"/>
        <w:tabs>
          <w:tab w:val="left" w:leader="underscore" w:pos="6300"/>
        </w:tabs>
        <w:rPr>
          <w:color w:val="auto"/>
          <w:szCs w:val="21"/>
          <w:highlight w:val="none"/>
        </w:rPr>
      </w:pPr>
    </w:p>
    <w:p w14:paraId="70BCBB4C">
      <w:pPr>
        <w:shd w:val="clear"/>
        <w:tabs>
          <w:tab w:val="left" w:leader="underscore" w:pos="6300"/>
        </w:tabs>
        <w:spacing w:line="400" w:lineRule="exact"/>
        <w:rPr>
          <w:color w:val="auto"/>
          <w:szCs w:val="21"/>
          <w:highlight w:val="none"/>
        </w:rPr>
      </w:pPr>
      <w:r>
        <w:rPr>
          <w:color w:val="auto"/>
          <w:szCs w:val="21"/>
          <w:highlight w:val="none"/>
        </w:rPr>
        <w:t>发包人：</w:t>
      </w:r>
      <w:r>
        <w:rPr>
          <w:color w:val="auto"/>
          <w:szCs w:val="21"/>
          <w:highlight w:val="none"/>
          <w:u w:val="single"/>
        </w:rPr>
        <w:t xml:space="preserve">                </w:t>
      </w:r>
      <w:r>
        <w:rPr>
          <w:color w:val="auto"/>
          <w:szCs w:val="21"/>
          <w:highlight w:val="none"/>
        </w:rPr>
        <w:t>（盖单位章）  承包人：</w:t>
      </w:r>
      <w:r>
        <w:rPr>
          <w:color w:val="auto"/>
          <w:szCs w:val="21"/>
          <w:highlight w:val="none"/>
          <w:u w:val="single"/>
        </w:rPr>
        <w:t xml:space="preserve">                </w:t>
      </w:r>
      <w:r>
        <w:rPr>
          <w:color w:val="auto"/>
          <w:szCs w:val="21"/>
          <w:highlight w:val="none"/>
        </w:rPr>
        <w:t xml:space="preserve">（盖单位章） </w:t>
      </w:r>
    </w:p>
    <w:p w14:paraId="7F58EDF2">
      <w:pPr>
        <w:shd w:val="clear"/>
        <w:tabs>
          <w:tab w:val="left" w:leader="underscore" w:pos="6300"/>
        </w:tabs>
        <w:spacing w:line="400" w:lineRule="exact"/>
        <w:rPr>
          <w:color w:val="auto"/>
          <w:szCs w:val="21"/>
          <w:highlight w:val="none"/>
        </w:rPr>
      </w:pPr>
      <w:r>
        <w:rPr>
          <w:color w:val="auto"/>
          <w:szCs w:val="21"/>
          <w:highlight w:val="none"/>
        </w:rPr>
        <w:t>法定代表人或其委托代理人：</w:t>
      </w:r>
      <w:r>
        <w:rPr>
          <w:color w:val="auto"/>
          <w:szCs w:val="21"/>
          <w:highlight w:val="none"/>
          <w:u w:val="single"/>
        </w:rPr>
        <w:t xml:space="preserve">  </w:t>
      </w:r>
      <w:r>
        <w:rPr>
          <w:color w:val="auto"/>
          <w:szCs w:val="21"/>
          <w:highlight w:val="none"/>
        </w:rPr>
        <w:t>（签字）  法定代表人或其委托代理人：</w:t>
      </w:r>
      <w:r>
        <w:rPr>
          <w:color w:val="auto"/>
          <w:szCs w:val="21"/>
          <w:highlight w:val="none"/>
          <w:u w:val="single"/>
        </w:rPr>
        <w:t xml:space="preserve">  </w:t>
      </w:r>
      <w:r>
        <w:rPr>
          <w:color w:val="auto"/>
          <w:szCs w:val="21"/>
          <w:highlight w:val="none"/>
        </w:rPr>
        <w:t>（签字）</w:t>
      </w:r>
    </w:p>
    <w:p w14:paraId="27600C7F">
      <w:pPr>
        <w:widowControl/>
        <w:shd w:val="clear"/>
        <w:tabs>
          <w:tab w:val="left" w:leader="underscore" w:pos="6300"/>
        </w:tabs>
        <w:adjustRightInd w:val="0"/>
        <w:snapToGrid w:val="0"/>
        <w:spacing w:after="120" w:afterLines="50" w:line="360" w:lineRule="auto"/>
        <w:ind w:firstLine="420" w:firstLineChars="200"/>
        <w:rPr>
          <w:color w:val="auto"/>
          <w:szCs w:val="21"/>
          <w:highlight w:val="none"/>
        </w:rPr>
        <w:sectPr>
          <w:pgSz w:w="11906" w:h="16838"/>
          <w:pgMar w:top="1440" w:right="1800" w:bottom="1440" w:left="1800" w:header="720" w:footer="998" w:gutter="0"/>
          <w:pgNumType w:fmt="decimal"/>
          <w:cols w:space="720" w:num="1"/>
          <w:docGrid w:linePitch="326" w:charSpace="0"/>
        </w:sectPr>
      </w:pPr>
      <w:r>
        <w:rPr>
          <w:color w:val="auto"/>
          <w:szCs w:val="21"/>
          <w:highlight w:val="none"/>
        </w:rPr>
        <w:t xml:space="preserve">   </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 xml:space="preserve">日                       </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2E70FFBD">
      <w:pPr>
        <w:keepNext/>
        <w:keepLines/>
        <w:widowControl/>
        <w:shd w:val="clear"/>
        <w:tabs>
          <w:tab w:val="left" w:pos="1134"/>
          <w:tab w:val="left" w:leader="underscore" w:pos="6300"/>
        </w:tabs>
        <w:topLinePunct/>
        <w:adjustRightInd w:val="0"/>
        <w:snapToGrid w:val="0"/>
        <w:spacing w:after="120" w:afterLines="50" w:line="360" w:lineRule="auto"/>
        <w:jc w:val="center"/>
        <w:outlineLvl w:val="1"/>
        <w:rPr>
          <w:rFonts w:ascii="黑体" w:hAnsi="黑体" w:eastAsia="黑体"/>
          <w:b/>
          <w:color w:val="auto"/>
          <w:kern w:val="0"/>
          <w:sz w:val="30"/>
          <w:szCs w:val="30"/>
          <w:highlight w:val="none"/>
        </w:rPr>
      </w:pPr>
      <w:bookmarkStart w:id="952" w:name="_Toc20171895"/>
      <w:bookmarkStart w:id="953" w:name="_Toc54862354"/>
      <w:r>
        <w:rPr>
          <w:rFonts w:hint="eastAsia" w:ascii="黑体" w:hAnsi="黑体" w:eastAsia="黑体"/>
          <w:b/>
          <w:color w:val="auto"/>
          <w:kern w:val="0"/>
          <w:sz w:val="30"/>
          <w:szCs w:val="30"/>
          <w:highlight w:val="none"/>
        </w:rPr>
        <w:t>附件</w:t>
      </w:r>
      <w:r>
        <w:rPr>
          <w:rFonts w:ascii="黑体" w:hAnsi="黑体" w:eastAsia="黑体"/>
          <w:b/>
          <w:color w:val="auto"/>
          <w:kern w:val="0"/>
          <w:sz w:val="30"/>
          <w:szCs w:val="30"/>
          <w:highlight w:val="none"/>
        </w:rPr>
        <w:t>3 工程质量保修书</w:t>
      </w:r>
      <w:bookmarkEnd w:id="952"/>
      <w:bookmarkEnd w:id="953"/>
    </w:p>
    <w:p w14:paraId="233CC8D9">
      <w:pPr>
        <w:adjustRightInd w:val="0"/>
        <w:snapToGrid w:val="0"/>
        <w:spacing w:line="360" w:lineRule="auto"/>
        <w:ind w:firstLine="420" w:firstLineChars="200"/>
        <w:rPr>
          <w:rFonts w:hint="eastAsia" w:ascii="宋体" w:hAnsi="宋体" w:cs="宋体"/>
          <w:color w:val="auto"/>
          <w:kern w:val="0"/>
          <w:position w:val="14"/>
          <w:szCs w:val="21"/>
          <w:highlight w:val="none"/>
        </w:rPr>
      </w:pPr>
      <w:r>
        <w:rPr>
          <w:rFonts w:hint="eastAsia" w:ascii="宋体" w:hAnsi="宋体" w:cs="宋体"/>
          <w:bCs/>
          <w:color w:val="auto"/>
          <w:kern w:val="0"/>
          <w:position w:val="14"/>
          <w:szCs w:val="21"/>
          <w:highlight w:val="none"/>
        </w:rPr>
        <w:t>发包人</w:t>
      </w:r>
      <w:r>
        <w:rPr>
          <w:rFonts w:hint="eastAsia" w:ascii="宋体" w:hAnsi="宋体" w:cs="宋体"/>
          <w:color w:val="auto"/>
          <w:kern w:val="0"/>
          <w:position w:val="14"/>
          <w:szCs w:val="21"/>
          <w:highlight w:val="none"/>
        </w:rPr>
        <w:t>：_______________________________</w:t>
      </w:r>
    </w:p>
    <w:p w14:paraId="1F517414">
      <w:pPr>
        <w:widowControl/>
        <w:adjustRightInd w:val="0"/>
        <w:snapToGrid w:val="0"/>
        <w:spacing w:line="360" w:lineRule="auto"/>
        <w:ind w:firstLine="420" w:firstLineChars="200"/>
        <w:jc w:val="left"/>
        <w:rPr>
          <w:rFonts w:hint="eastAsia" w:ascii="宋体" w:hAnsi="宋体" w:cs="宋体"/>
          <w:color w:val="auto"/>
          <w:kern w:val="0"/>
          <w:position w:val="14"/>
          <w:szCs w:val="21"/>
          <w:highlight w:val="none"/>
        </w:rPr>
      </w:pPr>
      <w:r>
        <w:rPr>
          <w:rFonts w:hint="eastAsia" w:ascii="宋体" w:hAnsi="宋体" w:cs="宋体"/>
          <w:bCs/>
          <w:color w:val="auto"/>
          <w:kern w:val="0"/>
          <w:position w:val="14"/>
          <w:szCs w:val="21"/>
          <w:highlight w:val="none"/>
        </w:rPr>
        <w:t>承包人</w:t>
      </w:r>
      <w:r>
        <w:rPr>
          <w:rFonts w:hint="eastAsia" w:ascii="宋体" w:hAnsi="宋体" w:cs="宋体"/>
          <w:color w:val="auto"/>
          <w:kern w:val="0"/>
          <w:position w:val="14"/>
          <w:szCs w:val="21"/>
          <w:highlight w:val="none"/>
        </w:rPr>
        <w:t>：_______________________________</w:t>
      </w:r>
    </w:p>
    <w:p w14:paraId="2FDB05CC">
      <w:pPr>
        <w:widowControl/>
        <w:adjustRightInd w:val="0"/>
        <w:snapToGrid w:val="0"/>
        <w:spacing w:line="360" w:lineRule="auto"/>
        <w:ind w:firstLine="420" w:firstLineChars="200"/>
        <w:jc w:val="left"/>
        <w:rPr>
          <w:rFonts w:hint="eastAsia" w:ascii="宋体" w:hAnsi="宋体" w:cs="宋体"/>
          <w:color w:val="auto"/>
          <w:kern w:val="0"/>
          <w:position w:val="6"/>
          <w:szCs w:val="21"/>
          <w:highlight w:val="none"/>
        </w:rPr>
      </w:pPr>
      <w:r>
        <w:rPr>
          <w:rFonts w:hint="eastAsia" w:ascii="宋体" w:hAnsi="宋体" w:cs="宋体"/>
          <w:color w:val="auto"/>
          <w:kern w:val="0"/>
          <w:position w:val="6"/>
          <w:szCs w:val="21"/>
          <w:highlight w:val="none"/>
        </w:rPr>
        <w:t>发包人、承包人根据《中华人民共和国建筑法》《建设工程质量管理条例》,参照《房屋建筑工程质量保修办法》，经协商一致，对______________________工程签订工程质量保修书。</w:t>
      </w:r>
    </w:p>
    <w:p w14:paraId="7EE721E7">
      <w:pPr>
        <w:widowControl/>
        <w:adjustRightInd w:val="0"/>
        <w:snapToGrid w:val="0"/>
        <w:spacing w:line="360" w:lineRule="auto"/>
        <w:ind w:firstLine="422" w:firstLineChars="200"/>
        <w:jc w:val="left"/>
        <w:rPr>
          <w:rFonts w:hint="eastAsia" w:ascii="宋体" w:hAnsi="宋体" w:cs="宋体"/>
          <w:b/>
          <w:bCs/>
          <w:color w:val="auto"/>
          <w:kern w:val="0"/>
          <w:position w:val="6"/>
          <w:szCs w:val="21"/>
          <w:highlight w:val="none"/>
        </w:rPr>
      </w:pPr>
      <w:r>
        <w:rPr>
          <w:rFonts w:hint="eastAsia" w:ascii="宋体" w:hAnsi="宋体" w:cs="宋体"/>
          <w:b/>
          <w:bCs/>
          <w:color w:val="auto"/>
          <w:kern w:val="0"/>
          <w:position w:val="6"/>
          <w:szCs w:val="21"/>
          <w:highlight w:val="none"/>
        </w:rPr>
        <w:t>一、工程质量保修范围和内容</w:t>
      </w:r>
    </w:p>
    <w:p w14:paraId="320ED7F3">
      <w:pPr>
        <w:adjustRightInd w:val="0"/>
        <w:snapToGrid w:val="0"/>
        <w:spacing w:line="360" w:lineRule="auto"/>
        <w:ind w:firstLine="420" w:firstLineChars="200"/>
        <w:jc w:val="left"/>
        <w:rPr>
          <w:rFonts w:hint="eastAsia" w:ascii="宋体" w:hAnsi="宋体" w:cs="宋体"/>
          <w:color w:val="auto"/>
          <w:position w:val="6"/>
          <w:szCs w:val="21"/>
          <w:highlight w:val="none"/>
        </w:rPr>
      </w:pPr>
      <w:r>
        <w:rPr>
          <w:rFonts w:hint="eastAsia" w:ascii="宋体" w:hAnsi="宋体" w:cs="宋体"/>
          <w:color w:val="auto"/>
          <w:position w:val="6"/>
          <w:szCs w:val="21"/>
          <w:highlight w:val="none"/>
        </w:rPr>
        <w:t>按照《建设工程质量管理条例》及有关法律、法规、规章的管理规定，双方约定由施工单位在质量保修期内，承担本工程的质量保修责任。</w:t>
      </w:r>
    </w:p>
    <w:p w14:paraId="0E937D3C">
      <w:pPr>
        <w:adjustRightInd w:val="0"/>
        <w:snapToGrid w:val="0"/>
        <w:spacing w:line="360" w:lineRule="auto"/>
        <w:ind w:firstLine="420" w:firstLineChars="200"/>
        <w:jc w:val="left"/>
        <w:rPr>
          <w:rFonts w:hint="eastAsia" w:ascii="宋体" w:hAnsi="宋体" w:cs="宋体"/>
          <w:color w:val="auto"/>
          <w:position w:val="6"/>
          <w:szCs w:val="21"/>
          <w:highlight w:val="none"/>
        </w:rPr>
      </w:pPr>
      <w:r>
        <w:rPr>
          <w:rFonts w:hint="eastAsia" w:ascii="宋体" w:hAnsi="宋体" w:cs="宋体"/>
          <w:color w:val="auto"/>
          <w:position w:val="6"/>
          <w:szCs w:val="21"/>
          <w:highlight w:val="none"/>
        </w:rPr>
        <w:t>质量保修范围和内容：______________________。</w:t>
      </w:r>
      <w:r>
        <w:rPr>
          <w:rFonts w:hint="eastAsia" w:ascii="宋体" w:hAnsi="宋体" w:cs="宋体"/>
          <w:bCs/>
          <w:color w:val="auto"/>
          <w:kern w:val="0"/>
          <w:position w:val="6"/>
          <w:szCs w:val="21"/>
          <w:highlight w:val="none"/>
        </w:rPr>
        <w:t>因不可抗力或使用不当造成的质量缺陷，不属保修范围。</w:t>
      </w:r>
    </w:p>
    <w:p w14:paraId="5E550394">
      <w:pPr>
        <w:widowControl/>
        <w:adjustRightInd w:val="0"/>
        <w:snapToGrid w:val="0"/>
        <w:spacing w:line="360" w:lineRule="auto"/>
        <w:ind w:firstLine="422" w:firstLineChars="200"/>
        <w:jc w:val="left"/>
        <w:rPr>
          <w:rFonts w:hint="eastAsia" w:ascii="宋体" w:hAnsi="宋体" w:cs="宋体"/>
          <w:b/>
          <w:bCs/>
          <w:color w:val="auto"/>
          <w:kern w:val="0"/>
          <w:position w:val="6"/>
          <w:szCs w:val="21"/>
          <w:highlight w:val="none"/>
        </w:rPr>
      </w:pPr>
      <w:r>
        <w:rPr>
          <w:rFonts w:hint="eastAsia" w:ascii="宋体" w:hAnsi="宋体" w:cs="宋体"/>
          <w:b/>
          <w:bCs/>
          <w:color w:val="auto"/>
          <w:kern w:val="0"/>
          <w:position w:val="6"/>
          <w:szCs w:val="21"/>
          <w:highlight w:val="none"/>
        </w:rPr>
        <w:t>二、质量保修期</w:t>
      </w:r>
    </w:p>
    <w:p w14:paraId="611F02D5">
      <w:pPr>
        <w:adjustRightInd w:val="0"/>
        <w:snapToGrid w:val="0"/>
        <w:spacing w:line="360" w:lineRule="auto"/>
        <w:ind w:firstLine="420" w:firstLineChars="200"/>
        <w:jc w:val="left"/>
        <w:rPr>
          <w:rFonts w:hint="eastAsia" w:ascii="宋体" w:hAnsi="宋体" w:cs="宋体"/>
          <w:color w:val="auto"/>
          <w:kern w:val="0"/>
          <w:position w:val="6"/>
          <w:szCs w:val="21"/>
          <w:highlight w:val="none"/>
        </w:rPr>
      </w:pPr>
      <w:r>
        <w:rPr>
          <w:rFonts w:hint="eastAsia" w:ascii="宋体" w:hAnsi="宋体" w:cs="宋体"/>
          <w:color w:val="auto"/>
          <w:kern w:val="0"/>
          <w:position w:val="6"/>
          <w:szCs w:val="21"/>
          <w:highlight w:val="none"/>
        </w:rPr>
        <w:t>双方根据</w:t>
      </w:r>
      <w:r>
        <w:rPr>
          <w:rFonts w:hint="eastAsia" w:ascii="宋体" w:hAnsi="宋体" w:cs="宋体"/>
          <w:color w:val="auto"/>
          <w:position w:val="6"/>
          <w:szCs w:val="21"/>
          <w:highlight w:val="none"/>
        </w:rPr>
        <w:t>《建设工程质量管理条例》</w:t>
      </w:r>
      <w:r>
        <w:rPr>
          <w:rFonts w:hint="eastAsia" w:ascii="宋体" w:hAnsi="宋体" w:cs="宋体"/>
          <w:color w:val="auto"/>
          <w:kern w:val="0"/>
          <w:position w:val="6"/>
          <w:szCs w:val="21"/>
          <w:highlight w:val="none"/>
        </w:rPr>
        <w:t>及有关规定，约定本工程的质量保修期如下：</w:t>
      </w:r>
    </w:p>
    <w:p w14:paraId="237CFAA0">
      <w:pPr>
        <w:adjustRightInd w:val="0"/>
        <w:snapToGrid w:val="0"/>
        <w:spacing w:line="360" w:lineRule="auto"/>
        <w:ind w:firstLine="420" w:firstLineChars="200"/>
        <w:jc w:val="left"/>
        <w:rPr>
          <w:rFonts w:hint="eastAsia" w:ascii="宋体" w:hAnsi="宋体" w:cs="宋体"/>
          <w:color w:val="auto"/>
          <w:position w:val="6"/>
          <w:szCs w:val="21"/>
          <w:highlight w:val="none"/>
          <w:lang w:val="en-US" w:eastAsia="zh-CN"/>
        </w:rPr>
      </w:pPr>
      <w:r>
        <w:rPr>
          <w:rFonts w:hint="eastAsia" w:ascii="宋体" w:hAnsi="宋体" w:cs="宋体"/>
          <w:color w:val="auto"/>
          <w:position w:val="6"/>
          <w:szCs w:val="21"/>
          <w:highlight w:val="none"/>
          <w:lang w:val="en-US" w:eastAsia="zh-CN"/>
        </w:rPr>
        <w:t>1. 钢结构支架质保，为10年；</w:t>
      </w:r>
    </w:p>
    <w:p w14:paraId="03DC769A">
      <w:pPr>
        <w:adjustRightInd w:val="0"/>
        <w:snapToGrid w:val="0"/>
        <w:spacing w:line="360" w:lineRule="auto"/>
        <w:ind w:firstLine="420" w:firstLineChars="200"/>
        <w:jc w:val="left"/>
        <w:rPr>
          <w:rFonts w:hint="eastAsia" w:ascii="宋体" w:hAnsi="宋体" w:cs="宋体"/>
          <w:color w:val="auto"/>
          <w:position w:val="6"/>
          <w:szCs w:val="21"/>
          <w:highlight w:val="none"/>
          <w:lang w:val="en-US" w:eastAsia="zh-CN"/>
        </w:rPr>
      </w:pPr>
      <w:r>
        <w:rPr>
          <w:rFonts w:hint="eastAsia" w:ascii="宋体" w:hAnsi="宋体" w:cs="宋体"/>
          <w:color w:val="auto"/>
          <w:position w:val="6"/>
          <w:szCs w:val="21"/>
          <w:highlight w:val="none"/>
          <w:lang w:val="en-US" w:eastAsia="zh-CN"/>
        </w:rPr>
        <w:t>2. 逆变器、监控系统等核心电气设备质保，为5年；</w:t>
      </w:r>
    </w:p>
    <w:p w14:paraId="51FFD168">
      <w:pPr>
        <w:adjustRightInd w:val="0"/>
        <w:snapToGrid w:val="0"/>
        <w:spacing w:line="360" w:lineRule="auto"/>
        <w:ind w:firstLine="420" w:firstLineChars="200"/>
        <w:jc w:val="left"/>
        <w:rPr>
          <w:rFonts w:hint="eastAsia" w:ascii="宋体" w:hAnsi="宋体" w:cs="宋体"/>
          <w:color w:val="auto"/>
          <w:position w:val="6"/>
          <w:szCs w:val="21"/>
          <w:highlight w:val="none"/>
          <w:lang w:val="en-US" w:eastAsia="zh-CN"/>
        </w:rPr>
      </w:pPr>
      <w:r>
        <w:rPr>
          <w:rFonts w:hint="eastAsia" w:ascii="宋体" w:hAnsi="宋体" w:cs="宋体"/>
          <w:color w:val="auto"/>
          <w:position w:val="6"/>
          <w:szCs w:val="21"/>
          <w:highlight w:val="none"/>
          <w:lang w:val="en-US" w:eastAsia="zh-CN"/>
        </w:rPr>
        <w:t>3. 其他电器设备按照厂家原厂政策执行。</w:t>
      </w:r>
    </w:p>
    <w:p w14:paraId="2C77EAED">
      <w:pPr>
        <w:adjustRightInd w:val="0"/>
        <w:snapToGrid w:val="0"/>
        <w:spacing w:line="360" w:lineRule="auto"/>
        <w:ind w:left="359" w:leftChars="171" w:firstLine="105" w:firstLineChars="50"/>
        <w:rPr>
          <w:rFonts w:hint="eastAsia" w:ascii="宋体" w:hAnsi="宋体" w:cs="宋体"/>
          <w:color w:val="auto"/>
          <w:kern w:val="0"/>
          <w:position w:val="6"/>
          <w:szCs w:val="21"/>
          <w:highlight w:val="none"/>
        </w:rPr>
      </w:pPr>
      <w:r>
        <w:rPr>
          <w:rFonts w:hint="eastAsia" w:ascii="宋体" w:hAnsi="宋体" w:cs="宋体"/>
          <w:color w:val="auto"/>
          <w:kern w:val="0"/>
          <w:position w:val="6"/>
          <w:szCs w:val="21"/>
          <w:highlight w:val="none"/>
        </w:rPr>
        <w:t>质量保修期自工程竣工验收合格之日起计算。</w:t>
      </w:r>
    </w:p>
    <w:p w14:paraId="7885E1E3">
      <w:pPr>
        <w:adjustRightInd w:val="0"/>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三、缺陷责任期</w:t>
      </w:r>
    </w:p>
    <w:p w14:paraId="2DBF008F">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 xml:space="preserve">工程缺陷责任期 </w:t>
      </w:r>
      <w:r>
        <w:rPr>
          <w:rFonts w:hint="default" w:ascii="宋体" w:hAnsi="宋体" w:cs="宋体"/>
          <w:color w:val="auto"/>
          <w:szCs w:val="21"/>
          <w:highlight w:val="none"/>
          <w:lang w:val="en-US" w:eastAsia="zh-CN"/>
        </w:rPr>
        <w:t>(</w:t>
      </w:r>
      <w:r>
        <w:rPr>
          <w:rFonts w:hint="eastAsia" w:ascii="宋体" w:hAnsi="宋体" w:cs="宋体"/>
          <w:color w:val="auto"/>
          <w:szCs w:val="21"/>
          <w:highlight w:val="none"/>
          <w:lang w:val="en-US" w:eastAsia="zh-CN"/>
        </w:rPr>
        <w:t>自竣工验收合格之日起满2年</w:t>
      </w:r>
      <w:r>
        <w:rPr>
          <w:rFonts w:hint="default" w:ascii="宋体" w:hAnsi="宋体" w:cs="宋体"/>
          <w:color w:val="auto"/>
          <w:szCs w:val="21"/>
          <w:highlight w:val="none"/>
          <w:lang w:val="en-US" w:eastAsia="zh-CN"/>
        </w:rPr>
        <w:t>)</w:t>
      </w:r>
      <w:r>
        <w:rPr>
          <w:rFonts w:hint="eastAsia" w:ascii="宋体" w:hAnsi="宋体" w:cs="宋体"/>
          <w:color w:val="auto"/>
          <w:szCs w:val="21"/>
          <w:highlight w:val="none"/>
        </w:rPr>
        <w:t>。单位工程先于全部工程进行验收，单位工程缺陷责任期自单位工程验收合格之日起算。</w:t>
      </w:r>
    </w:p>
    <w:p w14:paraId="1304C396">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缺陷责任期终止后，发包人应退还剩余的质量保证金。</w:t>
      </w:r>
    </w:p>
    <w:p w14:paraId="1F996FDB">
      <w:pPr>
        <w:widowControl/>
        <w:adjustRightInd w:val="0"/>
        <w:snapToGrid w:val="0"/>
        <w:spacing w:line="360" w:lineRule="auto"/>
        <w:ind w:firstLine="422" w:firstLineChars="200"/>
        <w:jc w:val="left"/>
        <w:rPr>
          <w:rFonts w:hint="eastAsia" w:ascii="宋体" w:hAnsi="宋体" w:cs="宋体"/>
          <w:b/>
          <w:bCs/>
          <w:color w:val="auto"/>
          <w:kern w:val="0"/>
          <w:position w:val="6"/>
          <w:szCs w:val="21"/>
          <w:highlight w:val="none"/>
        </w:rPr>
      </w:pPr>
      <w:r>
        <w:rPr>
          <w:rFonts w:hint="eastAsia" w:ascii="宋体" w:hAnsi="宋体" w:cs="宋体"/>
          <w:b/>
          <w:color w:val="auto"/>
          <w:szCs w:val="21"/>
          <w:highlight w:val="none"/>
        </w:rPr>
        <w:t>四、质量保修责任</w:t>
      </w:r>
    </w:p>
    <w:p w14:paraId="4A0B1624">
      <w:pPr>
        <w:widowControl/>
        <w:adjustRightInd w:val="0"/>
        <w:snapToGrid w:val="0"/>
        <w:spacing w:line="360" w:lineRule="auto"/>
        <w:ind w:firstLine="420" w:firstLineChars="200"/>
        <w:jc w:val="left"/>
        <w:rPr>
          <w:rFonts w:hint="eastAsia" w:ascii="宋体" w:hAnsi="宋体" w:cs="宋体"/>
          <w:color w:val="auto"/>
          <w:kern w:val="0"/>
          <w:position w:val="6"/>
          <w:szCs w:val="21"/>
          <w:highlight w:val="none"/>
        </w:rPr>
      </w:pPr>
      <w:r>
        <w:rPr>
          <w:rFonts w:hint="eastAsia" w:ascii="宋体" w:hAnsi="宋体" w:cs="宋体"/>
          <w:color w:val="auto"/>
          <w:kern w:val="0"/>
          <w:position w:val="6"/>
          <w:szCs w:val="21"/>
          <w:highlight w:val="none"/>
        </w:rPr>
        <w:t>1. 属于保修范围、内容的项目，承包人应当在接到保修通知之日起7天内派人保修。承包人不在约定期限内派人保修的，发包人可以委托他人修理。</w:t>
      </w:r>
    </w:p>
    <w:p w14:paraId="138DD28C">
      <w:pPr>
        <w:widowControl/>
        <w:adjustRightInd w:val="0"/>
        <w:snapToGrid w:val="0"/>
        <w:spacing w:line="360" w:lineRule="auto"/>
        <w:ind w:firstLine="420" w:firstLineChars="200"/>
        <w:jc w:val="left"/>
        <w:rPr>
          <w:rFonts w:hint="eastAsia" w:ascii="宋体" w:hAnsi="宋体" w:cs="宋体"/>
          <w:color w:val="auto"/>
          <w:kern w:val="0"/>
          <w:position w:val="6"/>
          <w:szCs w:val="21"/>
          <w:highlight w:val="none"/>
        </w:rPr>
      </w:pPr>
      <w:r>
        <w:rPr>
          <w:rFonts w:hint="eastAsia" w:ascii="宋体" w:hAnsi="宋体" w:cs="宋体"/>
          <w:color w:val="auto"/>
          <w:kern w:val="0"/>
          <w:position w:val="6"/>
          <w:szCs w:val="21"/>
          <w:highlight w:val="none"/>
        </w:rPr>
        <w:t>2. 发生紧急抢修事故的，承包人在接到事故通知后，应当立即到达事故现场抢修。</w:t>
      </w:r>
    </w:p>
    <w:p w14:paraId="43C25068">
      <w:pPr>
        <w:widowControl/>
        <w:adjustRightInd w:val="0"/>
        <w:snapToGrid w:val="0"/>
        <w:spacing w:line="360" w:lineRule="auto"/>
        <w:ind w:firstLine="420" w:firstLineChars="200"/>
        <w:jc w:val="left"/>
        <w:rPr>
          <w:rFonts w:hint="eastAsia" w:ascii="宋体" w:hAnsi="宋体" w:cs="宋体"/>
          <w:color w:val="auto"/>
          <w:kern w:val="0"/>
          <w:position w:val="6"/>
          <w:szCs w:val="21"/>
          <w:highlight w:val="none"/>
        </w:rPr>
      </w:pPr>
      <w:r>
        <w:rPr>
          <w:rFonts w:hint="eastAsia" w:ascii="宋体" w:hAnsi="宋体" w:cs="宋体"/>
          <w:color w:val="auto"/>
          <w:kern w:val="0"/>
          <w:position w:val="6"/>
          <w:szCs w:val="21"/>
          <w:highlight w:val="none"/>
        </w:rPr>
        <w:t>3. 对于涉及结构安全的质量问题，应当立即向当地建设行政主管部门报告，采取安全防范措施；由原设计单位或者具有相应资质等级的设计单位提出保修方案，承包人实施保修。</w:t>
      </w:r>
    </w:p>
    <w:p w14:paraId="0FBDF0C1">
      <w:pPr>
        <w:widowControl/>
        <w:adjustRightInd w:val="0"/>
        <w:snapToGrid w:val="0"/>
        <w:spacing w:line="360" w:lineRule="auto"/>
        <w:ind w:firstLine="420" w:firstLineChars="200"/>
        <w:jc w:val="left"/>
        <w:rPr>
          <w:rFonts w:hint="eastAsia" w:ascii="宋体" w:hAnsi="宋体" w:cs="宋体"/>
          <w:color w:val="auto"/>
          <w:kern w:val="0"/>
          <w:position w:val="6"/>
          <w:szCs w:val="21"/>
          <w:highlight w:val="none"/>
        </w:rPr>
      </w:pPr>
      <w:r>
        <w:rPr>
          <w:rFonts w:hint="eastAsia" w:ascii="宋体" w:hAnsi="宋体" w:cs="宋体"/>
          <w:color w:val="auto"/>
          <w:kern w:val="0"/>
          <w:position w:val="6"/>
          <w:szCs w:val="21"/>
          <w:highlight w:val="none"/>
        </w:rPr>
        <w:t>4. 质量保修完成后，由发包人组织验收。</w:t>
      </w:r>
    </w:p>
    <w:p w14:paraId="007FE146">
      <w:pPr>
        <w:widowControl/>
        <w:adjustRightInd w:val="0"/>
        <w:snapToGrid w:val="0"/>
        <w:spacing w:line="360" w:lineRule="auto"/>
        <w:ind w:firstLine="422" w:firstLineChars="200"/>
        <w:jc w:val="left"/>
        <w:rPr>
          <w:rFonts w:hint="eastAsia" w:ascii="宋体" w:hAnsi="宋体" w:cs="宋体"/>
          <w:b/>
          <w:bCs/>
          <w:color w:val="auto"/>
          <w:kern w:val="0"/>
          <w:position w:val="6"/>
          <w:szCs w:val="21"/>
          <w:highlight w:val="none"/>
        </w:rPr>
      </w:pPr>
      <w:r>
        <w:rPr>
          <w:rFonts w:hint="eastAsia" w:ascii="宋体" w:hAnsi="宋体" w:cs="宋体"/>
          <w:b/>
          <w:bCs/>
          <w:color w:val="auto"/>
          <w:kern w:val="0"/>
          <w:position w:val="6"/>
          <w:szCs w:val="21"/>
          <w:highlight w:val="none"/>
        </w:rPr>
        <w:t>五、保修费用</w:t>
      </w:r>
    </w:p>
    <w:p w14:paraId="09EA2A1A">
      <w:pPr>
        <w:widowControl/>
        <w:adjustRightInd w:val="0"/>
        <w:snapToGrid w:val="0"/>
        <w:spacing w:line="360" w:lineRule="auto"/>
        <w:ind w:firstLine="420" w:firstLineChars="200"/>
        <w:jc w:val="left"/>
        <w:rPr>
          <w:rFonts w:hint="eastAsia" w:ascii="宋体" w:hAnsi="宋体" w:cs="宋体"/>
          <w:color w:val="auto"/>
          <w:kern w:val="0"/>
          <w:position w:val="6"/>
          <w:szCs w:val="21"/>
          <w:highlight w:val="none"/>
        </w:rPr>
      </w:pPr>
      <w:r>
        <w:rPr>
          <w:rFonts w:hint="eastAsia" w:ascii="宋体" w:hAnsi="宋体" w:cs="宋体"/>
          <w:color w:val="auto"/>
          <w:kern w:val="0"/>
          <w:position w:val="6"/>
          <w:szCs w:val="21"/>
          <w:highlight w:val="none"/>
        </w:rPr>
        <w:t>保修费用由造成质量缺陷的责任方承担。</w:t>
      </w:r>
    </w:p>
    <w:p w14:paraId="744D38FE">
      <w:pPr>
        <w:widowControl/>
        <w:adjustRightInd w:val="0"/>
        <w:snapToGrid w:val="0"/>
        <w:spacing w:line="360" w:lineRule="auto"/>
        <w:ind w:firstLine="420" w:firstLineChars="200"/>
        <w:jc w:val="left"/>
        <w:rPr>
          <w:rFonts w:hint="eastAsia" w:ascii="宋体" w:hAnsi="宋体" w:cs="宋体"/>
          <w:b/>
          <w:color w:val="auto"/>
          <w:szCs w:val="21"/>
          <w:highlight w:val="none"/>
        </w:rPr>
      </w:pPr>
      <w:r>
        <w:rPr>
          <w:rFonts w:hint="eastAsia" w:ascii="宋体" w:hAnsi="宋体" w:cs="宋体"/>
          <w:bCs/>
          <w:color w:val="auto"/>
          <w:kern w:val="0"/>
          <w:position w:val="6"/>
          <w:szCs w:val="21"/>
          <w:highlight w:val="none"/>
        </w:rPr>
        <w:t>六、</w:t>
      </w:r>
      <w:r>
        <w:rPr>
          <w:rFonts w:hint="eastAsia" w:ascii="宋体" w:hAnsi="宋体" w:cs="宋体"/>
          <w:b/>
          <w:color w:val="auto"/>
          <w:szCs w:val="21"/>
          <w:highlight w:val="none"/>
        </w:rPr>
        <w:t>双方约定的其他工程质量保修事项：</w:t>
      </w:r>
      <w:r>
        <w:rPr>
          <w:rFonts w:hint="eastAsia" w:ascii="宋体" w:hAnsi="宋体" w:cs="宋体"/>
          <w:b/>
          <w:color w:val="auto"/>
          <w:szCs w:val="21"/>
          <w:highlight w:val="none"/>
          <w:u w:val="single"/>
        </w:rPr>
        <w:t xml:space="preserve">     </w:t>
      </w:r>
      <w:r>
        <w:rPr>
          <w:rFonts w:hint="eastAsia" w:ascii="宋体" w:hAnsi="宋体" w:cs="宋体"/>
          <w:b/>
          <w:color w:val="auto"/>
          <w:szCs w:val="21"/>
          <w:highlight w:val="none"/>
          <w:u w:val="single"/>
          <w:lang w:val="en-US" w:eastAsia="zh-CN"/>
        </w:rPr>
        <w:t>/</w:t>
      </w:r>
      <w:r>
        <w:rPr>
          <w:rFonts w:hint="eastAsia" w:ascii="宋体" w:hAnsi="宋体" w:cs="宋体"/>
          <w:b/>
          <w:color w:val="auto"/>
          <w:szCs w:val="21"/>
          <w:highlight w:val="none"/>
          <w:u w:val="single"/>
        </w:rPr>
        <w:t xml:space="preserve">        </w:t>
      </w:r>
      <w:r>
        <w:rPr>
          <w:rFonts w:hint="eastAsia" w:ascii="宋体" w:hAnsi="宋体" w:cs="宋体"/>
          <w:b/>
          <w:color w:val="auto"/>
          <w:szCs w:val="21"/>
          <w:highlight w:val="none"/>
        </w:rPr>
        <w:t>。</w:t>
      </w:r>
    </w:p>
    <w:p w14:paraId="484A1544">
      <w:pPr>
        <w:widowControl/>
        <w:adjustRightInd w:val="0"/>
        <w:snapToGrid w:val="0"/>
        <w:spacing w:line="360"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position w:val="6"/>
          <w:szCs w:val="21"/>
          <w:highlight w:val="none"/>
        </w:rPr>
        <w:t>本工程质量保修书，由施工合同发包人、承包人双方在竣工验收前共同签署，作为施工合同附件，其有效期限至保修期满。</w:t>
      </w:r>
    </w:p>
    <w:p w14:paraId="6601C000">
      <w:pPr>
        <w:adjustRightInd w:val="0"/>
        <w:snapToGrid w:val="0"/>
        <w:spacing w:line="360" w:lineRule="auto"/>
        <w:ind w:firstLine="420"/>
        <w:rPr>
          <w:rFonts w:hint="eastAsia" w:ascii="宋体" w:hAnsi="宋体" w:cs="宋体"/>
          <w:color w:val="auto"/>
          <w:szCs w:val="21"/>
          <w:highlight w:val="none"/>
        </w:rPr>
      </w:pPr>
    </w:p>
    <w:p w14:paraId="72EB212E">
      <w:pPr>
        <w:adjustRightInd w:val="0"/>
        <w:snapToGrid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发包人(公章)：</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承包人(公章)：</w:t>
      </w:r>
      <w:r>
        <w:rPr>
          <w:rFonts w:hint="eastAsia" w:ascii="宋体" w:hAnsi="宋体" w:cs="宋体"/>
          <w:color w:val="auto"/>
          <w:szCs w:val="21"/>
          <w:highlight w:val="none"/>
          <w:u w:val="single"/>
        </w:rPr>
        <w:t xml:space="preserve">           </w:t>
      </w:r>
    </w:p>
    <w:p w14:paraId="0EC5B25E">
      <w:pPr>
        <w:adjustRightInd w:val="0"/>
        <w:snapToGrid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地  址：</w:t>
      </w:r>
      <w:r>
        <w:rPr>
          <w:rFonts w:hint="eastAsia" w:ascii="宋体" w:hAnsi="宋体" w:cs="宋体"/>
          <w:color w:val="auto"/>
          <w:szCs w:val="21"/>
          <w:highlight w:val="none"/>
          <w:u w:val="single"/>
        </w:rPr>
        <w:t xml:space="preserve">                  </w:t>
      </w:r>
    </w:p>
    <w:p w14:paraId="52B425B8">
      <w:pPr>
        <w:adjustRightInd w:val="0"/>
        <w:snapToGrid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法定代表人(签字)：</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法定代表人(签字)：</w:t>
      </w:r>
      <w:r>
        <w:rPr>
          <w:rFonts w:hint="eastAsia" w:ascii="宋体" w:hAnsi="宋体" w:cs="宋体"/>
          <w:color w:val="auto"/>
          <w:szCs w:val="21"/>
          <w:highlight w:val="none"/>
          <w:u w:val="single"/>
        </w:rPr>
        <w:t xml:space="preserve">           </w:t>
      </w:r>
    </w:p>
    <w:p w14:paraId="4A3966EF">
      <w:pPr>
        <w:adjustRightInd w:val="0"/>
        <w:snapToGrid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委托代理人(签字)：</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委托代理人(签字)：</w:t>
      </w:r>
      <w:r>
        <w:rPr>
          <w:rFonts w:hint="eastAsia" w:ascii="宋体" w:hAnsi="宋体" w:cs="宋体"/>
          <w:color w:val="auto"/>
          <w:szCs w:val="21"/>
          <w:highlight w:val="none"/>
          <w:u w:val="single"/>
        </w:rPr>
        <w:t xml:space="preserve">            </w:t>
      </w:r>
    </w:p>
    <w:p w14:paraId="728BFD8B">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  话：</w:t>
      </w:r>
      <w:r>
        <w:rPr>
          <w:rFonts w:hint="eastAsia" w:ascii="宋体" w:hAnsi="宋体" w:cs="宋体"/>
          <w:color w:val="auto"/>
          <w:szCs w:val="21"/>
          <w:highlight w:val="none"/>
          <w:u w:val="single"/>
        </w:rPr>
        <w:t xml:space="preserve">                     </w:t>
      </w:r>
    </w:p>
    <w:p w14:paraId="7ED419B6">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传  真：</w:t>
      </w:r>
      <w:r>
        <w:rPr>
          <w:rFonts w:hint="eastAsia" w:ascii="宋体" w:hAnsi="宋体" w:cs="宋体"/>
          <w:color w:val="auto"/>
          <w:szCs w:val="21"/>
          <w:highlight w:val="none"/>
          <w:u w:val="single"/>
        </w:rPr>
        <w:t xml:space="preserve">                   </w:t>
      </w:r>
    </w:p>
    <w:p w14:paraId="0826D7E7">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开户银行：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开户银行：</w:t>
      </w:r>
      <w:r>
        <w:rPr>
          <w:rFonts w:hint="eastAsia" w:ascii="宋体" w:hAnsi="宋体" w:cs="宋体"/>
          <w:color w:val="auto"/>
          <w:szCs w:val="21"/>
          <w:highlight w:val="none"/>
          <w:u w:val="single"/>
        </w:rPr>
        <w:t xml:space="preserve">                   </w:t>
      </w:r>
    </w:p>
    <w:p w14:paraId="0F961849">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账  号：</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账  号：</w:t>
      </w:r>
      <w:r>
        <w:rPr>
          <w:rFonts w:hint="eastAsia" w:ascii="宋体" w:hAnsi="宋体" w:cs="宋体"/>
          <w:color w:val="auto"/>
          <w:szCs w:val="21"/>
          <w:highlight w:val="none"/>
          <w:u w:val="single"/>
        </w:rPr>
        <w:t xml:space="preserve">                     </w:t>
      </w:r>
    </w:p>
    <w:p w14:paraId="51C5ACDD">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邮政编码：</w:t>
      </w:r>
      <w:r>
        <w:rPr>
          <w:rFonts w:hint="eastAsia" w:ascii="宋体" w:hAnsi="宋体" w:cs="宋体"/>
          <w:color w:val="auto"/>
          <w:szCs w:val="21"/>
          <w:highlight w:val="none"/>
          <w:u w:val="single"/>
        </w:rPr>
        <w:t xml:space="preserve">                   </w:t>
      </w:r>
    </w:p>
    <w:p w14:paraId="1C72B662">
      <w:pPr>
        <w:widowControl/>
        <w:shd w:val="clear"/>
        <w:tabs>
          <w:tab w:val="left" w:leader="underscore" w:pos="6300"/>
        </w:tabs>
        <w:adjustRightInd w:val="0"/>
        <w:snapToGrid w:val="0"/>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 xml:space="preserve">  </w:t>
      </w:r>
    </w:p>
    <w:p w14:paraId="5D7FEC5E">
      <w:pPr>
        <w:widowControl/>
        <w:shd w:val="clear"/>
        <w:tabs>
          <w:tab w:val="left" w:leader="underscore" w:pos="6300"/>
        </w:tabs>
        <w:jc w:val="left"/>
        <w:rPr>
          <w:rFonts w:ascii="宋体" w:hAnsi="宋体"/>
          <w:color w:val="auto"/>
          <w:kern w:val="0"/>
          <w:sz w:val="30"/>
          <w:szCs w:val="30"/>
          <w:highlight w:val="none"/>
        </w:rPr>
      </w:pPr>
      <w:r>
        <w:rPr>
          <w:rFonts w:ascii="宋体" w:hAnsi="宋体"/>
          <w:color w:val="auto"/>
          <w:kern w:val="0"/>
          <w:sz w:val="30"/>
          <w:szCs w:val="30"/>
          <w:highlight w:val="none"/>
        </w:rPr>
        <w:br w:type="page"/>
      </w:r>
    </w:p>
    <w:p w14:paraId="5EDC9E00">
      <w:pPr>
        <w:keepNext/>
        <w:keepLines/>
        <w:widowControl/>
        <w:shd w:val="clear"/>
        <w:tabs>
          <w:tab w:val="left" w:pos="1134"/>
          <w:tab w:val="left" w:leader="underscore" w:pos="6300"/>
        </w:tabs>
        <w:topLinePunct/>
        <w:adjustRightInd w:val="0"/>
        <w:snapToGrid w:val="0"/>
        <w:spacing w:after="120" w:afterLines="50" w:line="360" w:lineRule="auto"/>
        <w:jc w:val="center"/>
        <w:outlineLvl w:val="1"/>
        <w:rPr>
          <w:rFonts w:ascii="黑体" w:hAnsi="黑体" w:eastAsia="黑体"/>
          <w:b/>
          <w:color w:val="auto"/>
          <w:kern w:val="0"/>
          <w:sz w:val="30"/>
          <w:szCs w:val="30"/>
          <w:highlight w:val="none"/>
        </w:rPr>
      </w:pPr>
      <w:bookmarkStart w:id="954" w:name="_Toc54862355"/>
      <w:bookmarkStart w:id="955" w:name="_Toc20171896"/>
      <w:r>
        <w:rPr>
          <w:rFonts w:hint="eastAsia" w:ascii="黑体" w:hAnsi="黑体" w:eastAsia="黑体"/>
          <w:b/>
          <w:color w:val="auto"/>
          <w:kern w:val="0"/>
          <w:sz w:val="30"/>
          <w:szCs w:val="30"/>
          <w:highlight w:val="none"/>
        </w:rPr>
        <w:t>附件4</w:t>
      </w:r>
      <w:r>
        <w:rPr>
          <w:rFonts w:ascii="黑体" w:hAnsi="黑体" w:eastAsia="黑体"/>
          <w:b/>
          <w:color w:val="auto"/>
          <w:kern w:val="0"/>
          <w:sz w:val="30"/>
          <w:szCs w:val="30"/>
          <w:highlight w:val="none"/>
        </w:rPr>
        <w:t xml:space="preserve"> </w:t>
      </w:r>
      <w:bookmarkEnd w:id="954"/>
      <w:bookmarkEnd w:id="955"/>
      <w:r>
        <w:rPr>
          <w:rFonts w:hint="eastAsia" w:ascii="黑体" w:hAnsi="黑体" w:eastAsia="黑体"/>
          <w:b/>
          <w:color w:val="auto"/>
          <w:kern w:val="0"/>
          <w:sz w:val="30"/>
          <w:szCs w:val="30"/>
          <w:highlight w:val="none"/>
        </w:rPr>
        <w:t>承包人设计、施工人员配备一览表</w:t>
      </w:r>
    </w:p>
    <w:tbl>
      <w:tblPr>
        <w:tblStyle w:val="47"/>
        <w:tblW w:w="87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993"/>
        <w:gridCol w:w="2298"/>
        <w:gridCol w:w="1205"/>
        <w:gridCol w:w="1214"/>
        <w:gridCol w:w="2179"/>
      </w:tblGrid>
      <w:tr w14:paraId="17358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jc w:val="center"/>
        </w:trPr>
        <w:tc>
          <w:tcPr>
            <w:tcW w:w="845" w:type="dxa"/>
            <w:noWrap w:val="0"/>
            <w:vAlign w:val="center"/>
          </w:tcPr>
          <w:p w14:paraId="4A7E9E7A">
            <w:pPr>
              <w:keepNext w:val="0"/>
              <w:keepLines w:val="0"/>
              <w:suppressLineNumbers w:val="0"/>
              <w:shd w:val="clear"/>
              <w:tabs>
                <w:tab w:val="left" w:leader="underscore" w:pos="6300"/>
              </w:tabs>
              <w:spacing w:before="0" w:beforeAutospacing="0" w:after="0" w:afterAutospacing="0" w:line="320" w:lineRule="exact"/>
              <w:ind w:left="0" w:right="0"/>
              <w:jc w:val="center"/>
              <w:rPr>
                <w:rFonts w:hint="default"/>
                <w:b/>
                <w:color w:val="auto"/>
                <w:szCs w:val="21"/>
                <w:highlight w:val="none"/>
              </w:rPr>
            </w:pPr>
            <w:r>
              <w:rPr>
                <w:rFonts w:hint="default"/>
                <w:b/>
                <w:color w:val="auto"/>
                <w:szCs w:val="21"/>
                <w:highlight w:val="none"/>
              </w:rPr>
              <w:t>序号</w:t>
            </w:r>
          </w:p>
        </w:tc>
        <w:tc>
          <w:tcPr>
            <w:tcW w:w="993" w:type="dxa"/>
            <w:noWrap w:val="0"/>
            <w:vAlign w:val="center"/>
          </w:tcPr>
          <w:p w14:paraId="2F8F40E9">
            <w:pPr>
              <w:keepNext w:val="0"/>
              <w:keepLines w:val="0"/>
              <w:suppressLineNumbers w:val="0"/>
              <w:shd w:val="clear"/>
              <w:tabs>
                <w:tab w:val="left" w:leader="underscore" w:pos="6300"/>
              </w:tabs>
              <w:spacing w:before="0" w:beforeAutospacing="0" w:after="0" w:afterAutospacing="0" w:line="320" w:lineRule="exact"/>
              <w:ind w:left="0" w:right="0"/>
              <w:jc w:val="center"/>
              <w:rPr>
                <w:rFonts w:hint="default"/>
                <w:b/>
                <w:color w:val="auto"/>
                <w:szCs w:val="21"/>
                <w:highlight w:val="none"/>
              </w:rPr>
            </w:pPr>
            <w:r>
              <w:rPr>
                <w:rFonts w:hint="default"/>
                <w:b/>
                <w:color w:val="auto"/>
                <w:szCs w:val="21"/>
                <w:highlight w:val="none"/>
              </w:rPr>
              <w:t>姓名</w:t>
            </w:r>
          </w:p>
        </w:tc>
        <w:tc>
          <w:tcPr>
            <w:tcW w:w="2298" w:type="dxa"/>
            <w:noWrap w:val="0"/>
            <w:vAlign w:val="center"/>
          </w:tcPr>
          <w:p w14:paraId="77F4C9CC">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b/>
                <w:color w:val="auto"/>
                <w:szCs w:val="21"/>
                <w:highlight w:val="none"/>
              </w:rPr>
            </w:pPr>
            <w:r>
              <w:rPr>
                <w:rFonts w:hint="default"/>
                <w:b/>
                <w:color w:val="auto"/>
                <w:szCs w:val="21"/>
                <w:highlight w:val="none"/>
              </w:rPr>
              <w:t>身份证号码</w:t>
            </w:r>
          </w:p>
        </w:tc>
        <w:tc>
          <w:tcPr>
            <w:tcW w:w="1205" w:type="dxa"/>
            <w:noWrap w:val="0"/>
            <w:vAlign w:val="center"/>
          </w:tcPr>
          <w:p w14:paraId="4E955BBC">
            <w:pPr>
              <w:keepNext w:val="0"/>
              <w:keepLines w:val="0"/>
              <w:suppressLineNumbers w:val="0"/>
              <w:shd w:val="clear"/>
              <w:tabs>
                <w:tab w:val="left" w:leader="underscore" w:pos="6300"/>
              </w:tabs>
              <w:spacing w:before="0" w:beforeAutospacing="0" w:after="0" w:afterAutospacing="0" w:line="320" w:lineRule="exact"/>
              <w:ind w:left="0" w:right="0"/>
              <w:jc w:val="center"/>
              <w:rPr>
                <w:rFonts w:hint="default"/>
                <w:b/>
                <w:color w:val="auto"/>
                <w:szCs w:val="21"/>
                <w:highlight w:val="none"/>
              </w:rPr>
            </w:pPr>
            <w:r>
              <w:rPr>
                <w:rFonts w:hint="default"/>
                <w:b/>
                <w:color w:val="auto"/>
                <w:szCs w:val="21"/>
                <w:highlight w:val="none"/>
              </w:rPr>
              <w:t>职称</w:t>
            </w:r>
          </w:p>
        </w:tc>
        <w:tc>
          <w:tcPr>
            <w:tcW w:w="1214" w:type="dxa"/>
            <w:noWrap w:val="0"/>
            <w:vAlign w:val="center"/>
          </w:tcPr>
          <w:p w14:paraId="3D8319EE">
            <w:pPr>
              <w:keepNext w:val="0"/>
              <w:keepLines w:val="0"/>
              <w:suppressLineNumbers w:val="0"/>
              <w:shd w:val="clear"/>
              <w:tabs>
                <w:tab w:val="left" w:leader="underscore" w:pos="6300"/>
              </w:tabs>
              <w:spacing w:before="0" w:beforeAutospacing="0" w:after="0" w:afterAutospacing="0" w:line="320" w:lineRule="exact"/>
              <w:ind w:left="0" w:right="0"/>
              <w:jc w:val="center"/>
              <w:rPr>
                <w:rFonts w:hint="default"/>
                <w:b/>
                <w:color w:val="auto"/>
                <w:szCs w:val="21"/>
                <w:highlight w:val="none"/>
              </w:rPr>
            </w:pPr>
            <w:r>
              <w:rPr>
                <w:rFonts w:hint="default"/>
                <w:b/>
                <w:color w:val="auto"/>
                <w:szCs w:val="21"/>
                <w:highlight w:val="none"/>
              </w:rPr>
              <w:t>职务</w:t>
            </w:r>
          </w:p>
        </w:tc>
        <w:tc>
          <w:tcPr>
            <w:tcW w:w="2179" w:type="dxa"/>
            <w:noWrap w:val="0"/>
            <w:vAlign w:val="center"/>
          </w:tcPr>
          <w:p w14:paraId="75147F36">
            <w:pPr>
              <w:keepNext w:val="0"/>
              <w:keepLines w:val="0"/>
              <w:suppressLineNumbers w:val="0"/>
              <w:shd w:val="clear"/>
              <w:tabs>
                <w:tab w:val="left" w:leader="underscore" w:pos="6300"/>
              </w:tabs>
              <w:spacing w:before="0" w:beforeAutospacing="0" w:after="0" w:afterAutospacing="0" w:line="320" w:lineRule="exact"/>
              <w:ind w:left="0" w:right="0"/>
              <w:jc w:val="center"/>
              <w:rPr>
                <w:rFonts w:hint="default"/>
                <w:b/>
                <w:color w:val="auto"/>
                <w:szCs w:val="21"/>
                <w:highlight w:val="none"/>
              </w:rPr>
            </w:pPr>
            <w:r>
              <w:rPr>
                <w:rFonts w:hint="default"/>
                <w:b/>
                <w:color w:val="auto"/>
                <w:szCs w:val="21"/>
                <w:highlight w:val="none"/>
              </w:rPr>
              <w:t>责任范围</w:t>
            </w:r>
          </w:p>
        </w:tc>
      </w:tr>
      <w:tr w14:paraId="48C37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5" w:type="dxa"/>
            <w:noWrap w:val="0"/>
            <w:vAlign w:val="center"/>
          </w:tcPr>
          <w:p w14:paraId="60102128">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993" w:type="dxa"/>
            <w:noWrap w:val="0"/>
            <w:vAlign w:val="center"/>
          </w:tcPr>
          <w:p w14:paraId="1749DB8C">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298" w:type="dxa"/>
            <w:noWrap w:val="0"/>
            <w:vAlign w:val="center"/>
          </w:tcPr>
          <w:p w14:paraId="5B208460">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05" w:type="dxa"/>
            <w:noWrap w:val="0"/>
            <w:vAlign w:val="center"/>
          </w:tcPr>
          <w:p w14:paraId="2DFB9A84">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14" w:type="dxa"/>
            <w:noWrap w:val="0"/>
            <w:vAlign w:val="center"/>
          </w:tcPr>
          <w:p w14:paraId="30FD3A72">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179" w:type="dxa"/>
            <w:noWrap w:val="0"/>
            <w:vAlign w:val="center"/>
          </w:tcPr>
          <w:p w14:paraId="0F13D7CF">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r>
      <w:tr w14:paraId="19096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jc w:val="center"/>
        </w:trPr>
        <w:tc>
          <w:tcPr>
            <w:tcW w:w="845" w:type="dxa"/>
            <w:noWrap w:val="0"/>
            <w:vAlign w:val="center"/>
          </w:tcPr>
          <w:p w14:paraId="023519C1">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993" w:type="dxa"/>
            <w:noWrap w:val="0"/>
            <w:vAlign w:val="center"/>
          </w:tcPr>
          <w:p w14:paraId="5B0B2C5E">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298" w:type="dxa"/>
            <w:noWrap w:val="0"/>
            <w:vAlign w:val="center"/>
          </w:tcPr>
          <w:p w14:paraId="55A3FB51">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05" w:type="dxa"/>
            <w:noWrap w:val="0"/>
            <w:vAlign w:val="center"/>
          </w:tcPr>
          <w:p w14:paraId="337C44B7">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14" w:type="dxa"/>
            <w:noWrap w:val="0"/>
            <w:vAlign w:val="center"/>
          </w:tcPr>
          <w:p w14:paraId="36725EC3">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179" w:type="dxa"/>
            <w:noWrap w:val="0"/>
            <w:vAlign w:val="center"/>
          </w:tcPr>
          <w:p w14:paraId="50519629">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r>
      <w:tr w14:paraId="5CE72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845" w:type="dxa"/>
            <w:noWrap w:val="0"/>
            <w:vAlign w:val="center"/>
          </w:tcPr>
          <w:p w14:paraId="5DEAAF5E">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993" w:type="dxa"/>
            <w:noWrap w:val="0"/>
            <w:vAlign w:val="center"/>
          </w:tcPr>
          <w:p w14:paraId="37735FE0">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298" w:type="dxa"/>
            <w:noWrap w:val="0"/>
            <w:vAlign w:val="center"/>
          </w:tcPr>
          <w:p w14:paraId="421C71E9">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05" w:type="dxa"/>
            <w:noWrap w:val="0"/>
            <w:vAlign w:val="center"/>
          </w:tcPr>
          <w:p w14:paraId="2BC9C02D">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14" w:type="dxa"/>
            <w:noWrap w:val="0"/>
            <w:vAlign w:val="center"/>
          </w:tcPr>
          <w:p w14:paraId="5D254064">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179" w:type="dxa"/>
            <w:noWrap w:val="0"/>
            <w:vAlign w:val="center"/>
          </w:tcPr>
          <w:p w14:paraId="17FC64DE">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r>
      <w:tr w14:paraId="0DCA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845" w:type="dxa"/>
            <w:noWrap w:val="0"/>
            <w:vAlign w:val="center"/>
          </w:tcPr>
          <w:p w14:paraId="4C932A0C">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993" w:type="dxa"/>
            <w:noWrap w:val="0"/>
            <w:vAlign w:val="center"/>
          </w:tcPr>
          <w:p w14:paraId="39C8510F">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298" w:type="dxa"/>
            <w:noWrap w:val="0"/>
            <w:vAlign w:val="center"/>
          </w:tcPr>
          <w:p w14:paraId="2DDB3682">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05" w:type="dxa"/>
            <w:noWrap w:val="0"/>
            <w:vAlign w:val="center"/>
          </w:tcPr>
          <w:p w14:paraId="2B4B3E88">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14" w:type="dxa"/>
            <w:noWrap w:val="0"/>
            <w:vAlign w:val="center"/>
          </w:tcPr>
          <w:p w14:paraId="68E6D343">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179" w:type="dxa"/>
            <w:noWrap w:val="0"/>
            <w:vAlign w:val="center"/>
          </w:tcPr>
          <w:p w14:paraId="66A8BC38">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r>
      <w:tr w14:paraId="72B86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845" w:type="dxa"/>
            <w:noWrap w:val="0"/>
            <w:vAlign w:val="center"/>
          </w:tcPr>
          <w:p w14:paraId="390DE53E">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993" w:type="dxa"/>
            <w:noWrap w:val="0"/>
            <w:vAlign w:val="center"/>
          </w:tcPr>
          <w:p w14:paraId="75BEAC41">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298" w:type="dxa"/>
            <w:noWrap w:val="0"/>
            <w:vAlign w:val="center"/>
          </w:tcPr>
          <w:p w14:paraId="1A931CD9">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05" w:type="dxa"/>
            <w:noWrap w:val="0"/>
            <w:vAlign w:val="center"/>
          </w:tcPr>
          <w:p w14:paraId="233F4D15">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14" w:type="dxa"/>
            <w:noWrap w:val="0"/>
            <w:vAlign w:val="center"/>
          </w:tcPr>
          <w:p w14:paraId="1F1FE56F">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179" w:type="dxa"/>
            <w:noWrap w:val="0"/>
            <w:vAlign w:val="center"/>
          </w:tcPr>
          <w:p w14:paraId="3E1F2D5C">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r>
      <w:tr w14:paraId="373A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845" w:type="dxa"/>
            <w:noWrap w:val="0"/>
            <w:vAlign w:val="center"/>
          </w:tcPr>
          <w:p w14:paraId="36FA59DB">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993" w:type="dxa"/>
            <w:noWrap w:val="0"/>
            <w:vAlign w:val="center"/>
          </w:tcPr>
          <w:p w14:paraId="1BF31F64">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298" w:type="dxa"/>
            <w:noWrap w:val="0"/>
            <w:vAlign w:val="center"/>
          </w:tcPr>
          <w:p w14:paraId="55E54BAE">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05" w:type="dxa"/>
            <w:noWrap w:val="0"/>
            <w:vAlign w:val="center"/>
          </w:tcPr>
          <w:p w14:paraId="6DD0CB34">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14" w:type="dxa"/>
            <w:noWrap w:val="0"/>
            <w:vAlign w:val="center"/>
          </w:tcPr>
          <w:p w14:paraId="72478D9B">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179" w:type="dxa"/>
            <w:noWrap w:val="0"/>
            <w:vAlign w:val="center"/>
          </w:tcPr>
          <w:p w14:paraId="10C91029">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r>
      <w:tr w14:paraId="600B6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845" w:type="dxa"/>
            <w:noWrap w:val="0"/>
            <w:vAlign w:val="center"/>
          </w:tcPr>
          <w:p w14:paraId="579E2C18">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993" w:type="dxa"/>
            <w:noWrap w:val="0"/>
            <w:vAlign w:val="center"/>
          </w:tcPr>
          <w:p w14:paraId="7825CCEC">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298" w:type="dxa"/>
            <w:noWrap w:val="0"/>
            <w:vAlign w:val="center"/>
          </w:tcPr>
          <w:p w14:paraId="547BBF3D">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05" w:type="dxa"/>
            <w:noWrap w:val="0"/>
            <w:vAlign w:val="center"/>
          </w:tcPr>
          <w:p w14:paraId="23829080">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14" w:type="dxa"/>
            <w:noWrap w:val="0"/>
            <w:vAlign w:val="center"/>
          </w:tcPr>
          <w:p w14:paraId="0D81A228">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179" w:type="dxa"/>
            <w:noWrap w:val="0"/>
            <w:vAlign w:val="center"/>
          </w:tcPr>
          <w:p w14:paraId="231544BA">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r>
      <w:tr w14:paraId="75F0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5" w:type="dxa"/>
            <w:noWrap w:val="0"/>
            <w:vAlign w:val="center"/>
          </w:tcPr>
          <w:p w14:paraId="58D490D6">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993" w:type="dxa"/>
            <w:noWrap w:val="0"/>
            <w:vAlign w:val="center"/>
          </w:tcPr>
          <w:p w14:paraId="65D4A5BB">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298" w:type="dxa"/>
            <w:noWrap w:val="0"/>
            <w:vAlign w:val="center"/>
          </w:tcPr>
          <w:p w14:paraId="470AD781">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05" w:type="dxa"/>
            <w:noWrap w:val="0"/>
            <w:vAlign w:val="center"/>
          </w:tcPr>
          <w:p w14:paraId="320C67AB">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14" w:type="dxa"/>
            <w:noWrap w:val="0"/>
            <w:vAlign w:val="center"/>
          </w:tcPr>
          <w:p w14:paraId="32BB174C">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179" w:type="dxa"/>
            <w:noWrap w:val="0"/>
            <w:vAlign w:val="center"/>
          </w:tcPr>
          <w:p w14:paraId="2DB7A0BF">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r>
      <w:tr w14:paraId="78880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jc w:val="center"/>
        </w:trPr>
        <w:tc>
          <w:tcPr>
            <w:tcW w:w="845" w:type="dxa"/>
            <w:noWrap w:val="0"/>
            <w:vAlign w:val="center"/>
          </w:tcPr>
          <w:p w14:paraId="7264FAEE">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993" w:type="dxa"/>
            <w:noWrap w:val="0"/>
            <w:vAlign w:val="center"/>
          </w:tcPr>
          <w:p w14:paraId="763FA9D2">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298" w:type="dxa"/>
            <w:noWrap w:val="0"/>
            <w:vAlign w:val="center"/>
          </w:tcPr>
          <w:p w14:paraId="24FC2196">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05" w:type="dxa"/>
            <w:noWrap w:val="0"/>
            <w:vAlign w:val="center"/>
          </w:tcPr>
          <w:p w14:paraId="2FD3D764">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14" w:type="dxa"/>
            <w:noWrap w:val="0"/>
            <w:vAlign w:val="center"/>
          </w:tcPr>
          <w:p w14:paraId="5AC0C891">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179" w:type="dxa"/>
            <w:noWrap w:val="0"/>
            <w:vAlign w:val="center"/>
          </w:tcPr>
          <w:p w14:paraId="3C09C51B">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r>
      <w:tr w14:paraId="5697D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jc w:val="center"/>
        </w:trPr>
        <w:tc>
          <w:tcPr>
            <w:tcW w:w="845" w:type="dxa"/>
            <w:noWrap w:val="0"/>
            <w:vAlign w:val="center"/>
          </w:tcPr>
          <w:p w14:paraId="6BA7D628">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993" w:type="dxa"/>
            <w:noWrap w:val="0"/>
            <w:vAlign w:val="center"/>
          </w:tcPr>
          <w:p w14:paraId="75826886">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298" w:type="dxa"/>
            <w:noWrap w:val="0"/>
            <w:vAlign w:val="center"/>
          </w:tcPr>
          <w:p w14:paraId="43C60B6D">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05" w:type="dxa"/>
            <w:noWrap w:val="0"/>
            <w:vAlign w:val="center"/>
          </w:tcPr>
          <w:p w14:paraId="368A4CD6">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14" w:type="dxa"/>
            <w:noWrap w:val="0"/>
            <w:vAlign w:val="center"/>
          </w:tcPr>
          <w:p w14:paraId="4A409789">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179" w:type="dxa"/>
            <w:noWrap w:val="0"/>
            <w:vAlign w:val="center"/>
          </w:tcPr>
          <w:p w14:paraId="2414DD17">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r>
      <w:tr w14:paraId="12F4B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845" w:type="dxa"/>
            <w:noWrap w:val="0"/>
            <w:vAlign w:val="center"/>
          </w:tcPr>
          <w:p w14:paraId="0BB49D90">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993" w:type="dxa"/>
            <w:noWrap w:val="0"/>
            <w:vAlign w:val="center"/>
          </w:tcPr>
          <w:p w14:paraId="762B7011">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298" w:type="dxa"/>
            <w:noWrap w:val="0"/>
            <w:vAlign w:val="center"/>
          </w:tcPr>
          <w:p w14:paraId="721908C3">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05" w:type="dxa"/>
            <w:noWrap w:val="0"/>
            <w:vAlign w:val="center"/>
          </w:tcPr>
          <w:p w14:paraId="197C6412">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14" w:type="dxa"/>
            <w:noWrap w:val="0"/>
            <w:vAlign w:val="center"/>
          </w:tcPr>
          <w:p w14:paraId="3D266D69">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179" w:type="dxa"/>
            <w:noWrap w:val="0"/>
            <w:vAlign w:val="center"/>
          </w:tcPr>
          <w:p w14:paraId="07698D6B">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r>
      <w:tr w14:paraId="06A47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atLeast"/>
          <w:jc w:val="center"/>
        </w:trPr>
        <w:tc>
          <w:tcPr>
            <w:tcW w:w="845" w:type="dxa"/>
            <w:noWrap w:val="0"/>
            <w:vAlign w:val="center"/>
          </w:tcPr>
          <w:p w14:paraId="49CDEC9D">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993" w:type="dxa"/>
            <w:noWrap w:val="0"/>
            <w:vAlign w:val="center"/>
          </w:tcPr>
          <w:p w14:paraId="45A7C4A1">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298" w:type="dxa"/>
            <w:noWrap w:val="0"/>
            <w:vAlign w:val="center"/>
          </w:tcPr>
          <w:p w14:paraId="0C1B0769">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05" w:type="dxa"/>
            <w:noWrap w:val="0"/>
            <w:vAlign w:val="center"/>
          </w:tcPr>
          <w:p w14:paraId="385E71ED">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1214" w:type="dxa"/>
            <w:noWrap w:val="0"/>
            <w:vAlign w:val="center"/>
          </w:tcPr>
          <w:p w14:paraId="1F66D83B">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c>
          <w:tcPr>
            <w:tcW w:w="2179" w:type="dxa"/>
            <w:noWrap w:val="0"/>
            <w:vAlign w:val="center"/>
          </w:tcPr>
          <w:p w14:paraId="34FA63A6">
            <w:pPr>
              <w:keepNext w:val="0"/>
              <w:keepLines w:val="0"/>
              <w:suppressLineNumbers w:val="0"/>
              <w:shd w:val="clear"/>
              <w:tabs>
                <w:tab w:val="left" w:leader="underscore" w:pos="6300"/>
              </w:tabs>
              <w:spacing w:before="0" w:beforeAutospacing="0" w:after="0" w:afterAutospacing="0" w:line="320" w:lineRule="exact"/>
              <w:ind w:left="0" w:right="0" w:firstLine="200"/>
              <w:jc w:val="center"/>
              <w:rPr>
                <w:rFonts w:hint="default"/>
                <w:color w:val="auto"/>
                <w:szCs w:val="21"/>
                <w:highlight w:val="none"/>
              </w:rPr>
            </w:pPr>
          </w:p>
        </w:tc>
      </w:tr>
    </w:tbl>
    <w:p w14:paraId="4CC57A48">
      <w:pPr>
        <w:widowControl/>
        <w:shd w:val="clear"/>
        <w:tabs>
          <w:tab w:val="left" w:leader="underscore" w:pos="6300"/>
        </w:tabs>
        <w:adjustRightInd w:val="0"/>
        <w:snapToGrid w:val="0"/>
        <w:spacing w:after="120" w:afterLines="50" w:line="360" w:lineRule="auto"/>
        <w:ind w:firstLine="480" w:firstLineChars="200"/>
        <w:rPr>
          <w:rFonts w:ascii="宋体" w:hAnsi="宋体"/>
          <w:color w:val="auto"/>
          <w:kern w:val="0"/>
          <w:sz w:val="24"/>
          <w:szCs w:val="20"/>
          <w:highlight w:val="none"/>
        </w:rPr>
      </w:pPr>
    </w:p>
    <w:p w14:paraId="744C6E71">
      <w:pPr>
        <w:widowControl/>
        <w:shd w:val="clear"/>
        <w:tabs>
          <w:tab w:val="left" w:leader="underscore" w:pos="6300"/>
        </w:tabs>
        <w:adjustRightInd w:val="0"/>
        <w:snapToGrid w:val="0"/>
        <w:spacing w:after="120" w:afterLines="50" w:line="360" w:lineRule="auto"/>
        <w:ind w:firstLine="480" w:firstLineChars="200"/>
        <w:rPr>
          <w:rFonts w:ascii="宋体" w:hAnsi="宋体"/>
          <w:color w:val="auto"/>
          <w:kern w:val="0"/>
          <w:sz w:val="24"/>
          <w:szCs w:val="20"/>
          <w:highlight w:val="none"/>
        </w:rPr>
      </w:pPr>
    </w:p>
    <w:p w14:paraId="23D146F7">
      <w:pPr>
        <w:widowControl/>
        <w:shd w:val="clear"/>
        <w:tabs>
          <w:tab w:val="left" w:leader="underscore" w:pos="6300"/>
        </w:tabs>
        <w:adjustRightInd w:val="0"/>
        <w:snapToGrid w:val="0"/>
        <w:spacing w:after="120" w:afterLines="50" w:line="360" w:lineRule="auto"/>
        <w:ind w:firstLine="480" w:firstLineChars="200"/>
        <w:rPr>
          <w:rFonts w:ascii="宋体" w:hAnsi="宋体"/>
          <w:color w:val="auto"/>
          <w:kern w:val="0"/>
          <w:sz w:val="24"/>
          <w:szCs w:val="20"/>
          <w:highlight w:val="none"/>
        </w:rPr>
        <w:sectPr>
          <w:pgSz w:w="11906" w:h="16838"/>
          <w:pgMar w:top="1440" w:right="1800" w:bottom="1440" w:left="1800" w:header="720" w:footer="998" w:gutter="0"/>
          <w:pgNumType w:fmt="decimal"/>
          <w:cols w:space="720" w:num="1"/>
          <w:docGrid w:linePitch="326" w:charSpace="0"/>
        </w:sectPr>
      </w:pPr>
    </w:p>
    <w:p w14:paraId="61945CDB">
      <w:pPr>
        <w:keepNext/>
        <w:keepLines/>
        <w:widowControl/>
        <w:shd w:val="clear"/>
        <w:tabs>
          <w:tab w:val="left" w:pos="1134"/>
          <w:tab w:val="left" w:leader="underscore" w:pos="6300"/>
        </w:tabs>
        <w:topLinePunct/>
        <w:adjustRightInd w:val="0"/>
        <w:snapToGrid w:val="0"/>
        <w:spacing w:after="156" w:afterLines="50" w:line="360" w:lineRule="auto"/>
        <w:jc w:val="center"/>
        <w:outlineLvl w:val="1"/>
        <w:rPr>
          <w:rFonts w:ascii="黑体" w:hAnsi="黑体" w:eastAsia="黑体"/>
          <w:b/>
          <w:color w:val="auto"/>
          <w:kern w:val="0"/>
          <w:sz w:val="30"/>
          <w:szCs w:val="30"/>
          <w:highlight w:val="none"/>
        </w:rPr>
      </w:pPr>
      <w:bookmarkStart w:id="956" w:name="_Toc54862357"/>
      <w:r>
        <w:rPr>
          <w:rFonts w:hint="eastAsia" w:ascii="黑体" w:hAnsi="黑体" w:eastAsia="黑体"/>
          <w:b/>
          <w:color w:val="auto"/>
          <w:kern w:val="0"/>
          <w:sz w:val="30"/>
          <w:szCs w:val="30"/>
          <w:highlight w:val="none"/>
        </w:rPr>
        <w:t>附件</w:t>
      </w:r>
      <w:r>
        <w:rPr>
          <w:rFonts w:hint="eastAsia" w:ascii="黑体" w:hAnsi="黑体" w:eastAsia="黑体"/>
          <w:b/>
          <w:color w:val="auto"/>
          <w:kern w:val="0"/>
          <w:sz w:val="30"/>
          <w:szCs w:val="30"/>
          <w:highlight w:val="none"/>
          <w:lang w:val="en-US" w:eastAsia="zh-CN"/>
        </w:rPr>
        <w:t>5</w:t>
      </w:r>
      <w:r>
        <w:rPr>
          <w:rFonts w:ascii="黑体" w:hAnsi="黑体" w:eastAsia="黑体"/>
          <w:b/>
          <w:color w:val="auto"/>
          <w:kern w:val="0"/>
          <w:sz w:val="30"/>
          <w:szCs w:val="30"/>
          <w:highlight w:val="none"/>
        </w:rPr>
        <w:t xml:space="preserve"> </w:t>
      </w:r>
      <w:bookmarkEnd w:id="956"/>
      <w:r>
        <w:rPr>
          <w:rFonts w:hint="eastAsia" w:ascii="黑体" w:hAnsi="黑体" w:eastAsia="黑体"/>
          <w:b/>
          <w:color w:val="auto"/>
          <w:kern w:val="0"/>
          <w:sz w:val="30"/>
          <w:szCs w:val="30"/>
          <w:highlight w:val="none"/>
        </w:rPr>
        <w:t>总承包管理配合义务</w:t>
      </w:r>
    </w:p>
    <w:p w14:paraId="16233F1A">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总承包管理配合义务</w:t>
      </w:r>
    </w:p>
    <w:p w14:paraId="18B6950B">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承包人有义务对所有专业分包人、专业承包人、专业供应人、独立供应人承担实施总包管理、协调、配合、照管，具体内容如下：</w:t>
      </w:r>
    </w:p>
    <w:p w14:paraId="6D57F87A">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1.承包人对专业分包人、专业承包人、专业供应人、独立供应人的管理范围(包括但不限于以下)：</w:t>
      </w:r>
    </w:p>
    <w:p w14:paraId="0691BAC5">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根据本工程总承包合同中约定的总工期目标、质量目标、安全文明施工目标，对专业分包工程、专业承包工程及专业供应项目和独立供应项目的进度、质量、安全、文明施工进行统筹管理、协调、监督。承包人对专业分包人及专业供应人的违约承担连带责任，对专业承包人及独立供应人的违约不承担连带责任，但若因承包人未能良好履行总承包管理配合服务义务，导致专业承包人或专业承包工程或独立供应人或独立供应项目影响整个工程项目的工期目标、质量目标、安全文明施工目标，承包人仍须负责。</w:t>
      </w:r>
    </w:p>
    <w:p w14:paraId="099D0FB3">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1.1承包人对专业分包人、专业承包人、专业供应人、独立供应人的管理服务（包括但不限于以下）</w:t>
      </w:r>
    </w:p>
    <w:p w14:paraId="589A9CC5">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1.1.1承包人应按专业分包工程、专业承包工程等的合同要求，创造并提供专业分包工程、专业承包工程施工及专业供应项目和独立供应项目进场较为妥切的条件。</w:t>
      </w:r>
    </w:p>
    <w:p w14:paraId="47122E3B">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1.1.2制订整个项目工程的施工进度计划，在发包人批准后实施(发包人的批准并不免除承包人应负的责任)，并按此计划对专业分包人、专业承包人的进度及专业供应人、独立供应人的进场时间进行管控。</w:t>
      </w:r>
    </w:p>
    <w:p w14:paraId="7E710D77">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1.1.3参加专业分包工程、专业承包工程施工图纸会审、设计交底。承包人应组织专业分包人、专业承包人等核对相关的工程图纸，专业分包人、专业承包人也有责任主动校核相关图纸，否则，给发包人造成损失的，损失由承包人承担，延误的工期不予以顺延；承包人可就该费用向专业分包人、专业承包人追偿。</w:t>
      </w:r>
    </w:p>
    <w:p w14:paraId="1C2D0096">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1.1.4承包人应有施工深化设计:为保证合理的工期及工序，施工前要综合建筑构架，对管线密集区进行管线综合平衡，绘制剖面大样图，发各专业分包人、专业承包人；参建单位须严格按照大样图施工，绝不允许单方面抢先施工或抢占施工间。</w:t>
      </w:r>
    </w:p>
    <w:p w14:paraId="485DF6B9">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1.1.5审查专业分包人、专业承包人的施工组织设计、施工方案、进度计划。</w:t>
      </w:r>
    </w:p>
    <w:p w14:paraId="060ECFA1">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1.1.6负责向专业分包人、专业承包人发放发包人所发出的所有工程指令，并负责督促专业分包人、专业承包人执行。</w:t>
      </w:r>
    </w:p>
    <w:p w14:paraId="75D56AFE">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1.1.7协助处理专业分包工程、专业承包工程施工过程中的技术问题。</w:t>
      </w:r>
    </w:p>
    <w:p w14:paraId="031980A9">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1.1.8负责协调施工各方的关系，管理总分包之间、承包人与专业承包人之间、专业分包人与专业承包人之间的协调配合工作，以确保工程如期顺利施工。承包人主持每周1~3次的工程例会，每月一次月计划会议和每季度一次的季计划会议。施工高峰期间，应进行每日碰头会制度，用以协调第二天作业面的矛盾。专业分包人、专业承包人应提前一周在例会上提出对道路运输、场地使用、楼面占用、大型机械吊运等要求。</w:t>
      </w:r>
    </w:p>
    <w:p w14:paraId="1ED0FCD9">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1.1.9 配合监理人在施工工程中的质量监控。</w:t>
      </w:r>
    </w:p>
    <w:p w14:paraId="46A17116">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1.1.10对专业分包工程、专业承包工程施工过程中的安全与文明施工、成品保护进行管理并负责。</w:t>
      </w:r>
    </w:p>
    <w:p w14:paraId="175BA987">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1.1.11按有关规定为专业分包人、专业承包人、专业供应人、独立供应人的施工及供货人员、车辆办理相关进出场证件(如有需要时)。</w:t>
      </w:r>
    </w:p>
    <w:p w14:paraId="557BA820">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1.1.12负责整个施工场区的安全保卫工作，安排门卫、巡更值班。监督、检查专业分包人、专业承包人对现场相关管理要求的执行情况。专业分包人、专业承包人、专业供应人、独立供应人进场的工程设备和物资必须是合格的、满足本工程的相关要求。需退场或运出场外的工程材料、设备及非工程材料、物件，须由承包人开具出门证，经发、承包人检查确认，并经发包人代表及承包人项目经理签字后方可放行。承包人应建立出门登记制度。</w:t>
      </w:r>
    </w:p>
    <w:p w14:paraId="422617C4">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1.1.13承包人须在每个层面设立若干灭火器，统一管理，各专业分包及专业承包建立若干兼职消防员。明确动火证制度，执行动火监护的有关规定和申报制度。</w:t>
      </w:r>
    </w:p>
    <w:p w14:paraId="5241F275">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1.2承包人向专业分包人、专业承包人、专业供应人、独立供应人提供的配合服务包括但不限于：</w:t>
      </w:r>
    </w:p>
    <w:p w14:paraId="3E4BC4A0">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1.2.1承包人为专业分包人、专业承包人、专业供应人、独立供应人提供工地内现有的垂直运输机械(如塔吊、施工电梯等)，包括机械操作人员，并协助其将运至现场的货物卸至指定地点，或将其施工所用的物料吊放至作业现场。这种装卸、吊运工作可能是24小时昼夜性的。承包人须负责整个工程垂直运输机械的管理，使得总承包工程、专业分包工程、专业承包工程（包括专业供应项目和独立供应项目）互不影响。地面或楼面的水平运输由专业分包人、专业承包人等自行解决。</w:t>
      </w:r>
    </w:p>
    <w:p w14:paraId="2C61A159">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1.2.2允许专业分包人、专业承包人等合理使用现场已有的起重机械，地面或楼面的水平运输由各专业分包人、专业承包人等自行解决。为工程设备的安装就位，若承包人现有的起重机械或者机具设备无法满足需要，而需另外制订方案的，原则上由专业分包人、专业承包人等自行解决。</w:t>
      </w:r>
    </w:p>
    <w:p w14:paraId="333068A0">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1.2.3允许专业分包人、专业承包人合理使用现场已有的棚架、爬梯、脚手架等辅助设施，并负责统筹协调。拆除前应报监理人和发包人批准。</w:t>
      </w:r>
    </w:p>
    <w:p w14:paraId="0C94B396">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1.2.4承包人须做好安排，以便专业分包人、专业承包人、专业供应人、独立供应人能与其共同使用现场的通道和场地，并负责向专业分包人、专业承包人提供合理的作业时间和作业空间。为专业分包人、专业承包人提供临时办公室、贮存仓库、加工棚、工具房等。</w:t>
      </w:r>
    </w:p>
    <w:p w14:paraId="2D6BE657">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1.2.5为专业分包人、专业承包人提供标高、定位点线等。</w:t>
      </w:r>
    </w:p>
    <w:p w14:paraId="2126C678">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1.2.6承包人应在进场前对已完成的工程及场地进行检查、接收。</w:t>
      </w:r>
    </w:p>
    <w:p w14:paraId="5C3A77E5">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1.2.7现场用水用电管理</w:t>
      </w:r>
    </w:p>
    <w:p w14:paraId="6E3FD2D1">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1.2.7.1承包人提供现存每层楼层施工电源、水源，并满足专业分包人、专业承包人所需负荷要求。</w:t>
      </w:r>
    </w:p>
    <w:p w14:paraId="120BA3AC">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1.2.7.2从配电箱后的管线敷设、分电箱及水阀后管线敷设由专业分包人、专业承包人自行解决。</w:t>
      </w:r>
    </w:p>
    <w:p w14:paraId="1C0F4328">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 xml:space="preserve">1.2.7.3专业分包人、专业承包人应按承包人要求提供用水用电计划，配置必要的计量装置。 </w:t>
      </w:r>
    </w:p>
    <w:p w14:paraId="10C62815">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1.2.7.4专业分包人、专业承包人的施工用水用电费用根据计量的实际使用量向承包人支付，由承包人垫付给发包人。</w:t>
      </w:r>
    </w:p>
    <w:p w14:paraId="335E669C">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1.2.8承包人在各分项施工前须主动与专业分包人、专业承包人联系，专业分包人、专业承包人也需积极配合，核对清楚各专业分包工程、专业承包工程图纸与承包人图纸间相关联的尺寸、标高等数据是否统一。承包人须了解专业分包人、专业承包人在各分项工程上的特殊要求，开槽、预留孔洞、预埋套管、预埋件由承包人完成（界面划分中已明确由专业分包人、专业承包人实施的除外），并在每次隐蔽工程之前(如浇注混凝土)，请专业分包人、专业承包人配合确认。如因承包人未事先做好这项工作而导致的额外施工费用，包括返工的开凿修补费用，由承包人自行承担</w:t>
      </w:r>
      <w:r>
        <w:rPr>
          <w:rFonts w:hint="eastAsia" w:ascii="宋体" w:hAnsi="宋体"/>
          <w:color w:val="auto"/>
          <w:kern w:val="0"/>
          <w:szCs w:val="21"/>
          <w:highlight w:val="none"/>
        </w:rPr>
        <w:t>。</w:t>
      </w:r>
    </w:p>
    <w:p w14:paraId="168D387F">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1.2.9承包人负责在电线、电缆、管道等安设完成后对预留的孔洞、管槽进行修补、填实，并处理和完善专业分包人、专业承包人的遗留问题。对预埋套管与结构及二次结构的空隙填充，必须满足消防规范要求。承包人需对二次设计中需要新增的孔洞进行安全性、合理性、可行性的复核。对于那些因布设管道、电缆、电线而降低了结构整体强度的砖石机构，承包人须负责提供拉筋、钢丝网等材料进行加固处理。</w:t>
      </w:r>
    </w:p>
    <w:p w14:paraId="2C6E37DE">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1.2.10为专业分包人、专业承包人提供现有可使用的卫生设施(如厕所)。</w:t>
      </w:r>
    </w:p>
    <w:p w14:paraId="29446BC7">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 xml:space="preserve">1.2.11专业分包人、专业承包人负责将清理自己施工范围内的垃圾，运到承包人在现场指定的垃圾堆放点，承包人负责清运指定堆放点的垃圾；承包人设立专业作业队进行每天完工后的清场工作，如发现专业分包人、专业承包人的建筑垃圾乱放，作业面清理不到位，则承包人作业队将作业面清理后，所发生的人工费、机械费将由专业分包人、专业承包人承担。 </w:t>
      </w:r>
    </w:p>
    <w:p w14:paraId="05ADE425">
      <w:pPr>
        <w:widowControl/>
        <w:shd w:val="clear"/>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1.2.12承包人负责整个项目工程（包括所有专业分包工程、专业承包工程）竣工资料进行整理及完善，承包人应对所有专业分包人、专业承包人报送的资料进行审核并统一整理、移交（如发包人要求，承包人应按发包人要求以施工单位的身份在专业承包人等的竣工资料上签字盖章），承包人还须督促各专业分包工程、专业承包工程的竣工图编制工作，所有工程资料必须保证其真实性和完整性，确保满足工程验收和创优的需要。</w:t>
      </w:r>
    </w:p>
    <w:p w14:paraId="5586C9BA">
      <w:pPr>
        <w:widowControl/>
        <w:shd w:val="clear"/>
        <w:tabs>
          <w:tab w:val="left" w:leader="underscore" w:pos="6300"/>
        </w:tabs>
        <w:topLinePunct/>
        <w:adjustRightInd w:val="0"/>
        <w:snapToGrid w:val="0"/>
        <w:spacing w:line="360" w:lineRule="auto"/>
        <w:ind w:firstLine="420" w:firstLineChars="200"/>
        <w:rPr>
          <w:color w:val="auto"/>
          <w:szCs w:val="21"/>
          <w:highlight w:val="none"/>
        </w:rPr>
      </w:pPr>
      <w:r>
        <w:rPr>
          <w:rFonts w:ascii="宋体" w:hAnsi="宋体"/>
          <w:color w:val="auto"/>
          <w:kern w:val="0"/>
          <w:szCs w:val="21"/>
          <w:highlight w:val="none"/>
        </w:rPr>
        <w:t>1.2.13其他方便专业分包工程和专业承包工程施工的工作。</w:t>
      </w:r>
    </w:p>
    <w:p w14:paraId="4DB75072">
      <w:pPr>
        <w:shd w:val="clear"/>
        <w:tabs>
          <w:tab w:val="left" w:leader="underscore" w:pos="6300"/>
        </w:tabs>
        <w:spacing w:line="600" w:lineRule="exact"/>
        <w:rPr>
          <w:color w:val="auto"/>
          <w:sz w:val="24"/>
          <w:highlight w:val="none"/>
        </w:rPr>
        <w:sectPr>
          <w:pgSz w:w="11906" w:h="16838"/>
          <w:pgMar w:top="1440" w:right="1800" w:bottom="1440" w:left="1800" w:header="851" w:footer="992" w:gutter="0"/>
          <w:pgNumType w:fmt="decimal"/>
          <w:cols w:space="720" w:num="1"/>
          <w:docGrid w:type="lines" w:linePitch="312" w:charSpace="0"/>
        </w:sectPr>
      </w:pPr>
    </w:p>
    <w:p w14:paraId="72544F58">
      <w:pPr>
        <w:keepNext/>
        <w:keepLines/>
        <w:shd w:val="clear"/>
        <w:spacing w:before="120" w:after="120" w:line="360" w:lineRule="auto"/>
        <w:jc w:val="left"/>
        <w:outlineLvl w:val="2"/>
        <w:rPr>
          <w:rFonts w:hint="eastAsia" w:ascii="宋体" w:hAnsi="宋体" w:cs="宋体"/>
          <w:color w:val="auto"/>
          <w:szCs w:val="21"/>
          <w:highlight w:val="none"/>
        </w:rPr>
      </w:pPr>
      <w:bookmarkStart w:id="957" w:name="_Toc95223504"/>
      <w:r>
        <w:rPr>
          <w:rFonts w:hint="eastAsia" w:ascii="宋体" w:hAnsi="宋体" w:cs="宋体"/>
          <w:bCs/>
          <w:color w:val="auto"/>
          <w:sz w:val="24"/>
          <w:highlight w:val="none"/>
        </w:rPr>
        <w:t>附件</w:t>
      </w:r>
      <w:r>
        <w:rPr>
          <w:rFonts w:hint="eastAsia" w:ascii="宋体" w:hAnsi="宋体" w:cs="宋体"/>
          <w:bCs/>
          <w:color w:val="auto"/>
          <w:sz w:val="24"/>
          <w:highlight w:val="none"/>
          <w:lang w:val="en-US" w:eastAsia="zh-CN"/>
        </w:rPr>
        <w:t>6</w:t>
      </w:r>
      <w:r>
        <w:rPr>
          <w:rFonts w:hint="eastAsia" w:ascii="宋体" w:hAnsi="宋体" w:cs="宋体"/>
          <w:bCs/>
          <w:color w:val="auto"/>
          <w:sz w:val="24"/>
          <w:highlight w:val="none"/>
        </w:rPr>
        <w:t>：</w:t>
      </w:r>
      <w:bookmarkEnd w:id="957"/>
    </w:p>
    <w:p w14:paraId="00AB62CF">
      <w:pPr>
        <w:shd w:val="clear"/>
        <w:adjustRightInd w:val="0"/>
        <w:snapToGrid w:val="0"/>
        <w:spacing w:line="360" w:lineRule="auto"/>
        <w:jc w:val="center"/>
        <w:outlineLvl w:val="0"/>
        <w:rPr>
          <w:rFonts w:hint="eastAsia" w:ascii="宋体" w:hAnsi="宋体" w:cs="宋体"/>
          <w:b/>
          <w:bCs/>
          <w:color w:val="auto"/>
          <w:sz w:val="32"/>
          <w:szCs w:val="32"/>
          <w:highlight w:val="none"/>
        </w:rPr>
      </w:pPr>
      <w:bookmarkStart w:id="958" w:name="_Toc95223505"/>
      <w:bookmarkStart w:id="959" w:name="_Toc25855"/>
      <w:bookmarkStart w:id="960" w:name="_Toc8655"/>
      <w:bookmarkStart w:id="961" w:name="_Toc16692"/>
      <w:r>
        <w:rPr>
          <w:rFonts w:hint="eastAsia" w:ascii="宋体" w:hAnsi="宋体" w:cs="宋体"/>
          <w:b/>
          <w:bCs/>
          <w:color w:val="auto"/>
          <w:sz w:val="32"/>
          <w:szCs w:val="32"/>
          <w:highlight w:val="none"/>
        </w:rPr>
        <w:t>履约保函示范文本</w:t>
      </w:r>
      <w:bookmarkEnd w:id="958"/>
      <w:bookmarkEnd w:id="959"/>
      <w:bookmarkEnd w:id="960"/>
      <w:bookmarkEnd w:id="961"/>
    </w:p>
    <w:p w14:paraId="01E171BE">
      <w:pPr>
        <w:shd w:val="clear"/>
        <w:wordWrap w:val="0"/>
        <w:adjustRightInd w:val="0"/>
        <w:snapToGrid w:val="0"/>
        <w:spacing w:line="360" w:lineRule="auto"/>
        <w:jc w:val="right"/>
        <w:rPr>
          <w:rFonts w:hint="eastAsia" w:ascii="宋体" w:hAnsi="宋体" w:cs="宋体"/>
          <w:color w:val="auto"/>
          <w:szCs w:val="21"/>
          <w:highlight w:val="none"/>
        </w:rPr>
      </w:pPr>
      <w:r>
        <w:rPr>
          <w:rFonts w:hint="eastAsia" w:ascii="宋体" w:hAnsi="宋体" w:cs="宋体"/>
          <w:color w:val="auto"/>
          <w:szCs w:val="21"/>
          <w:highlight w:val="none"/>
        </w:rPr>
        <w:t xml:space="preserve">编号：           </w:t>
      </w:r>
    </w:p>
    <w:p w14:paraId="76342828">
      <w:pPr>
        <w:keepNext w:val="0"/>
        <w:keepLines w:val="0"/>
        <w:pageBreakBefore w:val="0"/>
        <w:widowControl w:val="0"/>
        <w:shd w:val="clear"/>
        <w:kinsoku/>
        <w:wordWrap/>
        <w:overflowPunct/>
        <w:topLinePunct w:val="0"/>
        <w:autoSpaceDE/>
        <w:autoSpaceDN/>
        <w:bidi w:val="0"/>
        <w:adjustRightInd w:val="0"/>
        <w:snapToGrid w:val="0"/>
        <w:spacing w:line="360" w:lineRule="exact"/>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（受益人名称）： </w:t>
      </w:r>
    </w:p>
    <w:p w14:paraId="68C7CFB8">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鉴于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（以下简称“受益人”）与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（以下简称“申请人”）于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日就</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（标段编号）的</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（标段名称）</w:t>
      </w:r>
      <w:r>
        <w:rPr>
          <w:rFonts w:hint="eastAsia" w:ascii="宋体" w:hAnsi="宋体" w:cs="宋体"/>
          <w:color w:val="auto"/>
          <w:szCs w:val="21"/>
          <w:highlight w:val="none"/>
        </w:rPr>
        <w:t>有关事项协商一致共同签订</w:t>
      </w:r>
      <w:r>
        <w:rPr>
          <w:rFonts w:hint="eastAsia" w:ascii="宋体" w:hAnsi="宋体" w:cs="宋体"/>
          <w:color w:val="auto"/>
          <w:szCs w:val="21"/>
          <w:highlight w:val="none"/>
          <w:u w:val="single"/>
        </w:rPr>
        <w:t>《        》</w:t>
      </w:r>
      <w:r>
        <w:rPr>
          <w:rFonts w:hint="eastAsia" w:ascii="宋体" w:hAnsi="宋体" w:cs="宋体"/>
          <w:color w:val="auto"/>
          <w:szCs w:val="21"/>
          <w:highlight w:val="none"/>
        </w:rPr>
        <w:t xml:space="preserve">（以下简称“基础合同”），开立人根据基础合同了解到申请人为基础合同项下之承包人，受益人为基础合同项下之发包人，基于申请人的请求，开立人同意就申请人履行与受益人签订的基础合同项下的义务，向受益人提供不可撤销、不可转让的见索即付独立保函（以下简称“本保函”）。 </w:t>
      </w:r>
    </w:p>
    <w:p w14:paraId="26560A2C">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一、本保函担保范围：承包人未按照基础合同的约定履行义务，应当向受益人承担的违约责任和赔偿因此造成的损失、利息、律师费、诉讼费用等实现债权的费用。</w:t>
      </w:r>
    </w:p>
    <w:p w14:paraId="7820DB40">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二、本保函担保金额最高不超过人民币（大写）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DC2FA55">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三、本保函有效期自开立之日起至基础合同约定的缺陷责任期满之日止。 </w:t>
      </w:r>
    </w:p>
    <w:p w14:paraId="6CC9303A">
      <w:pPr>
        <w:keepNext w:val="0"/>
        <w:keepLines w:val="0"/>
        <w:pageBreakBefore w:val="0"/>
        <w:widowControl w:val="0"/>
        <w:shd w:val="clear"/>
        <w:kinsoku/>
        <w:wordWrap/>
        <w:overflowPunct/>
        <w:topLinePunct w:val="0"/>
        <w:autoSpaceDE/>
        <w:autoSpaceDN/>
        <w:bidi w:val="0"/>
        <w:adjustRightInd w:val="0"/>
        <w:snapToGrid w:val="0"/>
        <w:spacing w:line="360" w:lineRule="exact"/>
        <w:ind w:firstLine="480"/>
        <w:textAlignment w:val="auto"/>
        <w:rPr>
          <w:rFonts w:hint="eastAsia" w:ascii="宋体" w:hAnsi="宋体" w:cs="宋体"/>
          <w:color w:val="auto"/>
          <w:szCs w:val="21"/>
          <w:highlight w:val="none"/>
        </w:rPr>
      </w:pPr>
      <w:bookmarkStart w:id="962" w:name="_Hlk40302764"/>
      <w:r>
        <w:rPr>
          <w:rFonts w:hint="eastAsia" w:ascii="宋体" w:hAnsi="宋体" w:cs="宋体"/>
          <w:color w:val="auto"/>
          <w:szCs w:val="21"/>
          <w:highlight w:val="none"/>
        </w:rPr>
        <w:t>四、开立人承诺，在收到受益人发来的书面付款通知后的七日内无条件支付，前述书面付款通知即为付款要求之单据，且应满足以下要求：</w:t>
      </w:r>
    </w:p>
    <w:bookmarkEnd w:id="962"/>
    <w:p w14:paraId="0D2A6503">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（1）付款通知到达的日期在本保函的有效期内；</w:t>
      </w:r>
    </w:p>
    <w:p w14:paraId="54B7735E">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（2）载明要求支付的金额；</w:t>
      </w:r>
    </w:p>
    <w:p w14:paraId="2DB433E7">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（3）载明申请人违反合同义务的条款和内容；</w:t>
      </w:r>
    </w:p>
    <w:p w14:paraId="5A1AEF27">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（4）声明不存在合同文件约定或我国法律规定免除申请人或开立人支付责任的情形；</w:t>
      </w:r>
    </w:p>
    <w:p w14:paraId="36804006">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（5）付款通知应在本保函有效期内到达的地址是：</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C06AD66">
      <w:pPr>
        <w:keepNext w:val="0"/>
        <w:keepLines w:val="0"/>
        <w:pageBreakBefore w:val="0"/>
        <w:widowControl w:val="0"/>
        <w:shd w:val="clear"/>
        <w:kinsoku/>
        <w:wordWrap/>
        <w:overflowPunct/>
        <w:topLinePunct w:val="0"/>
        <w:autoSpaceDE/>
        <w:autoSpaceDN/>
        <w:bidi w:val="0"/>
        <w:adjustRightInd w:val="0"/>
        <w:snapToGrid w:val="0"/>
        <w:spacing w:line="36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    </w:t>
      </w:r>
      <w:bookmarkStart w:id="963" w:name="_Hlk40303486"/>
      <w:r>
        <w:rPr>
          <w:rFonts w:hint="eastAsia" w:ascii="宋体" w:hAnsi="宋体" w:cs="宋体"/>
          <w:color w:val="auto"/>
          <w:szCs w:val="21"/>
          <w:highlight w:val="none"/>
        </w:rPr>
        <w:t>受益人发出的书面付款通知应由其法定代表人（负责人）或授权代理人签字并加盖公章。</w:t>
      </w:r>
      <w:bookmarkEnd w:id="963"/>
    </w:p>
    <w:p w14:paraId="4A3E9173">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五、本保函项下的权利不得转让，不得设定担保。受益人未经我方书面同意转 让本保函或其项下任何权利，对我方不发生法律效力。 </w:t>
      </w:r>
    </w:p>
    <w:p w14:paraId="7A14B7DB">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六、与本保函有关的基础合同不成立、不生效、无效、被撤销、被解除，不影响本保函的独立有效。 </w:t>
      </w:r>
    </w:p>
    <w:p w14:paraId="67BC7FDE">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bookmarkStart w:id="964" w:name="_Hlk40303383"/>
      <w:bookmarkStart w:id="965" w:name="_Hlk40354981"/>
      <w:r>
        <w:rPr>
          <w:rFonts w:hint="eastAsia" w:ascii="宋体" w:hAnsi="宋体" w:cs="宋体"/>
          <w:color w:val="auto"/>
          <w:szCs w:val="21"/>
          <w:highlight w:val="none"/>
        </w:rPr>
        <w:t xml:space="preserve">七、本保函项下的义务和责任均在保函有效期到期后自动消灭。 </w:t>
      </w:r>
    </w:p>
    <w:p w14:paraId="46AD97B4">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八、本保函适用的法律为中华人民共和国法律，因本保函产生的纠纷案件，</w:t>
      </w:r>
      <w:bookmarkEnd w:id="964"/>
      <w:r>
        <w:rPr>
          <w:rFonts w:hint="eastAsia" w:ascii="宋体" w:hAnsi="宋体" w:cs="宋体"/>
          <w:color w:val="auto"/>
          <w:szCs w:val="21"/>
          <w:highlight w:val="none"/>
        </w:rPr>
        <w:t xml:space="preserve">由受益人所在地人民法院管辖。 </w:t>
      </w:r>
    </w:p>
    <w:bookmarkEnd w:id="965"/>
    <w:p w14:paraId="1F1E2E10">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九、本保函自我方法定代表人或授权代表签字并加盖公章之日起生效。 </w:t>
      </w:r>
    </w:p>
    <w:p w14:paraId="3EBFDC9A">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开 立 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（公章） </w:t>
      </w:r>
    </w:p>
    <w:p w14:paraId="49779EC7">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法定代表人（或授权代表）：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（签字） </w:t>
      </w:r>
    </w:p>
    <w:p w14:paraId="15FBEE0E">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p>
    <w:p w14:paraId="31CABDE0">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w:t>
      </w:r>
    </w:p>
    <w:p w14:paraId="577F1769">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p>
    <w:p w14:paraId="3FEB6BB0">
      <w:pPr>
        <w:keepNext w:val="0"/>
        <w:keepLines w:val="0"/>
        <w:pageBreakBefore w:val="0"/>
        <w:widowControl w:val="0"/>
        <w:shd w:val="clear"/>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p>
    <w:p w14:paraId="0585B6CB">
      <w:pPr>
        <w:keepNext w:val="0"/>
        <w:keepLines w:val="0"/>
        <w:pageBreakBefore w:val="0"/>
        <w:widowControl w:val="0"/>
        <w:shd w:val="clear"/>
        <w:kinsoku/>
        <w:wordWrap/>
        <w:overflowPunct/>
        <w:topLinePunct w:val="0"/>
        <w:autoSpaceDE/>
        <w:autoSpaceDN/>
        <w:bidi w:val="0"/>
        <w:adjustRightInd w:val="0"/>
        <w:snapToGrid w:val="0"/>
        <w:spacing w:line="360" w:lineRule="exact"/>
        <w:ind w:left="1323" w:leftChars="200" w:hanging="903" w:hangingChars="430"/>
        <w:textAlignment w:val="auto"/>
        <w:rPr>
          <w:rFonts w:hint="eastAsia" w:ascii="宋体" w:hAnsi="宋体" w:cs="宋体"/>
          <w:color w:val="auto"/>
          <w:szCs w:val="21"/>
          <w:highlight w:val="none"/>
        </w:rPr>
      </w:pPr>
      <w:r>
        <w:rPr>
          <w:rFonts w:hint="eastAsia" w:ascii="宋体" w:hAnsi="宋体" w:cs="宋体"/>
          <w:color w:val="auto"/>
          <w:szCs w:val="21"/>
          <w:highlight w:val="none"/>
        </w:rPr>
        <w:t>开立时间：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1697E136">
      <w:pPr>
        <w:rPr>
          <w:rFonts w:hint="eastAsia" w:ascii="宋体" w:hAnsi="宋体" w:cs="宋体"/>
          <w:bCs/>
          <w:color w:val="auto"/>
          <w:sz w:val="24"/>
          <w:highlight w:val="none"/>
        </w:rPr>
      </w:pPr>
      <w:bookmarkStart w:id="966" w:name="_Toc13566"/>
      <w:bookmarkStart w:id="967" w:name="_Toc95223506"/>
      <w:bookmarkStart w:id="968" w:name="_Toc9234"/>
      <w:bookmarkStart w:id="969" w:name="_Toc16035"/>
      <w:bookmarkStart w:id="970" w:name="_Toc95223513"/>
    </w:p>
    <w:p w14:paraId="7D17317D">
      <w:pPr>
        <w:rPr>
          <w:rFonts w:hint="eastAsia" w:ascii="宋体" w:hAnsi="宋体" w:cs="宋体"/>
          <w:bCs/>
          <w:color w:val="auto"/>
          <w:sz w:val="24"/>
          <w:highlight w:val="none"/>
        </w:rPr>
      </w:pPr>
    </w:p>
    <w:p w14:paraId="7B74D847">
      <w:pPr>
        <w:rPr>
          <w:rFonts w:hint="eastAsia" w:ascii="宋体" w:hAnsi="宋体" w:cs="宋体"/>
          <w:bCs/>
          <w:color w:val="auto"/>
          <w:sz w:val="24"/>
          <w:highlight w:val="none"/>
        </w:rPr>
      </w:pPr>
      <w:r>
        <w:rPr>
          <w:rFonts w:hint="eastAsia" w:ascii="宋体" w:hAnsi="宋体" w:cs="宋体"/>
          <w:bCs/>
          <w:color w:val="auto"/>
          <w:sz w:val="24"/>
          <w:highlight w:val="none"/>
        </w:rPr>
        <w:t>附</w:t>
      </w:r>
      <w:bookmarkStart w:id="971" w:name="_Toc267261702"/>
      <w:bookmarkStart w:id="972" w:name="_Toc296346733"/>
      <w:bookmarkStart w:id="973" w:name="_Toc296891272"/>
      <w:bookmarkStart w:id="974" w:name="_Toc296503232"/>
      <w:bookmarkStart w:id="975" w:name="_Toc296347231"/>
      <w:bookmarkStart w:id="976" w:name="_Toc296891060"/>
      <w:bookmarkStart w:id="977" w:name="_Toc296944571"/>
      <w:r>
        <w:rPr>
          <w:rFonts w:hint="eastAsia" w:ascii="宋体" w:hAnsi="宋体" w:cs="宋体"/>
          <w:bCs/>
          <w:color w:val="auto"/>
          <w:sz w:val="24"/>
          <w:highlight w:val="none"/>
        </w:rPr>
        <w:t>件</w:t>
      </w:r>
      <w:r>
        <w:rPr>
          <w:rFonts w:hint="eastAsia" w:ascii="宋体" w:hAnsi="宋体" w:cs="宋体"/>
          <w:bCs/>
          <w:color w:val="auto"/>
          <w:sz w:val="24"/>
          <w:highlight w:val="none"/>
          <w:lang w:val="en-US" w:eastAsia="zh-CN"/>
        </w:rPr>
        <w:t>7</w:t>
      </w:r>
      <w:r>
        <w:rPr>
          <w:rFonts w:hint="eastAsia" w:ascii="宋体" w:hAnsi="宋体" w:cs="宋体"/>
          <w:bCs/>
          <w:color w:val="auto"/>
          <w:sz w:val="24"/>
          <w:highlight w:val="none"/>
        </w:rPr>
        <w:t>：</w:t>
      </w:r>
      <w:bookmarkEnd w:id="966"/>
      <w:bookmarkEnd w:id="967"/>
      <w:bookmarkEnd w:id="968"/>
      <w:bookmarkEnd w:id="969"/>
    </w:p>
    <w:bookmarkEnd w:id="971"/>
    <w:bookmarkEnd w:id="972"/>
    <w:bookmarkEnd w:id="973"/>
    <w:bookmarkEnd w:id="974"/>
    <w:bookmarkEnd w:id="975"/>
    <w:bookmarkEnd w:id="976"/>
    <w:bookmarkEnd w:id="977"/>
    <w:p w14:paraId="0105D4BB">
      <w:pPr>
        <w:keepNext w:val="0"/>
        <w:keepLines w:val="0"/>
        <w:pageBreakBefore w:val="0"/>
        <w:widowControl w:val="0"/>
        <w:shd w:val="clear"/>
        <w:kinsoku/>
        <w:overflowPunct/>
        <w:topLinePunct w:val="0"/>
        <w:autoSpaceDE/>
        <w:autoSpaceDN/>
        <w:bidi w:val="0"/>
        <w:adjustRightInd w:val="0"/>
        <w:snapToGrid w:val="0"/>
        <w:spacing w:line="380" w:lineRule="exact"/>
        <w:jc w:val="center"/>
        <w:textAlignment w:val="auto"/>
        <w:outlineLvl w:val="0"/>
        <w:rPr>
          <w:rFonts w:hint="eastAsia" w:ascii="宋体" w:hAnsi="宋体" w:cs="宋体"/>
          <w:b/>
          <w:bCs/>
          <w:color w:val="auto"/>
          <w:sz w:val="32"/>
          <w:szCs w:val="32"/>
          <w:highlight w:val="none"/>
        </w:rPr>
      </w:pPr>
      <w:bookmarkStart w:id="978" w:name="_Toc4131"/>
      <w:bookmarkStart w:id="979" w:name="_Toc15322"/>
      <w:bookmarkStart w:id="980" w:name="_Toc2932"/>
      <w:bookmarkStart w:id="981" w:name="_Toc95223507"/>
      <w:r>
        <w:rPr>
          <w:rFonts w:hint="eastAsia" w:ascii="宋体" w:hAnsi="宋体" w:cs="宋体"/>
          <w:b/>
          <w:bCs/>
          <w:color w:val="auto"/>
          <w:sz w:val="32"/>
          <w:szCs w:val="32"/>
          <w:highlight w:val="none"/>
        </w:rPr>
        <w:t>预付款保函示范文本</w:t>
      </w:r>
      <w:bookmarkEnd w:id="978"/>
      <w:bookmarkEnd w:id="979"/>
      <w:bookmarkEnd w:id="980"/>
      <w:bookmarkEnd w:id="981"/>
    </w:p>
    <w:p w14:paraId="5CC158B5">
      <w:pPr>
        <w:keepNext w:val="0"/>
        <w:keepLines w:val="0"/>
        <w:pageBreakBefore w:val="0"/>
        <w:widowControl w:val="0"/>
        <w:shd w:val="clear"/>
        <w:kinsoku/>
        <w:wordWrap w:val="0"/>
        <w:overflowPunct/>
        <w:topLinePunct w:val="0"/>
        <w:autoSpaceDE/>
        <w:autoSpaceDN/>
        <w:bidi w:val="0"/>
        <w:adjustRightInd w:val="0"/>
        <w:snapToGrid w:val="0"/>
        <w:spacing w:line="380" w:lineRule="exact"/>
        <w:jc w:val="righ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编号：           </w:t>
      </w:r>
    </w:p>
    <w:p w14:paraId="6A38679B">
      <w:pPr>
        <w:keepNext w:val="0"/>
        <w:keepLines w:val="0"/>
        <w:pageBreakBefore w:val="0"/>
        <w:widowControl w:val="0"/>
        <w:shd w:val="clear"/>
        <w:kinsoku/>
        <w:overflowPunct/>
        <w:topLinePunct w:val="0"/>
        <w:autoSpaceDE/>
        <w:autoSpaceDN/>
        <w:bidi w:val="0"/>
        <w:adjustRightInd w:val="0"/>
        <w:snapToGrid w:val="0"/>
        <w:spacing w:line="380" w:lineRule="exact"/>
        <w:textAlignment w:val="auto"/>
        <w:rPr>
          <w:rFonts w:hint="eastAsia" w:ascii="宋体" w:hAnsi="宋体" w:cs="宋体"/>
          <w:color w:val="auto"/>
          <w:szCs w:val="21"/>
          <w:highlight w:val="none"/>
        </w:rPr>
      </w:pPr>
    </w:p>
    <w:p w14:paraId="57D1439D">
      <w:pPr>
        <w:keepNext w:val="0"/>
        <w:keepLines w:val="0"/>
        <w:pageBreakBefore w:val="0"/>
        <w:widowControl w:val="0"/>
        <w:shd w:val="clear"/>
        <w:kinsoku/>
        <w:overflowPunct/>
        <w:topLinePunct w:val="0"/>
        <w:autoSpaceDE/>
        <w:autoSpaceDN/>
        <w:bidi w:val="0"/>
        <w:adjustRightInd w:val="0"/>
        <w:snapToGrid w:val="0"/>
        <w:spacing w:line="380" w:lineRule="exact"/>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（受益人名称）： </w:t>
      </w:r>
    </w:p>
    <w:p w14:paraId="12FC2969">
      <w:pPr>
        <w:keepNext w:val="0"/>
        <w:keepLines w:val="0"/>
        <w:pageBreakBefore w:val="0"/>
        <w:widowControl w:val="0"/>
        <w:shd w:val="clear"/>
        <w:kinsoku/>
        <w:overflowPunct/>
        <w:topLinePunct w:val="0"/>
        <w:autoSpaceDE/>
        <w:autoSpaceDN/>
        <w:bidi w:val="0"/>
        <w:adjustRightInd w:val="0"/>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鉴于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（以下简称“受益人”）与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（以下简称“申请人”）于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日就</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（标段编号）的</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（标段名称）</w:t>
      </w:r>
      <w:r>
        <w:rPr>
          <w:rFonts w:hint="eastAsia" w:ascii="宋体" w:hAnsi="宋体" w:cs="宋体"/>
          <w:color w:val="auto"/>
          <w:szCs w:val="21"/>
          <w:highlight w:val="none"/>
        </w:rPr>
        <w:t>有关事项协商一致共同签订</w:t>
      </w:r>
      <w:r>
        <w:rPr>
          <w:rFonts w:hint="eastAsia" w:ascii="宋体" w:hAnsi="宋体" w:cs="宋体"/>
          <w:color w:val="auto"/>
          <w:szCs w:val="21"/>
          <w:highlight w:val="none"/>
          <w:u w:val="single"/>
        </w:rPr>
        <w:t>《        》</w:t>
      </w:r>
      <w:r>
        <w:rPr>
          <w:rFonts w:hint="eastAsia" w:ascii="宋体" w:hAnsi="宋体" w:cs="宋体"/>
          <w:color w:val="auto"/>
          <w:szCs w:val="21"/>
          <w:highlight w:val="none"/>
        </w:rPr>
        <w:t xml:space="preserve">（以下简称“基础合同”），开立人根据主合同了解到申请人为主合同项下之承包人，受益人为主合同项下之发包人，基于申请人的请求，开立人同意就申请人按照合同约定正确和合理地为合同目的使用预付款，向受益人提供不可撤销、不可转让的见索即付独立保函（以下简称“本保函”）。 </w:t>
      </w:r>
    </w:p>
    <w:p w14:paraId="42B5878E">
      <w:pPr>
        <w:keepNext w:val="0"/>
        <w:keepLines w:val="0"/>
        <w:pageBreakBefore w:val="0"/>
        <w:widowControl w:val="0"/>
        <w:shd w:val="clear"/>
        <w:kinsoku/>
        <w:overflowPunct/>
        <w:topLinePunct w:val="0"/>
        <w:autoSpaceDE/>
        <w:autoSpaceDN/>
        <w:bidi w:val="0"/>
        <w:adjustRightInd w:val="0"/>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一、本保函担保范围：申请人未按照合同约定正确和合理地为合同目的使用预付款，应当向受益人承担的违约责任和赔偿因此造成的损失、利息、律师费、诉讼费用等实现债权的费用。</w:t>
      </w:r>
    </w:p>
    <w:p w14:paraId="5BE146CA">
      <w:pPr>
        <w:keepNext w:val="0"/>
        <w:keepLines w:val="0"/>
        <w:pageBreakBefore w:val="0"/>
        <w:widowControl w:val="0"/>
        <w:shd w:val="clear"/>
        <w:kinsoku/>
        <w:overflowPunct/>
        <w:topLinePunct w:val="0"/>
        <w:autoSpaceDE/>
        <w:autoSpaceDN/>
        <w:bidi w:val="0"/>
        <w:adjustRightInd w:val="0"/>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二、本保函担保金额最高不超过人民币（大写）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4CB5B047">
      <w:pPr>
        <w:keepNext w:val="0"/>
        <w:keepLines w:val="0"/>
        <w:pageBreakBefore w:val="0"/>
        <w:widowControl w:val="0"/>
        <w:shd w:val="clear"/>
        <w:kinsoku/>
        <w:overflowPunct/>
        <w:topLinePunct w:val="0"/>
        <w:autoSpaceDE/>
        <w:autoSpaceDN/>
        <w:bidi w:val="0"/>
        <w:adjustRightInd w:val="0"/>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三、本保函有效期自开立之日起至发包人全额扣回预付款之日止。</w:t>
      </w:r>
    </w:p>
    <w:p w14:paraId="1652D77E">
      <w:pPr>
        <w:keepNext w:val="0"/>
        <w:keepLines w:val="0"/>
        <w:pageBreakBefore w:val="0"/>
        <w:widowControl w:val="0"/>
        <w:shd w:val="clear"/>
        <w:kinsoku/>
        <w:overflowPunct/>
        <w:topLinePunct w:val="0"/>
        <w:autoSpaceDE/>
        <w:autoSpaceDN/>
        <w:bidi w:val="0"/>
        <w:adjustRightInd w:val="0"/>
        <w:snapToGrid w:val="0"/>
        <w:spacing w:line="380" w:lineRule="exact"/>
        <w:ind w:firstLine="480"/>
        <w:textAlignment w:val="auto"/>
        <w:rPr>
          <w:rFonts w:hint="eastAsia" w:ascii="宋体" w:hAnsi="宋体" w:cs="宋体"/>
          <w:color w:val="auto"/>
          <w:szCs w:val="21"/>
          <w:highlight w:val="none"/>
        </w:rPr>
      </w:pPr>
      <w:r>
        <w:rPr>
          <w:rFonts w:hint="eastAsia" w:ascii="宋体" w:hAnsi="宋体" w:cs="宋体"/>
          <w:color w:val="auto"/>
          <w:szCs w:val="21"/>
          <w:highlight w:val="none"/>
        </w:rPr>
        <w:t>四、开立人承诺，在收到受益人发来的书面付款通知后的七日内无条件支付，前述书面付款通知即为付款要求之单据，且应满足以下要求：</w:t>
      </w:r>
    </w:p>
    <w:p w14:paraId="6810A451">
      <w:pPr>
        <w:keepNext w:val="0"/>
        <w:keepLines w:val="0"/>
        <w:pageBreakBefore w:val="0"/>
        <w:widowControl w:val="0"/>
        <w:shd w:val="clear"/>
        <w:kinsoku/>
        <w:overflowPunct/>
        <w:topLinePunct w:val="0"/>
        <w:autoSpaceDE/>
        <w:autoSpaceDN/>
        <w:bidi w:val="0"/>
        <w:adjustRightInd w:val="0"/>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（1）付款通知到达的日期在本保函的有效期内；</w:t>
      </w:r>
    </w:p>
    <w:p w14:paraId="1C52C3D0">
      <w:pPr>
        <w:keepNext w:val="0"/>
        <w:keepLines w:val="0"/>
        <w:pageBreakBefore w:val="0"/>
        <w:widowControl w:val="0"/>
        <w:shd w:val="clear"/>
        <w:kinsoku/>
        <w:overflowPunct/>
        <w:topLinePunct w:val="0"/>
        <w:autoSpaceDE/>
        <w:autoSpaceDN/>
        <w:bidi w:val="0"/>
        <w:adjustRightInd w:val="0"/>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（2）载明要求支付的金额；</w:t>
      </w:r>
    </w:p>
    <w:p w14:paraId="779F49AF">
      <w:pPr>
        <w:keepNext w:val="0"/>
        <w:keepLines w:val="0"/>
        <w:pageBreakBefore w:val="0"/>
        <w:widowControl w:val="0"/>
        <w:shd w:val="clear"/>
        <w:kinsoku/>
        <w:overflowPunct/>
        <w:topLinePunct w:val="0"/>
        <w:autoSpaceDE/>
        <w:autoSpaceDN/>
        <w:bidi w:val="0"/>
        <w:adjustRightInd w:val="0"/>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（3）载明申请人违反合同义务的条款和内容；</w:t>
      </w:r>
    </w:p>
    <w:p w14:paraId="681CAFCC">
      <w:pPr>
        <w:keepNext w:val="0"/>
        <w:keepLines w:val="0"/>
        <w:pageBreakBefore w:val="0"/>
        <w:widowControl w:val="0"/>
        <w:shd w:val="clear"/>
        <w:kinsoku/>
        <w:overflowPunct/>
        <w:topLinePunct w:val="0"/>
        <w:autoSpaceDE/>
        <w:autoSpaceDN/>
        <w:bidi w:val="0"/>
        <w:adjustRightInd w:val="0"/>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（4）声明不存在合同文件约定或我国法律规定免除申请人或开立人支付责任的情形；</w:t>
      </w:r>
    </w:p>
    <w:p w14:paraId="29A7710C">
      <w:pPr>
        <w:keepNext w:val="0"/>
        <w:keepLines w:val="0"/>
        <w:pageBreakBefore w:val="0"/>
        <w:widowControl w:val="0"/>
        <w:shd w:val="clear"/>
        <w:kinsoku/>
        <w:overflowPunct/>
        <w:topLinePunct w:val="0"/>
        <w:autoSpaceDE/>
        <w:autoSpaceDN/>
        <w:bidi w:val="0"/>
        <w:adjustRightInd w:val="0"/>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（5）付款通知应在本保函有效期内到达的地址是：</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C128F6B">
      <w:pPr>
        <w:keepNext w:val="0"/>
        <w:keepLines w:val="0"/>
        <w:pageBreakBefore w:val="0"/>
        <w:widowControl w:val="0"/>
        <w:shd w:val="clear"/>
        <w:kinsoku/>
        <w:overflowPunct/>
        <w:topLinePunct w:val="0"/>
        <w:autoSpaceDE/>
        <w:autoSpaceDN/>
        <w:bidi w:val="0"/>
        <w:adjustRightInd w:val="0"/>
        <w:snapToGrid w:val="0"/>
        <w:spacing w:line="38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    受益人发出的书面付款通知应由其法定代表人（负责人）或授权代理人签字并加盖公章。</w:t>
      </w:r>
    </w:p>
    <w:p w14:paraId="4EBB6E75">
      <w:pPr>
        <w:keepNext w:val="0"/>
        <w:keepLines w:val="0"/>
        <w:pageBreakBefore w:val="0"/>
        <w:widowControl w:val="0"/>
        <w:shd w:val="clear"/>
        <w:kinsoku/>
        <w:overflowPunct/>
        <w:topLinePunct w:val="0"/>
        <w:autoSpaceDE/>
        <w:autoSpaceDN/>
        <w:bidi w:val="0"/>
        <w:adjustRightInd w:val="0"/>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五、本保函项下的权利不得转让，不得设定担保。受益人未经开立人书面同意转让本保函或其项下任何权利，对开立人不发生法律效力。 </w:t>
      </w:r>
    </w:p>
    <w:p w14:paraId="7A3F1F09">
      <w:pPr>
        <w:keepNext w:val="0"/>
        <w:keepLines w:val="0"/>
        <w:pageBreakBefore w:val="0"/>
        <w:widowControl w:val="0"/>
        <w:shd w:val="clear"/>
        <w:kinsoku/>
        <w:overflowPunct/>
        <w:topLinePunct w:val="0"/>
        <w:autoSpaceDE/>
        <w:autoSpaceDN/>
        <w:bidi w:val="0"/>
        <w:adjustRightInd w:val="0"/>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六、本保函项下的基础交易不成立、不生效、无效、被撤销、被解除，不影响本保函的独立有效。</w:t>
      </w:r>
    </w:p>
    <w:p w14:paraId="4B9283F3">
      <w:pPr>
        <w:keepNext w:val="0"/>
        <w:keepLines w:val="0"/>
        <w:pageBreakBefore w:val="0"/>
        <w:widowControl w:val="0"/>
        <w:shd w:val="clear"/>
        <w:kinsoku/>
        <w:overflowPunct/>
        <w:topLinePunct w:val="0"/>
        <w:autoSpaceDE/>
        <w:autoSpaceDN/>
        <w:bidi w:val="0"/>
        <w:adjustRightInd w:val="0"/>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七、本保函项下的义务和责任均在保函有效期到期后自动消灭。 </w:t>
      </w:r>
    </w:p>
    <w:p w14:paraId="2572414C">
      <w:pPr>
        <w:keepNext w:val="0"/>
        <w:keepLines w:val="0"/>
        <w:pageBreakBefore w:val="0"/>
        <w:widowControl w:val="0"/>
        <w:shd w:val="clear"/>
        <w:kinsoku/>
        <w:overflowPunct/>
        <w:topLinePunct w:val="0"/>
        <w:autoSpaceDE/>
        <w:autoSpaceDN/>
        <w:bidi w:val="0"/>
        <w:adjustRightInd w:val="0"/>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八、本保函适用的法律为中华人民共和国法律，因本保函产生的纠纷案件，由受益人所在地人民法院管辖。 </w:t>
      </w:r>
    </w:p>
    <w:p w14:paraId="010C2A89">
      <w:pPr>
        <w:keepNext w:val="0"/>
        <w:keepLines w:val="0"/>
        <w:pageBreakBefore w:val="0"/>
        <w:widowControl w:val="0"/>
        <w:shd w:val="clear"/>
        <w:kinsoku/>
        <w:overflowPunct/>
        <w:topLinePunct w:val="0"/>
        <w:autoSpaceDE/>
        <w:autoSpaceDN/>
        <w:bidi w:val="0"/>
        <w:adjustRightInd w:val="0"/>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九、本保函自我方法定代表人或授权代表签字并加盖公章之日起生效。 </w:t>
      </w:r>
    </w:p>
    <w:p w14:paraId="6A535CB4">
      <w:pPr>
        <w:keepNext w:val="0"/>
        <w:keepLines w:val="0"/>
        <w:pageBreakBefore w:val="0"/>
        <w:widowControl w:val="0"/>
        <w:shd w:val="clear"/>
        <w:kinsoku/>
        <w:overflowPunct/>
        <w:topLinePunct w:val="0"/>
        <w:autoSpaceDE/>
        <w:autoSpaceDN/>
        <w:bidi w:val="0"/>
        <w:adjustRightInd w:val="0"/>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开 立 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（公章） </w:t>
      </w:r>
    </w:p>
    <w:p w14:paraId="4171BF52">
      <w:pPr>
        <w:keepNext w:val="0"/>
        <w:keepLines w:val="0"/>
        <w:pageBreakBefore w:val="0"/>
        <w:widowControl w:val="0"/>
        <w:shd w:val="clear"/>
        <w:kinsoku/>
        <w:overflowPunct/>
        <w:topLinePunct w:val="0"/>
        <w:autoSpaceDE/>
        <w:autoSpaceDN/>
        <w:bidi w:val="0"/>
        <w:adjustRightInd w:val="0"/>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法定代表人（或授权代表）：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（签字） </w:t>
      </w:r>
    </w:p>
    <w:p w14:paraId="592C725A">
      <w:pPr>
        <w:keepNext w:val="0"/>
        <w:keepLines w:val="0"/>
        <w:pageBreakBefore w:val="0"/>
        <w:widowControl w:val="0"/>
        <w:shd w:val="clear"/>
        <w:kinsoku/>
        <w:overflowPunct/>
        <w:topLinePunct w:val="0"/>
        <w:autoSpaceDE/>
        <w:autoSpaceDN/>
        <w:bidi w:val="0"/>
        <w:adjustRightInd w:val="0"/>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p>
    <w:p w14:paraId="306712E9">
      <w:pPr>
        <w:keepNext w:val="0"/>
        <w:keepLines w:val="0"/>
        <w:pageBreakBefore w:val="0"/>
        <w:widowControl w:val="0"/>
        <w:shd w:val="clear"/>
        <w:kinsoku/>
        <w:overflowPunct/>
        <w:topLinePunct w:val="0"/>
        <w:autoSpaceDE/>
        <w:autoSpaceDN/>
        <w:bidi w:val="0"/>
        <w:adjustRightInd w:val="0"/>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w:t>
      </w:r>
    </w:p>
    <w:p w14:paraId="7F416036">
      <w:pPr>
        <w:keepNext w:val="0"/>
        <w:keepLines w:val="0"/>
        <w:pageBreakBefore w:val="0"/>
        <w:widowControl w:val="0"/>
        <w:shd w:val="clear"/>
        <w:kinsoku/>
        <w:overflowPunct/>
        <w:topLinePunct w:val="0"/>
        <w:autoSpaceDE/>
        <w:autoSpaceDN/>
        <w:bidi w:val="0"/>
        <w:adjustRightInd w:val="0"/>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p>
    <w:p w14:paraId="006E7A0A">
      <w:pPr>
        <w:keepNext w:val="0"/>
        <w:keepLines w:val="0"/>
        <w:pageBreakBefore w:val="0"/>
        <w:widowControl w:val="0"/>
        <w:shd w:val="clear"/>
        <w:kinsoku/>
        <w:overflowPunct/>
        <w:topLinePunct w:val="0"/>
        <w:autoSpaceDE/>
        <w:autoSpaceDN/>
        <w:bidi w:val="0"/>
        <w:adjustRightInd w:val="0"/>
        <w:snapToGrid w:val="0"/>
        <w:spacing w:line="380" w:lineRule="exact"/>
        <w:ind w:firstLine="420" w:firstLineChars="20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p>
    <w:p w14:paraId="5067C5F7">
      <w:pPr>
        <w:keepNext w:val="0"/>
        <w:keepLines w:val="0"/>
        <w:pageBreakBefore w:val="0"/>
        <w:widowControl w:val="0"/>
        <w:shd w:val="clear"/>
        <w:kinsoku/>
        <w:overflowPunct/>
        <w:topLinePunct w:val="0"/>
        <w:autoSpaceDE/>
        <w:autoSpaceDN/>
        <w:bidi w:val="0"/>
        <w:adjustRightInd w:val="0"/>
        <w:snapToGrid w:val="0"/>
        <w:spacing w:line="380" w:lineRule="exact"/>
        <w:ind w:left="1323" w:leftChars="200" w:hanging="903" w:hangingChars="430"/>
        <w:textAlignment w:val="auto"/>
        <w:rPr>
          <w:rFonts w:hint="eastAsia" w:ascii="宋体" w:hAnsi="宋体" w:cs="宋体"/>
          <w:color w:val="auto"/>
          <w:szCs w:val="21"/>
          <w:highlight w:val="none"/>
        </w:rPr>
      </w:pPr>
      <w:r>
        <w:rPr>
          <w:rFonts w:hint="eastAsia" w:ascii="宋体" w:hAnsi="宋体" w:cs="宋体"/>
          <w:color w:val="auto"/>
          <w:szCs w:val="21"/>
          <w:highlight w:val="none"/>
        </w:rPr>
        <w:t>开立时间：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5FB9EE65">
      <w:pPr>
        <w:keepNext/>
        <w:keepLines/>
        <w:pageBreakBefore w:val="0"/>
        <w:widowControl w:val="0"/>
        <w:shd w:val="clear"/>
        <w:kinsoku/>
        <w:overflowPunct/>
        <w:topLinePunct w:val="0"/>
        <w:autoSpaceDE/>
        <w:autoSpaceDN/>
        <w:bidi w:val="0"/>
        <w:adjustRightInd w:val="0"/>
        <w:snapToGrid w:val="0"/>
        <w:spacing w:line="360" w:lineRule="exact"/>
        <w:jc w:val="left"/>
        <w:textAlignment w:val="auto"/>
        <w:outlineLvl w:val="2"/>
        <w:rPr>
          <w:rFonts w:hint="eastAsia" w:ascii="宋体" w:hAnsi="宋体" w:cs="宋体"/>
          <w:bCs/>
          <w:color w:val="auto"/>
          <w:sz w:val="24"/>
          <w:highlight w:val="none"/>
        </w:rPr>
      </w:pPr>
      <w:r>
        <w:rPr>
          <w:rFonts w:hint="eastAsia" w:ascii="宋体" w:hAnsi="宋体" w:cs="宋体"/>
          <w:b/>
          <w:bCs/>
          <w:color w:val="auto"/>
          <w:sz w:val="24"/>
          <w:highlight w:val="none"/>
        </w:rPr>
        <w:br w:type="page"/>
      </w:r>
      <w:bookmarkStart w:id="982" w:name="_Toc95223508"/>
      <w:r>
        <w:rPr>
          <w:rFonts w:hint="eastAsia" w:ascii="宋体" w:hAnsi="宋体" w:cs="宋体"/>
          <w:bCs/>
          <w:color w:val="auto"/>
          <w:sz w:val="24"/>
          <w:highlight w:val="none"/>
        </w:rPr>
        <w:t>附</w:t>
      </w:r>
      <w:bookmarkStart w:id="983" w:name="_Toc296891273"/>
      <w:bookmarkStart w:id="984" w:name="_Toc296347232"/>
      <w:bookmarkStart w:id="985" w:name="_Toc296944572"/>
      <w:bookmarkStart w:id="986" w:name="_Toc296891061"/>
      <w:bookmarkStart w:id="987" w:name="_Toc296503233"/>
      <w:bookmarkStart w:id="988" w:name="_Toc296346734"/>
      <w:r>
        <w:rPr>
          <w:rFonts w:hint="eastAsia" w:ascii="宋体" w:hAnsi="宋体" w:cs="宋体"/>
          <w:bCs/>
          <w:color w:val="auto"/>
          <w:sz w:val="24"/>
          <w:highlight w:val="none"/>
        </w:rPr>
        <w:t>件</w:t>
      </w:r>
      <w:r>
        <w:rPr>
          <w:rFonts w:hint="eastAsia" w:ascii="宋体" w:hAnsi="宋体" w:cs="宋体"/>
          <w:bCs/>
          <w:color w:val="auto"/>
          <w:sz w:val="24"/>
          <w:highlight w:val="none"/>
          <w:lang w:val="en-US" w:eastAsia="zh-CN"/>
        </w:rPr>
        <w:t>8</w:t>
      </w:r>
      <w:r>
        <w:rPr>
          <w:rFonts w:hint="eastAsia" w:ascii="宋体" w:hAnsi="宋体" w:cs="宋体"/>
          <w:bCs/>
          <w:color w:val="auto"/>
          <w:sz w:val="24"/>
          <w:highlight w:val="none"/>
        </w:rPr>
        <w:t>：</w:t>
      </w:r>
      <w:bookmarkEnd w:id="982"/>
      <w:bookmarkEnd w:id="983"/>
      <w:bookmarkEnd w:id="984"/>
      <w:bookmarkEnd w:id="985"/>
      <w:bookmarkEnd w:id="986"/>
      <w:bookmarkEnd w:id="987"/>
      <w:bookmarkEnd w:id="988"/>
    </w:p>
    <w:p w14:paraId="45CD0BD8">
      <w:pPr>
        <w:pageBreakBefore w:val="0"/>
        <w:widowControl w:val="0"/>
        <w:shd w:val="clear"/>
        <w:kinsoku/>
        <w:overflowPunct/>
        <w:topLinePunct w:val="0"/>
        <w:autoSpaceDE/>
        <w:autoSpaceDN/>
        <w:bidi w:val="0"/>
        <w:adjustRightInd w:val="0"/>
        <w:snapToGrid w:val="0"/>
        <w:spacing w:line="360" w:lineRule="exact"/>
        <w:jc w:val="center"/>
        <w:textAlignment w:val="auto"/>
        <w:outlineLvl w:val="0"/>
        <w:rPr>
          <w:rFonts w:hint="eastAsia" w:ascii="宋体" w:hAnsi="宋体" w:cs="宋体"/>
          <w:b/>
          <w:bCs/>
          <w:color w:val="auto"/>
          <w:sz w:val="32"/>
          <w:szCs w:val="32"/>
          <w:highlight w:val="none"/>
        </w:rPr>
      </w:pPr>
      <w:bookmarkStart w:id="989" w:name="_Toc22892"/>
      <w:bookmarkStart w:id="990" w:name="_Toc95223509"/>
      <w:bookmarkStart w:id="991" w:name="_Toc3562"/>
      <w:bookmarkStart w:id="992" w:name="_Toc8319"/>
      <w:r>
        <w:rPr>
          <w:rFonts w:hint="eastAsia" w:ascii="宋体" w:hAnsi="宋体" w:cs="宋体"/>
          <w:b/>
          <w:bCs/>
          <w:color w:val="auto"/>
          <w:sz w:val="32"/>
          <w:szCs w:val="32"/>
          <w:highlight w:val="none"/>
        </w:rPr>
        <w:t>支付保函示范文本</w:t>
      </w:r>
      <w:bookmarkEnd w:id="989"/>
      <w:bookmarkEnd w:id="990"/>
      <w:bookmarkEnd w:id="991"/>
      <w:bookmarkEnd w:id="992"/>
    </w:p>
    <w:p w14:paraId="23DB4A4A">
      <w:pPr>
        <w:pageBreakBefore w:val="0"/>
        <w:widowControl w:val="0"/>
        <w:shd w:val="clear"/>
        <w:kinsoku/>
        <w:wordWrap w:val="0"/>
        <w:overflowPunct/>
        <w:topLinePunct w:val="0"/>
        <w:autoSpaceDE/>
        <w:autoSpaceDN/>
        <w:bidi w:val="0"/>
        <w:adjustRightInd w:val="0"/>
        <w:snapToGrid w:val="0"/>
        <w:spacing w:line="360" w:lineRule="exact"/>
        <w:jc w:val="righ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编号：           </w:t>
      </w:r>
    </w:p>
    <w:p w14:paraId="21A36959">
      <w:pPr>
        <w:pageBreakBefore w:val="0"/>
        <w:widowControl w:val="0"/>
        <w:shd w:val="clear"/>
        <w:kinsoku/>
        <w:overflowPunct/>
        <w:topLinePunct w:val="0"/>
        <w:autoSpaceDE/>
        <w:autoSpaceDN/>
        <w:bidi w:val="0"/>
        <w:adjustRightInd w:val="0"/>
        <w:snapToGrid w:val="0"/>
        <w:spacing w:line="360" w:lineRule="exact"/>
        <w:textAlignment w:val="auto"/>
        <w:rPr>
          <w:rFonts w:hint="eastAsia" w:ascii="宋体" w:hAnsi="宋体" w:cs="宋体"/>
          <w:color w:val="auto"/>
          <w:szCs w:val="21"/>
          <w:highlight w:val="none"/>
        </w:rPr>
      </w:pPr>
      <w:bookmarkStart w:id="993" w:name="_Hlk40355074"/>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（受益人名称）： </w:t>
      </w:r>
    </w:p>
    <w:bookmarkEnd w:id="993"/>
    <w:p w14:paraId="00BF79EF">
      <w:pPr>
        <w:pageBreakBefore w:val="0"/>
        <w:widowControl w:val="0"/>
        <w:shd w:val="clear"/>
        <w:kinsoku/>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鉴于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（以下简称“受益人”）与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（以下简称“申请人”）于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日就</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（标段编号）的</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（标段名称）</w:t>
      </w:r>
      <w:r>
        <w:rPr>
          <w:rFonts w:hint="eastAsia" w:ascii="宋体" w:hAnsi="宋体" w:cs="宋体"/>
          <w:color w:val="auto"/>
          <w:szCs w:val="21"/>
          <w:highlight w:val="none"/>
        </w:rPr>
        <w:t>有关事项协商一致共同签订</w:t>
      </w:r>
      <w:r>
        <w:rPr>
          <w:rFonts w:hint="eastAsia" w:ascii="宋体" w:hAnsi="宋体" w:cs="宋体"/>
          <w:color w:val="auto"/>
          <w:szCs w:val="21"/>
          <w:highlight w:val="none"/>
          <w:u w:val="single"/>
        </w:rPr>
        <w:t>《        》</w:t>
      </w:r>
      <w:r>
        <w:rPr>
          <w:rFonts w:hint="eastAsia" w:ascii="宋体" w:hAnsi="宋体" w:cs="宋体"/>
          <w:color w:val="auto"/>
          <w:szCs w:val="21"/>
          <w:highlight w:val="none"/>
        </w:rPr>
        <w:t xml:space="preserve">（以下简称基础合同”），开立人根据基础合同了解到申请人为基础合同项下之发包人，受益人为基础合同项下之承包人，基于申请人的请求，开立人同意就申请人履行与受益人签订的基础合同项下的工程款（指基础合同约定的除工程质量保修金以外的工程款）付款义务，向受益人提供不可撤销、不可转让的见索即付独立保函（以下简称“本保函”）。 </w:t>
      </w:r>
    </w:p>
    <w:p w14:paraId="2D7D9027">
      <w:pPr>
        <w:pageBreakBefore w:val="0"/>
        <w:widowControl w:val="0"/>
        <w:shd w:val="clear"/>
        <w:kinsoku/>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一、本保函担保范围：申请人未履行基础合同约定的工程款支付义务，应当向受益人承担的违约责任和赔偿因此造成的损失、利息、律师费、诉讼费用等实现债权的费用。</w:t>
      </w:r>
    </w:p>
    <w:p w14:paraId="4A3AB94A">
      <w:pPr>
        <w:pageBreakBefore w:val="0"/>
        <w:widowControl w:val="0"/>
        <w:shd w:val="clear"/>
        <w:kinsoku/>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二、本保函担保金额最高不超过人民币（大写）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41CF8C0">
      <w:pPr>
        <w:pageBreakBefore w:val="0"/>
        <w:widowControl w:val="0"/>
        <w:shd w:val="clear"/>
        <w:kinsoku/>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三、本保函有效期自开立之日起至基础合同约定的除工程质量保修金以外的全部工程结算款项支付之日后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日止。 </w:t>
      </w:r>
    </w:p>
    <w:p w14:paraId="66C91758">
      <w:pPr>
        <w:pageBreakBefore w:val="0"/>
        <w:widowControl w:val="0"/>
        <w:shd w:val="clear"/>
        <w:kinsoku/>
        <w:overflowPunct/>
        <w:topLinePunct w:val="0"/>
        <w:autoSpaceDE/>
        <w:autoSpaceDN/>
        <w:bidi w:val="0"/>
        <w:adjustRightInd w:val="0"/>
        <w:snapToGrid w:val="0"/>
        <w:spacing w:line="360" w:lineRule="exact"/>
        <w:ind w:firstLine="480"/>
        <w:textAlignment w:val="auto"/>
        <w:rPr>
          <w:rFonts w:hint="eastAsia" w:ascii="宋体" w:hAnsi="宋体" w:cs="宋体"/>
          <w:color w:val="auto"/>
          <w:szCs w:val="21"/>
          <w:highlight w:val="none"/>
        </w:rPr>
      </w:pPr>
      <w:r>
        <w:rPr>
          <w:rFonts w:hint="eastAsia" w:ascii="宋体" w:hAnsi="宋体" w:cs="宋体"/>
          <w:color w:val="auto"/>
          <w:szCs w:val="21"/>
          <w:highlight w:val="none"/>
        </w:rPr>
        <w:t>四、开立人承诺，在收到受益人发来的书面付款通知后的七日内无条件支付，前述书面付款通知即为付款要求之单据，且应满足以下要求：</w:t>
      </w:r>
    </w:p>
    <w:p w14:paraId="10933A57">
      <w:pPr>
        <w:pageBreakBefore w:val="0"/>
        <w:widowControl w:val="0"/>
        <w:shd w:val="clear"/>
        <w:kinsoku/>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（1）付款通知到达的日期在本保函的有效期内；</w:t>
      </w:r>
    </w:p>
    <w:p w14:paraId="076EBF04">
      <w:pPr>
        <w:pageBreakBefore w:val="0"/>
        <w:widowControl w:val="0"/>
        <w:shd w:val="clear"/>
        <w:kinsoku/>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（2）载明要求支付的金额；</w:t>
      </w:r>
    </w:p>
    <w:p w14:paraId="00A46766">
      <w:pPr>
        <w:pageBreakBefore w:val="0"/>
        <w:widowControl w:val="0"/>
        <w:shd w:val="clear"/>
        <w:kinsoku/>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（3）载明申请人违反合同义务的条款和内容；</w:t>
      </w:r>
    </w:p>
    <w:p w14:paraId="10B57D45">
      <w:pPr>
        <w:pageBreakBefore w:val="0"/>
        <w:widowControl w:val="0"/>
        <w:shd w:val="clear"/>
        <w:kinsoku/>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（4）声明不存在合同文件约定或我国法律规定免除申请人或开立人支付责任的情形；</w:t>
      </w:r>
    </w:p>
    <w:p w14:paraId="14A689C8">
      <w:pPr>
        <w:pageBreakBefore w:val="0"/>
        <w:widowControl w:val="0"/>
        <w:shd w:val="clear"/>
        <w:kinsoku/>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（5）付款通知应在本保函有效期内到达的地址是：</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A549E72">
      <w:pPr>
        <w:pageBreakBefore w:val="0"/>
        <w:widowControl w:val="0"/>
        <w:shd w:val="clear"/>
        <w:kinsoku/>
        <w:overflowPunct/>
        <w:topLinePunct w:val="0"/>
        <w:autoSpaceDE/>
        <w:autoSpaceDN/>
        <w:bidi w:val="0"/>
        <w:adjustRightInd w:val="0"/>
        <w:snapToGrid w:val="0"/>
        <w:spacing w:line="36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    受益人发出的书面付款通知应由其法定代表人（负责人）或授权代理人签字并加盖公章。</w:t>
      </w:r>
    </w:p>
    <w:p w14:paraId="58411CE7">
      <w:pPr>
        <w:pageBreakBefore w:val="0"/>
        <w:widowControl w:val="0"/>
        <w:shd w:val="clear"/>
        <w:kinsoku/>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五、本保函项下的权利不得转让，不得设定担保。受益人未经开立人书面同意转让本保函或其项下任何权利，对开立人不发生法律效力。 </w:t>
      </w:r>
    </w:p>
    <w:p w14:paraId="63E7F364">
      <w:pPr>
        <w:pageBreakBefore w:val="0"/>
        <w:widowControl w:val="0"/>
        <w:shd w:val="clear"/>
        <w:kinsoku/>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六、本保函项下的基础交易不成立、不生效、无效、被撤销、被解除，不影响本保函的独立有效。</w:t>
      </w:r>
    </w:p>
    <w:p w14:paraId="51359238">
      <w:pPr>
        <w:pageBreakBefore w:val="0"/>
        <w:widowControl w:val="0"/>
        <w:shd w:val="clear"/>
        <w:kinsoku/>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七、本保函项下的义务和责任均在保函有效期到期后自动消灭。 </w:t>
      </w:r>
    </w:p>
    <w:p w14:paraId="0E5AE6C2">
      <w:pPr>
        <w:pageBreakBefore w:val="0"/>
        <w:widowControl w:val="0"/>
        <w:shd w:val="clear"/>
        <w:kinsoku/>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八、本保函适用的法律为中华人民共和国法律，因本保函产生的纠纷案件，由申请人所在地人民法院管辖。 </w:t>
      </w:r>
    </w:p>
    <w:p w14:paraId="4B39B953">
      <w:pPr>
        <w:pageBreakBefore w:val="0"/>
        <w:widowControl w:val="0"/>
        <w:shd w:val="clear"/>
        <w:kinsoku/>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九、本保函自我方法定代表人或授权代表签字并加盖公章之日起生效。 </w:t>
      </w:r>
    </w:p>
    <w:p w14:paraId="257A45EA">
      <w:pPr>
        <w:pageBreakBefore w:val="0"/>
        <w:widowControl w:val="0"/>
        <w:shd w:val="clear"/>
        <w:kinsoku/>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开 立 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（公章） </w:t>
      </w:r>
    </w:p>
    <w:p w14:paraId="0F7D89F5">
      <w:pPr>
        <w:pageBreakBefore w:val="0"/>
        <w:widowControl w:val="0"/>
        <w:shd w:val="clear"/>
        <w:kinsoku/>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法定代表人（或授权代表）：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（签字） </w:t>
      </w:r>
    </w:p>
    <w:p w14:paraId="71F6164F">
      <w:pPr>
        <w:pageBreakBefore w:val="0"/>
        <w:widowControl w:val="0"/>
        <w:shd w:val="clear"/>
        <w:kinsoku/>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p>
    <w:p w14:paraId="0490F37D">
      <w:pPr>
        <w:pageBreakBefore w:val="0"/>
        <w:widowControl w:val="0"/>
        <w:shd w:val="clear"/>
        <w:kinsoku/>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w:t>
      </w:r>
    </w:p>
    <w:p w14:paraId="67EB440A">
      <w:pPr>
        <w:pageBreakBefore w:val="0"/>
        <w:widowControl w:val="0"/>
        <w:shd w:val="clear"/>
        <w:kinsoku/>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p>
    <w:p w14:paraId="518693B9">
      <w:pPr>
        <w:pageBreakBefore w:val="0"/>
        <w:widowControl w:val="0"/>
        <w:shd w:val="clear"/>
        <w:kinsoku/>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p>
    <w:p w14:paraId="5A1EE7C4">
      <w:pPr>
        <w:pageBreakBefore w:val="0"/>
        <w:widowControl w:val="0"/>
        <w:shd w:val="clear"/>
        <w:kinsoku/>
        <w:overflowPunct/>
        <w:topLinePunct w:val="0"/>
        <w:autoSpaceDE/>
        <w:autoSpaceDN/>
        <w:bidi w:val="0"/>
        <w:adjustRightInd w:val="0"/>
        <w:snapToGrid w:val="0"/>
        <w:spacing w:line="360" w:lineRule="exact"/>
        <w:ind w:left="1323" w:leftChars="200" w:hanging="903" w:hangingChars="430"/>
        <w:textAlignment w:val="auto"/>
        <w:rPr>
          <w:rFonts w:hint="eastAsia" w:ascii="宋体" w:hAnsi="宋体" w:cs="宋体"/>
          <w:color w:val="auto"/>
          <w:szCs w:val="21"/>
          <w:highlight w:val="none"/>
        </w:rPr>
      </w:pPr>
      <w:r>
        <w:rPr>
          <w:rFonts w:hint="eastAsia" w:ascii="宋体" w:hAnsi="宋体" w:cs="宋体"/>
          <w:color w:val="auto"/>
          <w:szCs w:val="21"/>
          <w:highlight w:val="none"/>
        </w:rPr>
        <w:t>开立时间：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6C0BB1A5">
      <w:pPr>
        <w:rPr>
          <w:rFonts w:hint="eastAsia" w:ascii="宋体" w:hAnsi="宋体" w:cs="宋体"/>
          <w:bCs/>
          <w:color w:val="auto"/>
          <w:sz w:val="24"/>
          <w:highlight w:val="none"/>
        </w:rPr>
      </w:pPr>
      <w:r>
        <w:rPr>
          <w:rFonts w:hint="eastAsia" w:ascii="宋体" w:hAnsi="宋体" w:cs="宋体"/>
          <w:bCs/>
          <w:color w:val="auto"/>
          <w:sz w:val="24"/>
          <w:highlight w:val="none"/>
        </w:rPr>
        <w:br w:type="page"/>
      </w:r>
    </w:p>
    <w:p w14:paraId="0FEFC4EA">
      <w:pPr>
        <w:keepNext/>
        <w:keepLines/>
        <w:shd w:val="clear"/>
        <w:spacing w:before="120" w:after="120" w:line="360" w:lineRule="auto"/>
        <w:jc w:val="left"/>
        <w:outlineLvl w:val="2"/>
        <w:rPr>
          <w:rFonts w:hint="eastAsia" w:ascii="宋体" w:hAnsi="宋体" w:cs="宋体"/>
          <w:bCs/>
          <w:color w:val="auto"/>
          <w:sz w:val="24"/>
          <w:highlight w:val="none"/>
        </w:rPr>
      </w:pPr>
      <w:r>
        <w:rPr>
          <w:rFonts w:hint="eastAsia" w:ascii="宋体" w:hAnsi="宋体" w:cs="宋体"/>
          <w:bCs/>
          <w:color w:val="auto"/>
          <w:sz w:val="24"/>
          <w:highlight w:val="none"/>
        </w:rPr>
        <w:t>附件</w:t>
      </w:r>
      <w:r>
        <w:rPr>
          <w:rFonts w:hint="eastAsia" w:ascii="宋体" w:hAnsi="宋体" w:cs="宋体"/>
          <w:bCs/>
          <w:color w:val="auto"/>
          <w:sz w:val="24"/>
          <w:highlight w:val="none"/>
          <w:lang w:val="en-US" w:eastAsia="zh-CN"/>
        </w:rPr>
        <w:t>9</w:t>
      </w:r>
      <w:r>
        <w:rPr>
          <w:rFonts w:hint="eastAsia" w:ascii="宋体" w:hAnsi="宋体" w:cs="宋体"/>
          <w:bCs/>
          <w:color w:val="auto"/>
          <w:sz w:val="24"/>
          <w:highlight w:val="none"/>
        </w:rPr>
        <w:t>：</w:t>
      </w:r>
      <w:bookmarkEnd w:id="970"/>
    </w:p>
    <w:p w14:paraId="2A5CBE2D">
      <w:pPr>
        <w:shd w:val="clear"/>
        <w:adjustRightInd w:val="0"/>
        <w:snapToGrid w:val="0"/>
        <w:spacing w:line="360" w:lineRule="auto"/>
        <w:jc w:val="center"/>
        <w:outlineLvl w:val="0"/>
        <w:rPr>
          <w:rFonts w:hint="eastAsia" w:ascii="宋体" w:hAnsi="宋体" w:cs="宋体"/>
          <w:b/>
          <w:color w:val="auto"/>
          <w:sz w:val="32"/>
          <w:szCs w:val="32"/>
          <w:highlight w:val="none"/>
        </w:rPr>
      </w:pPr>
      <w:bookmarkStart w:id="994" w:name="_Toc19059"/>
      <w:bookmarkStart w:id="995" w:name="_Toc95223514"/>
      <w:bookmarkStart w:id="996" w:name="_Toc20282"/>
      <w:bookmarkStart w:id="997" w:name="_Toc12965"/>
      <w:r>
        <w:rPr>
          <w:rFonts w:hint="eastAsia" w:ascii="宋体" w:hAnsi="宋体" w:cs="宋体"/>
          <w:b/>
          <w:color w:val="auto"/>
          <w:sz w:val="32"/>
          <w:szCs w:val="32"/>
          <w:highlight w:val="none"/>
        </w:rPr>
        <w:t>项目经理质量终身责任制承诺</w:t>
      </w:r>
      <w:bookmarkEnd w:id="994"/>
      <w:bookmarkEnd w:id="995"/>
      <w:bookmarkEnd w:id="996"/>
      <w:bookmarkEnd w:id="997"/>
    </w:p>
    <w:p w14:paraId="7492102D">
      <w:pPr>
        <w:shd w:val="clear"/>
        <w:adjustRightInd w:val="0"/>
        <w:snapToGrid w:val="0"/>
        <w:spacing w:line="360" w:lineRule="auto"/>
        <w:jc w:val="center"/>
        <w:outlineLvl w:val="0"/>
        <w:rPr>
          <w:rFonts w:hint="eastAsia" w:ascii="宋体" w:hAnsi="宋体" w:cs="宋体"/>
          <w:b/>
          <w:color w:val="auto"/>
          <w:sz w:val="32"/>
          <w:szCs w:val="32"/>
          <w:highlight w:val="none"/>
        </w:rPr>
      </w:pPr>
    </w:p>
    <w:p w14:paraId="1C494B57">
      <w:pPr>
        <w:shd w:val="clear"/>
        <w:adjustRightInd w:val="0"/>
        <w:snapToGrid w:val="0"/>
        <w:spacing w:line="360" w:lineRule="auto"/>
        <w:rPr>
          <w:rFonts w:hint="eastAsia" w:ascii="宋体" w:hAnsi="宋体" w:cs="宋体"/>
          <w:bCs/>
          <w:color w:val="auto"/>
          <w:sz w:val="24"/>
          <w:szCs w:val="21"/>
          <w:highlight w:val="none"/>
        </w:rPr>
      </w:pPr>
      <w:r>
        <w:rPr>
          <w:rFonts w:hint="eastAsia" w:ascii="宋体" w:hAnsi="宋体" w:cs="宋体"/>
          <w:bCs/>
          <w:color w:val="auto"/>
          <w:sz w:val="24"/>
          <w:szCs w:val="21"/>
          <w:highlight w:val="none"/>
        </w:rPr>
        <w:t>致：______________(</w:t>
      </w:r>
      <w:r>
        <w:rPr>
          <w:rFonts w:hint="eastAsia" w:ascii="宋体" w:hAnsi="宋体" w:cs="宋体"/>
          <w:bCs/>
          <w:color w:val="auto"/>
          <w:sz w:val="24"/>
          <w:szCs w:val="21"/>
          <w:highlight w:val="none"/>
          <w:lang w:eastAsia="zh-CN"/>
        </w:rPr>
        <w:t>发包人</w:t>
      </w:r>
      <w:r>
        <w:rPr>
          <w:rFonts w:hint="eastAsia" w:ascii="宋体" w:hAnsi="宋体" w:cs="宋体"/>
          <w:bCs/>
          <w:color w:val="auto"/>
          <w:sz w:val="24"/>
          <w:szCs w:val="21"/>
          <w:highlight w:val="none"/>
        </w:rPr>
        <w:t>名称)</w:t>
      </w:r>
    </w:p>
    <w:p w14:paraId="5D902F14">
      <w:pPr>
        <w:shd w:val="clear"/>
        <w:adjustRightInd w:val="0"/>
        <w:snapToGrid w:val="0"/>
        <w:spacing w:line="360" w:lineRule="auto"/>
        <w:ind w:firstLine="480" w:firstLineChars="200"/>
        <w:rPr>
          <w:rFonts w:hint="eastAsia" w:ascii="宋体" w:hAnsi="宋体" w:cs="宋体"/>
          <w:bCs/>
          <w:color w:val="auto"/>
          <w:sz w:val="24"/>
          <w:szCs w:val="21"/>
          <w:highlight w:val="none"/>
        </w:rPr>
      </w:pPr>
      <w:r>
        <w:rPr>
          <w:rFonts w:hint="eastAsia" w:ascii="宋体" w:hAnsi="宋体" w:cs="宋体"/>
          <w:bCs/>
          <w:color w:val="auto"/>
          <w:sz w:val="24"/>
          <w:szCs w:val="21"/>
          <w:highlight w:val="none"/>
        </w:rPr>
        <w:t>本人作为拟委任的施工项目经理，承担相关质量终身责任，现郑重承诺如下：</w:t>
      </w:r>
    </w:p>
    <w:p w14:paraId="466A2189">
      <w:pPr>
        <w:shd w:val="clear"/>
        <w:adjustRightInd w:val="0"/>
        <w:snapToGrid w:val="0"/>
        <w:spacing w:line="360" w:lineRule="auto"/>
        <w:ind w:firstLine="480" w:firstLineChars="200"/>
        <w:rPr>
          <w:rFonts w:hint="eastAsia" w:ascii="宋体" w:hAnsi="宋体" w:cs="宋体"/>
          <w:bCs/>
          <w:color w:val="auto"/>
          <w:sz w:val="24"/>
          <w:szCs w:val="21"/>
          <w:highlight w:val="none"/>
        </w:rPr>
      </w:pPr>
      <w:r>
        <w:rPr>
          <w:rFonts w:hint="eastAsia" w:ascii="宋体" w:hAnsi="宋体" w:cs="宋体"/>
          <w:bCs/>
          <w:color w:val="auto"/>
          <w:sz w:val="24"/>
          <w:szCs w:val="21"/>
          <w:highlight w:val="none"/>
        </w:rPr>
        <w:t>一、在取得施工许可证后进行施工。</w:t>
      </w:r>
    </w:p>
    <w:p w14:paraId="4A015D92">
      <w:pPr>
        <w:shd w:val="clear"/>
        <w:adjustRightInd w:val="0"/>
        <w:snapToGrid w:val="0"/>
        <w:spacing w:line="360" w:lineRule="auto"/>
        <w:ind w:firstLine="480" w:firstLineChars="200"/>
        <w:rPr>
          <w:rFonts w:hint="eastAsia" w:ascii="宋体" w:hAnsi="宋体" w:cs="宋体"/>
          <w:bCs/>
          <w:color w:val="auto"/>
          <w:sz w:val="24"/>
          <w:szCs w:val="21"/>
          <w:highlight w:val="none"/>
        </w:rPr>
      </w:pPr>
      <w:r>
        <w:rPr>
          <w:rFonts w:hint="eastAsia" w:ascii="宋体" w:hAnsi="宋体" w:cs="宋体"/>
          <w:bCs/>
          <w:color w:val="auto"/>
          <w:sz w:val="24"/>
          <w:szCs w:val="21"/>
          <w:highlight w:val="none"/>
        </w:rPr>
        <w:t>二、严格执行施工规范及标准。</w:t>
      </w:r>
    </w:p>
    <w:p w14:paraId="6551D752">
      <w:pPr>
        <w:shd w:val="clear"/>
        <w:adjustRightInd w:val="0"/>
        <w:snapToGrid w:val="0"/>
        <w:spacing w:line="360" w:lineRule="auto"/>
        <w:ind w:firstLine="480" w:firstLineChars="200"/>
        <w:rPr>
          <w:rFonts w:hint="eastAsia" w:ascii="宋体" w:hAnsi="宋体" w:cs="宋体"/>
          <w:bCs/>
          <w:color w:val="auto"/>
          <w:sz w:val="24"/>
          <w:szCs w:val="21"/>
          <w:highlight w:val="none"/>
        </w:rPr>
      </w:pPr>
      <w:r>
        <w:rPr>
          <w:rFonts w:hint="eastAsia" w:ascii="宋体" w:hAnsi="宋体" w:cs="宋体"/>
          <w:bCs/>
          <w:color w:val="auto"/>
          <w:sz w:val="24"/>
          <w:szCs w:val="21"/>
          <w:highlight w:val="none"/>
        </w:rPr>
        <w:t>三、严格按规定配备施工项目部关键岗位人员，并确保所有人员到岗履职。</w:t>
      </w:r>
    </w:p>
    <w:p w14:paraId="1536DD29">
      <w:pPr>
        <w:shd w:val="clear"/>
        <w:adjustRightInd w:val="0"/>
        <w:snapToGrid w:val="0"/>
        <w:spacing w:line="360" w:lineRule="auto"/>
        <w:ind w:firstLine="480" w:firstLineChars="200"/>
        <w:rPr>
          <w:rFonts w:hint="eastAsia" w:ascii="宋体" w:hAnsi="宋体" w:cs="宋体"/>
          <w:bCs/>
          <w:color w:val="auto"/>
          <w:sz w:val="24"/>
          <w:szCs w:val="21"/>
          <w:highlight w:val="none"/>
        </w:rPr>
      </w:pPr>
      <w:r>
        <w:rPr>
          <w:rFonts w:hint="eastAsia" w:ascii="宋体" w:hAnsi="宋体" w:cs="宋体"/>
          <w:bCs/>
          <w:color w:val="auto"/>
          <w:sz w:val="24"/>
          <w:szCs w:val="21"/>
          <w:highlight w:val="none"/>
        </w:rPr>
        <w:t>四、严格按照经施工图审查机构审查合格的工程设计文件及合同约定的质量标准精心组织施工。</w:t>
      </w:r>
    </w:p>
    <w:p w14:paraId="7C1BC188">
      <w:pPr>
        <w:shd w:val="clear"/>
        <w:adjustRightInd w:val="0"/>
        <w:snapToGrid w:val="0"/>
        <w:spacing w:line="360" w:lineRule="auto"/>
        <w:ind w:firstLine="480" w:firstLineChars="200"/>
        <w:rPr>
          <w:rFonts w:hint="eastAsia" w:ascii="宋体" w:hAnsi="宋体" w:cs="宋体"/>
          <w:bCs/>
          <w:color w:val="auto"/>
          <w:sz w:val="24"/>
          <w:szCs w:val="21"/>
          <w:highlight w:val="none"/>
        </w:rPr>
      </w:pPr>
      <w:r>
        <w:rPr>
          <w:rFonts w:hint="eastAsia" w:ascii="宋体" w:hAnsi="宋体" w:cs="宋体"/>
          <w:bCs/>
          <w:color w:val="auto"/>
          <w:sz w:val="24"/>
          <w:szCs w:val="21"/>
          <w:highlight w:val="none"/>
        </w:rPr>
        <w:t>五、施工中采用合格的建筑材料、建筑构配件和设备等，并严格按规定执行见证取样制度。</w:t>
      </w:r>
    </w:p>
    <w:p w14:paraId="6A739B90">
      <w:pPr>
        <w:shd w:val="clear"/>
        <w:adjustRightInd w:val="0"/>
        <w:snapToGrid w:val="0"/>
        <w:spacing w:line="360" w:lineRule="auto"/>
        <w:ind w:firstLine="480" w:firstLineChars="200"/>
        <w:rPr>
          <w:rFonts w:hint="eastAsia" w:ascii="宋体" w:hAnsi="宋体" w:cs="宋体"/>
          <w:bCs/>
          <w:color w:val="auto"/>
          <w:sz w:val="24"/>
          <w:szCs w:val="21"/>
          <w:highlight w:val="none"/>
        </w:rPr>
      </w:pPr>
      <w:r>
        <w:rPr>
          <w:rFonts w:hint="eastAsia" w:ascii="宋体" w:hAnsi="宋体" w:cs="宋体"/>
          <w:bCs/>
          <w:color w:val="auto"/>
          <w:sz w:val="24"/>
          <w:szCs w:val="21"/>
          <w:highlight w:val="none"/>
        </w:rPr>
        <w:t>六、建立、健全质量检查、验收制度，严格工序管理，做好隐蔽工程质量的检查和记录。</w:t>
      </w:r>
    </w:p>
    <w:p w14:paraId="63134E09">
      <w:pPr>
        <w:shd w:val="clear"/>
        <w:adjustRightInd w:val="0"/>
        <w:snapToGrid w:val="0"/>
        <w:spacing w:line="360" w:lineRule="auto"/>
        <w:ind w:firstLine="480" w:firstLineChars="200"/>
        <w:rPr>
          <w:rFonts w:hint="eastAsia" w:ascii="宋体" w:hAnsi="宋体" w:cs="宋体"/>
          <w:bCs/>
          <w:color w:val="auto"/>
          <w:sz w:val="24"/>
          <w:szCs w:val="21"/>
          <w:highlight w:val="none"/>
        </w:rPr>
      </w:pPr>
      <w:r>
        <w:rPr>
          <w:rFonts w:hint="eastAsia" w:ascii="宋体" w:hAnsi="宋体" w:cs="宋体"/>
          <w:bCs/>
          <w:color w:val="auto"/>
          <w:sz w:val="24"/>
          <w:szCs w:val="21"/>
          <w:highlight w:val="none"/>
        </w:rPr>
        <w:t>七、对施工中出现的质量问题，及时进行整改。严格依法依规履行义务。</w:t>
      </w:r>
    </w:p>
    <w:p w14:paraId="427B4FCB">
      <w:pPr>
        <w:shd w:val="clear"/>
        <w:adjustRightInd w:val="0"/>
        <w:snapToGrid w:val="0"/>
        <w:spacing w:line="360" w:lineRule="auto"/>
        <w:ind w:firstLine="480" w:firstLineChars="200"/>
        <w:rPr>
          <w:rFonts w:hint="eastAsia" w:ascii="宋体" w:hAnsi="宋体" w:cs="宋体"/>
          <w:bCs/>
          <w:color w:val="auto"/>
          <w:sz w:val="24"/>
          <w:szCs w:val="21"/>
          <w:highlight w:val="none"/>
        </w:rPr>
      </w:pPr>
      <w:r>
        <w:rPr>
          <w:rFonts w:hint="eastAsia" w:ascii="宋体" w:hAnsi="宋体" w:cs="宋体"/>
          <w:bCs/>
          <w:color w:val="auto"/>
          <w:sz w:val="24"/>
          <w:szCs w:val="21"/>
          <w:highlight w:val="none"/>
        </w:rPr>
        <w:t>八、履行相关工程质量检查、验收及事故处理等职责。</w:t>
      </w:r>
    </w:p>
    <w:p w14:paraId="0D86C6A3">
      <w:pPr>
        <w:shd w:val="clear"/>
        <w:adjustRightInd w:val="0"/>
        <w:snapToGrid w:val="0"/>
        <w:spacing w:line="360" w:lineRule="auto"/>
        <w:ind w:firstLine="480" w:firstLineChars="200"/>
        <w:rPr>
          <w:rFonts w:hint="eastAsia" w:ascii="宋体" w:hAnsi="宋体" w:cs="宋体"/>
          <w:bCs/>
          <w:color w:val="auto"/>
          <w:sz w:val="24"/>
          <w:szCs w:val="21"/>
          <w:highlight w:val="none"/>
        </w:rPr>
      </w:pPr>
      <w:r>
        <w:rPr>
          <w:rFonts w:hint="eastAsia" w:ascii="宋体" w:hAnsi="宋体" w:cs="宋体"/>
          <w:bCs/>
          <w:color w:val="auto"/>
          <w:sz w:val="24"/>
          <w:szCs w:val="21"/>
          <w:highlight w:val="none"/>
        </w:rPr>
        <w:t>九、履行其他法律法规规定的职责。</w:t>
      </w:r>
    </w:p>
    <w:p w14:paraId="24467FFE">
      <w:pPr>
        <w:shd w:val="clear"/>
        <w:spacing w:line="360" w:lineRule="auto"/>
        <w:ind w:left="359" w:leftChars="171" w:firstLine="720" w:firstLineChars="300"/>
        <w:rPr>
          <w:rFonts w:hint="eastAsia" w:ascii="宋体" w:hAnsi="宋体" w:cs="宋体"/>
          <w:bCs/>
          <w:color w:val="auto"/>
          <w:sz w:val="24"/>
          <w:szCs w:val="21"/>
          <w:highlight w:val="none"/>
        </w:rPr>
      </w:pPr>
    </w:p>
    <w:p w14:paraId="56767B94">
      <w:pPr>
        <w:shd w:val="clear"/>
        <w:spacing w:line="360" w:lineRule="auto"/>
        <w:ind w:left="359" w:leftChars="171" w:firstLine="720" w:firstLineChars="300"/>
        <w:rPr>
          <w:rFonts w:hint="eastAsia" w:ascii="宋体" w:hAnsi="宋体" w:cs="宋体"/>
          <w:bCs/>
          <w:color w:val="auto"/>
          <w:sz w:val="24"/>
          <w:szCs w:val="21"/>
          <w:highlight w:val="none"/>
        </w:rPr>
      </w:pPr>
    </w:p>
    <w:p w14:paraId="0FAC4805">
      <w:pPr>
        <w:shd w:val="clear"/>
        <w:spacing w:line="360" w:lineRule="auto"/>
        <w:ind w:left="359" w:leftChars="171" w:firstLine="720" w:firstLineChars="300"/>
        <w:rPr>
          <w:rFonts w:hint="eastAsia" w:ascii="宋体" w:hAnsi="宋体" w:cs="宋体"/>
          <w:bCs/>
          <w:color w:val="auto"/>
          <w:sz w:val="24"/>
          <w:szCs w:val="21"/>
          <w:highlight w:val="none"/>
        </w:rPr>
      </w:pPr>
      <w:r>
        <w:rPr>
          <w:rFonts w:hint="eastAsia" w:ascii="宋体" w:hAnsi="宋体" w:cs="宋体"/>
          <w:bCs/>
          <w:color w:val="auto"/>
          <w:sz w:val="24"/>
          <w:szCs w:val="21"/>
          <w:highlight w:val="none"/>
        </w:rPr>
        <w:t>项目经理：</w:t>
      </w:r>
      <w:r>
        <w:rPr>
          <w:rFonts w:hint="eastAsia" w:ascii="宋体" w:hAnsi="宋体" w:cs="宋体"/>
          <w:bCs/>
          <w:color w:val="auto"/>
          <w:sz w:val="24"/>
          <w:szCs w:val="21"/>
          <w:highlight w:val="none"/>
          <w:u w:val="single"/>
        </w:rPr>
        <w:t xml:space="preserve">                   </w:t>
      </w:r>
      <w:r>
        <w:rPr>
          <w:rFonts w:hint="eastAsia" w:ascii="宋体" w:hAnsi="宋体" w:cs="宋体"/>
          <w:bCs/>
          <w:color w:val="auto"/>
          <w:sz w:val="24"/>
          <w:szCs w:val="21"/>
          <w:highlight w:val="none"/>
        </w:rPr>
        <w:t>（签字）</w:t>
      </w:r>
    </w:p>
    <w:p w14:paraId="5BC7FAD9">
      <w:pPr>
        <w:shd w:val="clear"/>
        <w:spacing w:line="360" w:lineRule="auto"/>
        <w:ind w:left="359" w:leftChars="171" w:firstLine="720" w:firstLineChars="300"/>
        <w:rPr>
          <w:rFonts w:hint="eastAsia" w:ascii="宋体" w:hAnsi="宋体" w:cs="宋体"/>
          <w:bCs/>
          <w:color w:val="auto"/>
          <w:sz w:val="24"/>
          <w:szCs w:val="21"/>
          <w:highlight w:val="none"/>
        </w:rPr>
      </w:pPr>
      <w:r>
        <w:rPr>
          <w:rFonts w:hint="eastAsia" w:ascii="宋体" w:hAnsi="宋体" w:cs="宋体"/>
          <w:bCs/>
          <w:color w:val="auto"/>
          <w:sz w:val="24"/>
          <w:szCs w:val="21"/>
          <w:highlight w:val="none"/>
        </w:rPr>
        <w:t>日期：_____年____月____日</w:t>
      </w:r>
    </w:p>
    <w:p w14:paraId="0745656F">
      <w:pPr>
        <w:rPr>
          <w:highlight w:val="none"/>
        </w:rPr>
      </w:pPr>
    </w:p>
    <w:p w14:paraId="6DDA8736">
      <w:pPr>
        <w:rPr>
          <w:highlight w:val="none"/>
        </w:rPr>
      </w:pPr>
    </w:p>
    <w:p w14:paraId="7CBF4516">
      <w:pPr>
        <w:spacing w:line="360" w:lineRule="auto"/>
        <w:jc w:val="center"/>
        <w:rPr>
          <w:rFonts w:ascii="仿宋_GB2312" w:eastAsia="仿宋_GB2312"/>
          <w:b/>
          <w:sz w:val="28"/>
          <w:szCs w:val="28"/>
          <w:highlight w:val="none"/>
        </w:rPr>
      </w:pPr>
    </w:p>
    <w:p w14:paraId="6658E593">
      <w:pPr>
        <w:rPr>
          <w:rFonts w:hint="eastAsia"/>
          <w:highlight w:val="none"/>
        </w:rPr>
      </w:pPr>
    </w:p>
    <w:bookmarkEnd w:id="853"/>
    <w:bookmarkEnd w:id="854"/>
    <w:bookmarkEnd w:id="855"/>
    <w:bookmarkEnd w:id="856"/>
    <w:p w14:paraId="0C2CCCBA">
      <w:pPr>
        <w:rPr>
          <w:rFonts w:hint="eastAsia" w:ascii="宋体" w:hAnsi="宋体" w:cs="宋体"/>
          <w:b/>
          <w:color w:val="000000"/>
          <w:highlight w:val="none"/>
        </w:rPr>
      </w:pPr>
      <w:bookmarkStart w:id="998" w:name="_Toc324404888"/>
      <w:bookmarkStart w:id="999" w:name="_Toc246997097"/>
      <w:bookmarkStart w:id="1000" w:name="_Toc506107340"/>
      <w:bookmarkStart w:id="1001" w:name="_Toc179632806"/>
      <w:bookmarkStart w:id="1002" w:name="_Toc144974855"/>
      <w:bookmarkStart w:id="1003" w:name="_Toc152045786"/>
      <w:bookmarkStart w:id="1004" w:name="_Toc152042575"/>
      <w:bookmarkStart w:id="1005" w:name="_Toc35425136"/>
      <w:bookmarkStart w:id="1006" w:name="_Toc15058934"/>
      <w:bookmarkStart w:id="1007" w:name="_Toc78803398"/>
      <w:bookmarkStart w:id="1008" w:name="_Toc35424970"/>
      <w:bookmarkStart w:id="1009" w:name="_Toc247085872"/>
      <w:bookmarkStart w:id="1010" w:name="_Toc246996354"/>
    </w:p>
    <w:p w14:paraId="6D943194">
      <w:pPr>
        <w:rPr>
          <w:rFonts w:hint="eastAsia" w:eastAsia="宋体" w:cs="Times New Roman"/>
          <w:bCs/>
          <w:szCs w:val="32"/>
          <w:highlight w:val="none"/>
        </w:rPr>
      </w:pPr>
      <w:bookmarkStart w:id="1011" w:name="_Toc95223522"/>
      <w:r>
        <w:rPr>
          <w:rFonts w:hint="eastAsia" w:eastAsia="宋体" w:cs="Times New Roman"/>
          <w:bCs/>
          <w:szCs w:val="32"/>
          <w:highlight w:val="none"/>
        </w:rPr>
        <w:br w:type="page"/>
      </w:r>
    </w:p>
    <w:p w14:paraId="3697C1D4">
      <w:pPr>
        <w:keepNext/>
        <w:keepLines/>
        <w:shd w:val="clear"/>
        <w:spacing w:before="120" w:after="120" w:line="360" w:lineRule="auto"/>
        <w:jc w:val="left"/>
        <w:outlineLvl w:val="2"/>
        <w:rPr>
          <w:rFonts w:hint="default" w:ascii="宋体" w:hAnsi="宋体" w:eastAsia="宋体" w:cs="宋体"/>
          <w:bCs/>
          <w:color w:val="auto"/>
          <w:sz w:val="24"/>
          <w:highlight w:val="none"/>
          <w:lang w:val="en-US" w:eastAsia="zh-CN"/>
        </w:rPr>
      </w:pPr>
      <w:r>
        <w:rPr>
          <w:rFonts w:hint="eastAsia" w:ascii="宋体" w:hAnsi="宋体" w:eastAsia="宋体" w:cs="宋体"/>
          <w:bCs/>
          <w:color w:val="auto"/>
          <w:sz w:val="24"/>
          <w:highlight w:val="none"/>
          <w:lang w:val="en-US" w:eastAsia="zh-CN"/>
        </w:rPr>
        <w:t>附件10：</w:t>
      </w:r>
    </w:p>
    <w:p w14:paraId="36C79AA9">
      <w:pPr>
        <w:spacing w:line="440" w:lineRule="exact"/>
        <w:jc w:val="center"/>
        <w:outlineLvl w:val="0"/>
        <w:rPr>
          <w:rFonts w:ascii="黑体" w:eastAsia="黑体" w:cs="宋体"/>
          <w:b/>
          <w:bCs/>
          <w:color w:val="auto"/>
          <w:sz w:val="30"/>
          <w:szCs w:val="30"/>
          <w:highlight w:val="none"/>
        </w:rPr>
      </w:pPr>
      <w:r>
        <w:rPr>
          <w:rFonts w:hint="eastAsia" w:ascii="黑体" w:eastAsia="黑体" w:cs="宋体"/>
          <w:b/>
          <w:bCs/>
          <w:color w:val="auto"/>
          <w:sz w:val="30"/>
          <w:szCs w:val="30"/>
          <w:highlight w:val="none"/>
        </w:rPr>
        <w:t>廉政建设责任书</w:t>
      </w:r>
    </w:p>
    <w:p w14:paraId="7509926B">
      <w:pPr>
        <w:rPr>
          <w:color w:val="auto"/>
          <w:highlight w:val="none"/>
        </w:rPr>
      </w:pPr>
    </w:p>
    <w:p w14:paraId="0D267548">
      <w:pPr>
        <w:snapToGrid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建设责任书。</w:t>
      </w:r>
    </w:p>
    <w:p w14:paraId="30F4BDDC">
      <w:pPr>
        <w:snapToGrid w:val="0"/>
        <w:spacing w:line="360" w:lineRule="auto"/>
        <w:ind w:firstLine="422" w:firstLineChars="200"/>
        <w:rPr>
          <w:rFonts w:ascii="宋体" w:cs="宋体"/>
          <w:b/>
          <w:bCs/>
          <w:color w:val="auto"/>
          <w:szCs w:val="21"/>
          <w:highlight w:val="none"/>
        </w:rPr>
      </w:pPr>
      <w:r>
        <w:rPr>
          <w:rFonts w:hint="eastAsia" w:ascii="宋体" w:hAnsi="宋体" w:cs="宋体"/>
          <w:b/>
          <w:bCs/>
          <w:color w:val="auto"/>
          <w:szCs w:val="21"/>
          <w:highlight w:val="none"/>
        </w:rPr>
        <w:t>一、双方的责任</w:t>
      </w:r>
    </w:p>
    <w:p w14:paraId="76B9A5DE">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1.1</w:t>
      </w:r>
      <w:r>
        <w:rPr>
          <w:rFonts w:hint="eastAsia" w:ascii="宋体" w:hAnsi="宋体" w:cs="宋体"/>
          <w:color w:val="auto"/>
          <w:szCs w:val="21"/>
          <w:highlight w:val="none"/>
        </w:rPr>
        <w:t>应严格遵守国家关于建设工程的有关法律、法规，相关政策，以及廉政建设的各项规定。</w:t>
      </w:r>
    </w:p>
    <w:p w14:paraId="29D0BF46">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1.2</w:t>
      </w:r>
      <w:r>
        <w:rPr>
          <w:rFonts w:hint="eastAsia" w:ascii="宋体" w:hAnsi="宋体" w:cs="宋体"/>
          <w:color w:val="auto"/>
          <w:szCs w:val="21"/>
          <w:highlight w:val="none"/>
        </w:rPr>
        <w:t>严格执行建设工程合同文件，自觉按合同办事。</w:t>
      </w:r>
    </w:p>
    <w:p w14:paraId="486F921B">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1.3</w:t>
      </w:r>
      <w:r>
        <w:rPr>
          <w:rFonts w:hint="eastAsia" w:ascii="宋体" w:hAnsi="宋体" w:cs="宋体"/>
          <w:color w:val="auto"/>
          <w:szCs w:val="21"/>
          <w:highlight w:val="none"/>
        </w:rPr>
        <w:t>各项活动必须坚持公开、公平、公正、诚信、透明的原则</w:t>
      </w:r>
      <w:r>
        <w:rPr>
          <w:rFonts w:ascii="宋体" w:hAnsi="宋体" w:cs="宋体"/>
          <w:color w:val="auto"/>
          <w:szCs w:val="21"/>
          <w:highlight w:val="none"/>
        </w:rPr>
        <w:t>(</w:t>
      </w:r>
      <w:r>
        <w:rPr>
          <w:rFonts w:hint="eastAsia" w:ascii="宋体" w:hAnsi="宋体" w:cs="宋体"/>
          <w:color w:val="auto"/>
          <w:szCs w:val="21"/>
          <w:highlight w:val="none"/>
        </w:rPr>
        <w:t>除法律法规另有规定者外</w:t>
      </w:r>
      <w:r>
        <w:rPr>
          <w:rFonts w:ascii="宋体" w:hAnsi="宋体" w:cs="宋体"/>
          <w:color w:val="auto"/>
          <w:szCs w:val="21"/>
          <w:highlight w:val="none"/>
        </w:rPr>
        <w:t>)</w:t>
      </w:r>
      <w:r>
        <w:rPr>
          <w:rFonts w:hint="eastAsia" w:ascii="宋体" w:hAnsi="宋体" w:cs="宋体"/>
          <w:color w:val="auto"/>
          <w:szCs w:val="21"/>
          <w:highlight w:val="none"/>
        </w:rPr>
        <w:t>，不得为获取不正当的利益，损害国家、集体和对方利益，不得违反建设工程管理的规章制度。</w:t>
      </w:r>
    </w:p>
    <w:p w14:paraId="677AF8FC">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1.4</w:t>
      </w:r>
      <w:r>
        <w:rPr>
          <w:rFonts w:hint="eastAsia" w:ascii="宋体" w:hAnsi="宋体" w:cs="宋体"/>
          <w:color w:val="auto"/>
          <w:szCs w:val="21"/>
          <w:highlight w:val="none"/>
        </w:rPr>
        <w:t>发现对方在业务活动中有违规、违纪、违法行为的，应及时提醒对方，情节严重的，应向其上级主管部门或纪检监察、司法等有关机关举报。</w:t>
      </w:r>
    </w:p>
    <w:p w14:paraId="159D1B78">
      <w:pPr>
        <w:snapToGrid w:val="0"/>
        <w:spacing w:line="360" w:lineRule="auto"/>
        <w:ind w:firstLine="422" w:firstLineChars="200"/>
        <w:rPr>
          <w:rFonts w:ascii="宋体" w:cs="宋体"/>
          <w:b/>
          <w:bCs/>
          <w:color w:val="auto"/>
          <w:szCs w:val="21"/>
          <w:highlight w:val="none"/>
        </w:rPr>
      </w:pPr>
      <w:r>
        <w:rPr>
          <w:rFonts w:hint="eastAsia" w:ascii="宋体" w:hAnsi="宋体" w:cs="宋体"/>
          <w:b/>
          <w:bCs/>
          <w:color w:val="auto"/>
          <w:szCs w:val="21"/>
          <w:highlight w:val="none"/>
        </w:rPr>
        <w:t>二、发包人责任</w:t>
      </w:r>
    </w:p>
    <w:p w14:paraId="650F5C8A">
      <w:pPr>
        <w:snapToGrid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发包人从事该建设工程项目的负责人和工作人员，在工程建设的事前、事中、事后应遵守以下规定：</w:t>
      </w:r>
    </w:p>
    <w:p w14:paraId="56524EB0">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2.1</w:t>
      </w:r>
      <w:r>
        <w:rPr>
          <w:rFonts w:hint="eastAsia" w:ascii="宋体" w:hAnsi="宋体" w:cs="宋体"/>
          <w:color w:val="auto"/>
          <w:szCs w:val="21"/>
          <w:highlight w:val="none"/>
        </w:rPr>
        <w:t>不得向承包人和相关单位索要或接受回扣、礼金、有价证券、贵重物品和好处费、感谢费等。</w:t>
      </w:r>
    </w:p>
    <w:p w14:paraId="1A951905">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2.2</w:t>
      </w:r>
      <w:r>
        <w:rPr>
          <w:rFonts w:hint="eastAsia" w:ascii="宋体" w:hAnsi="宋体" w:cs="宋体"/>
          <w:color w:val="auto"/>
          <w:szCs w:val="21"/>
          <w:highlight w:val="none"/>
        </w:rPr>
        <w:t>不得在承包人和相关单位报销任何应由发包人或个人支付的费用。</w:t>
      </w:r>
    </w:p>
    <w:p w14:paraId="6FC2BDC1">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2.3</w:t>
      </w:r>
      <w:r>
        <w:rPr>
          <w:rFonts w:hint="eastAsia" w:ascii="宋体" w:hAnsi="宋体" w:cs="宋体"/>
          <w:color w:val="auto"/>
          <w:szCs w:val="21"/>
          <w:highlight w:val="none"/>
        </w:rPr>
        <w:t>不得要求、暗示或接受承包人和相关单位为个人装修住房、婚丧嫁娶、配偶子女的工作安排以及出国</w:t>
      </w:r>
      <w:r>
        <w:rPr>
          <w:rFonts w:ascii="宋体" w:hAnsi="宋体" w:cs="宋体"/>
          <w:color w:val="auto"/>
          <w:szCs w:val="21"/>
          <w:highlight w:val="none"/>
        </w:rPr>
        <w:t>(</w:t>
      </w:r>
      <w:r>
        <w:rPr>
          <w:rFonts w:hint="eastAsia" w:ascii="宋体" w:hAnsi="宋体" w:cs="宋体"/>
          <w:color w:val="auto"/>
          <w:szCs w:val="21"/>
          <w:highlight w:val="none"/>
        </w:rPr>
        <w:t>境</w:t>
      </w:r>
      <w:r>
        <w:rPr>
          <w:rFonts w:ascii="宋体" w:hAnsi="宋体" w:cs="宋体"/>
          <w:color w:val="auto"/>
          <w:szCs w:val="21"/>
          <w:highlight w:val="none"/>
        </w:rPr>
        <w:t>)</w:t>
      </w:r>
      <w:r>
        <w:rPr>
          <w:rFonts w:hint="eastAsia" w:ascii="宋体" w:hAnsi="宋体" w:cs="宋体"/>
          <w:color w:val="auto"/>
          <w:szCs w:val="21"/>
          <w:highlight w:val="none"/>
        </w:rPr>
        <w:t>、旅游等提供方便。</w:t>
      </w:r>
    </w:p>
    <w:p w14:paraId="267EBDF5">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2.4</w:t>
      </w:r>
      <w:r>
        <w:rPr>
          <w:rFonts w:hint="eastAsia" w:ascii="宋体" w:hAnsi="宋体" w:cs="宋体"/>
          <w:color w:val="auto"/>
          <w:szCs w:val="21"/>
          <w:highlight w:val="none"/>
        </w:rPr>
        <w:t>不得参加有可能影响公正执行公务的承包人和相关单位的宴请、健身、娱乐等活动。</w:t>
      </w:r>
    </w:p>
    <w:p w14:paraId="6A0973C3">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2.5</w:t>
      </w:r>
      <w:r>
        <w:rPr>
          <w:rFonts w:hint="eastAsia" w:ascii="宋体" w:hAnsi="宋体" w:cs="宋体"/>
          <w:color w:val="auto"/>
          <w:szCs w:val="21"/>
          <w:highlight w:val="none"/>
        </w:rPr>
        <w:t>不得向承包人和相关单位介绍或为配偶、子女、亲属参与同发包人工程建设管理合同有关的业务活动；不得以任何理由要求承包人和相关单位使用某种产品、材料和设备。</w:t>
      </w:r>
    </w:p>
    <w:p w14:paraId="13FD31F5">
      <w:pPr>
        <w:snapToGrid w:val="0"/>
        <w:spacing w:line="360" w:lineRule="auto"/>
        <w:ind w:firstLine="422" w:firstLineChars="200"/>
        <w:rPr>
          <w:rFonts w:ascii="宋体" w:cs="宋体"/>
          <w:b/>
          <w:bCs/>
          <w:color w:val="auto"/>
          <w:szCs w:val="21"/>
          <w:highlight w:val="none"/>
        </w:rPr>
      </w:pPr>
      <w:r>
        <w:rPr>
          <w:rFonts w:hint="eastAsia" w:ascii="宋体" w:hAnsi="宋体" w:cs="宋体"/>
          <w:b/>
          <w:bCs/>
          <w:color w:val="auto"/>
          <w:szCs w:val="21"/>
          <w:highlight w:val="none"/>
        </w:rPr>
        <w:t>三、承包人责任</w:t>
      </w:r>
    </w:p>
    <w:p w14:paraId="4883CD99">
      <w:pPr>
        <w:snapToGrid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应与发包人保持正常的业务交往，按照有关法律法规和程序开展业务工作，严格执行工程建设的有关方针、政策，执行工程建设强制性标准，并遵守以下规定：</w:t>
      </w:r>
    </w:p>
    <w:p w14:paraId="695B79EE">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3.1</w:t>
      </w:r>
      <w:r>
        <w:rPr>
          <w:rFonts w:hint="eastAsia" w:ascii="宋体" w:hAnsi="宋体" w:cs="宋体"/>
          <w:color w:val="auto"/>
          <w:szCs w:val="21"/>
          <w:highlight w:val="none"/>
        </w:rPr>
        <w:t>不得以任何理由向发包人及其工作人员索要、接受或赠送礼金、有价证券、贵重物品及回扣、好处费、感谢费等。</w:t>
      </w:r>
    </w:p>
    <w:p w14:paraId="212A8E50">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rPr>
        <w:t>不得以任何理由为发包人和相关单位报销应由对方或个人支付的费用。</w:t>
      </w:r>
    </w:p>
    <w:p w14:paraId="13B9C9CE">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3.3</w:t>
      </w:r>
      <w:r>
        <w:rPr>
          <w:rFonts w:hint="eastAsia" w:ascii="宋体" w:hAnsi="宋体" w:cs="宋体"/>
          <w:color w:val="auto"/>
          <w:szCs w:val="21"/>
          <w:highlight w:val="none"/>
        </w:rPr>
        <w:t>不得接受或暗示为发包人、相关单位或个人装修住房、婚丧嫁娶、配偶子女的工作安排以及出国</w:t>
      </w:r>
      <w:r>
        <w:rPr>
          <w:rFonts w:ascii="宋体" w:hAnsi="宋体" w:cs="宋体"/>
          <w:color w:val="auto"/>
          <w:szCs w:val="21"/>
          <w:highlight w:val="none"/>
        </w:rPr>
        <w:t>(</w:t>
      </w:r>
      <w:r>
        <w:rPr>
          <w:rFonts w:hint="eastAsia" w:ascii="宋体" w:hAnsi="宋体" w:cs="宋体"/>
          <w:color w:val="auto"/>
          <w:szCs w:val="21"/>
          <w:highlight w:val="none"/>
        </w:rPr>
        <w:t>境</w:t>
      </w:r>
      <w:r>
        <w:rPr>
          <w:rFonts w:ascii="宋体" w:hAnsi="宋体" w:cs="宋体"/>
          <w:color w:val="auto"/>
          <w:szCs w:val="21"/>
          <w:highlight w:val="none"/>
        </w:rPr>
        <w:t>)</w:t>
      </w:r>
      <w:r>
        <w:rPr>
          <w:rFonts w:hint="eastAsia" w:ascii="宋体" w:hAnsi="宋体" w:cs="宋体"/>
          <w:color w:val="auto"/>
          <w:szCs w:val="21"/>
          <w:highlight w:val="none"/>
        </w:rPr>
        <w:t>、旅游等提供方便。</w:t>
      </w:r>
    </w:p>
    <w:p w14:paraId="5CFEFDCD">
      <w:pPr>
        <w:snapToGrid w:val="0"/>
        <w:spacing w:line="360" w:lineRule="auto"/>
        <w:ind w:firstLine="420" w:firstLineChars="200"/>
        <w:rPr>
          <w:rFonts w:ascii="宋体" w:cs="宋体"/>
          <w:b/>
          <w:bCs/>
          <w:color w:val="auto"/>
          <w:szCs w:val="21"/>
          <w:highlight w:val="none"/>
        </w:rPr>
      </w:pPr>
      <w:r>
        <w:rPr>
          <w:rFonts w:ascii="宋体" w:hAnsi="宋体" w:cs="宋体"/>
          <w:color w:val="auto"/>
          <w:szCs w:val="21"/>
          <w:highlight w:val="none"/>
        </w:rPr>
        <w:t>3.4</w:t>
      </w:r>
      <w:r>
        <w:rPr>
          <w:rFonts w:hint="eastAsia" w:ascii="宋体" w:hAnsi="宋体" w:cs="宋体"/>
          <w:color w:val="auto"/>
          <w:szCs w:val="21"/>
          <w:highlight w:val="none"/>
        </w:rPr>
        <w:t>不得以任何理由为发包人、相关单位或个人组织有可能影响公正执行公务的宴请、健身、娱乐等活动。</w:t>
      </w:r>
    </w:p>
    <w:p w14:paraId="7EE36A15">
      <w:pPr>
        <w:snapToGrid w:val="0"/>
        <w:spacing w:line="360" w:lineRule="auto"/>
        <w:ind w:firstLine="422" w:firstLineChars="200"/>
        <w:rPr>
          <w:rFonts w:ascii="宋体" w:cs="宋体"/>
          <w:b/>
          <w:bCs/>
          <w:color w:val="auto"/>
          <w:szCs w:val="21"/>
          <w:highlight w:val="none"/>
        </w:rPr>
      </w:pPr>
      <w:r>
        <w:rPr>
          <w:rFonts w:hint="eastAsia" w:ascii="宋体" w:hAnsi="宋体" w:cs="宋体"/>
          <w:b/>
          <w:bCs/>
          <w:color w:val="auto"/>
          <w:szCs w:val="21"/>
          <w:highlight w:val="none"/>
        </w:rPr>
        <w:t>四、违约责任</w:t>
      </w:r>
    </w:p>
    <w:p w14:paraId="61504502">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4.1</w:t>
      </w:r>
      <w:r>
        <w:rPr>
          <w:rFonts w:hint="eastAsia" w:ascii="宋体" w:hAnsi="宋体" w:cs="宋体"/>
          <w:color w:val="auto"/>
          <w:szCs w:val="21"/>
          <w:highlight w:val="none"/>
        </w:rPr>
        <w:t>发包人工作人员有违反本责任书第一、二条责任行为的，依据有关法律、法规给予处理；涉嫌犯罪的，移交司法机关追究刑事责任；给承包人单位造成经济损失的，应予以赔偿。</w:t>
      </w:r>
    </w:p>
    <w:p w14:paraId="07159A3B">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4.2</w:t>
      </w:r>
      <w:r>
        <w:rPr>
          <w:rFonts w:hint="eastAsia" w:ascii="宋体" w:hAnsi="宋体" w:cs="宋体"/>
          <w:color w:val="auto"/>
          <w:szCs w:val="21"/>
          <w:highlight w:val="none"/>
        </w:rPr>
        <w:t>承包人工作人员有违反本责任书第一、三条责任行为的，依据有关法律法规处理；涉嫌犯罪的，移交司法机关追究刑事责任；给发包人单位造成经济损失的，应予以赔偿。</w:t>
      </w:r>
    </w:p>
    <w:p w14:paraId="5858C19B">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4.3</w:t>
      </w:r>
      <w:r>
        <w:rPr>
          <w:rFonts w:hint="eastAsia" w:ascii="宋体" w:hAnsi="宋体" w:cs="宋体"/>
          <w:color w:val="auto"/>
          <w:szCs w:val="21"/>
          <w:highlight w:val="none"/>
        </w:rPr>
        <w:t>本责任书作为本合同的组成部分，与本合同具有同等法律效力，经双方签署后立即生效。</w:t>
      </w:r>
    </w:p>
    <w:p w14:paraId="5129F129">
      <w:pPr>
        <w:snapToGrid w:val="0"/>
        <w:spacing w:line="360" w:lineRule="auto"/>
        <w:ind w:firstLine="422" w:firstLineChars="200"/>
        <w:rPr>
          <w:rFonts w:ascii="宋体" w:cs="宋体"/>
          <w:b/>
          <w:bCs/>
          <w:color w:val="auto"/>
          <w:szCs w:val="21"/>
          <w:highlight w:val="none"/>
        </w:rPr>
      </w:pPr>
      <w:r>
        <w:rPr>
          <w:rFonts w:hint="eastAsia" w:ascii="宋体" w:hAnsi="宋体" w:cs="宋体"/>
          <w:b/>
          <w:bCs/>
          <w:color w:val="auto"/>
          <w:szCs w:val="21"/>
          <w:highlight w:val="none"/>
        </w:rPr>
        <w:t>五、责任书有效期</w:t>
      </w:r>
    </w:p>
    <w:p w14:paraId="674F90B3">
      <w:pPr>
        <w:snapToGrid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本责任书的有效期为双方签署之日起至该工程项目竣工验收合格时止。</w:t>
      </w:r>
    </w:p>
    <w:p w14:paraId="69F77DCF">
      <w:pPr>
        <w:snapToGrid w:val="0"/>
        <w:spacing w:line="360" w:lineRule="auto"/>
        <w:ind w:firstLine="422" w:firstLineChars="200"/>
        <w:rPr>
          <w:rFonts w:ascii="宋体" w:cs="宋体"/>
          <w:b/>
          <w:bCs/>
          <w:color w:val="auto"/>
          <w:szCs w:val="21"/>
          <w:highlight w:val="none"/>
        </w:rPr>
      </w:pPr>
      <w:r>
        <w:rPr>
          <w:rFonts w:hint="eastAsia" w:ascii="宋体" w:hAnsi="宋体" w:cs="宋体"/>
          <w:b/>
          <w:bCs/>
          <w:color w:val="auto"/>
          <w:szCs w:val="21"/>
          <w:highlight w:val="none"/>
        </w:rPr>
        <w:t>六、责任书份数</w:t>
      </w:r>
    </w:p>
    <w:p w14:paraId="4B8FCCE4">
      <w:pPr>
        <w:snapToGrid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本责任书一式两份，发包人承包人各执一份，具有同等效力。</w:t>
      </w:r>
    </w:p>
    <w:p w14:paraId="738E58CD">
      <w:pPr>
        <w:pStyle w:val="14"/>
        <w:ind w:left="0" w:leftChars="0" w:firstLine="0" w:firstLineChars="0"/>
        <w:rPr>
          <w:rFonts w:hAnsi="宋体" w:cs="宋体"/>
          <w:color w:val="auto"/>
          <w:szCs w:val="21"/>
          <w:highlight w:val="none"/>
        </w:rPr>
      </w:pPr>
    </w:p>
    <w:p w14:paraId="53D161D2">
      <w:pPr>
        <w:pStyle w:val="14"/>
        <w:spacing w:line="480" w:lineRule="auto"/>
        <w:ind w:left="0" w:leftChars="0" w:firstLine="0" w:firstLineChars="0"/>
        <w:rPr>
          <w:rFonts w:hAnsi="宋体" w:cs="宋体"/>
          <w:color w:val="auto"/>
          <w:szCs w:val="21"/>
          <w:highlight w:val="none"/>
        </w:rPr>
      </w:pPr>
      <w:r>
        <w:rPr>
          <w:rFonts w:hint="eastAsia" w:hAnsi="宋体" w:cs="宋体"/>
          <w:color w:val="auto"/>
          <w:szCs w:val="21"/>
          <w:highlight w:val="none"/>
        </w:rPr>
        <w:t>发包人：（公章）</w:t>
      </w:r>
      <w:r>
        <w:rPr>
          <w:rFonts w:hAnsi="宋体" w:cs="宋体"/>
          <w:color w:val="auto"/>
          <w:szCs w:val="21"/>
          <w:highlight w:val="none"/>
        </w:rPr>
        <w:t xml:space="preserve">                              </w:t>
      </w:r>
      <w:r>
        <w:rPr>
          <w:rFonts w:hint="eastAsia" w:hAnsi="宋体" w:cs="宋体"/>
          <w:color w:val="auto"/>
          <w:szCs w:val="21"/>
          <w:highlight w:val="none"/>
        </w:rPr>
        <w:t>承包人：（公章）</w:t>
      </w:r>
    </w:p>
    <w:p w14:paraId="3CDEBD00">
      <w:pPr>
        <w:pStyle w:val="14"/>
        <w:spacing w:line="480" w:lineRule="auto"/>
        <w:ind w:left="0" w:leftChars="0" w:firstLine="0" w:firstLineChars="0"/>
        <w:rPr>
          <w:rFonts w:hAnsi="宋体" w:cs="宋体"/>
          <w:color w:val="auto"/>
          <w:szCs w:val="21"/>
          <w:highlight w:val="none"/>
        </w:rPr>
      </w:pPr>
      <w:r>
        <w:rPr>
          <w:rFonts w:hint="eastAsia" w:hAnsi="宋体" w:cs="宋体"/>
          <w:color w:val="auto"/>
          <w:szCs w:val="21"/>
          <w:highlight w:val="none"/>
        </w:rPr>
        <w:t>法定代表人或其</w:t>
      </w:r>
      <w:r>
        <w:rPr>
          <w:rFonts w:hAnsi="宋体" w:cs="宋体"/>
          <w:color w:val="auto"/>
          <w:szCs w:val="21"/>
          <w:highlight w:val="none"/>
        </w:rPr>
        <w:t xml:space="preserve">                                </w:t>
      </w:r>
      <w:r>
        <w:rPr>
          <w:rFonts w:hint="eastAsia" w:hAnsi="宋体" w:cs="宋体"/>
          <w:color w:val="auto"/>
          <w:szCs w:val="21"/>
          <w:highlight w:val="none"/>
        </w:rPr>
        <w:t>法定代表人或</w:t>
      </w:r>
    </w:p>
    <w:p w14:paraId="7739CE74">
      <w:pPr>
        <w:pStyle w:val="14"/>
        <w:spacing w:line="480" w:lineRule="auto"/>
        <w:ind w:left="0" w:leftChars="0" w:firstLine="0" w:firstLineChars="0"/>
        <w:rPr>
          <w:rFonts w:hAnsi="宋体" w:cs="宋体"/>
          <w:color w:val="auto"/>
          <w:szCs w:val="21"/>
          <w:highlight w:val="none"/>
        </w:rPr>
      </w:pPr>
      <w:r>
        <w:rPr>
          <w:rFonts w:hint="eastAsia" w:hAnsi="宋体" w:cs="宋体"/>
          <w:color w:val="auto"/>
          <w:szCs w:val="21"/>
          <w:highlight w:val="none"/>
        </w:rPr>
        <w:t>委托代理人（签字）：</w:t>
      </w:r>
      <w:r>
        <w:rPr>
          <w:rFonts w:hAnsi="宋体" w:cs="宋体"/>
          <w:color w:val="auto"/>
          <w:szCs w:val="21"/>
          <w:highlight w:val="none"/>
          <w:u w:val="single"/>
        </w:rPr>
        <w:t xml:space="preserve">     </w:t>
      </w:r>
      <w:r>
        <w:rPr>
          <w:rFonts w:hAnsi="宋体" w:cs="宋体"/>
          <w:color w:val="auto"/>
          <w:szCs w:val="21"/>
          <w:highlight w:val="none"/>
        </w:rPr>
        <w:t xml:space="preserve">                    </w:t>
      </w:r>
      <w:r>
        <w:rPr>
          <w:rFonts w:hint="eastAsia" w:hAnsi="宋体" w:cs="宋体"/>
          <w:color w:val="auto"/>
          <w:szCs w:val="21"/>
          <w:highlight w:val="none"/>
        </w:rPr>
        <w:t>委托代理人（签字）：</w:t>
      </w:r>
      <w:r>
        <w:rPr>
          <w:rFonts w:hAnsi="宋体" w:cs="宋体"/>
          <w:color w:val="auto"/>
          <w:szCs w:val="21"/>
          <w:highlight w:val="none"/>
          <w:u w:val="single"/>
        </w:rPr>
        <w:t xml:space="preserve">     </w:t>
      </w:r>
      <w:r>
        <w:rPr>
          <w:rFonts w:hAnsi="宋体" w:cs="宋体"/>
          <w:color w:val="auto"/>
          <w:szCs w:val="21"/>
          <w:highlight w:val="none"/>
        </w:rPr>
        <w:t xml:space="preserve"> </w:t>
      </w:r>
    </w:p>
    <w:p w14:paraId="37B51625">
      <w:pPr>
        <w:pStyle w:val="14"/>
        <w:spacing w:line="480" w:lineRule="auto"/>
        <w:ind w:left="0" w:leftChars="0" w:firstLine="0" w:firstLineChars="0"/>
        <w:rPr>
          <w:rFonts w:hAnsi="宋体" w:cs="宋体"/>
          <w:color w:val="auto"/>
          <w:szCs w:val="21"/>
          <w:highlight w:val="none"/>
        </w:rPr>
      </w:pPr>
      <w:r>
        <w:rPr>
          <w:rFonts w:hint="eastAsia" w:hAnsi="宋体" w:cs="宋体"/>
          <w:color w:val="auto"/>
          <w:szCs w:val="21"/>
          <w:highlight w:val="none"/>
        </w:rPr>
        <w:t>地</w:t>
      </w:r>
      <w:r>
        <w:rPr>
          <w:rFonts w:hAnsi="宋体" w:cs="宋体"/>
          <w:color w:val="auto"/>
          <w:szCs w:val="21"/>
          <w:highlight w:val="none"/>
        </w:rPr>
        <w:t xml:space="preserve"> </w:t>
      </w:r>
      <w:r>
        <w:rPr>
          <w:rFonts w:hint="eastAsia" w:hAnsi="宋体" w:cs="宋体"/>
          <w:color w:val="auto"/>
          <w:szCs w:val="21"/>
          <w:highlight w:val="none"/>
        </w:rPr>
        <w:t>址：</w:t>
      </w:r>
      <w:r>
        <w:rPr>
          <w:rFonts w:hAnsi="宋体" w:cs="宋体"/>
          <w:color w:val="auto"/>
          <w:szCs w:val="21"/>
          <w:highlight w:val="none"/>
          <w:u w:val="single"/>
        </w:rPr>
        <w:t xml:space="preserve">              </w:t>
      </w:r>
      <w:r>
        <w:rPr>
          <w:rFonts w:hAnsi="宋体" w:cs="宋体"/>
          <w:color w:val="auto"/>
          <w:szCs w:val="21"/>
          <w:highlight w:val="none"/>
        </w:rPr>
        <w:t xml:space="preserve">                        </w:t>
      </w:r>
      <w:r>
        <w:rPr>
          <w:rFonts w:hint="eastAsia" w:hAnsi="宋体" w:cs="宋体"/>
          <w:color w:val="auto"/>
          <w:szCs w:val="21"/>
          <w:highlight w:val="none"/>
        </w:rPr>
        <w:t>地</w:t>
      </w:r>
      <w:r>
        <w:rPr>
          <w:rFonts w:hAnsi="宋体" w:cs="宋体"/>
          <w:color w:val="auto"/>
          <w:szCs w:val="21"/>
          <w:highlight w:val="none"/>
        </w:rPr>
        <w:t xml:space="preserve"> </w:t>
      </w:r>
      <w:r>
        <w:rPr>
          <w:rFonts w:hint="eastAsia" w:hAnsi="宋体" w:cs="宋体"/>
          <w:color w:val="auto"/>
          <w:szCs w:val="21"/>
          <w:highlight w:val="none"/>
        </w:rPr>
        <w:t>址：</w:t>
      </w:r>
      <w:r>
        <w:rPr>
          <w:rFonts w:hAnsi="宋体" w:cs="宋体"/>
          <w:color w:val="auto"/>
          <w:szCs w:val="21"/>
          <w:highlight w:val="none"/>
          <w:u w:val="single"/>
        </w:rPr>
        <w:t xml:space="preserve">              </w:t>
      </w:r>
      <w:r>
        <w:rPr>
          <w:rFonts w:hAnsi="宋体" w:cs="宋体"/>
          <w:color w:val="auto"/>
          <w:szCs w:val="21"/>
          <w:highlight w:val="none"/>
        </w:rPr>
        <w:t xml:space="preserve"> </w:t>
      </w:r>
    </w:p>
    <w:p w14:paraId="2F0CD17D">
      <w:pPr>
        <w:pStyle w:val="14"/>
        <w:spacing w:line="480" w:lineRule="auto"/>
        <w:ind w:left="0" w:leftChars="0" w:firstLine="0" w:firstLineChars="0"/>
        <w:rPr>
          <w:rFonts w:hAnsi="宋体" w:cs="宋体"/>
          <w:color w:val="auto"/>
          <w:szCs w:val="21"/>
          <w:highlight w:val="none"/>
        </w:rPr>
      </w:pPr>
      <w:r>
        <w:rPr>
          <w:rFonts w:hint="eastAsia" w:hAnsi="宋体" w:cs="宋体"/>
          <w:color w:val="auto"/>
          <w:szCs w:val="21"/>
          <w:highlight w:val="none"/>
        </w:rPr>
        <w:t>电话：</w:t>
      </w:r>
      <w:r>
        <w:rPr>
          <w:rFonts w:hAnsi="宋体" w:cs="宋体"/>
          <w:color w:val="auto"/>
          <w:szCs w:val="21"/>
          <w:highlight w:val="none"/>
          <w:u w:val="single"/>
        </w:rPr>
        <w:t xml:space="preserve">               </w:t>
      </w:r>
      <w:r>
        <w:rPr>
          <w:rFonts w:hAnsi="宋体" w:cs="宋体"/>
          <w:color w:val="auto"/>
          <w:szCs w:val="21"/>
          <w:highlight w:val="none"/>
        </w:rPr>
        <w:t xml:space="preserve">                        </w:t>
      </w:r>
      <w:r>
        <w:rPr>
          <w:rFonts w:hint="eastAsia" w:hAnsi="宋体" w:cs="宋体"/>
          <w:color w:val="auto"/>
          <w:szCs w:val="21"/>
          <w:highlight w:val="none"/>
        </w:rPr>
        <w:t>电话：</w:t>
      </w:r>
      <w:r>
        <w:rPr>
          <w:rFonts w:hAnsi="宋体" w:cs="宋体"/>
          <w:color w:val="auto"/>
          <w:szCs w:val="21"/>
          <w:highlight w:val="none"/>
          <w:u w:val="single"/>
        </w:rPr>
        <w:t xml:space="preserve">               </w:t>
      </w:r>
    </w:p>
    <w:p w14:paraId="58FDD148">
      <w:pPr>
        <w:spacing w:line="480" w:lineRule="auto"/>
        <w:rPr>
          <w:rFonts w:ascii="宋体"/>
          <w:color w:val="auto"/>
          <w:sz w:val="32"/>
          <w:szCs w:val="32"/>
          <w:highlight w:val="none"/>
        </w:rPr>
      </w:pPr>
      <w:r>
        <w:rPr>
          <w:rFonts w:hint="eastAsia" w:hAnsi="宋体" w:cs="宋体"/>
          <w:color w:val="auto"/>
          <w:szCs w:val="21"/>
          <w:highlight w:val="none"/>
        </w:rPr>
        <w:t>日期：</w:t>
      </w:r>
      <w:r>
        <w:rPr>
          <w:rFonts w:hAnsi="宋体" w:cs="宋体"/>
          <w:color w:val="auto"/>
          <w:szCs w:val="21"/>
          <w:highlight w:val="none"/>
          <w:u w:val="single"/>
        </w:rPr>
        <w:t xml:space="preserve">                </w:t>
      </w:r>
      <w:r>
        <w:rPr>
          <w:rFonts w:hAnsi="宋体" w:cs="宋体"/>
          <w:color w:val="auto"/>
          <w:szCs w:val="21"/>
          <w:highlight w:val="none"/>
        </w:rPr>
        <w:t xml:space="preserve">                       </w:t>
      </w:r>
      <w:r>
        <w:rPr>
          <w:rFonts w:hint="eastAsia" w:hAnsi="宋体" w:cs="宋体"/>
          <w:color w:val="auto"/>
          <w:szCs w:val="21"/>
          <w:highlight w:val="none"/>
        </w:rPr>
        <w:t>日期：</w:t>
      </w:r>
      <w:r>
        <w:rPr>
          <w:rFonts w:hAnsi="宋体" w:cs="宋体"/>
          <w:color w:val="auto"/>
          <w:szCs w:val="21"/>
          <w:highlight w:val="none"/>
          <w:u w:val="single"/>
        </w:rPr>
        <w:t xml:space="preserve">                </w:t>
      </w:r>
    </w:p>
    <w:p w14:paraId="0F991D09">
      <w:pPr>
        <w:rPr>
          <w:rFonts w:hint="eastAsia" w:eastAsia="宋体" w:cs="Times New Roman"/>
          <w:bCs/>
          <w:szCs w:val="32"/>
          <w:highlight w:val="none"/>
        </w:rPr>
      </w:pPr>
    </w:p>
    <w:p w14:paraId="58B02A42">
      <w:pPr>
        <w:rPr>
          <w:rFonts w:hint="eastAsia" w:eastAsia="宋体" w:cs="Times New Roman"/>
          <w:bCs/>
          <w:szCs w:val="32"/>
          <w:highlight w:val="none"/>
        </w:rPr>
      </w:pPr>
      <w:bookmarkStart w:id="1012" w:name="_Toc95223515"/>
      <w:bookmarkStart w:id="1013" w:name="_Toc4767"/>
      <w:r>
        <w:rPr>
          <w:rFonts w:hint="eastAsia" w:eastAsia="宋体" w:cs="Times New Roman"/>
          <w:bCs/>
          <w:szCs w:val="32"/>
          <w:highlight w:val="none"/>
        </w:rPr>
        <w:br w:type="page"/>
      </w:r>
    </w:p>
    <w:p w14:paraId="1A8499CE">
      <w:pPr>
        <w:pStyle w:val="44"/>
        <w:spacing w:beforeLines="50" w:afterLines="50" w:line="440" w:lineRule="exact"/>
        <w:jc w:val="center"/>
        <w:rPr>
          <w:rFonts w:hint="eastAsia" w:eastAsia="宋体" w:cs="Times New Roman"/>
          <w:bCs/>
          <w:szCs w:val="32"/>
          <w:highlight w:val="none"/>
        </w:rPr>
      </w:pPr>
      <w:r>
        <w:rPr>
          <w:rFonts w:hint="eastAsia" w:eastAsia="宋体" w:cs="Times New Roman"/>
          <w:bCs/>
          <w:szCs w:val="32"/>
          <w:highlight w:val="none"/>
        </w:rPr>
        <w:t>第六章  工程量清单</w:t>
      </w:r>
      <w:bookmarkEnd w:id="1012"/>
      <w:bookmarkEnd w:id="1013"/>
    </w:p>
    <w:p w14:paraId="12595202">
      <w:pPr>
        <w:adjustRightInd w:val="0"/>
        <w:snapToGrid w:val="0"/>
        <w:spacing w:line="360" w:lineRule="auto"/>
        <w:ind w:firstLine="840" w:firstLineChars="400"/>
        <w:rPr>
          <w:rFonts w:hint="eastAsia" w:ascii="宋体" w:hAnsi="宋体" w:cs="宋体"/>
          <w:bCs/>
          <w:color w:val="000000"/>
          <w:kern w:val="44"/>
          <w:sz w:val="32"/>
          <w:szCs w:val="44"/>
          <w:highlight w:val="none"/>
        </w:rPr>
      </w:pPr>
      <w:r>
        <w:rPr>
          <w:rFonts w:hint="eastAsia" w:ascii="宋体" w:hAnsi="宋体" w:cs="宋体"/>
          <w:color w:val="000000"/>
          <w:szCs w:val="21"/>
          <w:highlight w:val="none"/>
          <w:lang w:val="en-US" w:eastAsia="zh-CN"/>
        </w:rPr>
        <w:t>无</w:t>
      </w:r>
      <w:r>
        <w:rPr>
          <w:rFonts w:hint="eastAsia" w:ascii="宋体" w:hAnsi="宋体" w:cs="宋体"/>
          <w:color w:val="000000"/>
          <w:szCs w:val="21"/>
          <w:highlight w:val="none"/>
        </w:rPr>
        <w:t>。</w:t>
      </w:r>
    </w:p>
    <w:p w14:paraId="087D1176">
      <w:pPr>
        <w:pStyle w:val="44"/>
        <w:spacing w:beforeLines="50" w:afterLines="50" w:line="440" w:lineRule="exact"/>
        <w:jc w:val="center"/>
        <w:rPr>
          <w:rFonts w:hint="eastAsia" w:eastAsia="宋体" w:cs="Times New Roman"/>
          <w:bCs/>
          <w:szCs w:val="32"/>
          <w:highlight w:val="none"/>
        </w:rPr>
      </w:pPr>
      <w:r>
        <w:rPr>
          <w:rFonts w:hint="eastAsia" w:eastAsia="宋体" w:cs="Times New Roman"/>
          <w:bCs/>
          <w:szCs w:val="32"/>
          <w:highlight w:val="none"/>
        </w:rPr>
        <w:t>第</w:t>
      </w:r>
      <w:r>
        <w:rPr>
          <w:rFonts w:hint="eastAsia" w:cs="Times New Roman"/>
          <w:bCs/>
          <w:szCs w:val="32"/>
          <w:highlight w:val="none"/>
          <w:lang w:val="en-US" w:eastAsia="zh-CN"/>
        </w:rPr>
        <w:t>七</w:t>
      </w:r>
      <w:r>
        <w:rPr>
          <w:rFonts w:hint="eastAsia" w:eastAsia="宋体" w:cs="Times New Roman"/>
          <w:bCs/>
          <w:szCs w:val="32"/>
          <w:highlight w:val="none"/>
        </w:rPr>
        <w:t xml:space="preserve">章 </w:t>
      </w:r>
      <w:bookmarkStart w:id="1014" w:name="_Toc10656"/>
      <w:r>
        <w:rPr>
          <w:rFonts w:hint="eastAsia" w:eastAsia="宋体" w:cs="Times New Roman"/>
          <w:bCs/>
          <w:szCs w:val="32"/>
          <w:highlight w:val="none"/>
        </w:rPr>
        <w:t>图  纸</w:t>
      </w:r>
      <w:bookmarkEnd w:id="1011"/>
      <w:bookmarkEnd w:id="1014"/>
    </w:p>
    <w:p w14:paraId="0C219A0D">
      <w:pPr>
        <w:keepNext w:val="0"/>
        <w:keepLines w:val="0"/>
        <w:pageBreakBefore w:val="0"/>
        <w:widowControl w:val="0"/>
        <w:kinsoku/>
        <w:wordWrap/>
        <w:overflowPunct/>
        <w:topLinePunct w:val="0"/>
        <w:autoSpaceDE/>
        <w:autoSpaceDN/>
        <w:bidi w:val="0"/>
        <w:adjustRightInd w:val="0"/>
        <w:snapToGrid w:val="0"/>
        <w:spacing w:line="360" w:lineRule="auto"/>
        <w:ind w:firstLine="840" w:firstLineChars="400"/>
        <w:textAlignment w:val="auto"/>
        <w:rPr>
          <w:rFonts w:hint="eastAsia" w:ascii="宋体" w:hAnsi="宋体" w:cs="宋体"/>
          <w:bCs/>
          <w:color w:val="000000"/>
          <w:kern w:val="44"/>
          <w:sz w:val="32"/>
          <w:szCs w:val="44"/>
          <w:highlight w:val="none"/>
        </w:rPr>
      </w:pPr>
      <w:r>
        <w:rPr>
          <w:rFonts w:hint="eastAsia" w:ascii="宋体" w:hAnsi="宋体" w:cs="宋体"/>
          <w:color w:val="000000"/>
          <w:szCs w:val="21"/>
          <w:highlight w:val="none"/>
          <w:lang w:val="en-US" w:eastAsia="zh-CN"/>
        </w:rPr>
        <w:t>无</w:t>
      </w:r>
      <w:r>
        <w:rPr>
          <w:rFonts w:hint="eastAsia" w:ascii="宋体" w:hAnsi="宋体" w:cs="宋体"/>
          <w:color w:val="000000"/>
          <w:szCs w:val="21"/>
          <w:highlight w:val="none"/>
        </w:rPr>
        <w:t>。</w:t>
      </w:r>
    </w:p>
    <w:p w14:paraId="111AFB31">
      <w:pPr>
        <w:outlineLvl w:val="1"/>
        <w:rPr>
          <w:rFonts w:hint="eastAsia" w:ascii="宋体" w:hAnsi="宋体" w:cs="宋体"/>
          <w:color w:val="000000"/>
          <w:highlight w:val="none"/>
        </w:rPr>
      </w:pPr>
    </w:p>
    <w:p w14:paraId="48B5E51C">
      <w:pPr>
        <w:rPr>
          <w:rFonts w:hint="eastAsia" w:ascii="宋体" w:hAnsi="宋体" w:cs="宋体"/>
          <w:color w:val="000000"/>
          <w:highlight w:val="none"/>
        </w:rPr>
      </w:pPr>
    </w:p>
    <w:p w14:paraId="09483549">
      <w:pPr>
        <w:pStyle w:val="44"/>
        <w:spacing w:beforeLines="50" w:afterLines="50" w:line="440" w:lineRule="exact"/>
        <w:jc w:val="center"/>
        <w:rPr>
          <w:rFonts w:hint="eastAsia" w:ascii="宋体" w:hAnsi="宋体" w:cs="宋体"/>
          <w:bCs w:val="0"/>
          <w:color w:val="000000"/>
          <w:sz w:val="32"/>
          <w:highlight w:val="none"/>
        </w:rPr>
      </w:pPr>
      <w:r>
        <w:rPr>
          <w:rFonts w:hint="eastAsia" w:ascii="宋体" w:hAnsi="宋体" w:cs="宋体"/>
          <w:b w:val="0"/>
          <w:bCs w:val="0"/>
          <w:color w:val="000000"/>
          <w:sz w:val="32"/>
          <w:highlight w:val="none"/>
        </w:rPr>
        <w:br w:type="page"/>
      </w:r>
      <w:bookmarkStart w:id="1015" w:name="_Toc95223525"/>
      <w:bookmarkStart w:id="1016" w:name="_Toc4608"/>
      <w:r>
        <w:rPr>
          <w:rFonts w:hint="eastAsia" w:eastAsia="宋体" w:cs="Times New Roman"/>
          <w:bCs/>
          <w:szCs w:val="32"/>
          <w:highlight w:val="none"/>
        </w:rPr>
        <w:t>第</w:t>
      </w:r>
      <w:r>
        <w:rPr>
          <w:rFonts w:hint="eastAsia" w:cs="Times New Roman"/>
          <w:bCs/>
          <w:szCs w:val="32"/>
          <w:highlight w:val="none"/>
          <w:lang w:val="en-US" w:eastAsia="zh-CN"/>
        </w:rPr>
        <w:t>八</w:t>
      </w:r>
      <w:r>
        <w:rPr>
          <w:rFonts w:hint="eastAsia" w:eastAsia="宋体" w:cs="Times New Roman"/>
          <w:bCs/>
          <w:szCs w:val="32"/>
          <w:highlight w:val="none"/>
        </w:rPr>
        <w:t>章  技术标准和要求</w:t>
      </w:r>
      <w:bookmarkEnd w:id="1015"/>
      <w:bookmarkEnd w:id="1016"/>
    </w:p>
    <w:p w14:paraId="097B6B9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000000"/>
          <w:highlight w:val="none"/>
        </w:rPr>
      </w:pPr>
    </w:p>
    <w:p w14:paraId="7ECBB3F6">
      <w:pPr>
        <w:keepNext w:val="0"/>
        <w:keepLines w:val="0"/>
        <w:pageBreakBefore w:val="0"/>
        <w:widowControl w:val="0"/>
        <w:kinsoku/>
        <w:wordWrap/>
        <w:overflowPunct/>
        <w:topLinePunct w:val="0"/>
        <w:autoSpaceDE/>
        <w:autoSpaceDN/>
        <w:bidi w:val="0"/>
        <w:adjustRightInd/>
        <w:snapToGrid/>
        <w:spacing w:line="440" w:lineRule="exact"/>
        <w:textAlignment w:val="auto"/>
        <w:outlineLvl w:val="1"/>
        <w:rPr>
          <w:rFonts w:hint="eastAsia" w:ascii="宋体" w:hAnsi="宋体" w:cs="宋体"/>
          <w:color w:val="000000"/>
          <w:highlight w:val="none"/>
        </w:rPr>
      </w:pPr>
      <w:bookmarkStart w:id="1017" w:name="_Toc95223528"/>
      <w:bookmarkStart w:id="1018" w:name="_Toc30517"/>
      <w:r>
        <w:rPr>
          <w:rFonts w:hint="eastAsia" w:ascii="宋体" w:hAnsi="宋体" w:cs="宋体"/>
          <w:bCs/>
          <w:color w:val="000000"/>
          <w:szCs w:val="21"/>
          <w:highlight w:val="none"/>
          <w:lang w:val="en-US" w:eastAsia="zh-CN"/>
        </w:rPr>
        <w:t>1.</w:t>
      </w:r>
      <w:r>
        <w:rPr>
          <w:rFonts w:hint="eastAsia" w:ascii="宋体" w:hAnsi="宋体" w:cs="宋体"/>
          <w:color w:val="000000"/>
          <w:highlight w:val="none"/>
        </w:rPr>
        <w:t>适用的国家、行业以及地方标准、规范和规程</w:t>
      </w:r>
      <w:bookmarkEnd w:id="1017"/>
      <w:bookmarkEnd w:id="1018"/>
    </w:p>
    <w:p w14:paraId="349A283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highlight w:val="none"/>
          <w:lang w:eastAsia="zh-CN"/>
        </w:rPr>
      </w:pPr>
      <w:r>
        <w:rPr>
          <w:rFonts w:hint="eastAsia" w:ascii="宋体" w:hAnsi="宋体" w:eastAsia="宋体" w:cs="宋体"/>
          <w:color w:val="000000"/>
          <w:highlight w:val="none"/>
          <w:lang w:val="en-US" w:eastAsia="zh-CN"/>
        </w:rPr>
        <w:t>本招标项目施工、验收须达到设计文件的要求和国家及有关部委、安徽省、项目所在市现行的工程建设标准、规范、规定的要求（文件标准之间相互冲突的，以标准较高者为准）。</w:t>
      </w:r>
    </w:p>
    <w:p w14:paraId="3A3DFD1F">
      <w:pPr>
        <w:pStyle w:val="44"/>
        <w:spacing w:beforeLines="50" w:afterLines="50" w:line="440" w:lineRule="exact"/>
        <w:jc w:val="center"/>
        <w:rPr>
          <w:bCs/>
          <w:szCs w:val="32"/>
          <w:highlight w:val="none"/>
        </w:rPr>
      </w:pPr>
      <w:r>
        <w:rPr>
          <w:rFonts w:hint="eastAsia"/>
          <w:bCs/>
          <w:szCs w:val="32"/>
          <w:highlight w:val="none"/>
        </w:rPr>
        <w:br w:type="page"/>
      </w:r>
      <w:r>
        <w:rPr>
          <w:rFonts w:hint="eastAsia"/>
          <w:bCs/>
          <w:szCs w:val="32"/>
          <w:highlight w:val="none"/>
        </w:rPr>
        <w:t>第</w:t>
      </w:r>
      <w:r>
        <w:rPr>
          <w:rFonts w:hint="eastAsia" w:ascii="宋体" w:hAnsi="宋体" w:cs="宋体"/>
          <w:szCs w:val="21"/>
          <w:highlight w:val="none"/>
          <w:lang w:val="en-US" w:eastAsia="zh-CN"/>
        </w:rPr>
        <w:t>九</w:t>
      </w:r>
      <w:r>
        <w:rPr>
          <w:rFonts w:hint="eastAsia"/>
          <w:bCs/>
          <w:szCs w:val="32"/>
          <w:highlight w:val="none"/>
        </w:rPr>
        <w:t>章  投标文件格式</w:t>
      </w:r>
      <w:bookmarkEnd w:id="998"/>
      <w:bookmarkEnd w:id="999"/>
      <w:bookmarkEnd w:id="1000"/>
      <w:bookmarkEnd w:id="1001"/>
      <w:bookmarkEnd w:id="1002"/>
      <w:bookmarkEnd w:id="1003"/>
      <w:bookmarkEnd w:id="1004"/>
      <w:bookmarkEnd w:id="1005"/>
      <w:bookmarkEnd w:id="1006"/>
      <w:bookmarkEnd w:id="1007"/>
      <w:bookmarkEnd w:id="1008"/>
      <w:bookmarkEnd w:id="1009"/>
      <w:bookmarkEnd w:id="1010"/>
    </w:p>
    <w:p w14:paraId="7B05D42C">
      <w:pPr>
        <w:rPr>
          <w:highlight w:val="none"/>
        </w:rPr>
      </w:pPr>
    </w:p>
    <w:p w14:paraId="082E4B32">
      <w:pPr>
        <w:rPr>
          <w:highlight w:val="none"/>
        </w:rPr>
      </w:pPr>
    </w:p>
    <w:p w14:paraId="5069B979">
      <w:pPr>
        <w:rPr>
          <w:highlight w:val="none"/>
        </w:rPr>
      </w:pPr>
    </w:p>
    <w:p w14:paraId="56143D65">
      <w:pPr>
        <w:jc w:val="center"/>
        <w:rPr>
          <w:rFonts w:eastAsia="黑体"/>
          <w:sz w:val="20"/>
          <w:szCs w:val="20"/>
          <w:highlight w:val="none"/>
        </w:rPr>
      </w:pPr>
      <w:r>
        <w:rPr>
          <w:rFonts w:eastAsia="黑体"/>
          <w:sz w:val="28"/>
          <w:szCs w:val="28"/>
          <w:highlight w:val="none"/>
        </w:rPr>
        <w:t>（项目名称）</w:t>
      </w:r>
    </w:p>
    <w:p w14:paraId="7576ABA9">
      <w:pPr>
        <w:jc w:val="center"/>
        <w:rPr>
          <w:rFonts w:eastAsia="黑体"/>
          <w:sz w:val="20"/>
          <w:szCs w:val="20"/>
          <w:highlight w:val="none"/>
        </w:rPr>
      </w:pPr>
    </w:p>
    <w:p w14:paraId="7FF06958">
      <w:pPr>
        <w:jc w:val="center"/>
        <w:rPr>
          <w:rFonts w:eastAsia="黑体"/>
          <w:sz w:val="20"/>
          <w:szCs w:val="20"/>
          <w:highlight w:val="none"/>
        </w:rPr>
      </w:pPr>
    </w:p>
    <w:p w14:paraId="3165CB1E">
      <w:pPr>
        <w:jc w:val="center"/>
        <w:rPr>
          <w:rFonts w:eastAsia="黑体"/>
          <w:sz w:val="20"/>
          <w:szCs w:val="20"/>
          <w:highlight w:val="none"/>
        </w:rPr>
      </w:pPr>
    </w:p>
    <w:p w14:paraId="75BA9D51">
      <w:pPr>
        <w:rPr>
          <w:rFonts w:eastAsia="黑体"/>
          <w:sz w:val="20"/>
          <w:szCs w:val="20"/>
          <w:highlight w:val="none"/>
        </w:rPr>
      </w:pPr>
    </w:p>
    <w:p w14:paraId="347DEE05">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一</w:t>
      </w:r>
    </w:p>
    <w:p w14:paraId="4404D72F">
      <w:pPr>
        <w:jc w:val="center"/>
        <w:rPr>
          <w:rFonts w:eastAsia="黑体"/>
          <w:sz w:val="44"/>
          <w:szCs w:val="44"/>
          <w:highlight w:val="none"/>
        </w:rPr>
      </w:pPr>
      <w:r>
        <w:rPr>
          <w:rFonts w:hint="eastAsia" w:eastAsia="黑体"/>
          <w:sz w:val="44"/>
          <w:szCs w:val="44"/>
          <w:highlight w:val="none"/>
        </w:rPr>
        <w:t>（资信证明文件）</w:t>
      </w:r>
    </w:p>
    <w:p w14:paraId="69FD5586">
      <w:pPr>
        <w:rPr>
          <w:rFonts w:eastAsia="黑体"/>
          <w:sz w:val="28"/>
          <w:szCs w:val="28"/>
          <w:highlight w:val="none"/>
        </w:rPr>
      </w:pPr>
    </w:p>
    <w:p w14:paraId="61671114">
      <w:pPr>
        <w:rPr>
          <w:rFonts w:eastAsia="黑体"/>
          <w:sz w:val="28"/>
          <w:szCs w:val="28"/>
          <w:highlight w:val="none"/>
        </w:rPr>
      </w:pPr>
    </w:p>
    <w:p w14:paraId="7707CE46">
      <w:pPr>
        <w:rPr>
          <w:rFonts w:eastAsia="黑体"/>
          <w:sz w:val="28"/>
          <w:szCs w:val="28"/>
          <w:highlight w:val="none"/>
        </w:rPr>
      </w:pPr>
    </w:p>
    <w:p w14:paraId="3E29662A">
      <w:pPr>
        <w:rPr>
          <w:rFonts w:eastAsia="黑体"/>
          <w:sz w:val="28"/>
          <w:szCs w:val="28"/>
          <w:highlight w:val="none"/>
        </w:rPr>
      </w:pPr>
    </w:p>
    <w:p w14:paraId="69D02104">
      <w:pPr>
        <w:pStyle w:val="14"/>
        <w:ind w:firstLine="420"/>
        <w:rPr>
          <w:rFonts w:ascii="Times New Roman"/>
          <w:szCs w:val="24"/>
          <w:highlight w:val="none"/>
        </w:rPr>
      </w:pPr>
    </w:p>
    <w:p w14:paraId="3062FE47">
      <w:pPr>
        <w:rPr>
          <w:rFonts w:ascii="Times New Roman"/>
          <w:szCs w:val="24"/>
          <w:highlight w:val="none"/>
        </w:rPr>
      </w:pPr>
    </w:p>
    <w:p w14:paraId="78F93F73">
      <w:pPr>
        <w:pStyle w:val="14"/>
        <w:rPr>
          <w:rFonts w:ascii="Times New Roman"/>
          <w:szCs w:val="24"/>
          <w:highlight w:val="none"/>
        </w:rPr>
      </w:pPr>
    </w:p>
    <w:p w14:paraId="1E9D0BD8">
      <w:pPr>
        <w:rPr>
          <w:rFonts w:ascii="Times New Roman"/>
          <w:szCs w:val="24"/>
          <w:highlight w:val="none"/>
        </w:rPr>
      </w:pPr>
    </w:p>
    <w:p w14:paraId="13AFD6AD">
      <w:pPr>
        <w:pStyle w:val="14"/>
        <w:rPr>
          <w:highlight w:val="none"/>
        </w:rPr>
      </w:pPr>
    </w:p>
    <w:p w14:paraId="0799C826">
      <w:pPr>
        <w:pStyle w:val="14"/>
        <w:ind w:firstLine="420"/>
        <w:rPr>
          <w:highlight w:val="none"/>
        </w:rPr>
      </w:pPr>
    </w:p>
    <w:p w14:paraId="63F5BB9B">
      <w:pPr>
        <w:rPr>
          <w:rFonts w:eastAsia="黑体"/>
          <w:sz w:val="28"/>
          <w:szCs w:val="28"/>
          <w:highlight w:val="none"/>
        </w:rPr>
      </w:pPr>
    </w:p>
    <w:p w14:paraId="6ECEBDFF">
      <w:pPr>
        <w:keepNext w:val="0"/>
        <w:keepLines w:val="0"/>
        <w:pageBreakBefore w:val="0"/>
        <w:widowControl w:val="0"/>
        <w:kinsoku/>
        <w:wordWrap/>
        <w:overflowPunct/>
        <w:topLinePunct w:val="0"/>
        <w:autoSpaceDE/>
        <w:autoSpaceDN/>
        <w:bidi w:val="0"/>
        <w:adjustRightInd/>
        <w:snapToGrid/>
        <w:spacing w:line="720" w:lineRule="auto"/>
        <w:textAlignment w:val="auto"/>
        <w:rPr>
          <w:rFonts w:eastAsia="黑体"/>
          <w:sz w:val="28"/>
          <w:szCs w:val="28"/>
          <w:highlight w:val="none"/>
        </w:rPr>
      </w:pPr>
    </w:p>
    <w:p w14:paraId="62522776">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eastAsia="黑体"/>
          <w:sz w:val="28"/>
          <w:szCs w:val="28"/>
          <w:highlight w:val="none"/>
          <w:u w:val="single"/>
        </w:rPr>
      </w:pPr>
      <w:r>
        <w:rPr>
          <w:rFonts w:hint="eastAsia" w:eastAsia="黑体"/>
          <w:sz w:val="28"/>
          <w:szCs w:val="28"/>
          <w:highlight w:val="none"/>
        </w:rPr>
        <w:t xml:space="preserve"> 投标人</w:t>
      </w:r>
      <w:r>
        <w:rPr>
          <w:rFonts w:eastAsia="黑体"/>
          <w:sz w:val="28"/>
          <w:szCs w:val="28"/>
          <w:highlight w:val="none"/>
        </w:rPr>
        <w:t>：</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eastAsia="黑体"/>
          <w:sz w:val="28"/>
          <w:szCs w:val="28"/>
          <w:highlight w:val="none"/>
        </w:rPr>
        <w:t>（</w:t>
      </w:r>
      <w:r>
        <w:rPr>
          <w:rFonts w:hint="eastAsia" w:eastAsia="黑体"/>
          <w:sz w:val="28"/>
          <w:szCs w:val="28"/>
          <w:highlight w:val="none"/>
        </w:rPr>
        <w:t>盖</w:t>
      </w:r>
      <w:r>
        <w:rPr>
          <w:rFonts w:eastAsia="黑体"/>
          <w:sz w:val="28"/>
          <w:szCs w:val="28"/>
          <w:highlight w:val="none"/>
        </w:rPr>
        <w:t>章）</w:t>
      </w:r>
    </w:p>
    <w:p w14:paraId="097218CB">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eastAsia="黑体"/>
          <w:sz w:val="28"/>
          <w:szCs w:val="28"/>
          <w:highlight w:val="none"/>
        </w:rPr>
      </w:pPr>
      <w:r>
        <w:rPr>
          <w:rFonts w:hint="eastAsia" w:eastAsia="黑体"/>
          <w:sz w:val="28"/>
          <w:szCs w:val="28"/>
          <w:highlight w:val="none"/>
        </w:rPr>
        <w:t xml:space="preserve">   </w:t>
      </w:r>
      <w:r>
        <w:rPr>
          <w:rFonts w:eastAsia="黑体"/>
          <w:sz w:val="28"/>
          <w:szCs w:val="28"/>
          <w:highlight w:val="none"/>
        </w:rPr>
        <w:t>法定代表人</w:t>
      </w:r>
      <w:r>
        <w:rPr>
          <w:rFonts w:hint="eastAsia" w:eastAsia="黑体"/>
          <w:sz w:val="28"/>
          <w:szCs w:val="28"/>
          <w:highlight w:val="none"/>
          <w:lang w:val="en-US" w:eastAsia="zh-CN"/>
        </w:rPr>
        <w:t>或授权委托人</w:t>
      </w:r>
      <w:r>
        <w:rPr>
          <w:rFonts w:eastAsia="黑体"/>
          <w:sz w:val="28"/>
          <w:szCs w:val="28"/>
          <w:highlight w:val="none"/>
        </w:rPr>
        <w:t>：</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eastAsia="黑体"/>
          <w:sz w:val="28"/>
          <w:szCs w:val="28"/>
          <w:highlight w:val="none"/>
        </w:rPr>
        <w:t>（</w:t>
      </w:r>
      <w:r>
        <w:rPr>
          <w:rFonts w:hint="eastAsia" w:eastAsia="黑体"/>
          <w:sz w:val="28"/>
          <w:szCs w:val="28"/>
          <w:highlight w:val="none"/>
        </w:rPr>
        <w:t>签字或盖章</w:t>
      </w:r>
      <w:r>
        <w:rPr>
          <w:rFonts w:eastAsia="黑体"/>
          <w:sz w:val="28"/>
          <w:szCs w:val="28"/>
          <w:highlight w:val="none"/>
        </w:rPr>
        <w:t>）</w:t>
      </w:r>
    </w:p>
    <w:p w14:paraId="211A5DCF">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0EBCA57C">
      <w:pPr>
        <w:spacing w:beforeLines="50" w:afterLines="50" w:line="440" w:lineRule="exact"/>
        <w:jc w:val="left"/>
        <w:rPr>
          <w:rFonts w:ascii="宋体" w:hAnsi="宋体" w:cs="宋体"/>
          <w:b/>
          <w:sz w:val="28"/>
          <w:szCs w:val="28"/>
          <w:highlight w:val="none"/>
        </w:rPr>
      </w:pPr>
      <w:bookmarkStart w:id="1019" w:name="_Toc35425137"/>
      <w:bookmarkStart w:id="1020" w:name="_Toc35424971"/>
      <w:bookmarkStart w:id="1021" w:name="_Toc12683"/>
      <w:bookmarkStart w:id="1022" w:name="_Toc78803399"/>
      <w:r>
        <w:rPr>
          <w:rStyle w:val="120"/>
          <w:rFonts w:hint="eastAsia" w:ascii="宋体" w:hAnsi="宋体" w:cs="宋体"/>
          <w:sz w:val="32"/>
          <w:highlight w:val="none"/>
        </w:rPr>
        <w:br w:type="page"/>
      </w:r>
      <w:r>
        <w:rPr>
          <w:rStyle w:val="120"/>
          <w:rFonts w:hint="eastAsia" w:ascii="宋体" w:hAnsi="宋体" w:cs="宋体"/>
          <w:sz w:val="32"/>
          <w:highlight w:val="none"/>
        </w:rPr>
        <w:t>投标文件一</w:t>
      </w:r>
      <w:bookmarkEnd w:id="1019"/>
      <w:bookmarkEnd w:id="1020"/>
      <w:bookmarkEnd w:id="1021"/>
      <w:bookmarkEnd w:id="1022"/>
      <w:r>
        <w:rPr>
          <w:rFonts w:hint="eastAsia" w:ascii="宋体" w:hAnsi="宋体" w:cs="宋体"/>
          <w:b/>
          <w:sz w:val="28"/>
          <w:szCs w:val="28"/>
          <w:highlight w:val="none"/>
        </w:rPr>
        <w:t>：资信证明文件目录</w:t>
      </w:r>
    </w:p>
    <w:p w14:paraId="00D1EE2D">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①法定代表人身份证明和本人有效身份证(或法定代表人授权委托书和委托代理人有效身份证)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联合体投标，牵头方提供</w:t>
      </w:r>
      <w:r>
        <w:rPr>
          <w:rFonts w:hint="eastAsia" w:ascii="宋体" w:hAnsi="宋体" w:cs="宋体"/>
          <w:color w:val="auto"/>
          <w:sz w:val="21"/>
          <w:szCs w:val="21"/>
          <w:highlight w:val="none"/>
          <w:lang w:val="en-US" w:eastAsia="zh-CN"/>
        </w:rPr>
        <w:t>）</w:t>
      </w:r>
      <w:r>
        <w:rPr>
          <w:rFonts w:hint="eastAsia" w:ascii="宋体" w:hAnsi="宋体" w:eastAsia="宋体" w:cs="宋体"/>
          <w:szCs w:val="21"/>
          <w:highlight w:val="none"/>
        </w:rPr>
        <w:t>；</w:t>
      </w:r>
    </w:p>
    <w:p w14:paraId="5711688F">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②诚信投标承诺书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联合体投标，均须提供）</w:t>
      </w:r>
      <w:r>
        <w:rPr>
          <w:rFonts w:hint="eastAsia" w:ascii="宋体" w:hAnsi="宋体" w:eastAsia="宋体" w:cs="宋体"/>
          <w:szCs w:val="21"/>
          <w:highlight w:val="none"/>
        </w:rPr>
        <w:t>；</w:t>
      </w:r>
    </w:p>
    <w:p w14:paraId="2338B61A">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③企业法人营业执照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联合体投标，均须提供）</w:t>
      </w:r>
      <w:r>
        <w:rPr>
          <w:rFonts w:hint="eastAsia" w:ascii="宋体" w:hAnsi="宋体" w:eastAsia="宋体" w:cs="宋体"/>
          <w:szCs w:val="21"/>
          <w:highlight w:val="none"/>
        </w:rPr>
        <w:t>；</w:t>
      </w:r>
    </w:p>
    <w:p w14:paraId="5AF68B7B">
      <w:pPr>
        <w:spacing w:line="440" w:lineRule="exact"/>
        <w:ind w:right="-168" w:rightChars="-80" w:firstLine="420" w:firstLineChars="200"/>
        <w:jc w:val="left"/>
        <w:rPr>
          <w:rFonts w:hint="eastAsia" w:ascii="宋体" w:hAnsi="宋体" w:eastAsia="宋体" w:cs="宋体"/>
          <w:color w:val="000000"/>
          <w:szCs w:val="21"/>
          <w:highlight w:val="none"/>
          <w:lang w:eastAsia="zh-CN"/>
        </w:rPr>
      </w:pPr>
      <w:r>
        <w:rPr>
          <w:rFonts w:hint="eastAsia" w:ascii="宋体" w:hAnsi="宋体" w:eastAsia="宋体" w:cs="宋体"/>
          <w:szCs w:val="21"/>
          <w:highlight w:val="none"/>
        </w:rPr>
        <w:t>④</w:t>
      </w:r>
      <w:r>
        <w:rPr>
          <w:rFonts w:hint="eastAsia"/>
          <w:highlight w:val="none"/>
        </w:rPr>
        <w:t>企业资</w:t>
      </w:r>
      <w:r>
        <w:rPr>
          <w:rFonts w:hint="eastAsia" w:ascii="宋体" w:hAnsi="宋体" w:eastAsia="宋体" w:cs="宋体"/>
          <w:color w:val="000000"/>
          <w:szCs w:val="21"/>
          <w:highlight w:val="none"/>
        </w:rPr>
        <w:t>质证书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联合体投标，均须提供）</w:t>
      </w:r>
      <w:r>
        <w:rPr>
          <w:rFonts w:hint="eastAsia" w:ascii="宋体" w:hAnsi="宋体" w:eastAsia="宋体" w:cs="宋体"/>
          <w:color w:val="000000"/>
          <w:szCs w:val="21"/>
          <w:highlight w:val="none"/>
          <w:lang w:eastAsia="zh-CN"/>
        </w:rPr>
        <w:t>；</w:t>
      </w:r>
    </w:p>
    <w:p w14:paraId="09EEE04D">
      <w:pPr>
        <w:spacing w:line="440" w:lineRule="exact"/>
        <w:ind w:right="-168" w:rightChars="-80" w:firstLine="420" w:firstLineChars="200"/>
        <w:jc w:val="left"/>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t>⑤企业安全生产许可证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联合体投标，由具有施工资质的企业提供）</w:t>
      </w:r>
      <w:r>
        <w:rPr>
          <w:rFonts w:hint="eastAsia" w:ascii="宋体" w:hAnsi="宋体" w:eastAsia="宋体" w:cs="宋体"/>
          <w:color w:val="000000"/>
          <w:szCs w:val="21"/>
          <w:highlight w:val="none"/>
          <w:lang w:eastAsia="zh-CN"/>
        </w:rPr>
        <w:t>；</w:t>
      </w:r>
    </w:p>
    <w:p w14:paraId="1CC540CC">
      <w:pPr>
        <w:spacing w:line="440" w:lineRule="exact"/>
        <w:ind w:right="-168" w:rightChars="-80" w:firstLine="420" w:firstLineChars="200"/>
        <w:jc w:val="left"/>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t>⑥</w:t>
      </w:r>
      <w:r>
        <w:rPr>
          <w:rFonts w:hint="eastAsia" w:ascii="宋体" w:hAnsi="宋体" w:eastAsia="宋体" w:cs="宋体"/>
          <w:color w:val="auto"/>
          <w:sz w:val="21"/>
          <w:szCs w:val="21"/>
          <w:highlight w:val="none"/>
          <w:lang w:val="en-US" w:eastAsia="zh-CN"/>
        </w:rPr>
        <w:t>项目经理及设计负责人有效身份证及对应证书</w:t>
      </w:r>
      <w:r>
        <w:rPr>
          <w:rFonts w:hint="eastAsia" w:ascii="宋体" w:hAnsi="宋体" w:eastAsia="宋体" w:cs="宋体"/>
          <w:color w:val="000000"/>
          <w:szCs w:val="21"/>
          <w:highlight w:val="none"/>
          <w:lang w:eastAsia="zh-CN"/>
        </w:rPr>
        <w:t>；</w:t>
      </w:r>
    </w:p>
    <w:p w14:paraId="00F820F4">
      <w:pPr>
        <w:spacing w:line="440" w:lineRule="exact"/>
        <w:ind w:right="-168" w:rightChars="-80" w:firstLine="420" w:firstLineChars="200"/>
        <w:jc w:val="left"/>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t>⑦拟任项目经理（建造师）</w:t>
      </w:r>
      <w:r>
        <w:rPr>
          <w:rFonts w:hint="eastAsia" w:ascii="宋体" w:hAnsi="宋体" w:eastAsia="宋体" w:cs="宋体"/>
          <w:color w:val="auto"/>
          <w:sz w:val="21"/>
          <w:szCs w:val="21"/>
          <w:highlight w:val="none"/>
          <w:lang w:val="en-US" w:eastAsia="zh-CN"/>
        </w:rPr>
        <w:t>及设计负责人</w:t>
      </w:r>
      <w:r>
        <w:rPr>
          <w:rFonts w:hint="eastAsia" w:ascii="宋体" w:hAnsi="宋体" w:eastAsia="宋体" w:cs="宋体"/>
          <w:color w:val="000000"/>
          <w:szCs w:val="21"/>
          <w:highlight w:val="none"/>
        </w:rPr>
        <w:t>须持有社保部门出具的本单位为其缴纳的</w:t>
      </w:r>
      <w:r>
        <w:rPr>
          <w:rFonts w:hint="eastAsia" w:ascii="宋体" w:hAnsi="宋体" w:eastAsia="宋体" w:cs="宋体"/>
          <w:color w:val="000000"/>
          <w:szCs w:val="21"/>
          <w:highlight w:val="none"/>
          <w:lang w:val="en-US" w:eastAsia="zh-CN"/>
        </w:rPr>
        <w:t>2026年</w:t>
      </w:r>
      <w:r>
        <w:rPr>
          <w:rFonts w:hint="eastAsia" w:ascii="宋体" w:hAnsi="宋体" w:cs="宋体"/>
          <w:color w:val="000000"/>
          <w:szCs w:val="21"/>
          <w:highlight w:val="none"/>
          <w:lang w:val="en-US" w:eastAsia="zh-CN"/>
        </w:rPr>
        <w:t>6</w:t>
      </w:r>
      <w:r>
        <w:rPr>
          <w:rFonts w:hint="eastAsia" w:ascii="宋体" w:hAnsi="宋体" w:eastAsia="宋体" w:cs="宋体"/>
          <w:color w:val="000000"/>
          <w:szCs w:val="21"/>
          <w:highlight w:val="none"/>
          <w:lang w:val="en-US" w:eastAsia="zh-CN"/>
        </w:rPr>
        <w:t>月至2026年</w:t>
      </w:r>
      <w:r>
        <w:rPr>
          <w:rFonts w:hint="eastAsia" w:ascii="宋体" w:hAnsi="宋体" w:cs="宋体"/>
          <w:color w:val="000000"/>
          <w:szCs w:val="21"/>
          <w:highlight w:val="none"/>
          <w:lang w:val="en-US" w:eastAsia="zh-CN"/>
        </w:rPr>
        <w:t>9</w:t>
      </w:r>
      <w:r>
        <w:rPr>
          <w:rFonts w:hint="eastAsia" w:ascii="宋体" w:hAnsi="宋体" w:eastAsia="宋体" w:cs="宋体"/>
          <w:color w:val="000000"/>
          <w:szCs w:val="21"/>
          <w:highlight w:val="none"/>
          <w:lang w:val="en-US" w:eastAsia="zh-CN"/>
        </w:rPr>
        <w:t>月范围内任意</w:t>
      </w:r>
      <w:r>
        <w:rPr>
          <w:rFonts w:hint="eastAsia" w:ascii="宋体" w:hAnsi="宋体" w:eastAsia="宋体" w:cs="宋体"/>
          <w:color w:val="000000"/>
          <w:szCs w:val="21"/>
          <w:highlight w:val="none"/>
        </w:rPr>
        <w:t>连续三个月的养老保险证明</w:t>
      </w:r>
      <w:r>
        <w:rPr>
          <w:rFonts w:hint="eastAsia" w:ascii="宋体" w:hAnsi="宋体" w:eastAsia="宋体" w:cs="宋体"/>
          <w:color w:val="000000"/>
          <w:szCs w:val="21"/>
          <w:highlight w:val="none"/>
          <w:lang w:eastAsia="zh-CN"/>
        </w:rPr>
        <w:t>；</w:t>
      </w:r>
    </w:p>
    <w:p w14:paraId="04D19A3B">
      <w:pPr>
        <w:spacing w:line="440" w:lineRule="exact"/>
        <w:ind w:right="-168" w:rightChars="-80" w:firstLine="420" w:firstLineChars="200"/>
        <w:jc w:val="left"/>
        <w:rPr>
          <w:rFonts w:hint="eastAsia" w:ascii="宋体" w:hAnsi="宋体" w:eastAsia="宋体" w:cs="宋体"/>
          <w:szCs w:val="21"/>
          <w:highlight w:val="none"/>
          <w:lang w:eastAsia="zh-CN"/>
        </w:rPr>
      </w:pPr>
      <w:r>
        <w:rPr>
          <w:rFonts w:hint="eastAsia" w:ascii="宋体" w:hAnsi="宋体" w:eastAsia="宋体" w:cs="宋体"/>
          <w:color w:val="000000"/>
          <w:szCs w:val="21"/>
          <w:highlight w:val="none"/>
          <w:lang w:eastAsia="zh-CN"/>
        </w:rPr>
        <w:t>注：</w:t>
      </w:r>
      <w:r>
        <w:rPr>
          <w:rFonts w:hint="eastAsia" w:ascii="宋体" w:hAnsi="宋体" w:eastAsia="宋体" w:cs="宋体"/>
          <w:color w:val="000000"/>
          <w:szCs w:val="21"/>
          <w:highlight w:val="none"/>
          <w:lang w:val="en-US" w:eastAsia="zh-CN"/>
        </w:rPr>
        <w:t>1、</w:t>
      </w:r>
      <w:r>
        <w:rPr>
          <w:rFonts w:hint="eastAsia" w:ascii="宋体" w:hAnsi="宋体" w:eastAsia="宋体" w:cs="宋体"/>
          <w:color w:val="000000"/>
          <w:szCs w:val="21"/>
          <w:highlight w:val="none"/>
        </w:rPr>
        <w:t>投标人是事业单位的，暂未缴纳养老保险的，须由其主管部门出具证明</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lang w:val="en-US" w:eastAsia="zh-CN"/>
        </w:rPr>
        <w:t>2、</w:t>
      </w:r>
      <w:r>
        <w:rPr>
          <w:rFonts w:hint="eastAsia" w:ascii="宋体" w:hAnsi="宋体" w:eastAsia="宋体" w:cs="宋体"/>
          <w:color w:val="000000"/>
          <w:szCs w:val="21"/>
          <w:highlight w:val="none"/>
          <w:lang w:eastAsia="zh-CN"/>
        </w:rPr>
        <w:t>如拟派项目经理为退</w:t>
      </w:r>
      <w:r>
        <w:rPr>
          <w:rFonts w:hint="eastAsia" w:ascii="宋体" w:hAnsi="宋体" w:eastAsia="宋体" w:cs="宋体"/>
          <w:szCs w:val="21"/>
          <w:highlight w:val="none"/>
          <w:lang w:eastAsia="zh-CN"/>
        </w:rPr>
        <w:t>休人员（包括提前退休人员，年龄在国家规定证书使用年限之前，执业年限应能覆盖项⽬⼯期），无法提供社保证明的，投标人应提供拟派项目经理的退休证及投标人企业聘用合同。提交的注册执业证书中聘用企业名称必须与投标人企业名称一致。</w:t>
      </w:r>
    </w:p>
    <w:p w14:paraId="05DF36DE">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⑧项目管理机构。查看项目管理机构主要人员组成表；</w:t>
      </w:r>
    </w:p>
    <w:p w14:paraId="1C4D5C88">
      <w:pPr>
        <w:spacing w:line="440" w:lineRule="exact"/>
        <w:ind w:right="-168" w:rightChars="-80" w:firstLine="420" w:firstLineChars="200"/>
        <w:jc w:val="left"/>
        <w:rPr>
          <w:rFonts w:hint="eastAsia" w:ascii="宋体" w:hAnsi="宋体" w:eastAsia="宋体" w:cs="宋体"/>
          <w:color w:val="000000"/>
          <w:szCs w:val="21"/>
          <w:highlight w:val="none"/>
          <w:lang w:eastAsia="zh-CN"/>
        </w:rPr>
      </w:pPr>
      <w:r>
        <w:rPr>
          <w:rFonts w:hint="eastAsia" w:ascii="宋体" w:hAnsi="宋体" w:eastAsia="宋体" w:cs="宋体"/>
          <w:szCs w:val="21"/>
          <w:highlight w:val="none"/>
        </w:rPr>
        <w:t>⑨联合体协议书（如有）</w:t>
      </w:r>
      <w:r>
        <w:rPr>
          <w:rFonts w:hint="eastAsia" w:ascii="宋体" w:hAnsi="宋体" w:eastAsia="宋体" w:cs="宋体"/>
          <w:szCs w:val="21"/>
          <w:highlight w:val="none"/>
          <w:lang w:eastAsia="zh-CN"/>
        </w:rPr>
        <w:t>。</w:t>
      </w:r>
    </w:p>
    <w:p w14:paraId="59163E6F">
      <w:pPr>
        <w:spacing w:line="360" w:lineRule="auto"/>
        <w:jc w:val="center"/>
        <w:rPr>
          <w:rFonts w:ascii="宋体"/>
          <w:b/>
          <w:sz w:val="28"/>
          <w:szCs w:val="28"/>
          <w:highlight w:val="none"/>
        </w:rPr>
      </w:pPr>
      <w:r>
        <w:rPr>
          <w:rFonts w:hint="eastAsia"/>
          <w:b/>
          <w:sz w:val="28"/>
          <w:szCs w:val="28"/>
          <w:highlight w:val="none"/>
        </w:rPr>
        <w:br w:type="page"/>
      </w:r>
      <w:r>
        <w:rPr>
          <w:rFonts w:hint="eastAsia"/>
          <w:b/>
          <w:sz w:val="28"/>
          <w:szCs w:val="28"/>
          <w:highlight w:val="none"/>
        </w:rPr>
        <w:t>（1）法定代表人身份证明或授权委托书</w:t>
      </w:r>
    </w:p>
    <w:p w14:paraId="1618991E">
      <w:pPr>
        <w:pStyle w:val="74"/>
        <w:keepNext w:val="0"/>
        <w:keepLines w:val="0"/>
        <w:pageBreakBefore w:val="0"/>
        <w:kinsoku/>
        <w:wordWrap/>
        <w:overflowPunct/>
        <w:topLinePunct w:val="0"/>
        <w:autoSpaceDE/>
        <w:autoSpaceDN/>
        <w:bidi w:val="0"/>
        <w:adjustRightInd/>
        <w:snapToGrid/>
        <w:spacing w:beforeLines="100" w:afterLines="100" w:line="440" w:lineRule="exact"/>
        <w:rPr>
          <w:rFonts w:ascii="宋体"/>
          <w:b/>
          <w:color w:val="auto"/>
          <w:sz w:val="24"/>
          <w:szCs w:val="24"/>
          <w:highlight w:val="none"/>
        </w:rPr>
      </w:pPr>
      <w:bookmarkStart w:id="1023" w:name="_Toc506107356"/>
      <w:bookmarkStart w:id="1024" w:name="_Toc26598"/>
      <w:bookmarkStart w:id="1025" w:name="_Toc503196197"/>
      <w:r>
        <w:rPr>
          <w:rFonts w:hint="eastAsia" w:ascii="宋体"/>
          <w:color w:val="auto"/>
          <w:sz w:val="24"/>
          <w:szCs w:val="24"/>
          <w:highlight w:val="none"/>
        </w:rPr>
        <w:t>1、法定代表人身份证明</w:t>
      </w:r>
    </w:p>
    <w:p w14:paraId="5CD0926A">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投标人名称：</w:t>
      </w:r>
      <w:r>
        <w:rPr>
          <w:rFonts w:hint="eastAsia" w:ascii="宋体"/>
          <w:sz w:val="24"/>
          <w:highlight w:val="none"/>
          <w:u w:val="single"/>
        </w:rPr>
        <w:t xml:space="preserve">                            </w:t>
      </w:r>
    </w:p>
    <w:p w14:paraId="30E6B7AC">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单位性质：</w:t>
      </w:r>
      <w:r>
        <w:rPr>
          <w:rFonts w:hint="eastAsia" w:ascii="宋体"/>
          <w:sz w:val="24"/>
          <w:highlight w:val="none"/>
          <w:u w:val="single"/>
        </w:rPr>
        <w:t xml:space="preserve">                              </w:t>
      </w:r>
    </w:p>
    <w:p w14:paraId="2B53194B">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地    址：</w:t>
      </w:r>
      <w:r>
        <w:rPr>
          <w:rFonts w:hint="eastAsia" w:ascii="宋体"/>
          <w:sz w:val="24"/>
          <w:highlight w:val="none"/>
          <w:u w:val="single"/>
        </w:rPr>
        <w:t xml:space="preserve">                              </w:t>
      </w:r>
    </w:p>
    <w:p w14:paraId="2672DE77">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成立时间：</w:t>
      </w: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w:t>
      </w:r>
    </w:p>
    <w:p w14:paraId="56E18266">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经营期限：</w:t>
      </w:r>
      <w:r>
        <w:rPr>
          <w:rFonts w:hint="eastAsia" w:ascii="宋体"/>
          <w:sz w:val="24"/>
          <w:highlight w:val="none"/>
          <w:u w:val="single"/>
        </w:rPr>
        <w:t xml:space="preserve">                              </w:t>
      </w:r>
    </w:p>
    <w:p w14:paraId="7220154A">
      <w:pPr>
        <w:keepNext w:val="0"/>
        <w:keepLines w:val="0"/>
        <w:pageBreakBefore w:val="0"/>
        <w:kinsoku/>
        <w:wordWrap/>
        <w:overflowPunct/>
        <w:topLinePunct w:val="0"/>
        <w:autoSpaceDE/>
        <w:autoSpaceDN/>
        <w:bidi w:val="0"/>
        <w:adjustRightInd/>
        <w:snapToGrid/>
        <w:spacing w:line="440" w:lineRule="exact"/>
        <w:jc w:val="left"/>
        <w:rPr>
          <w:rFonts w:ascii="宋体"/>
          <w:sz w:val="24"/>
          <w:highlight w:val="none"/>
          <w:u w:val="single"/>
        </w:rPr>
      </w:pPr>
      <w:r>
        <w:rPr>
          <w:rFonts w:hint="eastAsia" w:ascii="宋体"/>
          <w:spacing w:val="240"/>
          <w:sz w:val="24"/>
          <w:highlight w:val="none"/>
        </w:rPr>
        <w:t>姓</w:t>
      </w:r>
      <w:r>
        <w:rPr>
          <w:rFonts w:hint="eastAsia" w:ascii="宋体"/>
          <w:sz w:val="24"/>
          <w:highlight w:val="none"/>
        </w:rPr>
        <w:t>名：</w:t>
      </w:r>
      <w:r>
        <w:rPr>
          <w:rFonts w:hint="eastAsia" w:ascii="宋体"/>
          <w:sz w:val="24"/>
          <w:highlight w:val="none"/>
          <w:u w:val="single"/>
        </w:rPr>
        <w:t xml:space="preserve">     </w:t>
      </w:r>
      <w:r>
        <w:rPr>
          <w:rFonts w:hint="eastAsia" w:ascii="宋体"/>
          <w:sz w:val="24"/>
          <w:highlight w:val="none"/>
        </w:rPr>
        <w:t>身份证号码：</w:t>
      </w:r>
      <w:r>
        <w:rPr>
          <w:rFonts w:hint="eastAsia" w:ascii="宋体"/>
          <w:sz w:val="24"/>
          <w:highlight w:val="none"/>
          <w:u w:val="single"/>
        </w:rPr>
        <w:t xml:space="preserve">     </w:t>
      </w:r>
      <w:r>
        <w:rPr>
          <w:rFonts w:hint="eastAsia" w:ascii="宋体"/>
          <w:sz w:val="24"/>
          <w:highlight w:val="none"/>
        </w:rPr>
        <w:t>性别</w:t>
      </w:r>
      <w:r>
        <w:rPr>
          <w:rFonts w:hint="eastAsia" w:ascii="宋体"/>
          <w:sz w:val="24"/>
          <w:highlight w:val="none"/>
          <w:u w:val="single"/>
        </w:rPr>
        <w:t xml:space="preserve">：    </w:t>
      </w:r>
      <w:r>
        <w:rPr>
          <w:rFonts w:hint="eastAsia" w:ascii="宋体"/>
          <w:sz w:val="24"/>
          <w:highlight w:val="none"/>
        </w:rPr>
        <w:t>年龄：</w:t>
      </w:r>
      <w:r>
        <w:rPr>
          <w:rFonts w:hint="eastAsia" w:ascii="宋体"/>
          <w:sz w:val="24"/>
          <w:highlight w:val="none"/>
          <w:u w:val="single"/>
        </w:rPr>
        <w:t xml:space="preserve">＿  </w:t>
      </w:r>
      <w:r>
        <w:rPr>
          <w:rFonts w:hint="eastAsia" w:ascii="宋体"/>
          <w:sz w:val="24"/>
          <w:highlight w:val="none"/>
        </w:rPr>
        <w:t>职务：</w:t>
      </w:r>
      <w:r>
        <w:rPr>
          <w:rFonts w:hint="eastAsia" w:ascii="宋体"/>
          <w:sz w:val="24"/>
          <w:highlight w:val="none"/>
          <w:u w:val="single"/>
        </w:rPr>
        <w:t xml:space="preserve">     </w:t>
      </w:r>
      <w:r>
        <w:rPr>
          <w:rFonts w:hint="eastAsia" w:ascii="宋体"/>
          <w:sz w:val="24"/>
          <w:highlight w:val="none"/>
        </w:rPr>
        <w:t>，系</w:t>
      </w:r>
      <w:r>
        <w:rPr>
          <w:rFonts w:hint="eastAsia" w:ascii="宋体"/>
          <w:sz w:val="24"/>
          <w:highlight w:val="none"/>
          <w:u w:val="single"/>
        </w:rPr>
        <w:t xml:space="preserve">     （投标人名称）</w:t>
      </w:r>
      <w:r>
        <w:rPr>
          <w:rFonts w:hint="eastAsia" w:ascii="宋体"/>
          <w:sz w:val="24"/>
          <w:highlight w:val="none"/>
        </w:rPr>
        <w:t>的法定代表人。</w:t>
      </w:r>
    </w:p>
    <w:p w14:paraId="13BA0D93">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特此证明。</w:t>
      </w:r>
    </w:p>
    <w:p w14:paraId="5AB38E67">
      <w:pPr>
        <w:keepNext w:val="0"/>
        <w:keepLines w:val="0"/>
        <w:pageBreakBefore w:val="0"/>
        <w:kinsoku/>
        <w:wordWrap/>
        <w:overflowPunct/>
        <w:topLinePunct w:val="0"/>
        <w:autoSpaceDE/>
        <w:autoSpaceDN/>
        <w:bidi w:val="0"/>
        <w:adjustRightInd/>
        <w:snapToGrid/>
        <w:spacing w:line="440" w:lineRule="exact"/>
        <w:ind w:firstLine="480" w:firstLineChars="200"/>
        <w:rPr>
          <w:highlight w:val="none"/>
        </w:rPr>
      </w:pPr>
      <w:r>
        <w:rPr>
          <w:rFonts w:hint="eastAsia" w:ascii="宋体"/>
          <w:sz w:val="24"/>
          <w:highlight w:val="none"/>
        </w:rPr>
        <w:t>附：</w:t>
      </w:r>
      <w:r>
        <w:rPr>
          <w:rFonts w:hint="eastAsia" w:ascii="宋体"/>
          <w:b/>
          <w:sz w:val="24"/>
          <w:highlight w:val="none"/>
        </w:rPr>
        <w:t>法定代表人有效身份证扫描件</w:t>
      </w:r>
    </w:p>
    <w:p w14:paraId="3089C1AB">
      <w:pPr>
        <w:keepNext w:val="0"/>
        <w:keepLines w:val="0"/>
        <w:pageBreakBefore w:val="0"/>
        <w:kinsoku/>
        <w:wordWrap/>
        <w:overflowPunct/>
        <w:topLinePunct w:val="0"/>
        <w:autoSpaceDE/>
        <w:autoSpaceDN/>
        <w:bidi w:val="0"/>
        <w:adjustRightInd/>
        <w:snapToGrid/>
        <w:spacing w:line="440" w:lineRule="exact"/>
        <w:ind w:firstLine="3720" w:firstLineChars="1550"/>
        <w:rPr>
          <w:rFonts w:ascii="宋体"/>
          <w:sz w:val="24"/>
          <w:highlight w:val="none"/>
        </w:rPr>
      </w:pPr>
      <w:r>
        <w:rPr>
          <w:rFonts w:hint="eastAsia" w:ascii="宋体"/>
          <w:sz w:val="24"/>
          <w:highlight w:val="none"/>
        </w:rPr>
        <w:t>投标人：</w:t>
      </w:r>
      <w:r>
        <w:rPr>
          <w:rFonts w:hint="eastAsia" w:ascii="宋体"/>
          <w:sz w:val="24"/>
          <w:highlight w:val="none"/>
          <w:u w:val="single"/>
        </w:rPr>
        <w:t xml:space="preserve">            （</w:t>
      </w:r>
      <w:r>
        <w:rPr>
          <w:rFonts w:hint="eastAsia" w:ascii="宋体"/>
          <w:sz w:val="24"/>
          <w:highlight w:val="none"/>
          <w:u w:val="single"/>
          <w:lang w:val="en-US" w:eastAsia="zh-CN"/>
        </w:rPr>
        <w:t>盖</w:t>
      </w:r>
      <w:r>
        <w:rPr>
          <w:rFonts w:hint="eastAsia" w:ascii="宋体"/>
          <w:sz w:val="24"/>
          <w:highlight w:val="none"/>
          <w:u w:val="single"/>
        </w:rPr>
        <w:t>章）</w:t>
      </w:r>
    </w:p>
    <w:p w14:paraId="34409C45">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 xml:space="preserve">                                        年    月     日</w:t>
      </w:r>
    </w:p>
    <w:p w14:paraId="2F0B7B0C">
      <w:pPr>
        <w:keepNext w:val="0"/>
        <w:keepLines w:val="0"/>
        <w:pageBreakBefore w:val="0"/>
        <w:kinsoku/>
        <w:wordWrap/>
        <w:overflowPunct/>
        <w:topLinePunct w:val="0"/>
        <w:autoSpaceDE/>
        <w:autoSpaceDN/>
        <w:bidi w:val="0"/>
        <w:adjustRightInd/>
        <w:snapToGrid/>
        <w:spacing w:line="440" w:lineRule="exact"/>
        <w:rPr>
          <w:highlight w:val="none"/>
        </w:rPr>
      </w:pPr>
    </w:p>
    <w:p w14:paraId="1550066F">
      <w:pPr>
        <w:pStyle w:val="74"/>
        <w:keepNext w:val="0"/>
        <w:keepLines w:val="0"/>
        <w:pageBreakBefore w:val="0"/>
        <w:kinsoku/>
        <w:wordWrap/>
        <w:overflowPunct/>
        <w:topLinePunct w:val="0"/>
        <w:autoSpaceDE/>
        <w:autoSpaceDN/>
        <w:bidi w:val="0"/>
        <w:adjustRightInd/>
        <w:snapToGrid/>
        <w:spacing w:beforeLines="100" w:afterLines="100" w:line="440" w:lineRule="exact"/>
        <w:rPr>
          <w:rFonts w:ascii="宋体"/>
          <w:color w:val="auto"/>
          <w:sz w:val="24"/>
          <w:szCs w:val="24"/>
          <w:highlight w:val="none"/>
        </w:rPr>
      </w:pPr>
      <w:r>
        <w:rPr>
          <w:rFonts w:hint="eastAsia" w:ascii="宋体"/>
          <w:color w:val="auto"/>
          <w:sz w:val="24"/>
          <w:szCs w:val="24"/>
          <w:highlight w:val="none"/>
        </w:rPr>
        <w:t>或1、授权委托书</w:t>
      </w:r>
    </w:p>
    <w:p w14:paraId="00E2E773">
      <w:pPr>
        <w:keepNext w:val="0"/>
        <w:keepLines w:val="0"/>
        <w:pageBreakBefore w:val="0"/>
        <w:kinsoku/>
        <w:wordWrap/>
        <w:overflowPunct/>
        <w:topLinePunct w:val="0"/>
        <w:autoSpaceDE/>
        <w:autoSpaceDN/>
        <w:bidi w:val="0"/>
        <w:adjustRightInd/>
        <w:snapToGrid/>
        <w:spacing w:line="440" w:lineRule="exact"/>
        <w:ind w:firstLine="480" w:firstLineChars="200"/>
        <w:jc w:val="left"/>
        <w:rPr>
          <w:rFonts w:ascii="宋体"/>
          <w:sz w:val="24"/>
          <w:highlight w:val="none"/>
        </w:rPr>
      </w:pPr>
      <w:r>
        <w:rPr>
          <w:rFonts w:hint="eastAsia" w:ascii="宋体"/>
          <w:sz w:val="24"/>
          <w:highlight w:val="none"/>
        </w:rPr>
        <w:t>本人</w:t>
      </w:r>
      <w:r>
        <w:rPr>
          <w:rFonts w:hint="eastAsia" w:ascii="宋体"/>
          <w:sz w:val="24"/>
          <w:highlight w:val="none"/>
          <w:u w:val="single"/>
        </w:rPr>
        <w:t xml:space="preserve"> （姓名）</w:t>
      </w:r>
      <w:r>
        <w:rPr>
          <w:rFonts w:hint="eastAsia" w:ascii="宋体"/>
          <w:sz w:val="24"/>
          <w:highlight w:val="none"/>
        </w:rPr>
        <w:t>系</w:t>
      </w:r>
      <w:r>
        <w:rPr>
          <w:rFonts w:hint="eastAsia" w:ascii="宋体"/>
          <w:sz w:val="24"/>
          <w:highlight w:val="none"/>
          <w:u w:val="single"/>
        </w:rPr>
        <w:t>（投标人）</w:t>
      </w:r>
      <w:r>
        <w:rPr>
          <w:rFonts w:hint="eastAsia" w:ascii="宋体"/>
          <w:sz w:val="24"/>
          <w:highlight w:val="none"/>
        </w:rPr>
        <w:t>的法定代表人，现委托</w:t>
      </w:r>
      <w:r>
        <w:rPr>
          <w:rFonts w:hint="eastAsia" w:ascii="宋体"/>
          <w:sz w:val="24"/>
          <w:highlight w:val="none"/>
          <w:u w:val="single"/>
        </w:rPr>
        <w:t>（姓名）</w:t>
      </w:r>
      <w:r>
        <w:rPr>
          <w:rFonts w:hint="eastAsia" w:ascii="宋体"/>
          <w:sz w:val="24"/>
          <w:highlight w:val="none"/>
        </w:rPr>
        <w:t>为我方代理人。代理人根据授权，以我方名义签署、澄清、说明、补正、递交、撤回、修改</w:t>
      </w:r>
      <w:r>
        <w:rPr>
          <w:rFonts w:hint="eastAsia" w:ascii="宋体"/>
          <w:sz w:val="24"/>
          <w:highlight w:val="none"/>
          <w:u w:val="single"/>
        </w:rPr>
        <w:t xml:space="preserve"> “   ”(项目名称）</w:t>
      </w:r>
      <w:r>
        <w:rPr>
          <w:rFonts w:hint="eastAsia" w:ascii="宋体"/>
          <w:sz w:val="24"/>
          <w:highlight w:val="none"/>
        </w:rPr>
        <w:t>投标文件，全权处理与该项目投标、评审答疑、签订合同以及与合同执行有关的一切事务，其法律后果由我方承担。</w:t>
      </w:r>
    </w:p>
    <w:p w14:paraId="104BA12E">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sz w:val="24"/>
          <w:highlight w:val="none"/>
        </w:rPr>
      </w:pPr>
      <w:r>
        <w:rPr>
          <w:rFonts w:hint="eastAsia" w:ascii="宋体"/>
          <w:sz w:val="24"/>
          <w:highlight w:val="none"/>
        </w:rPr>
        <w:t>委托期限：</w:t>
      </w:r>
      <w:r>
        <w:rPr>
          <w:rFonts w:hint="eastAsia" w:ascii="宋体"/>
          <w:sz w:val="24"/>
          <w:highlight w:val="none"/>
          <w:u w:val="single"/>
          <w:lang w:val="en-US" w:eastAsia="zh-CN"/>
        </w:rPr>
        <w:t xml:space="preserve">              </w:t>
      </w:r>
      <w:r>
        <w:rPr>
          <w:rFonts w:hint="eastAsia" w:ascii="宋体" w:cs="宋体"/>
          <w:sz w:val="24"/>
          <w:highlight w:val="none"/>
        </w:rPr>
        <w:t>。</w:t>
      </w:r>
    </w:p>
    <w:p w14:paraId="5334BA4B">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sz w:val="24"/>
          <w:highlight w:val="none"/>
        </w:rPr>
      </w:pPr>
      <w:r>
        <w:rPr>
          <w:rFonts w:hint="eastAsia" w:ascii="宋体"/>
          <w:sz w:val="24"/>
          <w:highlight w:val="none"/>
        </w:rPr>
        <w:t>代理人无转委托权。</w:t>
      </w:r>
    </w:p>
    <w:p w14:paraId="0A2C1F2B">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b/>
          <w:sz w:val="24"/>
          <w:highlight w:val="none"/>
        </w:rPr>
      </w:pPr>
      <w:r>
        <w:rPr>
          <w:rFonts w:hint="eastAsia" w:ascii="宋体"/>
          <w:sz w:val="24"/>
          <w:highlight w:val="none"/>
        </w:rPr>
        <w:t>附：</w:t>
      </w:r>
      <w:r>
        <w:rPr>
          <w:rFonts w:hint="eastAsia" w:ascii="宋体"/>
          <w:b/>
          <w:sz w:val="24"/>
          <w:highlight w:val="none"/>
        </w:rPr>
        <w:t>委托代理人有效身份证扫描件</w:t>
      </w:r>
    </w:p>
    <w:p w14:paraId="3E1AE668">
      <w:pPr>
        <w:keepNext w:val="0"/>
        <w:keepLines w:val="0"/>
        <w:pageBreakBefore w:val="0"/>
        <w:kinsoku/>
        <w:wordWrap/>
        <w:overflowPunct/>
        <w:topLinePunct w:val="0"/>
        <w:autoSpaceDE/>
        <w:autoSpaceDN/>
        <w:bidi w:val="0"/>
        <w:adjustRightInd/>
        <w:snapToGrid/>
        <w:spacing w:line="440" w:lineRule="exact"/>
        <w:ind w:firstLine="964" w:firstLineChars="400"/>
        <w:rPr>
          <w:rFonts w:ascii="宋体"/>
          <w:b/>
          <w:sz w:val="24"/>
          <w:highlight w:val="none"/>
        </w:rPr>
      </w:pPr>
      <w:r>
        <w:rPr>
          <w:rFonts w:hint="eastAsia" w:ascii="宋体"/>
          <w:b/>
          <w:sz w:val="24"/>
          <w:highlight w:val="none"/>
        </w:rPr>
        <w:t>法定代表人有效身份证扫描件</w:t>
      </w:r>
    </w:p>
    <w:p w14:paraId="3DC4B743">
      <w:pPr>
        <w:keepNext w:val="0"/>
        <w:keepLines w:val="0"/>
        <w:pageBreakBefore w:val="0"/>
        <w:kinsoku/>
        <w:wordWrap/>
        <w:overflowPunct/>
        <w:topLinePunct w:val="0"/>
        <w:autoSpaceDE/>
        <w:autoSpaceDN/>
        <w:bidi w:val="0"/>
        <w:adjustRightInd/>
        <w:snapToGrid/>
        <w:spacing w:line="440" w:lineRule="exact"/>
        <w:ind w:firstLine="833" w:firstLineChars="397"/>
        <w:rPr>
          <w:highlight w:val="none"/>
        </w:rPr>
      </w:pPr>
    </w:p>
    <w:p w14:paraId="4D108BBB">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 xml:space="preserve"> 投标人（盖章）：</w:t>
      </w:r>
    </w:p>
    <w:p w14:paraId="63FE0C48">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法定代表人（身份证号码）：    （签字或盖章）</w:t>
      </w:r>
    </w:p>
    <w:p w14:paraId="3BE5CF08">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委托代理人（身份证号码）：    （签字或盖章）</w:t>
      </w:r>
    </w:p>
    <w:p w14:paraId="0FCD3FA1">
      <w:pPr>
        <w:keepNext w:val="0"/>
        <w:keepLines w:val="0"/>
        <w:pageBreakBefore w:val="0"/>
        <w:kinsoku/>
        <w:wordWrap/>
        <w:overflowPunct/>
        <w:topLinePunct w:val="0"/>
        <w:autoSpaceDE/>
        <w:autoSpaceDN/>
        <w:bidi w:val="0"/>
        <w:adjustRightInd/>
        <w:snapToGrid/>
        <w:spacing w:line="440" w:lineRule="exact"/>
        <w:ind w:firstLine="5040" w:firstLineChars="2100"/>
        <w:rPr>
          <w:rFonts w:ascii="宋体"/>
          <w:sz w:val="24"/>
          <w:highlight w:val="none"/>
        </w:rPr>
      </w:pPr>
      <w:r>
        <w:rPr>
          <w:rFonts w:hint="eastAsia" w:ascii="宋体"/>
          <w:sz w:val="24"/>
          <w:highlight w:val="none"/>
        </w:rPr>
        <w:t xml:space="preserve">   </w:t>
      </w:r>
    </w:p>
    <w:p w14:paraId="59900938">
      <w:pPr>
        <w:keepNext w:val="0"/>
        <w:keepLines w:val="0"/>
        <w:pageBreakBefore w:val="0"/>
        <w:kinsoku/>
        <w:wordWrap/>
        <w:overflowPunct/>
        <w:topLinePunct w:val="0"/>
        <w:autoSpaceDE/>
        <w:autoSpaceDN/>
        <w:bidi w:val="0"/>
        <w:adjustRightInd/>
        <w:snapToGrid/>
        <w:spacing w:line="440" w:lineRule="exact"/>
        <w:ind w:firstLine="5700" w:firstLineChars="2375"/>
        <w:rPr>
          <w:rFonts w:hint="eastAsia"/>
          <w:b/>
          <w:sz w:val="28"/>
          <w:szCs w:val="28"/>
          <w:highlight w:val="none"/>
        </w:rPr>
      </w:pPr>
      <w:r>
        <w:rPr>
          <w:rFonts w:hint="eastAsia" w:ascii="宋体"/>
          <w:sz w:val="24"/>
          <w:highlight w:val="none"/>
        </w:rPr>
        <w:t>年    月    日</w:t>
      </w:r>
    </w:p>
    <w:p w14:paraId="52876103">
      <w:pPr>
        <w:keepNext w:val="0"/>
        <w:keepLines w:val="0"/>
        <w:pageBreakBefore w:val="0"/>
        <w:widowControl w:val="0"/>
        <w:kinsoku/>
        <w:wordWrap/>
        <w:overflowPunct/>
        <w:topLinePunct w:val="0"/>
        <w:autoSpaceDE/>
        <w:autoSpaceDN/>
        <w:bidi w:val="0"/>
        <w:adjustRightInd/>
        <w:snapToGrid/>
        <w:spacing w:line="360" w:lineRule="exact"/>
        <w:ind w:right="468" w:rightChars="223"/>
        <w:jc w:val="center"/>
        <w:textAlignment w:val="auto"/>
        <w:rPr>
          <w:b/>
          <w:sz w:val="28"/>
          <w:szCs w:val="28"/>
          <w:highlight w:val="none"/>
        </w:rPr>
      </w:pPr>
      <w:r>
        <w:rPr>
          <w:rFonts w:hint="eastAsia"/>
          <w:b/>
          <w:sz w:val="28"/>
          <w:szCs w:val="28"/>
          <w:highlight w:val="none"/>
        </w:rPr>
        <w:t>（2）诚信投标承诺书</w:t>
      </w:r>
      <w:bookmarkEnd w:id="1023"/>
      <w:bookmarkEnd w:id="1024"/>
      <w:bookmarkEnd w:id="1025"/>
    </w:p>
    <w:p w14:paraId="4F449F94">
      <w:pPr>
        <w:keepNext w:val="0"/>
        <w:keepLines w:val="0"/>
        <w:pageBreakBefore w:val="0"/>
        <w:widowControl w:val="0"/>
        <w:kinsoku/>
        <w:wordWrap/>
        <w:overflowPunct/>
        <w:topLinePunct w:val="0"/>
        <w:autoSpaceDE/>
        <w:autoSpaceDN/>
        <w:bidi w:val="0"/>
        <w:adjustRightInd/>
        <w:snapToGrid/>
        <w:spacing w:line="320" w:lineRule="exact"/>
        <w:ind w:right="468" w:rightChars="223"/>
        <w:textAlignment w:val="auto"/>
        <w:rPr>
          <w:rFonts w:ascii="宋体" w:hAnsi="宋体"/>
          <w:szCs w:val="21"/>
          <w:highlight w:val="none"/>
        </w:rPr>
      </w:pPr>
      <w:r>
        <w:rPr>
          <w:rFonts w:hint="eastAsia" w:ascii="宋体" w:hAnsi="宋体"/>
          <w:szCs w:val="21"/>
          <w:highlight w:val="none"/>
        </w:rPr>
        <w:t>本人以企业法定代表人的身份郑重承诺：</w:t>
      </w:r>
    </w:p>
    <w:p w14:paraId="65F75769">
      <w:pPr>
        <w:keepNext w:val="0"/>
        <w:keepLines w:val="0"/>
        <w:pageBreakBefore w:val="0"/>
        <w:widowControl w:val="0"/>
        <w:kinsoku/>
        <w:wordWrap/>
        <w:overflowPunct/>
        <w:topLinePunct w:val="0"/>
        <w:autoSpaceDE/>
        <w:autoSpaceDN/>
        <w:bidi w:val="0"/>
        <w:adjustRightInd/>
        <w:snapToGrid/>
        <w:spacing w:line="320" w:lineRule="exact"/>
        <w:ind w:right="468" w:rightChars="223" w:firstLine="420" w:firstLineChars="200"/>
        <w:textAlignment w:val="auto"/>
        <w:rPr>
          <w:rFonts w:hint="eastAsia" w:ascii="宋体" w:hAnsi="宋体"/>
          <w:szCs w:val="21"/>
          <w:highlight w:val="none"/>
        </w:rPr>
      </w:pPr>
      <w:r>
        <w:rPr>
          <w:rFonts w:hint="eastAsia" w:ascii="宋体" w:hAnsi="宋体"/>
          <w:szCs w:val="21"/>
          <w:highlight w:val="none"/>
        </w:rPr>
        <w:t>一、将遵循公开、公正和诚实信用的原则自愿参加</w:t>
      </w:r>
      <w:r>
        <w:rPr>
          <w:rFonts w:hint="eastAsia" w:ascii="宋体" w:hAnsi="宋体"/>
          <w:szCs w:val="21"/>
          <w:highlight w:val="none"/>
          <w:u w:val="single"/>
        </w:rPr>
        <w:t xml:space="preserve">       （项目名称）        </w:t>
      </w:r>
      <w:r>
        <w:rPr>
          <w:rFonts w:hint="eastAsia" w:ascii="宋体" w:hAnsi="宋体"/>
          <w:szCs w:val="21"/>
          <w:highlight w:val="none"/>
        </w:rPr>
        <w:t>项目的投标；</w:t>
      </w:r>
    </w:p>
    <w:p w14:paraId="01C34AA5">
      <w:pPr>
        <w:keepNext w:val="0"/>
        <w:keepLines w:val="0"/>
        <w:pageBreakBefore w:val="0"/>
        <w:widowControl w:val="0"/>
        <w:kinsoku/>
        <w:wordWrap/>
        <w:overflowPunct/>
        <w:topLinePunct w:val="0"/>
        <w:autoSpaceDE/>
        <w:autoSpaceDN/>
        <w:bidi w:val="0"/>
        <w:adjustRightInd/>
        <w:snapToGrid/>
        <w:spacing w:line="320" w:lineRule="exact"/>
        <w:ind w:right="468" w:rightChars="223" w:firstLine="420" w:firstLineChars="200"/>
        <w:textAlignment w:val="auto"/>
        <w:rPr>
          <w:rFonts w:hint="eastAsia" w:ascii="宋体" w:hAnsi="宋体"/>
          <w:szCs w:val="21"/>
          <w:highlight w:val="none"/>
        </w:rPr>
      </w:pPr>
      <w:r>
        <w:rPr>
          <w:rFonts w:hint="eastAsia" w:ascii="宋体" w:hAnsi="宋体"/>
          <w:szCs w:val="21"/>
          <w:highlight w:val="none"/>
        </w:rPr>
        <w:t>二、所提供的一切材料都是真实、有效、合法的；</w:t>
      </w:r>
    </w:p>
    <w:p w14:paraId="72E84187">
      <w:pPr>
        <w:keepNext w:val="0"/>
        <w:keepLines w:val="0"/>
        <w:pageBreakBefore w:val="0"/>
        <w:widowControl w:val="0"/>
        <w:kinsoku/>
        <w:wordWrap/>
        <w:overflowPunct/>
        <w:topLinePunct w:val="0"/>
        <w:autoSpaceDE/>
        <w:autoSpaceDN/>
        <w:bidi w:val="0"/>
        <w:adjustRightInd/>
        <w:snapToGrid/>
        <w:spacing w:line="320" w:lineRule="exact"/>
        <w:ind w:right="468" w:rightChars="223" w:firstLine="420" w:firstLineChars="200"/>
        <w:textAlignment w:val="auto"/>
        <w:rPr>
          <w:rFonts w:hint="eastAsia" w:ascii="宋体" w:hAnsi="宋体"/>
          <w:szCs w:val="21"/>
          <w:highlight w:val="none"/>
        </w:rPr>
      </w:pPr>
      <w:r>
        <w:rPr>
          <w:rFonts w:hint="eastAsia" w:ascii="宋体" w:hAnsi="宋体"/>
          <w:szCs w:val="21"/>
          <w:highlight w:val="none"/>
        </w:rPr>
        <w:t>三、不出借、转让资质证书，不让他人挂靠投标，不以他人名义投标或者以其他方式弄虚作假，骗取中标；</w:t>
      </w:r>
    </w:p>
    <w:p w14:paraId="12874A6B">
      <w:pPr>
        <w:keepNext w:val="0"/>
        <w:keepLines w:val="0"/>
        <w:pageBreakBefore w:val="0"/>
        <w:widowControl w:val="0"/>
        <w:kinsoku/>
        <w:wordWrap/>
        <w:overflowPunct/>
        <w:topLinePunct w:val="0"/>
        <w:autoSpaceDE/>
        <w:autoSpaceDN/>
        <w:bidi w:val="0"/>
        <w:adjustRightInd/>
        <w:snapToGrid/>
        <w:spacing w:line="32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szCs w:val="21"/>
          <w:highlight w:val="none"/>
        </w:rPr>
        <w:t>四、不</w:t>
      </w:r>
      <w:r>
        <w:rPr>
          <w:rFonts w:hint="eastAsia" w:ascii="宋体" w:hAnsi="宋体" w:eastAsia="宋体" w:cs="Times New Roman"/>
          <w:szCs w:val="21"/>
          <w:highlight w:val="none"/>
        </w:rPr>
        <w:t>与其他投标人相互串通投标报价，不排挤其他投标人的公平竞争、损害招标人的合法权益；</w:t>
      </w:r>
    </w:p>
    <w:p w14:paraId="5E82D773">
      <w:pPr>
        <w:keepNext w:val="0"/>
        <w:keepLines w:val="0"/>
        <w:pageBreakBefore w:val="0"/>
        <w:widowControl w:val="0"/>
        <w:kinsoku/>
        <w:wordWrap/>
        <w:overflowPunct/>
        <w:topLinePunct w:val="0"/>
        <w:autoSpaceDE/>
        <w:autoSpaceDN/>
        <w:bidi w:val="0"/>
        <w:adjustRightInd/>
        <w:snapToGrid/>
        <w:spacing w:line="32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五、不与招标人、招标代理机构或其他投标人串通投标，损害国家利益、社会公共利益或者他人的合法权益；</w:t>
      </w:r>
    </w:p>
    <w:p w14:paraId="0CA8C989">
      <w:pPr>
        <w:keepNext w:val="0"/>
        <w:keepLines w:val="0"/>
        <w:pageBreakBefore w:val="0"/>
        <w:widowControl w:val="0"/>
        <w:kinsoku/>
        <w:wordWrap/>
        <w:overflowPunct/>
        <w:topLinePunct w:val="0"/>
        <w:autoSpaceDE/>
        <w:autoSpaceDN/>
        <w:bidi w:val="0"/>
        <w:adjustRightInd/>
        <w:snapToGrid/>
        <w:spacing w:line="320" w:lineRule="exact"/>
        <w:ind w:right="468" w:rightChars="223" w:firstLine="420" w:firstLineChars="200"/>
        <w:textAlignment w:val="auto"/>
        <w:rPr>
          <w:rFonts w:hint="eastAsia" w:ascii="宋体" w:hAnsi="宋体" w:eastAsia="宋体" w:cs="Times New Roman"/>
          <w:szCs w:val="21"/>
          <w:highlight w:val="none"/>
          <w:lang w:eastAsia="zh-CN"/>
        </w:rPr>
      </w:pPr>
      <w:r>
        <w:rPr>
          <w:rFonts w:hint="eastAsia" w:ascii="宋体" w:hAnsi="宋体" w:eastAsia="宋体" w:cs="Times New Roman"/>
          <w:szCs w:val="21"/>
          <w:highlight w:val="none"/>
        </w:rPr>
        <w:t>六、</w:t>
      </w:r>
      <w:r>
        <w:rPr>
          <w:rFonts w:hint="eastAsia" w:ascii="宋体" w:hAnsi="宋体" w:eastAsia="宋体" w:cs="Times New Roman"/>
          <w:szCs w:val="21"/>
          <w:highlight w:val="none"/>
          <w:lang w:eastAsia="zh-CN"/>
        </w:rPr>
        <w:t>我公司</w:t>
      </w:r>
      <w:r>
        <w:rPr>
          <w:rFonts w:hint="eastAsia" w:ascii="宋体" w:hAnsi="宋体" w:eastAsia="宋体" w:cs="Times New Roman"/>
          <w:szCs w:val="21"/>
          <w:highlight w:val="none"/>
        </w:rPr>
        <w:t>没有下列情形：</w:t>
      </w:r>
      <w:bookmarkStart w:id="1026" w:name="OLE_LINK134"/>
      <w:bookmarkStart w:id="1027" w:name="OLE_LINK133"/>
      <w:r>
        <w:rPr>
          <w:rFonts w:hint="eastAsia" w:ascii="宋体" w:hAnsi="宋体" w:eastAsia="宋体" w:cs="Times New Roman"/>
          <w:szCs w:val="21"/>
          <w:highlight w:val="none"/>
        </w:rPr>
        <w:t>①被列入“信用中国”网站“失信被执行人”的</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②被列入“信用中国”网站“重大税收违法失信主体”的；③被列入“信用中国”网站“拖欠农民工工资失信联合惩戒对象名单”的；④被列入“信用中国”网站“</w:t>
      </w:r>
      <w:r>
        <w:rPr>
          <w:rFonts w:hint="eastAsia" w:ascii="宋体" w:hAnsi="宋体" w:eastAsia="宋体" w:cs="Times New Roman"/>
          <w:szCs w:val="21"/>
          <w:highlight w:val="none"/>
          <w:lang w:eastAsia="zh-CN"/>
        </w:rPr>
        <w:t>安全生产严重失信主体名单</w:t>
      </w:r>
      <w:r>
        <w:rPr>
          <w:rFonts w:hint="eastAsia" w:ascii="宋体" w:hAnsi="宋体" w:eastAsia="宋体" w:cs="Times New Roman"/>
          <w:szCs w:val="21"/>
          <w:highlight w:val="none"/>
        </w:rPr>
        <w:t>”的；⑤被列入国家企业信用信息公示系统网站“严重违法失信名单”的</w:t>
      </w:r>
      <w:r>
        <w:rPr>
          <w:rFonts w:hint="eastAsia" w:ascii="宋体" w:hAnsi="宋体" w:eastAsia="宋体" w:cs="Times New Roman"/>
          <w:szCs w:val="21"/>
          <w:highlight w:val="none"/>
          <w:lang w:eastAsia="zh-CN"/>
        </w:rPr>
        <w:t>；</w:t>
      </w:r>
      <w:bookmarkEnd w:id="1026"/>
      <w:bookmarkEnd w:id="1027"/>
    </w:p>
    <w:p w14:paraId="40FADC32">
      <w:pPr>
        <w:keepNext w:val="0"/>
        <w:keepLines w:val="0"/>
        <w:pageBreakBefore w:val="0"/>
        <w:widowControl w:val="0"/>
        <w:kinsoku/>
        <w:wordWrap/>
        <w:overflowPunct/>
        <w:topLinePunct w:val="0"/>
        <w:autoSpaceDE/>
        <w:autoSpaceDN/>
        <w:bidi w:val="0"/>
        <w:adjustRightInd/>
        <w:snapToGrid/>
        <w:spacing w:line="32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七、本次投标不存在第二章“投标人须知”第1.4.3项规定的任何一种情形</w:t>
      </w:r>
      <w:r>
        <w:rPr>
          <w:rFonts w:hint="eastAsia" w:ascii="宋体" w:hAnsi="宋体" w:eastAsia="宋体" w:cs="Times New Roman"/>
          <w:szCs w:val="21"/>
          <w:highlight w:val="none"/>
          <w:lang w:eastAsia="zh-CN"/>
        </w:rPr>
        <w:t>；</w:t>
      </w:r>
    </w:p>
    <w:p w14:paraId="70334E79">
      <w:pPr>
        <w:keepNext w:val="0"/>
        <w:keepLines w:val="0"/>
        <w:pageBreakBefore w:val="0"/>
        <w:widowControl w:val="0"/>
        <w:kinsoku/>
        <w:wordWrap/>
        <w:overflowPunct/>
        <w:topLinePunct w:val="0"/>
        <w:autoSpaceDE/>
        <w:autoSpaceDN/>
        <w:bidi w:val="0"/>
        <w:adjustRightInd/>
        <w:snapToGrid/>
        <w:spacing w:line="32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八、严格遵守开标现场纪律，服从监管人员管理；</w:t>
      </w:r>
    </w:p>
    <w:p w14:paraId="5836FEDB">
      <w:pPr>
        <w:keepNext w:val="0"/>
        <w:keepLines w:val="0"/>
        <w:pageBreakBefore w:val="0"/>
        <w:widowControl w:val="0"/>
        <w:kinsoku/>
        <w:wordWrap/>
        <w:overflowPunct/>
        <w:topLinePunct w:val="0"/>
        <w:autoSpaceDE/>
        <w:autoSpaceDN/>
        <w:bidi w:val="0"/>
        <w:adjustRightInd/>
        <w:snapToGrid/>
        <w:spacing w:line="32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九、保证中标后不转包及使用挂靠施工队伍，若有分包征得建设单位同意；</w:t>
      </w:r>
    </w:p>
    <w:p w14:paraId="063274AE">
      <w:pPr>
        <w:keepNext w:val="0"/>
        <w:keepLines w:val="0"/>
        <w:pageBreakBefore w:val="0"/>
        <w:widowControl w:val="0"/>
        <w:kinsoku/>
        <w:wordWrap/>
        <w:overflowPunct/>
        <w:topLinePunct w:val="0"/>
        <w:autoSpaceDE/>
        <w:autoSpaceDN/>
        <w:bidi w:val="0"/>
        <w:adjustRightInd/>
        <w:snapToGrid/>
        <w:spacing w:line="32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十、保证中标之后，按照投标文件承诺派驻管理人员及投入机械设备，如有违反，同意接受建设单位违约处罚；</w:t>
      </w:r>
    </w:p>
    <w:p w14:paraId="3AB23202">
      <w:pPr>
        <w:keepNext w:val="0"/>
        <w:keepLines w:val="0"/>
        <w:pageBreakBefore w:val="0"/>
        <w:widowControl w:val="0"/>
        <w:kinsoku/>
        <w:wordWrap/>
        <w:overflowPunct/>
        <w:topLinePunct w:val="0"/>
        <w:autoSpaceDE/>
        <w:autoSpaceDN/>
        <w:bidi w:val="0"/>
        <w:adjustRightInd/>
        <w:snapToGrid/>
        <w:spacing w:line="32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十</w:t>
      </w:r>
      <w:r>
        <w:rPr>
          <w:rFonts w:hint="eastAsia" w:ascii="宋体" w:hAnsi="宋体" w:eastAsia="宋体" w:cs="Times New Roman"/>
          <w:szCs w:val="21"/>
          <w:highlight w:val="none"/>
          <w:lang w:val="en-US" w:eastAsia="zh-CN"/>
        </w:rPr>
        <w:t>一</w:t>
      </w:r>
      <w:r>
        <w:rPr>
          <w:rFonts w:hint="eastAsia" w:ascii="宋体" w:hAnsi="宋体" w:eastAsia="宋体" w:cs="Times New Roman"/>
          <w:szCs w:val="21"/>
          <w:highlight w:val="none"/>
        </w:rPr>
        <w:t>、保证企业及所属相关人员在本次投标中无行贿等犯罪行为；</w:t>
      </w:r>
    </w:p>
    <w:p w14:paraId="4613CFF4">
      <w:pPr>
        <w:keepNext w:val="0"/>
        <w:keepLines w:val="0"/>
        <w:pageBreakBefore w:val="0"/>
        <w:widowControl w:val="0"/>
        <w:kinsoku/>
        <w:wordWrap/>
        <w:overflowPunct/>
        <w:topLinePunct w:val="0"/>
        <w:autoSpaceDE/>
        <w:autoSpaceDN/>
        <w:bidi w:val="0"/>
        <w:adjustRightInd/>
        <w:snapToGrid/>
        <w:spacing w:line="32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十二、如我公司中标，保证中标的项目经理（建造师）无其他尚未完工（以竣工、交工、完工验收报告等手续为准）项目或在已中标项目（以发放中标通知书为准）中担任项目经理（建造师）情形。如有，项目在滁州市区域内的，接受中标无效、记入不良行为记录等处理；项目在滁州市区域外的，保证在中标候选人公示期第一日起开始计算7日内，提供经行政主管部门备案的变更证明材料，否则接受中标无效、记入不良行为记录等处理；</w:t>
      </w:r>
    </w:p>
    <w:p w14:paraId="766FF619">
      <w:pPr>
        <w:keepNext w:val="0"/>
        <w:keepLines w:val="0"/>
        <w:pageBreakBefore w:val="0"/>
        <w:widowControl w:val="0"/>
        <w:kinsoku/>
        <w:wordWrap/>
        <w:overflowPunct/>
        <w:topLinePunct w:val="0"/>
        <w:autoSpaceDE/>
        <w:autoSpaceDN/>
        <w:bidi w:val="0"/>
        <w:adjustRightInd/>
        <w:snapToGrid/>
        <w:spacing w:line="32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十三、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08D79FD9">
      <w:pPr>
        <w:keepNext w:val="0"/>
        <w:keepLines w:val="0"/>
        <w:pageBreakBefore w:val="0"/>
        <w:widowControl w:val="0"/>
        <w:kinsoku/>
        <w:wordWrap/>
        <w:overflowPunct/>
        <w:topLinePunct w:val="0"/>
        <w:autoSpaceDE/>
        <w:autoSpaceDN/>
        <w:bidi w:val="0"/>
        <w:adjustRightInd/>
        <w:snapToGrid/>
        <w:spacing w:line="32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十四、如我公司中标，按照国务院《关于全面治理拖欠农民工工资问题的意见》（国办发[2016]1号）及国家住建部和人社部关于《建筑工人实名制管理办法》（建市[2019]18号）的规定，总承包单位对所承建的工程项目的建筑工人实名制管理负总责，对建筑工人实行实名制管理；实行人工费用与其他工程款分账管理制度；建筑工程承包单位必须开设农民工工资专户；建设单位在支付工程款时，应将人工费部分按规定汇入建筑工程承包单位的农民工工资专户，由建筑工程承包单位按劳动合同约定，通过农民工工资专户按月足额将工资发放给建筑工人；</w:t>
      </w:r>
    </w:p>
    <w:p w14:paraId="1DDB9EAC">
      <w:pPr>
        <w:keepNext w:val="0"/>
        <w:keepLines w:val="0"/>
        <w:pageBreakBefore w:val="0"/>
        <w:widowControl w:val="0"/>
        <w:kinsoku/>
        <w:wordWrap/>
        <w:overflowPunct/>
        <w:topLinePunct w:val="0"/>
        <w:autoSpaceDE/>
        <w:autoSpaceDN/>
        <w:bidi w:val="0"/>
        <w:adjustRightInd/>
        <w:snapToGrid/>
        <w:spacing w:line="320" w:lineRule="exact"/>
        <w:ind w:right="468" w:rightChars="223" w:firstLine="420" w:firstLineChars="200"/>
        <w:textAlignment w:val="auto"/>
        <w:rPr>
          <w:rFonts w:hint="eastAsia" w:ascii="宋体" w:hAnsi="宋体"/>
          <w:szCs w:val="21"/>
          <w:highlight w:val="none"/>
        </w:rPr>
      </w:pPr>
      <w:r>
        <w:rPr>
          <w:rFonts w:hint="eastAsia" w:ascii="宋体" w:hAnsi="宋体" w:eastAsia="宋体" w:cs="Times New Roman"/>
          <w:szCs w:val="21"/>
          <w:highlight w:val="none"/>
        </w:rPr>
        <w:t xml:space="preserve"> 以上内容我已仔细阅读，本公司若有违反承诺内容的行为，自愿接受取消投标或者中标资格、中标无效、记入不良行为记录等有关处理，愿意承担法律责任，给招标人造成损失的，承担赔偿责任。</w:t>
      </w:r>
    </w:p>
    <w:p w14:paraId="635156B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szCs w:val="21"/>
          <w:highlight w:val="none"/>
        </w:rPr>
      </w:pPr>
      <w:r>
        <w:rPr>
          <w:rFonts w:hint="eastAsia" w:ascii="宋体" w:hAnsi="宋体"/>
          <w:szCs w:val="21"/>
          <w:highlight w:val="none"/>
        </w:rPr>
        <w:t>开户银行：                         基本账户：</w:t>
      </w:r>
    </w:p>
    <w:p w14:paraId="5608ECA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szCs w:val="21"/>
          <w:highlight w:val="none"/>
        </w:rPr>
      </w:pPr>
      <w:r>
        <w:rPr>
          <w:rFonts w:hint="eastAsia" w:ascii="宋体" w:hAnsi="宋体"/>
          <w:szCs w:val="21"/>
          <w:highlight w:val="none"/>
        </w:rPr>
        <w:t xml:space="preserve">投标人（盖章）：              </w:t>
      </w:r>
      <w:r>
        <w:rPr>
          <w:rFonts w:hint="eastAsia" w:ascii="宋体" w:hAnsi="宋体"/>
          <w:szCs w:val="21"/>
          <w:highlight w:val="none"/>
          <w:lang w:val="en-US" w:eastAsia="zh-CN"/>
        </w:rPr>
        <w:t xml:space="preserve">     </w:t>
      </w:r>
      <w:r>
        <w:rPr>
          <w:rFonts w:hint="eastAsia" w:ascii="宋体" w:hAnsi="宋体"/>
          <w:szCs w:val="21"/>
          <w:highlight w:val="none"/>
        </w:rPr>
        <w:t>法定代表人（签字或</w:t>
      </w:r>
      <w:r>
        <w:rPr>
          <w:rFonts w:hint="eastAsia" w:ascii="宋体" w:hAnsi="宋体"/>
          <w:szCs w:val="21"/>
          <w:highlight w:val="none"/>
          <w:lang w:val="en-US" w:eastAsia="zh-CN"/>
        </w:rPr>
        <w:t>盖</w:t>
      </w:r>
      <w:r>
        <w:rPr>
          <w:rFonts w:hint="eastAsia" w:ascii="宋体" w:hAnsi="宋体"/>
          <w:szCs w:val="21"/>
          <w:highlight w:val="none"/>
        </w:rPr>
        <w:t>章）：</w:t>
      </w:r>
    </w:p>
    <w:p w14:paraId="3617905E">
      <w:pPr>
        <w:keepNext w:val="0"/>
        <w:keepLines w:val="0"/>
        <w:pageBreakBefore w:val="0"/>
        <w:widowControl w:val="0"/>
        <w:kinsoku/>
        <w:wordWrap/>
        <w:overflowPunct/>
        <w:topLinePunct w:val="0"/>
        <w:autoSpaceDE/>
        <w:autoSpaceDN/>
        <w:bidi w:val="0"/>
        <w:adjustRightInd/>
        <w:snapToGrid/>
        <w:spacing w:line="440" w:lineRule="exact"/>
        <w:ind w:firstLine="6300" w:firstLineChars="3000"/>
        <w:textAlignment w:val="auto"/>
        <w:rPr>
          <w:highlight w:val="none"/>
        </w:rPr>
      </w:pPr>
      <w:r>
        <w:rPr>
          <w:rFonts w:hint="eastAsia" w:ascii="宋体" w:hAnsi="宋体"/>
          <w:szCs w:val="21"/>
          <w:highlight w:val="none"/>
        </w:rPr>
        <w:t>日期：    年   月   日</w:t>
      </w:r>
    </w:p>
    <w:p w14:paraId="021BBC41">
      <w:pPr>
        <w:adjustRightInd w:val="0"/>
        <w:snapToGrid w:val="0"/>
        <w:spacing w:line="560" w:lineRule="exact"/>
        <w:jc w:val="center"/>
        <w:rPr>
          <w:rFonts w:hint="eastAsia" w:eastAsia="黑体"/>
          <w:color w:val="000000"/>
          <w:sz w:val="28"/>
          <w:szCs w:val="28"/>
          <w:highlight w:val="none"/>
          <w:u w:val="single"/>
        </w:rPr>
      </w:pPr>
    </w:p>
    <w:p w14:paraId="3FC9973A">
      <w:pPr>
        <w:adjustRightInd w:val="0"/>
        <w:snapToGrid w:val="0"/>
        <w:spacing w:line="560" w:lineRule="exact"/>
        <w:jc w:val="center"/>
        <w:rPr>
          <w:rFonts w:hint="eastAsia" w:eastAsia="黑体"/>
          <w:color w:val="000000"/>
          <w:sz w:val="28"/>
          <w:szCs w:val="28"/>
          <w:highlight w:val="none"/>
          <w:u w:val="single"/>
        </w:rPr>
      </w:pPr>
    </w:p>
    <w:p w14:paraId="45062D82">
      <w:pPr>
        <w:adjustRightInd w:val="0"/>
        <w:snapToGrid w:val="0"/>
        <w:spacing w:line="560" w:lineRule="exact"/>
        <w:jc w:val="center"/>
        <w:rPr>
          <w:rFonts w:hint="eastAsia" w:eastAsia="黑体"/>
          <w:color w:val="000000"/>
          <w:sz w:val="28"/>
          <w:szCs w:val="28"/>
          <w:highlight w:val="none"/>
          <w:u w:val="single"/>
        </w:rPr>
      </w:pPr>
    </w:p>
    <w:p w14:paraId="650957C7">
      <w:pPr>
        <w:adjustRightInd w:val="0"/>
        <w:snapToGrid w:val="0"/>
        <w:spacing w:line="560" w:lineRule="exact"/>
        <w:jc w:val="center"/>
        <w:rPr>
          <w:rFonts w:hint="eastAsia" w:eastAsia="黑体"/>
          <w:color w:val="000000"/>
          <w:sz w:val="20"/>
          <w:szCs w:val="20"/>
          <w:highlight w:val="none"/>
        </w:rPr>
      </w:pPr>
      <w:r>
        <w:rPr>
          <w:rFonts w:hint="eastAsia" w:eastAsia="黑体"/>
          <w:color w:val="000000"/>
          <w:sz w:val="28"/>
          <w:szCs w:val="28"/>
          <w:highlight w:val="none"/>
          <w:u w:val="single"/>
        </w:rPr>
        <w:t xml:space="preserve">                </w:t>
      </w:r>
      <w:r>
        <w:rPr>
          <w:rFonts w:eastAsia="黑体"/>
          <w:color w:val="000000"/>
          <w:sz w:val="28"/>
          <w:szCs w:val="28"/>
          <w:highlight w:val="none"/>
        </w:rPr>
        <w:t>（项目名称）</w:t>
      </w:r>
    </w:p>
    <w:p w14:paraId="34CAF67E">
      <w:pPr>
        <w:adjustRightInd w:val="0"/>
        <w:snapToGrid w:val="0"/>
        <w:spacing w:line="560" w:lineRule="exact"/>
        <w:jc w:val="center"/>
        <w:rPr>
          <w:rFonts w:hint="eastAsia" w:eastAsia="黑体"/>
          <w:color w:val="000000"/>
          <w:sz w:val="20"/>
          <w:szCs w:val="20"/>
          <w:highlight w:val="none"/>
        </w:rPr>
      </w:pPr>
    </w:p>
    <w:p w14:paraId="51C60653">
      <w:pPr>
        <w:adjustRightInd w:val="0"/>
        <w:snapToGrid w:val="0"/>
        <w:spacing w:line="560" w:lineRule="exact"/>
        <w:rPr>
          <w:rFonts w:hint="eastAsia" w:eastAsia="黑体"/>
          <w:color w:val="000000"/>
          <w:sz w:val="20"/>
          <w:szCs w:val="20"/>
          <w:highlight w:val="none"/>
        </w:rPr>
      </w:pPr>
    </w:p>
    <w:p w14:paraId="04FBF58C">
      <w:pPr>
        <w:adjustRightInd w:val="0"/>
        <w:snapToGrid w:val="0"/>
        <w:spacing w:line="560" w:lineRule="exact"/>
        <w:jc w:val="center"/>
        <w:rPr>
          <w:rFonts w:hint="eastAsia" w:eastAsia="黑体"/>
          <w:color w:val="000000"/>
          <w:sz w:val="44"/>
          <w:szCs w:val="44"/>
          <w:highlight w:val="none"/>
        </w:rPr>
      </w:pPr>
      <w:r>
        <w:rPr>
          <w:rFonts w:eastAsia="黑体"/>
          <w:color w:val="000000"/>
          <w:sz w:val="44"/>
          <w:szCs w:val="44"/>
          <w:highlight w:val="none"/>
        </w:rPr>
        <w:t>投  标  文  件</w:t>
      </w:r>
      <w:r>
        <w:rPr>
          <w:rFonts w:hint="eastAsia" w:eastAsia="黑体"/>
          <w:color w:val="000000"/>
          <w:sz w:val="44"/>
          <w:szCs w:val="44"/>
          <w:highlight w:val="none"/>
        </w:rPr>
        <w:t xml:space="preserve">  二</w:t>
      </w:r>
    </w:p>
    <w:p w14:paraId="5ED1A363">
      <w:pPr>
        <w:adjustRightInd w:val="0"/>
        <w:snapToGrid w:val="0"/>
        <w:spacing w:line="560" w:lineRule="exact"/>
        <w:jc w:val="center"/>
        <w:rPr>
          <w:rFonts w:hint="eastAsia" w:eastAsia="黑体"/>
          <w:color w:val="000000"/>
          <w:sz w:val="44"/>
          <w:szCs w:val="44"/>
          <w:highlight w:val="none"/>
        </w:rPr>
      </w:pPr>
      <w:r>
        <w:rPr>
          <w:rFonts w:hint="eastAsia" w:eastAsia="黑体"/>
          <w:color w:val="000000"/>
          <w:sz w:val="44"/>
          <w:szCs w:val="44"/>
          <w:highlight w:val="none"/>
        </w:rPr>
        <w:t>（技术标文件）</w:t>
      </w:r>
    </w:p>
    <w:p w14:paraId="3F93D178">
      <w:pPr>
        <w:adjustRightInd w:val="0"/>
        <w:snapToGrid w:val="0"/>
        <w:spacing w:line="560" w:lineRule="exact"/>
        <w:rPr>
          <w:rFonts w:eastAsia="黑体"/>
          <w:color w:val="000000"/>
          <w:sz w:val="28"/>
          <w:szCs w:val="28"/>
          <w:highlight w:val="none"/>
        </w:rPr>
      </w:pPr>
    </w:p>
    <w:p w14:paraId="14641E1E">
      <w:pPr>
        <w:adjustRightInd w:val="0"/>
        <w:snapToGrid w:val="0"/>
        <w:spacing w:line="560" w:lineRule="exact"/>
        <w:rPr>
          <w:rFonts w:eastAsia="黑体"/>
          <w:color w:val="000000"/>
          <w:sz w:val="28"/>
          <w:szCs w:val="28"/>
          <w:highlight w:val="none"/>
        </w:rPr>
      </w:pPr>
    </w:p>
    <w:p w14:paraId="1F90D52E">
      <w:pPr>
        <w:adjustRightInd w:val="0"/>
        <w:snapToGrid w:val="0"/>
        <w:spacing w:line="560" w:lineRule="exact"/>
        <w:rPr>
          <w:rFonts w:eastAsia="黑体"/>
          <w:color w:val="000000"/>
          <w:sz w:val="28"/>
          <w:szCs w:val="28"/>
          <w:highlight w:val="none"/>
        </w:rPr>
      </w:pPr>
    </w:p>
    <w:p w14:paraId="7A259675">
      <w:pPr>
        <w:adjustRightInd w:val="0"/>
        <w:snapToGrid w:val="0"/>
        <w:spacing w:line="560" w:lineRule="exact"/>
        <w:rPr>
          <w:rFonts w:eastAsia="黑体"/>
          <w:color w:val="000000"/>
          <w:sz w:val="28"/>
          <w:szCs w:val="28"/>
          <w:highlight w:val="none"/>
        </w:rPr>
      </w:pPr>
    </w:p>
    <w:p w14:paraId="2D159310">
      <w:pPr>
        <w:adjustRightInd w:val="0"/>
        <w:snapToGrid w:val="0"/>
        <w:spacing w:line="560" w:lineRule="exact"/>
        <w:rPr>
          <w:rFonts w:hint="eastAsia" w:eastAsia="黑体"/>
          <w:color w:val="000000"/>
          <w:sz w:val="28"/>
          <w:szCs w:val="28"/>
          <w:highlight w:val="none"/>
        </w:rPr>
      </w:pPr>
    </w:p>
    <w:p w14:paraId="0F232666">
      <w:pPr>
        <w:pStyle w:val="14"/>
        <w:rPr>
          <w:rFonts w:hint="eastAsia"/>
          <w:color w:val="000000"/>
          <w:highlight w:val="none"/>
        </w:rPr>
      </w:pPr>
    </w:p>
    <w:p w14:paraId="592223C0">
      <w:pPr>
        <w:rPr>
          <w:color w:val="000000"/>
          <w:highlight w:val="none"/>
        </w:rPr>
      </w:pPr>
    </w:p>
    <w:p w14:paraId="52F3A51E">
      <w:pPr>
        <w:adjustRightInd w:val="0"/>
        <w:snapToGrid w:val="0"/>
        <w:spacing w:line="560" w:lineRule="exact"/>
        <w:rPr>
          <w:rFonts w:eastAsia="黑体"/>
          <w:color w:val="000000"/>
          <w:sz w:val="28"/>
          <w:szCs w:val="28"/>
          <w:highlight w:val="none"/>
        </w:rPr>
      </w:pPr>
    </w:p>
    <w:p w14:paraId="5A3D8557">
      <w:pPr>
        <w:pStyle w:val="14"/>
        <w:adjustRightInd w:val="0"/>
        <w:snapToGrid w:val="0"/>
        <w:spacing w:after="0" w:line="560" w:lineRule="exact"/>
        <w:ind w:left="0" w:leftChars="0" w:firstLine="560"/>
        <w:rPr>
          <w:rFonts w:eastAsia="黑体"/>
          <w:color w:val="000000"/>
          <w:sz w:val="28"/>
          <w:szCs w:val="28"/>
          <w:highlight w:val="none"/>
        </w:rPr>
      </w:pPr>
    </w:p>
    <w:p w14:paraId="41A8EC40">
      <w:pPr>
        <w:adjustRightInd w:val="0"/>
        <w:snapToGrid w:val="0"/>
        <w:spacing w:line="560" w:lineRule="exact"/>
        <w:rPr>
          <w:rFonts w:eastAsia="黑体"/>
          <w:color w:val="000000"/>
          <w:sz w:val="28"/>
          <w:szCs w:val="28"/>
          <w:highlight w:val="none"/>
        </w:rPr>
      </w:pPr>
    </w:p>
    <w:p w14:paraId="6ECD99C8">
      <w:pPr>
        <w:pStyle w:val="14"/>
        <w:adjustRightInd w:val="0"/>
        <w:snapToGrid w:val="0"/>
        <w:spacing w:after="0" w:line="560" w:lineRule="exact"/>
        <w:ind w:left="0" w:leftChars="0" w:firstLine="0" w:firstLineChars="0"/>
        <w:rPr>
          <w:color w:val="000000"/>
          <w:highlight w:val="none"/>
        </w:rPr>
      </w:pPr>
    </w:p>
    <w:p w14:paraId="7E1CD6B5">
      <w:pPr>
        <w:adjustRightInd w:val="0"/>
        <w:snapToGrid w:val="0"/>
        <w:spacing w:line="560" w:lineRule="exact"/>
        <w:rPr>
          <w:rFonts w:eastAsia="黑体"/>
          <w:color w:val="000000"/>
          <w:sz w:val="28"/>
          <w:szCs w:val="28"/>
          <w:highlight w:val="none"/>
        </w:rPr>
      </w:pPr>
    </w:p>
    <w:p w14:paraId="73834895">
      <w:pPr>
        <w:adjustRightInd w:val="0"/>
        <w:snapToGrid w:val="0"/>
        <w:spacing w:line="560" w:lineRule="exact"/>
        <w:rPr>
          <w:rFonts w:eastAsia="黑体"/>
          <w:color w:val="000000"/>
          <w:sz w:val="28"/>
          <w:szCs w:val="28"/>
          <w:highlight w:val="none"/>
        </w:rPr>
      </w:pPr>
    </w:p>
    <w:p w14:paraId="09F05625">
      <w:pPr>
        <w:adjustRightInd w:val="0"/>
        <w:snapToGrid w:val="0"/>
        <w:spacing w:line="560" w:lineRule="exact"/>
        <w:jc w:val="center"/>
        <w:rPr>
          <w:rFonts w:eastAsia="黑体"/>
          <w:color w:val="000000"/>
          <w:sz w:val="28"/>
          <w:szCs w:val="28"/>
          <w:highlight w:val="none"/>
          <w:u w:val="single"/>
        </w:rPr>
      </w:pPr>
      <w:r>
        <w:rPr>
          <w:rFonts w:eastAsia="黑体"/>
          <w:color w:val="000000"/>
          <w:sz w:val="28"/>
          <w:szCs w:val="28"/>
          <w:highlight w:val="none"/>
        </w:rPr>
        <w:t>投标人：</w:t>
      </w:r>
      <w:r>
        <w:rPr>
          <w:rFonts w:eastAsia="黑体"/>
          <w:color w:val="000000"/>
          <w:sz w:val="28"/>
          <w:szCs w:val="28"/>
          <w:highlight w:val="none"/>
          <w:u w:val="single"/>
        </w:rPr>
        <w:t xml:space="preserve">            </w:t>
      </w:r>
      <w:r>
        <w:rPr>
          <w:rFonts w:hint="eastAsia" w:eastAsia="黑体"/>
          <w:color w:val="000000"/>
          <w:sz w:val="28"/>
          <w:szCs w:val="28"/>
          <w:highlight w:val="none"/>
          <w:u w:val="single"/>
        </w:rPr>
        <w:t xml:space="preserve">        </w:t>
      </w:r>
      <w:r>
        <w:rPr>
          <w:rFonts w:eastAsia="黑体"/>
          <w:color w:val="000000"/>
          <w:sz w:val="28"/>
          <w:szCs w:val="28"/>
          <w:highlight w:val="none"/>
          <w:u w:val="single"/>
        </w:rPr>
        <w:t xml:space="preserve">   </w:t>
      </w:r>
      <w:r>
        <w:rPr>
          <w:rFonts w:hint="eastAsia" w:eastAsia="黑体"/>
          <w:color w:val="000000"/>
          <w:sz w:val="28"/>
          <w:szCs w:val="28"/>
          <w:highlight w:val="none"/>
          <w:u w:val="single"/>
        </w:rPr>
        <w:t xml:space="preserve">       </w:t>
      </w:r>
      <w:r>
        <w:rPr>
          <w:rFonts w:eastAsia="黑体"/>
          <w:color w:val="000000"/>
          <w:sz w:val="28"/>
          <w:szCs w:val="28"/>
          <w:highlight w:val="none"/>
        </w:rPr>
        <w:t>（</w:t>
      </w:r>
      <w:r>
        <w:rPr>
          <w:rFonts w:hint="eastAsia" w:eastAsia="黑体"/>
          <w:color w:val="000000"/>
          <w:sz w:val="28"/>
          <w:szCs w:val="28"/>
          <w:highlight w:val="none"/>
        </w:rPr>
        <w:t>签章</w:t>
      </w:r>
      <w:r>
        <w:rPr>
          <w:rFonts w:eastAsia="黑体"/>
          <w:color w:val="000000"/>
          <w:sz w:val="28"/>
          <w:szCs w:val="28"/>
          <w:highlight w:val="none"/>
        </w:rPr>
        <w:t>）</w:t>
      </w:r>
    </w:p>
    <w:p w14:paraId="29A7AEF7">
      <w:pPr>
        <w:adjustRightInd w:val="0"/>
        <w:snapToGrid w:val="0"/>
        <w:spacing w:line="560" w:lineRule="exact"/>
        <w:jc w:val="center"/>
        <w:rPr>
          <w:rFonts w:eastAsia="黑体"/>
          <w:color w:val="000000"/>
          <w:sz w:val="28"/>
          <w:szCs w:val="28"/>
          <w:highlight w:val="none"/>
        </w:rPr>
      </w:pPr>
      <w:r>
        <w:rPr>
          <w:rFonts w:hint="eastAsia" w:eastAsia="黑体"/>
          <w:color w:val="000000"/>
          <w:sz w:val="28"/>
          <w:szCs w:val="28"/>
          <w:highlight w:val="none"/>
        </w:rPr>
        <w:t>法定代表人</w:t>
      </w:r>
      <w:r>
        <w:rPr>
          <w:rFonts w:eastAsia="黑体"/>
          <w:color w:val="000000"/>
          <w:sz w:val="28"/>
          <w:szCs w:val="28"/>
          <w:highlight w:val="none"/>
        </w:rPr>
        <w:t>：</w:t>
      </w:r>
      <w:r>
        <w:rPr>
          <w:rFonts w:eastAsia="黑体"/>
          <w:color w:val="000000"/>
          <w:sz w:val="28"/>
          <w:szCs w:val="28"/>
          <w:highlight w:val="none"/>
          <w:u w:val="single"/>
        </w:rPr>
        <w:t xml:space="preserve">   </w:t>
      </w:r>
      <w:r>
        <w:rPr>
          <w:rFonts w:hint="eastAsia" w:eastAsia="黑体"/>
          <w:color w:val="000000"/>
          <w:sz w:val="28"/>
          <w:szCs w:val="28"/>
          <w:highlight w:val="none"/>
          <w:u w:val="single"/>
        </w:rPr>
        <w:t xml:space="preserve">               </w:t>
      </w:r>
      <w:r>
        <w:rPr>
          <w:rFonts w:eastAsia="黑体"/>
          <w:color w:val="000000"/>
          <w:sz w:val="28"/>
          <w:szCs w:val="28"/>
          <w:highlight w:val="none"/>
        </w:rPr>
        <w:t>（签</w:t>
      </w:r>
      <w:r>
        <w:rPr>
          <w:rFonts w:hint="eastAsia" w:eastAsia="黑体"/>
          <w:color w:val="000000"/>
          <w:sz w:val="28"/>
          <w:szCs w:val="28"/>
          <w:highlight w:val="none"/>
        </w:rPr>
        <w:t>章</w:t>
      </w:r>
      <w:r>
        <w:rPr>
          <w:rFonts w:eastAsia="黑体"/>
          <w:color w:val="000000"/>
          <w:sz w:val="28"/>
          <w:szCs w:val="28"/>
          <w:highlight w:val="none"/>
        </w:rPr>
        <w:t>）</w:t>
      </w:r>
      <w:r>
        <w:rPr>
          <w:rFonts w:hint="eastAsia" w:ascii="仿宋_GB2312" w:eastAsia="仿宋_GB2312"/>
          <w:color w:val="000000"/>
          <w:sz w:val="28"/>
          <w:szCs w:val="28"/>
          <w:highlight w:val="none"/>
          <w:vertAlign w:val="superscript"/>
        </w:rPr>
        <w:t>①</w:t>
      </w:r>
    </w:p>
    <w:p w14:paraId="4767AA77">
      <w:pPr>
        <w:adjustRightInd w:val="0"/>
        <w:snapToGrid w:val="0"/>
        <w:spacing w:line="560" w:lineRule="exact"/>
        <w:jc w:val="center"/>
        <w:rPr>
          <w:rFonts w:hint="eastAsia"/>
          <w:color w:val="000000"/>
          <w:highlight w:val="none"/>
        </w:rPr>
      </w:pPr>
      <w:r>
        <w:rPr>
          <w:rFonts w:eastAsia="黑体"/>
          <w:color w:val="000000"/>
          <w:sz w:val="28"/>
          <w:szCs w:val="28"/>
          <w:highlight w:val="none"/>
          <w:u w:val="single"/>
        </w:rPr>
        <w:t xml:space="preserve">        </w:t>
      </w:r>
      <w:r>
        <w:rPr>
          <w:rFonts w:eastAsia="黑体"/>
          <w:color w:val="000000"/>
          <w:sz w:val="28"/>
          <w:szCs w:val="28"/>
          <w:highlight w:val="none"/>
        </w:rPr>
        <w:t>年</w:t>
      </w:r>
      <w:r>
        <w:rPr>
          <w:rFonts w:eastAsia="黑体"/>
          <w:color w:val="000000"/>
          <w:sz w:val="28"/>
          <w:szCs w:val="28"/>
          <w:highlight w:val="none"/>
          <w:u w:val="single"/>
        </w:rPr>
        <w:t xml:space="preserve">        </w:t>
      </w:r>
      <w:r>
        <w:rPr>
          <w:rFonts w:eastAsia="黑体"/>
          <w:color w:val="000000"/>
          <w:sz w:val="28"/>
          <w:szCs w:val="28"/>
          <w:highlight w:val="none"/>
        </w:rPr>
        <w:t>月</w:t>
      </w:r>
      <w:r>
        <w:rPr>
          <w:rFonts w:eastAsia="黑体"/>
          <w:color w:val="000000"/>
          <w:sz w:val="28"/>
          <w:szCs w:val="28"/>
          <w:highlight w:val="none"/>
          <w:u w:val="single"/>
        </w:rPr>
        <w:t xml:space="preserve">        </w:t>
      </w:r>
      <w:r>
        <w:rPr>
          <w:rFonts w:eastAsia="黑体"/>
          <w:color w:val="000000"/>
          <w:sz w:val="28"/>
          <w:szCs w:val="28"/>
          <w:highlight w:val="none"/>
        </w:rPr>
        <w:t>日</w:t>
      </w:r>
    </w:p>
    <w:p w14:paraId="68293451">
      <w:pPr>
        <w:rPr>
          <w:rFonts w:hint="eastAsia"/>
          <w:color w:val="000000"/>
          <w:highlight w:val="none"/>
        </w:rPr>
      </w:pPr>
      <w:bookmarkStart w:id="1028" w:name="_Toc95223539"/>
      <w:r>
        <w:rPr>
          <w:rFonts w:hint="eastAsia"/>
          <w:color w:val="000000"/>
          <w:highlight w:val="none"/>
        </w:rPr>
        <w:br w:type="page"/>
      </w:r>
    </w:p>
    <w:p w14:paraId="1B189BE9">
      <w:pPr>
        <w:spacing w:beforeLines="50" w:afterLines="50" w:line="440" w:lineRule="exact"/>
        <w:jc w:val="left"/>
        <w:rPr>
          <w:rStyle w:val="120"/>
          <w:rFonts w:hint="eastAsia" w:ascii="宋体" w:hAnsi="宋体" w:eastAsia="宋体" w:cs="宋体"/>
          <w:sz w:val="32"/>
          <w:highlight w:val="none"/>
        </w:rPr>
      </w:pPr>
      <w:r>
        <w:rPr>
          <w:rStyle w:val="120"/>
          <w:rFonts w:hint="eastAsia" w:ascii="宋体" w:hAnsi="宋体" w:eastAsia="宋体" w:cs="宋体"/>
          <w:sz w:val="32"/>
          <w:highlight w:val="none"/>
        </w:rPr>
        <w:t>投标文件二：技术标目录</w:t>
      </w:r>
      <w:bookmarkEnd w:id="1028"/>
    </w:p>
    <w:p w14:paraId="6CEC90BF">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cs="宋体"/>
          <w:szCs w:val="21"/>
          <w:highlight w:val="none"/>
        </w:rPr>
        <w:t>（</w:t>
      </w:r>
      <w:r>
        <w:rPr>
          <w:rFonts w:hint="eastAsia" w:ascii="宋体" w:hAnsi="宋体" w:cs="宋体"/>
          <w:szCs w:val="21"/>
          <w:highlight w:val="none"/>
          <w:lang w:val="en-US" w:eastAsia="zh-CN"/>
        </w:rPr>
        <w:t>1</w:t>
      </w:r>
      <w:r>
        <w:rPr>
          <w:rFonts w:hint="eastAsia" w:ascii="宋体" w:hAnsi="宋体" w:cs="宋体"/>
          <w:szCs w:val="21"/>
          <w:highlight w:val="none"/>
        </w:rPr>
        <w:t>）施工组织设计</w:t>
      </w:r>
      <w:r>
        <w:rPr>
          <w:rFonts w:hint="eastAsia" w:ascii="宋体" w:hAnsi="宋体" w:cs="宋体"/>
          <w:szCs w:val="21"/>
          <w:highlight w:val="none"/>
          <w:lang w:eastAsia="zh-CN"/>
        </w:rPr>
        <w:t>。</w:t>
      </w:r>
    </w:p>
    <w:p w14:paraId="15F7D29A">
      <w:pPr>
        <w:adjustRightInd w:val="0"/>
        <w:snapToGrid w:val="0"/>
        <w:spacing w:line="560" w:lineRule="exact"/>
        <w:rPr>
          <w:rFonts w:hint="eastAsia" w:ascii="宋体" w:hAnsi="宋体"/>
          <w:color w:val="000000"/>
          <w:szCs w:val="21"/>
          <w:highlight w:val="none"/>
        </w:rPr>
      </w:pPr>
    </w:p>
    <w:p w14:paraId="04ED82F0">
      <w:pPr>
        <w:adjustRightInd w:val="0"/>
        <w:snapToGrid w:val="0"/>
        <w:spacing w:line="560" w:lineRule="exact"/>
        <w:rPr>
          <w:rFonts w:hint="eastAsia" w:ascii="仿宋_GB2312" w:eastAsia="仿宋_GB2312"/>
          <w:color w:val="000000"/>
          <w:szCs w:val="21"/>
          <w:highlight w:val="none"/>
        </w:rPr>
      </w:pPr>
    </w:p>
    <w:p w14:paraId="2194FA78">
      <w:pPr>
        <w:rPr>
          <w:highlight w:val="none"/>
        </w:rPr>
      </w:pPr>
    </w:p>
    <w:p w14:paraId="07568963">
      <w:pPr>
        <w:rPr>
          <w:rFonts w:eastAsia="黑体"/>
          <w:sz w:val="28"/>
          <w:szCs w:val="28"/>
          <w:highlight w:val="none"/>
        </w:rPr>
      </w:pPr>
      <w:r>
        <w:rPr>
          <w:highlight w:val="none"/>
        </w:rPr>
        <w:br w:type="page"/>
      </w:r>
    </w:p>
    <w:p w14:paraId="00395314">
      <w:pPr>
        <w:jc w:val="center"/>
        <w:rPr>
          <w:rFonts w:eastAsia="黑体"/>
          <w:sz w:val="28"/>
          <w:szCs w:val="28"/>
          <w:highlight w:val="none"/>
        </w:rPr>
      </w:pPr>
    </w:p>
    <w:p w14:paraId="7F529C5E">
      <w:pPr>
        <w:jc w:val="center"/>
        <w:rPr>
          <w:rFonts w:eastAsia="黑体"/>
          <w:sz w:val="28"/>
          <w:szCs w:val="28"/>
          <w:highlight w:val="none"/>
        </w:rPr>
      </w:pPr>
    </w:p>
    <w:p w14:paraId="52F921F7">
      <w:pPr>
        <w:jc w:val="center"/>
        <w:rPr>
          <w:rFonts w:eastAsia="黑体"/>
          <w:sz w:val="20"/>
          <w:szCs w:val="20"/>
          <w:highlight w:val="none"/>
        </w:rPr>
      </w:pPr>
      <w:r>
        <w:rPr>
          <w:rFonts w:eastAsia="黑体"/>
          <w:sz w:val="28"/>
          <w:szCs w:val="28"/>
          <w:highlight w:val="none"/>
        </w:rPr>
        <w:t>（项目名称）</w:t>
      </w:r>
    </w:p>
    <w:p w14:paraId="1CB3AF7F">
      <w:pPr>
        <w:jc w:val="center"/>
        <w:rPr>
          <w:rFonts w:eastAsia="黑体"/>
          <w:sz w:val="20"/>
          <w:szCs w:val="20"/>
          <w:highlight w:val="none"/>
        </w:rPr>
      </w:pPr>
    </w:p>
    <w:p w14:paraId="7F67D925">
      <w:pPr>
        <w:rPr>
          <w:rFonts w:eastAsia="黑体"/>
          <w:sz w:val="20"/>
          <w:szCs w:val="20"/>
          <w:highlight w:val="none"/>
        </w:rPr>
      </w:pPr>
    </w:p>
    <w:p w14:paraId="5AE9D7EA">
      <w:pPr>
        <w:jc w:val="center"/>
        <w:rPr>
          <w:rFonts w:hint="eastAsia" w:eastAsia="黑体"/>
          <w:sz w:val="44"/>
          <w:szCs w:val="44"/>
          <w:highlight w:val="none"/>
          <w:lang w:eastAsia="zh-CN"/>
        </w:rPr>
      </w:pPr>
      <w:r>
        <w:rPr>
          <w:rFonts w:eastAsia="黑体"/>
          <w:sz w:val="44"/>
          <w:szCs w:val="44"/>
          <w:highlight w:val="none"/>
        </w:rPr>
        <w:t>投  标  文  件</w:t>
      </w:r>
      <w:r>
        <w:rPr>
          <w:rFonts w:hint="eastAsia" w:eastAsia="黑体"/>
          <w:sz w:val="44"/>
          <w:szCs w:val="44"/>
          <w:highlight w:val="none"/>
        </w:rPr>
        <w:t xml:space="preserve">  </w:t>
      </w:r>
      <w:r>
        <w:rPr>
          <w:rFonts w:hint="eastAsia" w:eastAsia="黑体"/>
          <w:sz w:val="44"/>
          <w:szCs w:val="44"/>
          <w:highlight w:val="none"/>
          <w:lang w:val="en-US" w:eastAsia="zh-CN"/>
        </w:rPr>
        <w:t>三</w:t>
      </w:r>
    </w:p>
    <w:p w14:paraId="4D9A83AD">
      <w:pPr>
        <w:jc w:val="center"/>
        <w:rPr>
          <w:rFonts w:eastAsia="黑体"/>
          <w:sz w:val="44"/>
          <w:szCs w:val="44"/>
          <w:highlight w:val="none"/>
        </w:rPr>
      </w:pPr>
      <w:r>
        <w:rPr>
          <w:rFonts w:hint="eastAsia" w:eastAsia="黑体"/>
          <w:sz w:val="44"/>
          <w:szCs w:val="44"/>
          <w:highlight w:val="none"/>
        </w:rPr>
        <w:t>（商务标文件）</w:t>
      </w:r>
    </w:p>
    <w:p w14:paraId="00AD4571">
      <w:pPr>
        <w:rPr>
          <w:rFonts w:eastAsia="黑体"/>
          <w:sz w:val="28"/>
          <w:szCs w:val="28"/>
          <w:highlight w:val="none"/>
        </w:rPr>
      </w:pPr>
    </w:p>
    <w:p w14:paraId="03FF9373">
      <w:pPr>
        <w:rPr>
          <w:rFonts w:eastAsia="黑体"/>
          <w:sz w:val="28"/>
          <w:szCs w:val="28"/>
          <w:highlight w:val="none"/>
        </w:rPr>
      </w:pPr>
    </w:p>
    <w:p w14:paraId="6F4198FD">
      <w:pPr>
        <w:rPr>
          <w:rFonts w:eastAsia="黑体"/>
          <w:sz w:val="28"/>
          <w:szCs w:val="28"/>
          <w:highlight w:val="none"/>
        </w:rPr>
      </w:pPr>
    </w:p>
    <w:p w14:paraId="18D553B1">
      <w:pPr>
        <w:rPr>
          <w:rFonts w:eastAsia="黑体"/>
          <w:sz w:val="28"/>
          <w:szCs w:val="28"/>
          <w:highlight w:val="none"/>
        </w:rPr>
      </w:pPr>
    </w:p>
    <w:p w14:paraId="0E5FE50F">
      <w:pPr>
        <w:rPr>
          <w:rFonts w:eastAsia="黑体"/>
          <w:sz w:val="28"/>
          <w:szCs w:val="28"/>
          <w:highlight w:val="none"/>
        </w:rPr>
      </w:pPr>
    </w:p>
    <w:p w14:paraId="74AFA9E2">
      <w:pPr>
        <w:rPr>
          <w:rFonts w:eastAsia="黑体"/>
          <w:sz w:val="28"/>
          <w:szCs w:val="28"/>
          <w:highlight w:val="none"/>
        </w:rPr>
      </w:pPr>
    </w:p>
    <w:p w14:paraId="34079401">
      <w:pPr>
        <w:rPr>
          <w:rFonts w:eastAsia="黑体"/>
          <w:sz w:val="28"/>
          <w:szCs w:val="28"/>
          <w:highlight w:val="none"/>
        </w:rPr>
      </w:pPr>
    </w:p>
    <w:p w14:paraId="794B988D">
      <w:pPr>
        <w:pStyle w:val="14"/>
        <w:rPr>
          <w:highlight w:val="none"/>
        </w:rPr>
      </w:pPr>
    </w:p>
    <w:p w14:paraId="0682BFC9">
      <w:pPr>
        <w:rPr>
          <w:rFonts w:eastAsia="黑体"/>
          <w:sz w:val="28"/>
          <w:szCs w:val="28"/>
          <w:highlight w:val="none"/>
        </w:rPr>
      </w:pPr>
    </w:p>
    <w:p w14:paraId="68117E32">
      <w:pPr>
        <w:rPr>
          <w:rFonts w:eastAsia="黑体"/>
          <w:sz w:val="28"/>
          <w:szCs w:val="28"/>
          <w:highlight w:val="none"/>
        </w:rPr>
      </w:pPr>
    </w:p>
    <w:p w14:paraId="038F9E36">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eastAsia="黑体"/>
          <w:sz w:val="28"/>
          <w:szCs w:val="28"/>
          <w:highlight w:val="none"/>
          <w:u w:val="single"/>
        </w:rPr>
      </w:pPr>
      <w:r>
        <w:rPr>
          <w:rFonts w:hint="eastAsia" w:eastAsia="黑体"/>
          <w:sz w:val="28"/>
          <w:szCs w:val="28"/>
          <w:highlight w:val="none"/>
        </w:rPr>
        <w:t xml:space="preserve"> 投标人</w:t>
      </w:r>
      <w:r>
        <w:rPr>
          <w:rFonts w:eastAsia="黑体"/>
          <w:sz w:val="28"/>
          <w:szCs w:val="28"/>
          <w:highlight w:val="none"/>
        </w:rPr>
        <w:t>：</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eastAsia="黑体"/>
          <w:sz w:val="28"/>
          <w:szCs w:val="28"/>
          <w:highlight w:val="none"/>
        </w:rPr>
        <w:t>（</w:t>
      </w:r>
      <w:r>
        <w:rPr>
          <w:rFonts w:hint="eastAsia" w:eastAsia="黑体"/>
          <w:sz w:val="28"/>
          <w:szCs w:val="28"/>
          <w:highlight w:val="none"/>
        </w:rPr>
        <w:t>盖</w:t>
      </w:r>
      <w:r>
        <w:rPr>
          <w:rFonts w:eastAsia="黑体"/>
          <w:sz w:val="28"/>
          <w:szCs w:val="28"/>
          <w:highlight w:val="none"/>
        </w:rPr>
        <w:t>章）</w:t>
      </w:r>
    </w:p>
    <w:p w14:paraId="4CAB06D8">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eastAsia="黑体"/>
          <w:sz w:val="28"/>
          <w:szCs w:val="28"/>
          <w:highlight w:val="none"/>
        </w:rPr>
      </w:pPr>
      <w:r>
        <w:rPr>
          <w:rFonts w:hint="eastAsia" w:eastAsia="黑体"/>
          <w:sz w:val="28"/>
          <w:szCs w:val="28"/>
          <w:highlight w:val="none"/>
        </w:rPr>
        <w:t xml:space="preserve">   </w:t>
      </w:r>
      <w:r>
        <w:rPr>
          <w:rFonts w:eastAsia="黑体"/>
          <w:sz w:val="28"/>
          <w:szCs w:val="28"/>
          <w:highlight w:val="none"/>
        </w:rPr>
        <w:t>法定代表人</w:t>
      </w:r>
      <w:r>
        <w:rPr>
          <w:rFonts w:hint="eastAsia" w:eastAsia="黑体"/>
          <w:sz w:val="28"/>
          <w:szCs w:val="28"/>
          <w:highlight w:val="none"/>
          <w:lang w:val="en-US" w:eastAsia="zh-CN"/>
        </w:rPr>
        <w:t>或授权委托人</w:t>
      </w:r>
      <w:r>
        <w:rPr>
          <w:rFonts w:eastAsia="黑体"/>
          <w:sz w:val="28"/>
          <w:szCs w:val="28"/>
          <w:highlight w:val="none"/>
        </w:rPr>
        <w:t>：</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eastAsia="黑体"/>
          <w:sz w:val="28"/>
          <w:szCs w:val="28"/>
          <w:highlight w:val="none"/>
        </w:rPr>
        <w:t>（</w:t>
      </w:r>
      <w:r>
        <w:rPr>
          <w:rFonts w:hint="eastAsia" w:eastAsia="黑体"/>
          <w:sz w:val="28"/>
          <w:szCs w:val="28"/>
          <w:highlight w:val="none"/>
        </w:rPr>
        <w:t>签字或盖章</w:t>
      </w:r>
      <w:r>
        <w:rPr>
          <w:rFonts w:eastAsia="黑体"/>
          <w:sz w:val="28"/>
          <w:szCs w:val="28"/>
          <w:highlight w:val="none"/>
        </w:rPr>
        <w:t>）</w:t>
      </w:r>
    </w:p>
    <w:p w14:paraId="350C1BB2">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2EE77B13">
      <w:pPr>
        <w:rPr>
          <w:highlight w:val="none"/>
        </w:rPr>
      </w:pPr>
    </w:p>
    <w:p w14:paraId="2F4494A4">
      <w:pPr>
        <w:pStyle w:val="14"/>
        <w:ind w:firstLine="420"/>
        <w:rPr>
          <w:highlight w:val="none"/>
        </w:rPr>
      </w:pPr>
    </w:p>
    <w:p w14:paraId="3AB72A24">
      <w:pPr>
        <w:rPr>
          <w:highlight w:val="none"/>
        </w:rPr>
      </w:pPr>
    </w:p>
    <w:p w14:paraId="7623FBE3">
      <w:pPr>
        <w:rPr>
          <w:rStyle w:val="120"/>
          <w:rFonts w:hint="eastAsia" w:ascii="宋体" w:hAnsi="宋体" w:cs="宋体"/>
          <w:sz w:val="32"/>
          <w:highlight w:val="none"/>
        </w:rPr>
      </w:pPr>
      <w:bookmarkStart w:id="1029" w:name="_Toc35425139"/>
      <w:bookmarkStart w:id="1030" w:name="_Toc19174"/>
      <w:bookmarkStart w:id="1031" w:name="_Toc35424973"/>
      <w:bookmarkStart w:id="1032" w:name="_Toc78803401"/>
      <w:r>
        <w:rPr>
          <w:rStyle w:val="120"/>
          <w:rFonts w:hint="eastAsia" w:ascii="宋体" w:hAnsi="宋体" w:cs="宋体"/>
          <w:sz w:val="32"/>
          <w:highlight w:val="none"/>
        </w:rPr>
        <w:br w:type="page"/>
      </w:r>
    </w:p>
    <w:p w14:paraId="60A767E1">
      <w:pPr>
        <w:spacing w:beforeLines="50" w:afterLines="50" w:line="440" w:lineRule="exact"/>
        <w:ind w:firstLine="643" w:firstLineChars="200"/>
        <w:jc w:val="left"/>
        <w:rPr>
          <w:rStyle w:val="120"/>
          <w:rFonts w:ascii="宋体" w:hAnsi="宋体" w:cs="宋体"/>
          <w:sz w:val="32"/>
          <w:highlight w:val="none"/>
        </w:rPr>
      </w:pPr>
      <w:r>
        <w:rPr>
          <w:rStyle w:val="120"/>
          <w:rFonts w:hint="eastAsia" w:ascii="宋体" w:hAnsi="宋体" w:cs="宋体"/>
          <w:sz w:val="32"/>
          <w:highlight w:val="none"/>
        </w:rPr>
        <w:t>投标文件</w:t>
      </w:r>
      <w:bookmarkEnd w:id="1029"/>
      <w:bookmarkEnd w:id="1030"/>
      <w:bookmarkEnd w:id="1031"/>
      <w:r>
        <w:rPr>
          <w:rStyle w:val="120"/>
          <w:rFonts w:hint="eastAsia" w:ascii="宋体" w:hAnsi="宋体" w:cs="宋体"/>
          <w:sz w:val="32"/>
          <w:highlight w:val="none"/>
          <w:lang w:val="en-US"/>
        </w:rPr>
        <w:t>三</w:t>
      </w:r>
      <w:r>
        <w:rPr>
          <w:rStyle w:val="120"/>
          <w:rFonts w:hint="eastAsia" w:ascii="宋体" w:hAnsi="宋体" w:cs="宋体"/>
          <w:sz w:val="32"/>
          <w:highlight w:val="none"/>
        </w:rPr>
        <w:t>：商务标目录</w:t>
      </w:r>
      <w:bookmarkEnd w:id="1032"/>
    </w:p>
    <w:p w14:paraId="06B1FF0C">
      <w:pPr>
        <w:adjustRightInd w:val="0"/>
        <w:snapToGrid w:val="0"/>
        <w:spacing w:line="560" w:lineRule="exact"/>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（1）投标函（格式见附件）；</w:t>
      </w:r>
    </w:p>
    <w:p w14:paraId="0B1A805E">
      <w:pPr>
        <w:adjustRightInd w:val="0"/>
        <w:snapToGrid w:val="0"/>
        <w:spacing w:line="560" w:lineRule="exact"/>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cs="Times New Roman"/>
          <w:color w:val="auto"/>
          <w:szCs w:val="21"/>
          <w:highlight w:val="none"/>
          <w:lang w:val="en-US" w:eastAsia="zh-CN"/>
        </w:rPr>
        <w:t>2</w:t>
      </w:r>
      <w:r>
        <w:rPr>
          <w:rFonts w:hint="eastAsia" w:ascii="宋体" w:hAnsi="宋体" w:eastAsia="宋体" w:cs="Times New Roman"/>
          <w:color w:val="auto"/>
          <w:szCs w:val="21"/>
          <w:highlight w:val="none"/>
        </w:rPr>
        <w:t>）全国建筑市场监管公共服务平台(四库一平台)企业注册人员网页截图；</w:t>
      </w:r>
    </w:p>
    <w:p w14:paraId="738E5D01">
      <w:pPr>
        <w:adjustRightInd w:val="0"/>
        <w:snapToGrid w:val="0"/>
        <w:spacing w:line="560" w:lineRule="exact"/>
        <w:ind w:firstLine="420" w:firstLineChars="200"/>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eastAsia="zh-CN"/>
        </w:rPr>
        <w:t>（</w:t>
      </w: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lang w:val="en-US" w:eastAsia="zh-CN"/>
        </w:rPr>
        <w:t>）投标人承诺其所投产品的技术支持能力全部满足招标文件要求的承诺函（格式自拟）；</w:t>
      </w:r>
    </w:p>
    <w:p w14:paraId="38255487">
      <w:pPr>
        <w:adjustRightInd w:val="0"/>
        <w:snapToGrid w:val="0"/>
        <w:spacing w:line="560" w:lineRule="exact"/>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rPr>
        <w:t>）详细评审所需其他材料。</w:t>
      </w:r>
    </w:p>
    <w:p w14:paraId="4BEB26DA">
      <w:pPr>
        <w:spacing w:line="540" w:lineRule="exact"/>
        <w:rPr>
          <w:rFonts w:eastAsia="黑体"/>
          <w:sz w:val="20"/>
          <w:szCs w:val="20"/>
          <w:highlight w:val="none"/>
        </w:rPr>
      </w:pPr>
    </w:p>
    <w:p w14:paraId="3338FC9F">
      <w:pPr>
        <w:spacing w:line="540" w:lineRule="exact"/>
        <w:rPr>
          <w:rFonts w:eastAsia="黑体"/>
          <w:sz w:val="20"/>
          <w:szCs w:val="20"/>
          <w:highlight w:val="none"/>
        </w:rPr>
      </w:pPr>
    </w:p>
    <w:p w14:paraId="3D5F9903">
      <w:pPr>
        <w:spacing w:line="540" w:lineRule="exact"/>
        <w:rPr>
          <w:rFonts w:eastAsia="黑体"/>
          <w:sz w:val="20"/>
          <w:szCs w:val="20"/>
          <w:highlight w:val="none"/>
        </w:rPr>
      </w:pPr>
    </w:p>
    <w:p w14:paraId="6FEF5B0D">
      <w:pPr>
        <w:spacing w:line="360" w:lineRule="auto"/>
        <w:ind w:firstLine="420" w:firstLineChars="200"/>
        <w:jc w:val="right"/>
        <w:rPr>
          <w:szCs w:val="21"/>
          <w:highlight w:val="none"/>
          <w:u w:val="single"/>
        </w:rPr>
      </w:pPr>
    </w:p>
    <w:p w14:paraId="70F20168">
      <w:pPr>
        <w:spacing w:line="360" w:lineRule="auto"/>
        <w:ind w:firstLine="420" w:firstLineChars="200"/>
        <w:jc w:val="right"/>
        <w:rPr>
          <w:szCs w:val="21"/>
          <w:highlight w:val="none"/>
          <w:u w:val="single"/>
        </w:rPr>
      </w:pPr>
    </w:p>
    <w:p w14:paraId="5BDCA848">
      <w:pPr>
        <w:spacing w:line="360" w:lineRule="auto"/>
        <w:ind w:firstLine="420" w:firstLineChars="200"/>
        <w:jc w:val="right"/>
        <w:rPr>
          <w:szCs w:val="21"/>
          <w:highlight w:val="none"/>
          <w:u w:val="single"/>
        </w:rPr>
      </w:pPr>
    </w:p>
    <w:p w14:paraId="5B4A47D5">
      <w:pPr>
        <w:spacing w:line="360" w:lineRule="auto"/>
        <w:ind w:firstLine="420" w:firstLineChars="200"/>
        <w:jc w:val="right"/>
        <w:rPr>
          <w:szCs w:val="21"/>
          <w:highlight w:val="none"/>
          <w:u w:val="single"/>
        </w:rPr>
      </w:pPr>
    </w:p>
    <w:p w14:paraId="6AF87BBA">
      <w:pPr>
        <w:spacing w:line="360" w:lineRule="auto"/>
        <w:ind w:firstLine="420" w:firstLineChars="200"/>
        <w:jc w:val="right"/>
        <w:rPr>
          <w:szCs w:val="21"/>
          <w:highlight w:val="none"/>
          <w:u w:val="single"/>
        </w:rPr>
      </w:pPr>
    </w:p>
    <w:p w14:paraId="49A7FE35">
      <w:pPr>
        <w:spacing w:line="360" w:lineRule="auto"/>
        <w:ind w:firstLine="420" w:firstLineChars="200"/>
        <w:jc w:val="right"/>
        <w:rPr>
          <w:szCs w:val="21"/>
          <w:highlight w:val="none"/>
          <w:u w:val="single"/>
        </w:rPr>
      </w:pPr>
    </w:p>
    <w:p w14:paraId="7EAE036F">
      <w:pPr>
        <w:spacing w:line="360" w:lineRule="auto"/>
        <w:ind w:firstLine="420" w:firstLineChars="200"/>
        <w:jc w:val="right"/>
        <w:rPr>
          <w:szCs w:val="21"/>
          <w:highlight w:val="none"/>
          <w:u w:val="single"/>
        </w:rPr>
      </w:pPr>
    </w:p>
    <w:p w14:paraId="042B576F">
      <w:pPr>
        <w:jc w:val="both"/>
        <w:rPr>
          <w:b/>
          <w:sz w:val="32"/>
          <w:szCs w:val="32"/>
          <w:highlight w:val="none"/>
        </w:rPr>
      </w:pPr>
    </w:p>
    <w:p w14:paraId="5D358DCD">
      <w:pPr>
        <w:jc w:val="center"/>
        <w:rPr>
          <w:rFonts w:ascii="宋体" w:hAnsi="宋体"/>
          <w:b/>
          <w:sz w:val="32"/>
          <w:szCs w:val="32"/>
          <w:highlight w:val="none"/>
        </w:rPr>
      </w:pPr>
      <w:r>
        <w:rPr>
          <w:rFonts w:hint="eastAsia" w:ascii="宋体" w:hAnsi="宋体"/>
          <w:b/>
          <w:sz w:val="32"/>
          <w:szCs w:val="32"/>
          <w:highlight w:val="none"/>
        </w:rPr>
        <w:br w:type="page"/>
      </w:r>
      <w:r>
        <w:rPr>
          <w:rFonts w:hint="eastAsia" w:ascii="宋体" w:hAnsi="宋体"/>
          <w:b/>
          <w:sz w:val="32"/>
          <w:szCs w:val="32"/>
          <w:highlight w:val="none"/>
        </w:rPr>
        <w:t>（1）投 标 函</w:t>
      </w:r>
    </w:p>
    <w:p w14:paraId="246EE23D">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highlight w:val="none"/>
        </w:rPr>
      </w:pPr>
      <w:bookmarkStart w:id="1033" w:name="_Toc35425140"/>
      <w:bookmarkStart w:id="1034" w:name="_Toc506107366"/>
      <w:bookmarkStart w:id="1035" w:name="_Toc15058950"/>
      <w:bookmarkStart w:id="1036" w:name="_Toc35424974"/>
      <w:r>
        <w:rPr>
          <w:rFonts w:hint="eastAsia" w:ascii="宋体" w:hAnsi="宋体" w:eastAsia="宋体" w:cs="宋体"/>
          <w:b/>
          <w:bCs/>
          <w:color w:val="auto"/>
          <w:highlight w:val="none"/>
        </w:rPr>
        <w:t>致 ：</w:t>
      </w:r>
      <w:r>
        <w:rPr>
          <w:rFonts w:hint="eastAsia" w:ascii="宋体" w:hAnsi="宋体" w:eastAsia="宋体" w:cs="宋体"/>
          <w:b/>
          <w:bCs/>
          <w:color w:val="auto"/>
          <w:highlight w:val="none"/>
          <w:u w:val="single"/>
          <w:lang w:val="en-US" w:eastAsia="zh-CN"/>
        </w:rPr>
        <w:t xml:space="preserve">       （招标人） </w:t>
      </w:r>
      <w:r>
        <w:rPr>
          <w:rFonts w:hint="eastAsia" w:ascii="宋体" w:hAnsi="宋体" w:eastAsia="宋体" w:cs="宋体"/>
          <w:color w:val="auto"/>
          <w:highlight w:val="none"/>
        </w:rPr>
        <w:t xml:space="preserve">：  </w:t>
      </w:r>
    </w:p>
    <w:p w14:paraId="508E2472">
      <w:pPr>
        <w:spacing w:line="500" w:lineRule="exact"/>
        <w:ind w:firstLine="420" w:firstLineChars="200"/>
        <w:jc w:val="left"/>
        <w:rPr>
          <w:rFonts w:hint="eastAsia" w:ascii="宋体" w:hAnsi="宋体" w:eastAsia="宋体" w:cs="Times New Roman"/>
          <w:color w:val="000000"/>
          <w:sz w:val="21"/>
          <w:szCs w:val="21"/>
          <w:highlight w:val="none"/>
        </w:rPr>
      </w:pPr>
      <w:r>
        <w:rPr>
          <w:rFonts w:hint="eastAsia" w:ascii="宋体" w:hAnsi="宋体"/>
          <w:color w:val="000000"/>
          <w:sz w:val="21"/>
          <w:szCs w:val="21"/>
          <w:highlight w:val="none"/>
        </w:rPr>
        <w:t>1、根据你方招</w:t>
      </w:r>
      <w:bookmarkStart w:id="1037" w:name="_Toc60061591"/>
      <w:r>
        <w:rPr>
          <w:rFonts w:hint="eastAsia" w:ascii="宋体" w:hAnsi="宋体"/>
          <w:color w:val="000000"/>
          <w:sz w:val="21"/>
          <w:szCs w:val="21"/>
          <w:highlight w:val="none"/>
        </w:rPr>
        <w:t>标项目编号为</w:t>
      </w:r>
      <w:r>
        <w:rPr>
          <w:rFonts w:ascii="宋体" w:hAnsi="宋体"/>
          <w:color w:val="000000"/>
          <w:sz w:val="21"/>
          <w:szCs w:val="21"/>
          <w:highlight w:val="none"/>
          <w:u w:val="single"/>
        </w:rPr>
        <w:t xml:space="preserve">  </w:t>
      </w:r>
      <w:bookmarkEnd w:id="1037"/>
      <w:r>
        <w:rPr>
          <w:rFonts w:ascii="宋体" w:hAnsi="宋体"/>
          <w:color w:val="000000"/>
          <w:sz w:val="21"/>
          <w:szCs w:val="21"/>
          <w:highlight w:val="none"/>
          <w:u w:val="single"/>
        </w:rPr>
        <w:t xml:space="preserve">      </w:t>
      </w:r>
      <w:r>
        <w:rPr>
          <w:rFonts w:ascii="宋体" w:hAnsi="宋体"/>
          <w:color w:val="000000"/>
          <w:sz w:val="21"/>
          <w:szCs w:val="21"/>
          <w:highlight w:val="none"/>
        </w:rPr>
        <w:t xml:space="preserve"> </w:t>
      </w:r>
      <w:r>
        <w:rPr>
          <w:rFonts w:hint="eastAsia" w:ascii="宋体" w:hAnsi="宋体"/>
          <w:color w:val="000000"/>
          <w:sz w:val="21"/>
          <w:szCs w:val="21"/>
          <w:highlight w:val="none"/>
        </w:rPr>
        <w:t>的</w:t>
      </w:r>
      <w:r>
        <w:rPr>
          <w:rFonts w:ascii="宋体" w:hAnsi="宋体"/>
          <w:color w:val="000000"/>
          <w:sz w:val="21"/>
          <w:szCs w:val="21"/>
          <w:highlight w:val="none"/>
        </w:rPr>
        <w:t xml:space="preserve"> </w:t>
      </w:r>
      <w:r>
        <w:rPr>
          <w:rFonts w:ascii="宋体" w:hAnsi="宋体"/>
          <w:color w:val="000000"/>
          <w:sz w:val="21"/>
          <w:szCs w:val="21"/>
          <w:highlight w:val="none"/>
          <w:u w:val="single"/>
        </w:rPr>
        <w:t xml:space="preserve">                </w:t>
      </w:r>
      <w:r>
        <w:rPr>
          <w:rFonts w:hint="eastAsia" w:ascii="宋体" w:hAnsi="宋体"/>
          <w:color w:val="000000"/>
          <w:sz w:val="21"/>
          <w:szCs w:val="21"/>
          <w:highlight w:val="none"/>
        </w:rPr>
        <w:t>招标文件，遵照《中华人民共和国招标投标法》等有关规定，经踏勘项目现场和研究上述招标文件的投标须知、合同条件、技术规范、图纸和其他有关文件后，</w:t>
      </w:r>
      <w:r>
        <w:rPr>
          <w:rFonts w:hint="eastAsia" w:ascii="宋体" w:hAnsi="宋体" w:eastAsia="宋体" w:cs="Times New Roman"/>
          <w:color w:val="000000"/>
          <w:sz w:val="21"/>
          <w:szCs w:val="21"/>
          <w:highlight w:val="none"/>
        </w:rPr>
        <w:t>我方愿以</w:t>
      </w:r>
      <w:r>
        <w:rPr>
          <w:rFonts w:hint="eastAsia" w:ascii="宋体" w:hAnsi="宋体" w:eastAsia="宋体" w:cs="Times New Roman"/>
          <w:color w:val="000000"/>
          <w:sz w:val="21"/>
          <w:szCs w:val="21"/>
          <w:highlight w:val="none"/>
          <w:lang w:val="en-US" w:eastAsia="zh-CN"/>
        </w:rPr>
        <w:t>单价</w:t>
      </w:r>
      <w:r>
        <w:rPr>
          <w:rFonts w:hint="eastAsia" w:ascii="宋体" w:hAnsi="宋体" w:eastAsia="宋体" w:cs="Times New Roman"/>
          <w:color w:val="000000"/>
          <w:sz w:val="21"/>
          <w:szCs w:val="21"/>
          <w:highlight w:val="none"/>
          <w:u w:val="single"/>
        </w:rPr>
        <w:t xml:space="preserve">    </w:t>
      </w:r>
      <w:r>
        <w:rPr>
          <w:rFonts w:hint="eastAsia" w:ascii="宋体" w:hAnsi="宋体" w:eastAsia="宋体" w:cs="Times New Roman"/>
          <w:color w:val="000000"/>
          <w:sz w:val="21"/>
          <w:szCs w:val="21"/>
          <w:highlight w:val="none"/>
          <w:u w:val="single"/>
          <w:lang w:val="en-US" w:eastAsia="zh-CN"/>
        </w:rPr>
        <w:t xml:space="preserve">  </w:t>
      </w:r>
      <w:r>
        <w:rPr>
          <w:rFonts w:hint="eastAsia" w:ascii="宋体" w:hAnsi="宋体" w:eastAsia="宋体" w:cs="Times New Roman"/>
          <w:color w:val="000000"/>
          <w:sz w:val="21"/>
          <w:szCs w:val="21"/>
          <w:highlight w:val="none"/>
          <w:u w:val="single"/>
        </w:rPr>
        <w:t xml:space="preserve">  </w:t>
      </w:r>
      <w:r>
        <w:rPr>
          <w:rFonts w:hint="eastAsia" w:ascii="宋体" w:hAnsi="宋体" w:eastAsia="宋体" w:cs="Times New Roman"/>
          <w:color w:val="000000"/>
          <w:sz w:val="21"/>
          <w:szCs w:val="21"/>
          <w:highlight w:val="none"/>
          <w:lang w:val="en-US" w:eastAsia="zh-CN"/>
        </w:rPr>
        <w:t>元/W</w:t>
      </w:r>
      <w:r>
        <w:rPr>
          <w:rFonts w:hint="eastAsia" w:ascii="宋体" w:hAnsi="宋体" w:cs="Times New Roman"/>
          <w:color w:val="000000"/>
          <w:sz w:val="21"/>
          <w:szCs w:val="21"/>
          <w:highlight w:val="none"/>
          <w:lang w:val="en-US" w:eastAsia="zh-CN"/>
        </w:rPr>
        <w:t>P</w:t>
      </w:r>
      <w:r>
        <w:rPr>
          <w:rFonts w:hint="eastAsia" w:ascii="宋体" w:hAnsi="宋体" w:eastAsia="宋体" w:cs="Times New Roman"/>
          <w:color w:val="000000"/>
          <w:sz w:val="21"/>
          <w:szCs w:val="21"/>
          <w:highlight w:val="none"/>
          <w:lang w:val="en-US" w:eastAsia="zh-CN"/>
        </w:rPr>
        <w:t>（含税）为本项目的投标报价，</w:t>
      </w:r>
      <w:r>
        <w:rPr>
          <w:rFonts w:hint="eastAsia" w:ascii="宋体" w:hAnsi="宋体" w:eastAsia="宋体" w:cs="Times New Roman"/>
          <w:color w:val="000000"/>
          <w:sz w:val="21"/>
          <w:szCs w:val="21"/>
          <w:highlight w:val="none"/>
        </w:rPr>
        <w:t>承包上述工程的设计、采购、施工、竣工</w:t>
      </w:r>
      <w:r>
        <w:rPr>
          <w:rFonts w:hint="eastAsia" w:ascii="宋体" w:hAnsi="宋体" w:eastAsia="宋体" w:cs="Times New Roman"/>
          <w:color w:val="000000"/>
          <w:sz w:val="21"/>
          <w:szCs w:val="21"/>
          <w:highlight w:val="none"/>
          <w:lang w:eastAsia="zh-CN"/>
        </w:rPr>
        <w:t>、</w:t>
      </w:r>
      <w:r>
        <w:rPr>
          <w:rFonts w:hint="eastAsia" w:ascii="宋体" w:hAnsi="宋体" w:eastAsia="宋体" w:cs="Times New Roman"/>
          <w:color w:val="000000"/>
          <w:sz w:val="21"/>
          <w:szCs w:val="21"/>
          <w:highlight w:val="none"/>
          <w:lang w:val="en-US" w:eastAsia="zh-CN"/>
        </w:rPr>
        <w:t>运维</w:t>
      </w:r>
      <w:r>
        <w:rPr>
          <w:rFonts w:hint="eastAsia" w:ascii="宋体" w:hAnsi="宋体" w:eastAsia="宋体" w:cs="Times New Roman"/>
          <w:color w:val="000000"/>
          <w:sz w:val="21"/>
          <w:szCs w:val="21"/>
          <w:highlight w:val="none"/>
        </w:rPr>
        <w:t>并承担任何质量缺陷保修责任。</w:t>
      </w:r>
    </w:p>
    <w:p w14:paraId="5F0C98BD">
      <w:pPr>
        <w:tabs>
          <w:tab w:val="left" w:pos="840"/>
        </w:tabs>
        <w:adjustRightInd w:val="0"/>
        <w:snapToGrid w:val="0"/>
        <w:spacing w:line="560" w:lineRule="exact"/>
        <w:ind w:firstLine="420" w:firstLineChars="200"/>
        <w:rPr>
          <w:rFonts w:ascii="宋体" w:hAnsi="宋体"/>
          <w:color w:val="000000"/>
          <w:sz w:val="21"/>
          <w:szCs w:val="21"/>
          <w:highlight w:val="none"/>
        </w:rPr>
      </w:pPr>
      <w:r>
        <w:rPr>
          <w:rFonts w:hint="eastAsia" w:ascii="宋体" w:hAnsi="宋体"/>
          <w:color w:val="000000"/>
          <w:sz w:val="21"/>
          <w:szCs w:val="21"/>
          <w:highlight w:val="none"/>
        </w:rPr>
        <w:t>2、我方已详细审核全部招标文件及有关附件，承诺招标文件及有关附件中所有条款。</w:t>
      </w:r>
    </w:p>
    <w:p w14:paraId="226AEA47">
      <w:pPr>
        <w:tabs>
          <w:tab w:val="left" w:pos="840"/>
        </w:tabs>
        <w:adjustRightInd w:val="0"/>
        <w:snapToGrid w:val="0"/>
        <w:spacing w:line="560" w:lineRule="exact"/>
        <w:ind w:firstLine="420" w:firstLineChars="200"/>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3、一旦我方中标，我方将派出</w:t>
      </w:r>
      <w:r>
        <w:rPr>
          <w:rFonts w:hint="eastAsia" w:ascii="宋体" w:hAnsi="宋体" w:eastAsia="宋体" w:cs="Times New Roman"/>
          <w:color w:val="000000"/>
          <w:sz w:val="21"/>
          <w:szCs w:val="21"/>
          <w:highlight w:val="none"/>
          <w:u w:val="single"/>
        </w:rPr>
        <w:t xml:space="preserve">        </w:t>
      </w:r>
      <w:r>
        <w:rPr>
          <w:rFonts w:hint="eastAsia" w:ascii="宋体" w:hAnsi="宋体" w:eastAsia="宋体" w:cs="Times New Roman"/>
          <w:color w:val="000000"/>
          <w:sz w:val="21"/>
          <w:szCs w:val="21"/>
          <w:highlight w:val="none"/>
        </w:rPr>
        <w:t>为设计负责人，</w:t>
      </w:r>
      <w:r>
        <w:rPr>
          <w:rFonts w:hint="eastAsia" w:ascii="宋体" w:hAnsi="宋体" w:eastAsia="宋体" w:cs="Times New Roman"/>
          <w:color w:val="000000"/>
          <w:sz w:val="21"/>
          <w:szCs w:val="21"/>
          <w:highlight w:val="none"/>
          <w:u w:val="single"/>
        </w:rPr>
        <w:t xml:space="preserve">       </w:t>
      </w:r>
      <w:r>
        <w:rPr>
          <w:rFonts w:hint="eastAsia" w:ascii="宋体" w:hAnsi="宋体" w:eastAsia="宋体" w:cs="Times New Roman"/>
          <w:color w:val="000000"/>
          <w:sz w:val="21"/>
          <w:szCs w:val="21"/>
          <w:highlight w:val="none"/>
        </w:rPr>
        <w:t>为项目经理，保证按照招标人要求开始本工程的</w:t>
      </w:r>
      <w:r>
        <w:rPr>
          <w:rFonts w:hint="eastAsia" w:ascii="宋体" w:hAnsi="宋体" w:eastAsia="宋体" w:cs="Times New Roman"/>
          <w:color w:val="000000"/>
          <w:sz w:val="21"/>
          <w:szCs w:val="21"/>
          <w:highlight w:val="none"/>
          <w:lang w:val="en-US" w:eastAsia="zh-CN"/>
        </w:rPr>
        <w:t>实施</w:t>
      </w:r>
      <w:r>
        <w:rPr>
          <w:rFonts w:hint="eastAsia" w:ascii="宋体" w:hAnsi="宋体" w:eastAsia="宋体" w:cs="Times New Roman"/>
          <w:color w:val="000000"/>
          <w:sz w:val="21"/>
          <w:szCs w:val="21"/>
          <w:highlight w:val="none"/>
        </w:rPr>
        <w:t>，完全响应招标文件中工期要求，工程质量达到</w:t>
      </w:r>
      <w:r>
        <w:rPr>
          <w:rFonts w:hint="eastAsia" w:ascii="宋体" w:hAnsi="宋体" w:eastAsia="宋体" w:cs="Times New Roman"/>
          <w:color w:val="000000"/>
          <w:sz w:val="21"/>
          <w:szCs w:val="21"/>
          <w:highlight w:val="none"/>
          <w:u w:val="single"/>
        </w:rPr>
        <w:t xml:space="preserve">           </w:t>
      </w:r>
      <w:r>
        <w:rPr>
          <w:rFonts w:hint="eastAsia" w:ascii="宋体" w:hAnsi="宋体" w:eastAsia="宋体" w:cs="Times New Roman"/>
          <w:color w:val="000000"/>
          <w:sz w:val="21"/>
          <w:szCs w:val="21"/>
          <w:highlight w:val="none"/>
        </w:rPr>
        <w:t>标准。</w:t>
      </w:r>
    </w:p>
    <w:p w14:paraId="75D73DBA">
      <w:pPr>
        <w:tabs>
          <w:tab w:val="left" w:pos="840"/>
        </w:tabs>
        <w:adjustRightInd w:val="0"/>
        <w:snapToGrid w:val="0"/>
        <w:spacing w:line="560" w:lineRule="exact"/>
        <w:ind w:firstLine="420" w:firstLineChars="200"/>
        <w:rPr>
          <w:rFonts w:hint="eastAsia" w:ascii="宋体" w:hAnsi="宋体" w:eastAsia="宋体" w:cs="Times New Roman"/>
          <w:color w:val="000000"/>
          <w:sz w:val="21"/>
          <w:szCs w:val="21"/>
          <w:highlight w:val="none"/>
          <w:lang w:val="en-US" w:eastAsia="zh-CN"/>
        </w:rPr>
      </w:pPr>
      <w:r>
        <w:rPr>
          <w:rFonts w:hint="eastAsia" w:ascii="宋体" w:hAnsi="宋体" w:eastAsia="宋体" w:cs="Times New Roman"/>
          <w:color w:val="000000"/>
          <w:sz w:val="21"/>
          <w:szCs w:val="21"/>
          <w:highlight w:val="none"/>
          <w:lang w:val="en-US" w:eastAsia="zh-CN"/>
        </w:rPr>
        <w:t>4、随本投标书，我方同时按照招标文件的要求提交投标保证金。如果我方在投标截止后撤销投标文件，或在中标后无正当理由不与招标人订立合同，在签订合同时向招标人提出附加条件，或者不按照招标文件要求提交履约保证金，贵单位有权不予退还投标保证金。</w:t>
      </w:r>
    </w:p>
    <w:p w14:paraId="627B7380">
      <w:pPr>
        <w:tabs>
          <w:tab w:val="left" w:pos="840"/>
        </w:tabs>
        <w:adjustRightInd w:val="0"/>
        <w:snapToGrid w:val="0"/>
        <w:spacing w:line="560" w:lineRule="exact"/>
        <w:ind w:firstLine="420" w:firstLineChars="200"/>
        <w:rPr>
          <w:rFonts w:hint="eastAsia" w:ascii="宋体" w:hAnsi="宋体" w:eastAsia="宋体" w:cs="Times New Roman"/>
          <w:color w:val="000000"/>
          <w:sz w:val="21"/>
          <w:szCs w:val="21"/>
          <w:highlight w:val="none"/>
          <w:lang w:val="en-US" w:eastAsia="zh-CN"/>
        </w:rPr>
      </w:pPr>
      <w:r>
        <w:rPr>
          <w:rFonts w:hint="eastAsia" w:ascii="宋体" w:hAnsi="宋体" w:eastAsia="宋体" w:cs="Times New Roman"/>
          <w:color w:val="000000"/>
          <w:sz w:val="21"/>
          <w:szCs w:val="21"/>
          <w:highlight w:val="none"/>
          <w:lang w:val="en-US" w:eastAsia="zh-CN"/>
        </w:rPr>
        <w:t>5、如果我方中标我方将按照招标文件的规定提交履约担保。工程验收合格后，方可退还。</w:t>
      </w:r>
    </w:p>
    <w:p w14:paraId="3E40DC48">
      <w:pPr>
        <w:adjustRightInd w:val="0"/>
        <w:snapToGrid w:val="0"/>
        <w:spacing w:line="560" w:lineRule="exact"/>
        <w:ind w:firstLine="420" w:firstLineChars="200"/>
        <w:jc w:val="left"/>
        <w:rPr>
          <w:rFonts w:hint="eastAsia" w:ascii="宋体" w:hAnsi="宋体" w:eastAsia="宋体" w:cs="Times New Roman"/>
          <w:color w:val="000000"/>
          <w:sz w:val="21"/>
          <w:szCs w:val="21"/>
          <w:highlight w:val="none"/>
        </w:rPr>
      </w:pPr>
      <w:r>
        <w:rPr>
          <w:rFonts w:hint="eastAsia" w:ascii="宋体" w:hAnsi="宋体" w:eastAsia="宋体" w:cs="Times New Roman"/>
          <w:color w:val="000000"/>
          <w:szCs w:val="21"/>
          <w:highlight w:val="none"/>
          <w:lang w:val="en-US" w:eastAsia="zh-CN"/>
        </w:rPr>
        <w:t>6</w:t>
      </w:r>
      <w:r>
        <w:rPr>
          <w:rFonts w:hint="eastAsia" w:ascii="宋体" w:hAnsi="宋体" w:eastAsia="宋体" w:cs="Times New Roman"/>
          <w:color w:val="000000"/>
          <w:szCs w:val="21"/>
          <w:highlight w:val="none"/>
        </w:rPr>
        <w:t>、我方承诺在招标文件规</w:t>
      </w:r>
      <w:r>
        <w:rPr>
          <w:rFonts w:hint="eastAsia" w:ascii="宋体" w:hAnsi="宋体" w:eastAsia="宋体" w:cs="Times New Roman"/>
          <w:color w:val="000000"/>
          <w:sz w:val="21"/>
          <w:szCs w:val="21"/>
          <w:highlight w:val="none"/>
        </w:rPr>
        <w:t>定的投标有效期内不撤销投标文件。</w:t>
      </w:r>
    </w:p>
    <w:p w14:paraId="4AA875B2">
      <w:pPr>
        <w:adjustRightInd w:val="0"/>
        <w:snapToGrid w:val="0"/>
        <w:spacing w:line="560" w:lineRule="exact"/>
        <w:ind w:firstLine="420" w:firstLineChars="200"/>
        <w:jc w:val="left"/>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7、</w:t>
      </w:r>
      <w:r>
        <w:rPr>
          <w:rFonts w:hint="eastAsia" w:ascii="宋体" w:hAnsi="宋体" w:eastAsia="宋体" w:cs="Times New Roman"/>
          <w:color w:val="000000"/>
          <w:sz w:val="21"/>
          <w:szCs w:val="21"/>
          <w:highlight w:val="none"/>
          <w:lang w:val="en-US" w:eastAsia="zh-CN"/>
        </w:rPr>
        <w:t>我方承诺，注册在我公司（如投标人为联合体，联合体各方）的现有注册建造师专业、数量，满足我公司（如投标人为联合体，联合体各方）响应本项目投标的资质等级对应的《建筑业企业资质标准》及有关文件中规定的注册建造师专业、 数量要求。如有不实，我方接受管理部门相关处罚。</w:t>
      </w:r>
    </w:p>
    <w:p w14:paraId="73DF17CA">
      <w:pPr>
        <w:adjustRightInd w:val="0"/>
        <w:snapToGrid w:val="0"/>
        <w:spacing w:line="560" w:lineRule="exact"/>
        <w:ind w:firstLine="420"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8、</w:t>
      </w:r>
      <w:r>
        <w:rPr>
          <w:rFonts w:hint="eastAsia" w:ascii="宋体" w:hAnsi="宋体" w:eastAsia="宋体" w:cs="宋体"/>
          <w:color w:val="000000"/>
          <w:sz w:val="21"/>
          <w:szCs w:val="21"/>
          <w:highlight w:val="none"/>
        </w:rPr>
        <w:t>我单位提供如下通讯地址：</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电子邮箱（地址），确认本项目相关法律文书均通过提供的以上地址送达，相关文书只要发送至以上电子邮箱（地址）即视为送达，投标人愿意承担一切法律后果。</w:t>
      </w:r>
    </w:p>
    <w:p w14:paraId="115A5861">
      <w:pP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（其他补充说明）。</w:t>
      </w:r>
    </w:p>
    <w:p w14:paraId="7B092613">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投标人：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盖</w:t>
      </w:r>
      <w:r>
        <w:rPr>
          <w:rFonts w:hint="eastAsia" w:ascii="宋体" w:hAnsi="宋体" w:eastAsia="宋体" w:cs="宋体"/>
          <w:color w:val="auto"/>
          <w:szCs w:val="21"/>
          <w:highlight w:val="none"/>
          <w:u w:val="single"/>
        </w:rPr>
        <w:t xml:space="preserve">章）   </w:t>
      </w:r>
    </w:p>
    <w:p w14:paraId="41B57621">
      <w:pPr>
        <w:spacing w:line="600" w:lineRule="exact"/>
        <w:ind w:firstLine="2310" w:firstLineChars="1100"/>
        <w:jc w:val="left"/>
        <w:rPr>
          <w:rFonts w:ascii="宋体" w:hAnsi="宋体"/>
          <w:szCs w:val="21"/>
          <w:highlight w:val="none"/>
        </w:rPr>
      </w:pPr>
      <w:r>
        <w:rPr>
          <w:rFonts w:hint="eastAsia" w:ascii="宋体" w:hAnsi="宋体"/>
          <w:szCs w:val="21"/>
          <w:highlight w:val="none"/>
        </w:rPr>
        <w:t>法定代表人</w:t>
      </w:r>
      <w:r>
        <w:rPr>
          <w:rFonts w:hint="eastAsia" w:ascii="宋体" w:hAnsi="宋体"/>
          <w:szCs w:val="21"/>
          <w:highlight w:val="none"/>
          <w:lang w:val="en-US" w:eastAsia="zh-CN"/>
        </w:rPr>
        <w:t>或委托代理人</w:t>
      </w:r>
      <w:r>
        <w:rPr>
          <w:rFonts w:hint="eastAsia" w:ascii="宋体" w:hAnsi="宋体"/>
          <w:szCs w:val="21"/>
          <w:highlight w:val="none"/>
        </w:rPr>
        <w:t>：</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w:t>
      </w:r>
      <w:r>
        <w:rPr>
          <w:rFonts w:hint="eastAsia" w:ascii="宋体" w:hAnsi="宋体"/>
          <w:szCs w:val="21"/>
          <w:highlight w:val="none"/>
          <w:u w:val="single"/>
          <w:lang w:val="en-US" w:eastAsia="zh-CN"/>
        </w:rPr>
        <w:t>签字或盖章</w:t>
      </w:r>
      <w:r>
        <w:rPr>
          <w:rFonts w:hint="eastAsia" w:ascii="宋体" w:hAnsi="宋体"/>
          <w:szCs w:val="21"/>
          <w:highlight w:val="none"/>
          <w:u w:val="single"/>
        </w:rPr>
        <w:t>）</w:t>
      </w:r>
    </w:p>
    <w:p w14:paraId="75BF44E2">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单位地址：</w:t>
      </w:r>
      <w:r>
        <w:rPr>
          <w:rFonts w:hint="eastAsia" w:ascii="宋体" w:hAnsi="宋体" w:eastAsia="宋体" w:cs="宋体"/>
          <w:color w:val="auto"/>
          <w:szCs w:val="21"/>
          <w:highlight w:val="none"/>
          <w:u w:val="single"/>
        </w:rPr>
        <w:t xml:space="preserve">                                       </w:t>
      </w:r>
    </w:p>
    <w:p w14:paraId="152985B8">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邮政编码：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电话：</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传真：</w:t>
      </w:r>
      <w:r>
        <w:rPr>
          <w:rFonts w:hint="eastAsia" w:ascii="宋体" w:hAnsi="宋体" w:eastAsia="宋体" w:cs="宋体"/>
          <w:color w:val="auto"/>
          <w:szCs w:val="21"/>
          <w:highlight w:val="none"/>
          <w:u w:val="single"/>
        </w:rPr>
        <w:t xml:space="preserve">       </w:t>
      </w:r>
    </w:p>
    <w:p w14:paraId="45B1F347">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bCs/>
          <w:szCs w:val="32"/>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年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月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bookmarkEnd w:id="7"/>
      <w:bookmarkEnd w:id="8"/>
      <w:bookmarkEnd w:id="9"/>
      <w:bookmarkEnd w:id="10"/>
      <w:bookmarkEnd w:id="11"/>
      <w:bookmarkEnd w:id="1033"/>
      <w:bookmarkEnd w:id="1034"/>
      <w:bookmarkEnd w:id="1035"/>
      <w:bookmarkEnd w:id="1036"/>
      <w:bookmarkStart w:id="1038" w:name="_Toc78803402"/>
    </w:p>
    <w:p w14:paraId="416D8336">
      <w:pPr>
        <w:rPr>
          <w:rFonts w:hint="eastAsia"/>
          <w:bCs/>
          <w:szCs w:val="32"/>
          <w:highlight w:val="none"/>
        </w:rPr>
      </w:pPr>
      <w:r>
        <w:rPr>
          <w:rFonts w:hint="eastAsia"/>
          <w:bCs/>
          <w:szCs w:val="32"/>
          <w:highlight w:val="none"/>
        </w:rPr>
        <w:br w:type="page"/>
      </w:r>
    </w:p>
    <w:p w14:paraId="172B3F58">
      <w:pPr>
        <w:pStyle w:val="44"/>
        <w:spacing w:beforeLines="50" w:afterLines="50" w:line="440" w:lineRule="exact"/>
        <w:rPr>
          <w:bCs/>
          <w:szCs w:val="32"/>
          <w:highlight w:val="none"/>
        </w:rPr>
      </w:pPr>
      <w:r>
        <w:rPr>
          <w:rFonts w:hint="eastAsia"/>
          <w:bCs/>
          <w:szCs w:val="32"/>
          <w:highlight w:val="none"/>
        </w:rPr>
        <w:t>第</w:t>
      </w:r>
      <w:r>
        <w:rPr>
          <w:rFonts w:hint="eastAsia"/>
          <w:bCs/>
          <w:szCs w:val="32"/>
          <w:highlight w:val="none"/>
          <w:lang w:val="en-US" w:eastAsia="zh-CN"/>
        </w:rPr>
        <w:t>十</w:t>
      </w:r>
      <w:r>
        <w:rPr>
          <w:rFonts w:hint="eastAsia"/>
          <w:bCs/>
          <w:szCs w:val="32"/>
          <w:highlight w:val="none"/>
        </w:rPr>
        <w:t>章  招标单位、招标代理机构对本招标文件的确认</w:t>
      </w:r>
      <w:bookmarkEnd w:id="1038"/>
    </w:p>
    <w:p w14:paraId="7D391125">
      <w:pPr>
        <w:pStyle w:val="20"/>
        <w:rPr>
          <w:highlight w:val="none"/>
        </w:rPr>
      </w:pPr>
    </w:p>
    <w:tbl>
      <w:tblPr>
        <w:tblStyle w:val="47"/>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0"/>
      </w:tblGrid>
      <w:tr w14:paraId="28B5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9" w:hRule="atLeast"/>
          <w:jc w:val="center"/>
        </w:trPr>
        <w:tc>
          <w:tcPr>
            <w:tcW w:w="9580" w:type="dxa"/>
            <w:noWrap/>
          </w:tcPr>
          <w:p w14:paraId="45DC8EDB">
            <w:pPr>
              <w:wordWrap w:val="0"/>
              <w:adjustRightInd w:val="0"/>
              <w:snapToGrid w:val="0"/>
              <w:spacing w:line="560" w:lineRule="exact"/>
              <w:rPr>
                <w:sz w:val="30"/>
                <w:highlight w:val="none"/>
              </w:rPr>
            </w:pPr>
          </w:p>
          <w:p w14:paraId="3CB446EA">
            <w:pPr>
              <w:wordWrap w:val="0"/>
              <w:spacing w:line="560" w:lineRule="exact"/>
              <w:ind w:firstLine="560" w:firstLineChars="200"/>
              <w:rPr>
                <w:sz w:val="28"/>
                <w:szCs w:val="28"/>
                <w:highlight w:val="none"/>
              </w:rPr>
            </w:pPr>
            <w:r>
              <w:rPr>
                <w:rFonts w:hint="eastAsia"/>
                <w:sz w:val="28"/>
                <w:szCs w:val="28"/>
                <w:highlight w:val="none"/>
              </w:rPr>
              <w:t>我单位对</w:t>
            </w:r>
            <w:r>
              <w:rPr>
                <w:rFonts w:hint="eastAsia"/>
                <w:sz w:val="28"/>
                <w:szCs w:val="28"/>
                <w:highlight w:val="none"/>
                <w:u w:val="single"/>
              </w:rPr>
              <w:t xml:space="preserve"> </w:t>
            </w:r>
            <w:r>
              <w:rPr>
                <w:rFonts w:hint="eastAsia"/>
                <w:sz w:val="28"/>
                <w:szCs w:val="28"/>
                <w:highlight w:val="none"/>
                <w:u w:val="single"/>
                <w:lang w:eastAsia="zh-CN"/>
              </w:rPr>
              <w:t>滁宁城际铁路相官车辆段光伏EPC项目</w:t>
            </w:r>
            <w:r>
              <w:rPr>
                <w:rFonts w:hint="eastAsia"/>
                <w:sz w:val="28"/>
                <w:szCs w:val="28"/>
                <w:highlight w:val="none"/>
                <w:u w:val="single"/>
              </w:rPr>
              <w:t xml:space="preserve"> </w:t>
            </w:r>
            <w:r>
              <w:rPr>
                <w:rFonts w:hint="eastAsia"/>
                <w:sz w:val="28"/>
                <w:szCs w:val="28"/>
                <w:highlight w:val="none"/>
              </w:rPr>
              <w:t>的招标文件进行确认。</w:t>
            </w:r>
          </w:p>
          <w:p w14:paraId="71A0CDF3">
            <w:pPr>
              <w:spacing w:line="560" w:lineRule="exact"/>
              <w:ind w:firstLine="560" w:firstLineChars="200"/>
              <w:rPr>
                <w:rFonts w:hint="eastAsia" w:ascii="宋体" w:hAnsi="宋体" w:cs="宋体"/>
                <w:sz w:val="28"/>
                <w:szCs w:val="28"/>
                <w:highlight w:val="none"/>
              </w:rPr>
            </w:pPr>
            <w:r>
              <w:rPr>
                <w:rFonts w:hint="eastAsia" w:ascii="宋体" w:hAnsi="宋体" w:cs="宋体"/>
                <w:sz w:val="28"/>
                <w:szCs w:val="28"/>
                <w:highlight w:val="none"/>
                <w:lang w:val="en-US" w:eastAsia="zh-CN"/>
              </w:rPr>
              <w:t>招标人</w:t>
            </w:r>
            <w:r>
              <w:rPr>
                <w:rFonts w:hint="eastAsia" w:ascii="宋体" w:hAnsi="宋体" w:cs="宋体"/>
                <w:sz w:val="28"/>
                <w:szCs w:val="28"/>
                <w:highlight w:val="none"/>
              </w:rPr>
              <w:t>：</w:t>
            </w:r>
            <w:r>
              <w:rPr>
                <w:rFonts w:hint="eastAsia" w:ascii="宋体" w:hAnsi="宋体" w:cs="宋体"/>
                <w:sz w:val="28"/>
                <w:szCs w:val="28"/>
                <w:highlight w:val="none"/>
                <w:lang w:eastAsia="zh-CN"/>
              </w:rPr>
              <w:t>滁州市翼然新能源开发有限公司</w:t>
            </w:r>
            <w:r>
              <w:rPr>
                <w:rFonts w:hint="eastAsia" w:ascii="宋体" w:hAnsi="宋体" w:cs="宋体"/>
                <w:sz w:val="28"/>
                <w:szCs w:val="28"/>
                <w:highlight w:val="none"/>
              </w:rPr>
              <w:t xml:space="preserve">  </w:t>
            </w:r>
          </w:p>
          <w:p w14:paraId="7E988D38">
            <w:pPr>
              <w:spacing w:line="560" w:lineRule="exact"/>
              <w:ind w:firstLine="560" w:firstLineChars="200"/>
              <w:rPr>
                <w:rFonts w:hint="eastAsia" w:ascii="宋体" w:hAnsi="宋体" w:cs="宋体"/>
                <w:sz w:val="28"/>
                <w:szCs w:val="28"/>
                <w:highlight w:val="none"/>
              </w:rPr>
            </w:pPr>
            <w:r>
              <w:rPr>
                <w:rFonts w:hint="eastAsia" w:ascii="宋体" w:hAnsi="宋体" w:cs="宋体"/>
                <w:sz w:val="28"/>
                <w:szCs w:val="28"/>
                <w:highlight w:val="none"/>
              </w:rPr>
              <w:t>联 系 人：</w:t>
            </w:r>
            <w:r>
              <w:rPr>
                <w:rFonts w:hint="eastAsia" w:ascii="宋体" w:hAnsi="宋体" w:cs="宋体"/>
                <w:sz w:val="28"/>
                <w:szCs w:val="28"/>
                <w:highlight w:val="none"/>
                <w:lang w:val="en-US" w:eastAsia="zh-CN"/>
              </w:rPr>
              <w:t>胡雪</w:t>
            </w:r>
            <w:r>
              <w:rPr>
                <w:rFonts w:hint="eastAsia" w:ascii="宋体" w:hAnsi="宋体" w:cs="宋体"/>
                <w:sz w:val="28"/>
                <w:szCs w:val="28"/>
                <w:highlight w:val="none"/>
              </w:rPr>
              <w:t xml:space="preserve"> </w:t>
            </w:r>
            <w:r>
              <w:rPr>
                <w:rFonts w:hint="eastAsia" w:ascii="宋体" w:hAnsi="宋体" w:cs="宋体"/>
                <w:sz w:val="28"/>
                <w:szCs w:val="28"/>
                <w:highlight w:val="none"/>
                <w:lang w:val="en-US" w:eastAsia="zh-CN"/>
              </w:rPr>
              <w:t xml:space="preserve"> </w:t>
            </w:r>
          </w:p>
          <w:p w14:paraId="27CF026B">
            <w:pPr>
              <w:spacing w:line="560" w:lineRule="exact"/>
              <w:ind w:firstLine="560" w:firstLineChars="200"/>
              <w:rPr>
                <w:rFonts w:hint="default" w:ascii="宋体" w:hAnsi="宋体" w:cs="宋体"/>
                <w:sz w:val="28"/>
                <w:szCs w:val="28"/>
                <w:highlight w:val="none"/>
                <w:lang w:val="en-US" w:eastAsia="zh-CN"/>
              </w:rPr>
            </w:pPr>
            <w:r>
              <w:rPr>
                <w:rFonts w:hint="eastAsia" w:ascii="宋体" w:hAnsi="宋体" w:cs="宋体"/>
                <w:sz w:val="28"/>
                <w:szCs w:val="28"/>
                <w:highlight w:val="none"/>
              </w:rPr>
              <w:t>联系电话：</w:t>
            </w:r>
            <w:r>
              <w:rPr>
                <w:rFonts w:hint="eastAsia" w:ascii="宋体" w:hAnsi="宋体" w:cs="宋体"/>
                <w:sz w:val="28"/>
                <w:szCs w:val="28"/>
                <w:highlight w:val="none"/>
                <w:lang w:val="en-US" w:eastAsia="zh-CN"/>
              </w:rPr>
              <w:t>0550-2350288</w:t>
            </w:r>
          </w:p>
          <w:p w14:paraId="01C3939A">
            <w:pPr>
              <w:adjustRightInd w:val="0"/>
              <w:snapToGrid w:val="0"/>
              <w:spacing w:line="560" w:lineRule="exact"/>
              <w:ind w:firstLine="560" w:firstLineChars="200"/>
              <w:rPr>
                <w:rFonts w:hint="eastAsia" w:ascii="宋体" w:hAnsi="宋体" w:eastAsia="宋体" w:cs="Times New Roman"/>
                <w:color w:val="auto"/>
                <w:sz w:val="28"/>
                <w:szCs w:val="28"/>
                <w:highlight w:val="none"/>
                <w:lang w:val="en-US" w:eastAsia="zh-CN"/>
              </w:rPr>
            </w:pPr>
          </w:p>
          <w:p w14:paraId="2BCF4FCB">
            <w:pPr>
              <w:wordWrap w:val="0"/>
              <w:spacing w:line="560" w:lineRule="exact"/>
              <w:ind w:firstLine="560" w:firstLineChars="200"/>
              <w:rPr>
                <w:rFonts w:ascii="宋体" w:hAnsi="宋体"/>
                <w:sz w:val="28"/>
                <w:szCs w:val="28"/>
                <w:highlight w:val="none"/>
              </w:rPr>
            </w:pPr>
            <w:r>
              <w:rPr>
                <w:rFonts w:hint="eastAsia" w:ascii="宋体" w:hAnsi="宋体"/>
                <w:color w:val="auto"/>
                <w:sz w:val="28"/>
                <w:szCs w:val="28"/>
                <w:highlight w:val="none"/>
              </w:rPr>
              <w:t xml:space="preserve">    </w:t>
            </w:r>
            <w:r>
              <w:rPr>
                <w:rFonts w:hint="eastAsia" w:ascii="宋体" w:hAnsi="宋体"/>
                <w:color w:val="auto"/>
                <w:sz w:val="28"/>
                <w:szCs w:val="28"/>
                <w:highlight w:val="none"/>
                <w:lang w:val="en-US" w:eastAsia="zh-CN"/>
              </w:rPr>
              <w:t xml:space="preserve">    </w:t>
            </w:r>
          </w:p>
          <w:p w14:paraId="3879E6FD">
            <w:pPr>
              <w:wordWrap w:val="0"/>
              <w:spacing w:line="560" w:lineRule="exact"/>
              <w:ind w:firstLine="560" w:firstLineChars="200"/>
              <w:rPr>
                <w:rFonts w:ascii="宋体" w:hAnsi="宋体"/>
                <w:sz w:val="28"/>
                <w:szCs w:val="28"/>
                <w:highlight w:val="none"/>
              </w:rPr>
            </w:pPr>
          </w:p>
          <w:p w14:paraId="6BD2A618">
            <w:pPr>
              <w:wordWrap w:val="0"/>
              <w:spacing w:line="560" w:lineRule="exact"/>
              <w:ind w:firstLine="5740" w:firstLineChars="2050"/>
              <w:rPr>
                <w:rFonts w:ascii="宋体" w:hAnsi="宋体"/>
                <w:sz w:val="28"/>
                <w:szCs w:val="28"/>
                <w:highlight w:val="none"/>
              </w:rPr>
            </w:pPr>
            <w:r>
              <w:rPr>
                <w:rFonts w:hint="eastAsia" w:ascii="宋体" w:hAnsi="宋体"/>
                <w:sz w:val="28"/>
                <w:szCs w:val="28"/>
                <w:highlight w:val="none"/>
              </w:rPr>
              <w:t>（单位盖章）</w:t>
            </w:r>
          </w:p>
          <w:p w14:paraId="0DB51C41">
            <w:pPr>
              <w:spacing w:line="560" w:lineRule="exact"/>
              <w:ind w:firstLine="5880" w:firstLineChars="2100"/>
              <w:rPr>
                <w:rFonts w:ascii="宋体" w:hAnsi="宋体"/>
                <w:sz w:val="28"/>
                <w:szCs w:val="28"/>
                <w:highlight w:val="none"/>
              </w:rPr>
            </w:pPr>
            <w:r>
              <w:rPr>
                <w:rFonts w:hint="eastAsia" w:ascii="宋体" w:hAnsi="宋体"/>
                <w:sz w:val="28"/>
                <w:szCs w:val="28"/>
                <w:highlight w:val="none"/>
              </w:rPr>
              <w:t>202</w:t>
            </w:r>
            <w:r>
              <w:rPr>
                <w:rFonts w:hint="eastAsia" w:ascii="宋体" w:hAnsi="宋体"/>
                <w:sz w:val="28"/>
                <w:szCs w:val="28"/>
                <w:highlight w:val="none"/>
                <w:lang w:val="en-US" w:eastAsia="zh-CN"/>
              </w:rPr>
              <w:t>6</w:t>
            </w:r>
            <w:r>
              <w:rPr>
                <w:rFonts w:hint="eastAsia" w:ascii="宋体" w:hAnsi="宋体"/>
                <w:sz w:val="28"/>
                <w:szCs w:val="28"/>
                <w:highlight w:val="none"/>
              </w:rPr>
              <w:t>年</w:t>
            </w:r>
            <w:r>
              <w:rPr>
                <w:rFonts w:hint="eastAsia" w:ascii="宋体" w:hAnsi="宋体"/>
                <w:sz w:val="28"/>
                <w:szCs w:val="28"/>
                <w:highlight w:val="none"/>
                <w:lang w:val="en-US" w:eastAsia="zh-CN"/>
              </w:rPr>
              <w:t>9</w:t>
            </w:r>
            <w:r>
              <w:rPr>
                <w:rFonts w:hint="eastAsia" w:ascii="宋体" w:hAnsi="宋体"/>
                <w:sz w:val="28"/>
                <w:szCs w:val="28"/>
                <w:highlight w:val="none"/>
              </w:rPr>
              <w:t>月</w:t>
            </w:r>
          </w:p>
          <w:p w14:paraId="72A7FF77">
            <w:pPr>
              <w:pStyle w:val="14"/>
              <w:ind w:firstLine="420"/>
              <w:rPr>
                <w:highlight w:val="none"/>
              </w:rPr>
            </w:pPr>
          </w:p>
        </w:tc>
      </w:tr>
      <w:tr w14:paraId="05F3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6" w:hRule="atLeast"/>
          <w:jc w:val="center"/>
        </w:trPr>
        <w:tc>
          <w:tcPr>
            <w:tcW w:w="9580" w:type="dxa"/>
            <w:noWrap/>
          </w:tcPr>
          <w:p w14:paraId="2080D8D4">
            <w:pPr>
              <w:spacing w:line="560" w:lineRule="exact"/>
              <w:ind w:firstLine="560" w:firstLineChars="200"/>
              <w:rPr>
                <w:rFonts w:ascii="宋体" w:hAnsi="宋体" w:cs="宋体"/>
                <w:sz w:val="28"/>
                <w:szCs w:val="28"/>
                <w:highlight w:val="none"/>
              </w:rPr>
            </w:pPr>
          </w:p>
          <w:p w14:paraId="297A006E">
            <w:pPr>
              <w:spacing w:line="560" w:lineRule="exact"/>
              <w:ind w:firstLine="560" w:firstLineChars="200"/>
              <w:rPr>
                <w:rFonts w:ascii="宋体" w:hAnsi="宋体" w:cs="宋体"/>
                <w:sz w:val="28"/>
                <w:szCs w:val="28"/>
                <w:highlight w:val="none"/>
                <w:u w:val="single"/>
              </w:rPr>
            </w:pPr>
            <w:r>
              <w:rPr>
                <w:rFonts w:hint="eastAsia" w:ascii="宋体" w:hAnsi="宋体" w:cs="宋体"/>
                <w:sz w:val="28"/>
                <w:szCs w:val="28"/>
                <w:highlight w:val="none"/>
              </w:rPr>
              <w:t>招标代理机构：</w:t>
            </w:r>
            <w:r>
              <w:rPr>
                <w:rFonts w:hint="eastAsia"/>
                <w:sz w:val="28"/>
                <w:szCs w:val="28"/>
                <w:highlight w:val="none"/>
              </w:rPr>
              <w:t>滁州市城投工程咨询管理有限公司</w:t>
            </w:r>
          </w:p>
          <w:p w14:paraId="04195C3D">
            <w:pPr>
              <w:spacing w:line="560" w:lineRule="exact"/>
              <w:ind w:firstLine="560" w:firstLineChars="200"/>
              <w:rPr>
                <w:rFonts w:hint="default" w:ascii="宋体" w:hAnsi="宋体" w:eastAsia="宋体" w:cs="宋体"/>
                <w:sz w:val="28"/>
                <w:szCs w:val="28"/>
                <w:highlight w:val="none"/>
                <w:u w:val="single"/>
                <w:lang w:val="en-US" w:eastAsia="zh-CN"/>
              </w:rPr>
            </w:pPr>
            <w:r>
              <w:rPr>
                <w:rFonts w:hint="eastAsia" w:ascii="宋体" w:hAnsi="宋体" w:cs="宋体"/>
                <w:sz w:val="28"/>
                <w:szCs w:val="28"/>
                <w:highlight w:val="none"/>
              </w:rPr>
              <w:t>联 系 人：</w:t>
            </w:r>
            <w:r>
              <w:rPr>
                <w:rFonts w:hint="eastAsia" w:ascii="宋体" w:hAnsi="宋体" w:cs="宋体"/>
                <w:sz w:val="28"/>
                <w:szCs w:val="28"/>
                <w:highlight w:val="none"/>
                <w:lang w:val="en-US" w:eastAsia="zh-CN"/>
              </w:rPr>
              <w:t>周蓓蕾</w:t>
            </w:r>
          </w:p>
          <w:p w14:paraId="47E8E678">
            <w:pPr>
              <w:spacing w:line="560" w:lineRule="exact"/>
              <w:ind w:firstLine="560" w:firstLineChars="200"/>
              <w:rPr>
                <w:rFonts w:hint="eastAsia" w:ascii="宋体" w:hAnsi="宋体" w:eastAsia="宋体" w:cs="宋体"/>
                <w:sz w:val="28"/>
                <w:szCs w:val="28"/>
                <w:highlight w:val="none"/>
                <w:lang w:val="en-US" w:eastAsia="zh-CN"/>
              </w:rPr>
            </w:pPr>
            <w:r>
              <w:rPr>
                <w:rFonts w:hint="eastAsia" w:ascii="宋体" w:hAnsi="宋体" w:cs="宋体"/>
                <w:sz w:val="28"/>
                <w:szCs w:val="28"/>
                <w:highlight w:val="none"/>
              </w:rPr>
              <w:t>联系电话：0550-351951</w:t>
            </w:r>
            <w:r>
              <w:rPr>
                <w:rFonts w:hint="eastAsia" w:ascii="宋体" w:hAnsi="宋体" w:cs="宋体"/>
                <w:sz w:val="28"/>
                <w:szCs w:val="28"/>
                <w:highlight w:val="none"/>
                <w:lang w:val="en-US" w:eastAsia="zh-CN"/>
              </w:rPr>
              <w:t>9</w:t>
            </w:r>
            <w:r>
              <w:rPr>
                <w:rFonts w:hint="eastAsia" w:ascii="宋体" w:hAnsi="宋体" w:cs="宋体"/>
                <w:sz w:val="28"/>
                <w:szCs w:val="28"/>
                <w:highlight w:val="none"/>
              </w:rPr>
              <w:t>、</w:t>
            </w:r>
            <w:r>
              <w:rPr>
                <w:rFonts w:hint="eastAsia" w:ascii="宋体" w:hAnsi="宋体" w:cs="宋体"/>
                <w:sz w:val="28"/>
                <w:szCs w:val="28"/>
                <w:highlight w:val="none"/>
                <w:lang w:eastAsia="zh-CN"/>
              </w:rPr>
              <w:t>18005505728</w:t>
            </w:r>
          </w:p>
          <w:p w14:paraId="60018F68">
            <w:pPr>
              <w:spacing w:line="560" w:lineRule="exact"/>
              <w:ind w:firstLine="5040" w:firstLineChars="1800"/>
              <w:rPr>
                <w:rFonts w:ascii="宋体" w:hAnsi="宋体" w:cs="宋体"/>
                <w:sz w:val="28"/>
                <w:szCs w:val="28"/>
                <w:highlight w:val="none"/>
              </w:rPr>
            </w:pPr>
          </w:p>
          <w:p w14:paraId="0781C8CF">
            <w:pPr>
              <w:spacing w:line="560" w:lineRule="exact"/>
              <w:ind w:firstLine="5460" w:firstLineChars="1950"/>
              <w:rPr>
                <w:rFonts w:ascii="宋体" w:hAnsi="宋体" w:cs="宋体"/>
                <w:sz w:val="28"/>
                <w:szCs w:val="28"/>
                <w:highlight w:val="none"/>
              </w:rPr>
            </w:pPr>
          </w:p>
          <w:p w14:paraId="0A1FE158">
            <w:pPr>
              <w:spacing w:line="560" w:lineRule="exact"/>
              <w:ind w:firstLine="5880" w:firstLineChars="2100"/>
              <w:rPr>
                <w:rFonts w:ascii="宋体" w:hAnsi="宋体" w:cs="宋体"/>
                <w:sz w:val="28"/>
                <w:szCs w:val="28"/>
                <w:highlight w:val="none"/>
              </w:rPr>
            </w:pPr>
            <w:r>
              <w:rPr>
                <w:rFonts w:hint="eastAsia" w:ascii="宋体" w:hAnsi="宋体" w:cs="宋体"/>
                <w:sz w:val="28"/>
                <w:szCs w:val="28"/>
                <w:highlight w:val="none"/>
              </w:rPr>
              <w:t>（单位盖章）</w:t>
            </w:r>
          </w:p>
          <w:p w14:paraId="144B0D1C">
            <w:pPr>
              <w:spacing w:line="560" w:lineRule="exact"/>
              <w:ind w:firstLine="6020" w:firstLineChars="2150"/>
              <w:rPr>
                <w:rFonts w:ascii="宋体" w:hAnsi="宋体"/>
                <w:sz w:val="28"/>
                <w:szCs w:val="28"/>
                <w:highlight w:val="none"/>
              </w:rPr>
            </w:pPr>
            <w:r>
              <w:rPr>
                <w:rFonts w:hint="eastAsia" w:ascii="宋体" w:hAnsi="宋体"/>
                <w:sz w:val="28"/>
                <w:szCs w:val="28"/>
                <w:highlight w:val="none"/>
              </w:rPr>
              <w:t>202</w:t>
            </w:r>
            <w:r>
              <w:rPr>
                <w:rFonts w:hint="eastAsia" w:ascii="宋体" w:hAnsi="宋体"/>
                <w:sz w:val="28"/>
                <w:szCs w:val="28"/>
                <w:highlight w:val="none"/>
                <w:lang w:val="en-US" w:eastAsia="zh-CN"/>
              </w:rPr>
              <w:t>6</w:t>
            </w:r>
            <w:r>
              <w:rPr>
                <w:rFonts w:hint="eastAsia" w:ascii="宋体" w:hAnsi="宋体"/>
                <w:sz w:val="28"/>
                <w:szCs w:val="28"/>
                <w:highlight w:val="none"/>
              </w:rPr>
              <w:t>年</w:t>
            </w:r>
            <w:r>
              <w:rPr>
                <w:rFonts w:hint="eastAsia" w:ascii="宋体" w:hAnsi="宋体"/>
                <w:sz w:val="28"/>
                <w:szCs w:val="28"/>
                <w:highlight w:val="none"/>
                <w:lang w:val="en-US" w:eastAsia="zh-CN"/>
              </w:rPr>
              <w:t>9</w:t>
            </w:r>
            <w:r>
              <w:rPr>
                <w:rFonts w:hint="eastAsia" w:ascii="宋体" w:hAnsi="宋体"/>
                <w:sz w:val="28"/>
                <w:szCs w:val="28"/>
                <w:highlight w:val="none"/>
              </w:rPr>
              <w:t>月</w:t>
            </w:r>
          </w:p>
          <w:p w14:paraId="4EDF8AEB">
            <w:pPr>
              <w:pStyle w:val="14"/>
              <w:ind w:firstLine="420"/>
              <w:rPr>
                <w:highlight w:val="none"/>
              </w:rPr>
            </w:pPr>
          </w:p>
        </w:tc>
      </w:tr>
    </w:tbl>
    <w:p w14:paraId="715B92A1">
      <w:pPr>
        <w:rPr>
          <w:highlight w:val="none"/>
        </w:rPr>
      </w:pPr>
    </w:p>
    <w:sectPr>
      <w:headerReference r:id="rId12" w:type="default"/>
      <w:footerReference r:id="rId13" w:type="default"/>
      <w:pgSz w:w="11906" w:h="16838"/>
      <w:pgMar w:top="1134" w:right="1417" w:bottom="1134" w:left="141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EE228C4-B381-4DE7-B96C-ABEA4397B6C2}"/>
  </w:font>
  <w:font w:name="黑体">
    <w:panose1 w:val="02010609060101010101"/>
    <w:charset w:val="86"/>
    <w:family w:val="auto"/>
    <w:pitch w:val="default"/>
    <w:sig w:usb0="800002BF" w:usb1="38CF7CFA" w:usb2="00000016" w:usb3="00000000" w:csb0="00040001" w:csb1="00000000"/>
    <w:embedRegular r:id="rId2" w:fontKey="{C050A02F-6CED-46BC-AB99-DB07D0A3E7E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37BA2C1-AB6F-46AA-AA6F-92719EF7FEC4}"/>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D9A3A7A8-763F-4F6F-A377-CCEC6D14B911}"/>
  </w:font>
  <w:font w:name="仿宋">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方正小标宋简体">
    <w:panose1 w:val="02000000000000000000"/>
    <w:charset w:val="86"/>
    <w:family w:val="script"/>
    <w:pitch w:val="default"/>
    <w:sig w:usb0="00000001" w:usb1="08000000" w:usb2="00000000" w:usb3="00000000" w:csb0="00040000" w:csb1="00000000"/>
    <w:embedRegular r:id="rId5" w:fontKey="{40153C0F-A0D7-4E10-9E56-B14518C210BB}"/>
  </w:font>
  <w:font w:name="华文中宋">
    <w:panose1 w:val="02010600040101010101"/>
    <w:charset w:val="86"/>
    <w:family w:val="auto"/>
    <w:pitch w:val="default"/>
    <w:sig w:usb0="00000287" w:usb1="080F0000" w:usb2="00000000" w:usb3="00000000" w:csb0="0004009F" w:csb1="DFD70000"/>
    <w:embedRegular r:id="rId6" w:fontKey="{F148F17D-5E8C-4A5F-A5B3-68FE80B30E17}"/>
  </w:font>
  <w:font w:name="WPSEMBED1">
    <w:panose1 w:val="02010609030101010101"/>
    <w:charset w:val="86"/>
    <w:family w:val="auto"/>
    <w:pitch w:val="default"/>
    <w:sig w:usb0="00000001" w:usb1="080E0000" w:usb2="00000000" w:usb3="00000000" w:csb0="00040000" w:csb1="00000000"/>
  </w:font>
  <w:font w:name="ModIcon">
    <w:altName w:val="Segoe Print"/>
    <w:panose1 w:val="00000000000000000000"/>
    <w:charset w:val="00"/>
    <w:family w:val="auto"/>
    <w:pitch w:val="default"/>
    <w:sig w:usb0="00000000" w:usb1="00000000" w:usb2="00000000" w:usb3="00000000" w:csb0="00000000" w:csb1="00000000"/>
  </w:font>
  <w:font w:name="ActionIcon">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42DBF">
    <w:pPr>
      <w:pStyle w:val="29"/>
      <w:rPr>
        <w:rStyle w:val="51"/>
      </w:rPr>
    </w:pPr>
  </w:p>
  <w:p w14:paraId="53435915">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08C72">
    <w:pPr>
      <w:pStyle w:val="29"/>
      <w:rPr>
        <w:rStyle w:val="51"/>
      </w:rPr>
    </w:pPr>
  </w:p>
  <w:p w14:paraId="78B0040E">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6B4D4">
    <w:pPr>
      <w:pStyle w:val="29"/>
      <w:rPr>
        <w:rStyle w:val="51"/>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01E254">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701E254">
                    <w:pPr>
                      <w:pStyle w:val="29"/>
                    </w:pPr>
                    <w:r>
                      <w:fldChar w:fldCharType="begin"/>
                    </w:r>
                    <w:r>
                      <w:instrText xml:space="preserve"> PAGE  \* MERGEFORMAT </w:instrText>
                    </w:r>
                    <w:r>
                      <w:fldChar w:fldCharType="separate"/>
                    </w:r>
                    <w:r>
                      <w:t>1</w:t>
                    </w:r>
                    <w:r>
                      <w:fldChar w:fldCharType="end"/>
                    </w:r>
                  </w:p>
                </w:txbxContent>
              </v:textbox>
            </v:shape>
          </w:pict>
        </mc:Fallback>
      </mc:AlternateContent>
    </w:r>
  </w:p>
  <w:p w14:paraId="0A8F7B91">
    <w:pPr>
      <w:pStyle w:val="2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5F2CB">
    <w:pPr>
      <w:pStyle w:val="2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AC250D">
                          <w:pPr>
                            <w:pStyle w:val="29"/>
                          </w:pPr>
                          <w:r>
                            <w:fldChar w:fldCharType="begin"/>
                          </w:r>
                          <w:r>
                            <w:instrText xml:space="preserve"> PAGE  \* MERGEFORMAT </w:instrText>
                          </w:r>
                          <w:r>
                            <w:fldChar w:fldCharType="separate"/>
                          </w:r>
                          <w:r>
                            <w:t>32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61AC250D">
                    <w:pPr>
                      <w:pStyle w:val="29"/>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A7F73">
    <w:pPr>
      <w:pStyle w:val="2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A7D5D6">
                          <w:pPr>
                            <w:pStyle w:val="29"/>
                          </w:pPr>
                          <w:r>
                            <w:fldChar w:fldCharType="begin"/>
                          </w:r>
                          <w:r>
                            <w:instrText xml:space="preserve"> PAGE  \* MERGEFORMAT </w:instrText>
                          </w:r>
                          <w:r>
                            <w:fldChar w:fldCharType="separate"/>
                          </w:r>
                          <w:r>
                            <w:t>31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03A7D5D6">
                    <w:pPr>
                      <w:pStyle w:val="29"/>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0BABD">
    <w:pPr>
      <w:pStyle w:val="2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606C73">
                          <w:pPr>
                            <w:pStyle w:val="2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06606C73">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4EF4D">
    <w:pPr>
      <w:pStyle w:val="29"/>
      <w:rPr>
        <w:rFonts w:hint="eastAsia" w:cs="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BC32946">
                          <w:pPr>
                            <w:pStyle w:val="29"/>
                          </w:pPr>
                          <w:r>
                            <w:fldChar w:fldCharType="begin"/>
                          </w:r>
                          <w:r>
                            <w:instrText xml:space="preserve"> PAGE  \* MERGEFORMAT </w:instrText>
                          </w:r>
                          <w:r>
                            <w:fldChar w:fldCharType="separate"/>
                          </w:r>
                          <w:r>
                            <w:t>56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l9hpMwBAACnAwAADgAAAGRycy9lMm9Eb2MueG1srVPBjtMwEL0j8Q+W&#10;7zTZHlAUNV2BqkVICJAWPsB1nMaS7bE8bpP+APwBJy7c+a5+B2Mn6S7LZQ9cnPHM+M28N5PN7WgN&#10;O6mAGlzDb1YlZ8pJaLU7NPzrl7tXFWcYhWuFAacaflbIb7cvX2wGX6s19GBaFRiBOKwH3/A+Rl8X&#10;BcpeWYEr8MpRsINgRaRrOBRtEAOhW1Osy/J1MUBofQCpEMm7m4J8RgzPAYSu01LtQB6tcnFCDcqI&#10;SJSw1x75NnfbdUrGT12HKjLTcGIa80lFyN6ns9huRH0Iwvdazi2I57TwhJMV2lHRK9RORMGOQf8D&#10;ZbUMgNDFlQRbTESyIsTipnyizX0vvMpcSGr0V9Hx/8HKj6fPgem24TR2JywN/PLj++Xn78uvb6xK&#10;8gwea8q695QXx7cw0tIsfiRnYj12waYv8WEUJ3HPV3HVGJlMj6p1VZUUkhRbLoRfPDz3AeM7BZYl&#10;o+GBppdFFacPGKfUJSVVc3CnjckTNO4vB2FOHpVXYH6dmEwdJyuO+3Gmt4f2TOwGWoOGO9p6zsx7&#10;RyqnjVmMsBj7xTj6oA99XqlUHf2bY6SWcqepwgRLDNOF5pe5zruWFuTxPWc9/F/b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CX2GkzAEAAKcDAAAOAAAAAAAAAAEAIAAAAB4BAABkcnMvZTJv&#10;RG9jLnhtbFBLBQYAAAAABgAGAFkBAABcBQAAAAA=&#10;">
              <v:fill on="f" focussize="0,0"/>
              <v:stroke on="f"/>
              <v:imagedata o:title=""/>
              <o:lock v:ext="edit" aspectratio="f"/>
              <v:textbox inset="0mm,0mm,0mm,0mm" style="mso-fit-shape-to-text:t;">
                <w:txbxContent>
                  <w:p w14:paraId="1BC32946">
                    <w:pPr>
                      <w:pStyle w:val="29"/>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53206">
    <w:pPr>
      <w:pStyle w:val="2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D00DE8">
                          <w:pPr>
                            <w:pStyle w:val="29"/>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AD00DE8">
                    <w:pPr>
                      <w:pStyle w:val="29"/>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767B4">
    <w:pPr>
      <w:pStyle w:val="29"/>
      <w:rPr>
        <w:rStyle w:val="51"/>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02D7ED">
                          <w:pPr>
                            <w:pStyle w:val="29"/>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qv1RMoBAACcAwAADgAAAGRycy9lMm9Eb2MueG1srVPNjtMwEL4j8Q6W&#10;79RpD6hE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5xEyhx3OLAL9+/XX78uvz8SpbV&#10;6k1WqA9QY+JDwNQ03PkhZ09+QGcmPqho8xcpEYyjvuervnJIRORH69V6XWFIYGy+IA57fB4ipLfS&#10;W5KNhkYcYNGVn95DGlPnlFzN+XttDPp5bdxfDsTMHpZ7H3vMVhr2w9T43rdn5NPj7BvqcNUpMe8c&#10;SpvXZDbibOxn4xiiPnRlj3I9CLfHhE2U3nKFEXYqjEMr7KYFy1vx571kPf5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Rqv1RMoBAACcAwAADgAAAAAAAAABACAAAAAeAQAAZHJzL2Uyb0Rv&#10;Yy54bWxQSwUGAAAAAAYABgBZAQAAWgUAAAAA&#10;">
              <v:fill on="f" focussize="0,0"/>
              <v:stroke on="f"/>
              <v:imagedata o:title=""/>
              <o:lock v:ext="edit" aspectratio="f"/>
              <v:textbox inset="0mm,0mm,0mm,0mm" style="mso-fit-shape-to-text:t;">
                <w:txbxContent>
                  <w:p w14:paraId="2802D7ED">
                    <w:pPr>
                      <w:pStyle w:val="29"/>
                    </w:pPr>
                    <w:r>
                      <w:fldChar w:fldCharType="begin"/>
                    </w:r>
                    <w:r>
                      <w:instrText xml:space="preserve"> PAGE  \* MERGEFORMAT </w:instrText>
                    </w:r>
                    <w:r>
                      <w:fldChar w:fldCharType="separate"/>
                    </w:r>
                    <w:r>
                      <w:t>2</w:t>
                    </w:r>
                    <w:r>
                      <w:fldChar w:fldCharType="end"/>
                    </w:r>
                  </w:p>
                </w:txbxContent>
              </v:textbox>
            </v:shape>
          </w:pict>
        </mc:Fallback>
      </mc:AlternateContent>
    </w:r>
  </w:p>
  <w:p w14:paraId="01B2BA8E">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23331">
    <w:pPr>
      <w:pStyle w:val="30"/>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8BC04">
    <w:pPr>
      <w:pStyle w:val="3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2565F3"/>
    <w:multiLevelType w:val="singleLevel"/>
    <w:tmpl w:val="F22565F3"/>
    <w:lvl w:ilvl="0" w:tentative="0">
      <w:start w:val="1"/>
      <w:numFmt w:val="decimal"/>
      <w:suff w:val="nothing"/>
      <w:lvlText w:val="（%1）"/>
      <w:lvlJc w:val="left"/>
    </w:lvl>
  </w:abstractNum>
  <w:abstractNum w:abstractNumId="1">
    <w:nsid w:val="17A77041"/>
    <w:multiLevelType w:val="singleLevel"/>
    <w:tmpl w:val="17A77041"/>
    <w:lvl w:ilvl="0" w:tentative="0">
      <w:start w:val="4"/>
      <w:numFmt w:val="chineseCounting"/>
      <w:suff w:val="space"/>
      <w:lvlText w:val="第%1章"/>
      <w:lvlJc w:val="left"/>
      <w:rPr>
        <w:rFonts w:hint="eastAsia"/>
      </w:rPr>
    </w:lvl>
  </w:abstractNum>
  <w:abstractNum w:abstractNumId="2">
    <w:nsid w:val="6016677D"/>
    <w:multiLevelType w:val="singleLevel"/>
    <w:tmpl w:val="6016677D"/>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jMDcwYWJmYjExZWQzNTVmZDAzZTYwM2JlMzJmZDYifQ=="/>
  </w:docVars>
  <w:rsids>
    <w:rsidRoot w:val="00172A27"/>
    <w:rsid w:val="0000197A"/>
    <w:rsid w:val="00002E1B"/>
    <w:rsid w:val="000046EA"/>
    <w:rsid w:val="00004E34"/>
    <w:rsid w:val="00005CD8"/>
    <w:rsid w:val="00006123"/>
    <w:rsid w:val="000070B7"/>
    <w:rsid w:val="0000758B"/>
    <w:rsid w:val="00010F4B"/>
    <w:rsid w:val="0001111D"/>
    <w:rsid w:val="00011A14"/>
    <w:rsid w:val="00012844"/>
    <w:rsid w:val="00012D1D"/>
    <w:rsid w:val="00017114"/>
    <w:rsid w:val="00017EFA"/>
    <w:rsid w:val="00020FE0"/>
    <w:rsid w:val="00021BDB"/>
    <w:rsid w:val="000225E0"/>
    <w:rsid w:val="00022A89"/>
    <w:rsid w:val="00023D05"/>
    <w:rsid w:val="00026E12"/>
    <w:rsid w:val="000273CC"/>
    <w:rsid w:val="000330C1"/>
    <w:rsid w:val="000335C0"/>
    <w:rsid w:val="00034C73"/>
    <w:rsid w:val="0003719A"/>
    <w:rsid w:val="00037B93"/>
    <w:rsid w:val="00040224"/>
    <w:rsid w:val="0004332D"/>
    <w:rsid w:val="00044907"/>
    <w:rsid w:val="0004695D"/>
    <w:rsid w:val="00046C34"/>
    <w:rsid w:val="00057DBF"/>
    <w:rsid w:val="000617FE"/>
    <w:rsid w:val="0006411D"/>
    <w:rsid w:val="000642AF"/>
    <w:rsid w:val="00066792"/>
    <w:rsid w:val="00072090"/>
    <w:rsid w:val="00076B75"/>
    <w:rsid w:val="00076F1D"/>
    <w:rsid w:val="00077234"/>
    <w:rsid w:val="000837EF"/>
    <w:rsid w:val="00083ADA"/>
    <w:rsid w:val="0008659F"/>
    <w:rsid w:val="00086C18"/>
    <w:rsid w:val="00090A07"/>
    <w:rsid w:val="00090F90"/>
    <w:rsid w:val="00093100"/>
    <w:rsid w:val="000939B1"/>
    <w:rsid w:val="00094E9D"/>
    <w:rsid w:val="000A078C"/>
    <w:rsid w:val="000A11AD"/>
    <w:rsid w:val="000A2C9F"/>
    <w:rsid w:val="000A475B"/>
    <w:rsid w:val="000A65EE"/>
    <w:rsid w:val="000B0DC9"/>
    <w:rsid w:val="000B3A75"/>
    <w:rsid w:val="000B4B76"/>
    <w:rsid w:val="000B547D"/>
    <w:rsid w:val="000B7A7E"/>
    <w:rsid w:val="000B7EE6"/>
    <w:rsid w:val="000C10AA"/>
    <w:rsid w:val="000C26FD"/>
    <w:rsid w:val="000D08DE"/>
    <w:rsid w:val="000D203E"/>
    <w:rsid w:val="000D2C3D"/>
    <w:rsid w:val="000D2ECE"/>
    <w:rsid w:val="000D4E9E"/>
    <w:rsid w:val="000D7F9C"/>
    <w:rsid w:val="000E0020"/>
    <w:rsid w:val="000E1F7F"/>
    <w:rsid w:val="000E227E"/>
    <w:rsid w:val="000E24EC"/>
    <w:rsid w:val="000E3D3D"/>
    <w:rsid w:val="000F7312"/>
    <w:rsid w:val="000F740E"/>
    <w:rsid w:val="00104E44"/>
    <w:rsid w:val="001063CB"/>
    <w:rsid w:val="0011140E"/>
    <w:rsid w:val="00114707"/>
    <w:rsid w:val="00115943"/>
    <w:rsid w:val="00116988"/>
    <w:rsid w:val="00120E5D"/>
    <w:rsid w:val="00125553"/>
    <w:rsid w:val="0012738D"/>
    <w:rsid w:val="00130FBA"/>
    <w:rsid w:val="00131494"/>
    <w:rsid w:val="00132E3D"/>
    <w:rsid w:val="0014049F"/>
    <w:rsid w:val="00140BFD"/>
    <w:rsid w:val="00142868"/>
    <w:rsid w:val="00146B5E"/>
    <w:rsid w:val="0015292B"/>
    <w:rsid w:val="0015363F"/>
    <w:rsid w:val="00154C59"/>
    <w:rsid w:val="00155F6F"/>
    <w:rsid w:val="001564C3"/>
    <w:rsid w:val="001620D9"/>
    <w:rsid w:val="0016514F"/>
    <w:rsid w:val="00165414"/>
    <w:rsid w:val="00165F97"/>
    <w:rsid w:val="00167090"/>
    <w:rsid w:val="00167507"/>
    <w:rsid w:val="00172A27"/>
    <w:rsid w:val="00173108"/>
    <w:rsid w:val="00173D37"/>
    <w:rsid w:val="00174E43"/>
    <w:rsid w:val="0018238C"/>
    <w:rsid w:val="00182D4C"/>
    <w:rsid w:val="001834BA"/>
    <w:rsid w:val="001843D3"/>
    <w:rsid w:val="00184866"/>
    <w:rsid w:val="00185DBC"/>
    <w:rsid w:val="001867E2"/>
    <w:rsid w:val="001919D1"/>
    <w:rsid w:val="00191DD8"/>
    <w:rsid w:val="00193AE6"/>
    <w:rsid w:val="00194AEF"/>
    <w:rsid w:val="001963BD"/>
    <w:rsid w:val="001A120B"/>
    <w:rsid w:val="001A184C"/>
    <w:rsid w:val="001A274E"/>
    <w:rsid w:val="001A2C88"/>
    <w:rsid w:val="001A37E0"/>
    <w:rsid w:val="001A3EC9"/>
    <w:rsid w:val="001A50F2"/>
    <w:rsid w:val="001A6EF7"/>
    <w:rsid w:val="001B1DF0"/>
    <w:rsid w:val="001B21A5"/>
    <w:rsid w:val="001B45D5"/>
    <w:rsid w:val="001B4675"/>
    <w:rsid w:val="001B4BDE"/>
    <w:rsid w:val="001B59E9"/>
    <w:rsid w:val="001B62B0"/>
    <w:rsid w:val="001B6A78"/>
    <w:rsid w:val="001C1FC2"/>
    <w:rsid w:val="001C4E01"/>
    <w:rsid w:val="001C7AB4"/>
    <w:rsid w:val="001D0C94"/>
    <w:rsid w:val="001D3498"/>
    <w:rsid w:val="001E1380"/>
    <w:rsid w:val="001E5247"/>
    <w:rsid w:val="001F23AB"/>
    <w:rsid w:val="001F32ED"/>
    <w:rsid w:val="001F4F95"/>
    <w:rsid w:val="001F7E70"/>
    <w:rsid w:val="00200459"/>
    <w:rsid w:val="00202DB7"/>
    <w:rsid w:val="00207065"/>
    <w:rsid w:val="00207999"/>
    <w:rsid w:val="00212D04"/>
    <w:rsid w:val="00213FCA"/>
    <w:rsid w:val="00214988"/>
    <w:rsid w:val="00214B43"/>
    <w:rsid w:val="00214F76"/>
    <w:rsid w:val="002202CE"/>
    <w:rsid w:val="0022219A"/>
    <w:rsid w:val="00222521"/>
    <w:rsid w:val="00227461"/>
    <w:rsid w:val="0022783F"/>
    <w:rsid w:val="00230392"/>
    <w:rsid w:val="00230583"/>
    <w:rsid w:val="00230A2B"/>
    <w:rsid w:val="00231547"/>
    <w:rsid w:val="002334EC"/>
    <w:rsid w:val="00235B32"/>
    <w:rsid w:val="00236AD7"/>
    <w:rsid w:val="00237688"/>
    <w:rsid w:val="00240423"/>
    <w:rsid w:val="00243B18"/>
    <w:rsid w:val="00246AD7"/>
    <w:rsid w:val="00246B91"/>
    <w:rsid w:val="00247A64"/>
    <w:rsid w:val="00250013"/>
    <w:rsid w:val="00250BCF"/>
    <w:rsid w:val="00253591"/>
    <w:rsid w:val="00255670"/>
    <w:rsid w:val="00256780"/>
    <w:rsid w:val="00262ABE"/>
    <w:rsid w:val="002657EE"/>
    <w:rsid w:val="00276F57"/>
    <w:rsid w:val="00277D06"/>
    <w:rsid w:val="002816D4"/>
    <w:rsid w:val="00286980"/>
    <w:rsid w:val="002928CE"/>
    <w:rsid w:val="00292C87"/>
    <w:rsid w:val="0029757E"/>
    <w:rsid w:val="002A1A66"/>
    <w:rsid w:val="002A39EF"/>
    <w:rsid w:val="002A599F"/>
    <w:rsid w:val="002A6E04"/>
    <w:rsid w:val="002B4BA8"/>
    <w:rsid w:val="002B7071"/>
    <w:rsid w:val="002B7117"/>
    <w:rsid w:val="002B714A"/>
    <w:rsid w:val="002B718A"/>
    <w:rsid w:val="002B7621"/>
    <w:rsid w:val="002C2E22"/>
    <w:rsid w:val="002C4A57"/>
    <w:rsid w:val="002C528E"/>
    <w:rsid w:val="002C5643"/>
    <w:rsid w:val="002E13EC"/>
    <w:rsid w:val="002E41CC"/>
    <w:rsid w:val="002F05E9"/>
    <w:rsid w:val="002F2C99"/>
    <w:rsid w:val="002F3D6A"/>
    <w:rsid w:val="002F794D"/>
    <w:rsid w:val="003029B3"/>
    <w:rsid w:val="00303019"/>
    <w:rsid w:val="00306787"/>
    <w:rsid w:val="00306966"/>
    <w:rsid w:val="0031113D"/>
    <w:rsid w:val="00311AAC"/>
    <w:rsid w:val="00313CA4"/>
    <w:rsid w:val="00314E82"/>
    <w:rsid w:val="003150CE"/>
    <w:rsid w:val="00315FF9"/>
    <w:rsid w:val="00316270"/>
    <w:rsid w:val="00321598"/>
    <w:rsid w:val="00321FDB"/>
    <w:rsid w:val="00323870"/>
    <w:rsid w:val="00323FFD"/>
    <w:rsid w:val="00324847"/>
    <w:rsid w:val="00324A5E"/>
    <w:rsid w:val="00325624"/>
    <w:rsid w:val="0032611D"/>
    <w:rsid w:val="003264EB"/>
    <w:rsid w:val="00326940"/>
    <w:rsid w:val="00330CCD"/>
    <w:rsid w:val="00332891"/>
    <w:rsid w:val="00332BBD"/>
    <w:rsid w:val="00333810"/>
    <w:rsid w:val="003343C0"/>
    <w:rsid w:val="00340804"/>
    <w:rsid w:val="00342D97"/>
    <w:rsid w:val="00343375"/>
    <w:rsid w:val="003448C2"/>
    <w:rsid w:val="00344CD6"/>
    <w:rsid w:val="0034662F"/>
    <w:rsid w:val="003510D2"/>
    <w:rsid w:val="00351A8E"/>
    <w:rsid w:val="0035447B"/>
    <w:rsid w:val="00356B27"/>
    <w:rsid w:val="00356B90"/>
    <w:rsid w:val="00357C8A"/>
    <w:rsid w:val="00360C29"/>
    <w:rsid w:val="0036101B"/>
    <w:rsid w:val="003613C6"/>
    <w:rsid w:val="00361CBA"/>
    <w:rsid w:val="00362EE3"/>
    <w:rsid w:val="0036593D"/>
    <w:rsid w:val="00366951"/>
    <w:rsid w:val="00370107"/>
    <w:rsid w:val="003720A1"/>
    <w:rsid w:val="003745F9"/>
    <w:rsid w:val="00376808"/>
    <w:rsid w:val="0037767C"/>
    <w:rsid w:val="003817E6"/>
    <w:rsid w:val="00381E22"/>
    <w:rsid w:val="0038244A"/>
    <w:rsid w:val="00382545"/>
    <w:rsid w:val="00383221"/>
    <w:rsid w:val="00384090"/>
    <w:rsid w:val="003844ED"/>
    <w:rsid w:val="00386132"/>
    <w:rsid w:val="003871B4"/>
    <w:rsid w:val="00393016"/>
    <w:rsid w:val="00394BA5"/>
    <w:rsid w:val="00394D82"/>
    <w:rsid w:val="003A70F7"/>
    <w:rsid w:val="003B39C6"/>
    <w:rsid w:val="003B4CDE"/>
    <w:rsid w:val="003B5919"/>
    <w:rsid w:val="003B7075"/>
    <w:rsid w:val="003B7983"/>
    <w:rsid w:val="003C24F4"/>
    <w:rsid w:val="003C4452"/>
    <w:rsid w:val="003C4CBD"/>
    <w:rsid w:val="003C7646"/>
    <w:rsid w:val="003D0BFC"/>
    <w:rsid w:val="003D206A"/>
    <w:rsid w:val="003D27B4"/>
    <w:rsid w:val="003D34ED"/>
    <w:rsid w:val="003D60ED"/>
    <w:rsid w:val="003D7852"/>
    <w:rsid w:val="003E0F27"/>
    <w:rsid w:val="003E15AB"/>
    <w:rsid w:val="003E3274"/>
    <w:rsid w:val="003E441B"/>
    <w:rsid w:val="003E528B"/>
    <w:rsid w:val="003E62C9"/>
    <w:rsid w:val="003E64A4"/>
    <w:rsid w:val="003F1184"/>
    <w:rsid w:val="003F19CD"/>
    <w:rsid w:val="003F34D1"/>
    <w:rsid w:val="003F5214"/>
    <w:rsid w:val="003F56BE"/>
    <w:rsid w:val="003F72A7"/>
    <w:rsid w:val="00403578"/>
    <w:rsid w:val="0040419B"/>
    <w:rsid w:val="00404AFD"/>
    <w:rsid w:val="0041061A"/>
    <w:rsid w:val="00411B9C"/>
    <w:rsid w:val="004139CC"/>
    <w:rsid w:val="00416BD0"/>
    <w:rsid w:val="004179E4"/>
    <w:rsid w:val="00422908"/>
    <w:rsid w:val="0042416B"/>
    <w:rsid w:val="004249BA"/>
    <w:rsid w:val="0042531B"/>
    <w:rsid w:val="004306D8"/>
    <w:rsid w:val="00430F18"/>
    <w:rsid w:val="00432BC1"/>
    <w:rsid w:val="00433924"/>
    <w:rsid w:val="00434AAC"/>
    <w:rsid w:val="0043512B"/>
    <w:rsid w:val="00435537"/>
    <w:rsid w:val="004355FE"/>
    <w:rsid w:val="00441E58"/>
    <w:rsid w:val="00445715"/>
    <w:rsid w:val="00445E0F"/>
    <w:rsid w:val="00446179"/>
    <w:rsid w:val="004506F7"/>
    <w:rsid w:val="0045199B"/>
    <w:rsid w:val="00451F70"/>
    <w:rsid w:val="00454C0F"/>
    <w:rsid w:val="00454F95"/>
    <w:rsid w:val="004571AF"/>
    <w:rsid w:val="00462043"/>
    <w:rsid w:val="0046380E"/>
    <w:rsid w:val="00466093"/>
    <w:rsid w:val="004712B0"/>
    <w:rsid w:val="00471B5C"/>
    <w:rsid w:val="00473006"/>
    <w:rsid w:val="00473509"/>
    <w:rsid w:val="00473BA0"/>
    <w:rsid w:val="00474B17"/>
    <w:rsid w:val="0047678B"/>
    <w:rsid w:val="00477FF4"/>
    <w:rsid w:val="00482303"/>
    <w:rsid w:val="00487C57"/>
    <w:rsid w:val="00494CD7"/>
    <w:rsid w:val="004A3117"/>
    <w:rsid w:val="004A394F"/>
    <w:rsid w:val="004A7299"/>
    <w:rsid w:val="004B15C6"/>
    <w:rsid w:val="004C0130"/>
    <w:rsid w:val="004C1E7E"/>
    <w:rsid w:val="004C2BF2"/>
    <w:rsid w:val="004C4C36"/>
    <w:rsid w:val="004C791A"/>
    <w:rsid w:val="004D0871"/>
    <w:rsid w:val="004D31D7"/>
    <w:rsid w:val="004D6B92"/>
    <w:rsid w:val="004E085C"/>
    <w:rsid w:val="004E0F8D"/>
    <w:rsid w:val="004F0E30"/>
    <w:rsid w:val="004F1D3D"/>
    <w:rsid w:val="004F3C9D"/>
    <w:rsid w:val="004F5CF2"/>
    <w:rsid w:val="004F77A5"/>
    <w:rsid w:val="00504F99"/>
    <w:rsid w:val="00505F69"/>
    <w:rsid w:val="005078D7"/>
    <w:rsid w:val="00510F89"/>
    <w:rsid w:val="00512B81"/>
    <w:rsid w:val="00513D1E"/>
    <w:rsid w:val="0052022B"/>
    <w:rsid w:val="005212B3"/>
    <w:rsid w:val="00525D5C"/>
    <w:rsid w:val="00526B90"/>
    <w:rsid w:val="00527D18"/>
    <w:rsid w:val="005324F1"/>
    <w:rsid w:val="005345CF"/>
    <w:rsid w:val="00534798"/>
    <w:rsid w:val="00534AB4"/>
    <w:rsid w:val="005362C3"/>
    <w:rsid w:val="00536BAD"/>
    <w:rsid w:val="00537141"/>
    <w:rsid w:val="005408F8"/>
    <w:rsid w:val="00543A1A"/>
    <w:rsid w:val="00543D1A"/>
    <w:rsid w:val="00545A63"/>
    <w:rsid w:val="00550A8B"/>
    <w:rsid w:val="00551ABE"/>
    <w:rsid w:val="00551F3F"/>
    <w:rsid w:val="00553C28"/>
    <w:rsid w:val="00555711"/>
    <w:rsid w:val="0055655B"/>
    <w:rsid w:val="005575EF"/>
    <w:rsid w:val="00557CAA"/>
    <w:rsid w:val="005610A7"/>
    <w:rsid w:val="00562097"/>
    <w:rsid w:val="00562642"/>
    <w:rsid w:val="00562653"/>
    <w:rsid w:val="00563B31"/>
    <w:rsid w:val="00564616"/>
    <w:rsid w:val="00565E25"/>
    <w:rsid w:val="00566512"/>
    <w:rsid w:val="005677A2"/>
    <w:rsid w:val="00571668"/>
    <w:rsid w:val="00573193"/>
    <w:rsid w:val="005736B2"/>
    <w:rsid w:val="0057643A"/>
    <w:rsid w:val="00580342"/>
    <w:rsid w:val="00582213"/>
    <w:rsid w:val="005901E1"/>
    <w:rsid w:val="005915F5"/>
    <w:rsid w:val="00591F58"/>
    <w:rsid w:val="00592834"/>
    <w:rsid w:val="00594FBF"/>
    <w:rsid w:val="0059693D"/>
    <w:rsid w:val="00597823"/>
    <w:rsid w:val="005A3405"/>
    <w:rsid w:val="005A5E6E"/>
    <w:rsid w:val="005A65D3"/>
    <w:rsid w:val="005A71BD"/>
    <w:rsid w:val="005A7C75"/>
    <w:rsid w:val="005B3CFB"/>
    <w:rsid w:val="005B4AA4"/>
    <w:rsid w:val="005B5C42"/>
    <w:rsid w:val="005B682A"/>
    <w:rsid w:val="005B705D"/>
    <w:rsid w:val="005C0054"/>
    <w:rsid w:val="005D0BCF"/>
    <w:rsid w:val="005D1D33"/>
    <w:rsid w:val="005D1E1A"/>
    <w:rsid w:val="005D2808"/>
    <w:rsid w:val="005D49DC"/>
    <w:rsid w:val="005D6EDB"/>
    <w:rsid w:val="005E4BD5"/>
    <w:rsid w:val="005E6D8D"/>
    <w:rsid w:val="005E7874"/>
    <w:rsid w:val="005F2C58"/>
    <w:rsid w:val="005F3CD8"/>
    <w:rsid w:val="005F6D4E"/>
    <w:rsid w:val="00601231"/>
    <w:rsid w:val="006015AA"/>
    <w:rsid w:val="006053A4"/>
    <w:rsid w:val="00610D91"/>
    <w:rsid w:val="0061143B"/>
    <w:rsid w:val="006173D9"/>
    <w:rsid w:val="006174D0"/>
    <w:rsid w:val="00617B19"/>
    <w:rsid w:val="00620E0C"/>
    <w:rsid w:val="0062507F"/>
    <w:rsid w:val="00626412"/>
    <w:rsid w:val="00627097"/>
    <w:rsid w:val="00627F07"/>
    <w:rsid w:val="00630701"/>
    <w:rsid w:val="00630A52"/>
    <w:rsid w:val="006314EC"/>
    <w:rsid w:val="006317D9"/>
    <w:rsid w:val="006319A4"/>
    <w:rsid w:val="006320EC"/>
    <w:rsid w:val="00632505"/>
    <w:rsid w:val="0063261C"/>
    <w:rsid w:val="00634E49"/>
    <w:rsid w:val="006404B8"/>
    <w:rsid w:val="00640732"/>
    <w:rsid w:val="00640CD1"/>
    <w:rsid w:val="006411FA"/>
    <w:rsid w:val="006468C4"/>
    <w:rsid w:val="00656322"/>
    <w:rsid w:val="0065656C"/>
    <w:rsid w:val="00662C9C"/>
    <w:rsid w:val="00664CCB"/>
    <w:rsid w:val="0066501C"/>
    <w:rsid w:val="00667847"/>
    <w:rsid w:val="00667E21"/>
    <w:rsid w:val="00672253"/>
    <w:rsid w:val="00672477"/>
    <w:rsid w:val="006803F2"/>
    <w:rsid w:val="00680EED"/>
    <w:rsid w:val="00683A32"/>
    <w:rsid w:val="00686C3A"/>
    <w:rsid w:val="0069751D"/>
    <w:rsid w:val="00697E3A"/>
    <w:rsid w:val="006A5A61"/>
    <w:rsid w:val="006A6C9D"/>
    <w:rsid w:val="006B06AF"/>
    <w:rsid w:val="006B3780"/>
    <w:rsid w:val="006B3913"/>
    <w:rsid w:val="006B5F0A"/>
    <w:rsid w:val="006B7B67"/>
    <w:rsid w:val="006C004B"/>
    <w:rsid w:val="006C09E3"/>
    <w:rsid w:val="006C12A2"/>
    <w:rsid w:val="006C1EAD"/>
    <w:rsid w:val="006C3056"/>
    <w:rsid w:val="006C3E9D"/>
    <w:rsid w:val="006C4608"/>
    <w:rsid w:val="006E29E7"/>
    <w:rsid w:val="006E3C5D"/>
    <w:rsid w:val="006E4C81"/>
    <w:rsid w:val="006F3D17"/>
    <w:rsid w:val="007010A6"/>
    <w:rsid w:val="007010E6"/>
    <w:rsid w:val="007013D6"/>
    <w:rsid w:val="00704877"/>
    <w:rsid w:val="007056DC"/>
    <w:rsid w:val="00707B0D"/>
    <w:rsid w:val="00707F33"/>
    <w:rsid w:val="00707FB8"/>
    <w:rsid w:val="00710E91"/>
    <w:rsid w:val="00712094"/>
    <w:rsid w:val="00712899"/>
    <w:rsid w:val="00716F04"/>
    <w:rsid w:val="007220FC"/>
    <w:rsid w:val="007224C8"/>
    <w:rsid w:val="00731F87"/>
    <w:rsid w:val="00734057"/>
    <w:rsid w:val="007347A9"/>
    <w:rsid w:val="00734A59"/>
    <w:rsid w:val="00737389"/>
    <w:rsid w:val="00740EA7"/>
    <w:rsid w:val="00741E7A"/>
    <w:rsid w:val="00743A79"/>
    <w:rsid w:val="00746374"/>
    <w:rsid w:val="0074694C"/>
    <w:rsid w:val="00750DC6"/>
    <w:rsid w:val="00751F36"/>
    <w:rsid w:val="00752ABA"/>
    <w:rsid w:val="007544B3"/>
    <w:rsid w:val="00754953"/>
    <w:rsid w:val="00755F4B"/>
    <w:rsid w:val="007569BF"/>
    <w:rsid w:val="00764F21"/>
    <w:rsid w:val="007650EA"/>
    <w:rsid w:val="00771225"/>
    <w:rsid w:val="007716E8"/>
    <w:rsid w:val="00771EE2"/>
    <w:rsid w:val="00772F61"/>
    <w:rsid w:val="007735D0"/>
    <w:rsid w:val="00776CE6"/>
    <w:rsid w:val="0077709D"/>
    <w:rsid w:val="0077725B"/>
    <w:rsid w:val="0078232E"/>
    <w:rsid w:val="007825BB"/>
    <w:rsid w:val="0078387C"/>
    <w:rsid w:val="007846BD"/>
    <w:rsid w:val="007852C4"/>
    <w:rsid w:val="00785C7C"/>
    <w:rsid w:val="00791072"/>
    <w:rsid w:val="00791620"/>
    <w:rsid w:val="00792C93"/>
    <w:rsid w:val="0079603B"/>
    <w:rsid w:val="00796119"/>
    <w:rsid w:val="00797F29"/>
    <w:rsid w:val="00797F99"/>
    <w:rsid w:val="007A3AD3"/>
    <w:rsid w:val="007A5486"/>
    <w:rsid w:val="007A59DE"/>
    <w:rsid w:val="007B10BC"/>
    <w:rsid w:val="007B2FBF"/>
    <w:rsid w:val="007B6549"/>
    <w:rsid w:val="007B7D18"/>
    <w:rsid w:val="007C065A"/>
    <w:rsid w:val="007C313C"/>
    <w:rsid w:val="007C5C10"/>
    <w:rsid w:val="007C5C4D"/>
    <w:rsid w:val="007D2547"/>
    <w:rsid w:val="007D3552"/>
    <w:rsid w:val="007D5303"/>
    <w:rsid w:val="007D6C61"/>
    <w:rsid w:val="007D7027"/>
    <w:rsid w:val="007E1D6E"/>
    <w:rsid w:val="007E60BB"/>
    <w:rsid w:val="007E66F0"/>
    <w:rsid w:val="007E6E71"/>
    <w:rsid w:val="007F0879"/>
    <w:rsid w:val="007F2072"/>
    <w:rsid w:val="007F7CC1"/>
    <w:rsid w:val="00801530"/>
    <w:rsid w:val="00803277"/>
    <w:rsid w:val="00803BC6"/>
    <w:rsid w:val="008044D7"/>
    <w:rsid w:val="00811BC8"/>
    <w:rsid w:val="00812181"/>
    <w:rsid w:val="0081385B"/>
    <w:rsid w:val="00816600"/>
    <w:rsid w:val="00821645"/>
    <w:rsid w:val="00822D2E"/>
    <w:rsid w:val="00827EA0"/>
    <w:rsid w:val="0083345E"/>
    <w:rsid w:val="00834EAE"/>
    <w:rsid w:val="00841403"/>
    <w:rsid w:val="0084190B"/>
    <w:rsid w:val="0084411B"/>
    <w:rsid w:val="00844951"/>
    <w:rsid w:val="00844D6E"/>
    <w:rsid w:val="00845A5D"/>
    <w:rsid w:val="008462FB"/>
    <w:rsid w:val="008465CD"/>
    <w:rsid w:val="0084663D"/>
    <w:rsid w:val="008515C0"/>
    <w:rsid w:val="00854873"/>
    <w:rsid w:val="00855E83"/>
    <w:rsid w:val="00856515"/>
    <w:rsid w:val="0086292A"/>
    <w:rsid w:val="00864FC6"/>
    <w:rsid w:val="00865B48"/>
    <w:rsid w:val="00872E7D"/>
    <w:rsid w:val="00874549"/>
    <w:rsid w:val="008756B7"/>
    <w:rsid w:val="008757B7"/>
    <w:rsid w:val="00880472"/>
    <w:rsid w:val="008813F9"/>
    <w:rsid w:val="0088144C"/>
    <w:rsid w:val="00881587"/>
    <w:rsid w:val="0088218C"/>
    <w:rsid w:val="00884060"/>
    <w:rsid w:val="00890796"/>
    <w:rsid w:val="0089321E"/>
    <w:rsid w:val="008933DF"/>
    <w:rsid w:val="00894C08"/>
    <w:rsid w:val="00895001"/>
    <w:rsid w:val="0089560E"/>
    <w:rsid w:val="008A0CBD"/>
    <w:rsid w:val="008A0D2A"/>
    <w:rsid w:val="008A1DEE"/>
    <w:rsid w:val="008A3970"/>
    <w:rsid w:val="008A5701"/>
    <w:rsid w:val="008B3DFF"/>
    <w:rsid w:val="008B3F28"/>
    <w:rsid w:val="008C49D3"/>
    <w:rsid w:val="008C5947"/>
    <w:rsid w:val="008C6DA1"/>
    <w:rsid w:val="008C72A6"/>
    <w:rsid w:val="008D3D94"/>
    <w:rsid w:val="008D618A"/>
    <w:rsid w:val="008E1DC0"/>
    <w:rsid w:val="008E30BF"/>
    <w:rsid w:val="008E35A0"/>
    <w:rsid w:val="008E3A25"/>
    <w:rsid w:val="008E5038"/>
    <w:rsid w:val="008F031C"/>
    <w:rsid w:val="008F1463"/>
    <w:rsid w:val="008F1F11"/>
    <w:rsid w:val="008F31C7"/>
    <w:rsid w:val="008F7358"/>
    <w:rsid w:val="008F7394"/>
    <w:rsid w:val="008F79D7"/>
    <w:rsid w:val="009006DF"/>
    <w:rsid w:val="00910153"/>
    <w:rsid w:val="00910A19"/>
    <w:rsid w:val="00910BDC"/>
    <w:rsid w:val="00910F4E"/>
    <w:rsid w:val="00911695"/>
    <w:rsid w:val="00911E55"/>
    <w:rsid w:val="00913F05"/>
    <w:rsid w:val="0091562C"/>
    <w:rsid w:val="009177B6"/>
    <w:rsid w:val="00917A27"/>
    <w:rsid w:val="00923CD3"/>
    <w:rsid w:val="00924202"/>
    <w:rsid w:val="00924E50"/>
    <w:rsid w:val="00925CC6"/>
    <w:rsid w:val="00926ABF"/>
    <w:rsid w:val="00927A26"/>
    <w:rsid w:val="00927D00"/>
    <w:rsid w:val="00930969"/>
    <w:rsid w:val="0093269F"/>
    <w:rsid w:val="00936433"/>
    <w:rsid w:val="009412CD"/>
    <w:rsid w:val="0095349A"/>
    <w:rsid w:val="00955204"/>
    <w:rsid w:val="00960CAB"/>
    <w:rsid w:val="00960CCB"/>
    <w:rsid w:val="00961359"/>
    <w:rsid w:val="00962A0B"/>
    <w:rsid w:val="00962C4D"/>
    <w:rsid w:val="00964D34"/>
    <w:rsid w:val="00966F72"/>
    <w:rsid w:val="0096757C"/>
    <w:rsid w:val="00967A23"/>
    <w:rsid w:val="00972946"/>
    <w:rsid w:val="00972E84"/>
    <w:rsid w:val="00974691"/>
    <w:rsid w:val="00976022"/>
    <w:rsid w:val="00976169"/>
    <w:rsid w:val="00976580"/>
    <w:rsid w:val="00977C3F"/>
    <w:rsid w:val="00977CC3"/>
    <w:rsid w:val="00980102"/>
    <w:rsid w:val="0098316D"/>
    <w:rsid w:val="00984D59"/>
    <w:rsid w:val="0098502F"/>
    <w:rsid w:val="00986D16"/>
    <w:rsid w:val="009910B5"/>
    <w:rsid w:val="009920AD"/>
    <w:rsid w:val="0099244A"/>
    <w:rsid w:val="009938B8"/>
    <w:rsid w:val="00994EB2"/>
    <w:rsid w:val="00995053"/>
    <w:rsid w:val="009A0735"/>
    <w:rsid w:val="009A25E2"/>
    <w:rsid w:val="009A37CD"/>
    <w:rsid w:val="009A4C36"/>
    <w:rsid w:val="009B1FF8"/>
    <w:rsid w:val="009B42EF"/>
    <w:rsid w:val="009B4E7E"/>
    <w:rsid w:val="009B5EED"/>
    <w:rsid w:val="009C20D3"/>
    <w:rsid w:val="009C37BF"/>
    <w:rsid w:val="009C6EE6"/>
    <w:rsid w:val="009C7333"/>
    <w:rsid w:val="009C7979"/>
    <w:rsid w:val="009D0966"/>
    <w:rsid w:val="009D0B0C"/>
    <w:rsid w:val="009D22E5"/>
    <w:rsid w:val="009D4B7E"/>
    <w:rsid w:val="009D5E13"/>
    <w:rsid w:val="009D71F1"/>
    <w:rsid w:val="009E015C"/>
    <w:rsid w:val="009E0909"/>
    <w:rsid w:val="009E37B1"/>
    <w:rsid w:val="009E3E05"/>
    <w:rsid w:val="009E5780"/>
    <w:rsid w:val="009E5D72"/>
    <w:rsid w:val="009E6EC4"/>
    <w:rsid w:val="009F01E1"/>
    <w:rsid w:val="009F2F5E"/>
    <w:rsid w:val="009F3B2F"/>
    <w:rsid w:val="009F42ED"/>
    <w:rsid w:val="009F60D9"/>
    <w:rsid w:val="00A01456"/>
    <w:rsid w:val="00A01B5E"/>
    <w:rsid w:val="00A02A20"/>
    <w:rsid w:val="00A03301"/>
    <w:rsid w:val="00A05E3C"/>
    <w:rsid w:val="00A0769D"/>
    <w:rsid w:val="00A07925"/>
    <w:rsid w:val="00A101E8"/>
    <w:rsid w:val="00A10455"/>
    <w:rsid w:val="00A1132C"/>
    <w:rsid w:val="00A1168E"/>
    <w:rsid w:val="00A11DCF"/>
    <w:rsid w:val="00A11EE6"/>
    <w:rsid w:val="00A1213C"/>
    <w:rsid w:val="00A14C01"/>
    <w:rsid w:val="00A1556E"/>
    <w:rsid w:val="00A169DC"/>
    <w:rsid w:val="00A20C10"/>
    <w:rsid w:val="00A22308"/>
    <w:rsid w:val="00A22EC9"/>
    <w:rsid w:val="00A25ED3"/>
    <w:rsid w:val="00A264B5"/>
    <w:rsid w:val="00A26E1A"/>
    <w:rsid w:val="00A27D67"/>
    <w:rsid w:val="00A317E0"/>
    <w:rsid w:val="00A37208"/>
    <w:rsid w:val="00A373FE"/>
    <w:rsid w:val="00A37744"/>
    <w:rsid w:val="00A4126B"/>
    <w:rsid w:val="00A431C8"/>
    <w:rsid w:val="00A47E8E"/>
    <w:rsid w:val="00A50183"/>
    <w:rsid w:val="00A50E52"/>
    <w:rsid w:val="00A512D9"/>
    <w:rsid w:val="00A52488"/>
    <w:rsid w:val="00A52EF8"/>
    <w:rsid w:val="00A52F87"/>
    <w:rsid w:val="00A550F0"/>
    <w:rsid w:val="00A55F4D"/>
    <w:rsid w:val="00A56DFC"/>
    <w:rsid w:val="00A607D6"/>
    <w:rsid w:val="00A65ACF"/>
    <w:rsid w:val="00A71725"/>
    <w:rsid w:val="00A730D4"/>
    <w:rsid w:val="00A75160"/>
    <w:rsid w:val="00A80107"/>
    <w:rsid w:val="00A80270"/>
    <w:rsid w:val="00A81E1C"/>
    <w:rsid w:val="00A82C07"/>
    <w:rsid w:val="00A8654F"/>
    <w:rsid w:val="00A921C2"/>
    <w:rsid w:val="00A93040"/>
    <w:rsid w:val="00A9331E"/>
    <w:rsid w:val="00A96C90"/>
    <w:rsid w:val="00AA1C5D"/>
    <w:rsid w:val="00AA207A"/>
    <w:rsid w:val="00AA672A"/>
    <w:rsid w:val="00AA7717"/>
    <w:rsid w:val="00AA7A7D"/>
    <w:rsid w:val="00AA7BA4"/>
    <w:rsid w:val="00AB24DF"/>
    <w:rsid w:val="00AB2639"/>
    <w:rsid w:val="00AB41F5"/>
    <w:rsid w:val="00AB534D"/>
    <w:rsid w:val="00AB6C48"/>
    <w:rsid w:val="00AB7F2E"/>
    <w:rsid w:val="00AC00B4"/>
    <w:rsid w:val="00AC26EA"/>
    <w:rsid w:val="00AC2702"/>
    <w:rsid w:val="00AC5E52"/>
    <w:rsid w:val="00AC75F2"/>
    <w:rsid w:val="00AD0D0C"/>
    <w:rsid w:val="00AD28A1"/>
    <w:rsid w:val="00AD39D3"/>
    <w:rsid w:val="00AD6CA7"/>
    <w:rsid w:val="00AF04EA"/>
    <w:rsid w:val="00AF1B9D"/>
    <w:rsid w:val="00AF2D9F"/>
    <w:rsid w:val="00AF4146"/>
    <w:rsid w:val="00B01E1E"/>
    <w:rsid w:val="00B04E52"/>
    <w:rsid w:val="00B064E0"/>
    <w:rsid w:val="00B0681C"/>
    <w:rsid w:val="00B06DF0"/>
    <w:rsid w:val="00B125E7"/>
    <w:rsid w:val="00B17733"/>
    <w:rsid w:val="00B17A2D"/>
    <w:rsid w:val="00B238A2"/>
    <w:rsid w:val="00B24199"/>
    <w:rsid w:val="00B2684F"/>
    <w:rsid w:val="00B30708"/>
    <w:rsid w:val="00B30B1C"/>
    <w:rsid w:val="00B32557"/>
    <w:rsid w:val="00B40A36"/>
    <w:rsid w:val="00B421B9"/>
    <w:rsid w:val="00B43070"/>
    <w:rsid w:val="00B43FAA"/>
    <w:rsid w:val="00B46946"/>
    <w:rsid w:val="00B52319"/>
    <w:rsid w:val="00B5524B"/>
    <w:rsid w:val="00B60374"/>
    <w:rsid w:val="00B624DE"/>
    <w:rsid w:val="00B631C4"/>
    <w:rsid w:val="00B648B6"/>
    <w:rsid w:val="00B65453"/>
    <w:rsid w:val="00B669BA"/>
    <w:rsid w:val="00B67E11"/>
    <w:rsid w:val="00B75280"/>
    <w:rsid w:val="00B81D39"/>
    <w:rsid w:val="00B82D37"/>
    <w:rsid w:val="00B879EB"/>
    <w:rsid w:val="00B87A14"/>
    <w:rsid w:val="00B87A48"/>
    <w:rsid w:val="00B91A45"/>
    <w:rsid w:val="00BA398E"/>
    <w:rsid w:val="00BA58F0"/>
    <w:rsid w:val="00BA6D3B"/>
    <w:rsid w:val="00BA7453"/>
    <w:rsid w:val="00BB0336"/>
    <w:rsid w:val="00BB0FA2"/>
    <w:rsid w:val="00BB2223"/>
    <w:rsid w:val="00BB2B7B"/>
    <w:rsid w:val="00BB2E6B"/>
    <w:rsid w:val="00BC0C20"/>
    <w:rsid w:val="00BC508C"/>
    <w:rsid w:val="00BC79D7"/>
    <w:rsid w:val="00BD1389"/>
    <w:rsid w:val="00BD41E9"/>
    <w:rsid w:val="00BD51C6"/>
    <w:rsid w:val="00BD7908"/>
    <w:rsid w:val="00BE057A"/>
    <w:rsid w:val="00BE2D96"/>
    <w:rsid w:val="00BE520A"/>
    <w:rsid w:val="00BE5A23"/>
    <w:rsid w:val="00BE6705"/>
    <w:rsid w:val="00BE7FAD"/>
    <w:rsid w:val="00BF03C1"/>
    <w:rsid w:val="00BF0DAF"/>
    <w:rsid w:val="00BF0E76"/>
    <w:rsid w:val="00BF1E08"/>
    <w:rsid w:val="00BF2EB6"/>
    <w:rsid w:val="00BF7A0C"/>
    <w:rsid w:val="00C063C0"/>
    <w:rsid w:val="00C06DB4"/>
    <w:rsid w:val="00C0756A"/>
    <w:rsid w:val="00C12BE9"/>
    <w:rsid w:val="00C13786"/>
    <w:rsid w:val="00C14FCB"/>
    <w:rsid w:val="00C15A0C"/>
    <w:rsid w:val="00C15FE3"/>
    <w:rsid w:val="00C2443D"/>
    <w:rsid w:val="00C24999"/>
    <w:rsid w:val="00C25A3F"/>
    <w:rsid w:val="00C2616B"/>
    <w:rsid w:val="00C26E45"/>
    <w:rsid w:val="00C318C2"/>
    <w:rsid w:val="00C35769"/>
    <w:rsid w:val="00C405C9"/>
    <w:rsid w:val="00C40FE1"/>
    <w:rsid w:val="00C434BA"/>
    <w:rsid w:val="00C44BCE"/>
    <w:rsid w:val="00C46EAD"/>
    <w:rsid w:val="00C51140"/>
    <w:rsid w:val="00C536A9"/>
    <w:rsid w:val="00C56A2B"/>
    <w:rsid w:val="00C57A7D"/>
    <w:rsid w:val="00C57DD2"/>
    <w:rsid w:val="00C6039F"/>
    <w:rsid w:val="00C61FE7"/>
    <w:rsid w:val="00C64B7C"/>
    <w:rsid w:val="00C673DF"/>
    <w:rsid w:val="00C75A94"/>
    <w:rsid w:val="00C77A24"/>
    <w:rsid w:val="00C77AA8"/>
    <w:rsid w:val="00C804FA"/>
    <w:rsid w:val="00C82D91"/>
    <w:rsid w:val="00C82E68"/>
    <w:rsid w:val="00C862B3"/>
    <w:rsid w:val="00C87690"/>
    <w:rsid w:val="00C87B3D"/>
    <w:rsid w:val="00C92F00"/>
    <w:rsid w:val="00C936E3"/>
    <w:rsid w:val="00C93DA5"/>
    <w:rsid w:val="00C9452A"/>
    <w:rsid w:val="00C94FA3"/>
    <w:rsid w:val="00C9774D"/>
    <w:rsid w:val="00CA00CA"/>
    <w:rsid w:val="00CA0334"/>
    <w:rsid w:val="00CA2884"/>
    <w:rsid w:val="00CA2953"/>
    <w:rsid w:val="00CA3206"/>
    <w:rsid w:val="00CA348C"/>
    <w:rsid w:val="00CA4CD5"/>
    <w:rsid w:val="00CA68AA"/>
    <w:rsid w:val="00CB12D2"/>
    <w:rsid w:val="00CB3280"/>
    <w:rsid w:val="00CB336C"/>
    <w:rsid w:val="00CB3F09"/>
    <w:rsid w:val="00CB4283"/>
    <w:rsid w:val="00CB4873"/>
    <w:rsid w:val="00CB57BD"/>
    <w:rsid w:val="00CB618B"/>
    <w:rsid w:val="00CC1A9F"/>
    <w:rsid w:val="00CC1C9A"/>
    <w:rsid w:val="00CC252A"/>
    <w:rsid w:val="00CC4493"/>
    <w:rsid w:val="00CC44BA"/>
    <w:rsid w:val="00CC47DB"/>
    <w:rsid w:val="00CC5D81"/>
    <w:rsid w:val="00CC7B84"/>
    <w:rsid w:val="00CD275C"/>
    <w:rsid w:val="00CD4231"/>
    <w:rsid w:val="00CD4AF0"/>
    <w:rsid w:val="00CD7B4A"/>
    <w:rsid w:val="00CE3A30"/>
    <w:rsid w:val="00CE4050"/>
    <w:rsid w:val="00CE4F1D"/>
    <w:rsid w:val="00CE5114"/>
    <w:rsid w:val="00CE602D"/>
    <w:rsid w:val="00CE65F8"/>
    <w:rsid w:val="00CE792C"/>
    <w:rsid w:val="00CE7DD4"/>
    <w:rsid w:val="00CF59F8"/>
    <w:rsid w:val="00CF615A"/>
    <w:rsid w:val="00CF745F"/>
    <w:rsid w:val="00D0047C"/>
    <w:rsid w:val="00D01366"/>
    <w:rsid w:val="00D0265F"/>
    <w:rsid w:val="00D03403"/>
    <w:rsid w:val="00D046B8"/>
    <w:rsid w:val="00D12693"/>
    <w:rsid w:val="00D1359A"/>
    <w:rsid w:val="00D22FAB"/>
    <w:rsid w:val="00D258FD"/>
    <w:rsid w:val="00D26687"/>
    <w:rsid w:val="00D2689C"/>
    <w:rsid w:val="00D26B80"/>
    <w:rsid w:val="00D30EE3"/>
    <w:rsid w:val="00D329C5"/>
    <w:rsid w:val="00D3321C"/>
    <w:rsid w:val="00D337F6"/>
    <w:rsid w:val="00D35580"/>
    <w:rsid w:val="00D356EA"/>
    <w:rsid w:val="00D401A6"/>
    <w:rsid w:val="00D409EF"/>
    <w:rsid w:val="00D40B26"/>
    <w:rsid w:val="00D453E0"/>
    <w:rsid w:val="00D5328E"/>
    <w:rsid w:val="00D54F1A"/>
    <w:rsid w:val="00D565F5"/>
    <w:rsid w:val="00D567DA"/>
    <w:rsid w:val="00D577DB"/>
    <w:rsid w:val="00D57E1A"/>
    <w:rsid w:val="00D608B9"/>
    <w:rsid w:val="00D61861"/>
    <w:rsid w:val="00D622CD"/>
    <w:rsid w:val="00D62567"/>
    <w:rsid w:val="00D66575"/>
    <w:rsid w:val="00D70550"/>
    <w:rsid w:val="00D80FD3"/>
    <w:rsid w:val="00D82784"/>
    <w:rsid w:val="00D8528C"/>
    <w:rsid w:val="00D87357"/>
    <w:rsid w:val="00D93C90"/>
    <w:rsid w:val="00D97E72"/>
    <w:rsid w:val="00DA0B4C"/>
    <w:rsid w:val="00DA116F"/>
    <w:rsid w:val="00DA25E7"/>
    <w:rsid w:val="00DA56E9"/>
    <w:rsid w:val="00DA71CC"/>
    <w:rsid w:val="00DB0579"/>
    <w:rsid w:val="00DB697C"/>
    <w:rsid w:val="00DB727B"/>
    <w:rsid w:val="00DB7622"/>
    <w:rsid w:val="00DB7E9D"/>
    <w:rsid w:val="00DC26C6"/>
    <w:rsid w:val="00DC277E"/>
    <w:rsid w:val="00DC3027"/>
    <w:rsid w:val="00DC383B"/>
    <w:rsid w:val="00DC3D1F"/>
    <w:rsid w:val="00DD13E3"/>
    <w:rsid w:val="00DD2ED9"/>
    <w:rsid w:val="00DD33A6"/>
    <w:rsid w:val="00DD4A45"/>
    <w:rsid w:val="00DD63D1"/>
    <w:rsid w:val="00DE0362"/>
    <w:rsid w:val="00DE222A"/>
    <w:rsid w:val="00DE34C7"/>
    <w:rsid w:val="00DE3DF8"/>
    <w:rsid w:val="00DE5E9E"/>
    <w:rsid w:val="00DE7D44"/>
    <w:rsid w:val="00DF0E81"/>
    <w:rsid w:val="00DF1196"/>
    <w:rsid w:val="00DF73D5"/>
    <w:rsid w:val="00E006A4"/>
    <w:rsid w:val="00E01733"/>
    <w:rsid w:val="00E041AA"/>
    <w:rsid w:val="00E0726C"/>
    <w:rsid w:val="00E12C8B"/>
    <w:rsid w:val="00E13696"/>
    <w:rsid w:val="00E15607"/>
    <w:rsid w:val="00E15BD9"/>
    <w:rsid w:val="00E20153"/>
    <w:rsid w:val="00E213C3"/>
    <w:rsid w:val="00E24AF7"/>
    <w:rsid w:val="00E2637A"/>
    <w:rsid w:val="00E31555"/>
    <w:rsid w:val="00E31DCB"/>
    <w:rsid w:val="00E3267B"/>
    <w:rsid w:val="00E350B1"/>
    <w:rsid w:val="00E355CF"/>
    <w:rsid w:val="00E355D3"/>
    <w:rsid w:val="00E37A69"/>
    <w:rsid w:val="00E40E68"/>
    <w:rsid w:val="00E420DA"/>
    <w:rsid w:val="00E432BC"/>
    <w:rsid w:val="00E452FF"/>
    <w:rsid w:val="00E46A23"/>
    <w:rsid w:val="00E471B1"/>
    <w:rsid w:val="00E47253"/>
    <w:rsid w:val="00E52FB0"/>
    <w:rsid w:val="00E5543F"/>
    <w:rsid w:val="00E61183"/>
    <w:rsid w:val="00E61800"/>
    <w:rsid w:val="00E62303"/>
    <w:rsid w:val="00E658A8"/>
    <w:rsid w:val="00E668DA"/>
    <w:rsid w:val="00E676D9"/>
    <w:rsid w:val="00E71800"/>
    <w:rsid w:val="00E73BE6"/>
    <w:rsid w:val="00E73BEC"/>
    <w:rsid w:val="00E73D9E"/>
    <w:rsid w:val="00E73E25"/>
    <w:rsid w:val="00E74949"/>
    <w:rsid w:val="00E74A8E"/>
    <w:rsid w:val="00E76AD5"/>
    <w:rsid w:val="00E82224"/>
    <w:rsid w:val="00E87A83"/>
    <w:rsid w:val="00E96C97"/>
    <w:rsid w:val="00EA09A8"/>
    <w:rsid w:val="00EA3E32"/>
    <w:rsid w:val="00EA6D61"/>
    <w:rsid w:val="00EA704E"/>
    <w:rsid w:val="00EA7F7C"/>
    <w:rsid w:val="00EB2913"/>
    <w:rsid w:val="00EB42BD"/>
    <w:rsid w:val="00EB642C"/>
    <w:rsid w:val="00EC2475"/>
    <w:rsid w:val="00EC4E86"/>
    <w:rsid w:val="00EC5566"/>
    <w:rsid w:val="00EC69E9"/>
    <w:rsid w:val="00ED12A0"/>
    <w:rsid w:val="00ED2D4B"/>
    <w:rsid w:val="00ED4F9C"/>
    <w:rsid w:val="00ED55F8"/>
    <w:rsid w:val="00ED5689"/>
    <w:rsid w:val="00ED697B"/>
    <w:rsid w:val="00ED70F4"/>
    <w:rsid w:val="00EE0B69"/>
    <w:rsid w:val="00EE0F9A"/>
    <w:rsid w:val="00EE1A69"/>
    <w:rsid w:val="00EE5547"/>
    <w:rsid w:val="00EE7CE2"/>
    <w:rsid w:val="00EF6DB6"/>
    <w:rsid w:val="00EF6EF4"/>
    <w:rsid w:val="00F00091"/>
    <w:rsid w:val="00F005E7"/>
    <w:rsid w:val="00F01476"/>
    <w:rsid w:val="00F0190B"/>
    <w:rsid w:val="00F0202B"/>
    <w:rsid w:val="00F02302"/>
    <w:rsid w:val="00F03454"/>
    <w:rsid w:val="00F0494D"/>
    <w:rsid w:val="00F04A09"/>
    <w:rsid w:val="00F05D9E"/>
    <w:rsid w:val="00F06492"/>
    <w:rsid w:val="00F07ED0"/>
    <w:rsid w:val="00F10121"/>
    <w:rsid w:val="00F1264F"/>
    <w:rsid w:val="00F12882"/>
    <w:rsid w:val="00F1424F"/>
    <w:rsid w:val="00F1577A"/>
    <w:rsid w:val="00F21581"/>
    <w:rsid w:val="00F22362"/>
    <w:rsid w:val="00F24C6B"/>
    <w:rsid w:val="00F26850"/>
    <w:rsid w:val="00F274AF"/>
    <w:rsid w:val="00F308B0"/>
    <w:rsid w:val="00F3163A"/>
    <w:rsid w:val="00F3402B"/>
    <w:rsid w:val="00F365E1"/>
    <w:rsid w:val="00F3673E"/>
    <w:rsid w:val="00F400D9"/>
    <w:rsid w:val="00F40471"/>
    <w:rsid w:val="00F43778"/>
    <w:rsid w:val="00F43A25"/>
    <w:rsid w:val="00F44207"/>
    <w:rsid w:val="00F442EF"/>
    <w:rsid w:val="00F44932"/>
    <w:rsid w:val="00F471C7"/>
    <w:rsid w:val="00F509D2"/>
    <w:rsid w:val="00F53E92"/>
    <w:rsid w:val="00F554B2"/>
    <w:rsid w:val="00F579EE"/>
    <w:rsid w:val="00F57BC9"/>
    <w:rsid w:val="00F60225"/>
    <w:rsid w:val="00F61A0A"/>
    <w:rsid w:val="00F61AD6"/>
    <w:rsid w:val="00F641D8"/>
    <w:rsid w:val="00F64532"/>
    <w:rsid w:val="00F66627"/>
    <w:rsid w:val="00F711EC"/>
    <w:rsid w:val="00F71E61"/>
    <w:rsid w:val="00F75713"/>
    <w:rsid w:val="00F75AB0"/>
    <w:rsid w:val="00F75C73"/>
    <w:rsid w:val="00F81536"/>
    <w:rsid w:val="00F85169"/>
    <w:rsid w:val="00F85239"/>
    <w:rsid w:val="00F8527D"/>
    <w:rsid w:val="00F8540D"/>
    <w:rsid w:val="00F90548"/>
    <w:rsid w:val="00F922EF"/>
    <w:rsid w:val="00F937BD"/>
    <w:rsid w:val="00F962DC"/>
    <w:rsid w:val="00FA07CF"/>
    <w:rsid w:val="00FA2F0E"/>
    <w:rsid w:val="00FA4ABC"/>
    <w:rsid w:val="00FA51C6"/>
    <w:rsid w:val="00FA5D2F"/>
    <w:rsid w:val="00FB11E7"/>
    <w:rsid w:val="00FB7C96"/>
    <w:rsid w:val="00FC1F97"/>
    <w:rsid w:val="00FC460B"/>
    <w:rsid w:val="00FC56B8"/>
    <w:rsid w:val="00FC5F20"/>
    <w:rsid w:val="00FC69AF"/>
    <w:rsid w:val="00FC7B5E"/>
    <w:rsid w:val="00FD079E"/>
    <w:rsid w:val="00FD0B41"/>
    <w:rsid w:val="00FD20A0"/>
    <w:rsid w:val="00FD4991"/>
    <w:rsid w:val="00FE0113"/>
    <w:rsid w:val="00FE0A00"/>
    <w:rsid w:val="00FE0D2A"/>
    <w:rsid w:val="00FE417B"/>
    <w:rsid w:val="00FE6AF1"/>
    <w:rsid w:val="00FE7A2E"/>
    <w:rsid w:val="00FF1392"/>
    <w:rsid w:val="00FF2D63"/>
    <w:rsid w:val="00FF403E"/>
    <w:rsid w:val="00FF6ACF"/>
    <w:rsid w:val="00FF7157"/>
    <w:rsid w:val="01086012"/>
    <w:rsid w:val="012F23D2"/>
    <w:rsid w:val="01353E46"/>
    <w:rsid w:val="013D20EF"/>
    <w:rsid w:val="013D4C8F"/>
    <w:rsid w:val="0141555F"/>
    <w:rsid w:val="01425A17"/>
    <w:rsid w:val="01542AFA"/>
    <w:rsid w:val="015E6630"/>
    <w:rsid w:val="0169049A"/>
    <w:rsid w:val="016C75C7"/>
    <w:rsid w:val="018D524F"/>
    <w:rsid w:val="019036D8"/>
    <w:rsid w:val="01A01767"/>
    <w:rsid w:val="01A66FAC"/>
    <w:rsid w:val="01BD4FDC"/>
    <w:rsid w:val="01C42B8B"/>
    <w:rsid w:val="01CE3A0A"/>
    <w:rsid w:val="01E941AE"/>
    <w:rsid w:val="01ED256A"/>
    <w:rsid w:val="01FE504C"/>
    <w:rsid w:val="02201D8C"/>
    <w:rsid w:val="0221105C"/>
    <w:rsid w:val="02240E71"/>
    <w:rsid w:val="022F6268"/>
    <w:rsid w:val="0230144B"/>
    <w:rsid w:val="023E2A8F"/>
    <w:rsid w:val="023F01AC"/>
    <w:rsid w:val="02497F02"/>
    <w:rsid w:val="025C7268"/>
    <w:rsid w:val="025D37A6"/>
    <w:rsid w:val="02630A21"/>
    <w:rsid w:val="027520D7"/>
    <w:rsid w:val="02910656"/>
    <w:rsid w:val="029452C8"/>
    <w:rsid w:val="0299330C"/>
    <w:rsid w:val="029E3E12"/>
    <w:rsid w:val="02AE2F1E"/>
    <w:rsid w:val="02B07476"/>
    <w:rsid w:val="02B12263"/>
    <w:rsid w:val="02B34262"/>
    <w:rsid w:val="02BA6D6B"/>
    <w:rsid w:val="02BC6761"/>
    <w:rsid w:val="02C30781"/>
    <w:rsid w:val="02C32A89"/>
    <w:rsid w:val="02DC197D"/>
    <w:rsid w:val="02EB23C8"/>
    <w:rsid w:val="02ED4254"/>
    <w:rsid w:val="02F54A67"/>
    <w:rsid w:val="02FB586B"/>
    <w:rsid w:val="032764F6"/>
    <w:rsid w:val="03315320"/>
    <w:rsid w:val="03355FAD"/>
    <w:rsid w:val="03357A15"/>
    <w:rsid w:val="033F6615"/>
    <w:rsid w:val="034A4B76"/>
    <w:rsid w:val="03604B36"/>
    <w:rsid w:val="03646BB0"/>
    <w:rsid w:val="036A455B"/>
    <w:rsid w:val="03700AD7"/>
    <w:rsid w:val="03881BEB"/>
    <w:rsid w:val="03B07722"/>
    <w:rsid w:val="03B94246"/>
    <w:rsid w:val="03C9092D"/>
    <w:rsid w:val="03C947DD"/>
    <w:rsid w:val="03CD0376"/>
    <w:rsid w:val="03E73921"/>
    <w:rsid w:val="03E868D9"/>
    <w:rsid w:val="03EB0F95"/>
    <w:rsid w:val="03ED3490"/>
    <w:rsid w:val="03F1290E"/>
    <w:rsid w:val="04002E0B"/>
    <w:rsid w:val="040F03FA"/>
    <w:rsid w:val="0412438A"/>
    <w:rsid w:val="04136717"/>
    <w:rsid w:val="041D2A27"/>
    <w:rsid w:val="04332546"/>
    <w:rsid w:val="04533461"/>
    <w:rsid w:val="048D54DF"/>
    <w:rsid w:val="04B51F1A"/>
    <w:rsid w:val="04BD0338"/>
    <w:rsid w:val="04C56D31"/>
    <w:rsid w:val="04CF0F22"/>
    <w:rsid w:val="04D7542D"/>
    <w:rsid w:val="04DD163F"/>
    <w:rsid w:val="04E452F2"/>
    <w:rsid w:val="04E82F5F"/>
    <w:rsid w:val="05084E1A"/>
    <w:rsid w:val="0536624A"/>
    <w:rsid w:val="05476ED2"/>
    <w:rsid w:val="05507187"/>
    <w:rsid w:val="05547F50"/>
    <w:rsid w:val="05586D81"/>
    <w:rsid w:val="056775E0"/>
    <w:rsid w:val="058116D3"/>
    <w:rsid w:val="05812096"/>
    <w:rsid w:val="05A174D0"/>
    <w:rsid w:val="05A31C11"/>
    <w:rsid w:val="05A54A82"/>
    <w:rsid w:val="05B6570E"/>
    <w:rsid w:val="05B719DB"/>
    <w:rsid w:val="05D411B5"/>
    <w:rsid w:val="05DC03BC"/>
    <w:rsid w:val="05E03755"/>
    <w:rsid w:val="05E05D39"/>
    <w:rsid w:val="05EE025B"/>
    <w:rsid w:val="05FB2E46"/>
    <w:rsid w:val="06274DE9"/>
    <w:rsid w:val="0643158D"/>
    <w:rsid w:val="06606ACF"/>
    <w:rsid w:val="06632C8A"/>
    <w:rsid w:val="066C44D0"/>
    <w:rsid w:val="06780BE4"/>
    <w:rsid w:val="067D77AC"/>
    <w:rsid w:val="0688298E"/>
    <w:rsid w:val="06A978A6"/>
    <w:rsid w:val="06BA577F"/>
    <w:rsid w:val="06C373A0"/>
    <w:rsid w:val="06CA61EA"/>
    <w:rsid w:val="06CE3AAD"/>
    <w:rsid w:val="06D3256B"/>
    <w:rsid w:val="06E93094"/>
    <w:rsid w:val="07142FC9"/>
    <w:rsid w:val="0716354A"/>
    <w:rsid w:val="0719584C"/>
    <w:rsid w:val="071A113A"/>
    <w:rsid w:val="071A5532"/>
    <w:rsid w:val="073F7F68"/>
    <w:rsid w:val="07433326"/>
    <w:rsid w:val="074D1200"/>
    <w:rsid w:val="07701435"/>
    <w:rsid w:val="078057A6"/>
    <w:rsid w:val="0791006E"/>
    <w:rsid w:val="07A93817"/>
    <w:rsid w:val="07AA51F7"/>
    <w:rsid w:val="07C16E32"/>
    <w:rsid w:val="07C956F1"/>
    <w:rsid w:val="07DE071F"/>
    <w:rsid w:val="07E724F1"/>
    <w:rsid w:val="07F54B10"/>
    <w:rsid w:val="0805246C"/>
    <w:rsid w:val="080D2DB2"/>
    <w:rsid w:val="08236132"/>
    <w:rsid w:val="0824157E"/>
    <w:rsid w:val="082A5712"/>
    <w:rsid w:val="082F0F7A"/>
    <w:rsid w:val="083420ED"/>
    <w:rsid w:val="08365D8B"/>
    <w:rsid w:val="083932FD"/>
    <w:rsid w:val="083C1D74"/>
    <w:rsid w:val="08664D5B"/>
    <w:rsid w:val="087338E5"/>
    <w:rsid w:val="087E552F"/>
    <w:rsid w:val="08935065"/>
    <w:rsid w:val="08994E2C"/>
    <w:rsid w:val="089E0248"/>
    <w:rsid w:val="08AA7F40"/>
    <w:rsid w:val="08AC09F8"/>
    <w:rsid w:val="08AF1C74"/>
    <w:rsid w:val="08B76FB8"/>
    <w:rsid w:val="08EC3C9C"/>
    <w:rsid w:val="08EF4818"/>
    <w:rsid w:val="08F26284"/>
    <w:rsid w:val="08F57B11"/>
    <w:rsid w:val="08F617F2"/>
    <w:rsid w:val="08F64252"/>
    <w:rsid w:val="08F94C8C"/>
    <w:rsid w:val="08FD0C7A"/>
    <w:rsid w:val="09027DBF"/>
    <w:rsid w:val="090F109A"/>
    <w:rsid w:val="09151314"/>
    <w:rsid w:val="091C5343"/>
    <w:rsid w:val="09263609"/>
    <w:rsid w:val="092E2FE0"/>
    <w:rsid w:val="093E5BC8"/>
    <w:rsid w:val="0953633D"/>
    <w:rsid w:val="095867F9"/>
    <w:rsid w:val="09697733"/>
    <w:rsid w:val="09953804"/>
    <w:rsid w:val="099A0675"/>
    <w:rsid w:val="099C034D"/>
    <w:rsid w:val="09A71810"/>
    <w:rsid w:val="09AF52BC"/>
    <w:rsid w:val="09C556F2"/>
    <w:rsid w:val="09C9680A"/>
    <w:rsid w:val="09E33DCA"/>
    <w:rsid w:val="09EA33AB"/>
    <w:rsid w:val="09EA6668"/>
    <w:rsid w:val="0A0501E5"/>
    <w:rsid w:val="0A075D0B"/>
    <w:rsid w:val="0A0A57FB"/>
    <w:rsid w:val="0A193C90"/>
    <w:rsid w:val="0A1A77A1"/>
    <w:rsid w:val="0A1B01BD"/>
    <w:rsid w:val="0A3E3D26"/>
    <w:rsid w:val="0A4834F8"/>
    <w:rsid w:val="0A6173D2"/>
    <w:rsid w:val="0A682231"/>
    <w:rsid w:val="0A6825A9"/>
    <w:rsid w:val="0A781198"/>
    <w:rsid w:val="0A8B0468"/>
    <w:rsid w:val="0AAC10E4"/>
    <w:rsid w:val="0AB07E4A"/>
    <w:rsid w:val="0AC93B72"/>
    <w:rsid w:val="0ACA6D38"/>
    <w:rsid w:val="0AD53C26"/>
    <w:rsid w:val="0ADD3B4A"/>
    <w:rsid w:val="0AEE775A"/>
    <w:rsid w:val="0AFF5154"/>
    <w:rsid w:val="0B0260FA"/>
    <w:rsid w:val="0B03513B"/>
    <w:rsid w:val="0B127FA5"/>
    <w:rsid w:val="0B187C06"/>
    <w:rsid w:val="0B462863"/>
    <w:rsid w:val="0B4B3360"/>
    <w:rsid w:val="0B5812CC"/>
    <w:rsid w:val="0B6153F6"/>
    <w:rsid w:val="0B6C4BE2"/>
    <w:rsid w:val="0B895D1E"/>
    <w:rsid w:val="0B903157"/>
    <w:rsid w:val="0B9335CE"/>
    <w:rsid w:val="0BA653BF"/>
    <w:rsid w:val="0BAC6F99"/>
    <w:rsid w:val="0BCD1EAC"/>
    <w:rsid w:val="0BCF142C"/>
    <w:rsid w:val="0BD32C86"/>
    <w:rsid w:val="0BDC319A"/>
    <w:rsid w:val="0BFB783E"/>
    <w:rsid w:val="0BFD5373"/>
    <w:rsid w:val="0BFD6481"/>
    <w:rsid w:val="0C0F0CD9"/>
    <w:rsid w:val="0C631998"/>
    <w:rsid w:val="0C6821F6"/>
    <w:rsid w:val="0C8170B4"/>
    <w:rsid w:val="0C990787"/>
    <w:rsid w:val="0C992D4F"/>
    <w:rsid w:val="0CAE3A50"/>
    <w:rsid w:val="0CBF15FF"/>
    <w:rsid w:val="0CC20F4F"/>
    <w:rsid w:val="0CD8398F"/>
    <w:rsid w:val="0CD91857"/>
    <w:rsid w:val="0CDA4E4E"/>
    <w:rsid w:val="0CF258A4"/>
    <w:rsid w:val="0D162709"/>
    <w:rsid w:val="0D212A41"/>
    <w:rsid w:val="0D214045"/>
    <w:rsid w:val="0D215F2C"/>
    <w:rsid w:val="0D314FE6"/>
    <w:rsid w:val="0D330BC5"/>
    <w:rsid w:val="0D540C02"/>
    <w:rsid w:val="0D571C0F"/>
    <w:rsid w:val="0D637F0E"/>
    <w:rsid w:val="0D645222"/>
    <w:rsid w:val="0D6A5410"/>
    <w:rsid w:val="0D794CB6"/>
    <w:rsid w:val="0D8324ED"/>
    <w:rsid w:val="0D8F059D"/>
    <w:rsid w:val="0D8F5855"/>
    <w:rsid w:val="0D936D15"/>
    <w:rsid w:val="0D9827E5"/>
    <w:rsid w:val="0DAF3D29"/>
    <w:rsid w:val="0DC466B9"/>
    <w:rsid w:val="0DC54945"/>
    <w:rsid w:val="0DF25BA4"/>
    <w:rsid w:val="0DFD573A"/>
    <w:rsid w:val="0DFE1012"/>
    <w:rsid w:val="0E0B029F"/>
    <w:rsid w:val="0E1D2BDE"/>
    <w:rsid w:val="0E230373"/>
    <w:rsid w:val="0E2A41ED"/>
    <w:rsid w:val="0E30302E"/>
    <w:rsid w:val="0E351EED"/>
    <w:rsid w:val="0E397874"/>
    <w:rsid w:val="0E461B92"/>
    <w:rsid w:val="0E6059EA"/>
    <w:rsid w:val="0E632208"/>
    <w:rsid w:val="0E844468"/>
    <w:rsid w:val="0E9E135B"/>
    <w:rsid w:val="0EA44F43"/>
    <w:rsid w:val="0EA62844"/>
    <w:rsid w:val="0EC2669E"/>
    <w:rsid w:val="0ED75315"/>
    <w:rsid w:val="0ED756CF"/>
    <w:rsid w:val="0EDE395B"/>
    <w:rsid w:val="0EE34A0A"/>
    <w:rsid w:val="0EEF23A4"/>
    <w:rsid w:val="0F0271B1"/>
    <w:rsid w:val="0F2227A9"/>
    <w:rsid w:val="0F2500FF"/>
    <w:rsid w:val="0F2A7DB7"/>
    <w:rsid w:val="0F2D61D9"/>
    <w:rsid w:val="0F43254D"/>
    <w:rsid w:val="0F45451E"/>
    <w:rsid w:val="0F5372FC"/>
    <w:rsid w:val="0F543C48"/>
    <w:rsid w:val="0F54568B"/>
    <w:rsid w:val="0F6801CF"/>
    <w:rsid w:val="0F7F71A8"/>
    <w:rsid w:val="0F851480"/>
    <w:rsid w:val="0F9B0554"/>
    <w:rsid w:val="0FAF5422"/>
    <w:rsid w:val="0FAF5990"/>
    <w:rsid w:val="0FB271E8"/>
    <w:rsid w:val="0FB3423F"/>
    <w:rsid w:val="0FB73D2F"/>
    <w:rsid w:val="0FBF1392"/>
    <w:rsid w:val="0FD84D52"/>
    <w:rsid w:val="0FD93801"/>
    <w:rsid w:val="0FDC41E3"/>
    <w:rsid w:val="0FE95EB3"/>
    <w:rsid w:val="100C40A0"/>
    <w:rsid w:val="10131FB5"/>
    <w:rsid w:val="10176676"/>
    <w:rsid w:val="1031732E"/>
    <w:rsid w:val="10327E3A"/>
    <w:rsid w:val="10374301"/>
    <w:rsid w:val="10394E9C"/>
    <w:rsid w:val="103A764D"/>
    <w:rsid w:val="103B6EC4"/>
    <w:rsid w:val="10457DEF"/>
    <w:rsid w:val="10482BD9"/>
    <w:rsid w:val="104A6951"/>
    <w:rsid w:val="105628E7"/>
    <w:rsid w:val="105A27E6"/>
    <w:rsid w:val="108120DC"/>
    <w:rsid w:val="108950E7"/>
    <w:rsid w:val="109135C4"/>
    <w:rsid w:val="10A4426E"/>
    <w:rsid w:val="10B656D8"/>
    <w:rsid w:val="10BB6F68"/>
    <w:rsid w:val="10C37A22"/>
    <w:rsid w:val="10C556C7"/>
    <w:rsid w:val="10C55FD8"/>
    <w:rsid w:val="10F468BD"/>
    <w:rsid w:val="10F772EF"/>
    <w:rsid w:val="11017A58"/>
    <w:rsid w:val="11023D17"/>
    <w:rsid w:val="110F34C8"/>
    <w:rsid w:val="11323E5A"/>
    <w:rsid w:val="11491151"/>
    <w:rsid w:val="1159543F"/>
    <w:rsid w:val="116230D1"/>
    <w:rsid w:val="116A7E05"/>
    <w:rsid w:val="11722460"/>
    <w:rsid w:val="117A4F14"/>
    <w:rsid w:val="118E2180"/>
    <w:rsid w:val="119D6F55"/>
    <w:rsid w:val="11CB1987"/>
    <w:rsid w:val="11D529F0"/>
    <w:rsid w:val="11DC5FC8"/>
    <w:rsid w:val="11E71072"/>
    <w:rsid w:val="11F55D84"/>
    <w:rsid w:val="11F95233"/>
    <w:rsid w:val="11FE73E1"/>
    <w:rsid w:val="1206271C"/>
    <w:rsid w:val="120839F3"/>
    <w:rsid w:val="120E39AF"/>
    <w:rsid w:val="12114BE2"/>
    <w:rsid w:val="121911ED"/>
    <w:rsid w:val="12261816"/>
    <w:rsid w:val="122816CA"/>
    <w:rsid w:val="1231523F"/>
    <w:rsid w:val="12392AE3"/>
    <w:rsid w:val="12421044"/>
    <w:rsid w:val="124440AD"/>
    <w:rsid w:val="127A5380"/>
    <w:rsid w:val="128C614F"/>
    <w:rsid w:val="12957C2C"/>
    <w:rsid w:val="1298079E"/>
    <w:rsid w:val="12AD5EBA"/>
    <w:rsid w:val="12B10442"/>
    <w:rsid w:val="12C319F0"/>
    <w:rsid w:val="12CB7F7B"/>
    <w:rsid w:val="12D57B5A"/>
    <w:rsid w:val="12D60970"/>
    <w:rsid w:val="12DA74FD"/>
    <w:rsid w:val="130354DD"/>
    <w:rsid w:val="13160E95"/>
    <w:rsid w:val="131D4A08"/>
    <w:rsid w:val="132A077A"/>
    <w:rsid w:val="132B4874"/>
    <w:rsid w:val="13365D96"/>
    <w:rsid w:val="133833D9"/>
    <w:rsid w:val="13401CF4"/>
    <w:rsid w:val="13474541"/>
    <w:rsid w:val="13597FDE"/>
    <w:rsid w:val="13610A7C"/>
    <w:rsid w:val="1370511E"/>
    <w:rsid w:val="138A2CF3"/>
    <w:rsid w:val="138C07C1"/>
    <w:rsid w:val="139600FA"/>
    <w:rsid w:val="139B1B3C"/>
    <w:rsid w:val="13AC7923"/>
    <w:rsid w:val="13BB36C2"/>
    <w:rsid w:val="13C163E4"/>
    <w:rsid w:val="13CB0635"/>
    <w:rsid w:val="13CF69C3"/>
    <w:rsid w:val="13DA01CA"/>
    <w:rsid w:val="13E63AA6"/>
    <w:rsid w:val="13EB21F9"/>
    <w:rsid w:val="13F175F7"/>
    <w:rsid w:val="13F85DC5"/>
    <w:rsid w:val="13FC3073"/>
    <w:rsid w:val="14002DA6"/>
    <w:rsid w:val="141601C0"/>
    <w:rsid w:val="14183270"/>
    <w:rsid w:val="141D447E"/>
    <w:rsid w:val="141D6B0B"/>
    <w:rsid w:val="142D6F89"/>
    <w:rsid w:val="144554E0"/>
    <w:rsid w:val="144C2ACB"/>
    <w:rsid w:val="145908CD"/>
    <w:rsid w:val="146975C2"/>
    <w:rsid w:val="148617D9"/>
    <w:rsid w:val="149258A7"/>
    <w:rsid w:val="149321EC"/>
    <w:rsid w:val="14A979BF"/>
    <w:rsid w:val="14AA6C47"/>
    <w:rsid w:val="14AD74AF"/>
    <w:rsid w:val="14B81325"/>
    <w:rsid w:val="14BB5770"/>
    <w:rsid w:val="14CA4494"/>
    <w:rsid w:val="14DD13B5"/>
    <w:rsid w:val="14DF1102"/>
    <w:rsid w:val="14E66D8F"/>
    <w:rsid w:val="14E74E80"/>
    <w:rsid w:val="14EA2DA4"/>
    <w:rsid w:val="14FB05D3"/>
    <w:rsid w:val="14FB1DB1"/>
    <w:rsid w:val="1507775C"/>
    <w:rsid w:val="15082EFA"/>
    <w:rsid w:val="15107A3E"/>
    <w:rsid w:val="151C5F34"/>
    <w:rsid w:val="15214D63"/>
    <w:rsid w:val="1531629A"/>
    <w:rsid w:val="153E6FE7"/>
    <w:rsid w:val="15535F3F"/>
    <w:rsid w:val="155C3CBE"/>
    <w:rsid w:val="15697093"/>
    <w:rsid w:val="15760076"/>
    <w:rsid w:val="157E5DA4"/>
    <w:rsid w:val="159F6FD6"/>
    <w:rsid w:val="15A5462A"/>
    <w:rsid w:val="15B01BBF"/>
    <w:rsid w:val="15EC3B3E"/>
    <w:rsid w:val="15F1786F"/>
    <w:rsid w:val="15F46C2A"/>
    <w:rsid w:val="16121567"/>
    <w:rsid w:val="16175528"/>
    <w:rsid w:val="162D4D4B"/>
    <w:rsid w:val="16343F81"/>
    <w:rsid w:val="163948ED"/>
    <w:rsid w:val="164275F4"/>
    <w:rsid w:val="164717FA"/>
    <w:rsid w:val="16501227"/>
    <w:rsid w:val="1654148B"/>
    <w:rsid w:val="165710DF"/>
    <w:rsid w:val="16573B76"/>
    <w:rsid w:val="165B71D5"/>
    <w:rsid w:val="16700A7A"/>
    <w:rsid w:val="16734728"/>
    <w:rsid w:val="167D1103"/>
    <w:rsid w:val="1683572D"/>
    <w:rsid w:val="169E0BEA"/>
    <w:rsid w:val="16AF7EFC"/>
    <w:rsid w:val="16DD2BAC"/>
    <w:rsid w:val="16F70EB5"/>
    <w:rsid w:val="17197085"/>
    <w:rsid w:val="172460AC"/>
    <w:rsid w:val="172B1987"/>
    <w:rsid w:val="173054B2"/>
    <w:rsid w:val="17424EAD"/>
    <w:rsid w:val="174C1699"/>
    <w:rsid w:val="17544559"/>
    <w:rsid w:val="175E7E76"/>
    <w:rsid w:val="1763479D"/>
    <w:rsid w:val="178667F0"/>
    <w:rsid w:val="178A4C4F"/>
    <w:rsid w:val="17942AA9"/>
    <w:rsid w:val="17987255"/>
    <w:rsid w:val="179928AA"/>
    <w:rsid w:val="17A739C7"/>
    <w:rsid w:val="17C212EB"/>
    <w:rsid w:val="17C42121"/>
    <w:rsid w:val="17D82A95"/>
    <w:rsid w:val="17FB6C91"/>
    <w:rsid w:val="18053F1E"/>
    <w:rsid w:val="18085749"/>
    <w:rsid w:val="180B6D06"/>
    <w:rsid w:val="181A3262"/>
    <w:rsid w:val="181C3FF8"/>
    <w:rsid w:val="18365CFA"/>
    <w:rsid w:val="184114A1"/>
    <w:rsid w:val="18425C49"/>
    <w:rsid w:val="186969E3"/>
    <w:rsid w:val="188C7694"/>
    <w:rsid w:val="18BE3F0D"/>
    <w:rsid w:val="18C140E3"/>
    <w:rsid w:val="18CD6371"/>
    <w:rsid w:val="18D61DB2"/>
    <w:rsid w:val="18DA0A8E"/>
    <w:rsid w:val="18DC03A2"/>
    <w:rsid w:val="18E11EA5"/>
    <w:rsid w:val="18FA4C8D"/>
    <w:rsid w:val="19054750"/>
    <w:rsid w:val="19083037"/>
    <w:rsid w:val="19092828"/>
    <w:rsid w:val="19103908"/>
    <w:rsid w:val="1933462F"/>
    <w:rsid w:val="19390D64"/>
    <w:rsid w:val="19554C37"/>
    <w:rsid w:val="19566DB3"/>
    <w:rsid w:val="196279A1"/>
    <w:rsid w:val="198040A4"/>
    <w:rsid w:val="198C37FE"/>
    <w:rsid w:val="19A941C1"/>
    <w:rsid w:val="19AE5ACF"/>
    <w:rsid w:val="19AF5A77"/>
    <w:rsid w:val="19B3071D"/>
    <w:rsid w:val="19B675DA"/>
    <w:rsid w:val="19C57049"/>
    <w:rsid w:val="19C637E5"/>
    <w:rsid w:val="19C721FB"/>
    <w:rsid w:val="19CE5CD8"/>
    <w:rsid w:val="19F02EFF"/>
    <w:rsid w:val="1A052165"/>
    <w:rsid w:val="1A063EF5"/>
    <w:rsid w:val="1A0F3AD5"/>
    <w:rsid w:val="1A0F6516"/>
    <w:rsid w:val="1A0F7374"/>
    <w:rsid w:val="1A142D27"/>
    <w:rsid w:val="1A1816AF"/>
    <w:rsid w:val="1A302494"/>
    <w:rsid w:val="1A330E88"/>
    <w:rsid w:val="1A60672B"/>
    <w:rsid w:val="1A630F50"/>
    <w:rsid w:val="1A6732FB"/>
    <w:rsid w:val="1A7642CC"/>
    <w:rsid w:val="1A7929A3"/>
    <w:rsid w:val="1A7B4669"/>
    <w:rsid w:val="1A870B38"/>
    <w:rsid w:val="1A8C5DB8"/>
    <w:rsid w:val="1A8C6CF6"/>
    <w:rsid w:val="1A9417D9"/>
    <w:rsid w:val="1AA572B8"/>
    <w:rsid w:val="1AA70EB7"/>
    <w:rsid w:val="1AAA4949"/>
    <w:rsid w:val="1AB31D2F"/>
    <w:rsid w:val="1AC00AAF"/>
    <w:rsid w:val="1ACE55DA"/>
    <w:rsid w:val="1ACE6054"/>
    <w:rsid w:val="1ACE6D27"/>
    <w:rsid w:val="1AE0038B"/>
    <w:rsid w:val="1B0C498B"/>
    <w:rsid w:val="1B397563"/>
    <w:rsid w:val="1B403FA5"/>
    <w:rsid w:val="1B450A9E"/>
    <w:rsid w:val="1B481CDF"/>
    <w:rsid w:val="1B4B17D0"/>
    <w:rsid w:val="1B524326"/>
    <w:rsid w:val="1B55168B"/>
    <w:rsid w:val="1B63458F"/>
    <w:rsid w:val="1B645069"/>
    <w:rsid w:val="1B7D1BE7"/>
    <w:rsid w:val="1B7D1D15"/>
    <w:rsid w:val="1B8637EA"/>
    <w:rsid w:val="1B966EEF"/>
    <w:rsid w:val="1BDD1B28"/>
    <w:rsid w:val="1BE57F51"/>
    <w:rsid w:val="1C022610"/>
    <w:rsid w:val="1C037CCC"/>
    <w:rsid w:val="1C085913"/>
    <w:rsid w:val="1C0876C1"/>
    <w:rsid w:val="1C2F4A48"/>
    <w:rsid w:val="1C37598E"/>
    <w:rsid w:val="1C400DCC"/>
    <w:rsid w:val="1C4A3D51"/>
    <w:rsid w:val="1C521258"/>
    <w:rsid w:val="1C550B58"/>
    <w:rsid w:val="1C6062B5"/>
    <w:rsid w:val="1C656B00"/>
    <w:rsid w:val="1C657709"/>
    <w:rsid w:val="1C6D522B"/>
    <w:rsid w:val="1C762201"/>
    <w:rsid w:val="1C87757C"/>
    <w:rsid w:val="1C911F05"/>
    <w:rsid w:val="1C9232F2"/>
    <w:rsid w:val="1C943E77"/>
    <w:rsid w:val="1C993860"/>
    <w:rsid w:val="1CB517E1"/>
    <w:rsid w:val="1CBF5FD1"/>
    <w:rsid w:val="1CC07FCD"/>
    <w:rsid w:val="1CCD060E"/>
    <w:rsid w:val="1CD4109A"/>
    <w:rsid w:val="1CDE3631"/>
    <w:rsid w:val="1CE814D1"/>
    <w:rsid w:val="1CFE11B3"/>
    <w:rsid w:val="1D00167E"/>
    <w:rsid w:val="1D01132A"/>
    <w:rsid w:val="1D022EEB"/>
    <w:rsid w:val="1D2C5B34"/>
    <w:rsid w:val="1D3249F5"/>
    <w:rsid w:val="1D3444B7"/>
    <w:rsid w:val="1D3A1AFC"/>
    <w:rsid w:val="1D3F2887"/>
    <w:rsid w:val="1D413DD6"/>
    <w:rsid w:val="1D442082"/>
    <w:rsid w:val="1D467DF1"/>
    <w:rsid w:val="1D494085"/>
    <w:rsid w:val="1D5A6A9F"/>
    <w:rsid w:val="1D6104E9"/>
    <w:rsid w:val="1D6D5E73"/>
    <w:rsid w:val="1D6E2EA0"/>
    <w:rsid w:val="1D7C0366"/>
    <w:rsid w:val="1D90430C"/>
    <w:rsid w:val="1DA228F6"/>
    <w:rsid w:val="1DA26C67"/>
    <w:rsid w:val="1DB571C9"/>
    <w:rsid w:val="1DBF6F58"/>
    <w:rsid w:val="1DFC5003"/>
    <w:rsid w:val="1E2527AC"/>
    <w:rsid w:val="1E2851F8"/>
    <w:rsid w:val="1E2A3F9F"/>
    <w:rsid w:val="1E65546D"/>
    <w:rsid w:val="1E7B6900"/>
    <w:rsid w:val="1E933E22"/>
    <w:rsid w:val="1EB60A31"/>
    <w:rsid w:val="1EC6457D"/>
    <w:rsid w:val="1EC7170B"/>
    <w:rsid w:val="1EC7534C"/>
    <w:rsid w:val="1ECD7160"/>
    <w:rsid w:val="1ED34F83"/>
    <w:rsid w:val="1ED4353F"/>
    <w:rsid w:val="1ED641E3"/>
    <w:rsid w:val="1EED4935"/>
    <w:rsid w:val="1EF15FC6"/>
    <w:rsid w:val="1EF50A28"/>
    <w:rsid w:val="1F196F16"/>
    <w:rsid w:val="1F1F544D"/>
    <w:rsid w:val="1F294330"/>
    <w:rsid w:val="1F2A3EE6"/>
    <w:rsid w:val="1F5164BE"/>
    <w:rsid w:val="1F530AFF"/>
    <w:rsid w:val="1F550636"/>
    <w:rsid w:val="1F6725BD"/>
    <w:rsid w:val="1F6F0182"/>
    <w:rsid w:val="1F751014"/>
    <w:rsid w:val="1F7A16FF"/>
    <w:rsid w:val="1F841E94"/>
    <w:rsid w:val="1F86410F"/>
    <w:rsid w:val="1F976C3E"/>
    <w:rsid w:val="1F987D78"/>
    <w:rsid w:val="1FA63E40"/>
    <w:rsid w:val="1FAD0B55"/>
    <w:rsid w:val="1FB57B5F"/>
    <w:rsid w:val="1FBA786C"/>
    <w:rsid w:val="1FC55FF4"/>
    <w:rsid w:val="1FDF7221"/>
    <w:rsid w:val="1FE07DD2"/>
    <w:rsid w:val="1FE276A3"/>
    <w:rsid w:val="1FF72B1D"/>
    <w:rsid w:val="2000702C"/>
    <w:rsid w:val="201952D2"/>
    <w:rsid w:val="2020109E"/>
    <w:rsid w:val="20220096"/>
    <w:rsid w:val="202816B6"/>
    <w:rsid w:val="20352DB6"/>
    <w:rsid w:val="204E725A"/>
    <w:rsid w:val="205050F3"/>
    <w:rsid w:val="20665891"/>
    <w:rsid w:val="208241B4"/>
    <w:rsid w:val="208F5999"/>
    <w:rsid w:val="20B05494"/>
    <w:rsid w:val="20BD4F1E"/>
    <w:rsid w:val="20C52ED3"/>
    <w:rsid w:val="20D109C9"/>
    <w:rsid w:val="20EE5770"/>
    <w:rsid w:val="2107261C"/>
    <w:rsid w:val="21147FEE"/>
    <w:rsid w:val="21154D5A"/>
    <w:rsid w:val="2132760F"/>
    <w:rsid w:val="213D0AC5"/>
    <w:rsid w:val="213F7E47"/>
    <w:rsid w:val="21592FEC"/>
    <w:rsid w:val="215B2DFE"/>
    <w:rsid w:val="215C5CD9"/>
    <w:rsid w:val="215E3FAB"/>
    <w:rsid w:val="215F2E6D"/>
    <w:rsid w:val="218B2E3C"/>
    <w:rsid w:val="219E13DD"/>
    <w:rsid w:val="21B5456C"/>
    <w:rsid w:val="21C0289A"/>
    <w:rsid w:val="21C314C7"/>
    <w:rsid w:val="21CB366A"/>
    <w:rsid w:val="21E53DD4"/>
    <w:rsid w:val="21FE67C3"/>
    <w:rsid w:val="21FF567A"/>
    <w:rsid w:val="220019CB"/>
    <w:rsid w:val="22080E1D"/>
    <w:rsid w:val="222E4A4B"/>
    <w:rsid w:val="2244106A"/>
    <w:rsid w:val="224564ED"/>
    <w:rsid w:val="225B1C1A"/>
    <w:rsid w:val="22655D1C"/>
    <w:rsid w:val="227A5579"/>
    <w:rsid w:val="227B3EC3"/>
    <w:rsid w:val="22AC6E9D"/>
    <w:rsid w:val="22AF6B28"/>
    <w:rsid w:val="22BF1959"/>
    <w:rsid w:val="22FE3A70"/>
    <w:rsid w:val="23007343"/>
    <w:rsid w:val="230A1D1E"/>
    <w:rsid w:val="230F3D0A"/>
    <w:rsid w:val="232E3EB1"/>
    <w:rsid w:val="23341448"/>
    <w:rsid w:val="23385650"/>
    <w:rsid w:val="23425BAE"/>
    <w:rsid w:val="23517B9F"/>
    <w:rsid w:val="23531B69"/>
    <w:rsid w:val="235C6C70"/>
    <w:rsid w:val="237F04EF"/>
    <w:rsid w:val="23841437"/>
    <w:rsid w:val="238A3CA3"/>
    <w:rsid w:val="23AF4708"/>
    <w:rsid w:val="23C16A9A"/>
    <w:rsid w:val="23C465C3"/>
    <w:rsid w:val="23E66003"/>
    <w:rsid w:val="23F80076"/>
    <w:rsid w:val="23FE2FB7"/>
    <w:rsid w:val="23FE3AF7"/>
    <w:rsid w:val="241B7142"/>
    <w:rsid w:val="24452007"/>
    <w:rsid w:val="244802C7"/>
    <w:rsid w:val="244C0B39"/>
    <w:rsid w:val="245A32E7"/>
    <w:rsid w:val="24635935"/>
    <w:rsid w:val="24650918"/>
    <w:rsid w:val="24660E6A"/>
    <w:rsid w:val="24665559"/>
    <w:rsid w:val="24691825"/>
    <w:rsid w:val="248E0BEE"/>
    <w:rsid w:val="249222CA"/>
    <w:rsid w:val="24942553"/>
    <w:rsid w:val="24B056E4"/>
    <w:rsid w:val="24CC572F"/>
    <w:rsid w:val="24CF65FC"/>
    <w:rsid w:val="24D258A5"/>
    <w:rsid w:val="24DA6A74"/>
    <w:rsid w:val="24DB4BCD"/>
    <w:rsid w:val="24F602A0"/>
    <w:rsid w:val="250025A0"/>
    <w:rsid w:val="25296C9F"/>
    <w:rsid w:val="25401D76"/>
    <w:rsid w:val="2544236B"/>
    <w:rsid w:val="25453733"/>
    <w:rsid w:val="255C6713"/>
    <w:rsid w:val="256C3562"/>
    <w:rsid w:val="257F6C45"/>
    <w:rsid w:val="258C736F"/>
    <w:rsid w:val="25977271"/>
    <w:rsid w:val="259B2D68"/>
    <w:rsid w:val="259E7D45"/>
    <w:rsid w:val="25A6077B"/>
    <w:rsid w:val="25A941CC"/>
    <w:rsid w:val="25A97E1E"/>
    <w:rsid w:val="25B40CD0"/>
    <w:rsid w:val="25B763DF"/>
    <w:rsid w:val="25BF4424"/>
    <w:rsid w:val="25C17AFA"/>
    <w:rsid w:val="25C251DB"/>
    <w:rsid w:val="25E00E0C"/>
    <w:rsid w:val="25EF379B"/>
    <w:rsid w:val="25F774DD"/>
    <w:rsid w:val="260C11C1"/>
    <w:rsid w:val="260E709F"/>
    <w:rsid w:val="261049C1"/>
    <w:rsid w:val="261E645E"/>
    <w:rsid w:val="26383109"/>
    <w:rsid w:val="26397C9F"/>
    <w:rsid w:val="2641214D"/>
    <w:rsid w:val="26597FFC"/>
    <w:rsid w:val="26697AAB"/>
    <w:rsid w:val="266D2F42"/>
    <w:rsid w:val="2673065B"/>
    <w:rsid w:val="26746071"/>
    <w:rsid w:val="267839D3"/>
    <w:rsid w:val="26802C75"/>
    <w:rsid w:val="268423E1"/>
    <w:rsid w:val="26890627"/>
    <w:rsid w:val="26937CAB"/>
    <w:rsid w:val="269F70A4"/>
    <w:rsid w:val="26A43060"/>
    <w:rsid w:val="26BB1EFF"/>
    <w:rsid w:val="26BB2001"/>
    <w:rsid w:val="26C467F8"/>
    <w:rsid w:val="26E35358"/>
    <w:rsid w:val="270E00FE"/>
    <w:rsid w:val="270E298C"/>
    <w:rsid w:val="270E29F5"/>
    <w:rsid w:val="271512D2"/>
    <w:rsid w:val="272A0E33"/>
    <w:rsid w:val="272A2D2F"/>
    <w:rsid w:val="274020AE"/>
    <w:rsid w:val="27446B6F"/>
    <w:rsid w:val="274F752C"/>
    <w:rsid w:val="27520933"/>
    <w:rsid w:val="27584657"/>
    <w:rsid w:val="275E5A93"/>
    <w:rsid w:val="27736226"/>
    <w:rsid w:val="27755DA7"/>
    <w:rsid w:val="277C7F9A"/>
    <w:rsid w:val="279D2924"/>
    <w:rsid w:val="27A52E1A"/>
    <w:rsid w:val="27AC7A9A"/>
    <w:rsid w:val="27C53958"/>
    <w:rsid w:val="27D36D37"/>
    <w:rsid w:val="27D75D5F"/>
    <w:rsid w:val="27DA4B73"/>
    <w:rsid w:val="27E61F25"/>
    <w:rsid w:val="27EC31BB"/>
    <w:rsid w:val="27ED2CBD"/>
    <w:rsid w:val="27F63DA6"/>
    <w:rsid w:val="27FA5CB6"/>
    <w:rsid w:val="280D34EA"/>
    <w:rsid w:val="281466B1"/>
    <w:rsid w:val="281713B7"/>
    <w:rsid w:val="281824A7"/>
    <w:rsid w:val="28312BBF"/>
    <w:rsid w:val="283B7736"/>
    <w:rsid w:val="285F673E"/>
    <w:rsid w:val="28644CCA"/>
    <w:rsid w:val="28687E65"/>
    <w:rsid w:val="28732D83"/>
    <w:rsid w:val="288F6949"/>
    <w:rsid w:val="28911AF2"/>
    <w:rsid w:val="289151CA"/>
    <w:rsid w:val="28A10C81"/>
    <w:rsid w:val="28A2680F"/>
    <w:rsid w:val="28DF17A9"/>
    <w:rsid w:val="28EB31BC"/>
    <w:rsid w:val="28EB583C"/>
    <w:rsid w:val="28EC2844"/>
    <w:rsid w:val="28F402DA"/>
    <w:rsid w:val="28FC78BE"/>
    <w:rsid w:val="29000A40"/>
    <w:rsid w:val="290F29AF"/>
    <w:rsid w:val="292D0766"/>
    <w:rsid w:val="293634F4"/>
    <w:rsid w:val="29600B3C"/>
    <w:rsid w:val="29606D8E"/>
    <w:rsid w:val="29671ECA"/>
    <w:rsid w:val="29770361"/>
    <w:rsid w:val="2985201E"/>
    <w:rsid w:val="29C55899"/>
    <w:rsid w:val="29D3130E"/>
    <w:rsid w:val="29F2147C"/>
    <w:rsid w:val="2A0C4A40"/>
    <w:rsid w:val="2A0D3DED"/>
    <w:rsid w:val="2A104310"/>
    <w:rsid w:val="2A134AF4"/>
    <w:rsid w:val="2A255C2B"/>
    <w:rsid w:val="2A2B7BC9"/>
    <w:rsid w:val="2A3A5DF9"/>
    <w:rsid w:val="2A4926C2"/>
    <w:rsid w:val="2A4B107A"/>
    <w:rsid w:val="2A4D2BFD"/>
    <w:rsid w:val="2A530EDF"/>
    <w:rsid w:val="2A574428"/>
    <w:rsid w:val="2A5F6992"/>
    <w:rsid w:val="2A7949E3"/>
    <w:rsid w:val="2A80647C"/>
    <w:rsid w:val="2A8E4887"/>
    <w:rsid w:val="2A8E62B6"/>
    <w:rsid w:val="2A9572CC"/>
    <w:rsid w:val="2AA9206F"/>
    <w:rsid w:val="2AD81233"/>
    <w:rsid w:val="2AE63EFE"/>
    <w:rsid w:val="2B053749"/>
    <w:rsid w:val="2B195446"/>
    <w:rsid w:val="2B2E227F"/>
    <w:rsid w:val="2B2F07C6"/>
    <w:rsid w:val="2B3404E2"/>
    <w:rsid w:val="2B363CF4"/>
    <w:rsid w:val="2B3A7305"/>
    <w:rsid w:val="2B3B487D"/>
    <w:rsid w:val="2B425FD0"/>
    <w:rsid w:val="2B4268A6"/>
    <w:rsid w:val="2B536BAA"/>
    <w:rsid w:val="2B8A026B"/>
    <w:rsid w:val="2B8C79C6"/>
    <w:rsid w:val="2B9B40AD"/>
    <w:rsid w:val="2B9B4F58"/>
    <w:rsid w:val="2BA3696C"/>
    <w:rsid w:val="2BAA0794"/>
    <w:rsid w:val="2BB67A51"/>
    <w:rsid w:val="2BB769EE"/>
    <w:rsid w:val="2BB8130D"/>
    <w:rsid w:val="2BC058C2"/>
    <w:rsid w:val="2BC1223D"/>
    <w:rsid w:val="2BC40014"/>
    <w:rsid w:val="2BC51B34"/>
    <w:rsid w:val="2BDE3F9A"/>
    <w:rsid w:val="2BE07D12"/>
    <w:rsid w:val="2BF95140"/>
    <w:rsid w:val="2C063C1D"/>
    <w:rsid w:val="2C0B194E"/>
    <w:rsid w:val="2C1A4F62"/>
    <w:rsid w:val="2C3447BE"/>
    <w:rsid w:val="2C3C07B5"/>
    <w:rsid w:val="2C3D3C75"/>
    <w:rsid w:val="2C4B420E"/>
    <w:rsid w:val="2C56006A"/>
    <w:rsid w:val="2C5F50DB"/>
    <w:rsid w:val="2C660165"/>
    <w:rsid w:val="2C6619D7"/>
    <w:rsid w:val="2C6A0BA3"/>
    <w:rsid w:val="2C6E17C2"/>
    <w:rsid w:val="2C745C43"/>
    <w:rsid w:val="2C8A76F4"/>
    <w:rsid w:val="2C931BC6"/>
    <w:rsid w:val="2CA45E14"/>
    <w:rsid w:val="2CB43679"/>
    <w:rsid w:val="2CB62CA6"/>
    <w:rsid w:val="2CD40261"/>
    <w:rsid w:val="2CEE34EF"/>
    <w:rsid w:val="2CF605F7"/>
    <w:rsid w:val="2D016FE9"/>
    <w:rsid w:val="2D112B86"/>
    <w:rsid w:val="2D14362B"/>
    <w:rsid w:val="2D2E304F"/>
    <w:rsid w:val="2D3C07FE"/>
    <w:rsid w:val="2D5756FC"/>
    <w:rsid w:val="2D5D5591"/>
    <w:rsid w:val="2D74743A"/>
    <w:rsid w:val="2D7C11D4"/>
    <w:rsid w:val="2D7F4766"/>
    <w:rsid w:val="2D8D3A62"/>
    <w:rsid w:val="2DAF3E40"/>
    <w:rsid w:val="2DBE7F60"/>
    <w:rsid w:val="2DF22E0E"/>
    <w:rsid w:val="2DF34667"/>
    <w:rsid w:val="2DF6381D"/>
    <w:rsid w:val="2DF6788C"/>
    <w:rsid w:val="2E0D1588"/>
    <w:rsid w:val="2E3944B7"/>
    <w:rsid w:val="2E4749F8"/>
    <w:rsid w:val="2E4C1B78"/>
    <w:rsid w:val="2E5A665D"/>
    <w:rsid w:val="2E612BEE"/>
    <w:rsid w:val="2E73313B"/>
    <w:rsid w:val="2E866E5E"/>
    <w:rsid w:val="2E9077CD"/>
    <w:rsid w:val="2EA916B2"/>
    <w:rsid w:val="2EA9636A"/>
    <w:rsid w:val="2EB46A04"/>
    <w:rsid w:val="2EB84F76"/>
    <w:rsid w:val="2EC62DA5"/>
    <w:rsid w:val="2ECB7077"/>
    <w:rsid w:val="2ECE311C"/>
    <w:rsid w:val="2EED318E"/>
    <w:rsid w:val="2EFE3F3B"/>
    <w:rsid w:val="2F0F1794"/>
    <w:rsid w:val="2F176141"/>
    <w:rsid w:val="2F1A0856"/>
    <w:rsid w:val="2F2B5B05"/>
    <w:rsid w:val="2F475C7E"/>
    <w:rsid w:val="2F486024"/>
    <w:rsid w:val="2F523B34"/>
    <w:rsid w:val="2F5E78CC"/>
    <w:rsid w:val="2F681310"/>
    <w:rsid w:val="2F6C283B"/>
    <w:rsid w:val="2F743B89"/>
    <w:rsid w:val="2F7D19D9"/>
    <w:rsid w:val="2F7E2877"/>
    <w:rsid w:val="2F81692F"/>
    <w:rsid w:val="2F8567D8"/>
    <w:rsid w:val="2F8B5040"/>
    <w:rsid w:val="2F9107C4"/>
    <w:rsid w:val="2F961B57"/>
    <w:rsid w:val="2FA0209F"/>
    <w:rsid w:val="2FDC6A42"/>
    <w:rsid w:val="2FE65B09"/>
    <w:rsid w:val="2FFF53A8"/>
    <w:rsid w:val="30047098"/>
    <w:rsid w:val="30077F63"/>
    <w:rsid w:val="30115CE5"/>
    <w:rsid w:val="30135C1F"/>
    <w:rsid w:val="30191760"/>
    <w:rsid w:val="3028092A"/>
    <w:rsid w:val="302F54E7"/>
    <w:rsid w:val="304863A9"/>
    <w:rsid w:val="30726790"/>
    <w:rsid w:val="30801AC4"/>
    <w:rsid w:val="30823D65"/>
    <w:rsid w:val="30831C53"/>
    <w:rsid w:val="308E438B"/>
    <w:rsid w:val="30A43A04"/>
    <w:rsid w:val="30C87FB8"/>
    <w:rsid w:val="30CB1DAF"/>
    <w:rsid w:val="30E90E2B"/>
    <w:rsid w:val="30ED02EA"/>
    <w:rsid w:val="30FF267A"/>
    <w:rsid w:val="310A2A14"/>
    <w:rsid w:val="310F59F0"/>
    <w:rsid w:val="31395BA8"/>
    <w:rsid w:val="3141666D"/>
    <w:rsid w:val="31480833"/>
    <w:rsid w:val="314B14BF"/>
    <w:rsid w:val="3158219E"/>
    <w:rsid w:val="316D537E"/>
    <w:rsid w:val="316F5349"/>
    <w:rsid w:val="31716348"/>
    <w:rsid w:val="317355F2"/>
    <w:rsid w:val="3185517F"/>
    <w:rsid w:val="3185793C"/>
    <w:rsid w:val="319475D5"/>
    <w:rsid w:val="31975317"/>
    <w:rsid w:val="31A87524"/>
    <w:rsid w:val="31B06C89"/>
    <w:rsid w:val="31B91778"/>
    <w:rsid w:val="31C2569E"/>
    <w:rsid w:val="31C96BD0"/>
    <w:rsid w:val="31D04385"/>
    <w:rsid w:val="31D9377A"/>
    <w:rsid w:val="31E15891"/>
    <w:rsid w:val="31F043F4"/>
    <w:rsid w:val="32170EE1"/>
    <w:rsid w:val="325066A8"/>
    <w:rsid w:val="32563FE3"/>
    <w:rsid w:val="325D3410"/>
    <w:rsid w:val="3260226B"/>
    <w:rsid w:val="327652E9"/>
    <w:rsid w:val="327A5FF1"/>
    <w:rsid w:val="32A55CC0"/>
    <w:rsid w:val="32A937D2"/>
    <w:rsid w:val="32C95971"/>
    <w:rsid w:val="32CF5928"/>
    <w:rsid w:val="32E41009"/>
    <w:rsid w:val="32E9078F"/>
    <w:rsid w:val="32ED34FF"/>
    <w:rsid w:val="330856D0"/>
    <w:rsid w:val="33316646"/>
    <w:rsid w:val="333A06E2"/>
    <w:rsid w:val="33462B8C"/>
    <w:rsid w:val="33491C13"/>
    <w:rsid w:val="335A455D"/>
    <w:rsid w:val="335E45B2"/>
    <w:rsid w:val="33680D19"/>
    <w:rsid w:val="33691E57"/>
    <w:rsid w:val="336E025D"/>
    <w:rsid w:val="33735D99"/>
    <w:rsid w:val="33736E76"/>
    <w:rsid w:val="337570A4"/>
    <w:rsid w:val="33833CFC"/>
    <w:rsid w:val="33A269EC"/>
    <w:rsid w:val="33A856B1"/>
    <w:rsid w:val="33A930DF"/>
    <w:rsid w:val="33AB2922"/>
    <w:rsid w:val="33B73314"/>
    <w:rsid w:val="33C50B9E"/>
    <w:rsid w:val="33D30EC6"/>
    <w:rsid w:val="33D867E1"/>
    <w:rsid w:val="33D976B3"/>
    <w:rsid w:val="33DB2EFB"/>
    <w:rsid w:val="33DC6CF8"/>
    <w:rsid w:val="33EE36D1"/>
    <w:rsid w:val="33F54490"/>
    <w:rsid w:val="33F85833"/>
    <w:rsid w:val="33F94458"/>
    <w:rsid w:val="340B1EAD"/>
    <w:rsid w:val="34111989"/>
    <w:rsid w:val="341266A4"/>
    <w:rsid w:val="3429350C"/>
    <w:rsid w:val="342C4AD8"/>
    <w:rsid w:val="343C76C2"/>
    <w:rsid w:val="343D0166"/>
    <w:rsid w:val="343D6C24"/>
    <w:rsid w:val="345873A9"/>
    <w:rsid w:val="347C5D20"/>
    <w:rsid w:val="348C4EDB"/>
    <w:rsid w:val="34997F68"/>
    <w:rsid w:val="34A130FE"/>
    <w:rsid w:val="34AF7CC9"/>
    <w:rsid w:val="34B14942"/>
    <w:rsid w:val="34E526B4"/>
    <w:rsid w:val="34F03DC0"/>
    <w:rsid w:val="34FE7262"/>
    <w:rsid w:val="352407FC"/>
    <w:rsid w:val="352612DF"/>
    <w:rsid w:val="35284201"/>
    <w:rsid w:val="35322B1F"/>
    <w:rsid w:val="353539F8"/>
    <w:rsid w:val="3535498A"/>
    <w:rsid w:val="35471E10"/>
    <w:rsid w:val="354F3660"/>
    <w:rsid w:val="355004C3"/>
    <w:rsid w:val="3556146D"/>
    <w:rsid w:val="355724F0"/>
    <w:rsid w:val="356B5D07"/>
    <w:rsid w:val="35810326"/>
    <w:rsid w:val="358C5E8C"/>
    <w:rsid w:val="358D7C9B"/>
    <w:rsid w:val="358E2186"/>
    <w:rsid w:val="35AA4C6A"/>
    <w:rsid w:val="35B90B5D"/>
    <w:rsid w:val="35C81F43"/>
    <w:rsid w:val="35CC1726"/>
    <w:rsid w:val="35DE239E"/>
    <w:rsid w:val="35E004BC"/>
    <w:rsid w:val="35E06512"/>
    <w:rsid w:val="35E33F92"/>
    <w:rsid w:val="35EB072E"/>
    <w:rsid w:val="36010FB1"/>
    <w:rsid w:val="360212D1"/>
    <w:rsid w:val="360C7B72"/>
    <w:rsid w:val="360E2480"/>
    <w:rsid w:val="361327DB"/>
    <w:rsid w:val="361F1CFE"/>
    <w:rsid w:val="36371201"/>
    <w:rsid w:val="363720E3"/>
    <w:rsid w:val="3639711B"/>
    <w:rsid w:val="363E765D"/>
    <w:rsid w:val="36592830"/>
    <w:rsid w:val="36632356"/>
    <w:rsid w:val="367409D2"/>
    <w:rsid w:val="367B56C5"/>
    <w:rsid w:val="367C5173"/>
    <w:rsid w:val="36915D46"/>
    <w:rsid w:val="36B81FB7"/>
    <w:rsid w:val="36CA31B0"/>
    <w:rsid w:val="36CC7811"/>
    <w:rsid w:val="36D20797"/>
    <w:rsid w:val="36E65B3A"/>
    <w:rsid w:val="36FF3742"/>
    <w:rsid w:val="370346A6"/>
    <w:rsid w:val="37113475"/>
    <w:rsid w:val="37252E94"/>
    <w:rsid w:val="37296474"/>
    <w:rsid w:val="373227C5"/>
    <w:rsid w:val="373D1FB8"/>
    <w:rsid w:val="37405833"/>
    <w:rsid w:val="374101FF"/>
    <w:rsid w:val="375869AC"/>
    <w:rsid w:val="375B253A"/>
    <w:rsid w:val="37666B6B"/>
    <w:rsid w:val="37675674"/>
    <w:rsid w:val="376B1978"/>
    <w:rsid w:val="37940CA8"/>
    <w:rsid w:val="37D848CF"/>
    <w:rsid w:val="37DA41AF"/>
    <w:rsid w:val="37DB157C"/>
    <w:rsid w:val="37DB3C7D"/>
    <w:rsid w:val="37DD3226"/>
    <w:rsid w:val="37EE7D30"/>
    <w:rsid w:val="37F62976"/>
    <w:rsid w:val="37F77F19"/>
    <w:rsid w:val="38042FDA"/>
    <w:rsid w:val="381C3F20"/>
    <w:rsid w:val="3822692C"/>
    <w:rsid w:val="38343F2A"/>
    <w:rsid w:val="38490F9C"/>
    <w:rsid w:val="384C1631"/>
    <w:rsid w:val="38542754"/>
    <w:rsid w:val="38577903"/>
    <w:rsid w:val="386C03A0"/>
    <w:rsid w:val="386D6DD1"/>
    <w:rsid w:val="38850AD8"/>
    <w:rsid w:val="38B10FD7"/>
    <w:rsid w:val="38B2326B"/>
    <w:rsid w:val="38BD498D"/>
    <w:rsid w:val="38D81B11"/>
    <w:rsid w:val="38ED2653"/>
    <w:rsid w:val="38FC71A8"/>
    <w:rsid w:val="38FD1F03"/>
    <w:rsid w:val="39020983"/>
    <w:rsid w:val="39037F6C"/>
    <w:rsid w:val="39214610"/>
    <w:rsid w:val="39317DFF"/>
    <w:rsid w:val="39464964"/>
    <w:rsid w:val="395224D9"/>
    <w:rsid w:val="39535FC7"/>
    <w:rsid w:val="395601FC"/>
    <w:rsid w:val="397B4E62"/>
    <w:rsid w:val="39972B1A"/>
    <w:rsid w:val="399A1410"/>
    <w:rsid w:val="39C47D94"/>
    <w:rsid w:val="39CD1539"/>
    <w:rsid w:val="39CD5D32"/>
    <w:rsid w:val="39D0322E"/>
    <w:rsid w:val="39DA1DFA"/>
    <w:rsid w:val="39DC71EB"/>
    <w:rsid w:val="39DD5D2E"/>
    <w:rsid w:val="39E01A69"/>
    <w:rsid w:val="3A045F91"/>
    <w:rsid w:val="3A076679"/>
    <w:rsid w:val="3A0A0953"/>
    <w:rsid w:val="3A211C22"/>
    <w:rsid w:val="3A2C4127"/>
    <w:rsid w:val="3A4F0AA8"/>
    <w:rsid w:val="3A543DA5"/>
    <w:rsid w:val="3A5576B6"/>
    <w:rsid w:val="3A682780"/>
    <w:rsid w:val="3A697EB7"/>
    <w:rsid w:val="3A7B1B56"/>
    <w:rsid w:val="3A7F0311"/>
    <w:rsid w:val="3A8538B6"/>
    <w:rsid w:val="3A884EF1"/>
    <w:rsid w:val="3A8C5141"/>
    <w:rsid w:val="3AA52853"/>
    <w:rsid w:val="3AA648FE"/>
    <w:rsid w:val="3AAA7D3D"/>
    <w:rsid w:val="3AD117FB"/>
    <w:rsid w:val="3AD4138A"/>
    <w:rsid w:val="3AD72904"/>
    <w:rsid w:val="3AD75A09"/>
    <w:rsid w:val="3ADC5AFD"/>
    <w:rsid w:val="3AE17BBC"/>
    <w:rsid w:val="3B007A89"/>
    <w:rsid w:val="3B0F5ABD"/>
    <w:rsid w:val="3B120845"/>
    <w:rsid w:val="3B2F4F75"/>
    <w:rsid w:val="3B31477D"/>
    <w:rsid w:val="3B315914"/>
    <w:rsid w:val="3B422101"/>
    <w:rsid w:val="3B4715CB"/>
    <w:rsid w:val="3B5008D7"/>
    <w:rsid w:val="3B7F15E2"/>
    <w:rsid w:val="3B8536A6"/>
    <w:rsid w:val="3B9F0C51"/>
    <w:rsid w:val="3BA00572"/>
    <w:rsid w:val="3BB1021B"/>
    <w:rsid w:val="3BE15B0C"/>
    <w:rsid w:val="3BE64EF0"/>
    <w:rsid w:val="3BF72A83"/>
    <w:rsid w:val="3C135790"/>
    <w:rsid w:val="3C1752F7"/>
    <w:rsid w:val="3C193171"/>
    <w:rsid w:val="3C1E3214"/>
    <w:rsid w:val="3C2528C6"/>
    <w:rsid w:val="3C371BD0"/>
    <w:rsid w:val="3C4F1FEA"/>
    <w:rsid w:val="3C5B6745"/>
    <w:rsid w:val="3C683B38"/>
    <w:rsid w:val="3C686571"/>
    <w:rsid w:val="3C6F5E3B"/>
    <w:rsid w:val="3C83525B"/>
    <w:rsid w:val="3C87375A"/>
    <w:rsid w:val="3C88531F"/>
    <w:rsid w:val="3C8D7A42"/>
    <w:rsid w:val="3C8E189D"/>
    <w:rsid w:val="3CA22EFE"/>
    <w:rsid w:val="3CB8043D"/>
    <w:rsid w:val="3CB94BCA"/>
    <w:rsid w:val="3CC35212"/>
    <w:rsid w:val="3CC50225"/>
    <w:rsid w:val="3CD967E3"/>
    <w:rsid w:val="3CDE231E"/>
    <w:rsid w:val="3CE65619"/>
    <w:rsid w:val="3D245A63"/>
    <w:rsid w:val="3D36346C"/>
    <w:rsid w:val="3D4269DA"/>
    <w:rsid w:val="3D430EA3"/>
    <w:rsid w:val="3D47560D"/>
    <w:rsid w:val="3D523BCD"/>
    <w:rsid w:val="3D645169"/>
    <w:rsid w:val="3D6933DE"/>
    <w:rsid w:val="3D7C3859"/>
    <w:rsid w:val="3D80607F"/>
    <w:rsid w:val="3D8F2120"/>
    <w:rsid w:val="3D8F30A0"/>
    <w:rsid w:val="3D990E61"/>
    <w:rsid w:val="3DA327E5"/>
    <w:rsid w:val="3DB01C7C"/>
    <w:rsid w:val="3DB334D8"/>
    <w:rsid w:val="3DBA1ADA"/>
    <w:rsid w:val="3DC355A6"/>
    <w:rsid w:val="3DC42D6E"/>
    <w:rsid w:val="3DD009EA"/>
    <w:rsid w:val="3DD122A2"/>
    <w:rsid w:val="3DD64752"/>
    <w:rsid w:val="3DD80DF7"/>
    <w:rsid w:val="3DE17E96"/>
    <w:rsid w:val="3DE26317"/>
    <w:rsid w:val="3DEB1B40"/>
    <w:rsid w:val="3DFC4E7F"/>
    <w:rsid w:val="3E2D1C0D"/>
    <w:rsid w:val="3E352B5B"/>
    <w:rsid w:val="3E3A2755"/>
    <w:rsid w:val="3E3B04E7"/>
    <w:rsid w:val="3E463101"/>
    <w:rsid w:val="3E5717D0"/>
    <w:rsid w:val="3E5E04B0"/>
    <w:rsid w:val="3E5F4189"/>
    <w:rsid w:val="3E614006"/>
    <w:rsid w:val="3E6C1A3F"/>
    <w:rsid w:val="3E734A16"/>
    <w:rsid w:val="3E752133"/>
    <w:rsid w:val="3E7A5DA4"/>
    <w:rsid w:val="3E953235"/>
    <w:rsid w:val="3EAA3B18"/>
    <w:rsid w:val="3EAA555F"/>
    <w:rsid w:val="3EBD0BAE"/>
    <w:rsid w:val="3EC3774B"/>
    <w:rsid w:val="3ECC3927"/>
    <w:rsid w:val="3ECD2095"/>
    <w:rsid w:val="3EEF22EE"/>
    <w:rsid w:val="3EF02AD3"/>
    <w:rsid w:val="3F024C1A"/>
    <w:rsid w:val="3F0D0FA0"/>
    <w:rsid w:val="3F21052E"/>
    <w:rsid w:val="3F223E95"/>
    <w:rsid w:val="3F330C34"/>
    <w:rsid w:val="3F3917F4"/>
    <w:rsid w:val="3F397A0D"/>
    <w:rsid w:val="3F4A39C9"/>
    <w:rsid w:val="3F625E8E"/>
    <w:rsid w:val="3F6A673B"/>
    <w:rsid w:val="3F832FD5"/>
    <w:rsid w:val="3F8C2A74"/>
    <w:rsid w:val="3F9229BE"/>
    <w:rsid w:val="3FA70307"/>
    <w:rsid w:val="3FA7458E"/>
    <w:rsid w:val="3FB22390"/>
    <w:rsid w:val="3FCF1529"/>
    <w:rsid w:val="3FDD2A57"/>
    <w:rsid w:val="3FE37E33"/>
    <w:rsid w:val="3FF027C2"/>
    <w:rsid w:val="3FF55C7D"/>
    <w:rsid w:val="3FF676AC"/>
    <w:rsid w:val="400E03CE"/>
    <w:rsid w:val="401171AD"/>
    <w:rsid w:val="40225AF1"/>
    <w:rsid w:val="403D5148"/>
    <w:rsid w:val="403D6B94"/>
    <w:rsid w:val="40507C98"/>
    <w:rsid w:val="40580367"/>
    <w:rsid w:val="4061657E"/>
    <w:rsid w:val="40767673"/>
    <w:rsid w:val="407707ED"/>
    <w:rsid w:val="40892318"/>
    <w:rsid w:val="408E0789"/>
    <w:rsid w:val="40A76FA9"/>
    <w:rsid w:val="40AC084A"/>
    <w:rsid w:val="40D05FDB"/>
    <w:rsid w:val="40DB515E"/>
    <w:rsid w:val="40E30197"/>
    <w:rsid w:val="40E63D94"/>
    <w:rsid w:val="40EA1367"/>
    <w:rsid w:val="40EB151F"/>
    <w:rsid w:val="40ED4F53"/>
    <w:rsid w:val="40F25A91"/>
    <w:rsid w:val="411C387B"/>
    <w:rsid w:val="41292B74"/>
    <w:rsid w:val="41406E31"/>
    <w:rsid w:val="414E3836"/>
    <w:rsid w:val="41592854"/>
    <w:rsid w:val="416E516B"/>
    <w:rsid w:val="418812BB"/>
    <w:rsid w:val="418D4040"/>
    <w:rsid w:val="419E7FFC"/>
    <w:rsid w:val="419F3079"/>
    <w:rsid w:val="41AE3A67"/>
    <w:rsid w:val="41C95125"/>
    <w:rsid w:val="41EA02ED"/>
    <w:rsid w:val="42075BA1"/>
    <w:rsid w:val="4215282E"/>
    <w:rsid w:val="42225E0B"/>
    <w:rsid w:val="42383FB6"/>
    <w:rsid w:val="423D7815"/>
    <w:rsid w:val="424F30C2"/>
    <w:rsid w:val="425E14DB"/>
    <w:rsid w:val="42621029"/>
    <w:rsid w:val="426B4382"/>
    <w:rsid w:val="42725710"/>
    <w:rsid w:val="427358D4"/>
    <w:rsid w:val="42736D87"/>
    <w:rsid w:val="427E086F"/>
    <w:rsid w:val="42826F4F"/>
    <w:rsid w:val="428B0580"/>
    <w:rsid w:val="429A4E70"/>
    <w:rsid w:val="429E14C4"/>
    <w:rsid w:val="42A26186"/>
    <w:rsid w:val="42A94EAA"/>
    <w:rsid w:val="42BA0E65"/>
    <w:rsid w:val="42C13D5C"/>
    <w:rsid w:val="42DD74CF"/>
    <w:rsid w:val="42DF3579"/>
    <w:rsid w:val="42E264C2"/>
    <w:rsid w:val="42E85CD3"/>
    <w:rsid w:val="42F54D63"/>
    <w:rsid w:val="43011E27"/>
    <w:rsid w:val="430D368B"/>
    <w:rsid w:val="430F20A0"/>
    <w:rsid w:val="43135F0F"/>
    <w:rsid w:val="431B6CC7"/>
    <w:rsid w:val="43225F65"/>
    <w:rsid w:val="435720D9"/>
    <w:rsid w:val="43615785"/>
    <w:rsid w:val="43732880"/>
    <w:rsid w:val="43865952"/>
    <w:rsid w:val="43884ABF"/>
    <w:rsid w:val="438F0BB0"/>
    <w:rsid w:val="43993170"/>
    <w:rsid w:val="43AE02ED"/>
    <w:rsid w:val="43BF04EA"/>
    <w:rsid w:val="43C05A1E"/>
    <w:rsid w:val="43CF4932"/>
    <w:rsid w:val="43D22CDA"/>
    <w:rsid w:val="43D354DC"/>
    <w:rsid w:val="4405353A"/>
    <w:rsid w:val="44063CF3"/>
    <w:rsid w:val="44072973"/>
    <w:rsid w:val="44095C00"/>
    <w:rsid w:val="44117E2D"/>
    <w:rsid w:val="441822E7"/>
    <w:rsid w:val="442F13DF"/>
    <w:rsid w:val="44426345"/>
    <w:rsid w:val="444B2816"/>
    <w:rsid w:val="445279AA"/>
    <w:rsid w:val="4453331F"/>
    <w:rsid w:val="445F3A86"/>
    <w:rsid w:val="4478636B"/>
    <w:rsid w:val="447A0DB3"/>
    <w:rsid w:val="4481712B"/>
    <w:rsid w:val="44901E7E"/>
    <w:rsid w:val="449F2967"/>
    <w:rsid w:val="449F54A7"/>
    <w:rsid w:val="44A1052F"/>
    <w:rsid w:val="44C93406"/>
    <w:rsid w:val="44D74994"/>
    <w:rsid w:val="44DD0E3B"/>
    <w:rsid w:val="44E67CEF"/>
    <w:rsid w:val="44F62875"/>
    <w:rsid w:val="451730A2"/>
    <w:rsid w:val="451955A3"/>
    <w:rsid w:val="45205199"/>
    <w:rsid w:val="45260B70"/>
    <w:rsid w:val="45357C2D"/>
    <w:rsid w:val="453A003B"/>
    <w:rsid w:val="45467C1A"/>
    <w:rsid w:val="45523E0A"/>
    <w:rsid w:val="45603F46"/>
    <w:rsid w:val="45784EE5"/>
    <w:rsid w:val="457C33A8"/>
    <w:rsid w:val="458804FE"/>
    <w:rsid w:val="458D57CB"/>
    <w:rsid w:val="4595726A"/>
    <w:rsid w:val="45C67177"/>
    <w:rsid w:val="45D048BE"/>
    <w:rsid w:val="45DE626C"/>
    <w:rsid w:val="45EB660D"/>
    <w:rsid w:val="45F13477"/>
    <w:rsid w:val="45FA688F"/>
    <w:rsid w:val="45FD7B3D"/>
    <w:rsid w:val="460A10C2"/>
    <w:rsid w:val="46220C85"/>
    <w:rsid w:val="46230254"/>
    <w:rsid w:val="46244F73"/>
    <w:rsid w:val="46287B26"/>
    <w:rsid w:val="462A00B0"/>
    <w:rsid w:val="462D24EF"/>
    <w:rsid w:val="46427F4E"/>
    <w:rsid w:val="46534E0B"/>
    <w:rsid w:val="4670640B"/>
    <w:rsid w:val="46753897"/>
    <w:rsid w:val="467A71EB"/>
    <w:rsid w:val="46867477"/>
    <w:rsid w:val="468A02AD"/>
    <w:rsid w:val="468B3DD1"/>
    <w:rsid w:val="469043B7"/>
    <w:rsid w:val="46BF4C9C"/>
    <w:rsid w:val="46C936C8"/>
    <w:rsid w:val="46CB1893"/>
    <w:rsid w:val="46D87DE5"/>
    <w:rsid w:val="46E556A4"/>
    <w:rsid w:val="46E97F6B"/>
    <w:rsid w:val="46EA25E1"/>
    <w:rsid w:val="46EB1077"/>
    <w:rsid w:val="470C2558"/>
    <w:rsid w:val="472127B7"/>
    <w:rsid w:val="472165B7"/>
    <w:rsid w:val="47277064"/>
    <w:rsid w:val="47323C17"/>
    <w:rsid w:val="47427046"/>
    <w:rsid w:val="4743767B"/>
    <w:rsid w:val="474E29C1"/>
    <w:rsid w:val="475569C5"/>
    <w:rsid w:val="475A49C5"/>
    <w:rsid w:val="475E44B5"/>
    <w:rsid w:val="476121D8"/>
    <w:rsid w:val="476A063C"/>
    <w:rsid w:val="477C748E"/>
    <w:rsid w:val="478A7058"/>
    <w:rsid w:val="47941208"/>
    <w:rsid w:val="47A101B2"/>
    <w:rsid w:val="47BF2852"/>
    <w:rsid w:val="47BF386C"/>
    <w:rsid w:val="47C3256A"/>
    <w:rsid w:val="47C95C6C"/>
    <w:rsid w:val="47EC7022"/>
    <w:rsid w:val="47FC7940"/>
    <w:rsid w:val="480107DA"/>
    <w:rsid w:val="48030B33"/>
    <w:rsid w:val="48046015"/>
    <w:rsid w:val="4819316F"/>
    <w:rsid w:val="481C74A8"/>
    <w:rsid w:val="482F5E51"/>
    <w:rsid w:val="483F125D"/>
    <w:rsid w:val="48580B32"/>
    <w:rsid w:val="485B43A9"/>
    <w:rsid w:val="48635024"/>
    <w:rsid w:val="487B675C"/>
    <w:rsid w:val="48A95C04"/>
    <w:rsid w:val="48B22238"/>
    <w:rsid w:val="48B33076"/>
    <w:rsid w:val="48C4330A"/>
    <w:rsid w:val="48CD23FF"/>
    <w:rsid w:val="48D55EB3"/>
    <w:rsid w:val="48DA0701"/>
    <w:rsid w:val="48DF324A"/>
    <w:rsid w:val="48E052EC"/>
    <w:rsid w:val="48E65AEE"/>
    <w:rsid w:val="48F80CE7"/>
    <w:rsid w:val="49096FCD"/>
    <w:rsid w:val="491D7C08"/>
    <w:rsid w:val="494625B6"/>
    <w:rsid w:val="49507E2D"/>
    <w:rsid w:val="49512BB1"/>
    <w:rsid w:val="495E0009"/>
    <w:rsid w:val="49641F5D"/>
    <w:rsid w:val="49666B6B"/>
    <w:rsid w:val="496C26B3"/>
    <w:rsid w:val="496F2CCC"/>
    <w:rsid w:val="498F64FC"/>
    <w:rsid w:val="49AD1724"/>
    <w:rsid w:val="49BE7E39"/>
    <w:rsid w:val="49C40005"/>
    <w:rsid w:val="49C65419"/>
    <w:rsid w:val="49D04BAB"/>
    <w:rsid w:val="49EA0282"/>
    <w:rsid w:val="49EA17C4"/>
    <w:rsid w:val="49EF440A"/>
    <w:rsid w:val="49F7687F"/>
    <w:rsid w:val="4A1A2F12"/>
    <w:rsid w:val="4A2C7C77"/>
    <w:rsid w:val="4A321C6F"/>
    <w:rsid w:val="4A366D8C"/>
    <w:rsid w:val="4A375709"/>
    <w:rsid w:val="4A475BFC"/>
    <w:rsid w:val="4A4E1094"/>
    <w:rsid w:val="4A561717"/>
    <w:rsid w:val="4A606796"/>
    <w:rsid w:val="4A717D8F"/>
    <w:rsid w:val="4A7D0F83"/>
    <w:rsid w:val="4A834A22"/>
    <w:rsid w:val="4A8815D3"/>
    <w:rsid w:val="4A9454F9"/>
    <w:rsid w:val="4A972DF7"/>
    <w:rsid w:val="4A992274"/>
    <w:rsid w:val="4AA77F21"/>
    <w:rsid w:val="4AAA2276"/>
    <w:rsid w:val="4AB64534"/>
    <w:rsid w:val="4ABD14F2"/>
    <w:rsid w:val="4AC66642"/>
    <w:rsid w:val="4AC87549"/>
    <w:rsid w:val="4AD37353"/>
    <w:rsid w:val="4ADC6651"/>
    <w:rsid w:val="4AE2340C"/>
    <w:rsid w:val="4AE72A13"/>
    <w:rsid w:val="4AFF6999"/>
    <w:rsid w:val="4B0E61F2"/>
    <w:rsid w:val="4B21257E"/>
    <w:rsid w:val="4B290FE3"/>
    <w:rsid w:val="4B322207"/>
    <w:rsid w:val="4B3B5793"/>
    <w:rsid w:val="4B49791C"/>
    <w:rsid w:val="4B58050B"/>
    <w:rsid w:val="4B5A25F7"/>
    <w:rsid w:val="4B6A0768"/>
    <w:rsid w:val="4B6B0CBD"/>
    <w:rsid w:val="4B705719"/>
    <w:rsid w:val="4B7B47F9"/>
    <w:rsid w:val="4BA563FE"/>
    <w:rsid w:val="4BB77663"/>
    <w:rsid w:val="4BC54DE5"/>
    <w:rsid w:val="4BCB7306"/>
    <w:rsid w:val="4BD52968"/>
    <w:rsid w:val="4BD91D02"/>
    <w:rsid w:val="4BE2600E"/>
    <w:rsid w:val="4BE57820"/>
    <w:rsid w:val="4BF657A1"/>
    <w:rsid w:val="4BFB7B74"/>
    <w:rsid w:val="4C0457A1"/>
    <w:rsid w:val="4C3F2C78"/>
    <w:rsid w:val="4C42244E"/>
    <w:rsid w:val="4C437DCE"/>
    <w:rsid w:val="4C6D3DA8"/>
    <w:rsid w:val="4C727CFA"/>
    <w:rsid w:val="4C88081B"/>
    <w:rsid w:val="4C8872A2"/>
    <w:rsid w:val="4C9C19F3"/>
    <w:rsid w:val="4CA47183"/>
    <w:rsid w:val="4CB7606E"/>
    <w:rsid w:val="4CB91CB1"/>
    <w:rsid w:val="4CF745DE"/>
    <w:rsid w:val="4CFC57E0"/>
    <w:rsid w:val="4D087B01"/>
    <w:rsid w:val="4D0B58BC"/>
    <w:rsid w:val="4D0C050F"/>
    <w:rsid w:val="4D0C2AD5"/>
    <w:rsid w:val="4D2059FA"/>
    <w:rsid w:val="4D2E3574"/>
    <w:rsid w:val="4D451B18"/>
    <w:rsid w:val="4D4D5AFE"/>
    <w:rsid w:val="4D502AF2"/>
    <w:rsid w:val="4D5C07F9"/>
    <w:rsid w:val="4D755736"/>
    <w:rsid w:val="4DAC0A3B"/>
    <w:rsid w:val="4DB92102"/>
    <w:rsid w:val="4DBA3E20"/>
    <w:rsid w:val="4DBC5B64"/>
    <w:rsid w:val="4DC679DB"/>
    <w:rsid w:val="4DE61D12"/>
    <w:rsid w:val="4DF1146E"/>
    <w:rsid w:val="4DF82017"/>
    <w:rsid w:val="4E0E661C"/>
    <w:rsid w:val="4E1E3790"/>
    <w:rsid w:val="4E2E44B5"/>
    <w:rsid w:val="4E4C57ED"/>
    <w:rsid w:val="4E5505A6"/>
    <w:rsid w:val="4E7B0CB2"/>
    <w:rsid w:val="4E820BD8"/>
    <w:rsid w:val="4E8D729C"/>
    <w:rsid w:val="4E8E1C0C"/>
    <w:rsid w:val="4E9609D8"/>
    <w:rsid w:val="4E98004C"/>
    <w:rsid w:val="4EA50E9C"/>
    <w:rsid w:val="4EA5208F"/>
    <w:rsid w:val="4EAE617F"/>
    <w:rsid w:val="4EBD702F"/>
    <w:rsid w:val="4EC310A1"/>
    <w:rsid w:val="4EC818B0"/>
    <w:rsid w:val="4ECB59F9"/>
    <w:rsid w:val="4ECE1CAC"/>
    <w:rsid w:val="4EE414BB"/>
    <w:rsid w:val="4EE87B84"/>
    <w:rsid w:val="4EFF65C5"/>
    <w:rsid w:val="4F0052D1"/>
    <w:rsid w:val="4F014784"/>
    <w:rsid w:val="4F0431E6"/>
    <w:rsid w:val="4F1B712F"/>
    <w:rsid w:val="4F1C605F"/>
    <w:rsid w:val="4F254824"/>
    <w:rsid w:val="4F2658BE"/>
    <w:rsid w:val="4F4736A7"/>
    <w:rsid w:val="4F7914EF"/>
    <w:rsid w:val="4F9174FD"/>
    <w:rsid w:val="4F9402D2"/>
    <w:rsid w:val="4F9A6D4E"/>
    <w:rsid w:val="4FB10142"/>
    <w:rsid w:val="4FB82BD0"/>
    <w:rsid w:val="4FC643B6"/>
    <w:rsid w:val="4FD1578E"/>
    <w:rsid w:val="4FE10E76"/>
    <w:rsid w:val="4FEE2189"/>
    <w:rsid w:val="4FF71C3D"/>
    <w:rsid w:val="50016856"/>
    <w:rsid w:val="5008518B"/>
    <w:rsid w:val="500B32A2"/>
    <w:rsid w:val="502B6647"/>
    <w:rsid w:val="502B6EFE"/>
    <w:rsid w:val="50324E90"/>
    <w:rsid w:val="504C1B11"/>
    <w:rsid w:val="505F48A5"/>
    <w:rsid w:val="506472D4"/>
    <w:rsid w:val="50666C7A"/>
    <w:rsid w:val="507460A4"/>
    <w:rsid w:val="5094445D"/>
    <w:rsid w:val="509C0D4E"/>
    <w:rsid w:val="50A23A1E"/>
    <w:rsid w:val="50AC44E3"/>
    <w:rsid w:val="50B57EA9"/>
    <w:rsid w:val="50BC2B26"/>
    <w:rsid w:val="50BE1984"/>
    <w:rsid w:val="50D141C6"/>
    <w:rsid w:val="50D94FDD"/>
    <w:rsid w:val="50F115EA"/>
    <w:rsid w:val="50F60ADD"/>
    <w:rsid w:val="50F72C9C"/>
    <w:rsid w:val="50FC0DB6"/>
    <w:rsid w:val="511107EA"/>
    <w:rsid w:val="511F2007"/>
    <w:rsid w:val="51271E2F"/>
    <w:rsid w:val="51342CAA"/>
    <w:rsid w:val="51366F32"/>
    <w:rsid w:val="51406A38"/>
    <w:rsid w:val="514B4E4E"/>
    <w:rsid w:val="516578E1"/>
    <w:rsid w:val="517174DB"/>
    <w:rsid w:val="518049FF"/>
    <w:rsid w:val="51932FAD"/>
    <w:rsid w:val="51A06E66"/>
    <w:rsid w:val="51AF590D"/>
    <w:rsid w:val="51B475E9"/>
    <w:rsid w:val="51C05FF6"/>
    <w:rsid w:val="51D135DE"/>
    <w:rsid w:val="51DF4444"/>
    <w:rsid w:val="51F65295"/>
    <w:rsid w:val="51F872B4"/>
    <w:rsid w:val="51FD3DB6"/>
    <w:rsid w:val="52097713"/>
    <w:rsid w:val="520C3BB6"/>
    <w:rsid w:val="52252174"/>
    <w:rsid w:val="52295AE6"/>
    <w:rsid w:val="522D0E7F"/>
    <w:rsid w:val="523E4D62"/>
    <w:rsid w:val="5243507E"/>
    <w:rsid w:val="525402A0"/>
    <w:rsid w:val="52554706"/>
    <w:rsid w:val="525F5585"/>
    <w:rsid w:val="527D4695"/>
    <w:rsid w:val="528D41E4"/>
    <w:rsid w:val="52BF5C92"/>
    <w:rsid w:val="52C2167A"/>
    <w:rsid w:val="52C7794C"/>
    <w:rsid w:val="52D279CD"/>
    <w:rsid w:val="52D32ADF"/>
    <w:rsid w:val="52E45ACB"/>
    <w:rsid w:val="52E71802"/>
    <w:rsid w:val="52F47AFB"/>
    <w:rsid w:val="53071B37"/>
    <w:rsid w:val="530A5973"/>
    <w:rsid w:val="531169F3"/>
    <w:rsid w:val="531348FB"/>
    <w:rsid w:val="53185E60"/>
    <w:rsid w:val="53275D3D"/>
    <w:rsid w:val="533354CF"/>
    <w:rsid w:val="533407C0"/>
    <w:rsid w:val="53346B96"/>
    <w:rsid w:val="535D5DC8"/>
    <w:rsid w:val="537A3167"/>
    <w:rsid w:val="537D2360"/>
    <w:rsid w:val="53811E50"/>
    <w:rsid w:val="53B22465"/>
    <w:rsid w:val="53B72F65"/>
    <w:rsid w:val="53BE3989"/>
    <w:rsid w:val="53D83751"/>
    <w:rsid w:val="53D85151"/>
    <w:rsid w:val="53E844A9"/>
    <w:rsid w:val="53FD2AC2"/>
    <w:rsid w:val="54063F0A"/>
    <w:rsid w:val="5409404E"/>
    <w:rsid w:val="540D55C7"/>
    <w:rsid w:val="54134B75"/>
    <w:rsid w:val="54164746"/>
    <w:rsid w:val="541F238F"/>
    <w:rsid w:val="542E2ADC"/>
    <w:rsid w:val="543341B9"/>
    <w:rsid w:val="543415ED"/>
    <w:rsid w:val="5438608E"/>
    <w:rsid w:val="544B7F7E"/>
    <w:rsid w:val="54501D22"/>
    <w:rsid w:val="546146EB"/>
    <w:rsid w:val="54680D66"/>
    <w:rsid w:val="54685AA1"/>
    <w:rsid w:val="547D06FB"/>
    <w:rsid w:val="547D14B1"/>
    <w:rsid w:val="54857DDB"/>
    <w:rsid w:val="548C678B"/>
    <w:rsid w:val="54905199"/>
    <w:rsid w:val="54914216"/>
    <w:rsid w:val="549273A9"/>
    <w:rsid w:val="549405C7"/>
    <w:rsid w:val="549D6C55"/>
    <w:rsid w:val="54CA07F6"/>
    <w:rsid w:val="54E979F3"/>
    <w:rsid w:val="54EF0774"/>
    <w:rsid w:val="54F2448F"/>
    <w:rsid w:val="54FE2E33"/>
    <w:rsid w:val="550B2DC8"/>
    <w:rsid w:val="5540169E"/>
    <w:rsid w:val="55466588"/>
    <w:rsid w:val="5547793A"/>
    <w:rsid w:val="554C32B2"/>
    <w:rsid w:val="55501E76"/>
    <w:rsid w:val="55701D69"/>
    <w:rsid w:val="55731E3E"/>
    <w:rsid w:val="557A0272"/>
    <w:rsid w:val="557E29D7"/>
    <w:rsid w:val="558F2195"/>
    <w:rsid w:val="55900035"/>
    <w:rsid w:val="55AF798B"/>
    <w:rsid w:val="55CA70E8"/>
    <w:rsid w:val="55ED4967"/>
    <w:rsid w:val="55F350C4"/>
    <w:rsid w:val="561019A5"/>
    <w:rsid w:val="561B14C6"/>
    <w:rsid w:val="561B7A15"/>
    <w:rsid w:val="56247722"/>
    <w:rsid w:val="56342FDD"/>
    <w:rsid w:val="56467B64"/>
    <w:rsid w:val="565626F9"/>
    <w:rsid w:val="565671A2"/>
    <w:rsid w:val="56685CA8"/>
    <w:rsid w:val="56740DC7"/>
    <w:rsid w:val="56753961"/>
    <w:rsid w:val="5677558B"/>
    <w:rsid w:val="569C2904"/>
    <w:rsid w:val="56A83DD4"/>
    <w:rsid w:val="56AA3219"/>
    <w:rsid w:val="56CF2574"/>
    <w:rsid w:val="56CF424D"/>
    <w:rsid w:val="56DE4C00"/>
    <w:rsid w:val="5707525A"/>
    <w:rsid w:val="570847EE"/>
    <w:rsid w:val="573270B5"/>
    <w:rsid w:val="57331689"/>
    <w:rsid w:val="57443B56"/>
    <w:rsid w:val="57614844"/>
    <w:rsid w:val="57664CC0"/>
    <w:rsid w:val="576A00D2"/>
    <w:rsid w:val="576A530D"/>
    <w:rsid w:val="57971A40"/>
    <w:rsid w:val="579E4D2D"/>
    <w:rsid w:val="57A24175"/>
    <w:rsid w:val="57B75717"/>
    <w:rsid w:val="57C470D2"/>
    <w:rsid w:val="57C77E19"/>
    <w:rsid w:val="57CA488B"/>
    <w:rsid w:val="57CB169F"/>
    <w:rsid w:val="57DB3900"/>
    <w:rsid w:val="57DB47FB"/>
    <w:rsid w:val="580846BB"/>
    <w:rsid w:val="5816050F"/>
    <w:rsid w:val="581D5CC6"/>
    <w:rsid w:val="58205F1A"/>
    <w:rsid w:val="582468CD"/>
    <w:rsid w:val="582840C5"/>
    <w:rsid w:val="583074F9"/>
    <w:rsid w:val="583515AC"/>
    <w:rsid w:val="584B45E2"/>
    <w:rsid w:val="584C2587"/>
    <w:rsid w:val="585127AA"/>
    <w:rsid w:val="585D5314"/>
    <w:rsid w:val="58603D47"/>
    <w:rsid w:val="58743A0C"/>
    <w:rsid w:val="58BB3CCE"/>
    <w:rsid w:val="58CD3249"/>
    <w:rsid w:val="58DE0E81"/>
    <w:rsid w:val="59093238"/>
    <w:rsid w:val="59125866"/>
    <w:rsid w:val="5915352F"/>
    <w:rsid w:val="591B0458"/>
    <w:rsid w:val="59232E69"/>
    <w:rsid w:val="59304651"/>
    <w:rsid w:val="593E2965"/>
    <w:rsid w:val="594856C1"/>
    <w:rsid w:val="59486EBB"/>
    <w:rsid w:val="59493AFE"/>
    <w:rsid w:val="594C38F9"/>
    <w:rsid w:val="594C4A1E"/>
    <w:rsid w:val="59567838"/>
    <w:rsid w:val="595E16C1"/>
    <w:rsid w:val="59700D18"/>
    <w:rsid w:val="5970491E"/>
    <w:rsid w:val="597304CA"/>
    <w:rsid w:val="59794C92"/>
    <w:rsid w:val="597A0373"/>
    <w:rsid w:val="598803B1"/>
    <w:rsid w:val="59A5117A"/>
    <w:rsid w:val="59A937D5"/>
    <w:rsid w:val="59BA6CB3"/>
    <w:rsid w:val="59BA6CC4"/>
    <w:rsid w:val="59DB746A"/>
    <w:rsid w:val="59F2154E"/>
    <w:rsid w:val="59F9691A"/>
    <w:rsid w:val="5A012975"/>
    <w:rsid w:val="5A0233C6"/>
    <w:rsid w:val="5A097A39"/>
    <w:rsid w:val="5A112448"/>
    <w:rsid w:val="5A1E417A"/>
    <w:rsid w:val="5A266C4C"/>
    <w:rsid w:val="5A2D3B53"/>
    <w:rsid w:val="5A3B2434"/>
    <w:rsid w:val="5A6457FD"/>
    <w:rsid w:val="5A645A7F"/>
    <w:rsid w:val="5A653116"/>
    <w:rsid w:val="5A7035CD"/>
    <w:rsid w:val="5A873ECB"/>
    <w:rsid w:val="5A8C4BA2"/>
    <w:rsid w:val="5A934A0F"/>
    <w:rsid w:val="5A957C98"/>
    <w:rsid w:val="5A9E6D6F"/>
    <w:rsid w:val="5AAC50E0"/>
    <w:rsid w:val="5AAD60EA"/>
    <w:rsid w:val="5AB61DE0"/>
    <w:rsid w:val="5ACB527F"/>
    <w:rsid w:val="5AD7761B"/>
    <w:rsid w:val="5B072DB6"/>
    <w:rsid w:val="5B19492B"/>
    <w:rsid w:val="5B233465"/>
    <w:rsid w:val="5B4E7984"/>
    <w:rsid w:val="5B506B61"/>
    <w:rsid w:val="5B5F0F2E"/>
    <w:rsid w:val="5B667984"/>
    <w:rsid w:val="5B6B796C"/>
    <w:rsid w:val="5B7C0F56"/>
    <w:rsid w:val="5B9808C1"/>
    <w:rsid w:val="5BAD7FC3"/>
    <w:rsid w:val="5BB10CB2"/>
    <w:rsid w:val="5BC16A09"/>
    <w:rsid w:val="5C012CC6"/>
    <w:rsid w:val="5C3B496D"/>
    <w:rsid w:val="5C503DE0"/>
    <w:rsid w:val="5C5435D1"/>
    <w:rsid w:val="5C5C5BA5"/>
    <w:rsid w:val="5C8005D2"/>
    <w:rsid w:val="5C8C4702"/>
    <w:rsid w:val="5C936557"/>
    <w:rsid w:val="5C943DBC"/>
    <w:rsid w:val="5C997625"/>
    <w:rsid w:val="5CA57080"/>
    <w:rsid w:val="5CA77E21"/>
    <w:rsid w:val="5CAF0BE0"/>
    <w:rsid w:val="5CB458BA"/>
    <w:rsid w:val="5CDC782C"/>
    <w:rsid w:val="5CE23DAC"/>
    <w:rsid w:val="5CE73917"/>
    <w:rsid w:val="5D0A73AF"/>
    <w:rsid w:val="5D120F26"/>
    <w:rsid w:val="5D1F603D"/>
    <w:rsid w:val="5D376039"/>
    <w:rsid w:val="5D3E31E9"/>
    <w:rsid w:val="5D436E42"/>
    <w:rsid w:val="5D63667B"/>
    <w:rsid w:val="5D696565"/>
    <w:rsid w:val="5D6F2EDA"/>
    <w:rsid w:val="5D783847"/>
    <w:rsid w:val="5D83037A"/>
    <w:rsid w:val="5D885121"/>
    <w:rsid w:val="5D9941C1"/>
    <w:rsid w:val="5DA92832"/>
    <w:rsid w:val="5DAE502B"/>
    <w:rsid w:val="5DB466F3"/>
    <w:rsid w:val="5DB915F2"/>
    <w:rsid w:val="5DBC60F3"/>
    <w:rsid w:val="5DCB1D21"/>
    <w:rsid w:val="5DCD5A99"/>
    <w:rsid w:val="5DDA5440"/>
    <w:rsid w:val="5DDD5947"/>
    <w:rsid w:val="5DDF393D"/>
    <w:rsid w:val="5DDF6E4E"/>
    <w:rsid w:val="5DFA49E0"/>
    <w:rsid w:val="5E1D0F80"/>
    <w:rsid w:val="5E1F3B6D"/>
    <w:rsid w:val="5E224037"/>
    <w:rsid w:val="5E352C38"/>
    <w:rsid w:val="5E3C2773"/>
    <w:rsid w:val="5E3E40FF"/>
    <w:rsid w:val="5E3F3871"/>
    <w:rsid w:val="5E40706E"/>
    <w:rsid w:val="5E4C1080"/>
    <w:rsid w:val="5E4E1C8A"/>
    <w:rsid w:val="5E5D7A78"/>
    <w:rsid w:val="5E7833A1"/>
    <w:rsid w:val="5E8274BA"/>
    <w:rsid w:val="5EA06D09"/>
    <w:rsid w:val="5EA53C9A"/>
    <w:rsid w:val="5EB822A5"/>
    <w:rsid w:val="5EBC7F37"/>
    <w:rsid w:val="5ECE7D1A"/>
    <w:rsid w:val="5ED36C86"/>
    <w:rsid w:val="5EDA60B0"/>
    <w:rsid w:val="5EDE0F33"/>
    <w:rsid w:val="5EE35A57"/>
    <w:rsid w:val="5F017A28"/>
    <w:rsid w:val="5F1645A7"/>
    <w:rsid w:val="5F1B193D"/>
    <w:rsid w:val="5F6A54DD"/>
    <w:rsid w:val="5F815969"/>
    <w:rsid w:val="5F8B4FA7"/>
    <w:rsid w:val="5F9B72D1"/>
    <w:rsid w:val="5FAB0A44"/>
    <w:rsid w:val="5FB17C29"/>
    <w:rsid w:val="5FB34738"/>
    <w:rsid w:val="5FB95E1C"/>
    <w:rsid w:val="5FC85F82"/>
    <w:rsid w:val="5FCB3FE5"/>
    <w:rsid w:val="5FD8170F"/>
    <w:rsid w:val="5FDC5EDE"/>
    <w:rsid w:val="5FEB2206"/>
    <w:rsid w:val="5FED772C"/>
    <w:rsid w:val="5FF97EAE"/>
    <w:rsid w:val="60155C27"/>
    <w:rsid w:val="60162D11"/>
    <w:rsid w:val="601A6070"/>
    <w:rsid w:val="60226F8B"/>
    <w:rsid w:val="6024580F"/>
    <w:rsid w:val="603B4F3C"/>
    <w:rsid w:val="60477ABF"/>
    <w:rsid w:val="604B0254"/>
    <w:rsid w:val="604B06AE"/>
    <w:rsid w:val="60526566"/>
    <w:rsid w:val="607F756F"/>
    <w:rsid w:val="60917251"/>
    <w:rsid w:val="60982996"/>
    <w:rsid w:val="60C53D01"/>
    <w:rsid w:val="60C9018D"/>
    <w:rsid w:val="60F97C84"/>
    <w:rsid w:val="61012C93"/>
    <w:rsid w:val="61053FC5"/>
    <w:rsid w:val="610C088E"/>
    <w:rsid w:val="6118412F"/>
    <w:rsid w:val="614A03E6"/>
    <w:rsid w:val="61531A50"/>
    <w:rsid w:val="61532201"/>
    <w:rsid w:val="61651210"/>
    <w:rsid w:val="61666018"/>
    <w:rsid w:val="616B46BB"/>
    <w:rsid w:val="616E5EB6"/>
    <w:rsid w:val="617526CF"/>
    <w:rsid w:val="618560EB"/>
    <w:rsid w:val="618E3791"/>
    <w:rsid w:val="619B5D77"/>
    <w:rsid w:val="61B10243"/>
    <w:rsid w:val="61BB2DD9"/>
    <w:rsid w:val="61C00B2F"/>
    <w:rsid w:val="61C3411F"/>
    <w:rsid w:val="61DD1B9A"/>
    <w:rsid w:val="61E136F6"/>
    <w:rsid w:val="61F4426B"/>
    <w:rsid w:val="61F83805"/>
    <w:rsid w:val="62022776"/>
    <w:rsid w:val="6205764C"/>
    <w:rsid w:val="62256C85"/>
    <w:rsid w:val="623600B0"/>
    <w:rsid w:val="62562501"/>
    <w:rsid w:val="6256299E"/>
    <w:rsid w:val="62574D95"/>
    <w:rsid w:val="62586747"/>
    <w:rsid w:val="626C60B7"/>
    <w:rsid w:val="62746498"/>
    <w:rsid w:val="628250A4"/>
    <w:rsid w:val="629110EB"/>
    <w:rsid w:val="62922E0D"/>
    <w:rsid w:val="62982A5C"/>
    <w:rsid w:val="62B17737"/>
    <w:rsid w:val="62CB6D60"/>
    <w:rsid w:val="62E358B2"/>
    <w:rsid w:val="62EA49F7"/>
    <w:rsid w:val="62F154C5"/>
    <w:rsid w:val="62FD0A5D"/>
    <w:rsid w:val="63162338"/>
    <w:rsid w:val="632036E4"/>
    <w:rsid w:val="63232EB3"/>
    <w:rsid w:val="63267478"/>
    <w:rsid w:val="633D315E"/>
    <w:rsid w:val="63504ABF"/>
    <w:rsid w:val="63517786"/>
    <w:rsid w:val="637052D7"/>
    <w:rsid w:val="6388739F"/>
    <w:rsid w:val="6389099E"/>
    <w:rsid w:val="63954DAA"/>
    <w:rsid w:val="63C74AA3"/>
    <w:rsid w:val="63D87748"/>
    <w:rsid w:val="63DE2EEF"/>
    <w:rsid w:val="63E8362C"/>
    <w:rsid w:val="63F16145"/>
    <w:rsid w:val="64024CFF"/>
    <w:rsid w:val="641D22DD"/>
    <w:rsid w:val="64426DE8"/>
    <w:rsid w:val="645B3151"/>
    <w:rsid w:val="64625D5E"/>
    <w:rsid w:val="646A170C"/>
    <w:rsid w:val="64701038"/>
    <w:rsid w:val="64722EF6"/>
    <w:rsid w:val="64797A3F"/>
    <w:rsid w:val="647B4B09"/>
    <w:rsid w:val="647B6F79"/>
    <w:rsid w:val="64815AEE"/>
    <w:rsid w:val="648937A8"/>
    <w:rsid w:val="648B1BA9"/>
    <w:rsid w:val="648D0F64"/>
    <w:rsid w:val="649449E8"/>
    <w:rsid w:val="649844A9"/>
    <w:rsid w:val="649D5D6D"/>
    <w:rsid w:val="64A9391A"/>
    <w:rsid w:val="64AF7CA6"/>
    <w:rsid w:val="64D77B16"/>
    <w:rsid w:val="64F953C5"/>
    <w:rsid w:val="651B533C"/>
    <w:rsid w:val="651E27DC"/>
    <w:rsid w:val="65206DF6"/>
    <w:rsid w:val="65291D8F"/>
    <w:rsid w:val="65570D94"/>
    <w:rsid w:val="655774EE"/>
    <w:rsid w:val="65795592"/>
    <w:rsid w:val="65A10F4D"/>
    <w:rsid w:val="65A93335"/>
    <w:rsid w:val="65BC5BDE"/>
    <w:rsid w:val="65D3678B"/>
    <w:rsid w:val="65DB69B9"/>
    <w:rsid w:val="65E142CF"/>
    <w:rsid w:val="65F16DEF"/>
    <w:rsid w:val="65FF5B93"/>
    <w:rsid w:val="660540EE"/>
    <w:rsid w:val="66081715"/>
    <w:rsid w:val="661673E0"/>
    <w:rsid w:val="661A1A97"/>
    <w:rsid w:val="661A3845"/>
    <w:rsid w:val="661B00EA"/>
    <w:rsid w:val="661D360B"/>
    <w:rsid w:val="661E7C84"/>
    <w:rsid w:val="66523C3F"/>
    <w:rsid w:val="66541F53"/>
    <w:rsid w:val="665C126F"/>
    <w:rsid w:val="66604179"/>
    <w:rsid w:val="6660647F"/>
    <w:rsid w:val="66613222"/>
    <w:rsid w:val="66820F47"/>
    <w:rsid w:val="668A782A"/>
    <w:rsid w:val="66AF1795"/>
    <w:rsid w:val="66B07CC1"/>
    <w:rsid w:val="66B14B24"/>
    <w:rsid w:val="66B27D18"/>
    <w:rsid w:val="66D1442C"/>
    <w:rsid w:val="66D47E7F"/>
    <w:rsid w:val="66D64E5B"/>
    <w:rsid w:val="66DD089D"/>
    <w:rsid w:val="66F0016C"/>
    <w:rsid w:val="66FA0812"/>
    <w:rsid w:val="66FB2BD0"/>
    <w:rsid w:val="66FC2971"/>
    <w:rsid w:val="670008EB"/>
    <w:rsid w:val="67103ED9"/>
    <w:rsid w:val="67262B05"/>
    <w:rsid w:val="672C7CD4"/>
    <w:rsid w:val="674E513F"/>
    <w:rsid w:val="674E6BDA"/>
    <w:rsid w:val="67610E75"/>
    <w:rsid w:val="676F0F89"/>
    <w:rsid w:val="677155CE"/>
    <w:rsid w:val="677178CC"/>
    <w:rsid w:val="677977BA"/>
    <w:rsid w:val="67797A29"/>
    <w:rsid w:val="679D31F9"/>
    <w:rsid w:val="679D3BF4"/>
    <w:rsid w:val="679D472E"/>
    <w:rsid w:val="67A41618"/>
    <w:rsid w:val="67AE4749"/>
    <w:rsid w:val="67C56A11"/>
    <w:rsid w:val="67DC3A63"/>
    <w:rsid w:val="67E071EA"/>
    <w:rsid w:val="67FA10C7"/>
    <w:rsid w:val="67FC4971"/>
    <w:rsid w:val="68221BAF"/>
    <w:rsid w:val="682D62D9"/>
    <w:rsid w:val="685143BC"/>
    <w:rsid w:val="68542A0A"/>
    <w:rsid w:val="68555296"/>
    <w:rsid w:val="686C1E80"/>
    <w:rsid w:val="689079C3"/>
    <w:rsid w:val="689A2A1B"/>
    <w:rsid w:val="68D46A71"/>
    <w:rsid w:val="68D56910"/>
    <w:rsid w:val="68EF70C5"/>
    <w:rsid w:val="68F22D9F"/>
    <w:rsid w:val="69162C86"/>
    <w:rsid w:val="69180AD7"/>
    <w:rsid w:val="69214083"/>
    <w:rsid w:val="69456B9A"/>
    <w:rsid w:val="69481344"/>
    <w:rsid w:val="695700E3"/>
    <w:rsid w:val="6980516E"/>
    <w:rsid w:val="698B51FD"/>
    <w:rsid w:val="69960468"/>
    <w:rsid w:val="69A109AD"/>
    <w:rsid w:val="69B875FD"/>
    <w:rsid w:val="69D5796F"/>
    <w:rsid w:val="69E00AE8"/>
    <w:rsid w:val="69E2467A"/>
    <w:rsid w:val="69F101EA"/>
    <w:rsid w:val="69F448E4"/>
    <w:rsid w:val="6A0606AA"/>
    <w:rsid w:val="6A090874"/>
    <w:rsid w:val="6A0F6D29"/>
    <w:rsid w:val="6A1231B1"/>
    <w:rsid w:val="6A1B780C"/>
    <w:rsid w:val="6A206086"/>
    <w:rsid w:val="6A3F0B90"/>
    <w:rsid w:val="6A3F71AB"/>
    <w:rsid w:val="6A407F9F"/>
    <w:rsid w:val="6A4620BF"/>
    <w:rsid w:val="6A4D5F32"/>
    <w:rsid w:val="6A5D65D9"/>
    <w:rsid w:val="6A6908F7"/>
    <w:rsid w:val="6A722F0B"/>
    <w:rsid w:val="6A7A4D5B"/>
    <w:rsid w:val="6A7E7518"/>
    <w:rsid w:val="6A825953"/>
    <w:rsid w:val="6A881C38"/>
    <w:rsid w:val="6A8A11E6"/>
    <w:rsid w:val="6A8B2F63"/>
    <w:rsid w:val="6A904811"/>
    <w:rsid w:val="6A9C6F1F"/>
    <w:rsid w:val="6ABC6856"/>
    <w:rsid w:val="6AC034F3"/>
    <w:rsid w:val="6AC31AF5"/>
    <w:rsid w:val="6AC96987"/>
    <w:rsid w:val="6AD24017"/>
    <w:rsid w:val="6AD42C61"/>
    <w:rsid w:val="6AE14092"/>
    <w:rsid w:val="6AEA323D"/>
    <w:rsid w:val="6AF07997"/>
    <w:rsid w:val="6AF5032D"/>
    <w:rsid w:val="6AFB2812"/>
    <w:rsid w:val="6AFE7263"/>
    <w:rsid w:val="6AFF182D"/>
    <w:rsid w:val="6B032C8C"/>
    <w:rsid w:val="6B226264"/>
    <w:rsid w:val="6B243303"/>
    <w:rsid w:val="6B3569BE"/>
    <w:rsid w:val="6B372F9F"/>
    <w:rsid w:val="6B3A1CE8"/>
    <w:rsid w:val="6B3E4E41"/>
    <w:rsid w:val="6B4D49EF"/>
    <w:rsid w:val="6B556078"/>
    <w:rsid w:val="6B565CD0"/>
    <w:rsid w:val="6B68013D"/>
    <w:rsid w:val="6B7022D0"/>
    <w:rsid w:val="6B7B5422"/>
    <w:rsid w:val="6B852192"/>
    <w:rsid w:val="6B925A32"/>
    <w:rsid w:val="6B9C4F5E"/>
    <w:rsid w:val="6BA92B5A"/>
    <w:rsid w:val="6BB42760"/>
    <w:rsid w:val="6BD37065"/>
    <w:rsid w:val="6BE13B5E"/>
    <w:rsid w:val="6BE31674"/>
    <w:rsid w:val="6BE95EA9"/>
    <w:rsid w:val="6BEA6094"/>
    <w:rsid w:val="6C114575"/>
    <w:rsid w:val="6C3E2214"/>
    <w:rsid w:val="6C427652"/>
    <w:rsid w:val="6C4B7245"/>
    <w:rsid w:val="6C4D48CD"/>
    <w:rsid w:val="6C6F75E9"/>
    <w:rsid w:val="6C781E2E"/>
    <w:rsid w:val="6C8202CD"/>
    <w:rsid w:val="6C8639E2"/>
    <w:rsid w:val="6C961621"/>
    <w:rsid w:val="6C9B70F6"/>
    <w:rsid w:val="6C9D5038"/>
    <w:rsid w:val="6CBB7DE1"/>
    <w:rsid w:val="6CC445CB"/>
    <w:rsid w:val="6CCE0EE6"/>
    <w:rsid w:val="6CD042ED"/>
    <w:rsid w:val="6CDA2357"/>
    <w:rsid w:val="6CE8212C"/>
    <w:rsid w:val="6CF01775"/>
    <w:rsid w:val="6CF94B50"/>
    <w:rsid w:val="6CFB62C0"/>
    <w:rsid w:val="6CFD7CAA"/>
    <w:rsid w:val="6D026DE8"/>
    <w:rsid w:val="6D0316B2"/>
    <w:rsid w:val="6D087337"/>
    <w:rsid w:val="6D0E1321"/>
    <w:rsid w:val="6D104BE0"/>
    <w:rsid w:val="6D132371"/>
    <w:rsid w:val="6D1338DD"/>
    <w:rsid w:val="6D153789"/>
    <w:rsid w:val="6D3B4D97"/>
    <w:rsid w:val="6D487B73"/>
    <w:rsid w:val="6D4A2408"/>
    <w:rsid w:val="6D4B1E5A"/>
    <w:rsid w:val="6D5E70E9"/>
    <w:rsid w:val="6D6729D8"/>
    <w:rsid w:val="6D6E09F2"/>
    <w:rsid w:val="6D852386"/>
    <w:rsid w:val="6DA610B2"/>
    <w:rsid w:val="6DBD67AE"/>
    <w:rsid w:val="6DCF3167"/>
    <w:rsid w:val="6DD54C21"/>
    <w:rsid w:val="6DF453C2"/>
    <w:rsid w:val="6DFC1EB9"/>
    <w:rsid w:val="6E25722B"/>
    <w:rsid w:val="6E3363CE"/>
    <w:rsid w:val="6E3C316F"/>
    <w:rsid w:val="6E453429"/>
    <w:rsid w:val="6E456275"/>
    <w:rsid w:val="6E4E36BD"/>
    <w:rsid w:val="6E6127F4"/>
    <w:rsid w:val="6E631ECC"/>
    <w:rsid w:val="6E860D5E"/>
    <w:rsid w:val="6E880670"/>
    <w:rsid w:val="6E9028F6"/>
    <w:rsid w:val="6EB7522E"/>
    <w:rsid w:val="6EC002E5"/>
    <w:rsid w:val="6EC407F2"/>
    <w:rsid w:val="6EC64ECD"/>
    <w:rsid w:val="6EC71F62"/>
    <w:rsid w:val="6ECD2CED"/>
    <w:rsid w:val="6EE1422E"/>
    <w:rsid w:val="6EE449F0"/>
    <w:rsid w:val="6EF14DB2"/>
    <w:rsid w:val="6EFA06B8"/>
    <w:rsid w:val="6F046E40"/>
    <w:rsid w:val="6F1743AC"/>
    <w:rsid w:val="6F3E2352"/>
    <w:rsid w:val="6F46088C"/>
    <w:rsid w:val="6F4656AB"/>
    <w:rsid w:val="6F5C1867"/>
    <w:rsid w:val="6F5C3F48"/>
    <w:rsid w:val="6F61462B"/>
    <w:rsid w:val="6F6D6714"/>
    <w:rsid w:val="6F8561D3"/>
    <w:rsid w:val="6F926B42"/>
    <w:rsid w:val="6F9C2017"/>
    <w:rsid w:val="6FB37BE5"/>
    <w:rsid w:val="6FC2450B"/>
    <w:rsid w:val="6FC7059A"/>
    <w:rsid w:val="6FCA64CD"/>
    <w:rsid w:val="6FE112C4"/>
    <w:rsid w:val="6FF069FB"/>
    <w:rsid w:val="6FF36A80"/>
    <w:rsid w:val="6FFB0619"/>
    <w:rsid w:val="6FFD7D02"/>
    <w:rsid w:val="70020E6A"/>
    <w:rsid w:val="701A60AC"/>
    <w:rsid w:val="702149D3"/>
    <w:rsid w:val="7021684B"/>
    <w:rsid w:val="70217D0F"/>
    <w:rsid w:val="7045295A"/>
    <w:rsid w:val="7047527A"/>
    <w:rsid w:val="704E0CBB"/>
    <w:rsid w:val="7056241A"/>
    <w:rsid w:val="707B2CB1"/>
    <w:rsid w:val="70924B19"/>
    <w:rsid w:val="70952588"/>
    <w:rsid w:val="70A34833"/>
    <w:rsid w:val="70B75478"/>
    <w:rsid w:val="70BA7DE6"/>
    <w:rsid w:val="70BF74C3"/>
    <w:rsid w:val="70D56048"/>
    <w:rsid w:val="70DA3248"/>
    <w:rsid w:val="71027F8C"/>
    <w:rsid w:val="712A4901"/>
    <w:rsid w:val="71391F94"/>
    <w:rsid w:val="7148395C"/>
    <w:rsid w:val="715D7335"/>
    <w:rsid w:val="717159EA"/>
    <w:rsid w:val="71777F8A"/>
    <w:rsid w:val="719340CC"/>
    <w:rsid w:val="71946BA2"/>
    <w:rsid w:val="71A412EF"/>
    <w:rsid w:val="71B106B0"/>
    <w:rsid w:val="71B61A42"/>
    <w:rsid w:val="71BB267E"/>
    <w:rsid w:val="71BE59CD"/>
    <w:rsid w:val="71C32243"/>
    <w:rsid w:val="71D94178"/>
    <w:rsid w:val="71E258E0"/>
    <w:rsid w:val="71E450CA"/>
    <w:rsid w:val="71EA7F5E"/>
    <w:rsid w:val="71EE0EE5"/>
    <w:rsid w:val="71F773F9"/>
    <w:rsid w:val="71FB452B"/>
    <w:rsid w:val="72025ED5"/>
    <w:rsid w:val="720A7322"/>
    <w:rsid w:val="72137E38"/>
    <w:rsid w:val="721E571E"/>
    <w:rsid w:val="721F7D69"/>
    <w:rsid w:val="7225336C"/>
    <w:rsid w:val="722E3E35"/>
    <w:rsid w:val="724A7260"/>
    <w:rsid w:val="724B68D9"/>
    <w:rsid w:val="72541E8D"/>
    <w:rsid w:val="725E62FA"/>
    <w:rsid w:val="72860473"/>
    <w:rsid w:val="7299364D"/>
    <w:rsid w:val="72C16C93"/>
    <w:rsid w:val="72D66A82"/>
    <w:rsid w:val="72D67597"/>
    <w:rsid w:val="72E43D31"/>
    <w:rsid w:val="72FF6E9B"/>
    <w:rsid w:val="73027148"/>
    <w:rsid w:val="7305147C"/>
    <w:rsid w:val="731A30F8"/>
    <w:rsid w:val="733A7EE8"/>
    <w:rsid w:val="734D11ED"/>
    <w:rsid w:val="735A55D3"/>
    <w:rsid w:val="73621B80"/>
    <w:rsid w:val="7375174D"/>
    <w:rsid w:val="73795D83"/>
    <w:rsid w:val="737B6EF7"/>
    <w:rsid w:val="73850D73"/>
    <w:rsid w:val="738B56FD"/>
    <w:rsid w:val="738B5D82"/>
    <w:rsid w:val="73993FFB"/>
    <w:rsid w:val="739F2E93"/>
    <w:rsid w:val="73A60FE9"/>
    <w:rsid w:val="73B8143C"/>
    <w:rsid w:val="73C06788"/>
    <w:rsid w:val="73D813D5"/>
    <w:rsid w:val="73DB1F8F"/>
    <w:rsid w:val="73DE1B70"/>
    <w:rsid w:val="73E6120B"/>
    <w:rsid w:val="741378E4"/>
    <w:rsid w:val="74213FF1"/>
    <w:rsid w:val="743138C9"/>
    <w:rsid w:val="74497E8D"/>
    <w:rsid w:val="744F70D5"/>
    <w:rsid w:val="74542618"/>
    <w:rsid w:val="745D75D2"/>
    <w:rsid w:val="746B1062"/>
    <w:rsid w:val="74836A59"/>
    <w:rsid w:val="74890514"/>
    <w:rsid w:val="74957A1D"/>
    <w:rsid w:val="74976F8C"/>
    <w:rsid w:val="749C28D6"/>
    <w:rsid w:val="74AC2DBE"/>
    <w:rsid w:val="74B03CF2"/>
    <w:rsid w:val="74B4279D"/>
    <w:rsid w:val="74C959EF"/>
    <w:rsid w:val="74D13C69"/>
    <w:rsid w:val="74D226D8"/>
    <w:rsid w:val="74D951DD"/>
    <w:rsid w:val="74E36253"/>
    <w:rsid w:val="74F273DA"/>
    <w:rsid w:val="74F600B5"/>
    <w:rsid w:val="750C6A4F"/>
    <w:rsid w:val="75102AF5"/>
    <w:rsid w:val="751C1B98"/>
    <w:rsid w:val="752E2E69"/>
    <w:rsid w:val="753F1C14"/>
    <w:rsid w:val="75404D65"/>
    <w:rsid w:val="75410DEE"/>
    <w:rsid w:val="754B45FC"/>
    <w:rsid w:val="754C4FE3"/>
    <w:rsid w:val="75780005"/>
    <w:rsid w:val="75846F2D"/>
    <w:rsid w:val="758E56B6"/>
    <w:rsid w:val="759D26FD"/>
    <w:rsid w:val="75BA7DC9"/>
    <w:rsid w:val="75C158E1"/>
    <w:rsid w:val="75D75BBF"/>
    <w:rsid w:val="75F25C45"/>
    <w:rsid w:val="75F8173D"/>
    <w:rsid w:val="75FE15A4"/>
    <w:rsid w:val="76087EFE"/>
    <w:rsid w:val="762F3987"/>
    <w:rsid w:val="763146BA"/>
    <w:rsid w:val="76373F9F"/>
    <w:rsid w:val="763C17CD"/>
    <w:rsid w:val="7651209F"/>
    <w:rsid w:val="765A396A"/>
    <w:rsid w:val="765B5EE0"/>
    <w:rsid w:val="76625186"/>
    <w:rsid w:val="76694515"/>
    <w:rsid w:val="7671183A"/>
    <w:rsid w:val="76795A9A"/>
    <w:rsid w:val="76850BE3"/>
    <w:rsid w:val="768E7AAD"/>
    <w:rsid w:val="769D37DC"/>
    <w:rsid w:val="76AD1FDF"/>
    <w:rsid w:val="76AF483A"/>
    <w:rsid w:val="76C37C6F"/>
    <w:rsid w:val="76C61386"/>
    <w:rsid w:val="76CF1D13"/>
    <w:rsid w:val="76D56664"/>
    <w:rsid w:val="76E81AE6"/>
    <w:rsid w:val="76FC4F60"/>
    <w:rsid w:val="76FD0D45"/>
    <w:rsid w:val="77000835"/>
    <w:rsid w:val="770802F0"/>
    <w:rsid w:val="771025D4"/>
    <w:rsid w:val="77115FC5"/>
    <w:rsid w:val="77196438"/>
    <w:rsid w:val="77326AF1"/>
    <w:rsid w:val="77342D6F"/>
    <w:rsid w:val="77383B2B"/>
    <w:rsid w:val="773B467C"/>
    <w:rsid w:val="775B5775"/>
    <w:rsid w:val="775E0D1F"/>
    <w:rsid w:val="776655B0"/>
    <w:rsid w:val="77685B26"/>
    <w:rsid w:val="777B5097"/>
    <w:rsid w:val="777E55F4"/>
    <w:rsid w:val="777F79AC"/>
    <w:rsid w:val="77820DEB"/>
    <w:rsid w:val="7792671F"/>
    <w:rsid w:val="7797445D"/>
    <w:rsid w:val="77986D62"/>
    <w:rsid w:val="77A015C8"/>
    <w:rsid w:val="77A92E90"/>
    <w:rsid w:val="77B650A0"/>
    <w:rsid w:val="77BB5477"/>
    <w:rsid w:val="77CE0481"/>
    <w:rsid w:val="77E43CB3"/>
    <w:rsid w:val="77EC7456"/>
    <w:rsid w:val="77EE7D89"/>
    <w:rsid w:val="77EF0483"/>
    <w:rsid w:val="78131205"/>
    <w:rsid w:val="781911C5"/>
    <w:rsid w:val="781A279F"/>
    <w:rsid w:val="782500E0"/>
    <w:rsid w:val="782F5811"/>
    <w:rsid w:val="78384A59"/>
    <w:rsid w:val="783B343E"/>
    <w:rsid w:val="78491B75"/>
    <w:rsid w:val="784A2663"/>
    <w:rsid w:val="784A356A"/>
    <w:rsid w:val="784A43B3"/>
    <w:rsid w:val="78511348"/>
    <w:rsid w:val="785250C1"/>
    <w:rsid w:val="78564BB1"/>
    <w:rsid w:val="78581051"/>
    <w:rsid w:val="786228CD"/>
    <w:rsid w:val="786F0FB8"/>
    <w:rsid w:val="78714DF4"/>
    <w:rsid w:val="78721CEF"/>
    <w:rsid w:val="787234C6"/>
    <w:rsid w:val="78756296"/>
    <w:rsid w:val="788334CC"/>
    <w:rsid w:val="78975BF6"/>
    <w:rsid w:val="78B20233"/>
    <w:rsid w:val="78D12FAA"/>
    <w:rsid w:val="78D855C6"/>
    <w:rsid w:val="78FC0536"/>
    <w:rsid w:val="78FE7954"/>
    <w:rsid w:val="79315979"/>
    <w:rsid w:val="79424F4F"/>
    <w:rsid w:val="795831E5"/>
    <w:rsid w:val="796E7E54"/>
    <w:rsid w:val="79756315"/>
    <w:rsid w:val="79765CDA"/>
    <w:rsid w:val="798B6ADC"/>
    <w:rsid w:val="79A47621"/>
    <w:rsid w:val="79A611BC"/>
    <w:rsid w:val="79AA18D2"/>
    <w:rsid w:val="79AB6836"/>
    <w:rsid w:val="79AD5A27"/>
    <w:rsid w:val="79B24F44"/>
    <w:rsid w:val="79C56A19"/>
    <w:rsid w:val="79D957CA"/>
    <w:rsid w:val="79DA621C"/>
    <w:rsid w:val="79ED729C"/>
    <w:rsid w:val="7A0A78E3"/>
    <w:rsid w:val="7A2465E9"/>
    <w:rsid w:val="7A364577"/>
    <w:rsid w:val="7A370E93"/>
    <w:rsid w:val="7A54735F"/>
    <w:rsid w:val="7A5A319C"/>
    <w:rsid w:val="7A5B64AE"/>
    <w:rsid w:val="7A5C5D83"/>
    <w:rsid w:val="7A681FA7"/>
    <w:rsid w:val="7A6963D8"/>
    <w:rsid w:val="7A782F9B"/>
    <w:rsid w:val="7A8D6E37"/>
    <w:rsid w:val="7AA21823"/>
    <w:rsid w:val="7AA7070E"/>
    <w:rsid w:val="7AA900DE"/>
    <w:rsid w:val="7AA936C9"/>
    <w:rsid w:val="7AB12D4C"/>
    <w:rsid w:val="7AD37F76"/>
    <w:rsid w:val="7AF32BF3"/>
    <w:rsid w:val="7AF771AA"/>
    <w:rsid w:val="7B063D79"/>
    <w:rsid w:val="7B095F0A"/>
    <w:rsid w:val="7B116B6D"/>
    <w:rsid w:val="7B190BA4"/>
    <w:rsid w:val="7B334D35"/>
    <w:rsid w:val="7B36137C"/>
    <w:rsid w:val="7B3A2568"/>
    <w:rsid w:val="7B51165F"/>
    <w:rsid w:val="7B6F5B5B"/>
    <w:rsid w:val="7B7415FA"/>
    <w:rsid w:val="7B765886"/>
    <w:rsid w:val="7B7C4D25"/>
    <w:rsid w:val="7B893C25"/>
    <w:rsid w:val="7B8B5C40"/>
    <w:rsid w:val="7B90640C"/>
    <w:rsid w:val="7B922E29"/>
    <w:rsid w:val="7BA15C44"/>
    <w:rsid w:val="7BAB0D70"/>
    <w:rsid w:val="7BBC11CF"/>
    <w:rsid w:val="7BBF79A8"/>
    <w:rsid w:val="7BC24F1F"/>
    <w:rsid w:val="7BE129E3"/>
    <w:rsid w:val="7BE23EB3"/>
    <w:rsid w:val="7BE91898"/>
    <w:rsid w:val="7BF72207"/>
    <w:rsid w:val="7C101909"/>
    <w:rsid w:val="7C161B08"/>
    <w:rsid w:val="7C3A2FA7"/>
    <w:rsid w:val="7C541407"/>
    <w:rsid w:val="7C5840BF"/>
    <w:rsid w:val="7C6D071B"/>
    <w:rsid w:val="7C84107F"/>
    <w:rsid w:val="7C9909ED"/>
    <w:rsid w:val="7C9C2291"/>
    <w:rsid w:val="7CA46921"/>
    <w:rsid w:val="7CA56991"/>
    <w:rsid w:val="7CA71E0B"/>
    <w:rsid w:val="7CB85E09"/>
    <w:rsid w:val="7CFE3A42"/>
    <w:rsid w:val="7CFF1519"/>
    <w:rsid w:val="7D013878"/>
    <w:rsid w:val="7D0F508E"/>
    <w:rsid w:val="7D17450A"/>
    <w:rsid w:val="7D1943FF"/>
    <w:rsid w:val="7D2557AC"/>
    <w:rsid w:val="7D3F099E"/>
    <w:rsid w:val="7D4B01E2"/>
    <w:rsid w:val="7D533A52"/>
    <w:rsid w:val="7D5B43D0"/>
    <w:rsid w:val="7D6243C6"/>
    <w:rsid w:val="7D76523E"/>
    <w:rsid w:val="7D781E69"/>
    <w:rsid w:val="7D7B5075"/>
    <w:rsid w:val="7D832173"/>
    <w:rsid w:val="7D8A3C14"/>
    <w:rsid w:val="7D8C5B06"/>
    <w:rsid w:val="7D934401"/>
    <w:rsid w:val="7D953960"/>
    <w:rsid w:val="7D961406"/>
    <w:rsid w:val="7DA56991"/>
    <w:rsid w:val="7DA623C2"/>
    <w:rsid w:val="7DA737B9"/>
    <w:rsid w:val="7DB639FC"/>
    <w:rsid w:val="7DD32800"/>
    <w:rsid w:val="7DFF0E02"/>
    <w:rsid w:val="7DFF7AEE"/>
    <w:rsid w:val="7E070C8C"/>
    <w:rsid w:val="7E0800A0"/>
    <w:rsid w:val="7E0C521E"/>
    <w:rsid w:val="7E0E7E19"/>
    <w:rsid w:val="7E1840CC"/>
    <w:rsid w:val="7E1964D0"/>
    <w:rsid w:val="7E303249"/>
    <w:rsid w:val="7E525E1A"/>
    <w:rsid w:val="7E555123"/>
    <w:rsid w:val="7E557656"/>
    <w:rsid w:val="7E7538B7"/>
    <w:rsid w:val="7E841CD2"/>
    <w:rsid w:val="7E844BCE"/>
    <w:rsid w:val="7E8D660B"/>
    <w:rsid w:val="7E9433D2"/>
    <w:rsid w:val="7E992085"/>
    <w:rsid w:val="7EB47F46"/>
    <w:rsid w:val="7EB94600"/>
    <w:rsid w:val="7ECF7C45"/>
    <w:rsid w:val="7ED82860"/>
    <w:rsid w:val="7EF45DB1"/>
    <w:rsid w:val="7EFD2358"/>
    <w:rsid w:val="7EFF5324"/>
    <w:rsid w:val="7F03165A"/>
    <w:rsid w:val="7F077A20"/>
    <w:rsid w:val="7F077BC2"/>
    <w:rsid w:val="7F09267A"/>
    <w:rsid w:val="7F2B23E6"/>
    <w:rsid w:val="7F2B4123"/>
    <w:rsid w:val="7F3426C9"/>
    <w:rsid w:val="7F3E0944"/>
    <w:rsid w:val="7F3E5DC7"/>
    <w:rsid w:val="7F5C2ED4"/>
    <w:rsid w:val="7F5E061E"/>
    <w:rsid w:val="7F643B5C"/>
    <w:rsid w:val="7F8A3D01"/>
    <w:rsid w:val="7F8B6823"/>
    <w:rsid w:val="7F9B25D3"/>
    <w:rsid w:val="7F9C4EBD"/>
    <w:rsid w:val="7FAD310E"/>
    <w:rsid w:val="7FCD6742"/>
    <w:rsid w:val="7FE44850"/>
    <w:rsid w:val="7FE546A7"/>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0"/>
    <w:qFormat/>
    <w:uiPriority w:val="0"/>
    <w:pPr>
      <w:keepNext/>
      <w:keepLines/>
      <w:spacing w:line="440" w:lineRule="exact"/>
      <w:jc w:val="center"/>
      <w:outlineLvl w:val="0"/>
    </w:pPr>
    <w:rPr>
      <w:b/>
      <w:bCs/>
      <w:kern w:val="44"/>
      <w:sz w:val="44"/>
      <w:szCs w:val="44"/>
    </w:rPr>
  </w:style>
  <w:style w:type="paragraph" w:styleId="3">
    <w:name w:val="heading 2"/>
    <w:basedOn w:val="1"/>
    <w:next w:val="1"/>
    <w:link w:val="197"/>
    <w:qFormat/>
    <w:uiPriority w:val="0"/>
    <w:pPr>
      <w:keepNext/>
      <w:keepLines/>
      <w:spacing w:line="440" w:lineRule="exact"/>
      <w:jc w:val="left"/>
      <w:outlineLvl w:val="1"/>
    </w:pPr>
    <w:rPr>
      <w:rFonts w:ascii="Arial" w:hAnsi="Arial" w:eastAsia="黑体"/>
      <w:b/>
      <w:bCs/>
      <w:szCs w:val="32"/>
    </w:rPr>
  </w:style>
  <w:style w:type="paragraph" w:styleId="4">
    <w:name w:val="heading 3"/>
    <w:basedOn w:val="1"/>
    <w:next w:val="1"/>
    <w:link w:val="153"/>
    <w:qFormat/>
    <w:uiPriority w:val="0"/>
    <w:pPr>
      <w:keepNext/>
      <w:keepLines/>
      <w:spacing w:line="415" w:lineRule="auto"/>
      <w:outlineLvl w:val="2"/>
    </w:pPr>
    <w:rPr>
      <w:b/>
      <w:bCs/>
      <w:kern w:val="0"/>
      <w:sz w:val="32"/>
      <w:szCs w:val="32"/>
    </w:rPr>
  </w:style>
  <w:style w:type="paragraph" w:styleId="5">
    <w:name w:val="heading 4"/>
    <w:basedOn w:val="1"/>
    <w:next w:val="1"/>
    <w:qFormat/>
    <w:uiPriority w:val="0"/>
    <w:pPr>
      <w:keepNext/>
      <w:keepLines/>
      <w:spacing w:line="374" w:lineRule="auto"/>
      <w:outlineLvl w:val="3"/>
    </w:pPr>
    <w:rPr>
      <w:rFonts w:ascii="Arial" w:hAnsi="Arial" w:eastAsia="黑体"/>
      <w:b/>
      <w:bCs/>
      <w:sz w:val="28"/>
      <w:szCs w:val="28"/>
    </w:rPr>
  </w:style>
  <w:style w:type="paragraph" w:styleId="6">
    <w:name w:val="heading 5"/>
    <w:basedOn w:val="1"/>
    <w:next w:val="1"/>
    <w:link w:val="129"/>
    <w:qFormat/>
    <w:uiPriority w:val="0"/>
    <w:pPr>
      <w:keepNext/>
      <w:keepLines/>
      <w:spacing w:line="376" w:lineRule="auto"/>
      <w:outlineLvl w:val="4"/>
    </w:pPr>
    <w:rPr>
      <w:b/>
      <w:bCs/>
      <w:sz w:val="28"/>
      <w:szCs w:val="28"/>
    </w:rPr>
  </w:style>
  <w:style w:type="paragraph" w:styleId="7">
    <w:name w:val="heading 6"/>
    <w:basedOn w:val="1"/>
    <w:next w:val="1"/>
    <w:qFormat/>
    <w:uiPriority w:val="0"/>
    <w:pPr>
      <w:keepNext/>
      <w:keepLines/>
      <w:widowControl/>
      <w:tabs>
        <w:tab w:val="left" w:pos="1440"/>
      </w:tabs>
      <w:spacing w:line="319" w:lineRule="auto"/>
      <w:ind w:left="1152" w:hanging="1152"/>
      <w:jc w:val="left"/>
      <w:outlineLvl w:val="5"/>
    </w:pPr>
    <w:rPr>
      <w:rFonts w:ascii="Arial" w:hAnsi="Arial" w:eastAsia="黑体"/>
      <w:b/>
      <w:bCs/>
      <w:kern w:val="0"/>
      <w:sz w:val="24"/>
    </w:rPr>
  </w:style>
  <w:style w:type="paragraph" w:styleId="8">
    <w:name w:val="heading 7"/>
    <w:basedOn w:val="1"/>
    <w:next w:val="1"/>
    <w:qFormat/>
    <w:uiPriority w:val="0"/>
    <w:pPr>
      <w:keepNext/>
      <w:keepLines/>
      <w:widowControl/>
      <w:tabs>
        <w:tab w:val="left" w:pos="2520"/>
      </w:tabs>
      <w:spacing w:line="319" w:lineRule="auto"/>
      <w:ind w:left="1296" w:hanging="1296"/>
      <w:jc w:val="left"/>
      <w:outlineLvl w:val="6"/>
    </w:pPr>
    <w:rPr>
      <w:b/>
      <w:bCs/>
      <w:kern w:val="0"/>
      <w:sz w:val="24"/>
    </w:rPr>
  </w:style>
  <w:style w:type="paragraph" w:styleId="9">
    <w:name w:val="heading 8"/>
    <w:basedOn w:val="1"/>
    <w:next w:val="1"/>
    <w:qFormat/>
    <w:uiPriority w:val="0"/>
    <w:pPr>
      <w:keepNext/>
      <w:keepLines/>
      <w:widowControl/>
      <w:tabs>
        <w:tab w:val="left" w:pos="1440"/>
      </w:tabs>
      <w:spacing w:line="319" w:lineRule="auto"/>
      <w:ind w:left="1440" w:hanging="1440"/>
      <w:jc w:val="left"/>
      <w:outlineLvl w:val="7"/>
    </w:pPr>
    <w:rPr>
      <w:rFonts w:ascii="Arial" w:hAnsi="Arial" w:eastAsia="黑体"/>
      <w:kern w:val="0"/>
      <w:sz w:val="24"/>
    </w:rPr>
  </w:style>
  <w:style w:type="paragraph" w:styleId="10">
    <w:name w:val="heading 9"/>
    <w:basedOn w:val="1"/>
    <w:next w:val="1"/>
    <w:qFormat/>
    <w:uiPriority w:val="0"/>
    <w:pPr>
      <w:keepNext/>
      <w:keepLines/>
      <w:widowControl/>
      <w:tabs>
        <w:tab w:val="left" w:pos="1584"/>
      </w:tabs>
      <w:spacing w:line="319" w:lineRule="auto"/>
      <w:ind w:left="1584" w:hanging="1584"/>
      <w:jc w:val="left"/>
      <w:outlineLvl w:val="8"/>
    </w:pPr>
    <w:rPr>
      <w:rFonts w:ascii="Arial" w:hAnsi="Arial" w:eastAsia="黑体"/>
      <w:kern w:val="0"/>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60"/>
      <w:jc w:val="left"/>
    </w:pPr>
    <w:rPr>
      <w:sz w:val="18"/>
      <w:szCs w:val="18"/>
    </w:rPr>
  </w:style>
  <w:style w:type="paragraph" w:styleId="12">
    <w:name w:val="table of authorities"/>
    <w:basedOn w:val="1"/>
    <w:next w:val="1"/>
    <w:unhideWhenUsed/>
    <w:qFormat/>
    <w:uiPriority w:val="0"/>
    <w:pPr>
      <w:ind w:left="420" w:leftChars="200"/>
    </w:pPr>
  </w:style>
  <w:style w:type="paragraph" w:styleId="13">
    <w:name w:val="Normal Indent"/>
    <w:basedOn w:val="1"/>
    <w:next w:val="14"/>
    <w:qFormat/>
    <w:uiPriority w:val="0"/>
    <w:pPr>
      <w:ind w:firstLine="420" w:firstLineChars="200"/>
    </w:pPr>
  </w:style>
  <w:style w:type="paragraph" w:styleId="14">
    <w:name w:val="Body Text First Indent 2"/>
    <w:basedOn w:val="15"/>
    <w:next w:val="1"/>
    <w:qFormat/>
    <w:uiPriority w:val="0"/>
    <w:pPr>
      <w:spacing w:line="360" w:lineRule="auto"/>
      <w:ind w:firstLine="200" w:firstLineChars="200"/>
    </w:pPr>
    <w:rPr>
      <w:rFonts w:ascii="宋体"/>
      <w:szCs w:val="20"/>
    </w:rPr>
  </w:style>
  <w:style w:type="paragraph" w:styleId="15">
    <w:name w:val="Body Text Indent"/>
    <w:basedOn w:val="1"/>
    <w:next w:val="16"/>
    <w:qFormat/>
    <w:uiPriority w:val="0"/>
    <w:pPr>
      <w:ind w:left="420" w:leftChars="200"/>
    </w:pPr>
  </w:style>
  <w:style w:type="paragraph" w:styleId="16">
    <w:name w:val="envelope return"/>
    <w:basedOn w:val="1"/>
    <w:next w:val="11"/>
    <w:qFormat/>
    <w:uiPriority w:val="0"/>
    <w:pPr>
      <w:snapToGrid w:val="0"/>
    </w:pPr>
    <w:rPr>
      <w:rFonts w:ascii="Arial" w:hAnsi="Arial"/>
    </w:rPr>
  </w:style>
  <w:style w:type="paragraph" w:styleId="17">
    <w:name w:val="Document Map"/>
    <w:basedOn w:val="1"/>
    <w:qFormat/>
    <w:uiPriority w:val="0"/>
    <w:pPr>
      <w:shd w:val="clear" w:color="auto" w:fill="000080"/>
    </w:pPr>
  </w:style>
  <w:style w:type="paragraph" w:styleId="18">
    <w:name w:val="annotation text"/>
    <w:basedOn w:val="1"/>
    <w:link w:val="112"/>
    <w:qFormat/>
    <w:uiPriority w:val="0"/>
    <w:pPr>
      <w:jc w:val="left"/>
    </w:pPr>
  </w:style>
  <w:style w:type="paragraph" w:styleId="19">
    <w:name w:val="Body Text 3"/>
    <w:basedOn w:val="1"/>
    <w:qFormat/>
    <w:uiPriority w:val="0"/>
    <w:rPr>
      <w:rFonts w:ascii="宋体"/>
      <w:sz w:val="24"/>
      <w:szCs w:val="20"/>
    </w:rPr>
  </w:style>
  <w:style w:type="paragraph" w:styleId="20">
    <w:name w:val="Body Text"/>
    <w:basedOn w:val="1"/>
    <w:link w:val="142"/>
    <w:qFormat/>
    <w:uiPriority w:val="0"/>
  </w:style>
  <w:style w:type="paragraph" w:styleId="21">
    <w:name w:val="Block Text"/>
    <w:basedOn w:val="1"/>
    <w:qFormat/>
    <w:uiPriority w:val="0"/>
    <w:pPr>
      <w:spacing w:line="400" w:lineRule="exact"/>
      <w:ind w:left="-359" w:leftChars="-171" w:right="31" w:rightChars="15" w:firstLine="980" w:firstLineChars="350"/>
    </w:pPr>
    <w:rPr>
      <w:rFonts w:ascii="宋体" w:hAnsi="宋体"/>
      <w:sz w:val="28"/>
      <w:szCs w:val="32"/>
    </w:rPr>
  </w:style>
  <w:style w:type="paragraph" w:styleId="22">
    <w:name w:val="toc 5"/>
    <w:basedOn w:val="1"/>
    <w:next w:val="1"/>
    <w:qFormat/>
    <w:uiPriority w:val="39"/>
    <w:pPr>
      <w:ind w:left="840"/>
      <w:jc w:val="left"/>
    </w:pPr>
    <w:rPr>
      <w:sz w:val="18"/>
      <w:szCs w:val="18"/>
    </w:rPr>
  </w:style>
  <w:style w:type="paragraph" w:styleId="23">
    <w:name w:val="toc 3"/>
    <w:basedOn w:val="1"/>
    <w:next w:val="1"/>
    <w:qFormat/>
    <w:uiPriority w:val="39"/>
    <w:pPr>
      <w:ind w:left="420"/>
      <w:jc w:val="left"/>
    </w:pPr>
    <w:rPr>
      <w:i/>
      <w:iCs/>
      <w:sz w:val="20"/>
      <w:szCs w:val="20"/>
    </w:rPr>
  </w:style>
  <w:style w:type="paragraph" w:styleId="24">
    <w:name w:val="Plain Text"/>
    <w:basedOn w:val="1"/>
    <w:next w:val="1"/>
    <w:link w:val="136"/>
    <w:qFormat/>
    <w:uiPriority w:val="0"/>
    <w:rPr>
      <w:rFonts w:ascii="Courier New" w:hAnsi="Courier New"/>
      <w:szCs w:val="20"/>
    </w:rPr>
  </w:style>
  <w:style w:type="paragraph" w:styleId="25">
    <w:name w:val="toc 8"/>
    <w:basedOn w:val="1"/>
    <w:next w:val="1"/>
    <w:qFormat/>
    <w:uiPriority w:val="39"/>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line="360" w:lineRule="exact"/>
      <w:ind w:firstLine="600" w:firstLineChars="250"/>
      <w:jc w:val="left"/>
    </w:pPr>
    <w:rPr>
      <w:sz w:val="24"/>
    </w:rPr>
  </w:style>
  <w:style w:type="paragraph" w:styleId="28">
    <w:name w:val="Balloon Text"/>
    <w:basedOn w:val="1"/>
    <w:qFormat/>
    <w:uiPriority w:val="0"/>
    <w:rPr>
      <w:sz w:val="18"/>
      <w:szCs w:val="18"/>
    </w:rPr>
  </w:style>
  <w:style w:type="paragraph" w:styleId="29">
    <w:name w:val="footer"/>
    <w:basedOn w:val="1"/>
    <w:qFormat/>
    <w:uiPriority w:val="0"/>
    <w:pPr>
      <w:tabs>
        <w:tab w:val="center" w:pos="4153"/>
        <w:tab w:val="right" w:pos="8306"/>
      </w:tabs>
      <w:snapToGrid w:val="0"/>
      <w:jc w:val="left"/>
    </w:pPr>
    <w:rPr>
      <w:sz w:val="18"/>
      <w:szCs w:val="18"/>
    </w:rPr>
  </w:style>
  <w:style w:type="paragraph" w:styleId="3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jc w:val="left"/>
    </w:pPr>
    <w:rPr>
      <w:b/>
      <w:bCs/>
      <w:caps/>
      <w:sz w:val="20"/>
      <w:szCs w:val="20"/>
    </w:rPr>
  </w:style>
  <w:style w:type="paragraph" w:styleId="32">
    <w:name w:val="toc 4"/>
    <w:basedOn w:val="1"/>
    <w:next w:val="1"/>
    <w:qFormat/>
    <w:uiPriority w:val="39"/>
    <w:pPr>
      <w:ind w:left="630"/>
      <w:jc w:val="left"/>
    </w:pPr>
    <w:rPr>
      <w:sz w:val="18"/>
      <w:szCs w:val="18"/>
    </w:rPr>
  </w:style>
  <w:style w:type="paragraph" w:styleId="33">
    <w:name w:val="List"/>
    <w:basedOn w:val="1"/>
    <w:qFormat/>
    <w:uiPriority w:val="0"/>
    <w:pPr>
      <w:ind w:left="420" w:hanging="420"/>
    </w:pPr>
  </w:style>
  <w:style w:type="paragraph" w:styleId="34">
    <w:name w:val="footnote text"/>
    <w:basedOn w:val="1"/>
    <w:qFormat/>
    <w:uiPriority w:val="0"/>
    <w:rPr>
      <w:sz w:val="20"/>
      <w:szCs w:val="20"/>
    </w:rPr>
  </w:style>
  <w:style w:type="paragraph" w:styleId="35">
    <w:name w:val="toc 6"/>
    <w:basedOn w:val="1"/>
    <w:next w:val="1"/>
    <w:qFormat/>
    <w:uiPriority w:val="39"/>
    <w:pPr>
      <w:ind w:left="1050"/>
      <w:jc w:val="left"/>
    </w:pPr>
    <w:rPr>
      <w:sz w:val="18"/>
      <w:szCs w:val="18"/>
    </w:rPr>
  </w:style>
  <w:style w:type="paragraph" w:styleId="36">
    <w:name w:val="Body Text Indent 3"/>
    <w:basedOn w:val="1"/>
    <w:qFormat/>
    <w:uiPriority w:val="0"/>
    <w:pPr>
      <w:ind w:left="420" w:leftChars="200"/>
    </w:pPr>
    <w:rPr>
      <w:sz w:val="16"/>
      <w:szCs w:val="16"/>
    </w:rPr>
  </w:style>
  <w:style w:type="paragraph" w:styleId="37">
    <w:name w:val="table of figures"/>
    <w:basedOn w:val="1"/>
    <w:next w:val="1"/>
    <w:qFormat/>
    <w:uiPriority w:val="0"/>
    <w:pPr>
      <w:ind w:left="200" w:leftChars="200" w:hanging="200" w:hangingChars="200"/>
    </w:pPr>
  </w:style>
  <w:style w:type="paragraph" w:styleId="38">
    <w:name w:val="toc 2"/>
    <w:basedOn w:val="1"/>
    <w:next w:val="1"/>
    <w:qFormat/>
    <w:uiPriority w:val="39"/>
    <w:pPr>
      <w:ind w:left="210"/>
      <w:jc w:val="left"/>
    </w:pPr>
    <w:rPr>
      <w:smallCaps/>
      <w:sz w:val="20"/>
      <w:szCs w:val="20"/>
    </w:rPr>
  </w:style>
  <w:style w:type="paragraph" w:styleId="39">
    <w:name w:val="toc 9"/>
    <w:basedOn w:val="1"/>
    <w:next w:val="1"/>
    <w:qFormat/>
    <w:uiPriority w:val="39"/>
    <w:pPr>
      <w:ind w:left="1680"/>
      <w:jc w:val="left"/>
    </w:pPr>
    <w:rPr>
      <w:sz w:val="18"/>
      <w:szCs w:val="18"/>
    </w:rPr>
  </w:style>
  <w:style w:type="paragraph" w:styleId="40">
    <w:name w:val="Body Text 2"/>
    <w:basedOn w:val="1"/>
    <w:qFormat/>
    <w:uiPriority w:val="0"/>
    <w:pPr>
      <w:spacing w:line="440" w:lineRule="exact"/>
    </w:pPr>
    <w:rPr>
      <w:sz w:val="28"/>
    </w:rPr>
  </w:style>
  <w:style w:type="paragraph" w:styleId="41">
    <w:name w:val="HTML Preformatted"/>
    <w:basedOn w:val="1"/>
    <w:link w:val="11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2">
    <w:name w:val="Normal (Web)"/>
    <w:basedOn w:val="1"/>
    <w:next w:val="43"/>
    <w:qFormat/>
    <w:uiPriority w:val="99"/>
    <w:pPr>
      <w:widowControl/>
      <w:spacing w:beforeAutospacing="1" w:afterAutospacing="1"/>
      <w:jc w:val="left"/>
    </w:pPr>
    <w:rPr>
      <w:rFonts w:ascii="宋体" w:hAnsi="宋体" w:cs="宋体"/>
      <w:kern w:val="0"/>
      <w:sz w:val="24"/>
    </w:rPr>
  </w:style>
  <w:style w:type="paragraph" w:customStyle="1" w:styleId="43">
    <w:name w:val="正文文字 8"/>
    <w:basedOn w:val="1"/>
    <w:next w:val="1"/>
    <w:qFormat/>
    <w:uiPriority w:val="0"/>
    <w:pPr>
      <w:ind w:left="240"/>
    </w:pPr>
    <w:rPr>
      <w:sz w:val="16"/>
    </w:rPr>
  </w:style>
  <w:style w:type="paragraph" w:styleId="44">
    <w:name w:val="Title"/>
    <w:basedOn w:val="1"/>
    <w:qFormat/>
    <w:uiPriority w:val="0"/>
    <w:pPr>
      <w:adjustRightInd w:val="0"/>
      <w:spacing w:line="420" w:lineRule="atLeast"/>
      <w:jc w:val="center"/>
      <w:textAlignment w:val="baseline"/>
      <w:outlineLvl w:val="0"/>
    </w:pPr>
    <w:rPr>
      <w:rFonts w:ascii="Arial" w:hAnsi="Arial"/>
      <w:b/>
      <w:kern w:val="0"/>
      <w:sz w:val="32"/>
      <w:szCs w:val="20"/>
    </w:rPr>
  </w:style>
  <w:style w:type="paragraph" w:styleId="45">
    <w:name w:val="annotation subject"/>
    <w:basedOn w:val="18"/>
    <w:next w:val="18"/>
    <w:qFormat/>
    <w:uiPriority w:val="0"/>
    <w:rPr>
      <w:b/>
      <w:bCs/>
    </w:rPr>
  </w:style>
  <w:style w:type="paragraph" w:styleId="46">
    <w:name w:val="Body Text First Indent"/>
    <w:basedOn w:val="20"/>
    <w:qFormat/>
    <w:uiPriority w:val="0"/>
    <w:pPr>
      <w:ind w:firstLine="420" w:firstLineChars="100"/>
    </w:pPr>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basedOn w:val="49"/>
    <w:qFormat/>
    <w:uiPriority w:val="0"/>
    <w:rPr>
      <w:b/>
      <w:bCs/>
    </w:rPr>
  </w:style>
  <w:style w:type="character" w:styleId="51">
    <w:name w:val="page number"/>
    <w:basedOn w:val="49"/>
    <w:qFormat/>
    <w:uiPriority w:val="0"/>
  </w:style>
  <w:style w:type="character" w:styleId="52">
    <w:name w:val="FollowedHyperlink"/>
    <w:qFormat/>
    <w:uiPriority w:val="0"/>
    <w:rPr>
      <w:color w:val="333333"/>
      <w:u w:val="none"/>
    </w:rPr>
  </w:style>
  <w:style w:type="character" w:styleId="53">
    <w:name w:val="Emphasis"/>
    <w:qFormat/>
    <w:uiPriority w:val="0"/>
    <w:rPr>
      <w:color w:val="CC0033"/>
    </w:rPr>
  </w:style>
  <w:style w:type="character" w:styleId="54">
    <w:name w:val="HTML Definition"/>
    <w:qFormat/>
    <w:uiPriority w:val="0"/>
  </w:style>
  <w:style w:type="character" w:styleId="55">
    <w:name w:val="HTML Typewriter"/>
    <w:qFormat/>
    <w:uiPriority w:val="0"/>
    <w:rPr>
      <w:rFonts w:hint="default" w:ascii="monospace" w:hAnsi="monospace" w:eastAsia="monospace" w:cs="monospace"/>
      <w:sz w:val="20"/>
    </w:rPr>
  </w:style>
  <w:style w:type="character" w:styleId="56">
    <w:name w:val="HTML Acronym"/>
    <w:basedOn w:val="49"/>
    <w:qFormat/>
    <w:uiPriority w:val="0"/>
    <w:rPr>
      <w:bdr w:val="single" w:color="D6D6D6" w:sz="2" w:space="0"/>
      <w:shd w:val="clear" w:fill="F9F9F9"/>
    </w:rPr>
  </w:style>
  <w:style w:type="character" w:styleId="57">
    <w:name w:val="HTML Variable"/>
    <w:qFormat/>
    <w:uiPriority w:val="0"/>
  </w:style>
  <w:style w:type="character" w:styleId="58">
    <w:name w:val="Hyperlink"/>
    <w:basedOn w:val="49"/>
    <w:qFormat/>
    <w:uiPriority w:val="99"/>
    <w:rPr>
      <w:color w:val="333333"/>
      <w:u w:val="none"/>
    </w:rPr>
  </w:style>
  <w:style w:type="character" w:styleId="59">
    <w:name w:val="HTML Code"/>
    <w:qFormat/>
    <w:uiPriority w:val="0"/>
    <w:rPr>
      <w:rFonts w:hint="default" w:ascii="monospace" w:hAnsi="monospace" w:eastAsia="monospace" w:cs="monospace"/>
      <w:sz w:val="20"/>
    </w:rPr>
  </w:style>
  <w:style w:type="character" w:styleId="60">
    <w:name w:val="annotation reference"/>
    <w:qFormat/>
    <w:uiPriority w:val="0"/>
    <w:rPr>
      <w:sz w:val="21"/>
      <w:szCs w:val="21"/>
    </w:rPr>
  </w:style>
  <w:style w:type="character" w:styleId="61">
    <w:name w:val="HTML Cite"/>
    <w:qFormat/>
    <w:uiPriority w:val="0"/>
  </w:style>
  <w:style w:type="character" w:styleId="62">
    <w:name w:val="footnote reference"/>
    <w:qFormat/>
    <w:uiPriority w:val="0"/>
    <w:rPr>
      <w:vertAlign w:val="superscript"/>
    </w:rPr>
  </w:style>
  <w:style w:type="character" w:styleId="63">
    <w:name w:val="HTML Keyboard"/>
    <w:qFormat/>
    <w:uiPriority w:val="0"/>
    <w:rPr>
      <w:rFonts w:ascii="monospace" w:hAnsi="monospace" w:eastAsia="monospace" w:cs="monospace"/>
      <w:sz w:val="20"/>
    </w:rPr>
  </w:style>
  <w:style w:type="character" w:styleId="64">
    <w:name w:val="HTML Sample"/>
    <w:qFormat/>
    <w:uiPriority w:val="0"/>
    <w:rPr>
      <w:rFonts w:hint="default" w:ascii="monospace" w:hAnsi="monospace" w:eastAsia="monospace" w:cs="monospace"/>
    </w:rPr>
  </w:style>
  <w:style w:type="paragraph" w:styleId="65">
    <w:name w:val="List Paragraph"/>
    <w:basedOn w:val="1"/>
    <w:qFormat/>
    <w:uiPriority w:val="34"/>
    <w:pPr>
      <w:ind w:firstLine="420" w:firstLineChars="200"/>
    </w:pPr>
  </w:style>
  <w:style w:type="paragraph" w:customStyle="1" w:styleId="66">
    <w:name w:val="_Style 62"/>
    <w:basedOn w:val="1"/>
    <w:next w:val="1"/>
    <w:qFormat/>
    <w:uiPriority w:val="0"/>
    <w:pPr>
      <w:pBdr>
        <w:top w:val="single" w:color="auto" w:sz="6" w:space="1"/>
      </w:pBdr>
      <w:jc w:val="center"/>
    </w:pPr>
    <w:rPr>
      <w:rFonts w:ascii="Arial"/>
      <w:vanish/>
      <w:sz w:val="16"/>
    </w:rPr>
  </w:style>
  <w:style w:type="paragraph" w:customStyle="1" w:styleId="67">
    <w:name w:val="Blockquote"/>
    <w:basedOn w:val="1"/>
    <w:qFormat/>
    <w:uiPriority w:val="0"/>
    <w:pPr>
      <w:autoSpaceDE w:val="0"/>
      <w:autoSpaceDN w:val="0"/>
      <w:adjustRightInd w:val="0"/>
      <w:ind w:left="360" w:right="360"/>
      <w:jc w:val="left"/>
    </w:pPr>
    <w:rPr>
      <w:kern w:val="0"/>
      <w:sz w:val="24"/>
      <w:szCs w:val="20"/>
    </w:rPr>
  </w:style>
  <w:style w:type="paragraph" w:customStyle="1" w:styleId="68">
    <w:name w:val="表格"/>
    <w:basedOn w:val="1"/>
    <w:qFormat/>
    <w:uiPriority w:val="0"/>
    <w:pPr>
      <w:jc w:val="center"/>
      <w:textAlignment w:val="center"/>
    </w:pPr>
    <w:rPr>
      <w:rFonts w:ascii="华文细黑" w:hAnsi="华文细黑"/>
      <w:kern w:val="0"/>
      <w:szCs w:val="20"/>
    </w:rPr>
  </w:style>
  <w:style w:type="paragraph" w:customStyle="1" w:styleId="69">
    <w:name w:val="表格文字"/>
    <w:basedOn w:val="1"/>
    <w:qFormat/>
    <w:uiPriority w:val="0"/>
    <w:pPr>
      <w:adjustRightInd w:val="0"/>
      <w:spacing w:line="420" w:lineRule="atLeast"/>
      <w:jc w:val="left"/>
      <w:textAlignment w:val="baseline"/>
    </w:pPr>
    <w:rPr>
      <w:kern w:val="0"/>
      <w:szCs w:val="20"/>
    </w:rPr>
  </w:style>
  <w:style w:type="paragraph" w:customStyle="1" w:styleId="70">
    <w:name w:val="Char"/>
    <w:basedOn w:val="1"/>
    <w:next w:val="1"/>
    <w:qFormat/>
    <w:uiPriority w:val="0"/>
    <w:pPr>
      <w:widowControl/>
      <w:spacing w:line="360" w:lineRule="auto"/>
      <w:jc w:val="left"/>
    </w:pPr>
    <w:rPr>
      <w:kern w:val="0"/>
      <w:szCs w:val="20"/>
      <w:lang w:eastAsia="en-US"/>
    </w:rPr>
  </w:style>
  <w:style w:type="paragraph" w:customStyle="1" w:styleId="71">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72">
    <w:name w:val="样式2"/>
    <w:basedOn w:val="4"/>
    <w:qFormat/>
    <w:uiPriority w:val="0"/>
  </w:style>
  <w:style w:type="paragraph" w:customStyle="1" w:styleId="73">
    <w:name w:val="Default Paragraph Char Char Char Char"/>
    <w:basedOn w:val="1"/>
    <w:next w:val="1"/>
    <w:qFormat/>
    <w:uiPriority w:val="0"/>
    <w:pPr>
      <w:spacing w:line="360" w:lineRule="auto"/>
    </w:pPr>
    <w:rPr>
      <w:szCs w:val="20"/>
    </w:rPr>
  </w:style>
  <w:style w:type="paragraph" w:customStyle="1" w:styleId="74">
    <w:name w:val="节标题"/>
    <w:basedOn w:val="1"/>
    <w:next w:val="1"/>
    <w:qFormat/>
    <w:uiPriority w:val="0"/>
    <w:pPr>
      <w:widowControl/>
      <w:spacing w:line="289" w:lineRule="atLeast"/>
      <w:jc w:val="center"/>
      <w:textAlignment w:val="baseline"/>
    </w:pPr>
    <w:rPr>
      <w:color w:val="000000"/>
      <w:kern w:val="0"/>
      <w:sz w:val="28"/>
      <w:szCs w:val="20"/>
      <w:u w:color="000000"/>
    </w:rPr>
  </w:style>
  <w:style w:type="paragraph" w:customStyle="1" w:styleId="75">
    <w:name w:val="默认段落字体 Para Char Char Char Char"/>
    <w:basedOn w:val="1"/>
    <w:qFormat/>
    <w:uiPriority w:val="0"/>
  </w:style>
  <w:style w:type="paragraph" w:customStyle="1" w:styleId="76">
    <w:name w:val="样式 标题 1 + 黑体 五号"/>
    <w:basedOn w:val="2"/>
    <w:qFormat/>
    <w:uiPriority w:val="0"/>
    <w:pPr>
      <w:jc w:val="left"/>
    </w:pPr>
    <w:rPr>
      <w:rFonts w:ascii="黑体" w:hAnsi="黑体" w:eastAsia="黑体"/>
      <w:sz w:val="21"/>
    </w:rPr>
  </w:style>
  <w:style w:type="paragraph" w:customStyle="1" w:styleId="77">
    <w:name w:val="样式4"/>
    <w:basedOn w:val="4"/>
    <w:qFormat/>
    <w:uiPriority w:val="0"/>
    <w:rPr>
      <w:rFonts w:eastAsia="Arial"/>
    </w:rPr>
  </w:style>
  <w:style w:type="paragraph" w:customStyle="1" w:styleId="78">
    <w:name w:val="正文1"/>
    <w:qFormat/>
    <w:uiPriority w:val="0"/>
    <w:pPr>
      <w:widowControl w:val="0"/>
      <w:adjustRightInd w:val="0"/>
      <w:spacing w:line="312" w:lineRule="atLeast"/>
      <w:jc w:val="both"/>
      <w:textAlignment w:val="baseline"/>
    </w:pPr>
    <w:rPr>
      <w:rFonts w:ascii="宋体" w:hAnsi="Times New Roman" w:eastAsia="宋体" w:cs="宋体"/>
      <w:sz w:val="24"/>
      <w:szCs w:val="24"/>
      <w:lang w:val="en-US" w:eastAsia="zh-CN" w:bidi="ar-SA"/>
    </w:rPr>
  </w:style>
  <w:style w:type="paragraph" w:customStyle="1" w:styleId="79">
    <w:name w:val="列出段落1"/>
    <w:basedOn w:val="1"/>
    <w:qFormat/>
    <w:uiPriority w:val="0"/>
    <w:pPr>
      <w:ind w:firstLine="200" w:firstLineChars="200"/>
    </w:pPr>
  </w:style>
  <w:style w:type="paragraph" w:customStyle="1" w:styleId="80">
    <w:name w:val="p0 New"/>
    <w:basedOn w:val="1"/>
    <w:qFormat/>
    <w:uiPriority w:val="0"/>
    <w:pPr>
      <w:widowControl/>
      <w:jc w:val="left"/>
    </w:pPr>
    <w:rPr>
      <w:rFonts w:ascii="宋体" w:hAnsi="宋体" w:cs="宋体"/>
      <w:kern w:val="0"/>
      <w:sz w:val="18"/>
      <w:szCs w:val="18"/>
    </w:rPr>
  </w:style>
  <w:style w:type="paragraph" w:customStyle="1" w:styleId="81">
    <w:name w:val="样式 标题 1 + 黑体 三号 非加粗 居中 段前: 6 磅 段后: 6 磅 行距: 固定值 20 磅"/>
    <w:basedOn w:val="2"/>
    <w:qFormat/>
    <w:uiPriority w:val="0"/>
    <w:pPr>
      <w:spacing w:line="400" w:lineRule="exact"/>
    </w:pPr>
    <w:rPr>
      <w:rFonts w:ascii="黑体" w:hAnsi="黑体" w:eastAsia="黑体" w:cs="宋体"/>
      <w:b w:val="0"/>
      <w:bCs w:val="0"/>
      <w:sz w:val="32"/>
      <w:szCs w:val="20"/>
    </w:rPr>
  </w:style>
  <w:style w:type="paragraph" w:customStyle="1" w:styleId="82">
    <w:name w:val="_Style 78"/>
    <w:basedOn w:val="2"/>
    <w:next w:val="1"/>
    <w:qFormat/>
    <w:uiPriority w:val="39"/>
    <w:pPr>
      <w:widowControl/>
      <w:spacing w:before="480" w:line="276" w:lineRule="auto"/>
      <w:jc w:val="left"/>
      <w:outlineLvl w:val="9"/>
    </w:pPr>
    <w:rPr>
      <w:rFonts w:ascii="Cambria" w:hAnsi="Cambria"/>
      <w:color w:val="365F91"/>
      <w:kern w:val="0"/>
      <w:sz w:val="28"/>
      <w:szCs w:val="28"/>
    </w:rPr>
  </w:style>
  <w:style w:type="paragraph" w:customStyle="1" w:styleId="83">
    <w:name w:val="Char1"/>
    <w:basedOn w:val="1"/>
    <w:qFormat/>
    <w:uiPriority w:val="0"/>
    <w:pPr>
      <w:tabs>
        <w:tab w:val="left" w:pos="360"/>
      </w:tabs>
    </w:pPr>
    <w:rPr>
      <w:sz w:val="24"/>
    </w:rPr>
  </w:style>
  <w:style w:type="paragraph" w:customStyle="1" w:styleId="84">
    <w:name w:val="样式1"/>
    <w:basedOn w:val="4"/>
    <w:qFormat/>
    <w:uiPriority w:val="0"/>
    <w:rPr>
      <w:rFonts w:eastAsia="Arial"/>
    </w:rPr>
  </w:style>
  <w:style w:type="paragraph" w:customStyle="1" w:styleId="85">
    <w:name w:val="Char Char Char Char Char Char Char Char Char Char Char Char Char"/>
    <w:basedOn w:val="1"/>
    <w:qFormat/>
    <w:uiPriority w:val="0"/>
  </w:style>
  <w:style w:type="paragraph" w:customStyle="1" w:styleId="86">
    <w:name w:val="p"/>
    <w:basedOn w:val="1"/>
    <w:qFormat/>
    <w:uiPriority w:val="0"/>
    <w:rPr>
      <w:rFonts w:ascii="宋体"/>
      <w:sz w:val="24"/>
    </w:rPr>
  </w:style>
  <w:style w:type="paragraph" w:customStyle="1" w:styleId="87">
    <w:name w:val="Char Char Char Char"/>
    <w:basedOn w:val="1"/>
    <w:qFormat/>
    <w:uiPriority w:val="0"/>
  </w:style>
  <w:style w:type="paragraph" w:customStyle="1" w:styleId="88">
    <w:name w:val="_Style 84"/>
    <w:basedOn w:val="1"/>
    <w:next w:val="1"/>
    <w:qFormat/>
    <w:uiPriority w:val="0"/>
    <w:pPr>
      <w:pBdr>
        <w:bottom w:val="single" w:color="auto" w:sz="6" w:space="1"/>
      </w:pBdr>
      <w:jc w:val="center"/>
    </w:pPr>
    <w:rPr>
      <w:rFonts w:ascii="Arial"/>
      <w:vanish/>
      <w:sz w:val="16"/>
    </w:rPr>
  </w:style>
  <w:style w:type="paragraph" w:customStyle="1" w:styleId="89">
    <w:name w:val="1"/>
    <w:basedOn w:val="1"/>
    <w:next w:val="1"/>
    <w:qFormat/>
    <w:uiPriority w:val="0"/>
  </w:style>
  <w:style w:type="paragraph" w:customStyle="1" w:styleId="90">
    <w:name w:val="p15"/>
    <w:qFormat/>
    <w:uiPriority w:val="0"/>
    <w:pPr>
      <w:jc w:val="both"/>
    </w:pPr>
    <w:rPr>
      <w:rFonts w:ascii="宋体" w:hAnsi="Times New Roman" w:eastAsia="宋体" w:cs="宋体"/>
      <w:sz w:val="21"/>
      <w:szCs w:val="21"/>
      <w:lang w:val="en-US" w:eastAsia="zh-CN" w:bidi="ar-SA"/>
    </w:rPr>
  </w:style>
  <w:style w:type="paragraph" w:customStyle="1" w:styleId="91">
    <w:name w:val="样式 标题 2 + Times New Roman 四号 非加粗 段前: 5 磅 段后: 0 磅 行距: 固定值 20..."/>
    <w:basedOn w:val="3"/>
    <w:qFormat/>
    <w:uiPriority w:val="0"/>
    <w:pPr>
      <w:spacing w:line="400" w:lineRule="exact"/>
    </w:pPr>
    <w:rPr>
      <w:rFonts w:ascii="Times New Roman" w:hAnsi="Times New Roman" w:cs="宋体"/>
      <w:b w:val="0"/>
      <w:bCs w:val="0"/>
      <w:sz w:val="28"/>
      <w:szCs w:val="20"/>
    </w:rPr>
  </w:style>
  <w:style w:type="paragraph" w:customStyle="1" w:styleId="92">
    <w:name w:val="Table Paragraph"/>
    <w:basedOn w:val="1"/>
    <w:qFormat/>
    <w:uiPriority w:val="0"/>
    <w:pPr>
      <w:autoSpaceDE w:val="0"/>
      <w:autoSpaceDN w:val="0"/>
      <w:jc w:val="left"/>
    </w:pPr>
    <w:rPr>
      <w:rFonts w:ascii="宋体" w:hAnsi="宋体" w:cs="宋体"/>
      <w:kern w:val="0"/>
      <w:sz w:val="22"/>
      <w:szCs w:val="22"/>
      <w:lang w:val="zh-CN"/>
    </w:rPr>
  </w:style>
  <w:style w:type="paragraph" w:customStyle="1" w:styleId="93">
    <w:name w:val="p0"/>
    <w:basedOn w:val="1"/>
    <w:qFormat/>
    <w:uiPriority w:val="99"/>
    <w:pPr>
      <w:widowControl/>
    </w:pPr>
    <w:rPr>
      <w:kern w:val="0"/>
      <w:szCs w:val="21"/>
    </w:rPr>
  </w:style>
  <w:style w:type="paragraph" w:customStyle="1" w:styleId="94">
    <w:name w:val="样式3"/>
    <w:basedOn w:val="4"/>
    <w:qFormat/>
    <w:uiPriority w:val="0"/>
    <w:rPr>
      <w:rFonts w:eastAsia="Arial"/>
    </w:rPr>
  </w:style>
  <w:style w:type="paragraph" w:customStyle="1" w:styleId="95">
    <w:name w:val="样式 标题 3 + (中文) 黑体 小四 非加粗 段前: 7.8 磅 段后: 0 磅 行距: 固定值 20 磅"/>
    <w:basedOn w:val="4"/>
    <w:qFormat/>
    <w:uiPriority w:val="0"/>
    <w:pPr>
      <w:spacing w:line="400" w:lineRule="exact"/>
    </w:pPr>
    <w:rPr>
      <w:rFonts w:eastAsia="黑体" w:cs="宋体"/>
      <w:b w:val="0"/>
      <w:bCs w:val="0"/>
      <w:sz w:val="24"/>
      <w:szCs w:val="20"/>
    </w:rPr>
  </w:style>
  <w:style w:type="paragraph" w:customStyle="1" w:styleId="96">
    <w:name w:val="Char Char Char Char Char Char Char Char Char Char Char Char Char1"/>
    <w:basedOn w:val="1"/>
    <w:qFormat/>
    <w:uiPriority w:val="0"/>
  </w:style>
  <w:style w:type="paragraph" w:customStyle="1" w:styleId="97">
    <w:name w:val="Char4"/>
    <w:basedOn w:val="1"/>
    <w:qFormat/>
    <w:uiPriority w:val="0"/>
    <w:pPr>
      <w:widowControl/>
      <w:spacing w:line="360" w:lineRule="auto"/>
      <w:ind w:firstLine="200" w:firstLineChars="200"/>
      <w:textAlignment w:val="baseline"/>
    </w:pPr>
    <w:rPr>
      <w:color w:val="000000"/>
      <w:kern w:val="0"/>
      <w:szCs w:val="20"/>
      <w:u w:color="000000"/>
    </w:rPr>
  </w:style>
  <w:style w:type="paragraph" w:customStyle="1" w:styleId="98">
    <w:name w:val="正文2"/>
    <w:qFormat/>
    <w:uiPriority w:val="0"/>
    <w:pPr>
      <w:widowControl w:val="0"/>
      <w:jc w:val="both"/>
    </w:pPr>
    <w:rPr>
      <w:rFonts w:ascii="Times New Roman" w:hAnsi="Times New Roman" w:eastAsia="宋体" w:cs="Times New Roman"/>
      <w:lang w:val="en-US" w:eastAsia="zh-CN" w:bidi="ar-SA"/>
    </w:rPr>
  </w:style>
  <w:style w:type="character" w:customStyle="1" w:styleId="99">
    <w:name w:val="first-child"/>
    <w:basedOn w:val="49"/>
    <w:qFormat/>
    <w:uiPriority w:val="0"/>
  </w:style>
  <w:style w:type="character" w:customStyle="1" w:styleId="100">
    <w:name w:val="Char Char Char Char Char Char"/>
    <w:qFormat/>
    <w:uiPriority w:val="0"/>
    <w:rPr>
      <w:rFonts w:ascii="Arial" w:hAnsi="Arial" w:eastAsia="黑体"/>
      <w:b/>
      <w:bCs/>
      <w:kern w:val="2"/>
      <w:sz w:val="32"/>
      <w:szCs w:val="32"/>
      <w:lang w:val="en-US" w:eastAsia="zh-CN" w:bidi="ar-SA"/>
    </w:rPr>
  </w:style>
  <w:style w:type="character" w:customStyle="1" w:styleId="101">
    <w:name w:val="l11"/>
    <w:qFormat/>
    <w:uiPriority w:val="0"/>
    <w:rPr>
      <w:color w:val="999999"/>
    </w:rPr>
  </w:style>
  <w:style w:type="character" w:customStyle="1" w:styleId="102">
    <w:name w:val="Char Char"/>
    <w:qFormat/>
    <w:uiPriority w:val="0"/>
    <w:rPr>
      <w:rFonts w:ascii="Arial" w:hAnsi="Arial" w:eastAsia="黑体"/>
      <w:b/>
      <w:bCs/>
      <w:kern w:val="2"/>
      <w:sz w:val="32"/>
      <w:szCs w:val="32"/>
      <w:lang w:val="en-US" w:eastAsia="zh-CN" w:bidi="ar-SA"/>
    </w:rPr>
  </w:style>
  <w:style w:type="character" w:customStyle="1" w:styleId="103">
    <w:name w:val="Char Char5"/>
    <w:qFormat/>
    <w:uiPriority w:val="0"/>
    <w:rPr>
      <w:rFonts w:ascii="Arial" w:hAnsi="Arial" w:eastAsia="黑体"/>
      <w:b/>
      <w:bCs/>
      <w:kern w:val="2"/>
      <w:sz w:val="32"/>
      <w:szCs w:val="32"/>
    </w:rPr>
  </w:style>
  <w:style w:type="character" w:customStyle="1" w:styleId="104">
    <w:name w:val="msg-box28"/>
    <w:basedOn w:val="49"/>
    <w:qFormat/>
    <w:uiPriority w:val="0"/>
  </w:style>
  <w:style w:type="character" w:customStyle="1" w:styleId="105">
    <w:name w:val="img_title6"/>
    <w:qFormat/>
    <w:uiPriority w:val="0"/>
    <w:rPr>
      <w:vanish/>
    </w:rPr>
  </w:style>
  <w:style w:type="character" w:customStyle="1" w:styleId="106">
    <w:name w:val="tit12"/>
    <w:qFormat/>
    <w:uiPriority w:val="0"/>
    <w:rPr>
      <w:color w:val="04A06C"/>
    </w:rPr>
  </w:style>
  <w:style w:type="character" w:customStyle="1" w:styleId="107">
    <w:name w:val="Char Char2"/>
    <w:qFormat/>
    <w:uiPriority w:val="0"/>
    <w:rPr>
      <w:rFonts w:eastAsia="宋体"/>
      <w:kern w:val="2"/>
      <w:sz w:val="21"/>
      <w:szCs w:val="24"/>
      <w:lang w:val="en-US" w:eastAsia="zh-CN" w:bidi="ar-SA"/>
    </w:rPr>
  </w:style>
  <w:style w:type="character" w:customStyle="1" w:styleId="108">
    <w:name w:val="nostart"/>
    <w:qFormat/>
    <w:uiPriority w:val="0"/>
    <w:rPr>
      <w:color w:val="FF0000"/>
    </w:rPr>
  </w:style>
  <w:style w:type="character" w:customStyle="1" w:styleId="109">
    <w:name w:val="nostart3"/>
    <w:basedOn w:val="49"/>
    <w:qFormat/>
    <w:uiPriority w:val="0"/>
  </w:style>
  <w:style w:type="character" w:customStyle="1" w:styleId="110">
    <w:name w:val="img4"/>
    <w:basedOn w:val="49"/>
    <w:qFormat/>
    <w:uiPriority w:val="0"/>
  </w:style>
  <w:style w:type="character" w:customStyle="1" w:styleId="111">
    <w:name w:val="tit11"/>
    <w:qFormat/>
    <w:uiPriority w:val="0"/>
    <w:rPr>
      <w:color w:val="B60000"/>
    </w:rPr>
  </w:style>
  <w:style w:type="character" w:customStyle="1" w:styleId="112">
    <w:name w:val="批注文字 Char"/>
    <w:link w:val="18"/>
    <w:qFormat/>
    <w:uiPriority w:val="0"/>
    <w:rPr>
      <w:rFonts w:eastAsia="宋体"/>
      <w:kern w:val="2"/>
      <w:sz w:val="21"/>
      <w:szCs w:val="24"/>
      <w:lang w:val="en-US" w:eastAsia="zh-CN" w:bidi="ar-SA"/>
    </w:rPr>
  </w:style>
  <w:style w:type="character" w:customStyle="1" w:styleId="113">
    <w:name w:val="over"/>
    <w:qFormat/>
    <w:uiPriority w:val="0"/>
    <w:rPr>
      <w:color w:val="B60000"/>
    </w:rPr>
  </w:style>
  <w:style w:type="character" w:customStyle="1" w:styleId="114">
    <w:name w:val="HTML 预设格式 Char"/>
    <w:link w:val="41"/>
    <w:qFormat/>
    <w:uiPriority w:val="0"/>
    <w:rPr>
      <w:rFonts w:ascii="宋体" w:hAnsi="宋体" w:cs="宋体"/>
      <w:sz w:val="24"/>
      <w:szCs w:val="24"/>
    </w:rPr>
  </w:style>
  <w:style w:type="character" w:customStyle="1" w:styleId="115">
    <w:name w:val="l6"/>
    <w:qFormat/>
    <w:uiPriority w:val="0"/>
    <w:rPr>
      <w:color w:val="999999"/>
    </w:rPr>
  </w:style>
  <w:style w:type="character" w:customStyle="1" w:styleId="116">
    <w:name w:val="datetime"/>
    <w:qFormat/>
    <w:uiPriority w:val="0"/>
    <w:rPr>
      <w:rFonts w:hint="default" w:ascii="Arial" w:hAnsi="Arial" w:cs="Arial"/>
      <w:color w:val="999999"/>
      <w:sz w:val="21"/>
      <w:szCs w:val="21"/>
    </w:rPr>
  </w:style>
  <w:style w:type="character" w:customStyle="1" w:styleId="117">
    <w:name w:val="txt1"/>
    <w:basedOn w:val="49"/>
    <w:qFormat/>
    <w:uiPriority w:val="0"/>
  </w:style>
  <w:style w:type="character" w:customStyle="1" w:styleId="118">
    <w:name w:val="starting1"/>
    <w:qFormat/>
    <w:uiPriority w:val="0"/>
    <w:rPr>
      <w:color w:val="339900"/>
    </w:rPr>
  </w:style>
  <w:style w:type="character" w:customStyle="1" w:styleId="119">
    <w:name w:val="starting2"/>
    <w:qFormat/>
    <w:uiPriority w:val="0"/>
    <w:rPr>
      <w:color w:val="B60000"/>
    </w:rPr>
  </w:style>
  <w:style w:type="character" w:customStyle="1" w:styleId="120">
    <w:name w:val="标题 1 Char"/>
    <w:link w:val="2"/>
    <w:qFormat/>
    <w:uiPriority w:val="0"/>
    <w:rPr>
      <w:rFonts w:eastAsia="宋体"/>
      <w:b/>
      <w:bCs/>
      <w:kern w:val="44"/>
      <w:sz w:val="44"/>
      <w:szCs w:val="44"/>
      <w:lang w:val="en-US" w:eastAsia="zh-CN" w:bidi="ar-SA"/>
    </w:rPr>
  </w:style>
  <w:style w:type="character" w:customStyle="1" w:styleId="121">
    <w:name w:val="red"/>
    <w:qFormat/>
    <w:uiPriority w:val="0"/>
    <w:rPr>
      <w:rFonts w:hint="default" w:ascii="Arial" w:hAnsi="Arial" w:cs="Arial"/>
      <w:color w:val="E50000"/>
    </w:rPr>
  </w:style>
  <w:style w:type="character" w:customStyle="1" w:styleId="122">
    <w:name w:val="Char Char4"/>
    <w:qFormat/>
    <w:uiPriority w:val="0"/>
    <w:rPr>
      <w:rFonts w:eastAsia="宋体"/>
      <w:b/>
      <w:bCs/>
      <w:kern w:val="44"/>
      <w:sz w:val="44"/>
      <w:szCs w:val="44"/>
      <w:lang w:val="en-US" w:eastAsia="zh-CN" w:bidi="ar-SA"/>
    </w:rPr>
  </w:style>
  <w:style w:type="character" w:customStyle="1" w:styleId="123">
    <w:name w:val="font161"/>
    <w:qFormat/>
    <w:uiPriority w:val="0"/>
    <w:rPr>
      <w:b/>
      <w:bCs/>
      <w:sz w:val="32"/>
      <w:szCs w:val="32"/>
    </w:rPr>
  </w:style>
  <w:style w:type="character" w:customStyle="1" w:styleId="124">
    <w:name w:val="Char Char8"/>
    <w:qFormat/>
    <w:uiPriority w:val="0"/>
    <w:rPr>
      <w:rFonts w:ascii="Arial" w:hAnsi="Arial" w:eastAsia="黑体"/>
      <w:b/>
      <w:bCs/>
      <w:kern w:val="2"/>
      <w:sz w:val="32"/>
      <w:szCs w:val="32"/>
      <w:lang w:val="en-US" w:eastAsia="zh-CN" w:bidi="ar-SA"/>
    </w:rPr>
  </w:style>
  <w:style w:type="character" w:customStyle="1" w:styleId="125">
    <w:name w:val="msg-box29"/>
    <w:basedOn w:val="49"/>
    <w:qFormat/>
    <w:uiPriority w:val="0"/>
  </w:style>
  <w:style w:type="character" w:customStyle="1" w:styleId="126">
    <w:name w:val="over2"/>
    <w:qFormat/>
    <w:uiPriority w:val="0"/>
    <w:rPr>
      <w:color w:val="999999"/>
    </w:rPr>
  </w:style>
  <w:style w:type="character" w:customStyle="1" w:styleId="127">
    <w:name w:val="img_title7"/>
    <w:qFormat/>
    <w:uiPriority w:val="0"/>
    <w:rPr>
      <w:vanish/>
    </w:rPr>
  </w:style>
  <w:style w:type="character" w:customStyle="1" w:styleId="128">
    <w:name w:val="l7"/>
    <w:qFormat/>
    <w:uiPriority w:val="0"/>
    <w:rPr>
      <w:color w:val="999999"/>
    </w:rPr>
  </w:style>
  <w:style w:type="character" w:customStyle="1" w:styleId="129">
    <w:name w:val="标题 5 Char"/>
    <w:link w:val="6"/>
    <w:qFormat/>
    <w:uiPriority w:val="0"/>
    <w:rPr>
      <w:b/>
      <w:bCs/>
      <w:kern w:val="2"/>
      <w:sz w:val="28"/>
      <w:szCs w:val="28"/>
    </w:rPr>
  </w:style>
  <w:style w:type="character" w:customStyle="1" w:styleId="130">
    <w:name w:val="l51"/>
    <w:qFormat/>
    <w:uiPriority w:val="0"/>
    <w:rPr>
      <w:color w:val="999999"/>
    </w:rPr>
  </w:style>
  <w:style w:type="character" w:customStyle="1" w:styleId="131">
    <w:name w:val="num81"/>
    <w:basedOn w:val="49"/>
    <w:qFormat/>
    <w:uiPriority w:val="0"/>
  </w:style>
  <w:style w:type="character" w:customStyle="1" w:styleId="132">
    <w:name w:val="Char Char1"/>
    <w:qFormat/>
    <w:uiPriority w:val="0"/>
    <w:rPr>
      <w:rFonts w:eastAsia="宋体"/>
      <w:kern w:val="2"/>
      <w:sz w:val="21"/>
      <w:szCs w:val="24"/>
      <w:lang w:val="en-US" w:eastAsia="zh-CN" w:bidi="ar-SA"/>
    </w:rPr>
  </w:style>
  <w:style w:type="character" w:customStyle="1" w:styleId="133">
    <w:name w:val="zs"/>
    <w:qFormat/>
    <w:uiPriority w:val="0"/>
    <w:rPr>
      <w:color w:val="8D744B"/>
      <w:sz w:val="18"/>
      <w:szCs w:val="18"/>
    </w:rPr>
  </w:style>
  <w:style w:type="character" w:customStyle="1" w:styleId="134">
    <w:name w:val="bigfont"/>
    <w:basedOn w:val="49"/>
    <w:qFormat/>
    <w:uiPriority w:val="0"/>
  </w:style>
  <w:style w:type="character" w:customStyle="1" w:styleId="135">
    <w:name w:val="txt"/>
    <w:qFormat/>
    <w:uiPriority w:val="0"/>
    <w:rPr>
      <w:color w:val="C0C0C0"/>
    </w:rPr>
  </w:style>
  <w:style w:type="character" w:customStyle="1" w:styleId="136">
    <w:name w:val="纯文本 Char2"/>
    <w:link w:val="24"/>
    <w:qFormat/>
    <w:uiPriority w:val="0"/>
    <w:rPr>
      <w:rFonts w:ascii="Courier New" w:hAnsi="Courier New" w:eastAsia="宋体"/>
      <w:kern w:val="2"/>
      <w:sz w:val="21"/>
      <w:lang w:val="en-US" w:eastAsia="zh-CN" w:bidi="ar-SA"/>
    </w:rPr>
  </w:style>
  <w:style w:type="character" w:customStyle="1" w:styleId="137">
    <w:name w:val="jg"/>
    <w:basedOn w:val="49"/>
    <w:qFormat/>
    <w:uiPriority w:val="0"/>
  </w:style>
  <w:style w:type="character" w:customStyle="1" w:styleId="138">
    <w:name w:val="17"/>
    <w:qFormat/>
    <w:uiPriority w:val="0"/>
    <w:rPr>
      <w:rFonts w:ascii="仿宋_GB2312" w:eastAsia="仿宋_GB2312"/>
      <w:color w:val="auto"/>
      <w:sz w:val="28"/>
      <w:szCs w:val="28"/>
      <w:u w:val="single"/>
    </w:rPr>
  </w:style>
  <w:style w:type="character" w:customStyle="1" w:styleId="139">
    <w:name w:val="job"/>
    <w:basedOn w:val="49"/>
    <w:qFormat/>
    <w:uiPriority w:val="0"/>
  </w:style>
  <w:style w:type="character" w:customStyle="1" w:styleId="140">
    <w:name w:val="job1"/>
    <w:basedOn w:val="49"/>
    <w:qFormat/>
    <w:uiPriority w:val="0"/>
  </w:style>
  <w:style w:type="character" w:customStyle="1" w:styleId="141">
    <w:name w:val="标题 2 Char"/>
    <w:qFormat/>
    <w:uiPriority w:val="0"/>
    <w:rPr>
      <w:rFonts w:ascii="Arial" w:hAnsi="Arial" w:eastAsia="黑体"/>
      <w:b/>
      <w:bCs/>
      <w:kern w:val="2"/>
      <w:sz w:val="21"/>
      <w:szCs w:val="32"/>
      <w:lang w:val="en-US" w:eastAsia="zh-CN" w:bidi="ar-SA"/>
    </w:rPr>
  </w:style>
  <w:style w:type="character" w:customStyle="1" w:styleId="142">
    <w:name w:val="正文文本 Char"/>
    <w:link w:val="20"/>
    <w:qFormat/>
    <w:uiPriority w:val="0"/>
    <w:rPr>
      <w:rFonts w:eastAsia="宋体"/>
      <w:kern w:val="2"/>
      <w:sz w:val="21"/>
      <w:szCs w:val="24"/>
      <w:lang w:val="en-US" w:eastAsia="zh-CN" w:bidi="ar-SA"/>
    </w:rPr>
  </w:style>
  <w:style w:type="character" w:customStyle="1" w:styleId="143">
    <w:name w:val="p05"/>
    <w:basedOn w:val="49"/>
    <w:qFormat/>
    <w:uiPriority w:val="0"/>
  </w:style>
  <w:style w:type="character" w:customStyle="1" w:styleId="144">
    <w:name w:val="Char Char7"/>
    <w:qFormat/>
    <w:uiPriority w:val="0"/>
    <w:rPr>
      <w:rFonts w:ascii="Arial" w:hAnsi="Arial" w:eastAsia="黑体"/>
      <w:b/>
      <w:bCs/>
      <w:kern w:val="2"/>
      <w:sz w:val="32"/>
      <w:szCs w:val="32"/>
      <w:lang w:val="en-US" w:eastAsia="zh-CN" w:bidi="ar-SA"/>
    </w:rPr>
  </w:style>
  <w:style w:type="character" w:customStyle="1" w:styleId="145">
    <w:name w:val="over3"/>
    <w:basedOn w:val="49"/>
    <w:qFormat/>
    <w:uiPriority w:val="0"/>
  </w:style>
  <w:style w:type="character" w:customStyle="1" w:styleId="146">
    <w:name w:val="Char Char3"/>
    <w:qFormat/>
    <w:uiPriority w:val="0"/>
    <w:rPr>
      <w:rFonts w:ascii="Arial" w:hAnsi="Arial" w:eastAsia="黑体"/>
      <w:b/>
      <w:bCs/>
      <w:kern w:val="2"/>
      <w:sz w:val="32"/>
      <w:szCs w:val="32"/>
      <w:lang w:val="en-US" w:eastAsia="zh-CN" w:bidi="ar-SA"/>
    </w:rPr>
  </w:style>
  <w:style w:type="character" w:customStyle="1" w:styleId="147">
    <w:name w:val="Char Char71"/>
    <w:qFormat/>
    <w:uiPriority w:val="0"/>
    <w:rPr>
      <w:rFonts w:ascii="Arial" w:hAnsi="Arial" w:eastAsia="黑体"/>
      <w:b/>
      <w:bCs/>
      <w:kern w:val="2"/>
      <w:sz w:val="32"/>
      <w:szCs w:val="32"/>
      <w:lang w:val="en-US" w:eastAsia="zh-CN" w:bidi="ar-SA"/>
    </w:rPr>
  </w:style>
  <w:style w:type="character" w:customStyle="1" w:styleId="148">
    <w:name w:val="num51"/>
    <w:basedOn w:val="49"/>
    <w:qFormat/>
    <w:uiPriority w:val="0"/>
  </w:style>
  <w:style w:type="character" w:customStyle="1" w:styleId="149">
    <w:name w:val="Char Char Char"/>
    <w:qFormat/>
    <w:uiPriority w:val="0"/>
    <w:rPr>
      <w:rFonts w:eastAsia="宋体"/>
      <w:b/>
      <w:bCs/>
      <w:kern w:val="44"/>
      <w:sz w:val="44"/>
      <w:szCs w:val="44"/>
      <w:lang w:val="en-US" w:eastAsia="zh-CN" w:bidi="ar-SA"/>
    </w:rPr>
  </w:style>
  <w:style w:type="character" w:customStyle="1" w:styleId="150">
    <w:name w:val="msg-box31"/>
    <w:basedOn w:val="49"/>
    <w:qFormat/>
    <w:uiPriority w:val="0"/>
  </w:style>
  <w:style w:type="character" w:customStyle="1" w:styleId="151">
    <w:name w:val="msg-box30"/>
    <w:basedOn w:val="49"/>
    <w:qFormat/>
    <w:uiPriority w:val="0"/>
  </w:style>
  <w:style w:type="character" w:customStyle="1" w:styleId="152">
    <w:name w:val="标题 1 Char Char"/>
    <w:qFormat/>
    <w:uiPriority w:val="0"/>
    <w:rPr>
      <w:rFonts w:eastAsia="宋体"/>
      <w:b/>
      <w:bCs/>
      <w:kern w:val="44"/>
      <w:sz w:val="44"/>
      <w:szCs w:val="44"/>
      <w:lang w:val="en-US" w:eastAsia="zh-CN" w:bidi="ar-SA"/>
    </w:rPr>
  </w:style>
  <w:style w:type="character" w:customStyle="1" w:styleId="153">
    <w:name w:val="标题 3 Char"/>
    <w:link w:val="4"/>
    <w:qFormat/>
    <w:uiPriority w:val="0"/>
    <w:rPr>
      <w:b/>
      <w:bCs/>
      <w:sz w:val="32"/>
      <w:szCs w:val="32"/>
    </w:rPr>
  </w:style>
  <w:style w:type="character" w:customStyle="1" w:styleId="154">
    <w:name w:val="c1"/>
    <w:basedOn w:val="49"/>
    <w:qFormat/>
    <w:uiPriority w:val="0"/>
  </w:style>
  <w:style w:type="character" w:customStyle="1" w:styleId="155">
    <w:name w:val="纯文本 Char1"/>
    <w:qFormat/>
    <w:uiPriority w:val="0"/>
    <w:rPr>
      <w:rFonts w:ascii="Courier New" w:hAnsi="Courier New" w:eastAsia="宋体"/>
      <w:kern w:val="2"/>
      <w:sz w:val="21"/>
      <w:lang w:val="en-US" w:eastAsia="zh-CN" w:bidi="ar-SA"/>
    </w:rPr>
  </w:style>
  <w:style w:type="character" w:customStyle="1" w:styleId="156">
    <w:name w:val="Char Char Char1"/>
    <w:qFormat/>
    <w:uiPriority w:val="0"/>
    <w:rPr>
      <w:rFonts w:ascii="Arial" w:hAnsi="Arial" w:eastAsia="黑体"/>
      <w:b/>
      <w:bCs/>
      <w:kern w:val="2"/>
      <w:sz w:val="32"/>
      <w:szCs w:val="32"/>
      <w:lang w:val="en-US" w:eastAsia="zh-CN" w:bidi="ar-SA"/>
    </w:rPr>
  </w:style>
  <w:style w:type="character" w:customStyle="1" w:styleId="157">
    <w:name w:val="l3"/>
    <w:qFormat/>
    <w:uiPriority w:val="0"/>
    <w:rPr>
      <w:color w:val="999999"/>
    </w:rPr>
  </w:style>
  <w:style w:type="character" w:customStyle="1" w:styleId="158">
    <w:name w:val="tit14"/>
    <w:qFormat/>
    <w:uiPriority w:val="0"/>
    <w:rPr>
      <w:color w:val="B60000"/>
    </w:rPr>
  </w:style>
  <w:style w:type="character" w:customStyle="1" w:styleId="159">
    <w:name w:val="tit10"/>
    <w:qFormat/>
    <w:uiPriority w:val="0"/>
    <w:rPr>
      <w:color w:val="B60000"/>
    </w:rPr>
  </w:style>
  <w:style w:type="character" w:customStyle="1" w:styleId="160">
    <w:name w:val="l21"/>
    <w:qFormat/>
    <w:uiPriority w:val="0"/>
    <w:rPr>
      <w:color w:val="999999"/>
    </w:rPr>
  </w:style>
  <w:style w:type="character" w:customStyle="1" w:styleId="161">
    <w:name w:val="num71"/>
    <w:basedOn w:val="49"/>
    <w:qFormat/>
    <w:uiPriority w:val="0"/>
  </w:style>
  <w:style w:type="character" w:customStyle="1" w:styleId="162">
    <w:name w:val="标题 2 Char Char"/>
    <w:qFormat/>
    <w:uiPriority w:val="0"/>
    <w:rPr>
      <w:rFonts w:ascii="Arial" w:hAnsi="Arial" w:eastAsia="黑体"/>
      <w:b/>
      <w:bCs/>
      <w:kern w:val="2"/>
      <w:sz w:val="32"/>
      <w:szCs w:val="32"/>
      <w:lang w:val="en-US" w:eastAsia="zh-CN" w:bidi="ar-SA"/>
    </w:rPr>
  </w:style>
  <w:style w:type="character" w:customStyle="1" w:styleId="163">
    <w:name w:val="buvis"/>
    <w:qFormat/>
    <w:uiPriority w:val="0"/>
    <w:rPr>
      <w:color w:val="999999"/>
    </w:rPr>
  </w:style>
  <w:style w:type="character" w:customStyle="1" w:styleId="164">
    <w:name w:val="name"/>
    <w:qFormat/>
    <w:uiPriority w:val="0"/>
    <w:rPr>
      <w:color w:val="444444"/>
      <w:sz w:val="21"/>
      <w:szCs w:val="21"/>
    </w:rPr>
  </w:style>
  <w:style w:type="character" w:customStyle="1" w:styleId="165">
    <w:name w:val="layui-this"/>
    <w:qFormat/>
    <w:uiPriority w:val="0"/>
    <w:rPr>
      <w:bdr w:val="single" w:color="EEEEEE" w:sz="6" w:space="0"/>
      <w:shd w:val="clear" w:color="auto" w:fill="FFFFFF"/>
    </w:rPr>
  </w:style>
  <w:style w:type="character" w:customStyle="1" w:styleId="166">
    <w:name w:val="标题 2 Char1"/>
    <w:qFormat/>
    <w:uiPriority w:val="0"/>
    <w:rPr>
      <w:rFonts w:ascii="Arial" w:hAnsi="Arial" w:eastAsia="黑体"/>
      <w:b/>
      <w:bCs/>
      <w:kern w:val="2"/>
      <w:sz w:val="32"/>
      <w:szCs w:val="32"/>
      <w:lang w:val="en-US" w:eastAsia="zh-CN" w:bidi="ar-SA"/>
    </w:rPr>
  </w:style>
  <w:style w:type="character" w:customStyle="1" w:styleId="167">
    <w:name w:val="zw"/>
    <w:qFormat/>
    <w:uiPriority w:val="0"/>
    <w:rPr>
      <w:color w:val="BD1E22"/>
      <w:sz w:val="22"/>
      <w:szCs w:val="22"/>
    </w:rPr>
  </w:style>
  <w:style w:type="character" w:customStyle="1" w:styleId="168">
    <w:name w:val="name1"/>
    <w:qFormat/>
    <w:uiPriority w:val="0"/>
    <w:rPr>
      <w:color w:val="695435"/>
      <w:sz w:val="24"/>
      <w:szCs w:val="24"/>
    </w:rPr>
  </w:style>
  <w:style w:type="character" w:customStyle="1" w:styleId="169">
    <w:name w:val="num61"/>
    <w:basedOn w:val="49"/>
    <w:qFormat/>
    <w:uiPriority w:val="0"/>
  </w:style>
  <w:style w:type="character" w:customStyle="1" w:styleId="170">
    <w:name w:val="mesg-myd"/>
    <w:qFormat/>
    <w:uiPriority w:val="0"/>
    <w:rPr>
      <w:color w:val="EE0000"/>
    </w:rPr>
  </w:style>
  <w:style w:type="character" w:customStyle="1" w:styleId="171">
    <w:name w:val="c2"/>
    <w:basedOn w:val="49"/>
    <w:qFormat/>
    <w:uiPriority w:val="0"/>
  </w:style>
  <w:style w:type="character" w:customStyle="1" w:styleId="172">
    <w:name w:val="c3"/>
    <w:basedOn w:val="49"/>
    <w:qFormat/>
    <w:uiPriority w:val="0"/>
  </w:style>
  <w:style w:type="character" w:customStyle="1" w:styleId="173">
    <w:name w:val="over1"/>
    <w:qFormat/>
    <w:uiPriority w:val="0"/>
    <w:rPr>
      <w:color w:val="B60000"/>
    </w:rPr>
  </w:style>
  <w:style w:type="character" w:customStyle="1" w:styleId="174">
    <w:name w:val="tit13"/>
    <w:qFormat/>
    <w:uiPriority w:val="0"/>
    <w:rPr>
      <w:color w:val="FFFFFF"/>
    </w:rPr>
  </w:style>
  <w:style w:type="character" w:customStyle="1" w:styleId="175">
    <w:name w:val="Char Char21"/>
    <w:qFormat/>
    <w:uiPriority w:val="0"/>
    <w:rPr>
      <w:rFonts w:eastAsia="宋体"/>
      <w:kern w:val="2"/>
      <w:sz w:val="21"/>
      <w:szCs w:val="24"/>
      <w:lang w:val="en-US" w:eastAsia="zh-CN" w:bidi="ar-SA"/>
    </w:rPr>
  </w:style>
  <w:style w:type="character" w:customStyle="1" w:styleId="176">
    <w:name w:val="l41"/>
    <w:qFormat/>
    <w:uiPriority w:val="0"/>
    <w:rPr>
      <w:color w:val="999999"/>
    </w:rPr>
  </w:style>
  <w:style w:type="character" w:customStyle="1" w:styleId="177">
    <w:name w:val="16"/>
    <w:qFormat/>
    <w:uiPriority w:val="0"/>
    <w:rPr>
      <w:rFonts w:ascii="仿宋_GB2312" w:eastAsia="仿宋_GB2312"/>
      <w:color w:val="auto"/>
      <w:sz w:val="28"/>
      <w:szCs w:val="28"/>
    </w:rPr>
  </w:style>
  <w:style w:type="character" w:customStyle="1" w:styleId="178">
    <w:name w:val="num31"/>
    <w:basedOn w:val="49"/>
    <w:qFormat/>
    <w:uiPriority w:val="0"/>
  </w:style>
  <w:style w:type="character" w:customStyle="1" w:styleId="179">
    <w:name w:val="starting4"/>
    <w:basedOn w:val="49"/>
    <w:qFormat/>
    <w:uiPriority w:val="0"/>
  </w:style>
  <w:style w:type="character" w:customStyle="1" w:styleId="180">
    <w:name w:val="bsharetext"/>
    <w:basedOn w:val="49"/>
    <w:qFormat/>
    <w:uiPriority w:val="0"/>
  </w:style>
  <w:style w:type="character" w:customStyle="1" w:styleId="181">
    <w:name w:val="unit"/>
    <w:qFormat/>
    <w:uiPriority w:val="0"/>
    <w:rPr>
      <w:color w:val="999999"/>
    </w:rPr>
  </w:style>
  <w:style w:type="character" w:customStyle="1" w:styleId="182">
    <w:name w:val="nostart2"/>
    <w:qFormat/>
    <w:uiPriority w:val="0"/>
    <w:rPr>
      <w:color w:val="B60000"/>
    </w:rPr>
  </w:style>
  <w:style w:type="character" w:customStyle="1" w:styleId="183">
    <w:name w:val="纯文本 Char"/>
    <w:qFormat/>
    <w:uiPriority w:val="99"/>
    <w:rPr>
      <w:rFonts w:ascii="Courier New" w:hAnsi="Courier New" w:eastAsia="宋体"/>
      <w:kern w:val="2"/>
      <w:sz w:val="21"/>
      <w:lang w:val="en-US" w:eastAsia="zh-CN" w:bidi="ar-SA"/>
    </w:rPr>
  </w:style>
  <w:style w:type="character" w:customStyle="1" w:styleId="184">
    <w:name w:val="Char Char81"/>
    <w:qFormat/>
    <w:uiPriority w:val="0"/>
    <w:rPr>
      <w:rFonts w:ascii="Arial" w:hAnsi="Arial" w:eastAsia="黑体"/>
      <w:b/>
      <w:bCs/>
      <w:kern w:val="2"/>
      <w:sz w:val="32"/>
      <w:szCs w:val="32"/>
      <w:lang w:val="en-US" w:eastAsia="zh-CN" w:bidi="ar-SA"/>
    </w:rPr>
  </w:style>
  <w:style w:type="character" w:customStyle="1" w:styleId="185">
    <w:name w:val="starting"/>
    <w:qFormat/>
    <w:uiPriority w:val="0"/>
    <w:rPr>
      <w:color w:val="339900"/>
    </w:rPr>
  </w:style>
  <w:style w:type="character" w:customStyle="1" w:styleId="186">
    <w:name w:val="nostart1"/>
    <w:qFormat/>
    <w:uiPriority w:val="0"/>
    <w:rPr>
      <w:color w:val="FF0000"/>
    </w:rPr>
  </w:style>
  <w:style w:type="character" w:customStyle="1" w:styleId="187">
    <w:name w:val="num210"/>
    <w:basedOn w:val="49"/>
    <w:qFormat/>
    <w:uiPriority w:val="0"/>
  </w:style>
  <w:style w:type="character" w:customStyle="1" w:styleId="188">
    <w:name w:val="buvis1"/>
    <w:qFormat/>
    <w:uiPriority w:val="0"/>
    <w:rPr>
      <w:color w:val="CC0000"/>
    </w:rPr>
  </w:style>
  <w:style w:type="character" w:customStyle="1" w:styleId="189">
    <w:name w:val="starting3"/>
    <w:basedOn w:val="49"/>
    <w:qFormat/>
    <w:uiPriority w:val="0"/>
  </w:style>
  <w:style w:type="character" w:customStyle="1" w:styleId="190">
    <w:name w:val="textcontents"/>
    <w:basedOn w:val="49"/>
    <w:qFormat/>
    <w:uiPriority w:val="0"/>
  </w:style>
  <w:style w:type="character" w:customStyle="1" w:styleId="191">
    <w:name w:val="num41"/>
    <w:basedOn w:val="49"/>
    <w:qFormat/>
    <w:uiPriority w:val="0"/>
  </w:style>
  <w:style w:type="character" w:customStyle="1" w:styleId="192">
    <w:name w:val="tit9"/>
    <w:qFormat/>
    <w:uiPriority w:val="0"/>
    <w:rPr>
      <w:color w:val="B60000"/>
      <w:sz w:val="27"/>
      <w:szCs w:val="27"/>
      <w:bdr w:val="single" w:color="DFCEB8" w:sz="6" w:space="0"/>
      <w:shd w:val="clear" w:color="auto" w:fill="FFFFFF"/>
    </w:rPr>
  </w:style>
  <w:style w:type="character" w:customStyle="1" w:styleId="193">
    <w:name w:val="name2"/>
    <w:qFormat/>
    <w:uiPriority w:val="0"/>
    <w:rPr>
      <w:color w:val="000000"/>
      <w:sz w:val="39"/>
      <w:szCs w:val="39"/>
    </w:rPr>
  </w:style>
  <w:style w:type="character" w:customStyle="1" w:styleId="194">
    <w:name w:val="img_title8"/>
    <w:qFormat/>
    <w:uiPriority w:val="0"/>
    <w:rPr>
      <w:vanish/>
    </w:rPr>
  </w:style>
  <w:style w:type="character" w:customStyle="1" w:styleId="195">
    <w:name w:val="tit15"/>
    <w:qFormat/>
    <w:uiPriority w:val="0"/>
    <w:rPr>
      <w:b/>
      <w:color w:val="B60000"/>
    </w:rPr>
  </w:style>
  <w:style w:type="character" w:customStyle="1" w:styleId="196">
    <w:name w:val="img_title9"/>
    <w:qFormat/>
    <w:uiPriority w:val="0"/>
    <w:rPr>
      <w:vanish/>
    </w:rPr>
  </w:style>
  <w:style w:type="character" w:customStyle="1" w:styleId="197">
    <w:name w:val="标题 2 Char2"/>
    <w:link w:val="3"/>
    <w:qFormat/>
    <w:uiPriority w:val="0"/>
    <w:rPr>
      <w:rFonts w:ascii="Arial" w:hAnsi="Arial" w:eastAsia="黑体"/>
      <w:b/>
      <w:bCs/>
      <w:kern w:val="2"/>
      <w:sz w:val="21"/>
      <w:szCs w:val="32"/>
      <w:lang w:val="en-US" w:eastAsia="zh-CN" w:bidi="ar-SA"/>
    </w:rPr>
  </w:style>
  <w:style w:type="paragraph" w:customStyle="1" w:styleId="198">
    <w:name w:val="正文 New"/>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character" w:customStyle="1" w:styleId="199">
    <w:name w:val="font12"/>
    <w:basedOn w:val="49"/>
    <w:qFormat/>
    <w:uiPriority w:val="0"/>
    <w:rPr>
      <w:rFonts w:hint="eastAsia" w:ascii="仿宋" w:hAnsi="仿宋" w:eastAsia="仿宋" w:cs="仿宋"/>
      <w:b/>
      <w:color w:val="000000"/>
      <w:sz w:val="32"/>
      <w:szCs w:val="32"/>
      <w:u w:val="none"/>
    </w:rPr>
  </w:style>
  <w:style w:type="character" w:customStyle="1" w:styleId="200">
    <w:name w:val="font101"/>
    <w:basedOn w:val="49"/>
    <w:qFormat/>
    <w:uiPriority w:val="0"/>
    <w:rPr>
      <w:rFonts w:hint="default" w:ascii="Times New Roman" w:hAnsi="Times New Roman" w:cs="Times New Roman"/>
      <w:color w:val="000000"/>
      <w:sz w:val="24"/>
      <w:szCs w:val="24"/>
      <w:u w:val="none"/>
    </w:rPr>
  </w:style>
  <w:style w:type="character" w:customStyle="1" w:styleId="201">
    <w:name w:val="font111"/>
    <w:basedOn w:val="49"/>
    <w:qFormat/>
    <w:uiPriority w:val="0"/>
    <w:rPr>
      <w:rFonts w:ascii="仿宋_GB2312" w:eastAsia="仿宋_GB2312" w:cs="仿宋_GB2312"/>
      <w:color w:val="000000"/>
      <w:sz w:val="24"/>
      <w:szCs w:val="24"/>
      <w:u w:val="none"/>
    </w:rPr>
  </w:style>
  <w:style w:type="character" w:customStyle="1" w:styleId="202">
    <w:name w:val="font91"/>
    <w:basedOn w:val="49"/>
    <w:qFormat/>
    <w:uiPriority w:val="0"/>
    <w:rPr>
      <w:rFonts w:hint="eastAsia" w:ascii="仿宋" w:hAnsi="仿宋" w:eastAsia="仿宋" w:cs="仿宋"/>
      <w:color w:val="000000"/>
      <w:sz w:val="24"/>
      <w:szCs w:val="24"/>
      <w:u w:val="single"/>
    </w:rPr>
  </w:style>
  <w:style w:type="character" w:customStyle="1" w:styleId="203">
    <w:name w:val="font81"/>
    <w:basedOn w:val="49"/>
    <w:qFormat/>
    <w:uiPriority w:val="0"/>
    <w:rPr>
      <w:rFonts w:hint="default" w:ascii="Times New Roman" w:hAnsi="Times New Roman" w:cs="Times New Roman"/>
      <w:color w:val="000000"/>
      <w:sz w:val="24"/>
      <w:szCs w:val="24"/>
      <w:u w:val="none"/>
    </w:rPr>
  </w:style>
  <w:style w:type="character" w:customStyle="1" w:styleId="204">
    <w:name w:val="font61"/>
    <w:basedOn w:val="49"/>
    <w:qFormat/>
    <w:uiPriority w:val="0"/>
    <w:rPr>
      <w:rFonts w:hint="eastAsia" w:ascii="仿宋_GB2312" w:eastAsia="仿宋_GB2312" w:cs="仿宋_GB2312"/>
      <w:color w:val="000000"/>
      <w:sz w:val="24"/>
      <w:szCs w:val="24"/>
      <w:u w:val="none"/>
    </w:rPr>
  </w:style>
  <w:style w:type="character" w:customStyle="1" w:styleId="205">
    <w:name w:val="font21"/>
    <w:basedOn w:val="49"/>
    <w:qFormat/>
    <w:uiPriority w:val="0"/>
    <w:rPr>
      <w:rFonts w:hint="default" w:ascii="Times New Roman" w:hAnsi="Times New Roman" w:cs="Times New Roman"/>
      <w:color w:val="000000"/>
      <w:sz w:val="24"/>
      <w:szCs w:val="24"/>
      <w:u w:val="none"/>
    </w:rPr>
  </w:style>
  <w:style w:type="character" w:customStyle="1" w:styleId="206">
    <w:name w:val="NormalCharacter"/>
    <w:semiHidden/>
    <w:qFormat/>
    <w:uiPriority w:val="0"/>
    <w:rPr>
      <w:snapToGrid w:val="0"/>
      <w:kern w:val="0"/>
      <w:sz w:val="32"/>
      <w:szCs w:val="32"/>
      <w:lang w:val="en-US" w:eastAsia="zh-CN" w:bidi="ar-SA"/>
    </w:rPr>
  </w:style>
  <w:style w:type="character" w:customStyle="1" w:styleId="207">
    <w:name w:val="first-child1"/>
    <w:basedOn w:val="49"/>
    <w:qFormat/>
    <w:uiPriority w:val="0"/>
  </w:style>
  <w:style w:type="character" w:customStyle="1" w:styleId="208">
    <w:name w:val="hover1"/>
    <w:basedOn w:val="49"/>
    <w:qFormat/>
    <w:uiPriority w:val="0"/>
    <w:rPr>
      <w:color w:val="2590EB"/>
    </w:rPr>
  </w:style>
  <w:style w:type="character" w:customStyle="1" w:styleId="209">
    <w:name w:val="hover2"/>
    <w:basedOn w:val="49"/>
    <w:qFormat/>
    <w:uiPriority w:val="0"/>
  </w:style>
  <w:style w:type="character" w:customStyle="1" w:styleId="210">
    <w:name w:val="hover3"/>
    <w:basedOn w:val="49"/>
    <w:qFormat/>
    <w:uiPriority w:val="0"/>
    <w:rPr>
      <w:color w:val="2590EB"/>
    </w:rPr>
  </w:style>
  <w:style w:type="character" w:customStyle="1" w:styleId="211">
    <w:name w:val="hover4"/>
    <w:basedOn w:val="49"/>
    <w:qFormat/>
    <w:uiPriority w:val="0"/>
    <w:rPr>
      <w:color w:val="2590EB"/>
      <w:shd w:val="clear" w:fill="E9F4FD"/>
    </w:rPr>
  </w:style>
  <w:style w:type="character" w:customStyle="1" w:styleId="212">
    <w:name w:val="mini-outputtext1"/>
    <w:basedOn w:val="49"/>
    <w:qFormat/>
    <w:uiPriority w:val="0"/>
  </w:style>
  <w:style w:type="character" w:customStyle="1" w:styleId="213">
    <w:name w:val="hover"/>
    <w:basedOn w:val="49"/>
    <w:qFormat/>
    <w:uiPriority w:val="0"/>
    <w:rPr>
      <w:color w:val="2590EB"/>
    </w:rPr>
  </w:style>
  <w:style w:type="paragraph" w:customStyle="1" w:styleId="214">
    <w:name w:val="Main Title"/>
    <w:next w:val="1"/>
    <w:qFormat/>
    <w:uiPriority w:val="0"/>
    <w:pPr>
      <w:adjustRightInd w:val="0"/>
      <w:snapToGrid w:val="0"/>
      <w:spacing w:after="120" w:afterLines="50" w:line="360" w:lineRule="auto"/>
      <w:jc w:val="center"/>
    </w:pPr>
    <w:rPr>
      <w:rFonts w:ascii="黑体" w:hAnsi="黑体" w:eastAsia="黑体" w:cs="Times New Roman"/>
      <w:b/>
      <w:kern w:val="2"/>
      <w:sz w:val="36"/>
      <w:szCs w:val="22"/>
      <w:lang w:val="zh-CN" w:eastAsia="zh-CN" w:bidi="ar-SA"/>
    </w:rPr>
  </w:style>
  <w:style w:type="paragraph" w:customStyle="1" w:styleId="215">
    <w:name w:val="TOC 标题2"/>
    <w:basedOn w:val="2"/>
    <w:next w:val="1"/>
    <w:qFormat/>
    <w:uiPriority w:val="0"/>
    <w:pPr>
      <w:keepNext/>
      <w:keepLines/>
      <w:widowControl w:val="0"/>
      <w:adjustRightInd/>
      <w:snapToGrid/>
      <w:spacing w:before="260" w:after="260" w:line="413" w:lineRule="auto"/>
    </w:pPr>
    <w:rPr>
      <w:rFonts w:ascii="宋体" w:hAnsi="宋体" w:eastAsia="宋体" w:cs="Times New Roman"/>
      <w:sz w:val="36"/>
      <w:szCs w:val="44"/>
      <w:lang w:val="zh-CN"/>
    </w:rPr>
  </w:style>
  <w:style w:type="paragraph" w:customStyle="1" w:styleId="216">
    <w:name w:val="协议书标题2"/>
    <w:basedOn w:val="3"/>
    <w:next w:val="1"/>
    <w:qFormat/>
    <w:uiPriority w:val="0"/>
    <w:pPr>
      <w:keepNext w:val="0"/>
      <w:keepLines w:val="0"/>
      <w:tabs>
        <w:tab w:val="left" w:pos="567"/>
      </w:tabs>
      <w:spacing w:line="360" w:lineRule="auto"/>
      <w:ind w:left="425"/>
      <w:jc w:val="left"/>
    </w:pPr>
    <w:rPr>
      <w:rFonts w:ascii="宋体" w:hAnsi="宋体" w:eastAsia="宋体"/>
      <w:sz w:val="24"/>
    </w:rPr>
  </w:style>
  <w:style w:type="paragraph" w:customStyle="1" w:styleId="217">
    <w:name w:val="table"/>
    <w:qFormat/>
    <w:uiPriority w:val="0"/>
    <w:pPr>
      <w:framePr w:hSpace="180" w:wrap="around" w:vAnchor="text" w:hAnchor="margin" w:y="1418"/>
      <w:adjustRightInd w:val="0"/>
      <w:snapToGrid w:val="0"/>
    </w:pPr>
    <w:rPr>
      <w:rFonts w:ascii="宋体" w:hAnsi="Calibri" w:eastAsia="宋体" w:cs="Times New Roman"/>
      <w:kern w:val="2"/>
      <w:sz w:val="24"/>
      <w:szCs w:val="22"/>
      <w:lang w:val="en-US" w:eastAsia="zh-CN" w:bidi="ar-SA"/>
    </w:rPr>
  </w:style>
  <w:style w:type="paragraph" w:customStyle="1" w:styleId="218">
    <w:name w:val="通用标题2"/>
    <w:basedOn w:val="3"/>
    <w:next w:val="1"/>
    <w:qFormat/>
    <w:uiPriority w:val="0"/>
    <w:pPr>
      <w:keepNext w:val="0"/>
      <w:keepLines w:val="0"/>
      <w:tabs>
        <w:tab w:val="left" w:pos="993"/>
      </w:tabs>
      <w:spacing w:line="360" w:lineRule="auto"/>
    </w:pPr>
    <w:rPr>
      <w:rFonts w:ascii="黑体" w:hAnsi="黑体"/>
    </w:rPr>
  </w:style>
  <w:style w:type="paragraph" w:customStyle="1" w:styleId="219">
    <w:name w:val="专用标题2"/>
    <w:basedOn w:val="3"/>
    <w:next w:val="1"/>
    <w:qFormat/>
    <w:uiPriority w:val="0"/>
    <w:pPr>
      <w:keepNext w:val="0"/>
      <w:keepLines w:val="0"/>
      <w:tabs>
        <w:tab w:val="left" w:pos="993"/>
      </w:tabs>
      <w:wordWrap/>
      <w:topLinePunct w:val="0"/>
      <w:spacing w:line="360" w:lineRule="auto"/>
      <w:ind w:firstLine="0" w:firstLineChars="0"/>
    </w:pPr>
    <w:rPr>
      <w:rFonts w:ascii="宋体" w:hAnsi="宋体" w:eastAsia="宋体" w:cs="Times"/>
    </w:rPr>
  </w:style>
  <w:style w:type="character" w:customStyle="1" w:styleId="220">
    <w:name w:val="样式 宋体 四号"/>
    <w:qFormat/>
    <w:uiPriority w:val="0"/>
    <w:rPr>
      <w:rFonts w:ascii="宋体" w:hAnsi="宋体" w:eastAsia="仿宋_GB2312"/>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header" Target="header2.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113</Pages>
  <Words>70</Words>
  <Characters>75</Characters>
  <Lines>411</Lines>
  <Paragraphs>115</Paragraphs>
  <TotalTime>4</TotalTime>
  <ScaleCrop>false</ScaleCrop>
  <LinksUpToDate>false</LinksUpToDate>
  <CharactersWithSpaces>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2016-05-15T08:29:00Z</dcterms:created>
  <dc:creator>dengxiaochun</dc:creator>
  <cp:lastModifiedBy>傻傻一辈子</cp:lastModifiedBy>
  <cp:lastPrinted>2023-06-08T00:43:00Z</cp:lastPrinted>
  <dcterms:modified xsi:type="dcterms:W3CDTF">2026-09-23T16:10:16Z</dcterms:modified>
  <dc:title>标准交易文件</dc:title>
  <cp:revision>328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1CFA0F5BDDC34E27AE93A8CB508EDD7E_13</vt:lpwstr>
  </property>
  <property fmtid="{D5CDD505-2E9C-101B-9397-08002B2CF9AE}" pid="4" name="KSOTemplateDocerSaveRecord">
    <vt:lpwstr>eyJoZGlkIjoiMTljMDcwYWJmYjExZWQzNTVmZDAzZTYwM2JlMzJmZDYiLCJ1c2VySWQiOiIzODU2Mzk2OTQifQ==</vt:lpwstr>
  </property>
</Properties>
</file>