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775F3">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67FC1741">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26A9EC6E">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4086500B">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竞争性谈判文件示范文本（服务类）</w:t>
      </w:r>
    </w:p>
    <w:bookmarkEnd w:id="0"/>
    <w:p w14:paraId="4FDBB6CE">
      <w:pPr>
        <w:tabs>
          <w:tab w:val="left" w:pos="315"/>
          <w:tab w:val="left" w:pos="8820"/>
        </w:tabs>
        <w:spacing w:before="240" w:beforeLines="100" w:after="120" w:afterLines="50" w:line="500" w:lineRule="exact"/>
        <w:ind w:right="267" w:rightChars="127"/>
        <w:jc w:val="center"/>
        <w:rPr>
          <w:rFonts w:hint="eastAsia" w:ascii="宋体" w:hAnsi="宋体" w:eastAsia="宋体"/>
          <w:b/>
          <w:bCs w:val="0"/>
          <w:color w:val="auto"/>
          <w:sz w:val="44"/>
          <w:szCs w:val="44"/>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2024版</w:t>
      </w:r>
      <w:r>
        <w:rPr>
          <w:rFonts w:hint="eastAsia" w:ascii="宋体" w:hAnsi="宋体" w:eastAsia="宋体"/>
          <w:b/>
          <w:bCs/>
          <w:color w:val="auto"/>
          <w:sz w:val="52"/>
          <w:szCs w:val="52"/>
          <w:highlight w:val="none"/>
          <w:lang w:eastAsia="zh-CN"/>
        </w:rPr>
        <w:t>）</w:t>
      </w:r>
    </w:p>
    <w:p w14:paraId="4A156EE0">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E48FA79">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58E3C044">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3B9533C0">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5FBA6F42">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437E0365">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eastAsia="zh-CN"/>
        </w:rPr>
        <w:t>滁城西片区排水综合整治工程四批次监理项目</w:t>
      </w:r>
    </w:p>
    <w:p w14:paraId="5484C0E9">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czsjcg202510-009</w:t>
      </w:r>
    </w:p>
    <w:p w14:paraId="073EC931">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滁州市重点工程建设管理处</w:t>
      </w:r>
    </w:p>
    <w:p w14:paraId="33F53FEF">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滁州市城投工程咨询管理有限公司</w:t>
      </w:r>
    </w:p>
    <w:p w14:paraId="522E6209">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55F6F59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r>
        <w:rPr>
          <w:rFonts w:hint="eastAsia" w:ascii="宋体" w:hAnsi="宋体" w:eastAsia="宋体"/>
          <w:b/>
          <w:color w:val="auto"/>
          <w:sz w:val="36"/>
          <w:highlight w:val="none"/>
          <w:u w:val="single"/>
          <w:lang w:val="en-US" w:eastAsia="zh-CN"/>
        </w:rPr>
        <w:t>2025</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10</w:t>
      </w:r>
      <w:r>
        <w:rPr>
          <w:rFonts w:hint="eastAsia" w:ascii="宋体" w:hAnsi="宋体" w:eastAsia="宋体"/>
          <w:b/>
          <w:color w:val="auto"/>
          <w:sz w:val="36"/>
          <w:highlight w:val="none"/>
        </w:rPr>
        <w:t>月</w:t>
      </w:r>
    </w:p>
    <w:p w14:paraId="1DA538E9">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61895B24">
      <w:pPr>
        <w:pStyle w:val="17"/>
        <w:tabs>
          <w:tab w:val="right" w:leader="dot" w:pos="8279"/>
        </w:tabs>
        <w:rPr>
          <w:rFonts w:hint="eastAsia" w:ascii="宋体" w:hAnsi="宋体" w:eastAsia="宋体" w:cs="宋体"/>
          <w:sz w:val="28"/>
          <w:szCs w:val="28"/>
        </w:rPr>
      </w:pPr>
      <w:r>
        <w:rPr>
          <w:rFonts w:asciiTheme="minorEastAsia" w:hAnsiTheme="minorEastAsia"/>
          <w:b/>
          <w:color w:val="auto"/>
          <w:sz w:val="32"/>
          <w:highlight w:val="none"/>
        </w:rPr>
        <w:fldChar w:fldCharType="begin"/>
      </w:r>
      <w:r>
        <w:rPr>
          <w:rFonts w:asciiTheme="minorEastAsia" w:hAnsiTheme="minorEastAsia"/>
          <w:b/>
          <w:color w:val="auto"/>
          <w:sz w:val="32"/>
          <w:highlight w:val="none"/>
        </w:rPr>
        <w:instrText xml:space="preserve">TOC \o "1-1" \h \u </w:instrText>
      </w:r>
      <w:r>
        <w:rPr>
          <w:rFonts w:asciiTheme="minorEastAsia" w:hAnsiTheme="minorEastAsia"/>
          <w:b/>
          <w:color w:val="auto"/>
          <w:sz w:val="32"/>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_Toc10028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第一章  谈判邀请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_Toc10028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29DDBA73">
      <w:pPr>
        <w:pStyle w:val="17"/>
        <w:tabs>
          <w:tab w:val="right" w:leader="dot" w:pos="8279"/>
        </w:tabs>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_Toc1870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_Toc1870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5643EB6F">
      <w:pPr>
        <w:pStyle w:val="17"/>
        <w:tabs>
          <w:tab w:val="right" w:leader="dot" w:pos="8279"/>
        </w:tabs>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_Toc32485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第三章  采购</w:t>
      </w:r>
      <w:bookmarkStart w:id="174" w:name="_GoBack"/>
      <w:bookmarkEnd w:id="174"/>
      <w:r>
        <w:rPr>
          <w:rFonts w:hint="eastAsia" w:ascii="宋体" w:hAnsi="宋体" w:eastAsia="宋体" w:cs="宋体"/>
          <w:sz w:val="28"/>
          <w:szCs w:val="28"/>
          <w:highlight w:val="none"/>
        </w:rPr>
        <w:t>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_Toc32485 \h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65FB3796">
      <w:pPr>
        <w:pStyle w:val="17"/>
        <w:tabs>
          <w:tab w:val="right" w:leader="dot" w:pos="8279"/>
        </w:tabs>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_Toc2395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第四章  评审方法和标准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_Toc2395 \h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27951A8F">
      <w:pPr>
        <w:pStyle w:val="17"/>
        <w:tabs>
          <w:tab w:val="right" w:leader="dot" w:pos="8279"/>
        </w:tabs>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_Toc11605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第六章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_Toc11605 \h </w:instrText>
      </w:r>
      <w:r>
        <w:rPr>
          <w:rFonts w:hint="eastAsia" w:ascii="宋体" w:hAnsi="宋体" w:eastAsia="宋体" w:cs="宋体"/>
          <w:sz w:val="28"/>
          <w:szCs w:val="28"/>
        </w:rPr>
        <w:fldChar w:fldCharType="separate"/>
      </w:r>
      <w:r>
        <w:rPr>
          <w:rFonts w:hint="eastAsia" w:ascii="宋体" w:hAnsi="宋体" w:eastAsia="宋体" w:cs="宋体"/>
          <w:sz w:val="28"/>
          <w:szCs w:val="28"/>
        </w:rPr>
        <w:t>61</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1E6157DF">
      <w:pPr>
        <w:pStyle w:val="17"/>
        <w:tabs>
          <w:tab w:val="right" w:leader="dot" w:pos="8279"/>
        </w:tabs>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_Toc3652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highlight w:val="none"/>
        </w:rPr>
        <w:t>第</w:t>
      </w:r>
      <w:r>
        <w:rPr>
          <w:rFonts w:hint="eastAsia" w:ascii="宋体" w:hAnsi="宋体" w:eastAsia="宋体" w:cs="宋体"/>
          <w:bCs/>
          <w:sz w:val="28"/>
          <w:szCs w:val="28"/>
          <w:highlight w:val="none"/>
          <w:lang w:val="en-US" w:eastAsia="zh-CN"/>
        </w:rPr>
        <w:t>七</w:t>
      </w:r>
      <w:r>
        <w:rPr>
          <w:rFonts w:hint="eastAsia" w:ascii="宋体" w:hAnsi="宋体" w:eastAsia="宋体" w:cs="宋体"/>
          <w:bCs/>
          <w:sz w:val="28"/>
          <w:szCs w:val="28"/>
          <w:highlight w:val="none"/>
        </w:rPr>
        <w:t>章  政府采购</w:t>
      </w:r>
      <w:r>
        <w:rPr>
          <w:rFonts w:hint="eastAsia" w:ascii="宋体" w:hAnsi="宋体" w:eastAsia="宋体" w:cs="宋体"/>
          <w:sz w:val="28"/>
          <w:szCs w:val="28"/>
          <w:highlight w:val="none"/>
        </w:rPr>
        <w:t>供应</w:t>
      </w:r>
      <w:r>
        <w:rPr>
          <w:rFonts w:hint="eastAsia" w:ascii="宋体" w:hAnsi="宋体" w:eastAsia="宋体" w:cs="宋体"/>
          <w:bCs/>
          <w:sz w:val="28"/>
          <w:szCs w:val="28"/>
          <w:highlight w:val="none"/>
        </w:rPr>
        <w:t>商询问函和质疑函范本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_Toc3652 \h </w:instrText>
      </w:r>
      <w:r>
        <w:rPr>
          <w:rFonts w:hint="eastAsia" w:ascii="宋体" w:hAnsi="宋体" w:eastAsia="宋体" w:cs="宋体"/>
          <w:sz w:val="28"/>
          <w:szCs w:val="28"/>
        </w:rPr>
        <w:fldChar w:fldCharType="separate"/>
      </w:r>
      <w:r>
        <w:rPr>
          <w:rFonts w:hint="eastAsia" w:ascii="宋体" w:hAnsi="宋体" w:eastAsia="宋体" w:cs="宋体"/>
          <w:sz w:val="28"/>
          <w:szCs w:val="28"/>
        </w:rPr>
        <w:t>75</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2BD706B4">
      <w:pPr>
        <w:pStyle w:val="18"/>
        <w:tabs>
          <w:tab w:val="right" w:leader="dot" w:pos="8296"/>
        </w:tabs>
        <w:rPr>
          <w:rFonts w:asciiTheme="minorEastAsia" w:hAnsiTheme="minorEastAsia"/>
          <w:b/>
          <w:color w:val="auto"/>
          <w:sz w:val="32"/>
          <w:highlight w:val="none"/>
        </w:rPr>
      </w:pPr>
      <w:r>
        <w:rPr>
          <w:rFonts w:asciiTheme="minorEastAsia" w:hAnsiTheme="minorEastAsia"/>
          <w:color w:val="auto"/>
          <w:highlight w:val="none"/>
        </w:rPr>
        <w:fldChar w:fldCharType="end"/>
      </w:r>
    </w:p>
    <w:p w14:paraId="62B83D16">
      <w:pPr>
        <w:spacing w:line="360" w:lineRule="auto"/>
        <w:jc w:val="center"/>
        <w:outlineLvl w:val="1"/>
        <w:rPr>
          <w:rFonts w:asciiTheme="minorEastAsia" w:hAnsiTheme="minorEastAsia" w:eastAsiaTheme="minorEastAsia"/>
          <w:b/>
          <w:color w:val="auto"/>
          <w:sz w:val="28"/>
          <w:highlight w:val="none"/>
        </w:rPr>
        <w:sectPr>
          <w:pgSz w:w="11907" w:h="16840"/>
          <w:pgMar w:top="1474" w:right="1814" w:bottom="1474" w:left="1814" w:header="851" w:footer="992" w:gutter="0"/>
          <w:cols w:space="720" w:num="1"/>
          <w:docGrid w:linePitch="462" w:charSpace="0"/>
        </w:sectPr>
      </w:pPr>
    </w:p>
    <w:p w14:paraId="78BF970C">
      <w:pPr>
        <w:spacing w:line="360" w:lineRule="auto"/>
        <w:jc w:val="center"/>
        <w:outlineLvl w:val="0"/>
        <w:rPr>
          <w:rFonts w:asciiTheme="minorEastAsia" w:hAnsiTheme="minorEastAsia" w:eastAsiaTheme="minorEastAsia"/>
          <w:b/>
          <w:color w:val="auto"/>
          <w:sz w:val="28"/>
          <w:highlight w:val="none"/>
        </w:rPr>
      </w:pPr>
      <w:bookmarkStart w:id="1" w:name="_Toc21914"/>
      <w:bookmarkStart w:id="2" w:name="_Toc10028"/>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谈判邀请</w:t>
      </w:r>
      <w:bookmarkEnd w:id="1"/>
      <w:bookmarkEnd w:id="2"/>
    </w:p>
    <w:p w14:paraId="4DA47029">
      <w:pPr>
        <w:autoSpaceDE w:val="0"/>
        <w:autoSpaceDN w:val="0"/>
        <w:adjustRightInd w:val="0"/>
        <w:spacing w:line="480" w:lineRule="exact"/>
        <w:ind w:firstLine="439" w:firstLineChars="182"/>
        <w:jc w:val="left"/>
        <w:rPr>
          <w:rFonts w:ascii="宋体" w:hAnsi="宋体" w:eastAsia="宋体"/>
          <w:b/>
          <w:bCs/>
          <w:color w:val="auto"/>
          <w:sz w:val="24"/>
          <w:szCs w:val="18"/>
          <w:highlight w:val="none"/>
        </w:rPr>
      </w:pPr>
      <w:bookmarkStart w:id="3" w:name="_Toc21967"/>
      <w:bookmarkStart w:id="4" w:name="_Toc7340"/>
      <w:r>
        <w:rPr>
          <w:rFonts w:hint="eastAsia" w:ascii="宋体" w:hAnsi="宋体" w:eastAsia="宋体"/>
          <w:b/>
          <w:bCs/>
          <w:color w:val="auto"/>
          <w:sz w:val="24"/>
          <w:szCs w:val="18"/>
          <w:highlight w:val="none"/>
        </w:rPr>
        <w:t>项目概况</w:t>
      </w:r>
    </w:p>
    <w:p w14:paraId="35A61024">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r>
        <w:rPr>
          <w:rFonts w:hint="eastAsia" w:ascii="宋体" w:hAnsi="宋体" w:eastAsia="宋体"/>
          <w:color w:val="auto"/>
          <w:sz w:val="24"/>
          <w:szCs w:val="18"/>
          <w:highlight w:val="none"/>
          <w:u w:val="single"/>
          <w:lang w:eastAsia="zh-CN"/>
        </w:rPr>
        <w:t>滁城西片区排水综合整治工程四批次监理项目</w:t>
      </w:r>
      <w:r>
        <w:rPr>
          <w:rFonts w:hint="eastAsia" w:ascii="宋体" w:hAnsi="宋体" w:eastAsia="宋体"/>
          <w:color w:val="auto"/>
          <w:sz w:val="24"/>
          <w:szCs w:val="18"/>
          <w:highlight w:val="none"/>
        </w:rPr>
        <w:t>的潜在供应商应在</w:t>
      </w:r>
      <w:r>
        <w:rPr>
          <w:rFonts w:hint="eastAsia" w:ascii="宋体" w:hAnsi="宋体" w:eastAsia="宋体"/>
          <w:color w:val="auto"/>
          <w:sz w:val="24"/>
          <w:szCs w:val="18"/>
          <w:highlight w:val="none"/>
          <w:u w:val="single"/>
        </w:rPr>
        <w:t>滁州市公共资源交易中心网（http://ggzy.chuzhou.gov.cn/）</w:t>
      </w:r>
      <w:r>
        <w:rPr>
          <w:rFonts w:hint="eastAsia" w:ascii="宋体" w:hAnsi="宋体" w:eastAsia="宋体"/>
          <w:color w:val="auto"/>
          <w:sz w:val="24"/>
          <w:szCs w:val="18"/>
          <w:highlight w:val="none"/>
        </w:rPr>
        <w:t>获取采购文件，并于202</w:t>
      </w:r>
      <w:r>
        <w:rPr>
          <w:rFonts w:hint="eastAsia" w:ascii="宋体" w:hAnsi="宋体" w:eastAsia="宋体"/>
          <w:color w:val="auto"/>
          <w:sz w:val="24"/>
          <w:szCs w:val="18"/>
          <w:highlight w:val="none"/>
          <w:lang w:val="en-US" w:eastAsia="zh-CN"/>
        </w:rPr>
        <w:t>5</w:t>
      </w:r>
      <w:r>
        <w:rPr>
          <w:rFonts w:hint="eastAsia" w:ascii="宋体" w:hAnsi="宋体" w:eastAsia="宋体"/>
          <w:color w:val="auto"/>
          <w:sz w:val="24"/>
          <w:szCs w:val="18"/>
          <w:highlight w:val="none"/>
        </w:rPr>
        <w:t>年</w:t>
      </w:r>
      <w:r>
        <w:rPr>
          <w:rFonts w:hint="eastAsia" w:ascii="宋体" w:hAnsi="宋体" w:eastAsia="宋体"/>
          <w:color w:val="auto"/>
          <w:sz w:val="24"/>
          <w:szCs w:val="18"/>
          <w:highlight w:val="none"/>
          <w:lang w:val="en-US" w:eastAsia="zh-CN"/>
        </w:rPr>
        <w:t>10</w:t>
      </w:r>
      <w:r>
        <w:rPr>
          <w:rFonts w:hint="eastAsia" w:ascii="宋体" w:hAnsi="宋体" w:eastAsia="宋体"/>
          <w:color w:val="auto"/>
          <w:sz w:val="24"/>
          <w:szCs w:val="18"/>
          <w:highlight w:val="none"/>
        </w:rPr>
        <w:t>月</w:t>
      </w:r>
      <w:r>
        <w:rPr>
          <w:rFonts w:hint="eastAsia" w:ascii="宋体" w:hAnsi="宋体" w:eastAsia="宋体"/>
          <w:color w:val="auto"/>
          <w:sz w:val="24"/>
          <w:szCs w:val="18"/>
          <w:highlight w:val="none"/>
          <w:lang w:val="en-US" w:eastAsia="zh-CN"/>
        </w:rPr>
        <w:t>20</w:t>
      </w:r>
      <w:r>
        <w:rPr>
          <w:rFonts w:hint="eastAsia" w:ascii="宋体" w:hAnsi="宋体" w:eastAsia="宋体"/>
          <w:color w:val="auto"/>
          <w:sz w:val="24"/>
          <w:szCs w:val="18"/>
          <w:highlight w:val="none"/>
        </w:rPr>
        <w:t>日8点00分（北京时间）前递交响应文件。</w:t>
      </w:r>
    </w:p>
    <w:p w14:paraId="33CEDFAD">
      <w:pPr>
        <w:spacing w:line="360" w:lineRule="auto"/>
        <w:ind w:firstLine="435"/>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一、项目名称及内容</w:t>
      </w:r>
      <w:bookmarkEnd w:id="3"/>
      <w:bookmarkEnd w:id="4"/>
    </w:p>
    <w:p w14:paraId="1EA65D3E">
      <w:pPr>
        <w:spacing w:line="480" w:lineRule="exact"/>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项目编号：czsjcg202510-009</w:t>
      </w:r>
      <w:r>
        <w:rPr>
          <w:rFonts w:hint="eastAsia" w:asciiTheme="minorEastAsia" w:hAnsiTheme="minorEastAsia" w:eastAsiaTheme="minorEastAsia"/>
          <w:color w:val="auto"/>
          <w:sz w:val="24"/>
          <w:highlight w:val="none"/>
          <w:lang w:val="en-US" w:eastAsia="zh-CN"/>
        </w:rPr>
        <w:t xml:space="preserve"> </w:t>
      </w:r>
    </w:p>
    <w:p w14:paraId="3C31C8FB">
      <w:pPr>
        <w:autoSpaceDE w:val="0"/>
        <w:autoSpaceDN w:val="0"/>
        <w:adjustRightInd w:val="0"/>
        <w:spacing w:line="480" w:lineRule="exact"/>
        <w:ind w:firstLine="436" w:firstLineChars="182"/>
        <w:jc w:val="left"/>
        <w:rPr>
          <w:rFonts w:hint="eastAsia" w:ascii="宋体" w:hAnsi="宋体" w:eastAsiaTheme="minorEastAsia"/>
          <w:color w:val="auto"/>
          <w:sz w:val="24"/>
          <w:szCs w:val="18"/>
          <w:highlight w:val="none"/>
          <w:lang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lang w:eastAsia="zh-CN"/>
        </w:rPr>
        <w:t>滁城西片区排水综合整治工程四批次监理项目</w:t>
      </w:r>
    </w:p>
    <w:p w14:paraId="39087830">
      <w:pPr>
        <w:spacing w:line="48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采购方式：竞争性谈判</w:t>
      </w:r>
    </w:p>
    <w:p w14:paraId="2DE37F6B">
      <w:pPr>
        <w:spacing w:line="480" w:lineRule="exact"/>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预算金额：</w:t>
      </w:r>
      <w:r>
        <w:rPr>
          <w:rFonts w:hint="eastAsia" w:asciiTheme="minorEastAsia" w:hAnsiTheme="minorEastAsia" w:eastAsiaTheme="minorEastAsia"/>
          <w:color w:val="auto"/>
          <w:sz w:val="24"/>
          <w:highlight w:val="none"/>
          <w:lang w:val="en-US" w:eastAsia="zh-CN"/>
        </w:rPr>
        <w:t>约728100.00元</w:t>
      </w:r>
    </w:p>
    <w:p w14:paraId="2AD6B17C">
      <w:pPr>
        <w:spacing w:line="48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最高限价：</w:t>
      </w:r>
      <w:r>
        <w:rPr>
          <w:rFonts w:hint="eastAsia" w:asciiTheme="minorEastAsia" w:hAnsiTheme="minorEastAsia" w:eastAsiaTheme="minorEastAsia"/>
          <w:color w:val="auto"/>
          <w:sz w:val="24"/>
          <w:highlight w:val="none"/>
          <w:lang w:val="en-US" w:eastAsia="zh-CN"/>
        </w:rPr>
        <w:t>本项目采用费率报价，费率最高限价为国家发展改革委、建设部＜关于印发建设工程监理与相关收费管理规定＞的通知（发改价格【2007】670号）规定的价格标准的40%</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响应</w:t>
      </w:r>
      <w:r>
        <w:rPr>
          <w:rFonts w:hint="eastAsia" w:ascii="宋体" w:hAnsi="宋体" w:eastAsia="宋体"/>
          <w:color w:val="auto"/>
          <w:sz w:val="24"/>
          <w:szCs w:val="18"/>
          <w:highlight w:val="none"/>
        </w:rPr>
        <w:t>报价</w:t>
      </w:r>
      <w:r>
        <w:rPr>
          <w:rFonts w:hint="eastAsia" w:ascii="宋体" w:hAnsi="宋体" w:eastAsia="宋体"/>
          <w:color w:val="auto"/>
          <w:sz w:val="24"/>
          <w:szCs w:val="18"/>
          <w:highlight w:val="none"/>
          <w:lang w:eastAsia="zh-CN"/>
        </w:rPr>
        <w:t>（费率）</w:t>
      </w:r>
      <w:r>
        <w:rPr>
          <w:rFonts w:hint="eastAsia" w:ascii="宋体" w:hAnsi="宋体" w:eastAsia="宋体"/>
          <w:color w:val="auto"/>
          <w:sz w:val="24"/>
          <w:szCs w:val="18"/>
          <w:highlight w:val="none"/>
        </w:rPr>
        <w:t>不得高于最高限价（费率），否则按无效响应处理。</w:t>
      </w:r>
    </w:p>
    <w:p w14:paraId="2E65DEC8">
      <w:pPr>
        <w:spacing w:line="48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采购需求：接受</w:t>
      </w:r>
      <w:r>
        <w:rPr>
          <w:rFonts w:hint="eastAsia" w:asciiTheme="minorEastAsia" w:hAnsiTheme="minorEastAsia" w:eastAsiaTheme="minorEastAsia"/>
          <w:color w:val="auto"/>
          <w:sz w:val="24"/>
          <w:highlight w:val="none"/>
          <w:lang w:val="en-US" w:eastAsia="zh-CN"/>
        </w:rPr>
        <w:t>采购人</w:t>
      </w:r>
      <w:r>
        <w:rPr>
          <w:rFonts w:hint="eastAsia" w:asciiTheme="minorEastAsia" w:hAnsiTheme="minorEastAsia" w:eastAsiaTheme="minorEastAsia"/>
          <w:color w:val="auto"/>
          <w:sz w:val="24"/>
          <w:highlight w:val="none"/>
        </w:rPr>
        <w:t>委托开展项目前期工作，办理相关建设手续，参与本工程的施工准备阶段（包括项目的施工许可证等）、接受</w:t>
      </w:r>
      <w:r>
        <w:rPr>
          <w:rFonts w:hint="eastAsia" w:asciiTheme="minorEastAsia" w:hAnsiTheme="minorEastAsia" w:eastAsiaTheme="minorEastAsia"/>
          <w:color w:val="auto"/>
          <w:sz w:val="24"/>
          <w:highlight w:val="none"/>
          <w:lang w:val="en-US" w:eastAsia="zh-CN"/>
        </w:rPr>
        <w:t>采购人</w:t>
      </w:r>
      <w:r>
        <w:rPr>
          <w:rFonts w:hint="eastAsia" w:asciiTheme="minorEastAsia" w:hAnsiTheme="minorEastAsia" w:eastAsiaTheme="minorEastAsia"/>
          <w:color w:val="auto"/>
          <w:sz w:val="24"/>
          <w:highlight w:val="none"/>
        </w:rPr>
        <w:t>安排履行项目各项前期手续、施工阶段、工程收尾阶段（包括但不限于竣工验收、整改、工程移交、工程结算等）、工程质量保修阶段（缺陷责任期）的全过程监理服务，以及国家法律法规规定的其他监理服务，对工程进行进度、质量、投资、职业健康安全及环境监督管理、合同管理、信息管理、组织协调、安全生产监督及协调施工现场各方关系等</w:t>
      </w:r>
      <w:r>
        <w:rPr>
          <w:rFonts w:hint="eastAsia" w:asciiTheme="minorEastAsia" w:hAnsiTheme="minorEastAsia" w:eastAsiaTheme="minorEastAsia"/>
          <w:color w:val="auto"/>
          <w:sz w:val="24"/>
          <w:highlight w:val="none"/>
          <w:lang w:val="en-US" w:eastAsia="zh-CN"/>
        </w:rPr>
        <w:t>。</w:t>
      </w:r>
    </w:p>
    <w:p w14:paraId="5EDF987E">
      <w:pPr>
        <w:spacing w:line="480" w:lineRule="exact"/>
        <w:ind w:firstLine="435"/>
        <w:rPr>
          <w:rFonts w:eastAsia="宋体" w:asciiTheme="minorEastAsia" w:hAnsiTheme="minorEastAsia"/>
          <w:color w:val="auto"/>
          <w:sz w:val="24"/>
          <w:highlight w:val="none"/>
        </w:rPr>
      </w:pPr>
      <w:r>
        <w:rPr>
          <w:rFonts w:hint="eastAsia" w:asciiTheme="minorEastAsia" w:hAnsiTheme="minorEastAsia" w:eastAsiaTheme="minorEastAsia"/>
          <w:color w:val="auto"/>
          <w:sz w:val="24"/>
          <w:highlight w:val="none"/>
        </w:rPr>
        <w:t>合同履行期限：自合同签订之日起至本质量缺陷责任期满截止</w:t>
      </w:r>
      <w:r>
        <w:rPr>
          <w:rFonts w:hint="eastAsia" w:ascii="宋体" w:hAnsi="宋体" w:eastAsia="宋体" w:cs="宋体"/>
          <w:color w:val="auto"/>
          <w:sz w:val="24"/>
          <w:szCs w:val="24"/>
          <w:highlight w:val="none"/>
        </w:rPr>
        <w:t>。</w:t>
      </w:r>
    </w:p>
    <w:p w14:paraId="37204915">
      <w:pPr>
        <w:autoSpaceDE w:val="0"/>
        <w:autoSpaceDN w:val="0"/>
        <w:adjustRightInd w:val="0"/>
        <w:spacing w:line="360" w:lineRule="auto"/>
        <w:ind w:firstLine="436" w:firstLineChars="182"/>
        <w:jc w:val="left"/>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本项目不接受联合体。</w:t>
      </w:r>
    </w:p>
    <w:p w14:paraId="10AB0910">
      <w:pPr>
        <w:spacing w:line="360" w:lineRule="auto"/>
        <w:ind w:firstLine="435"/>
        <w:outlineLvl w:val="1"/>
        <w:rPr>
          <w:rFonts w:ascii="宋体" w:hAnsi="宋体" w:eastAsia="宋体"/>
          <w:b/>
          <w:bCs/>
          <w:color w:val="auto"/>
          <w:sz w:val="24"/>
          <w:szCs w:val="18"/>
          <w:highlight w:val="none"/>
        </w:rPr>
      </w:pPr>
      <w:bookmarkStart w:id="5" w:name="_Toc10226"/>
      <w:bookmarkStart w:id="6" w:name="_Toc9766"/>
      <w:r>
        <w:rPr>
          <w:rFonts w:hint="eastAsia" w:ascii="宋体" w:hAnsi="宋体" w:eastAsia="宋体"/>
          <w:b/>
          <w:bCs/>
          <w:color w:val="auto"/>
          <w:sz w:val="24"/>
          <w:szCs w:val="18"/>
          <w:highlight w:val="none"/>
        </w:rPr>
        <w:t>二</w:t>
      </w:r>
      <w:r>
        <w:rPr>
          <w:rFonts w:hint="eastAsia" w:asciiTheme="minorEastAsia" w:hAnsiTheme="minorEastAsia" w:eastAsiaTheme="minorEastAsia"/>
          <w:b/>
          <w:color w:val="auto"/>
          <w:sz w:val="24"/>
          <w:highlight w:val="none"/>
        </w:rPr>
        <w:t>、</w:t>
      </w:r>
      <w:bookmarkEnd w:id="5"/>
      <w:r>
        <w:rPr>
          <w:rFonts w:hint="eastAsia" w:ascii="宋体" w:hAnsi="宋体" w:eastAsia="宋体"/>
          <w:b/>
          <w:bCs/>
          <w:color w:val="auto"/>
          <w:sz w:val="24"/>
          <w:szCs w:val="18"/>
          <w:highlight w:val="none"/>
        </w:rPr>
        <w:t>申请人的资格要求</w:t>
      </w:r>
      <w:bookmarkEnd w:id="6"/>
    </w:p>
    <w:p w14:paraId="67403BA6">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5ACFADBF">
      <w:pPr>
        <w:spacing w:line="360" w:lineRule="auto"/>
        <w:ind w:firstLine="435"/>
        <w:rPr>
          <w:rFonts w:hint="eastAsia"/>
          <w:color w:val="auto"/>
          <w:highlight w:val="none"/>
          <w:lang w:eastAsia="zh-CN"/>
        </w:rPr>
      </w:pPr>
      <w:r>
        <w:rPr>
          <w:rFonts w:hint="eastAsia" w:asciiTheme="minorEastAsia" w:hAnsiTheme="minorEastAsia" w:eastAsiaTheme="minorEastAsia"/>
          <w:color w:val="auto"/>
          <w:sz w:val="24"/>
          <w:highlight w:val="none"/>
        </w:rPr>
        <w:t>2.落实政府采购政策需满足的资格要求：</w:t>
      </w:r>
      <w:r>
        <w:rPr>
          <w:rFonts w:hint="eastAsia" w:asciiTheme="minorEastAsia" w:hAnsiTheme="minorEastAsia" w:eastAsiaTheme="minorEastAsia"/>
          <w:color w:val="auto"/>
          <w:sz w:val="24"/>
          <w:highlight w:val="none"/>
          <w:lang w:val="en-US" w:eastAsia="zh-CN"/>
        </w:rPr>
        <w:t>按照财政部、工业和信息化部制定的《政府采购促进中小企业发展管理办法》，本项目为专门面向中小企业采购项目。企业划型标准按照《关于印发中小企业划型标准规定的通知》（工信部联企业〔2011〕300号）规定执行。</w:t>
      </w:r>
    </w:p>
    <w:p w14:paraId="7B9F544A">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3.本项目的特定资格要求：</w:t>
      </w:r>
      <w:r>
        <w:rPr>
          <w:rFonts w:hint="eastAsia" w:asciiTheme="minorEastAsia" w:hAnsiTheme="minorEastAsia" w:eastAsiaTheme="minorEastAsia"/>
          <w:color w:val="auto"/>
          <w:sz w:val="24"/>
          <w:highlight w:val="none"/>
          <w:lang w:val="en-US" w:eastAsia="zh-CN"/>
        </w:rPr>
        <w:t>（1）供应商须具备工程监理综合资质或市政公用工程监理乙级及以上资质；（2）拟派总监理工程师须持有在本单位注册的市政公用工程专业国家级注册监理工程师证书。</w:t>
      </w:r>
    </w:p>
    <w:p w14:paraId="1C27EFDF">
      <w:pPr>
        <w:spacing w:line="360" w:lineRule="auto"/>
        <w:ind w:firstLine="435"/>
        <w:outlineLvl w:val="1"/>
        <w:rPr>
          <w:rFonts w:hint="eastAsia" w:asciiTheme="minorEastAsia" w:hAnsiTheme="minorEastAsia" w:eastAsiaTheme="minorEastAsia"/>
          <w:color w:val="auto"/>
          <w:sz w:val="24"/>
          <w:highlight w:val="none"/>
        </w:rPr>
      </w:pPr>
      <w:bookmarkStart w:id="7" w:name="_Toc4607"/>
      <w:bookmarkStart w:id="8" w:name="_Toc31469"/>
      <w:r>
        <w:rPr>
          <w:rFonts w:hint="eastAsia" w:asciiTheme="minorEastAsia" w:hAnsiTheme="minorEastAsia" w:eastAsiaTheme="minorEastAsia"/>
          <w:color w:val="auto"/>
          <w:sz w:val="24"/>
          <w:highlight w:val="none"/>
        </w:rPr>
        <w:t>4.信誉要求：供应商不得存在以下情形：</w:t>
      </w:r>
    </w:p>
    <w:p w14:paraId="48CED6B4">
      <w:pPr>
        <w:spacing w:line="360" w:lineRule="auto"/>
        <w:ind w:firstLine="435"/>
        <w:outlineLv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①被列入“信用中国”网站“失信被执行人”的；</w:t>
      </w:r>
    </w:p>
    <w:p w14:paraId="1134E614">
      <w:pPr>
        <w:spacing w:line="360" w:lineRule="auto"/>
        <w:ind w:firstLine="435"/>
        <w:outlineLv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②被列入“信用中国”网站“重大税收违法失信主体”的；</w:t>
      </w:r>
    </w:p>
    <w:p w14:paraId="53271BE9">
      <w:pPr>
        <w:spacing w:line="360" w:lineRule="auto"/>
        <w:ind w:firstLine="435"/>
        <w:outlineLv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③被列入“信用中国”网站 “严重失信主体名单”的；</w:t>
      </w:r>
    </w:p>
    <w:p w14:paraId="33A48BAE">
      <w:pPr>
        <w:spacing w:line="360" w:lineRule="auto"/>
        <w:ind w:firstLine="435"/>
        <w:outlineLv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④在“信用中国”网站上披露的仍在公示期的严重失信行为(具体行为类别及判定依据见“信用中国”查询的严重失信行为类别及判定依据)的；</w:t>
      </w:r>
    </w:p>
    <w:p w14:paraId="22BB9E81">
      <w:pPr>
        <w:spacing w:line="360" w:lineRule="auto"/>
        <w:ind w:firstLine="435"/>
        <w:outlineLv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⑤被列入国家企业信用信息公示系统网站“经营异常名录”或者“严重违法失信名单”的。</w:t>
      </w:r>
    </w:p>
    <w:p w14:paraId="33DB142C">
      <w:pPr>
        <w:spacing w:line="360" w:lineRule="auto"/>
        <w:ind w:firstLine="435"/>
        <w:outlineLv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⑥被列入中国政府采购网站“政府采购严重违法失信行为信息记录”的；</w:t>
      </w:r>
    </w:p>
    <w:p w14:paraId="03331391">
      <w:pPr>
        <w:spacing w:line="360" w:lineRule="auto"/>
        <w:ind w:firstLine="435"/>
        <w:outlineLv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⑦前三年有行贿犯罪行为的单位和个人。</w:t>
      </w:r>
    </w:p>
    <w:p w14:paraId="70F1BEF7">
      <w:pPr>
        <w:spacing w:line="360" w:lineRule="auto"/>
        <w:ind w:firstLine="435"/>
        <w:outlineLv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5.供应商所属分公司、办事处等分支机构存在第4款信誉要求①-⑦项情形之一的，接受供应商参加本项目。</w:t>
      </w:r>
    </w:p>
    <w:p w14:paraId="317E634B">
      <w:pPr>
        <w:spacing w:line="360" w:lineRule="auto"/>
        <w:ind w:firstLine="435"/>
        <w:outlineLvl w:val="1"/>
        <w:rPr>
          <w:rFonts w:hint="eastAsia" w:ascii="宋体" w:hAnsi="宋体" w:eastAsiaTheme="minorEastAsia"/>
          <w:b/>
          <w:bCs/>
          <w:color w:val="auto"/>
          <w:sz w:val="24"/>
          <w:szCs w:val="18"/>
          <w:highlight w:val="none"/>
          <w:lang w:eastAsia="zh-CN"/>
        </w:rPr>
      </w:pPr>
      <w:r>
        <w:rPr>
          <w:rFonts w:hint="eastAsia" w:asciiTheme="minorEastAsia" w:hAnsiTheme="minorEastAsia" w:eastAsiaTheme="minorEastAsia"/>
          <w:color w:val="auto"/>
          <w:sz w:val="24"/>
          <w:highlight w:val="none"/>
        </w:rPr>
        <w:t>备注：第4、5条按照“关于联合惩戒失信行为加强信用查询管理的通知”查询或承诺</w:t>
      </w:r>
      <w:r>
        <w:rPr>
          <w:rFonts w:hint="eastAsia" w:asciiTheme="minorEastAsia" w:hAnsiTheme="minorEastAsia" w:eastAsiaTheme="minorEastAsia"/>
          <w:color w:val="auto"/>
          <w:sz w:val="24"/>
          <w:highlight w:val="none"/>
          <w:lang w:eastAsia="zh-CN"/>
        </w:rPr>
        <w:t>。</w:t>
      </w:r>
    </w:p>
    <w:p w14:paraId="551F470A">
      <w:pPr>
        <w:spacing w:line="360" w:lineRule="auto"/>
        <w:ind w:firstLine="435"/>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三</w:t>
      </w:r>
      <w:r>
        <w:rPr>
          <w:rFonts w:hint="eastAsia" w:asciiTheme="minorEastAsia" w:hAnsiTheme="minorEastAsia" w:eastAsiaTheme="minorEastAsia"/>
          <w:b/>
          <w:color w:val="auto"/>
          <w:sz w:val="24"/>
          <w:highlight w:val="none"/>
        </w:rPr>
        <w:t>、</w:t>
      </w:r>
      <w:bookmarkEnd w:id="7"/>
      <w:r>
        <w:rPr>
          <w:rFonts w:hint="eastAsia" w:asciiTheme="minorEastAsia" w:hAnsiTheme="minorEastAsia" w:eastAsiaTheme="minorEastAsia"/>
          <w:b/>
          <w:color w:val="auto"/>
          <w:sz w:val="24"/>
          <w:highlight w:val="none"/>
        </w:rPr>
        <w:t>获取采购文件</w:t>
      </w:r>
      <w:bookmarkEnd w:id="8"/>
    </w:p>
    <w:p w14:paraId="7181F4A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u w:val="single"/>
          <w:lang w:val="en-US" w:eastAsia="zh-CN"/>
        </w:rPr>
        <w:t>2025</w:t>
      </w:r>
      <w:r>
        <w:rPr>
          <w:rFonts w:hint="eastAsia" w:asciiTheme="minorEastAsia" w:hAnsiTheme="minorEastAsia" w:eastAsiaTheme="minorEastAsia" w:cstheme="minorEastAsia"/>
          <w:color w:val="auto"/>
          <w:sz w:val="24"/>
          <w:szCs w:val="24"/>
          <w:highlight w:val="none"/>
          <w:u w:val="none"/>
        </w:rPr>
        <w:t>年</w:t>
      </w:r>
      <w:r>
        <w:rPr>
          <w:rFonts w:hint="eastAsia" w:asciiTheme="minorEastAsia" w:hAnsiTheme="minorEastAsia" w:eastAsiaTheme="minorEastAsia" w:cstheme="minorEastAsia"/>
          <w:color w:val="auto"/>
          <w:sz w:val="24"/>
          <w:szCs w:val="24"/>
          <w:highlight w:val="none"/>
          <w:u w:val="single"/>
          <w:lang w:val="en-US" w:eastAsia="zh-CN"/>
        </w:rPr>
        <w:t>10</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single"/>
          <w:lang w:val="en-US" w:eastAsia="zh-CN"/>
        </w:rPr>
        <w:t>14</w:t>
      </w:r>
      <w:r>
        <w:rPr>
          <w:rFonts w:hint="eastAsia" w:asciiTheme="minorEastAsia" w:hAnsiTheme="minorEastAsia" w:eastAsiaTheme="minorEastAsia" w:cstheme="minorEastAsia"/>
          <w:color w:val="auto"/>
          <w:sz w:val="24"/>
          <w:szCs w:val="24"/>
          <w:highlight w:val="none"/>
          <w:u w:val="none"/>
        </w:rPr>
        <w:t>日</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lang w:val="en-US" w:eastAsia="zh-CN"/>
        </w:rPr>
        <w:t>2025</w:t>
      </w:r>
      <w:r>
        <w:rPr>
          <w:rFonts w:hint="eastAsia" w:asciiTheme="minorEastAsia" w:hAnsiTheme="minorEastAsia" w:eastAsiaTheme="minorEastAsia" w:cstheme="minorEastAsia"/>
          <w:color w:val="auto"/>
          <w:sz w:val="24"/>
          <w:szCs w:val="24"/>
          <w:highlight w:val="none"/>
          <w:u w:val="none"/>
        </w:rPr>
        <w:t>年</w:t>
      </w:r>
      <w:r>
        <w:rPr>
          <w:rFonts w:hint="eastAsia" w:asciiTheme="minorEastAsia" w:hAnsiTheme="minorEastAsia" w:eastAsiaTheme="minorEastAsia" w:cstheme="minorEastAsia"/>
          <w:color w:val="auto"/>
          <w:sz w:val="24"/>
          <w:szCs w:val="24"/>
          <w:highlight w:val="none"/>
          <w:u w:val="single"/>
          <w:lang w:val="en-US" w:eastAsia="zh-CN"/>
        </w:rPr>
        <w:t>10</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single"/>
          <w:lang w:val="en-US" w:eastAsia="zh-CN"/>
        </w:rPr>
        <w:t>20</w:t>
      </w:r>
      <w:r>
        <w:rPr>
          <w:rFonts w:hint="eastAsia" w:asciiTheme="minorEastAsia" w:hAnsiTheme="minorEastAsia" w:eastAsiaTheme="minorEastAsia" w:cstheme="minorEastAsia"/>
          <w:color w:val="auto"/>
          <w:sz w:val="24"/>
          <w:szCs w:val="24"/>
          <w:highlight w:val="none"/>
          <w:u w:val="none"/>
        </w:rPr>
        <w:t>日</w:t>
      </w:r>
    </w:p>
    <w:p w14:paraId="100BCE8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地点：滁州市公共资源交易中心网</w:t>
      </w:r>
    </w:p>
    <w:p w14:paraId="4B02C9C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方式：网上下载</w:t>
      </w:r>
    </w:p>
    <w:p w14:paraId="6B0A7D0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售价：0元</w:t>
      </w:r>
    </w:p>
    <w:p w14:paraId="3BDE39B2">
      <w:pPr>
        <w:spacing w:line="360" w:lineRule="auto"/>
        <w:ind w:firstLine="435"/>
        <w:outlineLvl w:val="1"/>
        <w:rPr>
          <w:rFonts w:ascii="宋体" w:hAnsi="宋体" w:eastAsia="宋体"/>
          <w:b/>
          <w:bCs/>
          <w:color w:val="auto"/>
          <w:sz w:val="24"/>
          <w:szCs w:val="18"/>
          <w:highlight w:val="none"/>
        </w:rPr>
      </w:pPr>
      <w:bookmarkStart w:id="9" w:name="_Toc19753"/>
      <w:bookmarkStart w:id="10" w:name="_Toc16674"/>
      <w:r>
        <w:rPr>
          <w:rFonts w:hint="eastAsia" w:ascii="宋体" w:hAnsi="宋体" w:eastAsia="宋体"/>
          <w:b/>
          <w:bCs/>
          <w:color w:val="auto"/>
          <w:sz w:val="24"/>
          <w:szCs w:val="18"/>
          <w:highlight w:val="none"/>
        </w:rPr>
        <w:t>四</w:t>
      </w:r>
      <w:r>
        <w:rPr>
          <w:rFonts w:hint="eastAsia" w:asciiTheme="minorEastAsia" w:hAnsiTheme="minorEastAsia" w:eastAsiaTheme="minorEastAsia"/>
          <w:b/>
          <w:color w:val="auto"/>
          <w:sz w:val="24"/>
          <w:highlight w:val="none"/>
        </w:rPr>
        <w:t>、</w:t>
      </w:r>
      <w:bookmarkEnd w:id="9"/>
      <w:r>
        <w:rPr>
          <w:rFonts w:hint="eastAsia" w:ascii="宋体" w:hAnsi="宋体" w:eastAsia="宋体"/>
          <w:b/>
          <w:bCs/>
          <w:color w:val="auto"/>
          <w:sz w:val="24"/>
          <w:highlight w:val="none"/>
        </w:rPr>
        <w:t>响应文件提交</w:t>
      </w:r>
      <w:bookmarkEnd w:id="10"/>
    </w:p>
    <w:p w14:paraId="445FE3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u w:val="none"/>
        </w:rPr>
      </w:pPr>
      <w:r>
        <w:rPr>
          <w:rFonts w:hint="eastAsia" w:asciiTheme="minorEastAsia" w:hAnsiTheme="minorEastAsia" w:eastAsiaTheme="minorEastAsia" w:cstheme="minorEastAsia"/>
          <w:bCs/>
          <w:color w:val="auto"/>
          <w:sz w:val="24"/>
          <w:szCs w:val="24"/>
          <w:highlight w:val="none"/>
          <w:u w:val="none"/>
        </w:rPr>
        <w:t>截止时间：</w:t>
      </w:r>
      <w:r>
        <w:rPr>
          <w:rFonts w:hint="eastAsia" w:asciiTheme="minorEastAsia" w:hAnsiTheme="minorEastAsia" w:eastAsiaTheme="minorEastAsia" w:cstheme="minorEastAsia"/>
          <w:bCs/>
          <w:color w:val="auto"/>
          <w:sz w:val="24"/>
          <w:szCs w:val="24"/>
          <w:highlight w:val="none"/>
          <w:u w:val="single"/>
          <w:lang w:val="en-US" w:eastAsia="zh-CN"/>
        </w:rPr>
        <w:t>2025</w:t>
      </w:r>
      <w:r>
        <w:rPr>
          <w:rFonts w:hint="eastAsia" w:asciiTheme="minorEastAsia" w:hAnsiTheme="minorEastAsia" w:eastAsiaTheme="minorEastAsia" w:cstheme="minorEastAsia"/>
          <w:bCs/>
          <w:color w:val="auto"/>
          <w:sz w:val="24"/>
          <w:szCs w:val="24"/>
          <w:highlight w:val="none"/>
          <w:u w:val="none"/>
        </w:rPr>
        <w:t>年</w:t>
      </w:r>
      <w:r>
        <w:rPr>
          <w:rFonts w:hint="eastAsia" w:asciiTheme="minorEastAsia" w:hAnsiTheme="minorEastAsia" w:eastAsiaTheme="minorEastAsia" w:cstheme="minorEastAsia"/>
          <w:bCs/>
          <w:color w:val="auto"/>
          <w:sz w:val="24"/>
          <w:szCs w:val="24"/>
          <w:highlight w:val="none"/>
          <w:u w:val="single"/>
          <w:lang w:val="en-US" w:eastAsia="zh-CN"/>
        </w:rPr>
        <w:t>10</w:t>
      </w:r>
      <w:r>
        <w:rPr>
          <w:rFonts w:hint="eastAsia" w:asciiTheme="minorEastAsia" w:hAnsiTheme="minorEastAsia" w:eastAsiaTheme="minorEastAsia" w:cstheme="minorEastAsia"/>
          <w:bCs/>
          <w:color w:val="auto"/>
          <w:sz w:val="24"/>
          <w:szCs w:val="24"/>
          <w:highlight w:val="none"/>
          <w:u w:val="none"/>
        </w:rPr>
        <w:t>月</w:t>
      </w:r>
      <w:r>
        <w:rPr>
          <w:rFonts w:hint="eastAsia" w:asciiTheme="minorEastAsia" w:hAnsiTheme="minorEastAsia" w:eastAsiaTheme="minorEastAsia" w:cstheme="minorEastAsia"/>
          <w:bCs/>
          <w:color w:val="auto"/>
          <w:sz w:val="24"/>
          <w:szCs w:val="24"/>
          <w:highlight w:val="none"/>
          <w:u w:val="single"/>
          <w:lang w:val="en-US" w:eastAsia="zh-CN"/>
        </w:rPr>
        <w:t>20</w:t>
      </w:r>
      <w:r>
        <w:rPr>
          <w:rFonts w:hint="eastAsia" w:asciiTheme="minorEastAsia" w:hAnsiTheme="minorEastAsia" w:eastAsiaTheme="minorEastAsia" w:cstheme="minorEastAsia"/>
          <w:bCs/>
          <w:color w:val="auto"/>
          <w:sz w:val="24"/>
          <w:szCs w:val="24"/>
          <w:highlight w:val="none"/>
          <w:u w:val="none"/>
        </w:rPr>
        <w:t>日</w:t>
      </w:r>
      <w:r>
        <w:rPr>
          <w:rFonts w:hint="eastAsia" w:asciiTheme="minorEastAsia" w:hAnsiTheme="minorEastAsia" w:eastAsiaTheme="minorEastAsia" w:cstheme="minorEastAsia"/>
          <w:bCs/>
          <w:color w:val="auto"/>
          <w:sz w:val="24"/>
          <w:szCs w:val="24"/>
          <w:highlight w:val="none"/>
          <w:u w:val="single"/>
          <w:lang w:val="en-US" w:eastAsia="zh-CN"/>
        </w:rPr>
        <w:t>08</w:t>
      </w:r>
      <w:r>
        <w:rPr>
          <w:rFonts w:hint="eastAsia" w:asciiTheme="minorEastAsia" w:hAnsiTheme="minorEastAsia" w:eastAsiaTheme="minorEastAsia" w:cstheme="minorEastAsia"/>
          <w:bCs/>
          <w:color w:val="auto"/>
          <w:sz w:val="24"/>
          <w:szCs w:val="24"/>
          <w:highlight w:val="none"/>
          <w:u w:val="none"/>
        </w:rPr>
        <w:t>点</w:t>
      </w:r>
      <w:r>
        <w:rPr>
          <w:rFonts w:hint="eastAsia" w:asciiTheme="minorEastAsia" w:hAnsiTheme="minorEastAsia" w:eastAsiaTheme="minorEastAsia" w:cstheme="minorEastAsia"/>
          <w:bCs/>
          <w:color w:val="auto"/>
          <w:sz w:val="24"/>
          <w:szCs w:val="24"/>
          <w:highlight w:val="none"/>
          <w:u w:val="single"/>
          <w:lang w:val="en-US" w:eastAsia="zh-CN"/>
        </w:rPr>
        <w:t>00</w:t>
      </w:r>
      <w:r>
        <w:rPr>
          <w:rFonts w:hint="eastAsia" w:asciiTheme="minorEastAsia" w:hAnsiTheme="minorEastAsia" w:eastAsiaTheme="minorEastAsia" w:cstheme="minorEastAsia"/>
          <w:bCs/>
          <w:color w:val="auto"/>
          <w:sz w:val="24"/>
          <w:szCs w:val="24"/>
          <w:highlight w:val="none"/>
          <w:u w:val="none"/>
        </w:rPr>
        <w:t>分</w:t>
      </w:r>
      <w:r>
        <w:rPr>
          <w:rFonts w:hint="eastAsia" w:asciiTheme="minorEastAsia" w:hAnsiTheme="minorEastAsia" w:eastAsiaTheme="minorEastAsia" w:cstheme="minorEastAsia"/>
          <w:bCs/>
          <w:color w:val="auto"/>
          <w:sz w:val="24"/>
          <w:szCs w:val="24"/>
          <w:highlight w:val="none"/>
        </w:rPr>
        <w:t>（北京时间）</w:t>
      </w:r>
    </w:p>
    <w:p w14:paraId="33DC184D">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stheme="minorEastAsia"/>
          <w:color w:val="auto"/>
          <w:sz w:val="24"/>
          <w:szCs w:val="24"/>
          <w:highlight w:val="none"/>
        </w:rPr>
        <w:t>地点：滁州市公共资源交易中心</w:t>
      </w:r>
    </w:p>
    <w:p w14:paraId="3062808E">
      <w:pPr>
        <w:spacing w:line="360" w:lineRule="auto"/>
        <w:ind w:firstLine="435"/>
        <w:outlineLvl w:val="1"/>
        <w:rPr>
          <w:rFonts w:ascii="宋体" w:hAnsi="宋体" w:eastAsia="宋体"/>
          <w:b/>
          <w:bCs/>
          <w:color w:val="auto"/>
          <w:sz w:val="24"/>
          <w:szCs w:val="18"/>
          <w:highlight w:val="none"/>
        </w:rPr>
      </w:pPr>
      <w:bookmarkStart w:id="11" w:name="_Toc8953"/>
      <w:bookmarkStart w:id="12" w:name="_Toc7959"/>
      <w:r>
        <w:rPr>
          <w:rFonts w:hint="eastAsia" w:ascii="宋体" w:hAnsi="宋体" w:eastAsia="宋体"/>
          <w:b/>
          <w:bCs/>
          <w:color w:val="auto"/>
          <w:sz w:val="24"/>
          <w:szCs w:val="18"/>
          <w:highlight w:val="none"/>
        </w:rPr>
        <w:t>五</w:t>
      </w:r>
      <w:r>
        <w:rPr>
          <w:rFonts w:hint="eastAsia" w:asciiTheme="minorEastAsia" w:hAnsiTheme="minorEastAsia" w:eastAsiaTheme="minorEastAsia"/>
          <w:b/>
          <w:color w:val="auto"/>
          <w:sz w:val="24"/>
          <w:highlight w:val="none"/>
        </w:rPr>
        <w:t>、</w:t>
      </w:r>
      <w:bookmarkEnd w:id="11"/>
      <w:r>
        <w:rPr>
          <w:rFonts w:hint="eastAsia" w:ascii="宋体" w:hAnsi="宋体" w:eastAsia="宋体"/>
          <w:b/>
          <w:bCs/>
          <w:color w:val="auto"/>
          <w:sz w:val="24"/>
          <w:highlight w:val="none"/>
        </w:rPr>
        <w:t>开启</w:t>
      </w:r>
      <w:bookmarkEnd w:id="12"/>
    </w:p>
    <w:p w14:paraId="52752B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u w:val="none"/>
        </w:rPr>
        <w:t>时间：</w:t>
      </w:r>
      <w:r>
        <w:rPr>
          <w:rFonts w:hint="eastAsia" w:asciiTheme="minorEastAsia" w:hAnsiTheme="minorEastAsia" w:eastAsiaTheme="minorEastAsia" w:cstheme="minorEastAsia"/>
          <w:bCs/>
          <w:color w:val="auto"/>
          <w:sz w:val="24"/>
          <w:szCs w:val="24"/>
          <w:highlight w:val="none"/>
          <w:u w:val="single"/>
          <w:lang w:val="en-US" w:eastAsia="zh-CN"/>
        </w:rPr>
        <w:t>2025</w:t>
      </w:r>
      <w:r>
        <w:rPr>
          <w:rFonts w:hint="eastAsia" w:asciiTheme="minorEastAsia" w:hAnsiTheme="minorEastAsia" w:eastAsiaTheme="minorEastAsia" w:cstheme="minorEastAsia"/>
          <w:bCs/>
          <w:color w:val="auto"/>
          <w:sz w:val="24"/>
          <w:szCs w:val="24"/>
          <w:highlight w:val="none"/>
          <w:u w:val="none"/>
        </w:rPr>
        <w:t>年</w:t>
      </w:r>
      <w:r>
        <w:rPr>
          <w:rFonts w:hint="eastAsia" w:asciiTheme="minorEastAsia" w:hAnsiTheme="minorEastAsia" w:eastAsiaTheme="minorEastAsia" w:cstheme="minorEastAsia"/>
          <w:bCs/>
          <w:color w:val="auto"/>
          <w:sz w:val="24"/>
          <w:szCs w:val="24"/>
          <w:highlight w:val="none"/>
          <w:u w:val="single"/>
          <w:lang w:val="en-US" w:eastAsia="zh-CN"/>
        </w:rPr>
        <w:t>10</w:t>
      </w:r>
      <w:r>
        <w:rPr>
          <w:rFonts w:hint="eastAsia" w:asciiTheme="minorEastAsia" w:hAnsiTheme="minorEastAsia" w:eastAsiaTheme="minorEastAsia" w:cstheme="minorEastAsia"/>
          <w:bCs/>
          <w:color w:val="auto"/>
          <w:sz w:val="24"/>
          <w:szCs w:val="24"/>
          <w:highlight w:val="none"/>
          <w:u w:val="none"/>
        </w:rPr>
        <w:t>月</w:t>
      </w:r>
      <w:r>
        <w:rPr>
          <w:rFonts w:hint="eastAsia" w:asciiTheme="minorEastAsia" w:hAnsiTheme="minorEastAsia" w:eastAsiaTheme="minorEastAsia" w:cstheme="minorEastAsia"/>
          <w:bCs/>
          <w:color w:val="auto"/>
          <w:sz w:val="24"/>
          <w:szCs w:val="24"/>
          <w:highlight w:val="none"/>
          <w:u w:val="single"/>
          <w:lang w:val="en-US" w:eastAsia="zh-CN"/>
        </w:rPr>
        <w:t>20</w:t>
      </w:r>
      <w:r>
        <w:rPr>
          <w:rFonts w:hint="eastAsia" w:asciiTheme="minorEastAsia" w:hAnsiTheme="minorEastAsia" w:eastAsiaTheme="minorEastAsia" w:cstheme="minorEastAsia"/>
          <w:bCs/>
          <w:color w:val="auto"/>
          <w:sz w:val="24"/>
          <w:szCs w:val="24"/>
          <w:highlight w:val="none"/>
          <w:u w:val="none"/>
        </w:rPr>
        <w:t>日</w:t>
      </w:r>
      <w:r>
        <w:rPr>
          <w:rFonts w:hint="eastAsia" w:asciiTheme="minorEastAsia" w:hAnsiTheme="minorEastAsia" w:eastAsiaTheme="minorEastAsia" w:cstheme="minorEastAsia"/>
          <w:bCs/>
          <w:color w:val="auto"/>
          <w:sz w:val="24"/>
          <w:szCs w:val="24"/>
          <w:highlight w:val="none"/>
          <w:u w:val="single"/>
          <w:lang w:val="en-US" w:eastAsia="zh-CN"/>
        </w:rPr>
        <w:t>08</w:t>
      </w:r>
      <w:r>
        <w:rPr>
          <w:rFonts w:hint="eastAsia" w:asciiTheme="minorEastAsia" w:hAnsiTheme="minorEastAsia" w:eastAsiaTheme="minorEastAsia" w:cstheme="minorEastAsia"/>
          <w:bCs/>
          <w:color w:val="auto"/>
          <w:sz w:val="24"/>
          <w:szCs w:val="24"/>
          <w:highlight w:val="none"/>
          <w:u w:val="none"/>
        </w:rPr>
        <w:t>点</w:t>
      </w:r>
      <w:r>
        <w:rPr>
          <w:rFonts w:hint="eastAsia" w:asciiTheme="minorEastAsia" w:hAnsiTheme="minorEastAsia" w:eastAsiaTheme="minorEastAsia" w:cstheme="minorEastAsia"/>
          <w:bCs/>
          <w:color w:val="auto"/>
          <w:sz w:val="24"/>
          <w:szCs w:val="24"/>
          <w:highlight w:val="none"/>
          <w:u w:val="single"/>
          <w:lang w:val="en-US" w:eastAsia="zh-CN"/>
        </w:rPr>
        <w:t>00</w:t>
      </w:r>
      <w:r>
        <w:rPr>
          <w:rFonts w:hint="eastAsia" w:asciiTheme="minorEastAsia" w:hAnsiTheme="minorEastAsia" w:eastAsiaTheme="minorEastAsia" w:cstheme="minorEastAsia"/>
          <w:bCs/>
          <w:color w:val="auto"/>
          <w:sz w:val="24"/>
          <w:szCs w:val="24"/>
          <w:highlight w:val="none"/>
          <w:u w:val="none"/>
        </w:rPr>
        <w:t>分</w:t>
      </w:r>
      <w:r>
        <w:rPr>
          <w:rFonts w:hint="eastAsia" w:asciiTheme="minorEastAsia" w:hAnsiTheme="minorEastAsia" w:eastAsiaTheme="minorEastAsia" w:cstheme="minorEastAsia"/>
          <w:bCs/>
          <w:color w:val="auto"/>
          <w:sz w:val="24"/>
          <w:szCs w:val="24"/>
          <w:highlight w:val="none"/>
        </w:rPr>
        <w:t>（北京时间）</w:t>
      </w:r>
    </w:p>
    <w:p w14:paraId="41640C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olor w:val="auto"/>
          <w:sz w:val="24"/>
          <w:szCs w:val="18"/>
          <w:highlight w:val="none"/>
        </w:rPr>
      </w:pPr>
      <w:r>
        <w:rPr>
          <w:rFonts w:hint="eastAsia" w:asciiTheme="minorEastAsia" w:hAnsiTheme="minorEastAsia" w:eastAsiaTheme="minorEastAsia" w:cstheme="minorEastAsia"/>
          <w:color w:val="auto"/>
          <w:sz w:val="24"/>
          <w:szCs w:val="24"/>
          <w:highlight w:val="none"/>
        </w:rPr>
        <w:t>地点：滁州市公共资源交易中心</w:t>
      </w:r>
    </w:p>
    <w:p w14:paraId="5E97229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14575"/>
      <w:bookmarkStart w:id="14" w:name="_Toc16203"/>
      <w:r>
        <w:rPr>
          <w:rFonts w:hint="eastAsia" w:ascii="宋体" w:hAnsi="宋体" w:eastAsia="宋体"/>
          <w:b/>
          <w:bCs/>
          <w:color w:val="auto"/>
          <w:sz w:val="24"/>
          <w:szCs w:val="18"/>
          <w:highlight w:val="none"/>
          <w:lang w:val="en-US" w:eastAsia="zh-CN"/>
        </w:rPr>
        <w:t>六</w:t>
      </w:r>
      <w:r>
        <w:rPr>
          <w:rFonts w:hint="eastAsia" w:ascii="宋体" w:hAnsi="宋体" w:eastAsia="宋体"/>
          <w:b/>
          <w:bCs/>
          <w:color w:val="auto"/>
          <w:sz w:val="24"/>
          <w:szCs w:val="18"/>
          <w:highlight w:val="none"/>
        </w:rPr>
        <w:t>、公告期限</w:t>
      </w:r>
      <w:bookmarkEnd w:id="13"/>
    </w:p>
    <w:p w14:paraId="7B75C6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u w:val="none"/>
        </w:rPr>
      </w:pPr>
      <w:r>
        <w:rPr>
          <w:rFonts w:hint="eastAsia" w:asciiTheme="minorEastAsia" w:hAnsiTheme="minorEastAsia" w:eastAsiaTheme="minorEastAsia" w:cstheme="minorEastAsia"/>
          <w:bCs/>
          <w:color w:val="auto"/>
          <w:sz w:val="24"/>
          <w:szCs w:val="24"/>
          <w:highlight w:val="none"/>
          <w:u w:val="none"/>
        </w:rPr>
        <w:t>自本公告发布之日起3个工作日。</w:t>
      </w:r>
    </w:p>
    <w:p w14:paraId="03749FBE">
      <w:pPr>
        <w:spacing w:line="480" w:lineRule="exact"/>
        <w:ind w:firstLine="437"/>
        <w:outlineLvl w:val="1"/>
        <w:rPr>
          <w:rFonts w:ascii="宋体" w:hAnsi="宋体" w:eastAsia="宋体"/>
          <w:b/>
          <w:bCs/>
          <w:color w:val="auto"/>
          <w:sz w:val="24"/>
          <w:szCs w:val="18"/>
          <w:highlight w:val="none"/>
        </w:rPr>
      </w:pPr>
      <w:bookmarkStart w:id="15" w:name="_Toc10195"/>
      <w:bookmarkStart w:id="16" w:name="_Toc35393626"/>
      <w:bookmarkStart w:id="17" w:name="_Toc35393795"/>
      <w:bookmarkStart w:id="18" w:name="_Toc7755"/>
      <w:r>
        <w:rPr>
          <w:rFonts w:hint="eastAsia" w:ascii="宋体" w:hAnsi="宋体" w:eastAsia="宋体"/>
          <w:b/>
          <w:bCs/>
          <w:color w:val="auto"/>
          <w:sz w:val="24"/>
          <w:szCs w:val="18"/>
          <w:highlight w:val="none"/>
        </w:rPr>
        <w:t>七、保证金金额及缴纳账户</w:t>
      </w:r>
    </w:p>
    <w:p w14:paraId="43B9E2D5">
      <w:pPr>
        <w:adjustRightInd w:val="0"/>
        <w:snapToGrid w:val="0"/>
        <w:spacing w:line="48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是否要求供应商提交保证金：不要求。</w:t>
      </w:r>
    </w:p>
    <w:p w14:paraId="6A3CC1D4">
      <w:pPr>
        <w:spacing w:line="480" w:lineRule="exact"/>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八、其他补充事宜</w:t>
      </w:r>
      <w:bookmarkEnd w:id="15"/>
      <w:bookmarkEnd w:id="16"/>
      <w:bookmarkEnd w:id="17"/>
    </w:p>
    <w:p w14:paraId="0AEECCE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outlineLvl w:val="1"/>
        <w:rPr>
          <w:rFonts w:hint="eastAsia" w:ascii="宋体" w:hAnsi="宋体" w:eastAsia="宋体"/>
          <w:color w:val="auto"/>
          <w:sz w:val="24"/>
          <w:szCs w:val="18"/>
          <w:highlight w:val="none"/>
        </w:rPr>
      </w:pPr>
      <w:r>
        <w:rPr>
          <w:rFonts w:hint="eastAsia" w:ascii="宋体" w:hAnsi="宋体" w:eastAsia="宋体"/>
          <w:color w:val="auto"/>
          <w:sz w:val="24"/>
          <w:szCs w:val="18"/>
          <w:highlight w:val="none"/>
        </w:rPr>
        <w:t>1.本项目只接受在安徽省公共资源交易市场主体库（http://ggzy.ah.gov.cn/ahggfwpt-zhutiku/dengludenglu）登记并进行信息确认提交的供应商参与，未登记的供应商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；2.CA数字证书有关问题：安徽CA客服400-880-4959、0550-3019013（工作日），CFCA客服025-66085508 、0550-3801669（工作日）；3.市场主体招标环节和投标环节系统使用问题：0512-581885160（8：00-21：00）、0550-3801701（工作日）。因未及时通过CA数字证书登录省主体库对相关信息进行补充完善并确认提交，导致无法参与本项目的，责任自负。为保证系统使用过程中产生的问题能够及时得到解决，请各主体进行主体信息登记、更新、响应文件制作等相关操作。</w:t>
      </w:r>
    </w:p>
    <w:p w14:paraId="7D4CABFE">
      <w:pPr>
        <w:spacing w:line="360" w:lineRule="auto"/>
        <w:ind w:firstLine="435"/>
        <w:outlineLvl w:val="1"/>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2.请供应商登录滁州市公共资源交易中心网站查看参加本项目的程序。（具体操作步骤和程序请参见服务指南&gt;交易须知&gt;投标人填写投标信息、下载文件及网上提问操作手册）。</w:t>
      </w:r>
    </w:p>
    <w:p w14:paraId="03431C6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outlineLvl w:val="1"/>
        <w:rPr>
          <w:rFonts w:hint="eastAsia" w:ascii="宋体" w:hAnsi="宋体" w:eastAsia="宋体"/>
          <w:color w:val="auto"/>
          <w:sz w:val="24"/>
          <w:szCs w:val="18"/>
          <w:highlight w:val="none"/>
        </w:rPr>
      </w:pPr>
      <w:r>
        <w:rPr>
          <w:rFonts w:hint="eastAsia" w:ascii="宋体" w:hAnsi="宋体" w:eastAsia="宋体"/>
          <w:color w:val="auto"/>
          <w:sz w:val="24"/>
          <w:szCs w:val="18"/>
          <w:highlight w:val="none"/>
        </w:rPr>
        <w:t>3.本项目采用不见面（远程解密)方式，开启时供应商无须至现场进行解密，采取远程解密方式解密响应文件，解密方式为：供应商在开启时间前使用CA数字证书登录滁州市“不见面开标系统”，网址为https://ggzy.chuzhou.gov.cn/BidOpening,等待开启并按系统提示进行相应的供应商解密等事项，无需到现场。采用本方式可以观看开启现场音视频直播并进行互动交流。具体操作方法见中心网站&gt;服务指南&gt;交易须知中的《滁州市不见面开标系统操作手册》。</w:t>
      </w:r>
    </w:p>
    <w:p w14:paraId="3A9E65E5">
      <w:pPr>
        <w:spacing w:line="360" w:lineRule="auto"/>
        <w:ind w:firstLine="435"/>
        <w:outlineLvl w:val="1"/>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4.供应商接到远程解密指令后，须在规定时间内解密。因供应商自身原因导致响应文件在规定时间内未能解密、解密失败或解密超时，响应文件无效；因采购代理机构原因或网上平台发生故障，导致无法按时完成响应文件解密的，经采购代理机构申请后可延迟解密时间</w:t>
      </w:r>
      <w:r>
        <w:rPr>
          <w:rFonts w:hint="eastAsia" w:ascii="宋体" w:hAnsi="宋体" w:eastAsia="宋体"/>
          <w:color w:val="auto"/>
          <w:sz w:val="24"/>
          <w:szCs w:val="18"/>
          <w:highlight w:val="none"/>
          <w:lang w:eastAsia="zh-CN"/>
        </w:rPr>
        <w:t>。</w:t>
      </w:r>
    </w:p>
    <w:p w14:paraId="7F0F6DFF">
      <w:pPr>
        <w:spacing w:line="360" w:lineRule="auto"/>
        <w:ind w:firstLine="435"/>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lang w:val="en-US" w:eastAsia="zh-CN"/>
        </w:rPr>
        <w:t>九、</w:t>
      </w:r>
      <w:bookmarkEnd w:id="14"/>
      <w:r>
        <w:rPr>
          <w:rFonts w:hint="eastAsia" w:ascii="宋体" w:hAnsi="宋体" w:eastAsia="宋体"/>
          <w:b/>
          <w:bCs/>
          <w:color w:val="auto"/>
          <w:sz w:val="24"/>
          <w:szCs w:val="18"/>
          <w:highlight w:val="none"/>
          <w:lang w:val="en-US" w:eastAsia="zh-CN"/>
        </w:rPr>
        <w:t>凡对本次采购提出询问，请按以下方式联系</w:t>
      </w:r>
      <w:bookmarkEnd w:id="18"/>
    </w:p>
    <w:p w14:paraId="24B295BC">
      <w:pPr>
        <w:spacing w:line="360" w:lineRule="auto"/>
        <w:ind w:firstLine="435"/>
        <w:outlineLvl w:val="2"/>
        <w:rPr>
          <w:rFonts w:ascii="宋体" w:hAnsi="宋体" w:eastAsia="宋体"/>
          <w:color w:val="auto"/>
          <w:sz w:val="24"/>
          <w:szCs w:val="18"/>
          <w:highlight w:val="none"/>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7D1F8213">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lang w:val="en-US" w:eastAsia="zh-CN"/>
        </w:rPr>
        <w:t>滁州市重点工程建设管理处</w:t>
      </w:r>
    </w:p>
    <w:p w14:paraId="55336586">
      <w:pPr>
        <w:spacing w:line="360" w:lineRule="auto"/>
        <w:ind w:firstLine="435"/>
        <w:rPr>
          <w:rFonts w:hint="default"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rPr>
        <w:t>地址：</w:t>
      </w:r>
      <w:r>
        <w:rPr>
          <w:rFonts w:hint="eastAsia" w:ascii="宋体" w:hAnsi="宋体" w:eastAsia="宋体"/>
          <w:color w:val="auto"/>
          <w:sz w:val="24"/>
          <w:szCs w:val="18"/>
          <w:highlight w:val="none"/>
          <w:u w:val="none"/>
          <w:lang w:val="en-US" w:eastAsia="zh-CN"/>
        </w:rPr>
        <w:t>滁州市琅琊西路81号建设大厦4楼</w:t>
      </w:r>
    </w:p>
    <w:p w14:paraId="4B39E4F3">
      <w:pPr>
        <w:spacing w:line="360" w:lineRule="auto"/>
        <w:ind w:firstLine="435"/>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联系人：马雪婷</w:t>
      </w:r>
    </w:p>
    <w:p w14:paraId="6E7444DC">
      <w:pPr>
        <w:spacing w:line="360" w:lineRule="auto"/>
        <w:ind w:firstLine="435"/>
        <w:rPr>
          <w:rFonts w:hint="default"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none"/>
          <w:lang w:val="en-US" w:eastAsia="zh-CN"/>
        </w:rPr>
        <w:t>0550-3046029</w:t>
      </w:r>
    </w:p>
    <w:p w14:paraId="1DC58682">
      <w:pPr>
        <w:spacing w:line="360" w:lineRule="auto"/>
        <w:ind w:firstLine="437"/>
        <w:outlineLvl w:val="9"/>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001D1F7C">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lang w:val="en-US" w:eastAsia="zh-CN"/>
        </w:rPr>
        <w:t>滁州市城投工程咨询管理有限公司</w:t>
      </w:r>
    </w:p>
    <w:p w14:paraId="7BD98F0B">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址：</w:t>
      </w:r>
      <w:r>
        <w:rPr>
          <w:rFonts w:hint="eastAsia" w:ascii="宋体" w:hAnsi="宋体" w:eastAsia="宋体"/>
          <w:color w:val="auto"/>
          <w:sz w:val="24"/>
          <w:szCs w:val="18"/>
          <w:highlight w:val="none"/>
          <w:u w:val="none"/>
        </w:rPr>
        <w:t>滁州市龙蟠大道109号房产大厦6楼</w:t>
      </w:r>
      <w:r>
        <w:rPr>
          <w:rFonts w:hint="eastAsia" w:ascii="宋体" w:hAnsi="宋体" w:eastAsia="宋体"/>
          <w:color w:val="auto"/>
          <w:sz w:val="24"/>
          <w:szCs w:val="18"/>
          <w:highlight w:val="none"/>
          <w:u w:val="none"/>
          <w:lang w:val="en-US" w:eastAsia="zh-CN"/>
        </w:rPr>
        <w:t>605室</w:t>
      </w:r>
    </w:p>
    <w:p w14:paraId="4C3A3344">
      <w:pPr>
        <w:spacing w:line="360" w:lineRule="auto"/>
        <w:ind w:firstLine="435"/>
        <w:rPr>
          <w:rFonts w:hint="eastAsia" w:eastAsia="宋体"/>
          <w:color w:val="auto"/>
          <w:highlight w:val="none"/>
          <w:u w:val="none"/>
          <w:lang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none"/>
          <w:lang w:val="en-US" w:eastAsia="zh-CN"/>
        </w:rPr>
        <w:t>胡国庆</w:t>
      </w:r>
    </w:p>
    <w:p w14:paraId="4E814982">
      <w:pPr>
        <w:spacing w:line="360" w:lineRule="auto"/>
        <w:ind w:firstLine="435"/>
        <w:rPr>
          <w:rFonts w:hint="default"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rPr>
        <w:t>联系</w:t>
      </w:r>
      <w:r>
        <w:rPr>
          <w:rFonts w:hint="eastAsia" w:ascii="宋体" w:hAnsi="宋体" w:eastAsia="宋体"/>
          <w:color w:val="auto"/>
          <w:sz w:val="24"/>
          <w:szCs w:val="18"/>
          <w:highlight w:val="none"/>
          <w:u w:val="none"/>
          <w:lang w:val="en-US" w:eastAsia="zh-CN"/>
        </w:rPr>
        <w:t>方式</w:t>
      </w:r>
      <w:r>
        <w:rPr>
          <w:rFonts w:hint="eastAsia" w:ascii="宋体" w:hAnsi="宋体" w:eastAsia="宋体"/>
          <w:color w:val="auto"/>
          <w:sz w:val="24"/>
          <w:szCs w:val="18"/>
          <w:highlight w:val="none"/>
          <w:u w:val="none"/>
        </w:rPr>
        <w:t>：</w:t>
      </w:r>
      <w:r>
        <w:rPr>
          <w:rFonts w:hint="eastAsia" w:ascii="宋体" w:hAnsi="宋体" w:eastAsia="宋体"/>
          <w:color w:val="auto"/>
          <w:sz w:val="24"/>
          <w:szCs w:val="18"/>
          <w:highlight w:val="none"/>
          <w:u w:val="none"/>
          <w:lang w:val="en-US" w:eastAsia="zh-CN"/>
        </w:rPr>
        <w:t>0550-3519517、18005500950</w:t>
      </w:r>
    </w:p>
    <w:p w14:paraId="705A7696">
      <w:pPr>
        <w:spacing w:line="360" w:lineRule="auto"/>
        <w:ind w:firstLine="437"/>
        <w:outlineLvl w:val="9"/>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21149597">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：滁州市公共资源交易监督管理局</w:t>
      </w:r>
    </w:p>
    <w:p w14:paraId="52635210">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地址：</w:t>
      </w:r>
      <w:r>
        <w:rPr>
          <w:rFonts w:hint="eastAsia" w:ascii="宋体" w:hAnsi="宋体" w:eastAsia="宋体"/>
          <w:color w:val="auto"/>
          <w:sz w:val="24"/>
          <w:szCs w:val="18"/>
          <w:highlight w:val="none"/>
          <w:u w:val="none"/>
        </w:rPr>
        <w:t>滁州市龙蟠大道109号房产大厦</w:t>
      </w:r>
      <w:r>
        <w:rPr>
          <w:rFonts w:hint="eastAsia" w:ascii="宋体" w:hAnsi="宋体" w:eastAsia="宋体"/>
          <w:color w:val="auto"/>
          <w:sz w:val="24"/>
          <w:szCs w:val="18"/>
          <w:highlight w:val="none"/>
          <w:u w:val="none"/>
          <w:lang w:val="en-US" w:eastAsia="zh-CN"/>
        </w:rPr>
        <w:t>3楼</w:t>
      </w:r>
    </w:p>
    <w:p w14:paraId="311C3B5F">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none"/>
          <w:lang w:val="en-US" w:eastAsia="zh-CN"/>
        </w:rPr>
        <w:t>0550-3801601</w:t>
      </w:r>
      <w:r>
        <w:rPr>
          <w:rFonts w:ascii="宋体" w:hAnsi="宋体" w:eastAsia="宋体"/>
          <w:color w:val="auto"/>
          <w:sz w:val="24"/>
          <w:szCs w:val="18"/>
          <w:highlight w:val="none"/>
        </w:rPr>
        <w:br w:type="page"/>
      </w:r>
    </w:p>
    <w:p w14:paraId="4A32344E">
      <w:pPr>
        <w:spacing w:line="360" w:lineRule="auto"/>
        <w:jc w:val="center"/>
        <w:outlineLvl w:val="0"/>
        <w:rPr>
          <w:rFonts w:asciiTheme="minorEastAsia" w:hAnsiTheme="minorEastAsia" w:eastAsiaTheme="minorEastAsia"/>
          <w:b/>
          <w:color w:val="auto"/>
          <w:sz w:val="28"/>
          <w:highlight w:val="none"/>
        </w:rPr>
      </w:pPr>
      <w:bookmarkStart w:id="19" w:name="_Toc1870"/>
      <w:bookmarkStart w:id="20" w:name="_Toc5721"/>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19"/>
      <w:bookmarkEnd w:id="20"/>
    </w:p>
    <w:p w14:paraId="11DD15B5">
      <w:pPr>
        <w:spacing w:line="360" w:lineRule="auto"/>
        <w:jc w:val="center"/>
        <w:outlineLvl w:val="1"/>
        <w:rPr>
          <w:rFonts w:asciiTheme="minorEastAsia" w:hAnsiTheme="minorEastAsia" w:eastAsiaTheme="minorEastAsia"/>
          <w:b/>
          <w:color w:val="auto"/>
          <w:sz w:val="24"/>
          <w:highlight w:val="none"/>
        </w:rPr>
      </w:pPr>
      <w:bookmarkStart w:id="21" w:name="_Toc27956"/>
      <w:bookmarkStart w:id="22" w:name="_Toc16645"/>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1"/>
      <w:bookmarkEnd w:id="22"/>
    </w:p>
    <w:p w14:paraId="06E62344">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032"/>
        <w:gridCol w:w="5722"/>
      </w:tblGrid>
      <w:tr w14:paraId="7E60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24D4F2AD">
            <w:pPr>
              <w:pStyle w:val="42"/>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60" w:type="pct"/>
            <w:vAlign w:val="center"/>
          </w:tcPr>
          <w:p w14:paraId="7CFE8F7C">
            <w:pPr>
              <w:pStyle w:val="42"/>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67" w:type="pct"/>
            <w:vAlign w:val="center"/>
          </w:tcPr>
          <w:p w14:paraId="2F9B67AB">
            <w:pPr>
              <w:pStyle w:val="42"/>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25C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3571D08">
            <w:pPr>
              <w:pStyle w:val="43"/>
              <w:pBdr>
                <w:bottom w:val="none" w:color="auto" w:sz="0" w:space="0"/>
              </w:pBdr>
              <w:tabs>
                <w:tab w:val="clear" w:pos="4153"/>
                <w:tab w:val="clear" w:pos="8306"/>
              </w:tabs>
              <w:adjustRightInd/>
              <w:spacing w:line="360" w:lineRule="auto"/>
              <w:textAlignment w:val="auto"/>
              <w:rPr>
                <w:rFonts w:hint="default"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5</w:t>
            </w:r>
            <w:r>
              <w:rPr>
                <w:bCs/>
                <w:color w:val="auto"/>
                <w:kern w:val="2"/>
                <w:highlight w:val="none"/>
              </w:rPr>
              <w:t>.</w:t>
            </w:r>
            <w:r>
              <w:rPr>
                <w:rFonts w:hint="eastAsia"/>
                <w:bCs/>
                <w:color w:val="auto"/>
                <w:kern w:val="2"/>
                <w:highlight w:val="none"/>
                <w:lang w:val="en-US" w:eastAsia="zh-CN"/>
              </w:rPr>
              <w:t>2</w:t>
            </w:r>
          </w:p>
        </w:tc>
        <w:tc>
          <w:tcPr>
            <w:tcW w:w="2032" w:type="dxa"/>
            <w:vAlign w:val="center"/>
          </w:tcPr>
          <w:p w14:paraId="1A6242A7">
            <w:pPr>
              <w:pStyle w:val="42"/>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5722" w:type="dxa"/>
            <w:vAlign w:val="center"/>
          </w:tcPr>
          <w:p w14:paraId="065BDEE9">
            <w:pPr>
              <w:spacing w:line="360" w:lineRule="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35292C12">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p>
          <w:p w14:paraId="381D0767">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5EB117C7">
            <w:pPr>
              <w:spacing w:line="360" w:lineRule="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lang w:val="en-US" w:eastAsia="zh-CN"/>
              </w:rPr>
              <w:t>/</w:t>
            </w:r>
          </w:p>
          <w:p w14:paraId="773C0C29">
            <w:pPr>
              <w:spacing w:line="360" w:lineRule="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lang w:val="en-US" w:eastAsia="zh-CN"/>
              </w:rPr>
              <w:t>/</w:t>
            </w:r>
          </w:p>
          <w:p w14:paraId="65DD78E7">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如供应商未参加采购人统一组织的现场考察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，由此引起的一切责任由供应商自行承担。</w:t>
            </w:r>
          </w:p>
        </w:tc>
      </w:tr>
      <w:tr w14:paraId="113C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0B0F661B">
            <w:pPr>
              <w:pStyle w:val="43"/>
              <w:pBdr>
                <w:bottom w:val="none" w:color="auto" w:sz="0" w:space="0"/>
              </w:pBdr>
              <w:tabs>
                <w:tab w:val="clear" w:pos="4153"/>
                <w:tab w:val="clear" w:pos="8306"/>
              </w:tabs>
              <w:adjustRightInd/>
              <w:spacing w:line="240" w:lineRule="auto"/>
              <w:textAlignment w:val="auto"/>
              <w:rPr>
                <w:rFonts w:hint="default"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6.1</w:t>
            </w:r>
          </w:p>
        </w:tc>
        <w:tc>
          <w:tcPr>
            <w:tcW w:w="1160" w:type="pct"/>
            <w:vAlign w:val="center"/>
          </w:tcPr>
          <w:p w14:paraId="2E44F299">
            <w:pPr>
              <w:pStyle w:val="42"/>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67" w:type="pct"/>
            <w:vAlign w:val="center"/>
          </w:tcPr>
          <w:p w14:paraId="2AD70EAE">
            <w:pPr>
              <w:pStyle w:val="42"/>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2025</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10</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30</w:t>
            </w:r>
            <w:r>
              <w:rPr>
                <w:rFonts w:hint="eastAsia" w:ascii="宋体" w:hAnsi="宋体" w:eastAsia="宋体"/>
                <w:b w:val="0"/>
                <w:color w:val="auto"/>
                <w:sz w:val="24"/>
                <w:highlight w:val="none"/>
              </w:rPr>
              <w:t>分</w:t>
            </w:r>
          </w:p>
        </w:tc>
      </w:tr>
      <w:tr w14:paraId="0356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72" w:type="pct"/>
            <w:vAlign w:val="center"/>
          </w:tcPr>
          <w:p w14:paraId="6E2BC835">
            <w:pPr>
              <w:pStyle w:val="43"/>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60" w:type="pct"/>
            <w:vAlign w:val="center"/>
          </w:tcPr>
          <w:p w14:paraId="769F075D">
            <w:pPr>
              <w:pStyle w:val="42"/>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67" w:type="pct"/>
            <w:vAlign w:val="center"/>
          </w:tcPr>
          <w:p w14:paraId="0B791D4E">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ascii="宋体" w:hAnsi="宋体" w:eastAsia="宋体"/>
                <w:b w:val="0"/>
                <w:color w:val="auto"/>
                <w:sz w:val="24"/>
                <w:highlight w:val="none"/>
              </w:rPr>
              <w:t>分为</w:t>
            </w:r>
            <w:r>
              <w:rPr>
                <w:rFonts w:hint="eastAsia" w:ascii="宋体" w:hAnsi="宋体" w:eastAsia="宋体"/>
                <w:b w:val="0"/>
                <w:color w:val="auto"/>
                <w:sz w:val="24"/>
                <w:highlight w:val="none"/>
                <w:lang w:val="en-US" w:eastAsia="zh-CN"/>
              </w:rPr>
              <w:t xml:space="preserve"> / </w:t>
            </w:r>
            <w:r>
              <w:rPr>
                <w:rFonts w:ascii="宋体" w:hAnsi="宋体" w:eastAsia="宋体"/>
                <w:b w:val="0"/>
                <w:color w:val="auto"/>
                <w:sz w:val="24"/>
                <w:highlight w:val="none"/>
              </w:rPr>
              <w:t>个包</w:t>
            </w:r>
          </w:p>
          <w:p w14:paraId="3DD99DAE">
            <w:pPr>
              <w:pStyle w:val="42"/>
              <w:widowControl w:val="0"/>
              <w:spacing w:before="0" w:beforeAutospacing="0" w:after="0" w:afterAutospacing="0" w:line="360" w:lineRule="auto"/>
              <w:jc w:val="both"/>
              <w:rPr>
                <w:rFonts w:hint="default" w:ascii="宋体" w:hAnsi="宋体" w:eastAsia="宋体"/>
                <w:b w:val="0"/>
                <w:color w:val="auto"/>
                <w:sz w:val="24"/>
                <w:highlight w:val="none"/>
                <w:lang w:val="en-US"/>
              </w:rPr>
            </w:pPr>
            <w:r>
              <w:rPr>
                <w:rFonts w:hint="eastAsia" w:ascii="宋体" w:hAnsi="宋体" w:eastAsia="宋体"/>
                <w:b w:val="0"/>
                <w:color w:val="auto"/>
                <w:sz w:val="24"/>
                <w:highlight w:val="none"/>
              </w:rPr>
              <w:t>供应商</w:t>
            </w:r>
            <w:r>
              <w:rPr>
                <w:rFonts w:hint="eastAsia" w:ascii="宋体" w:hAnsi="宋体" w:eastAsia="宋体"/>
                <w:b w:val="0"/>
                <w:bCs w:val="0"/>
                <w:color w:val="auto"/>
                <w:sz w:val="24"/>
                <w:szCs w:val="24"/>
                <w:highlight w:val="none"/>
              </w:rPr>
              <w:t>参加</w:t>
            </w:r>
            <w:r>
              <w:rPr>
                <w:rFonts w:hint="eastAsia" w:ascii="宋体" w:hAnsi="宋体" w:eastAsia="宋体"/>
                <w:b w:val="0"/>
                <w:color w:val="auto"/>
                <w:sz w:val="24"/>
                <w:highlight w:val="none"/>
              </w:rPr>
              <w:t>多个包谈判的成交</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color w:val="auto"/>
                <w:sz w:val="24"/>
                <w:highlight w:val="none"/>
                <w:u w:val="single"/>
                <w:lang w:val="en-US" w:eastAsia="zh-CN"/>
              </w:rPr>
              <w:t xml:space="preserve"> / </w:t>
            </w:r>
          </w:p>
        </w:tc>
      </w:tr>
      <w:tr w14:paraId="43AB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2" w:type="pct"/>
            <w:vAlign w:val="center"/>
          </w:tcPr>
          <w:p w14:paraId="598ED81A">
            <w:pPr>
              <w:pStyle w:val="43"/>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10</w:t>
            </w:r>
            <w:r>
              <w:rPr>
                <w:rFonts w:ascii="宋体" w:hAnsi="宋体" w:eastAsia="宋体"/>
                <w:bCs/>
                <w:color w:val="auto"/>
                <w:kern w:val="2"/>
                <w:highlight w:val="none"/>
              </w:rPr>
              <w:t>.1</w:t>
            </w:r>
          </w:p>
        </w:tc>
        <w:tc>
          <w:tcPr>
            <w:tcW w:w="1160" w:type="pct"/>
            <w:vAlign w:val="center"/>
          </w:tcPr>
          <w:p w14:paraId="71CD4336">
            <w:pPr>
              <w:pStyle w:val="42"/>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谈判保证金</w:t>
            </w:r>
          </w:p>
        </w:tc>
        <w:tc>
          <w:tcPr>
            <w:tcW w:w="3267" w:type="pct"/>
            <w:vAlign w:val="center"/>
          </w:tcPr>
          <w:p w14:paraId="65074E04">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6DE3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146D747D">
            <w:pPr>
              <w:pStyle w:val="43"/>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11</w:t>
            </w:r>
            <w:r>
              <w:rPr>
                <w:rFonts w:ascii="宋体" w:hAnsi="宋体" w:eastAsia="宋体"/>
                <w:bCs/>
                <w:color w:val="auto"/>
                <w:kern w:val="2"/>
                <w:highlight w:val="none"/>
              </w:rPr>
              <w:t>.1</w:t>
            </w:r>
          </w:p>
        </w:tc>
        <w:tc>
          <w:tcPr>
            <w:tcW w:w="1160" w:type="pct"/>
            <w:vAlign w:val="center"/>
          </w:tcPr>
          <w:p w14:paraId="4D7A7E41">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谈判有效期</w:t>
            </w:r>
          </w:p>
        </w:tc>
        <w:tc>
          <w:tcPr>
            <w:tcW w:w="3267" w:type="pct"/>
            <w:vAlign w:val="center"/>
          </w:tcPr>
          <w:p w14:paraId="12D0BFE1">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rPr>
              <w:t>日历日</w:t>
            </w:r>
          </w:p>
        </w:tc>
      </w:tr>
      <w:tr w14:paraId="1FD7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B198A2C">
            <w:pPr>
              <w:pStyle w:val="43"/>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p>
        </w:tc>
        <w:tc>
          <w:tcPr>
            <w:tcW w:w="1160" w:type="pct"/>
            <w:vAlign w:val="center"/>
          </w:tcPr>
          <w:p w14:paraId="47C241FD">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3267" w:type="pct"/>
            <w:vAlign w:val="center"/>
          </w:tcPr>
          <w:p w14:paraId="29B7BCB4">
            <w:pPr>
              <w:pStyle w:val="42"/>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响应文件提交截止时间后</w:t>
            </w:r>
            <w:r>
              <w:rPr>
                <w:rFonts w:hint="eastAsia" w:ascii="宋体" w:hAnsi="宋体" w:eastAsia="宋体"/>
                <w:b w:val="0"/>
                <w:color w:val="auto"/>
                <w:sz w:val="24"/>
                <w:highlight w:val="none"/>
                <w:u w:val="single"/>
              </w:rPr>
              <w:t>60</w:t>
            </w:r>
            <w:r>
              <w:rPr>
                <w:rFonts w:hint="eastAsia" w:ascii="宋体" w:hAnsi="宋体" w:eastAsia="宋体"/>
                <w:b w:val="0"/>
                <w:color w:val="auto"/>
                <w:sz w:val="24"/>
                <w:highlight w:val="none"/>
              </w:rPr>
              <w:t>分钟内</w:t>
            </w:r>
            <w:r>
              <w:rPr>
                <w:rFonts w:hint="eastAsia" w:ascii="宋体" w:hAnsi="宋体" w:eastAsia="宋体"/>
                <w:color w:val="auto"/>
                <w:sz w:val="24"/>
                <w:highlight w:val="none"/>
              </w:rPr>
              <w:t>（以本项目网上招投标系统解密倒计时为准）</w:t>
            </w:r>
          </w:p>
        </w:tc>
      </w:tr>
      <w:tr w14:paraId="7E73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36ED70F3">
            <w:pPr>
              <w:pStyle w:val="43"/>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14</w:t>
            </w:r>
            <w:r>
              <w:rPr>
                <w:rFonts w:hint="eastAsia" w:ascii="宋体" w:hAnsi="宋体" w:eastAsia="宋体"/>
                <w:bCs/>
                <w:color w:val="auto"/>
                <w:kern w:val="2"/>
                <w:highlight w:val="none"/>
              </w:rPr>
              <w:t>.3</w:t>
            </w:r>
          </w:p>
        </w:tc>
        <w:tc>
          <w:tcPr>
            <w:tcW w:w="1160" w:type="pct"/>
            <w:vAlign w:val="center"/>
          </w:tcPr>
          <w:p w14:paraId="530FA6CD">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267" w:type="pct"/>
            <w:vAlign w:val="center"/>
          </w:tcPr>
          <w:p w14:paraId="32726157">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最低评标价法</w:t>
            </w:r>
          </w:p>
        </w:tc>
      </w:tr>
      <w:tr w14:paraId="1BA2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37819E47">
            <w:pPr>
              <w:pStyle w:val="43"/>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w:t>
            </w:r>
            <w:r>
              <w:rPr>
                <w:rFonts w:hint="eastAsia" w:ascii="宋体" w:hAnsi="宋体" w:eastAsia="宋体"/>
                <w:bCs/>
                <w:color w:val="auto"/>
                <w:kern w:val="2"/>
                <w:highlight w:val="none"/>
              </w:rPr>
              <w:t>4</w:t>
            </w:r>
          </w:p>
        </w:tc>
        <w:tc>
          <w:tcPr>
            <w:tcW w:w="1160" w:type="pct"/>
            <w:vAlign w:val="center"/>
          </w:tcPr>
          <w:p w14:paraId="56566A4B">
            <w:pPr>
              <w:pStyle w:val="42"/>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最后报价扣除</w:t>
            </w:r>
          </w:p>
        </w:tc>
        <w:tc>
          <w:tcPr>
            <w:tcW w:w="3267" w:type="pct"/>
            <w:vAlign w:val="center"/>
          </w:tcPr>
          <w:p w14:paraId="79E4DC60">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p w14:paraId="6FDA6630">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single"/>
              </w:rPr>
              <w:t>同</w:t>
            </w:r>
            <w:r>
              <w:rPr>
                <w:rFonts w:ascii="宋体" w:hAnsi="宋体" w:eastAsia="宋体"/>
                <w:b w:val="0"/>
                <w:color w:val="auto"/>
                <w:sz w:val="24"/>
                <w:highlight w:val="none"/>
                <w:u w:val="single"/>
              </w:rPr>
              <w:t>小型和微型企业</w:t>
            </w:r>
            <w:r>
              <w:rPr>
                <w:rFonts w:hint="eastAsia" w:ascii="宋体" w:hAnsi="宋体" w:eastAsia="宋体"/>
                <w:b w:val="0"/>
                <w:color w:val="auto"/>
                <w:sz w:val="24"/>
                <w:highlight w:val="none"/>
              </w:rPr>
              <w:t>。</w:t>
            </w:r>
          </w:p>
          <w:p w14:paraId="74092575">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single"/>
              </w:rPr>
              <w:t>同</w:t>
            </w:r>
            <w:r>
              <w:rPr>
                <w:rFonts w:ascii="宋体" w:hAnsi="宋体" w:eastAsia="宋体"/>
                <w:b w:val="0"/>
                <w:color w:val="auto"/>
                <w:sz w:val="24"/>
                <w:highlight w:val="none"/>
                <w:u w:val="single"/>
              </w:rPr>
              <w:t>小型和微型企业</w:t>
            </w:r>
            <w:r>
              <w:rPr>
                <w:rFonts w:hint="eastAsia" w:ascii="宋体" w:hAnsi="宋体" w:eastAsia="宋体"/>
                <w:b w:val="0"/>
                <w:color w:val="auto"/>
                <w:sz w:val="24"/>
                <w:highlight w:val="none"/>
              </w:rPr>
              <w:t>。</w:t>
            </w:r>
          </w:p>
          <w:p w14:paraId="2D1B3101">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p w14:paraId="1249DA62">
            <w:pPr>
              <w:pStyle w:val="42"/>
              <w:widowControl w:val="0"/>
              <w:spacing w:before="0" w:beforeAutospacing="0" w:after="0" w:afterAutospacing="0" w:line="360" w:lineRule="auto"/>
              <w:jc w:val="both"/>
              <w:rPr>
                <w:rFonts w:hint="eastAsia" w:ascii="宋体" w:hAnsi="宋体" w:eastAsia="宋体"/>
                <w:b w:val="0"/>
                <w:i/>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p w14:paraId="2FC3F603">
            <w:pPr>
              <w:keepNext w:val="0"/>
              <w:keepLines w:val="0"/>
              <w:pageBreakBefore w:val="0"/>
              <w:kinsoku/>
              <w:overflowPunct/>
              <w:topLinePunct/>
              <w:autoSpaceDE/>
              <w:autoSpaceDN/>
              <w:bidi w:val="0"/>
              <w:spacing w:line="520" w:lineRule="exact"/>
              <w:textAlignment w:val="auto"/>
              <w:rPr>
                <w:rFonts w:hint="eastAsia" w:ascii="宋体" w:hAnsi="宋体" w:eastAsia="宋体"/>
                <w:b w:val="0"/>
                <w:i/>
                <w:color w:val="auto"/>
                <w:sz w:val="24"/>
                <w:highlight w:val="none"/>
                <w:lang w:val="en-US" w:eastAsia="zh-CN"/>
              </w:rPr>
            </w:pPr>
            <w:r>
              <w:rPr>
                <w:rFonts w:hint="eastAsia" w:ascii="宋体" w:hAnsi="宋体" w:eastAsia="宋体" w:cs="宋体"/>
                <w:b/>
                <w:bCs/>
                <w:color w:val="auto"/>
                <w:sz w:val="24"/>
                <w:szCs w:val="24"/>
                <w:highlight w:val="none"/>
              </w:rPr>
              <w:t>本项目为面向中小企业预留份额的采购包，专门面向中小企业采购。专门面向中小企业采购的项目或者采购包，不再执行价格评审优惠的扶持政策。</w:t>
            </w:r>
          </w:p>
        </w:tc>
      </w:tr>
      <w:tr w14:paraId="100D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restart"/>
            <w:vAlign w:val="center"/>
          </w:tcPr>
          <w:p w14:paraId="4BC6456F">
            <w:pPr>
              <w:pStyle w:val="43"/>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19</w:t>
            </w:r>
            <w:r>
              <w:rPr>
                <w:rFonts w:ascii="宋体" w:hAnsi="宋体" w:eastAsia="宋体"/>
                <w:bCs/>
                <w:color w:val="auto"/>
                <w:kern w:val="2"/>
                <w:highlight w:val="none"/>
              </w:rPr>
              <w:t>.</w:t>
            </w:r>
            <w:r>
              <w:rPr>
                <w:rFonts w:hint="eastAsia" w:ascii="宋体" w:hAnsi="宋体" w:eastAsia="宋体"/>
                <w:bCs/>
                <w:color w:val="auto"/>
                <w:kern w:val="2"/>
                <w:highlight w:val="none"/>
              </w:rPr>
              <w:t>1</w:t>
            </w:r>
          </w:p>
          <w:p w14:paraId="6A3132CE">
            <w:pPr>
              <w:pStyle w:val="4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p>
        </w:tc>
        <w:tc>
          <w:tcPr>
            <w:tcW w:w="1160" w:type="pct"/>
            <w:vMerge w:val="restart"/>
            <w:vAlign w:val="center"/>
          </w:tcPr>
          <w:p w14:paraId="7882D0F9">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确定成交候选人和成交供应商</w:t>
            </w:r>
          </w:p>
        </w:tc>
        <w:tc>
          <w:tcPr>
            <w:tcW w:w="3267" w:type="pct"/>
            <w:vAlign w:val="center"/>
          </w:tcPr>
          <w:p w14:paraId="3A223639">
            <w:pPr>
              <w:pStyle w:val="42"/>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谈判小组推荐成交候选人的</w:t>
            </w:r>
            <w:r>
              <w:rPr>
                <w:rFonts w:ascii="宋体" w:hAnsi="宋体" w:eastAsia="宋体"/>
                <w:b w:val="0"/>
                <w:color w:val="auto"/>
                <w:sz w:val="24"/>
                <w:highlight w:val="none"/>
              </w:rPr>
              <w:t>数量</w:t>
            </w:r>
            <w:r>
              <w:rPr>
                <w:rFonts w:hint="eastAsia" w:ascii="宋体" w:hAnsi="宋体" w:eastAsia="宋体"/>
                <w:b w:val="0"/>
                <w:color w:val="auto"/>
                <w:sz w:val="24"/>
                <w:highlight w:val="none"/>
              </w:rPr>
              <w:t>：3家</w:t>
            </w:r>
          </w:p>
          <w:p w14:paraId="20B15733">
            <w:pPr>
              <w:pStyle w:val="42"/>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0892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29726A84">
            <w:pPr>
              <w:pStyle w:val="4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p>
        </w:tc>
        <w:tc>
          <w:tcPr>
            <w:tcW w:w="1160" w:type="pct"/>
            <w:vMerge w:val="continue"/>
            <w:vAlign w:val="center"/>
          </w:tcPr>
          <w:p w14:paraId="6E06244F">
            <w:pPr>
              <w:pStyle w:val="42"/>
              <w:widowControl w:val="0"/>
              <w:spacing w:before="0" w:beforeAutospacing="0" w:after="0" w:afterAutospacing="0" w:line="360" w:lineRule="auto"/>
              <w:jc w:val="both"/>
              <w:rPr>
                <w:rFonts w:ascii="宋体" w:hAnsi="宋体" w:eastAsia="宋体"/>
                <w:b w:val="0"/>
                <w:color w:val="auto"/>
                <w:sz w:val="24"/>
                <w:highlight w:val="none"/>
              </w:rPr>
            </w:pPr>
          </w:p>
        </w:tc>
        <w:tc>
          <w:tcPr>
            <w:tcW w:w="3267" w:type="pct"/>
            <w:vAlign w:val="center"/>
          </w:tcPr>
          <w:p w14:paraId="7915C89F">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7CDD0E22">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 xml:space="preserve">□采购人委托谈判小组确定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采购人确定</w:t>
            </w:r>
          </w:p>
        </w:tc>
      </w:tr>
      <w:tr w14:paraId="5F96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4C04D2B5">
            <w:pPr>
              <w:pStyle w:val="43"/>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60" w:type="pct"/>
            <w:vAlign w:val="center"/>
          </w:tcPr>
          <w:p w14:paraId="4DFA21CC">
            <w:pPr>
              <w:pStyle w:val="42"/>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随</w:t>
            </w:r>
            <w:r>
              <w:rPr>
                <w:rFonts w:hint="eastAsia" w:ascii="宋体" w:hAnsi="宋体" w:eastAsia="宋体"/>
                <w:b w:val="0"/>
                <w:color w:val="auto"/>
                <w:sz w:val="24"/>
                <w:highlight w:val="none"/>
                <w:lang w:val="en-US" w:eastAsia="zh-CN"/>
              </w:rPr>
              <w:t>成交</w:t>
            </w:r>
            <w:r>
              <w:rPr>
                <w:rFonts w:hint="eastAsia" w:ascii="宋体" w:hAnsi="宋体" w:eastAsia="宋体"/>
                <w:b w:val="0"/>
                <w:color w:val="auto"/>
                <w:sz w:val="24"/>
                <w:highlight w:val="none"/>
              </w:rPr>
              <w:t>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67" w:type="pct"/>
            <w:vAlign w:val="center"/>
          </w:tcPr>
          <w:p w14:paraId="4A412053">
            <w:pPr>
              <w:pStyle w:val="42"/>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68F532DE">
            <w:pPr>
              <w:pStyle w:val="42"/>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0F4556FE">
            <w:pPr>
              <w:pStyle w:val="42"/>
              <w:widowControl w:val="0"/>
              <w:spacing w:before="0" w:beforeAutospacing="0" w:after="0" w:afterAutospacing="0" w:line="360" w:lineRule="auto"/>
              <w:jc w:val="both"/>
              <w:rPr>
                <w:rFonts w:ascii="宋体" w:hAnsi="宋体" w:eastAsia="宋体" w:cs="@仿宋_GB2312"/>
                <w:b w:val="0"/>
                <w:bCs w:val="0"/>
                <w:color w:val="auto"/>
                <w:kern w:val="0"/>
                <w:sz w:val="24"/>
                <w:szCs w:val="24"/>
                <w:highlight w:val="none"/>
                <w:lang w:val="en-US" w:eastAsia="zh-CN" w:bidi="ar-SA"/>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）因落实政府采购政策等原因进行价格扣除后中标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供应商的评审报价</w:t>
            </w:r>
            <w:r>
              <w:rPr>
                <w:rFonts w:hint="eastAsia" w:ascii="宋体" w:hAnsi="宋体" w:eastAsia="宋体"/>
                <w:b w:val="0"/>
                <w:color w:val="auto"/>
                <w:sz w:val="24"/>
                <w:highlight w:val="none"/>
                <w:u w:val="none"/>
                <w:lang w:eastAsia="zh-CN"/>
              </w:rPr>
              <w:t>；</w:t>
            </w:r>
          </w:p>
        </w:tc>
      </w:tr>
      <w:tr w14:paraId="3449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5C0980B">
            <w:pPr>
              <w:pStyle w:val="43"/>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23</w:t>
            </w:r>
            <w:r>
              <w:rPr>
                <w:rFonts w:ascii="宋体" w:hAnsi="宋体" w:eastAsia="宋体"/>
                <w:bCs/>
                <w:color w:val="auto"/>
                <w:kern w:val="2"/>
                <w:highlight w:val="none"/>
              </w:rPr>
              <w:t>.1</w:t>
            </w:r>
          </w:p>
        </w:tc>
        <w:tc>
          <w:tcPr>
            <w:tcW w:w="1160" w:type="pct"/>
            <w:vAlign w:val="center"/>
          </w:tcPr>
          <w:p w14:paraId="4BC18719">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3267" w:type="pct"/>
            <w:vAlign w:val="center"/>
          </w:tcPr>
          <w:p w14:paraId="3C3170B3">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数据电文</w:t>
            </w:r>
          </w:p>
          <w:p w14:paraId="7A5E2404">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特别提醒：本项目发布成交结果公告的同时，通过电子交易系统向成交供应商发出成交通知书。成交通知书发出视为已送达，供应商应主动登录电子交易系统查询，采购人和采购代理机构不承担供应商未及时关注相关信息引发的相关责任。</w:t>
            </w:r>
          </w:p>
        </w:tc>
      </w:tr>
      <w:tr w14:paraId="2A89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2F7D0B8">
            <w:pPr>
              <w:pStyle w:val="43"/>
              <w:pBdr>
                <w:bottom w:val="none" w:color="auto" w:sz="0" w:space="0"/>
              </w:pBdr>
              <w:tabs>
                <w:tab w:val="clear" w:pos="4153"/>
                <w:tab w:val="clear" w:pos="8306"/>
              </w:tabs>
              <w:adjustRightInd/>
              <w:spacing w:line="24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cs="宋体"/>
                <w:b w:val="0"/>
                <w:bCs/>
                <w:color w:val="auto"/>
                <w:sz w:val="24"/>
                <w:szCs w:val="24"/>
                <w:highlight w:val="none"/>
                <w:lang w:val="en-US" w:eastAsia="zh-CN"/>
              </w:rPr>
              <w:t>24.1</w:t>
            </w:r>
          </w:p>
        </w:tc>
        <w:tc>
          <w:tcPr>
            <w:tcW w:w="1160" w:type="pct"/>
            <w:vAlign w:val="center"/>
          </w:tcPr>
          <w:p w14:paraId="0D5533CC">
            <w:pPr>
              <w:pStyle w:val="42"/>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color w:val="auto"/>
                <w:sz w:val="24"/>
                <w:szCs w:val="24"/>
                <w:highlight w:val="none"/>
                <w:lang w:val="en-US" w:eastAsia="zh-CN"/>
              </w:rPr>
              <w:t>告知谈判结果的形式</w:t>
            </w:r>
          </w:p>
        </w:tc>
        <w:tc>
          <w:tcPr>
            <w:tcW w:w="3267" w:type="pct"/>
            <w:vAlign w:val="center"/>
          </w:tcPr>
          <w:p w14:paraId="090298B3">
            <w:pPr>
              <w:pStyle w:val="42"/>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cs="宋体"/>
                <w:b w:val="0"/>
                <w:bCs/>
                <w:color w:val="auto"/>
                <w:sz w:val="24"/>
                <w:szCs w:val="24"/>
                <w:highlight w:val="none"/>
                <w:lang w:val="en-US" w:eastAsia="zh-CN"/>
              </w:rPr>
              <w:t>系统查看</w:t>
            </w:r>
          </w:p>
          <w:p w14:paraId="14297F25">
            <w:pPr>
              <w:pStyle w:val="42"/>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color w:val="auto"/>
                <w:sz w:val="24"/>
                <w:szCs w:val="24"/>
                <w:highlight w:val="none"/>
                <w:lang w:val="en-US" w:eastAsia="zh-CN"/>
              </w:rPr>
              <w:t>□</w:t>
            </w:r>
            <w:r>
              <w:rPr>
                <w:rFonts w:hint="eastAsia" w:ascii="宋体" w:hAnsi="宋体" w:eastAsia="宋体"/>
                <w:b w:val="0"/>
                <w:color w:val="auto"/>
                <w:sz w:val="24"/>
                <w:highlight w:val="none"/>
                <w:lang w:val="en-US" w:eastAsia="zh-CN"/>
              </w:rPr>
              <w:t>谈判现场告知</w:t>
            </w:r>
          </w:p>
        </w:tc>
      </w:tr>
      <w:tr w14:paraId="18DC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4CE8752C">
            <w:pPr>
              <w:pStyle w:val="43"/>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60" w:type="pct"/>
            <w:vAlign w:val="center"/>
          </w:tcPr>
          <w:p w14:paraId="65C50368">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67" w:type="pct"/>
          </w:tcPr>
          <w:p w14:paraId="35AE17F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25D240D1">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28AB16DE">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7149D72D">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724CEEED">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09828D49">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2A226819">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28A63341">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0D2C6299">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3178129B">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CEAE3B4">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714F2DE9">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341A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3AFD40F8">
            <w:pPr>
              <w:pStyle w:val="43"/>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60" w:type="pct"/>
            <w:vAlign w:val="center"/>
          </w:tcPr>
          <w:p w14:paraId="11484AF8">
            <w:pPr>
              <w:pStyle w:val="42"/>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代理费用</w:t>
            </w:r>
          </w:p>
        </w:tc>
        <w:tc>
          <w:tcPr>
            <w:tcW w:w="3267" w:type="pct"/>
            <w:vAlign w:val="center"/>
          </w:tcPr>
          <w:p w14:paraId="6E6DD2F0">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lang w:val="en-US" w:eastAsia="zh-CN"/>
              </w:rPr>
              <w:t>成交</w:t>
            </w:r>
            <w:r>
              <w:rPr>
                <w:rFonts w:hint="eastAsia" w:ascii="宋体" w:hAnsi="宋体" w:eastAsia="宋体" w:cs="宋体"/>
                <w:color w:val="auto"/>
                <w:spacing w:val="14"/>
                <w:sz w:val="24"/>
                <w:szCs w:val="24"/>
                <w:highlight w:val="none"/>
                <w:lang w:val="en-US" w:eastAsia="zh-CN"/>
              </w:rPr>
              <w:t>供应商</w:t>
            </w:r>
          </w:p>
          <w:p w14:paraId="6059FDCB">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成交供应商</w:t>
            </w:r>
            <w:r>
              <w:rPr>
                <w:rFonts w:hint="eastAsia" w:ascii="宋体" w:hAnsi="宋体" w:eastAsia="宋体" w:cs="宋体"/>
                <w:color w:val="auto"/>
                <w:sz w:val="24"/>
                <w:szCs w:val="24"/>
                <w:highlight w:val="none"/>
                <w:u w:val="single"/>
              </w:rPr>
              <w:t>在获取成交通知书时一次性支付给代理机构</w:t>
            </w:r>
          </w:p>
          <w:p w14:paraId="7613C013">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bCs w:val="0"/>
                <w:color w:val="auto"/>
                <w:kern w:val="2"/>
                <w:sz w:val="24"/>
                <w:szCs w:val="24"/>
                <w:highlight w:val="none"/>
                <w:u w:val="single"/>
                <w:lang w:val="en-US" w:eastAsia="zh-CN"/>
              </w:rPr>
              <w:t>参考</w:t>
            </w:r>
            <w:r>
              <w:rPr>
                <w:rFonts w:hint="eastAsia" w:ascii="宋体" w:hAnsi="宋体" w:eastAsia="宋体" w:cs="宋体"/>
                <w:b w:val="0"/>
                <w:bCs w:val="0"/>
                <w:color w:val="auto"/>
                <w:kern w:val="2"/>
                <w:sz w:val="24"/>
                <w:szCs w:val="24"/>
                <w:highlight w:val="none"/>
                <w:u w:val="single"/>
              </w:rPr>
              <w:t>《滁州市公共资源交易代理机构及从业人员管理暂行办法》滁公管〔2022〕5号以及《关于进一步明确代理费计取标准的通知》滁公管综〔2023〕19号</w:t>
            </w:r>
            <w:r>
              <w:rPr>
                <w:rFonts w:hint="eastAsia" w:ascii="宋体" w:hAnsi="宋体" w:eastAsia="宋体" w:cs="宋体"/>
                <w:b w:val="0"/>
                <w:bCs w:val="0"/>
                <w:color w:val="auto"/>
                <w:kern w:val="2"/>
                <w:sz w:val="24"/>
                <w:szCs w:val="24"/>
                <w:highlight w:val="none"/>
                <w:u w:val="single"/>
                <w:lang w:val="en-US" w:eastAsia="zh-CN"/>
              </w:rPr>
              <w:t>文件</w:t>
            </w:r>
            <w:r>
              <w:rPr>
                <w:rFonts w:hint="eastAsia" w:ascii="宋体" w:hAnsi="宋体" w:eastAsia="宋体" w:cs="宋体"/>
                <w:b w:val="0"/>
                <w:bCs w:val="0"/>
                <w:color w:val="auto"/>
                <w:kern w:val="2"/>
                <w:sz w:val="24"/>
                <w:szCs w:val="24"/>
                <w:highlight w:val="none"/>
                <w:u w:val="single"/>
              </w:rPr>
              <w:t>，以最高限价（控制价）计算</w:t>
            </w:r>
            <w:r>
              <w:rPr>
                <w:rFonts w:hint="eastAsia" w:ascii="宋体" w:hAnsi="宋体" w:eastAsia="宋体" w:cs="宋体"/>
                <w:b w:val="0"/>
                <w:bCs w:val="0"/>
                <w:color w:val="auto"/>
                <w:kern w:val="2"/>
                <w:sz w:val="24"/>
                <w:szCs w:val="24"/>
                <w:highlight w:val="none"/>
                <w:u w:val="single"/>
                <w:lang w:eastAsia="zh-CN"/>
              </w:rPr>
              <w:t>；</w:t>
            </w:r>
            <w:r>
              <w:rPr>
                <w:rFonts w:hint="eastAsia" w:ascii="宋体" w:hAnsi="宋体" w:eastAsia="宋体" w:cs="宋体"/>
                <w:b w:val="0"/>
                <w:bCs w:val="0"/>
                <w:color w:val="auto"/>
                <w:kern w:val="2"/>
                <w:sz w:val="24"/>
                <w:szCs w:val="24"/>
                <w:highlight w:val="none"/>
                <w:u w:val="single"/>
                <w:lang w:val="en-US" w:eastAsia="zh-CN"/>
              </w:rPr>
              <w:t>本项目代理费用5640元。</w:t>
            </w:r>
          </w:p>
        </w:tc>
      </w:tr>
      <w:tr w14:paraId="7919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89C59C4">
            <w:pPr>
              <w:pStyle w:val="43"/>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27.1</w:t>
            </w:r>
          </w:p>
        </w:tc>
        <w:tc>
          <w:tcPr>
            <w:tcW w:w="1160" w:type="pct"/>
            <w:vAlign w:val="center"/>
          </w:tcPr>
          <w:p w14:paraId="02905B4B">
            <w:pPr>
              <w:pStyle w:val="42"/>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267" w:type="pct"/>
            <w:vAlign w:val="center"/>
          </w:tcPr>
          <w:p w14:paraId="2500118A">
            <w:pPr>
              <w:pStyle w:val="42"/>
              <w:widowControl w:val="0"/>
              <w:spacing w:before="0" w:beforeAutospacing="0" w:after="0" w:afterAutospacing="0" w:line="360" w:lineRule="auto"/>
              <w:jc w:val="both"/>
              <w:rPr>
                <w:rFonts w:hint="eastAsia" w:ascii="宋体" w:hAnsi="宋体" w:eastAsia="宋体"/>
                <w:b w:val="0"/>
                <w:bCs/>
                <w:color w:val="auto"/>
                <w:sz w:val="24"/>
                <w:highlight w:val="none"/>
                <w:lang w:val="en-US" w:eastAsia="zh-CN"/>
              </w:rPr>
            </w:pPr>
            <w:r>
              <w:rPr>
                <w:rFonts w:hint="eastAsia"/>
                <w:b w:val="0"/>
                <w:bCs/>
                <w:color w:val="auto"/>
                <w:sz w:val="24"/>
                <w:highlight w:val="none"/>
                <w:lang w:val="en-US" w:eastAsia="zh-CN"/>
              </w:rPr>
              <w:t>（1）</w:t>
            </w:r>
            <w:r>
              <w:rPr>
                <w:rFonts w:hint="eastAsia" w:ascii="宋体" w:hAnsi="宋体" w:eastAsia="宋体"/>
                <w:b w:val="0"/>
                <w:bCs/>
                <w:color w:val="auto"/>
                <w:sz w:val="24"/>
                <w:highlight w:val="none"/>
                <w:lang w:val="en-US" w:eastAsia="zh-CN"/>
              </w:rPr>
              <w:t>采购人与成交供应商应当自发出成交通知书之日起7个工作日内签订合同，采购合同签订之日起2个工作日内完成政府采购合同公开。</w:t>
            </w:r>
          </w:p>
          <w:p w14:paraId="4850BDDA">
            <w:pPr>
              <w:pStyle w:val="42"/>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ascii="宋体" w:hAnsi="宋体" w:eastAsia="宋体" w:cs="宋体"/>
                <w:b w:val="0"/>
                <w:bCs/>
                <w:color w:val="auto"/>
                <w:sz w:val="24"/>
                <w:szCs w:val="24"/>
                <w:highlight w:val="none"/>
              </w:rPr>
              <w:t>（2）采购人与</w:t>
            </w:r>
            <w:r>
              <w:rPr>
                <w:rFonts w:hint="eastAsia" w:ascii="宋体" w:hAnsi="宋体" w:eastAsia="宋体"/>
                <w:b w:val="0"/>
                <w:bCs/>
                <w:color w:val="auto"/>
                <w:sz w:val="24"/>
                <w:highlight w:val="none"/>
                <w:lang w:val="en-US" w:eastAsia="zh-CN"/>
              </w:rPr>
              <w:t>成交供应商</w:t>
            </w:r>
            <w:r>
              <w:rPr>
                <w:rFonts w:ascii="宋体" w:hAnsi="宋体" w:eastAsia="宋体" w:cs="宋体"/>
                <w:b w:val="0"/>
                <w:bCs/>
                <w:color w:val="auto"/>
                <w:sz w:val="24"/>
                <w:szCs w:val="24"/>
                <w:highlight w:val="none"/>
              </w:rPr>
              <w:t>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302C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50B20C72">
            <w:pPr>
              <w:pStyle w:val="43"/>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29</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60" w:type="pct"/>
            <w:vAlign w:val="center"/>
          </w:tcPr>
          <w:p w14:paraId="523AA2BD">
            <w:pPr>
              <w:pStyle w:val="42"/>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质疑函递交方式、接收部门、联系电话和通讯地址</w:t>
            </w:r>
          </w:p>
        </w:tc>
        <w:tc>
          <w:tcPr>
            <w:tcW w:w="3267" w:type="pct"/>
            <w:vAlign w:val="center"/>
          </w:tcPr>
          <w:p w14:paraId="627F78AF">
            <w:pPr>
              <w:pStyle w:val="42"/>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递交方式：</w:t>
            </w:r>
            <w:r>
              <w:rPr>
                <w:rFonts w:hint="eastAsia" w:ascii="宋体" w:hAnsi="宋体" w:eastAsia="宋体" w:cs="宋体"/>
                <w:b w:val="0"/>
                <w:color w:val="auto"/>
                <w:sz w:val="24"/>
                <w:szCs w:val="24"/>
                <w:highlight w:val="none"/>
                <w:u w:val="single"/>
                <w:lang w:val="en-US" w:eastAsia="zh-CN"/>
              </w:rPr>
              <w:t>如供应商对谈判文件有质疑，依据中华人民共和国财政部令第94号《政府采购质疑和投诉办法》规定提出质疑；</w:t>
            </w:r>
            <w:r>
              <w:rPr>
                <w:rFonts w:hint="eastAsia" w:ascii="宋体" w:hAnsi="宋体" w:eastAsia="宋体" w:cs="宋体"/>
                <w:b w:val="0"/>
                <w:bCs w:val="0"/>
                <w:color w:val="auto"/>
                <w:sz w:val="24"/>
                <w:szCs w:val="24"/>
                <w:highlight w:val="none"/>
                <w:u w:val="single"/>
                <w:lang w:val="en-US" w:eastAsia="zh-CN"/>
              </w:rPr>
              <w:t xml:space="preserve">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 </w:t>
            </w:r>
          </w:p>
          <w:p w14:paraId="66035E77">
            <w:pPr>
              <w:pStyle w:val="42"/>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rPr>
              <w:t>接收部门：</w:t>
            </w:r>
            <w:r>
              <w:rPr>
                <w:rFonts w:hint="eastAsia" w:ascii="宋体" w:hAnsi="宋体" w:eastAsia="宋体" w:cs="宋体"/>
                <w:b w:val="0"/>
                <w:color w:val="auto"/>
                <w:sz w:val="24"/>
                <w:szCs w:val="24"/>
                <w:highlight w:val="none"/>
                <w:u w:val="single"/>
                <w:lang w:val="en-US" w:eastAsia="zh-CN"/>
              </w:rPr>
              <w:t>滁州市重点工程建设管理处</w:t>
            </w:r>
            <w:r>
              <w:rPr>
                <w:rFonts w:hint="eastAsia" w:ascii="宋体" w:hAnsi="宋体" w:eastAsia="宋体" w:cs="宋体"/>
                <w:b w:val="0"/>
                <w:bCs w:val="0"/>
                <w:color w:val="auto"/>
                <w:sz w:val="24"/>
                <w:szCs w:val="24"/>
                <w:highlight w:val="none"/>
                <w:u w:val="single"/>
                <w:lang w:val="en-US" w:eastAsia="zh-CN"/>
              </w:rPr>
              <w:t>、滁州市城投工程咨询管理有限公司</w:t>
            </w:r>
          </w:p>
          <w:p w14:paraId="469CD112">
            <w:pPr>
              <w:pStyle w:val="42"/>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color w:val="auto"/>
                <w:sz w:val="24"/>
                <w:szCs w:val="24"/>
                <w:highlight w:val="none"/>
              </w:rPr>
              <w:t>联系电话</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kern w:val="0"/>
                <w:sz w:val="24"/>
                <w:szCs w:val="24"/>
                <w:highlight w:val="none"/>
                <w:u w:val="single"/>
                <w:lang w:val="en-US" w:eastAsia="zh-CN"/>
              </w:rPr>
              <w:t>0550-3046029、0550-3519517、18005500950</w:t>
            </w:r>
            <w:r>
              <w:rPr>
                <w:rFonts w:hint="eastAsia" w:ascii="宋体" w:hAnsi="宋体" w:eastAsia="宋体" w:cs="宋体"/>
                <w:b w:val="0"/>
                <w:bCs/>
                <w:color w:val="auto"/>
                <w:kern w:val="0"/>
                <w:sz w:val="24"/>
                <w:szCs w:val="24"/>
                <w:highlight w:val="none"/>
                <w:u w:val="single"/>
              </w:rPr>
              <w:t xml:space="preserve"> </w:t>
            </w:r>
          </w:p>
          <w:p w14:paraId="09ED8327">
            <w:pPr>
              <w:pStyle w:val="42"/>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color w:val="auto"/>
                <w:sz w:val="24"/>
                <w:szCs w:val="24"/>
                <w:highlight w:val="none"/>
              </w:rPr>
              <w:t>通讯地址：</w:t>
            </w:r>
            <w:r>
              <w:rPr>
                <w:rFonts w:hint="eastAsia" w:ascii="宋体" w:hAnsi="宋体" w:eastAsia="宋体" w:cs="宋体"/>
                <w:b w:val="0"/>
                <w:bCs/>
                <w:color w:val="auto"/>
                <w:kern w:val="0"/>
                <w:sz w:val="24"/>
                <w:szCs w:val="24"/>
                <w:highlight w:val="none"/>
                <w:u w:val="single"/>
                <w:lang w:val="en-US" w:eastAsia="zh-CN"/>
              </w:rPr>
              <w:t>滁州市琅琊西路81号建设大厦4楼</w:t>
            </w:r>
            <w:r>
              <w:rPr>
                <w:rFonts w:hint="eastAsia" w:ascii="宋体" w:hAnsi="宋体" w:eastAsia="宋体" w:cs="宋体"/>
                <w:b w:val="0"/>
                <w:bCs/>
                <w:color w:val="auto"/>
                <w:kern w:val="0"/>
                <w:sz w:val="24"/>
                <w:szCs w:val="24"/>
                <w:highlight w:val="none"/>
                <w:u w:val="single"/>
                <w:lang w:eastAsia="zh-CN"/>
              </w:rPr>
              <w:t>、滁州市龙蟠大道109号房产大厦6楼</w:t>
            </w:r>
          </w:p>
        </w:tc>
      </w:tr>
      <w:tr w14:paraId="3212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25FC02EB">
            <w:pPr>
              <w:pStyle w:val="43"/>
              <w:pBdr>
                <w:bottom w:val="none" w:color="auto" w:sz="0" w:space="0"/>
              </w:pBdr>
              <w:tabs>
                <w:tab w:val="clear" w:pos="4153"/>
                <w:tab w:val="clear" w:pos="8306"/>
              </w:tabs>
              <w:adjustRightInd/>
              <w:spacing w:line="240" w:lineRule="auto"/>
              <w:textAlignment w:val="auto"/>
              <w:rPr>
                <w:rFonts w:hint="default"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30</w:t>
            </w:r>
          </w:p>
        </w:tc>
        <w:tc>
          <w:tcPr>
            <w:tcW w:w="1160" w:type="pct"/>
            <w:vAlign w:val="center"/>
          </w:tcPr>
          <w:p w14:paraId="08394BD7">
            <w:pPr>
              <w:pStyle w:val="42"/>
              <w:widowControl w:val="0"/>
              <w:spacing w:before="0" w:beforeAutospacing="0" w:after="0" w:afterAutospacing="0" w:line="360" w:lineRule="auto"/>
              <w:jc w:val="both"/>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其他内容</w:t>
            </w:r>
          </w:p>
        </w:tc>
        <w:tc>
          <w:tcPr>
            <w:tcW w:w="3267" w:type="pct"/>
            <w:vAlign w:val="center"/>
          </w:tcPr>
          <w:p w14:paraId="0CCFBD36">
            <w:pPr>
              <w:pStyle w:val="42"/>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0E92143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lang w:val="en-US" w:eastAsia="zh-CN"/>
              </w:rPr>
              <w:t>谈判</w:t>
            </w:r>
            <w:r>
              <w:rPr>
                <w:rFonts w:asciiTheme="minorEastAsia" w:hAnsiTheme="minorEastAsia" w:eastAsiaTheme="minorEastAsia"/>
                <w:bCs/>
                <w:color w:val="auto"/>
                <w:sz w:val="24"/>
                <w:szCs w:val="24"/>
                <w:highlight w:val="none"/>
              </w:rPr>
              <w:t>文件的各个组成文件应互为解释，互为说明；</w:t>
            </w:r>
          </w:p>
          <w:p w14:paraId="7F5A2B33">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1F28B02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9D2CEA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谈判</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谈判及响应文件提交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竞争性谈判</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谈判邀请、供应商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53D08F11">
            <w:pPr>
              <w:pStyle w:val="42"/>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62F3FB19">
            <w:pPr>
              <w:pStyle w:val="19"/>
              <w:widowControl/>
              <w:spacing w:before="0" w:beforeAutospacing="0" w:after="0" w:afterAutospacing="0" w:line="480" w:lineRule="exact"/>
              <w:rPr>
                <w:rFonts w:ascii="宋体" w:hAnsi="宋体" w:eastAsia="宋体" w:cs="宋体"/>
                <w:color w:val="auto"/>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宋体" w:hAnsi="宋体" w:eastAsia="宋体" w:cs="宋体"/>
                <w:color w:val="auto"/>
                <w:szCs w:val="24"/>
                <w:highlight w:val="none"/>
              </w:rPr>
              <w:t>“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成交供应商融资申请信息推送第三方平台、意向金融机构。</w:t>
            </w:r>
          </w:p>
          <w:p w14:paraId="739B7E41">
            <w:pPr>
              <w:pStyle w:val="19"/>
              <w:spacing w:before="0" w:beforeAutospacing="0" w:after="0" w:afterAutospacing="0" w:line="360" w:lineRule="auto"/>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3、电子保函指引：成交供应商可访问安徽省政府采购网“融资/保函”栏目，申请办理电子保函（包括：履约保函、预付款保函）。</w:t>
            </w:r>
          </w:p>
          <w:p w14:paraId="21F1C370">
            <w:pPr>
              <w:pStyle w:val="19"/>
              <w:spacing w:before="0" w:beforeAutospacing="0" w:after="0" w:afterAutospacing="0" w:line="360" w:lineRule="auto"/>
              <w:jc w:val="both"/>
              <w:rPr>
                <w:rFonts w:ascii="宋体" w:hAnsi="宋体" w:eastAsia="宋体" w:cs="@仿宋_GB2312"/>
                <w:bCs/>
                <w:color w:val="auto"/>
                <w:kern w:val="2"/>
                <w:szCs w:val="24"/>
                <w:highlight w:val="none"/>
              </w:rPr>
            </w:pPr>
            <w:r>
              <w:rPr>
                <w:rFonts w:hint="eastAsia" w:cs="@仿宋_GB2312" w:asciiTheme="minorEastAsia" w:hAnsiTheme="minorEastAsia" w:eastAsiaTheme="minorEastAsia"/>
                <w:bCs/>
                <w:color w:val="auto"/>
                <w:kern w:val="2"/>
                <w:szCs w:val="24"/>
                <w:highlight w:val="none"/>
              </w:rPr>
              <w:t>4.</w:t>
            </w:r>
            <w:r>
              <w:rPr>
                <w:rFonts w:hint="eastAsia" w:ascii="宋体" w:hAnsi="宋体" w:eastAsia="宋体" w:cs="宋体"/>
                <w:bCs/>
                <w:color w:val="auto"/>
                <w:kern w:val="2"/>
                <w:szCs w:val="24"/>
                <w:highlight w:val="none"/>
              </w:rPr>
              <w:t>部分可提供线下政采贷的金融机构：</w:t>
            </w:r>
          </w:p>
          <w:p w14:paraId="0C06704F">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市本级</w:t>
            </w:r>
          </w:p>
          <w:p w14:paraId="0FBDDC94">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金融机构名称：兴业银行滁州分行</w:t>
            </w:r>
          </w:p>
          <w:p w14:paraId="4BF9B5B1">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安徽省滁州市琅琊区丰乐大道1090号</w:t>
            </w:r>
          </w:p>
          <w:p w14:paraId="5A729B3B">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伏庚：17755080811</w:t>
            </w:r>
          </w:p>
          <w:p w14:paraId="1F1404A7">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琅琊区</w:t>
            </w:r>
          </w:p>
          <w:p w14:paraId="372CF591">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 xml:space="preserve">金融机构名称：滁州皖东农村商业银行城中支行 </w:t>
            </w:r>
          </w:p>
          <w:p w14:paraId="775E393E">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地址：滁州经济技术开发区清流西路248号</w:t>
            </w:r>
          </w:p>
          <w:p w14:paraId="19C15F1A">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联系人及电话：杨行长13855011150刘经理18019805345</w:t>
            </w:r>
          </w:p>
          <w:p w14:paraId="7A4F6884">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南谯区</w:t>
            </w:r>
          </w:p>
          <w:p w14:paraId="7A20BE83">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 xml:space="preserve">金融机构名称：滁州皖东农村商业银行城中支行 </w:t>
            </w:r>
          </w:p>
          <w:p w14:paraId="09EF2F16">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地址：滁州经济技术开发区清流西路248号</w:t>
            </w:r>
          </w:p>
          <w:p w14:paraId="610443B0">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联系人及电话：杨行长13855011150刘经理18019805345</w:t>
            </w:r>
          </w:p>
          <w:p w14:paraId="468FC593">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天长市</w:t>
            </w:r>
          </w:p>
          <w:p w14:paraId="56431FF4">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金融机构名称：安徽桐城农村商业银行股份有限公司天长支行</w:t>
            </w:r>
          </w:p>
          <w:p w14:paraId="3B7776CA">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地址：天长市广陵中路1号楼金太阳老年公寓21号综合楼1-2层</w:t>
            </w:r>
          </w:p>
          <w:p w14:paraId="7044E390">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联系人及电话：卢晓明 18355006669</w:t>
            </w:r>
          </w:p>
          <w:p w14:paraId="5FF0AD6A">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金融机构：中国建设银行股份有限公司天长支行</w:t>
            </w:r>
          </w:p>
          <w:p w14:paraId="7D1DA1B5">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地址：安徽省天长市永福中路</w:t>
            </w:r>
          </w:p>
          <w:p w14:paraId="749EFFA5">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联系人及电话：刘爽 15655033366</w:t>
            </w:r>
          </w:p>
          <w:p w14:paraId="6BF09C02">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金融机构名称：中国工商银行股份有限公司天长支行</w:t>
            </w:r>
          </w:p>
          <w:p w14:paraId="62F6F5B9">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地址：安徽省天长市石梁东路</w:t>
            </w:r>
          </w:p>
          <w:p w14:paraId="5090F9E2">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联系人及电话：倪永生 13855043777</w:t>
            </w:r>
          </w:p>
          <w:p w14:paraId="5504B140">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明光市</w:t>
            </w:r>
          </w:p>
          <w:p w14:paraId="1602254D">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金融机构名称：安徽明光民丰村镇银行有限责任公司</w:t>
            </w:r>
          </w:p>
          <w:p w14:paraId="367F3244">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地址：安徽省明光市池河大道 618 号</w:t>
            </w:r>
          </w:p>
          <w:p w14:paraId="79121C94">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联系人及电话：唐玉超 17755082100</w:t>
            </w:r>
          </w:p>
          <w:p w14:paraId="295E3830">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金融机构名称：徽商银行明光支行</w:t>
            </w:r>
          </w:p>
          <w:p w14:paraId="331C4234">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地址：安徽省明光市韩山路 195 号</w:t>
            </w:r>
          </w:p>
          <w:p w14:paraId="1F3D78C5">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联系人及电话：李文龙 18019803518</w:t>
            </w:r>
          </w:p>
          <w:p w14:paraId="30949E85">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金融机构名称：安徽明光农村商业银行股份有限公司</w:t>
            </w:r>
          </w:p>
          <w:p w14:paraId="4FA64982">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地址：安徽省明光市龙山东路 30 号</w:t>
            </w:r>
          </w:p>
          <w:p w14:paraId="4EB11517">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联系人及电话：姚敏 13905506298</w:t>
            </w:r>
          </w:p>
          <w:p w14:paraId="330685C8">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金融机构名称：中国工商银行明光支行</w:t>
            </w:r>
          </w:p>
          <w:p w14:paraId="4C033314">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地址：明光市车站路 301 号</w:t>
            </w:r>
          </w:p>
          <w:p w14:paraId="5AC56537">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联系人及电话：许春晖 18712040304</w:t>
            </w:r>
          </w:p>
          <w:p w14:paraId="2B239751">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来安县</w:t>
            </w:r>
          </w:p>
          <w:p w14:paraId="4B68A74B">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 xml:space="preserve">金融机构名称：安徽来安农村商业银行股份有限公司   </w:t>
            </w:r>
          </w:p>
          <w:p w14:paraId="16742F8E">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 xml:space="preserve">地址：安徽省来安县新安镇黎明路78号  </w:t>
            </w:r>
          </w:p>
          <w:p w14:paraId="11A58B83">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 孙帅 18712050229</w:t>
            </w:r>
          </w:p>
          <w:p w14:paraId="2E92BF9E">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凤阳县</w:t>
            </w:r>
          </w:p>
          <w:p w14:paraId="16F01888">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 xml:space="preserve">金融机构名称：凤阳利民村镇银行 </w:t>
            </w:r>
          </w:p>
          <w:p w14:paraId="3763C2FC">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地址：安徽省滁州市凤阳县府城镇名城世家小区D区2幢1号商铺</w:t>
            </w:r>
          </w:p>
          <w:p w14:paraId="132F4B6F">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 xml:space="preserve">联系人及电话：宁聪 0550-6715501   </w:t>
            </w:r>
          </w:p>
          <w:p w14:paraId="77684339">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 xml:space="preserve">金融机构名称：凤阳农村商业银行股份有限公司 </w:t>
            </w:r>
          </w:p>
          <w:p w14:paraId="4E8C821C">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 xml:space="preserve">地址：凤阳县府城镇中都街道云霁路99号   </w:t>
            </w:r>
          </w:p>
          <w:p w14:paraId="2F195BC3">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联系人及电话：王龙纪 0550-6725047</w:t>
            </w:r>
          </w:p>
          <w:p w14:paraId="654FF232">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全椒县</w:t>
            </w:r>
          </w:p>
          <w:p w14:paraId="7FC5D493">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 xml:space="preserve">金融机构名称：徽商银行股份有限公全椒支行 </w:t>
            </w:r>
          </w:p>
          <w:p w14:paraId="50D5885E">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 xml:space="preserve">地址：安徽省滁州市全椒县儒林路广电大厦1楼 </w:t>
            </w:r>
          </w:p>
          <w:p w14:paraId="053BBFDD">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联系人及电话：宣东东 18855058765</w:t>
            </w:r>
          </w:p>
          <w:p w14:paraId="37ED64F7">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定远县</w:t>
            </w:r>
          </w:p>
          <w:p w14:paraId="6E072AF3">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金融机构名称：徽商银行股份有限公司定远支行</w:t>
            </w:r>
          </w:p>
          <w:p w14:paraId="5060767B">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地址：定远县长征路与合蚌路交叉口</w:t>
            </w:r>
          </w:p>
          <w:p w14:paraId="36EC236B">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联系人及电话：俞旭 13721071985</w:t>
            </w:r>
          </w:p>
          <w:p w14:paraId="19F1BD6C">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金融机构名称：中国银行股份有限公司定远支行</w:t>
            </w:r>
          </w:p>
          <w:p w14:paraId="754702BD">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地址：定远县定城镇东大街油坊巷西1号</w:t>
            </w:r>
          </w:p>
          <w:p w14:paraId="2B629485">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联系人及电话：米阳 13721071985</w:t>
            </w:r>
          </w:p>
          <w:p w14:paraId="3518848D">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金融机构名称：中国邮政储蓄银行股份有限公司定远县支行</w:t>
            </w:r>
          </w:p>
          <w:p w14:paraId="2E4A3408">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地址：定远县定城镇东大街中段（老供电局）邮储银行定远县支行</w:t>
            </w:r>
          </w:p>
          <w:p w14:paraId="481DE608">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联系人及电话：蒋宋、付文玲18055035230、18355281631</w:t>
            </w:r>
          </w:p>
          <w:p w14:paraId="2A49F4FF">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金融机构名称：安徽定远农村商业银行股份有限公司</w:t>
            </w:r>
          </w:p>
          <w:p w14:paraId="64E545FE">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地址：定远县戚继光大道197号新城支行</w:t>
            </w:r>
          </w:p>
          <w:p w14:paraId="258EBBB2">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联系人及电话：范大伟13505554639</w:t>
            </w:r>
          </w:p>
          <w:p w14:paraId="271E0E62">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金融机构名称：安徽定远民丰村镇银行股份有限公司</w:t>
            </w:r>
          </w:p>
          <w:p w14:paraId="4EDBAAFC">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地址：定远县定城镇长征中路</w:t>
            </w:r>
          </w:p>
          <w:p w14:paraId="1BBAFDC6">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联系人及电话：朱冬冬18155018299。</w:t>
            </w:r>
          </w:p>
          <w:p w14:paraId="22C7D214">
            <w:pPr>
              <w:pStyle w:val="19"/>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5、特别提示：</w:t>
            </w:r>
          </w:p>
          <w:p w14:paraId="2716948C">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（1）供应商应填写信息并下载谈判文件，否则无法上传响应文件。注：供应商如为联合体的,牵头人必须填写信息（信息包括联合体所有成员信息)并下载谈判文件。</w:t>
            </w:r>
          </w:p>
          <w:p w14:paraId="4177989D">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2）本项目采用电子招标投标，请供应商在滁州市公共资源交易中心网&gt;服务指南&gt;软件下载栏目点击下载投标文件制作工具。供应商需采用最新版投标文件制作工具。软件运行需在国际互联网络通畅状态，供应商需注意更新，以免造成响应文件制作错误，如因此导致谈判小组否决其参与资格，责任自负。如有技术问题请联系0550-3801701，4009980000。</w:t>
            </w:r>
          </w:p>
          <w:p w14:paraId="76655A54">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（3）如果过程中出现谈判文件更改，应以最后发布的答疑澄清文件中的模板制作本项目最新响应文件。</w:t>
            </w:r>
          </w:p>
          <w:p w14:paraId="5C2E14DF">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 xml:space="preserve">（4）供应商应当用本单位CA数字证书制作响应文件，制作成功后进行响应文件上传。 </w:t>
            </w:r>
          </w:p>
          <w:p w14:paraId="1B759E4C">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供应商须用CA数字证书盖章和加密响应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45D330ED">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（6）请供应商注意加密响应文件CA数字证书的有效期，不在有效期的CA数字证书无法解密响应文件。</w:t>
            </w:r>
          </w:p>
          <w:p w14:paraId="65FFB52E">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（7）供应商投标MAC地址或供应商联系人或联系电话相同的，由谈判小组否决其资格，并报告监管部门作不良行为处理和进一步调查。</w:t>
            </w:r>
          </w:p>
          <w:p w14:paraId="1084B26F">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（8）供应商单方面出现其他供应商材料的，由谈判小组否决其响应。</w:t>
            </w:r>
          </w:p>
          <w:p w14:paraId="5C0FB37E">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9）评审时查询响应文件制作机器码、文件创建标识码及造价软件加密锁号。若存在响应文件制作机器码或创建标识码或造价软件加密锁号信息与其他供应商雷同的，由谈判小组否决其资格，依法依规予以处理。</w:t>
            </w:r>
          </w:p>
          <w:p w14:paraId="220DA3E2">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10）电子加密响应文件上传到系统后，需要供应商和代理公司到响应文件提交截止后共同解锁，不存在商务报价等信息通过系统泄密的风险；响应文件提交截止时间前，已上传的响应文件也可以撤回修改。集中到响应文件提交截止时间前上传电子加密响应文件，可能出现由于供应商制作电子响应文件不熟练、网络拥堵等不可预知的情况而且无法及时解决，丧失响应机会，请各供应商提前制作、上传电子加密响应文件，否则由于无法及时上传电子加密响应文件而无效响应的情况，责任自负！</w:t>
            </w:r>
          </w:p>
          <w:p w14:paraId="7DFFF4E8">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6、评审过程中的澄清、说明或补正：</w:t>
            </w:r>
          </w:p>
          <w:p w14:paraId="5AC1A840">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1）谈判小组通过网上招投标系统将需要澄清、说明或补正的内容以询标函的形式发送给供应商，供应商应安排专人登录网上招投标系统并保持在线状态，并确保联系方式有效，以便及时接收谈判小组可能发出的询标函。</w:t>
            </w:r>
          </w:p>
          <w:p w14:paraId="37FA9FDC">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2）因供应商未登录网上招投标系统导致无法及时接收询标函（远程网上询标）或未在规定时间内按谈判小组要求进行澄清、说明或补正内容的视同供应商放弃澄清、说明或补正内容的权利，谈判小组可按对供应商不利的解释进行判定。</w:t>
            </w:r>
          </w:p>
          <w:p w14:paraId="71C44D98">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7.同义词语：</w:t>
            </w:r>
          </w:p>
          <w:p w14:paraId="1AEEE84F">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谈判文件第六章  响应文件格式、附件1“关于联合惩戒失信行为 加强信用查询管理的通知”等章节中 “招标人”、“投标人”，等同于“采购人”、“供应商”。</w:t>
            </w:r>
          </w:p>
          <w:p w14:paraId="66D23685">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lang w:val="en-US" w:eastAsia="zh-CN"/>
              </w:rPr>
              <w:t>8.</w:t>
            </w:r>
            <w:r>
              <w:rPr>
                <w:rFonts w:hint="eastAsia" w:asciiTheme="minorEastAsia" w:hAnsiTheme="minorEastAsia" w:eastAsiaTheme="minorEastAsia"/>
                <w:b w:val="0"/>
                <w:color w:val="auto"/>
                <w:kern w:val="2"/>
                <w:sz w:val="24"/>
                <w:szCs w:val="24"/>
                <w:highlight w:val="none"/>
              </w:rPr>
              <w:t>落实政府采购支持节能产品、环境标志产品政策。</w:t>
            </w:r>
          </w:p>
          <w:p w14:paraId="21CB5C83">
            <w:pPr>
              <w:pStyle w:val="42"/>
              <w:widowControl w:val="0"/>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asciiTheme="minorEastAsia" w:hAnsiTheme="minorEastAsia" w:eastAsiaTheme="minorEastAsia"/>
                <w:b w:val="0"/>
                <w:color w:val="auto"/>
                <w:kern w:val="2"/>
                <w:sz w:val="24"/>
                <w:szCs w:val="24"/>
                <w:highlight w:val="none"/>
              </w:rPr>
              <w:t>9.系统中提供的表格与采购文件中不一致时，以采购文件中提供的表格格式为准。</w:t>
            </w:r>
          </w:p>
        </w:tc>
      </w:tr>
    </w:tbl>
    <w:p w14:paraId="492CE85C">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3" w:name="_Toc577"/>
      <w:bookmarkStart w:id="24" w:name="_Toc6109"/>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3"/>
      <w:bookmarkEnd w:id="24"/>
    </w:p>
    <w:p w14:paraId="3B8D821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574C58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49B446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66323B9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4737F1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bookmarkStart w:id="25" w:name="_Hlk60610946"/>
      <w:r>
        <w:rPr>
          <w:rFonts w:ascii="宋体" w:hAnsi="宋体" w:eastAsia="宋体"/>
          <w:color w:val="auto"/>
          <w:sz w:val="24"/>
          <w:highlight w:val="none"/>
        </w:rPr>
        <w:t>本项目的</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须满足以下条件：</w:t>
      </w:r>
    </w:p>
    <w:p w14:paraId="240A09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9637E1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lang w:val="en-US" w:eastAsia="zh-CN"/>
        </w:rPr>
        <w:t>谈判</w:t>
      </w:r>
      <w:r>
        <w:rPr>
          <w:rFonts w:ascii="宋体" w:hAnsi="宋体" w:eastAsia="宋体"/>
          <w:color w:val="auto"/>
          <w:sz w:val="24"/>
          <w:highlight w:val="none"/>
        </w:rPr>
        <w:t>文件。</w:t>
      </w:r>
    </w:p>
    <w:p w14:paraId="486776A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应保证所投产品可履行合法报通关手续进入中国关境内。</w:t>
      </w:r>
    </w:p>
    <w:p w14:paraId="78823C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w:t>
      </w: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所投产品为进口产品，</w:t>
      </w:r>
      <w:r>
        <w:rPr>
          <w:rFonts w:ascii="宋体" w:hAnsi="宋体" w:eastAsia="宋体"/>
          <w:color w:val="auto"/>
          <w:sz w:val="24"/>
          <w:highlight w:val="none"/>
        </w:rPr>
        <w:t>其</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lang w:val="en-US" w:eastAsia="zh-CN"/>
        </w:rPr>
        <w:t>响应</w:t>
      </w:r>
      <w:r>
        <w:rPr>
          <w:rFonts w:hint="eastAsia" w:ascii="宋体" w:hAnsi="宋体" w:eastAsia="宋体"/>
          <w:b/>
          <w:color w:val="auto"/>
          <w:sz w:val="24"/>
          <w:highlight w:val="none"/>
        </w:rPr>
        <w:t>无效</w:t>
      </w:r>
      <w:r>
        <w:rPr>
          <w:rFonts w:hint="eastAsia" w:ascii="宋体" w:hAnsi="宋体" w:eastAsia="宋体"/>
          <w:color w:val="auto"/>
          <w:sz w:val="24"/>
          <w:highlight w:val="none"/>
        </w:rPr>
        <w:t>。</w:t>
      </w:r>
    </w:p>
    <w:bookmarkEnd w:id="25"/>
    <w:p w14:paraId="63901C79">
      <w:pPr>
        <w:spacing w:line="360" w:lineRule="auto"/>
        <w:ind w:firstLine="435"/>
        <w:rPr>
          <w:rFonts w:ascii="宋体" w:hAnsi="宋体" w:eastAsia="宋体"/>
          <w:color w:val="auto"/>
          <w:sz w:val="24"/>
          <w:highlight w:val="none"/>
        </w:rPr>
      </w:pPr>
      <w:r>
        <w:rPr>
          <w:rFonts w:hint="eastAsia" w:ascii="宋体" w:hAnsi="宋体" w:eastAsia="宋体"/>
          <w:bCs/>
          <w:color w:val="auto"/>
          <w:kern w:val="0"/>
          <w:sz w:val="24"/>
          <w:szCs w:val="28"/>
          <w:highlight w:val="none"/>
          <w:lang w:val="en-US"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若竞争性谈判公告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参加谈判</w:t>
      </w:r>
      <w:r>
        <w:rPr>
          <w:rFonts w:ascii="宋体" w:hAnsi="宋体" w:eastAsia="宋体"/>
          <w:bCs/>
          <w:color w:val="auto"/>
          <w:kern w:val="0"/>
          <w:sz w:val="24"/>
          <w:szCs w:val="28"/>
          <w:highlight w:val="none"/>
        </w:rPr>
        <w:t>，对联合体规定如下：</w:t>
      </w:r>
    </w:p>
    <w:p w14:paraId="5A0C3F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两个以上供应商可以组成一个谈判联合体，以一个供应商的身份谈判</w:t>
      </w:r>
      <w:r>
        <w:rPr>
          <w:rFonts w:ascii="宋体" w:hAnsi="宋体" w:eastAsia="宋体"/>
          <w:color w:val="auto"/>
          <w:sz w:val="24"/>
          <w:highlight w:val="none"/>
        </w:rPr>
        <w:t>。</w:t>
      </w:r>
      <w:r>
        <w:rPr>
          <w:rFonts w:hint="eastAsia" w:ascii="宋体" w:hAnsi="宋体" w:eastAsia="宋体"/>
          <w:color w:val="auto"/>
          <w:sz w:val="24"/>
          <w:highlight w:val="none"/>
        </w:rPr>
        <w:t>联合体</w:t>
      </w:r>
      <w:r>
        <w:rPr>
          <w:rFonts w:hint="eastAsia" w:ascii="宋体" w:hAnsi="宋体" w:eastAsia="宋体"/>
          <w:color w:val="auto"/>
          <w:sz w:val="24"/>
          <w:highlight w:val="none"/>
          <w:lang w:val="en-US" w:eastAsia="zh-CN"/>
        </w:rPr>
        <w:t>谈判</w:t>
      </w:r>
      <w:r>
        <w:rPr>
          <w:rFonts w:hint="eastAsia" w:ascii="宋体" w:hAnsi="宋体" w:eastAsia="宋体"/>
          <w:color w:val="auto"/>
          <w:sz w:val="24"/>
          <w:highlight w:val="none"/>
        </w:rPr>
        <w:t>的，</w:t>
      </w:r>
      <w:r>
        <w:rPr>
          <w:rFonts w:hint="eastAsia" w:ascii="宋体" w:hAnsi="宋体" w:eastAsia="宋体"/>
          <w:color w:val="auto"/>
          <w:sz w:val="24"/>
          <w:highlight w:val="none"/>
          <w:lang w:val="en-US" w:eastAsia="zh-CN"/>
        </w:rPr>
        <w:t>谈判</w:t>
      </w:r>
      <w:r>
        <w:rPr>
          <w:rFonts w:hint="eastAsia" w:ascii="宋体" w:hAnsi="宋体" w:eastAsia="宋体"/>
          <w:color w:val="auto"/>
          <w:sz w:val="24"/>
          <w:highlight w:val="none"/>
        </w:rPr>
        <w:t>文件获取手续由联合体中任一成员单位办理均可。</w:t>
      </w:r>
    </w:p>
    <w:p w14:paraId="6C9A71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16BA47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7EB04F8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30B07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谈判</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1D38ED6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1772A1B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谈判</w:t>
      </w:r>
      <w:r>
        <w:rPr>
          <w:rFonts w:ascii="宋体" w:hAnsi="宋体" w:eastAsia="宋体"/>
          <w:color w:val="auto"/>
          <w:sz w:val="24"/>
          <w:highlight w:val="none"/>
        </w:rPr>
        <w:t>，否则相关</w:t>
      </w:r>
      <w:r>
        <w:rPr>
          <w:rFonts w:hint="eastAsia" w:ascii="宋体" w:hAnsi="宋体" w:eastAsia="宋体"/>
          <w:color w:val="auto"/>
          <w:sz w:val="24"/>
          <w:highlight w:val="none"/>
        </w:rPr>
        <w:t>响应文件</w:t>
      </w:r>
      <w:r>
        <w:rPr>
          <w:rFonts w:ascii="宋体" w:hAnsi="宋体" w:eastAsia="宋体"/>
          <w:color w:val="auto"/>
          <w:sz w:val="24"/>
          <w:highlight w:val="none"/>
        </w:rPr>
        <w:t>将被认定为</w:t>
      </w:r>
      <w:r>
        <w:rPr>
          <w:rFonts w:hint="eastAsia" w:ascii="宋体" w:hAnsi="宋体" w:eastAsia="宋体"/>
          <w:b/>
          <w:color w:val="auto"/>
          <w:sz w:val="24"/>
          <w:highlight w:val="none"/>
        </w:rPr>
        <w:t>响应</w:t>
      </w:r>
      <w:r>
        <w:rPr>
          <w:rFonts w:ascii="宋体" w:hAnsi="宋体" w:eastAsia="宋体"/>
          <w:b/>
          <w:color w:val="auto"/>
          <w:sz w:val="24"/>
          <w:highlight w:val="none"/>
        </w:rPr>
        <w:t>无效</w:t>
      </w:r>
      <w:r>
        <w:rPr>
          <w:rFonts w:ascii="宋体" w:hAnsi="宋体" w:eastAsia="宋体"/>
          <w:color w:val="auto"/>
          <w:sz w:val="24"/>
          <w:highlight w:val="none"/>
        </w:rPr>
        <w:t>。</w:t>
      </w:r>
    </w:p>
    <w:p w14:paraId="01D712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.8对联合体参加谈判的其他资格要求见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3F050487">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42B9D3F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本项目的采购人已获得足以支付本次谈判后所签订的合同项下的资金。</w:t>
      </w:r>
    </w:p>
    <w:p w14:paraId="3768DFC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谈判费用</w:t>
      </w:r>
    </w:p>
    <w:p w14:paraId="6DA6A3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不论谈判的结果如何，供应商应承担其所有与准备和参加谈判有关的费用。</w:t>
      </w:r>
    </w:p>
    <w:p w14:paraId="0FA52E3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671FC369">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441A859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谈判文件构成</w:t>
      </w:r>
    </w:p>
    <w:p w14:paraId="1739D8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.1谈判文件包括下列内容：</w:t>
      </w:r>
    </w:p>
    <w:p w14:paraId="31B35B5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谈判邀请</w:t>
      </w:r>
    </w:p>
    <w:p w14:paraId="5089CBD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187F8DF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4F16042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19B2898A">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1EF7F854">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519C6E28">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5E6040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踏勘</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12F1E8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文件所有的事项、格式、条款和技术规范等。</w:t>
      </w:r>
    </w:p>
    <w:p w14:paraId="2AABEF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谈判文件的澄清与修改</w:t>
      </w:r>
    </w:p>
    <w:p w14:paraId="6E9D6F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文件内容有疑问，必须在</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截止时间前提交给采购代理机构。</w:t>
      </w:r>
    </w:p>
    <w:p w14:paraId="4F71AA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26" w:name="_Hlk16458572"/>
      <w:r>
        <w:rPr>
          <w:rFonts w:hint="eastAsia" w:ascii="宋体" w:hAnsi="宋体" w:eastAsia="宋体"/>
          <w:color w:val="auto"/>
          <w:sz w:val="24"/>
          <w:szCs w:val="18"/>
          <w:highlight w:val="none"/>
        </w:rPr>
        <w:t>安徽省政府采购网</w:t>
      </w:r>
      <w:bookmarkEnd w:id="26"/>
      <w:r>
        <w:rPr>
          <w:rFonts w:hint="eastAsia" w:asciiTheme="minorEastAsia" w:hAnsiTheme="minorEastAsia" w:eastAsiaTheme="minorEastAsia"/>
          <w:color w:val="auto"/>
          <w:sz w:val="24"/>
          <w:highlight w:val="none"/>
        </w:rPr>
        <w:t>以发布更正公告的方式澄清或者修改谈判文件，更正公告的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128FD7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供应商提供的任何书面或口头资料，未经采购代理机构在网上发布或书面通知，均作无效处理，不得作为谈判文件的组成部分。采购代理机构对供应商由此而做出的推论、理解和结论概不负责。</w:t>
      </w:r>
    </w:p>
    <w:p w14:paraId="07147A07">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本谈判</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val="0"/>
          <w:iCs/>
          <w:color w:val="auto"/>
          <w:sz w:val="24"/>
          <w:highlight w:val="none"/>
        </w:rPr>
        <w:t>。</w:t>
      </w:r>
    </w:p>
    <w:p w14:paraId="1B2008C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谈判范围及响应文件中标准和计量单位的使用</w:t>
      </w:r>
    </w:p>
    <w:p w14:paraId="3A9379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谈判，</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187A0E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7.2供应商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val="en-US" w:eastAsia="zh-CN"/>
        </w:rPr>
        <w:t>谈判</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1B9E80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无论谈判文件中是否要求，供应商所投</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及伴随的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和工程均应符合国家强制性标准。</w:t>
      </w:r>
    </w:p>
    <w:p w14:paraId="217F8B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w:t>
      </w:r>
    </w:p>
    <w:p w14:paraId="20F716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除谈判文件中有特殊要求外，响应文件中所使用的计量单位，应采用中华人民共和国法定计量单位。</w:t>
      </w:r>
    </w:p>
    <w:p w14:paraId="53DD4C2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795F75E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.1供应商应完整地按谈判文件提供的响应文件格式及要求编写响应文件，具体内容详见</w:t>
      </w:r>
      <w:r>
        <w:rPr>
          <w:rFonts w:hint="eastAsia" w:ascii="宋体" w:hAnsi="宋体" w:eastAsia="宋体"/>
          <w:color w:val="auto"/>
          <w:sz w:val="24"/>
          <w:highlight w:val="none"/>
          <w:lang w:val="en-US" w:eastAsia="zh-CN"/>
        </w:rPr>
        <w:t>本项目</w:t>
      </w:r>
      <w:r>
        <w:rPr>
          <w:rFonts w:ascii="宋体" w:hAnsi="宋体" w:eastAsia="宋体"/>
          <w:color w:val="auto"/>
          <w:sz w:val="24"/>
          <w:highlight w:val="none"/>
        </w:rPr>
        <w:t>响应文件格式的相关内容。</w:t>
      </w:r>
    </w:p>
    <w:p w14:paraId="7DC3B9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8.2</w:t>
      </w:r>
      <w:r>
        <w:rPr>
          <w:rFonts w:hint="eastAsia" w:ascii="宋体" w:hAnsi="宋体" w:eastAsia="宋体"/>
          <w:color w:val="auto"/>
          <w:sz w:val="24"/>
          <w:highlight w:val="none"/>
        </w:rPr>
        <w:t>供应商应提交谈判文件要求的证明文件，证明其响应内容符合谈判文件规定。该证明文件是响应文件的一部分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7" w:name="_Hlk11703583"/>
      <w:r>
        <w:rPr>
          <w:rFonts w:hint="eastAsia" w:asciiTheme="minorEastAsia" w:hAnsiTheme="minorEastAsia" w:eastAsiaTheme="minorEastAsia"/>
          <w:color w:val="auto"/>
          <w:sz w:val="24"/>
          <w:highlight w:val="none"/>
        </w:rPr>
        <w:t>。</w:t>
      </w:r>
    </w:p>
    <w:bookmarkEnd w:id="27"/>
    <w:p w14:paraId="376837B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公正，除非谈判文件另有规定或说明，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备选谈判</w:t>
      </w:r>
      <w:r>
        <w:rPr>
          <w:rFonts w:asciiTheme="minorEastAsia" w:hAnsiTheme="minorEastAsia" w:eastAsiaTheme="minorEastAsia"/>
          <w:color w:val="auto"/>
          <w:sz w:val="24"/>
          <w:highlight w:val="none"/>
        </w:rPr>
        <w:t>方案。</w:t>
      </w:r>
    </w:p>
    <w:p w14:paraId="545065F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190BB0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除谈判文件另有规定外，</w:t>
      </w:r>
      <w:r>
        <w:rPr>
          <w:rFonts w:hint="eastAsia" w:asciiTheme="minorEastAsia" w:hAnsiTheme="minorEastAsia" w:eastAsiaTheme="minorEastAsia"/>
          <w:color w:val="auto"/>
          <w:sz w:val="24"/>
          <w:highlight w:val="none"/>
        </w:rPr>
        <w:t>所有内容均应以人民币报价，供应商的谈判报价应遵守《中华人民共和国价格法》。</w:t>
      </w:r>
    </w:p>
    <w:p w14:paraId="281FB9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.2供应商应</w:t>
      </w:r>
      <w:r>
        <w:rPr>
          <w:rFonts w:hint="eastAsia" w:asciiTheme="minorEastAsia" w:hAnsiTheme="minorEastAsia" w:eastAsiaTheme="minorEastAsia"/>
          <w:color w:val="auto"/>
          <w:sz w:val="24"/>
          <w:highlight w:val="none"/>
        </w:rPr>
        <w:t>在分项报价表上标明分项服务、伴随的货物和工程的价格（如适用）和总价，未标明的视同包含在谈判报价中。</w:t>
      </w:r>
    </w:p>
    <w:p w14:paraId="6ADBC0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除非谈判文件另有规定或经采购人同意支付的，最后报价均不得高于谈判文件（公告）列明的项目预算，否则其响应文件将被认定为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20A745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6C073F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7E1547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谈判保证金</w:t>
      </w:r>
    </w:p>
    <w:p w14:paraId="3745CD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.1本项目不收取谈判保证金。</w:t>
      </w:r>
    </w:p>
    <w:p w14:paraId="3596244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谈判有效期</w:t>
      </w:r>
    </w:p>
    <w:p w14:paraId="63C6AB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.1谈判有效期为从响应文件提交截止之日算起的日历天数，谈判有效期详见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2DE539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.2在谈判有效期内，供应商的谈判保持有效，供应商不得要求撤销或修改其响应文件。谈判有效期不满足要求的响应，其响应文件将被认定为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4E5D47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230A8BB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31ED8C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u w:val="none"/>
          <w:lang w:val="en-US" w:eastAsia="zh-CN"/>
        </w:rPr>
        <w:t>竞争性谈判公告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8DB46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.2供应商应当在响应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提交截止时间前完成响应文件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r>
        <w:rPr>
          <w:rFonts w:asciiTheme="minorEastAsia" w:hAnsiTheme="minorEastAsia" w:eastAsiaTheme="minorEastAsia"/>
          <w:color w:val="auto"/>
          <w:sz w:val="24"/>
          <w:highlight w:val="none"/>
        </w:rPr>
        <w:t>。</w:t>
      </w:r>
    </w:p>
    <w:p w14:paraId="26778F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val="en-US" w:eastAsia="zh-CN"/>
        </w:rPr>
        <w:t>未在规定时间内进行解密的，</w:t>
      </w:r>
      <w:r>
        <w:rPr>
          <w:rFonts w:hint="eastAsia" w:asciiTheme="minorEastAsia" w:hAnsiTheme="minorEastAsia" w:eastAsiaTheme="minorEastAsia"/>
          <w:b/>
          <w:bCs/>
          <w:color w:val="auto"/>
          <w:sz w:val="24"/>
          <w:highlight w:val="none"/>
          <w:lang w:val="en-US" w:eastAsia="zh-CN"/>
        </w:rPr>
        <w:t>响应无效</w:t>
      </w:r>
      <w:r>
        <w:rPr>
          <w:rFonts w:hint="eastAsia" w:asciiTheme="minorEastAsia" w:hAnsiTheme="minorEastAsia" w:eastAsiaTheme="minorEastAsia"/>
          <w:color w:val="auto"/>
          <w:sz w:val="24"/>
          <w:highlight w:val="none"/>
          <w:lang w:val="en-US" w:eastAsia="zh-CN"/>
        </w:rPr>
        <w:t>。</w:t>
      </w:r>
    </w:p>
    <w:p w14:paraId="59A3AAE8">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ascii="宋体" w:hAnsi="宋体" w:eastAsia="宋体"/>
          <w:color w:val="auto"/>
          <w:sz w:val="24"/>
          <w:highlight w:val="none"/>
        </w:rPr>
        <w:t>但属于谈判小组在评审中发现的计算错误并进行核实的修改、按照谈判文件的变动情况和谈判小组的要求重新提交响应文件的，不在此列。</w:t>
      </w:r>
    </w:p>
    <w:p w14:paraId="62FDFB5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谈判小组</w:t>
      </w:r>
    </w:p>
    <w:p w14:paraId="1BBB0F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.1本项目将依法组建谈判小组，谈判小组成员由3人以上单数组成，谈判小组及其成员应当依照政府采购的有关规定履行相关职责和义务。</w:t>
      </w:r>
    </w:p>
    <w:p w14:paraId="46832BA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.2谈判小组依法对响应文件进行评审，并根据谈判文件规定的程序、评定成交的标准等事项与实质性响应谈判文件要求的供应商进行谈判。</w:t>
      </w:r>
    </w:p>
    <w:p w14:paraId="6A633E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.3谈判小组应当从质量和服务均能满足谈判文件实质性响应要求的供应商中，按照</w:t>
      </w:r>
      <w:r>
        <w:rPr>
          <w:rFonts w:hint="eastAsia" w:asciiTheme="minorEastAsia" w:hAnsiTheme="minorEastAsia" w:eastAsiaTheme="minorEastAsia"/>
          <w:color w:val="auto"/>
          <w:sz w:val="24"/>
          <w:highlight w:val="none"/>
        </w:rPr>
        <w:t>评审方法和标准推荐</w:t>
      </w:r>
      <w:r>
        <w:rPr>
          <w:rFonts w:asciiTheme="minorEastAsia" w:hAnsiTheme="minorEastAsia" w:eastAsiaTheme="minorEastAsia"/>
          <w:color w:val="auto"/>
          <w:sz w:val="24"/>
          <w:highlight w:val="none"/>
        </w:rPr>
        <w:t>成交候选人，并编写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45BE5787">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.响应文件的评审与谈判</w:t>
      </w:r>
    </w:p>
    <w:p w14:paraId="66423E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asciiTheme="minorEastAsia" w:hAnsiTheme="minorEastAsia" w:eastAsiaTheme="minorEastAsia"/>
          <w:color w:val="auto"/>
          <w:sz w:val="24"/>
          <w:highlight w:val="none"/>
          <w:u w:val="none"/>
          <w:lang w:val="en-US" w:eastAsia="zh-CN"/>
        </w:rPr>
        <w:t>竞争性谈判公告</w:t>
      </w:r>
      <w:r>
        <w:rPr>
          <w:rFonts w:hint="eastAsia" w:asciiTheme="minorEastAsia" w:hAnsiTheme="minorEastAsia" w:eastAsiaTheme="minorEastAsia"/>
          <w:color w:val="auto"/>
          <w:sz w:val="24"/>
          <w:highlight w:val="none"/>
        </w:rPr>
        <w:t>规定的时间和地点组织谈判。</w:t>
      </w:r>
    </w:p>
    <w:p w14:paraId="56FB8C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 竞争性谈判采用最低评标价法评审。</w:t>
      </w:r>
    </w:p>
    <w:p w14:paraId="7776C9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最低评标价法，是指响应文件满足谈判文件全部实质性要求且最后报价最低的供应商为成交候选人的评标方法。</w:t>
      </w:r>
    </w:p>
    <w:p w14:paraId="56C5A4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.3谈判小组将按照谈判文件规定的评审方法和标准对供应商独立进行评审。评审程序如下：</w:t>
      </w:r>
    </w:p>
    <w:p w14:paraId="61B8B6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.3.1初审。谈判小组对供应商必须满足和实质性响应的内容进行评审，供应商未实质性响应谈判文件要求导致响应无效的，谈判小组将以书面询标的方式告知有关供应商。</w:t>
      </w:r>
    </w:p>
    <w:p w14:paraId="2A9A6E6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0371299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48B08C51">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6E00D3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.3.2谈判。初审合格后，谈判小组将按网上加密电子响应文件提交顺序集中与单一供应商分别进行谈判，并给予所有参加谈判的供应商平等的谈判机会。</w:t>
      </w:r>
    </w:p>
    <w:p w14:paraId="0CC550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谈判结束后，谈判小组应当要求所有</w:t>
      </w:r>
      <w:r>
        <w:rPr>
          <w:rFonts w:hint="eastAsia" w:asciiTheme="minorEastAsia" w:hAnsiTheme="minorEastAsia" w:eastAsiaTheme="minorEastAsia"/>
          <w:color w:val="auto"/>
          <w:sz w:val="24"/>
          <w:highlight w:val="none"/>
        </w:rPr>
        <w:t>继续参加谈判</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30D6B0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68E4EE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.4.1为保证谈判活动顺利进行，供应商可派相关技术人员进行网上答疑；</w:t>
      </w:r>
    </w:p>
    <w:p w14:paraId="37AB19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.4.2谈判</w:t>
      </w:r>
      <w:r>
        <w:rPr>
          <w:rFonts w:asciiTheme="minorEastAsia" w:hAnsiTheme="minorEastAsia" w:eastAsiaTheme="minorEastAsia"/>
          <w:color w:val="auto"/>
          <w:sz w:val="24"/>
          <w:highlight w:val="none"/>
        </w:rPr>
        <w:t>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谈判情况可能实质性变动</w:t>
      </w:r>
      <w:r>
        <w:rPr>
          <w:rFonts w:hint="eastAsia" w:asciiTheme="minorEastAsia" w:hAnsiTheme="minorEastAsia" w:eastAsiaTheme="minorEastAsia"/>
          <w:color w:val="auto"/>
          <w:sz w:val="24"/>
          <w:highlight w:val="none"/>
        </w:rPr>
        <w:t>谈判文件</w:t>
      </w:r>
      <w:r>
        <w:rPr>
          <w:rFonts w:asciiTheme="minorEastAsia" w:hAnsiTheme="minorEastAsia" w:eastAsiaTheme="minorEastAsia"/>
          <w:color w:val="auto"/>
          <w:sz w:val="24"/>
          <w:highlight w:val="none"/>
        </w:rPr>
        <w:t>的内容，包括采购需求中的技术、服务要求以及合同草案条款。谈判文件有实质性变动的，</w:t>
      </w:r>
      <w:r>
        <w:rPr>
          <w:rFonts w:hint="eastAsia" w:asciiTheme="minorEastAsia" w:hAnsiTheme="minorEastAsia" w:eastAsiaTheme="minorEastAsia"/>
          <w:color w:val="auto"/>
          <w:sz w:val="24"/>
          <w:highlight w:val="none"/>
        </w:rPr>
        <w:t>经采购人代表确认作为谈判文件的有效组成部分，</w:t>
      </w:r>
      <w:r>
        <w:rPr>
          <w:rFonts w:asciiTheme="minorEastAsia" w:hAnsiTheme="minorEastAsia" w:eastAsiaTheme="minorEastAsia"/>
          <w:color w:val="auto"/>
          <w:sz w:val="24"/>
          <w:highlight w:val="none"/>
        </w:rPr>
        <w:t>谈判小组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以书面形式通知所有参加谈判的供应商。</w:t>
      </w:r>
    </w:p>
    <w:p w14:paraId="51B4B8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4.3谈判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2F5DD38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小组可以视同其未提供。</w:t>
      </w:r>
    </w:p>
    <w:p w14:paraId="7D3714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.4.5谈判</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649504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谈判过程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2C6704D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.终止竞争性谈判</w:t>
      </w:r>
    </w:p>
    <w:p w14:paraId="40FB8E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.1出现下列情况之一时，采购人和采购代理机构有权宣布终止竞争性谈判采购，并将理由通知所有供应商：</w:t>
      </w:r>
    </w:p>
    <w:p w14:paraId="114440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（1）有效供应商数量不足，导致本次谈判缺乏竞争的；</w:t>
      </w:r>
    </w:p>
    <w:p w14:paraId="2000F9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28788A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7AAE3A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3BBE4E9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6E8522F6">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06ECB6C">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.2谈判小组要求供应商澄清、说明或者更正响应文件应当以书面形式（询标）作出。供应商的澄清、说明或者更正应当由法定代表人或其授权代表签字或者加盖公章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电子签章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t>
      </w:r>
    </w:p>
    <w:p w14:paraId="09437EE2">
      <w:pPr>
        <w:spacing w:line="360" w:lineRule="auto"/>
        <w:ind w:firstLine="435"/>
        <w:rPr>
          <w:rFonts w:ascii="宋体" w:hAnsi="宋体" w:eastAsia="宋体"/>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而无法接受谈判小组询标的，供应商自行承担相关风险。</w:t>
      </w:r>
    </w:p>
    <w:p w14:paraId="02BB087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469375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谈判并不限定只进行二轮报价，如果谈判小组认为有必要，可以要求供应商进行多轮报价。</w:t>
      </w:r>
      <w:r>
        <w:rPr>
          <w:rFonts w:hint="eastAsia" w:asciiTheme="minorEastAsia" w:hAnsiTheme="minorEastAsia" w:eastAsiaTheme="minorEastAsia"/>
          <w:color w:val="auto"/>
          <w:sz w:val="24"/>
          <w:highlight w:val="none"/>
        </w:rPr>
        <w:t>（本项目约定为二轮报价）</w:t>
      </w:r>
    </w:p>
    <w:p w14:paraId="217C22B2">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本次谈判实行二轮报价。第一轮报价为供应商在响应文件中填报的报价，第二轮报价在响应文件通过评审后，由谈判小组通过评标系统以询标方式，向响应文件评审有效的各供应商进行询标，各供应商应在评标系统询标规定的时间内，通过“评标澄清回复”进行第二轮报价。各供应商应及时查看系统质询问题并及时进行第二轮报价，第二轮报价即为最后报价，若供应商未在系统询标规定的时间内进行第二轮报价（最后报价）或第二轮报价被谈判小组认为不符合要求的，谈判小组默认其响应文件中填报的价格为供应商的最后报价，谈判价格以供应商的最后报价为准。望各供应商务必全程在线，及时进行回复，否则，因此给其造成相关后果，自行承担。采用分项报价的项目，最后报价的各分项结合第一轮报价中的各项单价按总价同比例下浮，价款结算时按成交下浮比率进行调整。</w:t>
      </w:r>
    </w:p>
    <w:p w14:paraId="146D69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在谈判内容不做实质性变更或重大调整的前提下，供应商下轮报价不得高于上一轮报价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107F8F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113A8994">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w:t>
      </w:r>
      <w:r>
        <w:rPr>
          <w:rFonts w:hint="eastAsia" w:asciiTheme="majorEastAsia" w:hAnsiTheme="majorEastAsia" w:eastAsiaTheme="majorEastAsia"/>
          <w:color w:val="auto"/>
          <w:sz w:val="24"/>
          <w:highlight w:val="none"/>
          <w:lang w:val="en-US" w:eastAsia="zh-CN"/>
        </w:rPr>
        <w:t>和</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57B7A777">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1FA4E805">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p>
    <w:p w14:paraId="0D26944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成交候选人的推荐原则及标准</w:t>
      </w:r>
    </w:p>
    <w:p w14:paraId="6C3F67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.1谈判小组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按照最后报价由低到高的顺序依次推荐成交候选人。最后报价相同的，</w:t>
      </w:r>
      <w:r>
        <w:rPr>
          <w:rFonts w:asciiTheme="minorEastAsia" w:hAnsiTheme="minorEastAsia" w:eastAsiaTheme="minorEastAsia"/>
          <w:color w:val="auto"/>
          <w:sz w:val="24"/>
          <w:highlight w:val="none"/>
        </w:rPr>
        <w:t>则</w:t>
      </w:r>
      <w:r>
        <w:rPr>
          <w:rFonts w:hint="eastAsia" w:asciiTheme="minorEastAsia" w:hAnsiTheme="minorEastAsia" w:eastAsiaTheme="minorEastAsia"/>
          <w:color w:val="auto"/>
          <w:sz w:val="24"/>
          <w:highlight w:val="none"/>
        </w:rPr>
        <w:t>由谈判小组采取随机抽取方式确定。</w:t>
      </w:r>
    </w:p>
    <w:p w14:paraId="10AB78B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14:paraId="678AFFCB">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 xml:space="preserve">1 </w:t>
      </w:r>
      <w:r>
        <w:rPr>
          <w:rFonts w:hint="eastAsia" w:ascii="宋体" w:hAnsi="宋体" w:eastAsia="宋体"/>
          <w:color w:val="auto"/>
          <w:sz w:val="24"/>
          <w:highlight w:val="none"/>
        </w:rPr>
        <w:t>谈判小组按照最后报价由低到高的顺序和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确定成交候选人，并标明排列顺序。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谈判小组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6DD4CC7A">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60D346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1F6643E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6F80D53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.1评审将在严格保密的情况下进行。</w:t>
      </w:r>
    </w:p>
    <w:p w14:paraId="5C95AE9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4F22A2E5">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.成交结果公告</w:t>
      </w:r>
    </w:p>
    <w:p w14:paraId="21BCBBF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.1为体现“公开、公平、公正”的原则，谈判结束后，</w:t>
      </w:r>
      <w:r>
        <w:rPr>
          <w:rFonts w:hint="eastAsia" w:asciiTheme="minorEastAsia" w:hAnsiTheme="minorEastAsia" w:eastAsiaTheme="minorEastAsia"/>
          <w:color w:val="auto"/>
          <w:sz w:val="24"/>
          <w:highlight w:val="none"/>
        </w:rPr>
        <w:t>采购代理机构将</w:t>
      </w:r>
      <w:r>
        <w:rPr>
          <w:rFonts w:hint="eastAsia" w:ascii="宋体" w:hAnsi="宋体" w:eastAsia="宋体"/>
          <w:color w:val="auto"/>
          <w:sz w:val="24"/>
          <w:szCs w:val="18"/>
          <w:highlight w:val="none"/>
        </w:rPr>
        <w:t>在安徽省政府采购网（www.ccgp-anhui.gov.cn）</w:t>
      </w:r>
      <w:r>
        <w:rPr>
          <w:rFonts w:hint="eastAsia" w:asciiTheme="minorEastAsia" w:hAnsiTheme="minorEastAsia" w:eastAsiaTheme="minorEastAsia"/>
          <w:color w:val="auto"/>
          <w:sz w:val="24"/>
          <w:highlight w:val="none"/>
        </w:rPr>
        <w:t>、滁州市公共资源交易中心（https://ggzy.chuzhou.gov.cn/）</w:t>
      </w:r>
      <w:r>
        <w:rPr>
          <w:rFonts w:hint="eastAsia" w:ascii="宋体" w:hAnsi="宋体" w:eastAsia="宋体"/>
          <w:color w:val="auto"/>
          <w:sz w:val="24"/>
          <w:szCs w:val="18"/>
          <w:highlight w:val="none"/>
        </w:rPr>
        <w:t>上</w:t>
      </w:r>
      <w:r>
        <w:rPr>
          <w:rFonts w:asciiTheme="minorEastAsia" w:hAnsiTheme="minorEastAsia" w:eastAsiaTheme="minorEastAsia"/>
          <w:color w:val="auto"/>
          <w:sz w:val="24"/>
          <w:highlight w:val="none"/>
        </w:rPr>
        <w:t>发布成交结果公告。</w:t>
      </w:r>
    </w:p>
    <w:p w14:paraId="64BBAFC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44D49A21">
      <w:pPr>
        <w:spacing w:line="360" w:lineRule="auto"/>
        <w:ind w:firstLine="437"/>
        <w:outlineLvl w:val="2"/>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.成交通知书</w:t>
      </w:r>
    </w:p>
    <w:p w14:paraId="716DCF9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r>
        <w:rPr>
          <w:rFonts w:hint="eastAsia" w:asciiTheme="minorEastAsia" w:hAnsiTheme="minorEastAsia" w:eastAsiaTheme="minorEastAsia"/>
          <w:color w:val="auto"/>
          <w:sz w:val="24"/>
          <w:highlight w:val="none"/>
        </w:rPr>
        <w:t>成交通知书须加盖采购人、采购代理机构公章并经公共资源交易中心加盖见证章后，方可发出。</w:t>
      </w:r>
    </w:p>
    <w:p w14:paraId="627D173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5262B67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3</w:t>
      </w:r>
      <w:r>
        <w:rPr>
          <w:rFonts w:ascii="宋体" w:hAnsi="宋体" w:eastAsia="宋体"/>
          <w:color w:val="auto"/>
          <w:sz w:val="24"/>
          <w:highlight w:val="none"/>
        </w:rPr>
        <w:t>.3成交通知书是合同的组成部分。</w:t>
      </w:r>
    </w:p>
    <w:p w14:paraId="2DAB3F6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.告知</w:t>
      </w:r>
      <w:r>
        <w:rPr>
          <w:rFonts w:hint="eastAsia" w:ascii="宋体" w:hAnsi="宋体" w:eastAsia="宋体"/>
          <w:b/>
          <w:color w:val="auto"/>
          <w:sz w:val="24"/>
          <w:highlight w:val="none"/>
        </w:rPr>
        <w:t>谈判</w:t>
      </w:r>
      <w:r>
        <w:rPr>
          <w:rFonts w:ascii="宋体" w:hAnsi="宋体" w:eastAsia="宋体"/>
          <w:b/>
          <w:color w:val="auto"/>
          <w:sz w:val="24"/>
          <w:highlight w:val="none"/>
        </w:rPr>
        <w:t>结果</w:t>
      </w:r>
    </w:p>
    <w:p w14:paraId="67EA52F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.1在公告成交结果的同时，采购代理机构同时以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6DEACD8B">
      <w:pPr>
        <w:spacing w:line="360" w:lineRule="auto"/>
        <w:ind w:firstLine="435"/>
        <w:rPr>
          <w:rFonts w:ascii="宋体" w:hAnsi="宋体" w:eastAsia="宋体"/>
          <w:color w:val="auto"/>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采购代理机构对未成交的供应商不做未成交原因的解释。</w:t>
      </w:r>
    </w:p>
    <w:p w14:paraId="4354F1E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.履约</w:t>
      </w:r>
      <w:r>
        <w:rPr>
          <w:rFonts w:asciiTheme="minorEastAsia" w:hAnsiTheme="minorEastAsia" w:eastAsiaTheme="minorEastAsia"/>
          <w:b/>
          <w:color w:val="auto"/>
          <w:sz w:val="24"/>
          <w:highlight w:val="none"/>
        </w:rPr>
        <w:t>保证金</w:t>
      </w:r>
    </w:p>
    <w:p w14:paraId="6A601F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158A97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.2如果成交供应商没有按照上述履约保证金的规定执行，将视为放弃成交资格。在此情况下，采购人可确定下一成交候选人为成交供应商，也可以重新开展采购活动。</w:t>
      </w:r>
    </w:p>
    <w:p w14:paraId="19D69AB0">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2664CD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ascii="宋体" w:hAnsi="宋体" w:eastAsia="宋体"/>
          <w:color w:val="auto"/>
          <w:sz w:val="24"/>
          <w:highlight w:val="none"/>
        </w:rPr>
        <w:t>.1本项目</w:t>
      </w:r>
      <w:r>
        <w:rPr>
          <w:rFonts w:hint="eastAsia" w:ascii="宋体" w:hAnsi="宋体" w:eastAsia="宋体"/>
          <w:color w:val="auto"/>
          <w:sz w:val="24"/>
          <w:highlight w:val="none"/>
          <w:lang w:val="en-US" w:eastAsia="zh-CN"/>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6C560AF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.签订合同</w:t>
      </w:r>
    </w:p>
    <w:p w14:paraId="2C1D0401">
      <w:pPr>
        <w:spacing w:line="360" w:lineRule="auto"/>
        <w:ind w:firstLine="435"/>
        <w:rPr>
          <w:rFonts w:ascii="宋体" w:hAnsi="宋体" w:eastAsia="宋体"/>
          <w:color w:val="auto"/>
          <w:sz w:val="24"/>
          <w:highlight w:val="none"/>
        </w:rPr>
      </w:pPr>
      <w:bookmarkStart w:id="28" w:name="_Hlk60264926"/>
      <w:r>
        <w:rPr>
          <w:rFonts w:hint="eastAsia" w:ascii="宋体" w:hAnsi="宋体" w:eastAsia="宋体"/>
          <w:color w:val="auto"/>
          <w:sz w:val="24"/>
          <w:highlight w:val="none"/>
        </w:rPr>
        <w:t>27</w:t>
      </w:r>
      <w:r>
        <w:rPr>
          <w:rFonts w:ascii="宋体" w:hAnsi="宋体" w:eastAsia="宋体"/>
          <w:color w:val="auto"/>
          <w:sz w:val="24"/>
          <w:highlight w:val="none"/>
        </w:rPr>
        <w:t>.1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规定的时间内完成政府采购合同签订及合同公告。</w:t>
      </w:r>
    </w:p>
    <w:p w14:paraId="32D97B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.2谈判文件、成交供应商的响应文件及其澄清文件等，均为签订合同的依据。</w:t>
      </w:r>
    </w:p>
    <w:p w14:paraId="7619D32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.3 成交供应商拒绝与采购人签订合同的，采购人可以按照评审报告推荐的成交候选人名单排序，确定下一成交候选人为成交供应商，也可以重新开展采购活动。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571EE8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28"/>
    </w:p>
    <w:p w14:paraId="27EB49B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.廉洁自律规定</w:t>
      </w:r>
    </w:p>
    <w:p w14:paraId="1BEB9E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.1采购代理机构工作人员不得以不正当手段获取政府采购代理业务，不得与采购人、供应商恶意串通。</w:t>
      </w:r>
    </w:p>
    <w:p w14:paraId="4F0BCA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3B23E61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.质疑的提出与接收</w:t>
      </w:r>
    </w:p>
    <w:p w14:paraId="5035530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29.1供应商认为谈判文件、采购过程和成交结果使自己的权益受到损害的，可以在知道或者应知其权益受到损害之日起七个工作日内，以书面形式向采购人或其委托的采购代理机构提出质疑。</w:t>
      </w:r>
    </w:p>
    <w:p w14:paraId="4B382FB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29.2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7FBBFFD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29.3采购代理机构质疑函接收部门、联系电话和通讯地址，见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14B3D180">
      <w:pPr>
        <w:spacing w:line="440" w:lineRule="exact"/>
        <w:ind w:firstLine="435"/>
        <w:rPr>
          <w:rFonts w:ascii="宋体" w:hAnsi="宋体" w:eastAsia="宋体"/>
          <w:color w:val="auto"/>
          <w:sz w:val="24"/>
          <w:highlight w:val="none"/>
        </w:rPr>
      </w:pPr>
      <w:r>
        <w:rPr>
          <w:rFonts w:hint="eastAsia" w:ascii="宋体" w:hAnsi="宋体" w:eastAsia="宋体"/>
          <w:color w:val="auto"/>
          <w:sz w:val="24"/>
          <w:highlight w:val="none"/>
        </w:rPr>
        <w:t>29.4采购人或采购代理机构在收到供应商的质疑函后，将审查质疑函的格式、内容以及所附的证明文件是否符合要求。如不符合，说明原因退回供应商；如符合要求，则接受该质疑函。供应商对评审过程、成交结果提出质疑的，采购人、采购代理机构可以组织原谈判小组协助答复质疑。处理质疑的时间，从实际接受供应商质疑函的时间开始计算。</w:t>
      </w:r>
    </w:p>
    <w:p w14:paraId="1AD68B0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注：上述条款中所要求的书面形式包含通过电子交易系统递交方式</w:t>
      </w:r>
      <w:r>
        <w:rPr>
          <w:rFonts w:hint="eastAsia" w:ascii="宋体" w:hAnsi="宋体" w:eastAsia="宋体"/>
          <w:color w:val="auto"/>
          <w:sz w:val="24"/>
          <w:highlight w:val="none"/>
          <w:lang w:val="en-US" w:eastAsia="zh-CN"/>
        </w:rPr>
        <w:t>。</w:t>
      </w:r>
    </w:p>
    <w:p w14:paraId="35535D6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30</w:t>
      </w:r>
      <w:r>
        <w:rPr>
          <w:rFonts w:ascii="宋体" w:hAnsi="宋体" w:eastAsia="宋体"/>
          <w:b/>
          <w:color w:val="auto"/>
          <w:sz w:val="24"/>
          <w:highlight w:val="none"/>
        </w:rPr>
        <w:t>.</w:t>
      </w:r>
      <w:r>
        <w:rPr>
          <w:rFonts w:hint="eastAsia" w:ascii="宋体" w:hAnsi="宋体" w:eastAsia="宋体"/>
          <w:b/>
          <w:color w:val="auto"/>
          <w:sz w:val="24"/>
          <w:highlight w:val="none"/>
        </w:rPr>
        <w:t>投诉</w:t>
      </w:r>
    </w:p>
    <w:p w14:paraId="2E21DD4C">
      <w:pPr>
        <w:wordWrap w:val="0"/>
        <w:spacing w:line="360" w:lineRule="auto"/>
        <w:ind w:firstLine="437"/>
        <w:outlineLvl w:val="2"/>
        <w:rPr>
          <w:rFonts w:ascii="宋体" w:hAnsi="宋体" w:eastAsia="宋体"/>
          <w:bCs/>
          <w:color w:val="auto"/>
          <w:sz w:val="24"/>
          <w:highlight w:val="none"/>
        </w:rPr>
      </w:pPr>
      <w:r>
        <w:rPr>
          <w:rFonts w:hint="eastAsia" w:ascii="宋体" w:hAnsi="宋体" w:eastAsia="宋体"/>
          <w:bCs/>
          <w:color w:val="auto"/>
          <w:sz w:val="24"/>
          <w:highlight w:val="none"/>
        </w:rPr>
        <w:t>30.1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08259C41">
      <w:pPr>
        <w:spacing w:line="360" w:lineRule="auto"/>
        <w:ind w:firstLine="437"/>
        <w:outlineLvl w:val="2"/>
        <w:rPr>
          <w:rFonts w:ascii="宋体" w:hAnsi="宋体" w:eastAsia="宋体"/>
          <w:bCs/>
          <w:color w:val="auto"/>
          <w:sz w:val="24"/>
          <w:highlight w:val="none"/>
        </w:rPr>
      </w:pPr>
      <w:r>
        <w:rPr>
          <w:rFonts w:hint="eastAsia" w:ascii="宋体" w:hAnsi="宋体" w:eastAsia="宋体"/>
          <w:bCs/>
          <w:color w:val="auto"/>
          <w:sz w:val="24"/>
          <w:highlight w:val="none"/>
        </w:rPr>
        <w:t>30.2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2229B121">
      <w:pPr>
        <w:spacing w:line="360" w:lineRule="auto"/>
        <w:ind w:firstLine="437"/>
        <w:outlineLvl w:val="2"/>
        <w:rPr>
          <w:rFonts w:ascii="宋体" w:hAnsi="宋体" w:eastAsia="宋体"/>
          <w:bCs/>
          <w:color w:val="auto"/>
          <w:sz w:val="24"/>
          <w:highlight w:val="none"/>
        </w:rPr>
      </w:pPr>
      <w:r>
        <w:rPr>
          <w:rFonts w:hint="eastAsia" w:ascii="宋体" w:hAnsi="宋体" w:eastAsia="宋体"/>
          <w:bCs/>
          <w:color w:val="auto"/>
          <w:sz w:val="24"/>
          <w:highlight w:val="none"/>
        </w:rPr>
        <w:t>30.3政府采购监督管理部门在处理投诉事项期间，可以视具体情况书面通知采购人暂停采购活动，但暂停时间最长不得超过30日。</w:t>
      </w:r>
    </w:p>
    <w:p w14:paraId="3637604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31</w:t>
      </w:r>
      <w:r>
        <w:rPr>
          <w:rFonts w:ascii="宋体" w:hAnsi="宋体" w:eastAsia="宋体"/>
          <w:b/>
          <w:color w:val="auto"/>
          <w:sz w:val="24"/>
          <w:highlight w:val="none"/>
        </w:rPr>
        <w:t>.需要补充的其他内容</w:t>
      </w:r>
    </w:p>
    <w:p w14:paraId="6F1573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340FA7F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5F0C5A6B">
      <w:pPr>
        <w:spacing w:line="360" w:lineRule="auto"/>
        <w:jc w:val="center"/>
        <w:outlineLvl w:val="0"/>
        <w:rPr>
          <w:rFonts w:asciiTheme="minorEastAsia" w:hAnsiTheme="minorEastAsia" w:eastAsiaTheme="minorEastAsia"/>
          <w:b/>
          <w:color w:val="auto"/>
          <w:sz w:val="28"/>
          <w:highlight w:val="none"/>
        </w:rPr>
      </w:pPr>
      <w:bookmarkStart w:id="29" w:name="_Toc32485"/>
      <w:bookmarkStart w:id="30" w:name="_Toc12846"/>
      <w:r>
        <w:rPr>
          <w:rFonts w:hint="eastAsia" w:asciiTheme="minorEastAsia" w:hAnsiTheme="minorEastAsia" w:eastAsiaTheme="minorEastAsia"/>
          <w:b/>
          <w:color w:val="auto"/>
          <w:sz w:val="28"/>
          <w:highlight w:val="none"/>
        </w:rPr>
        <w:t>第三章  采购需求</w:t>
      </w:r>
      <w:bookmarkEnd w:id="29"/>
      <w:bookmarkEnd w:id="30"/>
    </w:p>
    <w:p w14:paraId="5823FF26">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7386005D">
      <w:pPr>
        <w:spacing w:line="360" w:lineRule="auto"/>
        <w:ind w:firstLine="435"/>
        <w:rPr>
          <w:rFonts w:hint="eastAsia" w:ascii="宋体" w:hAnsi="宋体" w:eastAsia="宋体" w:cs="宋体"/>
          <w:color w:val="auto"/>
          <w:sz w:val="24"/>
          <w:szCs w:val="24"/>
          <w:highlight w:val="none"/>
        </w:rPr>
      </w:pPr>
      <w:bookmarkStart w:id="31" w:name="_Toc4514"/>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可以进行优化，提供满足采购人实际需要的更优（或者性能实质上不低于的）服务方案，且此方案须经</w:t>
      </w:r>
      <w:r>
        <w:rPr>
          <w:rFonts w:hint="eastAsia" w:ascii="宋体" w:hAnsi="宋体" w:eastAsia="宋体" w:cs="宋体"/>
          <w:color w:val="auto"/>
          <w:sz w:val="24"/>
          <w:szCs w:val="24"/>
          <w:highlight w:val="none"/>
          <w:lang w:eastAsia="zh-CN"/>
        </w:rPr>
        <w:t>谈判小组</w:t>
      </w:r>
      <w:r>
        <w:rPr>
          <w:rFonts w:hint="eastAsia" w:ascii="宋体" w:hAnsi="宋体" w:eastAsia="宋体" w:cs="宋体"/>
          <w:color w:val="auto"/>
          <w:sz w:val="24"/>
          <w:szCs w:val="24"/>
          <w:highlight w:val="none"/>
        </w:rPr>
        <w:t>评审认可。</w:t>
      </w:r>
    </w:p>
    <w:p w14:paraId="09AACCE7">
      <w:pPr>
        <w:spacing w:line="360" w:lineRule="auto"/>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2E64B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669588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AB0FDDD">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3.如采购人允许采用分包方式履行合同的，应当明确可以分包履行的相关内容。</w:t>
      </w:r>
    </w:p>
    <w:p w14:paraId="766145A4">
      <w:pPr>
        <w:spacing w:line="360" w:lineRule="auto"/>
        <w:ind w:firstLine="437"/>
        <w:outlineLvl w:val="1"/>
        <w:rPr>
          <w:rFonts w:ascii="宋体" w:hAnsi="宋体" w:eastAsia="宋体"/>
          <w:b/>
          <w:color w:val="auto"/>
          <w:sz w:val="24"/>
          <w:szCs w:val="18"/>
          <w:highlight w:val="none"/>
        </w:rPr>
      </w:pPr>
      <w:bookmarkStart w:id="32" w:name="_Toc24918"/>
      <w:r>
        <w:rPr>
          <w:rFonts w:hint="eastAsia" w:ascii="宋体" w:hAnsi="宋体" w:eastAsia="宋体"/>
          <w:b/>
          <w:color w:val="auto"/>
          <w:sz w:val="24"/>
          <w:szCs w:val="18"/>
          <w:highlight w:val="none"/>
        </w:rPr>
        <w:t>一、采购需求前附表</w:t>
      </w:r>
      <w:bookmarkEnd w:id="31"/>
      <w:bookmarkEnd w:id="32"/>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2EB9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8E6AD79">
            <w:pPr>
              <w:pStyle w:val="43"/>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0F88E103">
            <w:pPr>
              <w:pStyle w:val="42"/>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042165F7">
            <w:pPr>
              <w:pStyle w:val="42"/>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389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975511B">
            <w:pPr>
              <w:pStyle w:val="4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005F74C2">
            <w:pPr>
              <w:pStyle w:val="42"/>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551FE78A">
            <w:pPr>
              <w:pStyle w:val="42"/>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合同签订且具备实施条件后，支付合同价的40%预付款（扣除暂列金额）（预付款支付前，中标人须提供同等金额的见索即付保函），根据施工请款资料，于次月按照完成合格工程量的60%支付监理费，累计支付至监理范围内全部合格工程量的60%停止拨付，竣工验收合格、资料归档付清余款。（注：发包人在政府资金调度会批准且发票送达后完成支付）</w:t>
            </w:r>
            <w:r>
              <w:rPr>
                <w:rFonts w:hint="eastAsia" w:ascii="宋体" w:hAnsi="宋体" w:eastAsia="宋体"/>
                <w:b w:val="0"/>
                <w:color w:val="auto"/>
                <w:sz w:val="24"/>
                <w:highlight w:val="none"/>
                <w:u w:val="single"/>
                <w:lang w:eastAsia="zh-CN"/>
              </w:rPr>
              <w:t>。</w:t>
            </w:r>
          </w:p>
        </w:tc>
      </w:tr>
      <w:tr w14:paraId="175F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6CDAF8C">
            <w:pPr>
              <w:pStyle w:val="4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004D0580">
            <w:pPr>
              <w:pStyle w:val="42"/>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15856789">
            <w:pPr>
              <w:pStyle w:val="42"/>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lang w:val="en-US" w:eastAsia="zh-CN"/>
              </w:rPr>
              <w:t>滁州市内</w:t>
            </w:r>
          </w:p>
        </w:tc>
      </w:tr>
      <w:tr w14:paraId="2A91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F74B795">
            <w:pPr>
              <w:pStyle w:val="4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78E5DD08">
            <w:pPr>
              <w:pStyle w:val="42"/>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52CB7DC1">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自合同签订之日起至本质量缺陷责任期满截止。</w:t>
            </w:r>
          </w:p>
        </w:tc>
      </w:tr>
      <w:tr w14:paraId="20A4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494D2E5">
            <w:pPr>
              <w:pStyle w:val="43"/>
              <w:pBdr>
                <w:bottom w:val="none" w:color="auto" w:sz="0" w:space="0"/>
              </w:pBdr>
              <w:tabs>
                <w:tab w:val="clear" w:pos="4153"/>
                <w:tab w:val="clear" w:pos="8306"/>
              </w:tabs>
              <w:adjustRightInd/>
              <w:spacing w:line="240" w:lineRule="auto"/>
              <w:textAlignment w:val="auto"/>
              <w:rPr>
                <w:rFonts w:asciiTheme="majorEastAsia" w:hAnsiTheme="majorEastAsia" w:eastAsiaTheme="majorEastAsia"/>
                <w:bCs/>
                <w:color w:val="auto"/>
                <w:kern w:val="2"/>
                <w:highlight w:val="none"/>
              </w:rPr>
            </w:pPr>
            <w:r>
              <w:rPr>
                <w:rFonts w:asciiTheme="majorEastAsia" w:hAnsiTheme="majorEastAsia" w:eastAsiaTheme="majorEastAsia"/>
                <w:bCs/>
                <w:color w:val="auto"/>
                <w:kern w:val="2"/>
                <w:highlight w:val="none"/>
              </w:rPr>
              <w:t>4</w:t>
            </w:r>
          </w:p>
        </w:tc>
        <w:tc>
          <w:tcPr>
            <w:tcW w:w="1192" w:type="pct"/>
            <w:vAlign w:val="center"/>
          </w:tcPr>
          <w:p w14:paraId="6FCAE39A">
            <w:pPr>
              <w:pStyle w:val="42"/>
              <w:widowControl w:val="0"/>
              <w:spacing w:before="0" w:beforeAutospacing="0" w:after="0" w:afterAutospacing="0" w:line="360" w:lineRule="auto"/>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本项目采购标的名称及所属行业</w:t>
            </w:r>
          </w:p>
        </w:tc>
        <w:tc>
          <w:tcPr>
            <w:tcW w:w="3217" w:type="pct"/>
            <w:vAlign w:val="center"/>
          </w:tcPr>
          <w:p w14:paraId="309EE157">
            <w:pPr>
              <w:spacing w:line="360" w:lineRule="auto"/>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标的名称：</w:t>
            </w:r>
            <w:r>
              <w:rPr>
                <w:rFonts w:hint="eastAsia" w:asciiTheme="minorEastAsia" w:hAnsiTheme="minorEastAsia" w:eastAsiaTheme="minorEastAsia"/>
                <w:color w:val="auto"/>
                <w:sz w:val="24"/>
                <w:highlight w:val="none"/>
                <w:lang w:eastAsia="zh-CN"/>
              </w:rPr>
              <w:t>滁城西片区排水综合整治工程四批次监理项目</w:t>
            </w:r>
          </w:p>
          <w:p w14:paraId="1DF571A4">
            <w:pPr>
              <w:spacing w:line="360" w:lineRule="auto"/>
              <w:jc w:val="left"/>
              <w:rPr>
                <w:rFonts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rPr>
              <w:t>所属行业：</w:t>
            </w:r>
            <w:r>
              <w:rPr>
                <w:rFonts w:hint="eastAsia" w:asciiTheme="minorEastAsia" w:hAnsiTheme="minorEastAsia" w:eastAsiaTheme="minorEastAsia"/>
                <w:color w:val="auto"/>
                <w:sz w:val="24"/>
                <w:highlight w:val="none"/>
                <w:lang w:val="en-US" w:eastAsia="zh-CN"/>
              </w:rPr>
              <w:t>其他未列明行业</w:t>
            </w:r>
          </w:p>
        </w:tc>
      </w:tr>
    </w:tbl>
    <w:p w14:paraId="0F0E8CBB">
      <w:pPr>
        <w:spacing w:line="360" w:lineRule="auto"/>
        <w:ind w:firstLine="482" w:firstLineChars="200"/>
        <w:outlineLvl w:val="1"/>
        <w:rPr>
          <w:rFonts w:ascii="宋体" w:hAnsi="宋体" w:eastAsia="宋体"/>
          <w:b/>
          <w:color w:val="auto"/>
          <w:sz w:val="24"/>
          <w:szCs w:val="18"/>
          <w:highlight w:val="none"/>
        </w:rPr>
      </w:pPr>
      <w:bookmarkStart w:id="33" w:name="_Toc12926"/>
      <w:bookmarkStart w:id="34" w:name="_Toc9389"/>
      <w:bookmarkStart w:id="35" w:name="_Hlk16461016"/>
      <w:r>
        <w:rPr>
          <w:rFonts w:hint="eastAsia" w:ascii="宋体" w:hAnsi="宋体" w:eastAsia="宋体"/>
          <w:b/>
          <w:color w:val="auto"/>
          <w:sz w:val="24"/>
          <w:szCs w:val="18"/>
          <w:highlight w:val="none"/>
        </w:rPr>
        <w:t>二、项目概况</w:t>
      </w:r>
      <w:bookmarkEnd w:id="33"/>
      <w:bookmarkEnd w:id="34"/>
    </w:p>
    <w:p w14:paraId="53FBB3A5">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滁城西片区排水综合整治工程四批次监理项目，工程投资约8055万元（具体以施工实际发生为准），监理服务费约72.81万元。</w:t>
      </w:r>
    </w:p>
    <w:p w14:paraId="32ECBC22">
      <w:pPr>
        <w:spacing w:line="360" w:lineRule="auto"/>
        <w:ind w:firstLine="482" w:firstLineChars="200"/>
        <w:outlineLvl w:val="1"/>
        <w:rPr>
          <w:rFonts w:ascii="宋体" w:hAnsi="宋体" w:eastAsia="宋体"/>
          <w:b/>
          <w:color w:val="auto"/>
          <w:sz w:val="24"/>
          <w:szCs w:val="18"/>
          <w:highlight w:val="none"/>
        </w:rPr>
      </w:pPr>
      <w:bookmarkStart w:id="36" w:name="_Toc24967"/>
      <w:bookmarkStart w:id="37" w:name="_Toc4312"/>
      <w:r>
        <w:rPr>
          <w:rFonts w:hint="eastAsia" w:ascii="宋体" w:hAnsi="宋体" w:eastAsia="宋体"/>
          <w:b/>
          <w:color w:val="auto"/>
          <w:sz w:val="24"/>
          <w:szCs w:val="18"/>
          <w:highlight w:val="none"/>
        </w:rPr>
        <w:t>三、服务需求</w:t>
      </w:r>
      <w:bookmarkEnd w:id="36"/>
      <w:bookmarkEnd w:id="37"/>
    </w:p>
    <w:p w14:paraId="12E69352">
      <w:pPr>
        <w:spacing w:line="360" w:lineRule="auto"/>
        <w:ind w:firstLine="480" w:firstLineChars="200"/>
        <w:rPr>
          <w:rFonts w:hint="eastAsia" w:ascii="宋体" w:hAnsi="宋体" w:eastAsiaTheme="minorEastAsia"/>
          <w:b/>
          <w:color w:val="auto"/>
          <w:sz w:val="24"/>
          <w:szCs w:val="18"/>
          <w:highlight w:val="none"/>
          <w:lang w:eastAsia="zh-CN"/>
        </w:rPr>
      </w:pPr>
      <w:r>
        <w:rPr>
          <w:rFonts w:hint="eastAsia" w:asciiTheme="minorEastAsia" w:hAnsiTheme="minorEastAsia" w:eastAsiaTheme="minorEastAsia"/>
          <w:color w:val="auto"/>
          <w:sz w:val="24"/>
          <w:highlight w:val="none"/>
        </w:rPr>
        <w:t>接受</w:t>
      </w:r>
      <w:r>
        <w:rPr>
          <w:rFonts w:hint="eastAsia" w:asciiTheme="minorEastAsia" w:hAnsiTheme="minorEastAsia" w:eastAsiaTheme="minorEastAsia"/>
          <w:color w:val="auto"/>
          <w:sz w:val="24"/>
          <w:highlight w:val="none"/>
          <w:lang w:val="en-US" w:eastAsia="zh-CN"/>
        </w:rPr>
        <w:t>采购人</w:t>
      </w:r>
      <w:r>
        <w:rPr>
          <w:rFonts w:hint="eastAsia" w:asciiTheme="minorEastAsia" w:hAnsiTheme="minorEastAsia" w:eastAsiaTheme="minorEastAsia"/>
          <w:color w:val="auto"/>
          <w:sz w:val="24"/>
          <w:highlight w:val="none"/>
        </w:rPr>
        <w:t>委托开展项目前期工作，办理相关建设手续，参与本工程的施工准备阶段（包括项目的施工许可证等）、接受</w:t>
      </w:r>
      <w:r>
        <w:rPr>
          <w:rFonts w:hint="eastAsia" w:asciiTheme="minorEastAsia" w:hAnsiTheme="minorEastAsia" w:eastAsiaTheme="minorEastAsia"/>
          <w:color w:val="auto"/>
          <w:sz w:val="24"/>
          <w:highlight w:val="none"/>
          <w:lang w:val="en-US" w:eastAsia="zh-CN"/>
        </w:rPr>
        <w:t>采购人</w:t>
      </w:r>
      <w:r>
        <w:rPr>
          <w:rFonts w:hint="eastAsia" w:asciiTheme="minorEastAsia" w:hAnsiTheme="minorEastAsia" w:eastAsiaTheme="minorEastAsia"/>
          <w:color w:val="auto"/>
          <w:sz w:val="24"/>
          <w:highlight w:val="none"/>
        </w:rPr>
        <w:t>安排履行项目各项前期手续、施工阶段、工程收尾阶段（包括但不限于竣工验收、整改、工程移交、工程结算等）、工程质量保修阶段（缺陷责任期）的全过程监理服务，以及国家法律法规规定的其他监理服务，对工程进行进度、质量、投资、职业健康安全及环境监督管理、合同管理、信息管理、组织协调、安全生产监督及协调施工现场各方关系等</w:t>
      </w:r>
      <w:r>
        <w:rPr>
          <w:rFonts w:hint="eastAsia" w:asciiTheme="minorEastAsia" w:hAnsiTheme="minorEastAsia" w:eastAsiaTheme="minorEastAsia"/>
          <w:color w:val="auto"/>
          <w:sz w:val="24"/>
          <w:highlight w:val="none"/>
          <w:lang w:eastAsia="zh-CN"/>
        </w:rPr>
        <w:t>。</w:t>
      </w:r>
    </w:p>
    <w:p w14:paraId="309BE922">
      <w:pPr>
        <w:spacing w:line="360" w:lineRule="auto"/>
        <w:ind w:firstLine="480" w:firstLineChars="200"/>
        <w:rPr>
          <w:rFonts w:hint="eastAsia" w:asciiTheme="minorEastAsia" w:hAnsiTheme="minorEastAsia" w:eastAsiaTheme="minorEastAsia"/>
          <w:color w:val="auto"/>
          <w:sz w:val="24"/>
          <w:highlight w:val="none"/>
        </w:rPr>
      </w:pPr>
      <w:bookmarkStart w:id="38" w:name="_Toc15927"/>
      <w:bookmarkStart w:id="39" w:name="_Toc30537"/>
      <w:r>
        <w:rPr>
          <w:rFonts w:hint="eastAsia" w:asciiTheme="minorEastAsia" w:hAnsiTheme="minorEastAsia" w:eastAsiaTheme="minorEastAsia"/>
          <w:color w:val="auto"/>
          <w:sz w:val="24"/>
          <w:highlight w:val="none"/>
          <w:lang w:val="en-US" w:eastAsia="zh-CN"/>
        </w:rPr>
        <w:t xml:space="preserve">人员配备： </w:t>
      </w:r>
    </w:p>
    <w:p w14:paraId="3AE90D9C">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1、总监理工程师 1 人（总监须具有国家级注册监理工程师执业资格，注册专业为市政公用工程专业）。</w:t>
      </w:r>
      <w:r>
        <w:rPr>
          <w:rFonts w:hint="eastAsia" w:asciiTheme="minorEastAsia" w:hAnsiTheme="minorEastAsia" w:eastAsiaTheme="minorEastAsia"/>
          <w:b/>
          <w:bCs/>
          <w:color w:val="auto"/>
          <w:sz w:val="24"/>
          <w:highlight w:val="none"/>
          <w:lang w:val="en-US" w:eastAsia="zh-CN"/>
        </w:rPr>
        <w:t>拟派总监理工程师在本项目所在市行政区域外无在建，在本项目所在市行政区域内不多于两个在建项目，如有在建项目，响应文件中需提供建设单位书面同意参与本项目总监投标履约</w:t>
      </w:r>
      <w:r>
        <w:rPr>
          <w:rFonts w:hint="eastAsia" w:asciiTheme="minorEastAsia" w:hAnsiTheme="minorEastAsia" w:eastAsiaTheme="minorEastAsia"/>
          <w:color w:val="auto"/>
          <w:sz w:val="24"/>
          <w:highlight w:val="none"/>
          <w:lang w:val="en-US" w:eastAsia="zh-CN"/>
        </w:rPr>
        <w:t xml:space="preserve">。 </w:t>
      </w:r>
    </w:p>
    <w:p w14:paraId="70834820">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 xml:space="preserve">2、专业监理工程师不少于2人【具有市政公用工程专业省级及以上监理工程师证书，专业监理工程师的专业以注册专业（或学历专业或职称专业）为准。专业监理工程师的专业以注册专业（或学历专业或职称专业）为准，以学历专业（或职称专业）证明其专业的，除需提供省级监理工程师证书外，还需提供学历证书（或职称证书）。专业监理工程师（省级监理工程师）可以采用国家级注册监理工程师代替，但其专业应满足上述要求】 </w:t>
      </w:r>
    </w:p>
    <w:p w14:paraId="292D8392">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 xml:space="preserve">3、监理员不少于2人； </w:t>
      </w:r>
    </w:p>
    <w:p w14:paraId="2AB10D93">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 xml:space="preserve">4、见证员不少于1人(可兼任)； </w:t>
      </w:r>
    </w:p>
    <w:p w14:paraId="630EF6F6">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响应时仅须按要求提供总监理工程师的注册监理工程证书，其他人员在响应文件中按响应文件格式“拟组建的监理部人员情况一览表”中填写人员信息即可，无需提供人员证书等证明材料。</w:t>
      </w:r>
    </w:p>
    <w:p w14:paraId="4908A854">
      <w:pPr>
        <w:spacing w:line="360" w:lineRule="auto"/>
        <w:ind w:firstLine="482" w:firstLineChars="200"/>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四、报价要求</w:t>
      </w:r>
      <w:bookmarkEnd w:id="38"/>
      <w:bookmarkEnd w:id="39"/>
    </w:p>
    <w:p w14:paraId="7E38BF00">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本项目采用费率报价，费率最高限价为国家发展改革委、建设部＜关于印发建设工程监理与相关收费管理规定＞的通知（发改价格【2007】670号）规定的价格标准的40%。</w:t>
      </w:r>
    </w:p>
    <w:p w14:paraId="27C82821">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注：（1）本项目监理服务收费调整系数均为1.0。</w:t>
      </w:r>
    </w:p>
    <w:p w14:paraId="15557247">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本项目监理费用按照中标费率计取监理费用，监理费率结算不做调整(初期暂以建安工程施工中标价为计算额计算监理费，最终支付以施工结算价为计费基数计算监理费）。无论任何原因导致的工期延长，委托人均不再增加监理费用。</w:t>
      </w:r>
    </w:p>
    <w:p w14:paraId="210FC9AA">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供应商的响应报价应为项目采购范围内监理单位所提供的全部服务工作内容所需的全部费用，包含所有成本、利润等全部费用。无论任何原因导致的工期延长，委托人均不再增加监理费用。</w:t>
      </w:r>
    </w:p>
    <w:p w14:paraId="1A088770">
      <w:pPr>
        <w:spacing w:line="360" w:lineRule="auto"/>
        <w:ind w:firstLine="482" w:firstLineChars="200"/>
        <w:outlineLvl w:val="1"/>
        <w:rPr>
          <w:rFonts w:ascii="宋体" w:hAnsi="宋体" w:eastAsia="宋体"/>
          <w:b/>
          <w:color w:val="auto"/>
          <w:sz w:val="24"/>
          <w:szCs w:val="18"/>
          <w:highlight w:val="none"/>
        </w:rPr>
      </w:pPr>
      <w:bookmarkStart w:id="40" w:name="_Toc20190"/>
      <w:bookmarkStart w:id="41" w:name="_Toc6830"/>
      <w:r>
        <w:rPr>
          <w:rFonts w:hint="eastAsia" w:ascii="宋体" w:hAnsi="宋体" w:eastAsia="宋体"/>
          <w:b/>
          <w:color w:val="auto"/>
          <w:sz w:val="24"/>
          <w:szCs w:val="18"/>
          <w:highlight w:val="none"/>
        </w:rPr>
        <w:t>五、其他要求</w:t>
      </w:r>
      <w:bookmarkEnd w:id="40"/>
      <w:bookmarkEnd w:id="41"/>
    </w:p>
    <w:bookmarkEnd w:id="35"/>
    <w:p w14:paraId="5C52A7A7">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1、监理单位进驻现场后，须按采购人要求根据施工现场情况增加或调整人员数量和相关专业，费用不予调整。现场监理人员不得随意更换或减少； </w:t>
      </w:r>
    </w:p>
    <w:p w14:paraId="1DFA615D">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2、监理单位根据施工现场情况或采购人需求，在分项专业施工时，拟派相关专业人员在场监理服务，例如人防施工阶段，须派驻人防监理工程师在施工现场进行监理工作。费用全部含在响应报价中，采购人不再另行支付任何费用。 </w:t>
      </w:r>
    </w:p>
    <w:p w14:paraId="6B3D365C">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3、本表所要求的人员配备为本项目的最低配备要求，未按上述人员要求配备齐全监理人员的，视为不响应竞争性谈判文件，按无效响应处理。</w:t>
      </w:r>
    </w:p>
    <w:p w14:paraId="1482EF0A">
      <w:pPr>
        <w:spacing w:line="360" w:lineRule="auto"/>
        <w:jc w:val="center"/>
        <w:outlineLvl w:val="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bookmarkStart w:id="42" w:name="_Toc23236"/>
      <w:bookmarkStart w:id="43" w:name="_Toc2395"/>
      <w:r>
        <w:rPr>
          <w:rFonts w:hint="eastAsia" w:asciiTheme="minorEastAsia" w:hAnsiTheme="minorEastAsia" w:eastAsiaTheme="minorEastAsia"/>
          <w:b/>
          <w:color w:val="auto"/>
          <w:sz w:val="28"/>
          <w:highlight w:val="none"/>
        </w:rPr>
        <w:t>第四章  评审方法和标准</w:t>
      </w:r>
      <w:bookmarkEnd w:id="42"/>
      <w:bookmarkEnd w:id="43"/>
    </w:p>
    <w:p w14:paraId="7340748B">
      <w:pPr>
        <w:spacing w:line="360" w:lineRule="auto"/>
        <w:ind w:firstLine="437"/>
        <w:outlineLvl w:val="1"/>
        <w:rPr>
          <w:rFonts w:asciiTheme="minorEastAsia" w:hAnsiTheme="minorEastAsia" w:eastAsiaTheme="minorEastAsia"/>
          <w:b/>
          <w:color w:val="auto"/>
          <w:sz w:val="24"/>
          <w:highlight w:val="none"/>
        </w:rPr>
      </w:pPr>
      <w:bookmarkStart w:id="44" w:name="_Toc16905"/>
      <w:bookmarkStart w:id="45" w:name="_Toc20577"/>
      <w:r>
        <w:rPr>
          <w:rFonts w:hint="eastAsia" w:asciiTheme="minorEastAsia" w:hAnsiTheme="minorEastAsia" w:eastAsiaTheme="minorEastAsia"/>
          <w:b/>
          <w:color w:val="auto"/>
          <w:sz w:val="24"/>
          <w:highlight w:val="none"/>
        </w:rPr>
        <w:t>一、总则</w:t>
      </w:r>
      <w:bookmarkEnd w:id="44"/>
      <w:bookmarkEnd w:id="45"/>
    </w:p>
    <w:p w14:paraId="4F1059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本项目将按照谈判文件第二章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44D5D08">
      <w:pPr>
        <w:spacing w:line="360" w:lineRule="auto"/>
        <w:ind w:firstLine="437"/>
        <w:outlineLvl w:val="1"/>
        <w:rPr>
          <w:rFonts w:asciiTheme="minorEastAsia" w:hAnsiTheme="minorEastAsia" w:eastAsiaTheme="minorEastAsia"/>
          <w:b/>
          <w:color w:val="auto"/>
          <w:sz w:val="24"/>
          <w:highlight w:val="none"/>
        </w:rPr>
      </w:pPr>
      <w:bookmarkStart w:id="46" w:name="_Toc14705"/>
      <w:bookmarkStart w:id="47" w:name="_Toc28634"/>
      <w:r>
        <w:rPr>
          <w:rFonts w:hint="eastAsia" w:asciiTheme="minorEastAsia" w:hAnsiTheme="minorEastAsia" w:eastAsiaTheme="minorEastAsia"/>
          <w:b/>
          <w:color w:val="auto"/>
          <w:sz w:val="24"/>
          <w:highlight w:val="none"/>
        </w:rPr>
        <w:t>二、评审方法</w:t>
      </w:r>
      <w:bookmarkEnd w:id="46"/>
      <w:bookmarkEnd w:id="47"/>
    </w:p>
    <w:p w14:paraId="32C325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谈判小组对供应商的响应文件进行初审，以确定其是否满足谈判文件的实质性要求。初审表如下：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367"/>
        <w:gridCol w:w="4380"/>
        <w:gridCol w:w="2080"/>
      </w:tblGrid>
      <w:tr w14:paraId="5AE5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5C660574">
            <w:pPr>
              <w:adjustRightInd w:val="0"/>
              <w:snapToGrid w:val="0"/>
              <w:spacing w:line="360" w:lineRule="auto"/>
              <w:ind w:right="-10"/>
              <w:jc w:val="center"/>
              <w:rPr>
                <w:rFonts w:ascii="宋体" w:hAnsi="宋体" w:eastAsia="宋体"/>
                <w:color w:val="auto"/>
                <w:sz w:val="24"/>
                <w:highlight w:val="none"/>
              </w:rPr>
            </w:pPr>
            <w:bookmarkStart w:id="48" w:name="_Hlk60612144"/>
            <w:r>
              <w:rPr>
                <w:rFonts w:hint="eastAsia" w:ascii="宋体" w:hAnsi="宋体" w:eastAsia="宋体"/>
                <w:b/>
                <w:color w:val="auto"/>
                <w:sz w:val="24"/>
                <w:szCs w:val="22"/>
                <w:highlight w:val="none"/>
              </w:rPr>
              <w:t>初审表</w:t>
            </w:r>
          </w:p>
        </w:tc>
      </w:tr>
      <w:tr w14:paraId="1B29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tcBorders>
              <w:bottom w:val="single" w:color="auto" w:sz="4" w:space="0"/>
            </w:tcBorders>
            <w:vAlign w:val="center"/>
          </w:tcPr>
          <w:p w14:paraId="45308D3F">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802" w:type="pct"/>
            <w:tcBorders>
              <w:bottom w:val="single" w:color="auto" w:sz="4" w:space="0"/>
            </w:tcBorders>
            <w:vAlign w:val="center"/>
          </w:tcPr>
          <w:p w14:paraId="4EEAFAFF">
            <w:pPr>
              <w:pStyle w:val="43"/>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lang w:val="en-US" w:eastAsia="zh-CN"/>
              </w:rPr>
              <w:t>审查</w:t>
            </w:r>
            <w:r>
              <w:rPr>
                <w:rFonts w:hint="eastAsia" w:ascii="宋体" w:hAnsi="宋体" w:eastAsia="宋体"/>
                <w:color w:val="auto"/>
                <w:kern w:val="2"/>
                <w:szCs w:val="24"/>
                <w:highlight w:val="none"/>
              </w:rPr>
              <w:t>指标</w:t>
            </w:r>
          </w:p>
        </w:tc>
        <w:tc>
          <w:tcPr>
            <w:tcW w:w="2570" w:type="pct"/>
            <w:tcBorders>
              <w:bottom w:val="single" w:color="auto" w:sz="4" w:space="0"/>
            </w:tcBorders>
            <w:vAlign w:val="center"/>
          </w:tcPr>
          <w:p w14:paraId="60A03AA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审查</w:t>
            </w:r>
            <w:r>
              <w:rPr>
                <w:rFonts w:hint="eastAsia" w:ascii="宋体" w:hAnsi="宋体" w:eastAsia="宋体"/>
                <w:color w:val="auto"/>
                <w:sz w:val="24"/>
                <w:highlight w:val="none"/>
              </w:rPr>
              <w:t>标准</w:t>
            </w:r>
          </w:p>
        </w:tc>
        <w:tc>
          <w:tcPr>
            <w:tcW w:w="1219" w:type="pct"/>
            <w:tcBorders>
              <w:bottom w:val="single" w:color="auto" w:sz="4" w:space="0"/>
            </w:tcBorders>
            <w:vAlign w:val="center"/>
          </w:tcPr>
          <w:p w14:paraId="3298F7B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611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08" w:type="pct"/>
            <w:tcBorders>
              <w:bottom w:val="single" w:color="auto" w:sz="4" w:space="0"/>
            </w:tcBorders>
            <w:vAlign w:val="center"/>
          </w:tcPr>
          <w:p w14:paraId="7DE76299">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802" w:type="pct"/>
            <w:tcBorders>
              <w:bottom w:val="single" w:color="auto" w:sz="4" w:space="0"/>
            </w:tcBorders>
            <w:vAlign w:val="center"/>
          </w:tcPr>
          <w:p w14:paraId="0BDD2905">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570" w:type="pct"/>
            <w:tcBorders>
              <w:bottom w:val="single" w:color="auto" w:sz="4" w:space="0"/>
            </w:tcBorders>
            <w:vAlign w:val="center"/>
          </w:tcPr>
          <w:p w14:paraId="0EE54BDE">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37FF43C6">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04D49E3B">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53E11C42">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188544FB">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lang w:eastAsia="zh-CN"/>
              </w:rPr>
              <w:t>；</w:t>
            </w:r>
          </w:p>
        </w:tc>
        <w:tc>
          <w:tcPr>
            <w:tcW w:w="1219" w:type="pct"/>
            <w:vAlign w:val="center"/>
          </w:tcPr>
          <w:p w14:paraId="1F22FBEC">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olor w:val="auto"/>
                <w:sz w:val="24"/>
                <w:highlight w:val="none"/>
              </w:rPr>
              <w:t>参加</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lang w:val="en-US" w:eastAsia="zh-CN"/>
              </w:rPr>
              <w:t>的</w:t>
            </w:r>
            <w:r>
              <w:rPr>
                <w:rFonts w:hint="eastAsia" w:ascii="宋体" w:hAnsi="宋体" w:eastAsia="宋体" w:cs="宋体"/>
                <w:b w:val="0"/>
                <w:bCs w:val="0"/>
                <w:color w:val="auto"/>
                <w:sz w:val="24"/>
                <w:szCs w:val="24"/>
                <w:highlight w:val="none"/>
              </w:rPr>
              <w:t>联合体各方均须提供。</w:t>
            </w:r>
          </w:p>
        </w:tc>
      </w:tr>
      <w:tr w14:paraId="5B8F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tcBorders>
              <w:bottom w:val="single" w:color="auto" w:sz="4" w:space="0"/>
            </w:tcBorders>
            <w:vAlign w:val="center"/>
          </w:tcPr>
          <w:p w14:paraId="61B93CF7">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802" w:type="pct"/>
            <w:tcBorders>
              <w:bottom w:val="single" w:color="auto" w:sz="4" w:space="0"/>
            </w:tcBorders>
            <w:vAlign w:val="center"/>
          </w:tcPr>
          <w:p w14:paraId="0D88B71A">
            <w:pPr>
              <w:spacing w:after="50" w:line="360" w:lineRule="auto"/>
              <w:ind w:right="-10" w:rightChars="0"/>
              <w:jc w:val="center"/>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olor w:val="auto"/>
                <w:sz w:val="24"/>
                <w:szCs w:val="18"/>
                <w:highlight w:val="none"/>
                <w:lang w:val="en-US" w:eastAsia="zh-CN"/>
              </w:rPr>
              <w:t>供应商资格声明书</w:t>
            </w:r>
          </w:p>
        </w:tc>
        <w:tc>
          <w:tcPr>
            <w:tcW w:w="2570" w:type="pct"/>
            <w:tcBorders>
              <w:bottom w:val="single" w:color="auto" w:sz="4" w:space="0"/>
            </w:tcBorders>
            <w:vAlign w:val="center"/>
          </w:tcPr>
          <w:p w14:paraId="261B1409">
            <w:pPr>
              <w:spacing w:after="50" w:line="360" w:lineRule="auto"/>
              <w:ind w:right="-10" w:rightChars="0"/>
              <w:jc w:val="left"/>
              <w:rPr>
                <w:rFonts w:hint="eastAsia"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val="en-US" w:eastAsia="zh-CN"/>
              </w:rPr>
              <w:t>谈判</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lang w:eastAsia="zh-CN"/>
              </w:rPr>
              <w:t>。</w:t>
            </w:r>
          </w:p>
        </w:tc>
        <w:tc>
          <w:tcPr>
            <w:tcW w:w="1219" w:type="pct"/>
            <w:tcBorders>
              <w:bottom w:val="single" w:color="auto" w:sz="4" w:space="0"/>
            </w:tcBorders>
            <w:vAlign w:val="center"/>
          </w:tcPr>
          <w:p w14:paraId="022A5EC0">
            <w:pPr>
              <w:spacing w:line="360" w:lineRule="auto"/>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79C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tcBorders>
              <w:bottom w:val="single" w:color="auto" w:sz="4" w:space="0"/>
            </w:tcBorders>
            <w:vAlign w:val="center"/>
          </w:tcPr>
          <w:p w14:paraId="4307C2C0">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3</w:t>
            </w:r>
          </w:p>
        </w:tc>
        <w:tc>
          <w:tcPr>
            <w:tcW w:w="802" w:type="pct"/>
            <w:tcBorders>
              <w:bottom w:val="single" w:color="auto" w:sz="4" w:space="0"/>
            </w:tcBorders>
            <w:vAlign w:val="center"/>
          </w:tcPr>
          <w:p w14:paraId="6FFDE6EC">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570" w:type="pct"/>
            <w:tcBorders>
              <w:bottom w:val="single" w:color="auto" w:sz="4" w:space="0"/>
            </w:tcBorders>
            <w:vAlign w:val="center"/>
          </w:tcPr>
          <w:p w14:paraId="3BABE716">
            <w:pPr>
              <w:keepNext w:val="0"/>
              <w:keepLines w:val="0"/>
              <w:pageBreakBefore w:val="0"/>
              <w:widowControl w:val="0"/>
              <w:kinsoku/>
              <w:wordWrap w:val="0"/>
              <w:overflowPunct/>
              <w:topLinePunct w:val="0"/>
              <w:autoSpaceDE/>
              <w:autoSpaceDN/>
              <w:bidi w:val="0"/>
              <w:adjustRightInd/>
              <w:snapToGrid/>
              <w:spacing w:after="50" w:line="360" w:lineRule="auto"/>
              <w:ind w:right="-11" w:rightChars="0"/>
              <w:jc w:val="left"/>
              <w:textAlignment w:val="auto"/>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w:t>
            </w:r>
            <w:r>
              <w:rPr>
                <w:rFonts w:hint="eastAsia" w:ascii="宋体" w:hAnsi="宋体" w:eastAsia="宋体" w:cs="宋体"/>
                <w:color w:val="auto"/>
                <w:sz w:val="24"/>
                <w:szCs w:val="24"/>
                <w:highlight w:val="none"/>
                <w:lang w:val="en-US" w:eastAsia="zh-CN"/>
              </w:rPr>
              <w:t>14.3.1条中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219" w:type="pct"/>
            <w:tcBorders>
              <w:bottom w:val="single" w:color="auto" w:sz="4" w:space="0"/>
            </w:tcBorders>
            <w:vAlign w:val="center"/>
          </w:tcPr>
          <w:p w14:paraId="7620D26D">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rPr>
              <w:t>无须</w:t>
            </w:r>
            <w:r>
              <w:rPr>
                <w:rFonts w:hint="eastAsia" w:ascii="宋体" w:hAnsi="宋体" w:eastAsia="宋体" w:cs="宋体"/>
                <w:color w:val="auto"/>
                <w:sz w:val="24"/>
                <w:szCs w:val="24"/>
                <w:highlight w:val="none"/>
                <w:lang w:val="en-US" w:eastAsia="zh-CN"/>
              </w:rPr>
              <w:t>供应商提</w:t>
            </w:r>
            <w:r>
              <w:rPr>
                <w:rFonts w:hint="eastAsia" w:ascii="宋体" w:hAnsi="宋体" w:eastAsia="宋体" w:cs="宋体"/>
                <w:color w:val="auto"/>
                <w:sz w:val="24"/>
                <w:szCs w:val="24"/>
                <w:highlight w:val="none"/>
              </w:rPr>
              <w:t>供，由采购人或采购代理机构查询。</w:t>
            </w:r>
          </w:p>
        </w:tc>
      </w:tr>
      <w:tr w14:paraId="53C8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tcBorders>
              <w:bottom w:val="single" w:color="auto" w:sz="4" w:space="0"/>
            </w:tcBorders>
            <w:vAlign w:val="center"/>
          </w:tcPr>
          <w:p w14:paraId="49CB5E81">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4</w:t>
            </w:r>
          </w:p>
        </w:tc>
        <w:tc>
          <w:tcPr>
            <w:tcW w:w="802" w:type="pct"/>
            <w:tcBorders>
              <w:bottom w:val="single" w:color="auto" w:sz="4" w:space="0"/>
            </w:tcBorders>
            <w:vAlign w:val="center"/>
          </w:tcPr>
          <w:p w14:paraId="4D202F6B">
            <w:pPr>
              <w:spacing w:after="50" w:line="360" w:lineRule="auto"/>
              <w:ind w:right="-1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中小企业证明文件</w:t>
            </w:r>
          </w:p>
        </w:tc>
        <w:tc>
          <w:tcPr>
            <w:tcW w:w="2570" w:type="pct"/>
            <w:tcBorders>
              <w:bottom w:val="single" w:color="auto" w:sz="4" w:space="0"/>
            </w:tcBorders>
            <w:vAlign w:val="top"/>
          </w:tcPr>
          <w:p w14:paraId="38528056">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04F64530">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p w14:paraId="379B32EA">
            <w:pPr>
              <w:spacing w:after="50" w:line="360" w:lineRule="auto"/>
              <w:ind w:right="-10" w:rightChars="0"/>
              <w:jc w:val="left"/>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文件要求以联合体形式参加或者要求合同分包的，且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文件关于预留份额的要求。</w:t>
            </w:r>
          </w:p>
        </w:tc>
        <w:tc>
          <w:tcPr>
            <w:tcW w:w="1219" w:type="pct"/>
            <w:tcBorders>
              <w:bottom w:val="single" w:color="auto" w:sz="4" w:space="0"/>
            </w:tcBorders>
            <w:vAlign w:val="center"/>
          </w:tcPr>
          <w:p w14:paraId="750CA587">
            <w:pPr>
              <w:spacing w:after="50" w:line="360" w:lineRule="auto"/>
              <w:ind w:right="-1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75E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18FABB30">
            <w:pPr>
              <w:adjustRightInd w:val="0"/>
              <w:snapToGrid w:val="0"/>
              <w:spacing w:line="360" w:lineRule="auto"/>
              <w:ind w:right="-10" w:rightChars="0"/>
              <w:jc w:val="center"/>
              <w:rPr>
                <w:rFonts w:hint="eastAsia" w:cs="@仿宋_GB2312" w:asciiTheme="majorEastAsia" w:hAnsiTheme="majorEastAsia" w:eastAsiaTheme="majorEastAsia"/>
                <w:color w:val="auto"/>
                <w:kern w:val="2"/>
                <w:sz w:val="24"/>
                <w:highlight w:val="none"/>
                <w:lang w:val="en-US" w:eastAsia="zh-CN" w:bidi="ar-SA"/>
              </w:rPr>
            </w:pPr>
            <w:r>
              <w:rPr>
                <w:rFonts w:hint="eastAsia" w:asciiTheme="majorEastAsia" w:hAnsiTheme="majorEastAsia" w:eastAsiaTheme="majorEastAsia"/>
                <w:color w:val="auto"/>
                <w:sz w:val="24"/>
                <w:highlight w:val="none"/>
                <w:lang w:val="en-US" w:eastAsia="zh-CN"/>
              </w:rPr>
              <w:t>5</w:t>
            </w:r>
          </w:p>
        </w:tc>
        <w:tc>
          <w:tcPr>
            <w:tcW w:w="802" w:type="pct"/>
            <w:vAlign w:val="center"/>
          </w:tcPr>
          <w:p w14:paraId="49874CC2">
            <w:pPr>
              <w:spacing w:after="50" w:line="360" w:lineRule="auto"/>
              <w:ind w:right="-10" w:rightChars="0"/>
              <w:jc w:val="both"/>
              <w:rPr>
                <w:rFonts w:ascii="宋体" w:hAnsi="宋体" w:eastAsia="宋体" w:cs="宋体"/>
                <w:color w:val="auto"/>
                <w:spacing w:val="10"/>
                <w:kern w:val="2"/>
                <w:sz w:val="24"/>
                <w:szCs w:val="24"/>
                <w:highlight w:val="none"/>
                <w:lang w:val="en-US" w:eastAsia="zh-CN" w:bidi="ar-SA"/>
              </w:rPr>
            </w:pPr>
            <w:r>
              <w:rPr>
                <w:rFonts w:ascii="宋体" w:hAnsi="宋体" w:eastAsia="宋体" w:cs="宋体"/>
                <w:color w:val="auto"/>
                <w:spacing w:val="10"/>
                <w:sz w:val="24"/>
                <w:szCs w:val="24"/>
                <w:highlight w:val="none"/>
              </w:rPr>
              <w:t>其他特定资格要求</w:t>
            </w:r>
          </w:p>
        </w:tc>
        <w:tc>
          <w:tcPr>
            <w:tcW w:w="2570" w:type="pct"/>
            <w:vAlign w:val="center"/>
          </w:tcPr>
          <w:p w14:paraId="31B2B534">
            <w:pPr>
              <w:spacing w:after="50" w:line="360" w:lineRule="auto"/>
              <w:ind w:right="-10" w:rightChars="0"/>
              <w:jc w:val="both"/>
              <w:rPr>
                <w:rFonts w:ascii="宋体" w:hAnsi="宋体" w:eastAsia="宋体" w:cs="宋体"/>
                <w:color w:val="auto"/>
                <w:spacing w:val="10"/>
                <w:kern w:val="2"/>
                <w:sz w:val="24"/>
                <w:szCs w:val="24"/>
                <w:highlight w:val="none"/>
                <w:lang w:val="en-US" w:eastAsia="zh-CN" w:bidi="ar-SA"/>
              </w:rPr>
            </w:pPr>
            <w:r>
              <w:rPr>
                <w:rFonts w:ascii="宋体" w:hAnsi="宋体" w:eastAsia="宋体" w:cs="宋体"/>
                <w:color w:val="auto"/>
                <w:spacing w:val="10"/>
                <w:sz w:val="24"/>
                <w:szCs w:val="24"/>
                <w:highlight w:val="none"/>
              </w:rPr>
              <w:t>如有，见第一章《</w:t>
            </w:r>
            <w:r>
              <w:rPr>
                <w:rFonts w:hint="eastAsia" w:ascii="宋体" w:hAnsi="宋体" w:eastAsia="宋体" w:cs="宋体"/>
                <w:color w:val="auto"/>
                <w:spacing w:val="10"/>
                <w:sz w:val="24"/>
                <w:szCs w:val="24"/>
                <w:highlight w:val="none"/>
                <w:lang w:val="en-US" w:eastAsia="zh-CN"/>
              </w:rPr>
              <w:t>谈判</w:t>
            </w:r>
            <w:r>
              <w:rPr>
                <w:rFonts w:ascii="宋体" w:hAnsi="宋体" w:eastAsia="宋体" w:cs="宋体"/>
                <w:color w:val="auto"/>
                <w:spacing w:val="10"/>
                <w:sz w:val="24"/>
                <w:szCs w:val="24"/>
                <w:highlight w:val="none"/>
              </w:rPr>
              <w:t>邀请》</w:t>
            </w:r>
          </w:p>
        </w:tc>
        <w:tc>
          <w:tcPr>
            <w:tcW w:w="1219" w:type="pct"/>
            <w:vAlign w:val="center"/>
          </w:tcPr>
          <w:p w14:paraId="70E45834">
            <w:pPr>
              <w:spacing w:after="50" w:line="360" w:lineRule="auto"/>
              <w:ind w:right="-10" w:rightChars="0"/>
              <w:jc w:val="both"/>
              <w:rPr>
                <w:rFonts w:ascii="宋体" w:hAnsi="宋体" w:eastAsia="宋体" w:cs="宋体"/>
                <w:color w:val="auto"/>
                <w:spacing w:val="10"/>
                <w:kern w:val="2"/>
                <w:sz w:val="24"/>
                <w:szCs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0CE6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2FB7EE27">
            <w:pPr>
              <w:adjustRightInd w:val="0"/>
              <w:snapToGrid w:val="0"/>
              <w:spacing w:line="360" w:lineRule="auto"/>
              <w:ind w:right="-10" w:rightChars="0"/>
              <w:jc w:val="center"/>
              <w:rPr>
                <w:rFonts w:hint="eastAsia" w:cs="@仿宋_GB2312" w:asciiTheme="majorEastAsia" w:hAnsiTheme="majorEastAsia" w:eastAsiaTheme="majorEastAsia"/>
                <w:color w:val="auto"/>
                <w:kern w:val="2"/>
                <w:sz w:val="24"/>
                <w:highlight w:val="none"/>
                <w:lang w:val="en-US" w:eastAsia="zh-CN" w:bidi="ar-SA"/>
              </w:rPr>
            </w:pPr>
            <w:r>
              <w:rPr>
                <w:rFonts w:hint="eastAsia" w:asciiTheme="majorEastAsia" w:hAnsiTheme="majorEastAsia" w:eastAsiaTheme="majorEastAsia"/>
                <w:color w:val="auto"/>
                <w:sz w:val="24"/>
                <w:highlight w:val="none"/>
                <w:lang w:val="en-US" w:eastAsia="zh-CN"/>
              </w:rPr>
              <w:t>6</w:t>
            </w:r>
          </w:p>
        </w:tc>
        <w:tc>
          <w:tcPr>
            <w:tcW w:w="802" w:type="pct"/>
            <w:vAlign w:val="center"/>
          </w:tcPr>
          <w:p w14:paraId="76F97625">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lang w:val="en-US" w:eastAsia="zh-CN"/>
              </w:rPr>
              <w:t>谈判响应</w:t>
            </w:r>
            <w:r>
              <w:rPr>
                <w:rFonts w:hint="eastAsia" w:asciiTheme="minorEastAsia" w:hAnsiTheme="minorEastAsia" w:eastAsiaTheme="minorEastAsia"/>
                <w:color w:val="auto"/>
                <w:sz w:val="24"/>
                <w:szCs w:val="28"/>
                <w:highlight w:val="none"/>
              </w:rPr>
              <w:t>函</w:t>
            </w:r>
          </w:p>
        </w:tc>
        <w:tc>
          <w:tcPr>
            <w:tcW w:w="2570" w:type="pct"/>
            <w:vAlign w:val="center"/>
          </w:tcPr>
          <w:p w14:paraId="23E6C1C5">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219" w:type="pct"/>
            <w:vAlign w:val="center"/>
          </w:tcPr>
          <w:p w14:paraId="3A5B75D8">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6949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2C876926">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7</w:t>
            </w:r>
          </w:p>
        </w:tc>
        <w:tc>
          <w:tcPr>
            <w:tcW w:w="802" w:type="pct"/>
            <w:vAlign w:val="center"/>
          </w:tcPr>
          <w:p w14:paraId="0D34806E">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授权书</w:t>
            </w:r>
          </w:p>
        </w:tc>
        <w:tc>
          <w:tcPr>
            <w:tcW w:w="2570" w:type="pct"/>
            <w:vAlign w:val="center"/>
          </w:tcPr>
          <w:p w14:paraId="5405A495">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219" w:type="pct"/>
            <w:vAlign w:val="center"/>
          </w:tcPr>
          <w:p w14:paraId="7884B484">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的无需此件，提供身份证明即可。</w:t>
            </w: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2DFC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23D073A8">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8</w:t>
            </w:r>
          </w:p>
        </w:tc>
        <w:tc>
          <w:tcPr>
            <w:tcW w:w="802" w:type="pct"/>
            <w:vAlign w:val="center"/>
          </w:tcPr>
          <w:p w14:paraId="5F4ED450">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报价</w:t>
            </w:r>
          </w:p>
        </w:tc>
        <w:tc>
          <w:tcPr>
            <w:tcW w:w="2570" w:type="pct"/>
            <w:vAlign w:val="center"/>
          </w:tcPr>
          <w:p w14:paraId="2246D79C">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219" w:type="pct"/>
            <w:vAlign w:val="center"/>
          </w:tcPr>
          <w:p w14:paraId="2151BADA">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9DA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4456986C">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9</w:t>
            </w:r>
          </w:p>
        </w:tc>
        <w:tc>
          <w:tcPr>
            <w:tcW w:w="802" w:type="pct"/>
            <w:vAlign w:val="center"/>
          </w:tcPr>
          <w:p w14:paraId="49F5B321">
            <w:pPr>
              <w:spacing w:after="50" w:line="480" w:lineRule="exact"/>
              <w:ind w:right="-10" w:rightChars="0"/>
              <w:jc w:val="center"/>
              <w:rPr>
                <w:rFonts w:hint="eastAsia"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商务响应情况</w:t>
            </w:r>
          </w:p>
        </w:tc>
        <w:tc>
          <w:tcPr>
            <w:tcW w:w="2570" w:type="pct"/>
            <w:vAlign w:val="center"/>
          </w:tcPr>
          <w:p w14:paraId="39FD1F80">
            <w:pPr>
              <w:spacing w:after="50" w:line="480" w:lineRule="exact"/>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谈判</w:t>
            </w:r>
            <w:r>
              <w:rPr>
                <w:rFonts w:hint="eastAsia" w:asciiTheme="minorEastAsia" w:hAnsiTheme="minorEastAsia" w:eastAsiaTheme="minorEastAsia"/>
                <w:color w:val="auto"/>
                <w:sz w:val="24"/>
                <w:szCs w:val="28"/>
                <w:highlight w:val="none"/>
              </w:rPr>
              <w:t>文件采购需求中对付款方式、</w:t>
            </w:r>
            <w:r>
              <w:rPr>
                <w:rFonts w:hint="eastAsia" w:asciiTheme="minorEastAsia" w:hAnsiTheme="minorEastAsia" w:eastAsiaTheme="minorEastAsia"/>
                <w:color w:val="auto"/>
                <w:sz w:val="24"/>
                <w:szCs w:val="28"/>
                <w:highlight w:val="none"/>
                <w:lang w:eastAsia="zh-CN"/>
              </w:rPr>
              <w:t>服务期</w:t>
            </w:r>
            <w:r>
              <w:rPr>
                <w:rFonts w:hint="eastAsia" w:asciiTheme="minorEastAsia" w:hAnsiTheme="minorEastAsia" w:eastAsiaTheme="minorEastAsia"/>
                <w:color w:val="auto"/>
                <w:sz w:val="24"/>
                <w:szCs w:val="28"/>
                <w:highlight w:val="none"/>
              </w:rPr>
              <w:t>、</w:t>
            </w:r>
            <w:r>
              <w:rPr>
                <w:rFonts w:hint="eastAsia" w:asciiTheme="minorEastAsia" w:hAnsiTheme="minorEastAsia" w:eastAsiaTheme="minorEastAsia"/>
                <w:color w:val="auto"/>
                <w:sz w:val="24"/>
                <w:szCs w:val="28"/>
                <w:highlight w:val="none"/>
                <w:lang w:eastAsia="zh-CN"/>
              </w:rPr>
              <w:t>服务地点</w:t>
            </w:r>
            <w:r>
              <w:rPr>
                <w:rFonts w:hint="eastAsia" w:asciiTheme="minorEastAsia" w:hAnsiTheme="minorEastAsia" w:eastAsiaTheme="minorEastAsia"/>
                <w:color w:val="auto"/>
                <w:sz w:val="24"/>
                <w:szCs w:val="28"/>
                <w:highlight w:val="none"/>
              </w:rPr>
              <w:t>等实质性要求</w:t>
            </w:r>
          </w:p>
        </w:tc>
        <w:tc>
          <w:tcPr>
            <w:tcW w:w="1219" w:type="pct"/>
            <w:vAlign w:val="center"/>
          </w:tcPr>
          <w:p w14:paraId="4B43F5C1">
            <w:pPr>
              <w:adjustRightInd w:val="0"/>
              <w:snapToGrid w:val="0"/>
              <w:spacing w:line="480" w:lineRule="exact"/>
              <w:ind w:right="-10" w:rightChars="0"/>
              <w:jc w:val="center"/>
              <w:rPr>
                <w:rFonts w:hint="eastAsia" w:ascii="宋体" w:hAnsi="宋体" w:eastAsia="宋体"/>
                <w:color w:val="auto"/>
                <w:sz w:val="24"/>
                <w:highlight w:val="none"/>
              </w:rPr>
            </w:pPr>
            <w:r>
              <w:rPr>
                <w:rFonts w:hint="eastAsia" w:ascii="宋体" w:hAnsi="宋体" w:eastAsia="宋体"/>
                <w:color w:val="auto"/>
                <w:sz w:val="24"/>
                <w:highlight w:val="none"/>
              </w:rPr>
              <w:t>详见第六章响应文件格式。</w:t>
            </w:r>
          </w:p>
        </w:tc>
      </w:tr>
      <w:bookmarkEnd w:id="48"/>
    </w:tbl>
    <w:p w14:paraId="64C2FB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649505BB">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BF1FCEA">
      <w:pPr>
        <w:spacing w:line="360" w:lineRule="auto"/>
        <w:ind w:firstLine="437"/>
        <w:outlineLvl w:val="1"/>
        <w:rPr>
          <w:rFonts w:asciiTheme="minorEastAsia" w:hAnsiTheme="minorEastAsia" w:eastAsiaTheme="minorEastAsia"/>
          <w:b/>
          <w:color w:val="auto"/>
          <w:sz w:val="24"/>
          <w:highlight w:val="none"/>
        </w:rPr>
      </w:pPr>
      <w:bookmarkStart w:id="49" w:name="_Toc35526206"/>
      <w:bookmarkStart w:id="50" w:name="_Toc27310"/>
      <w:r>
        <w:rPr>
          <w:rFonts w:hint="eastAsia" w:asciiTheme="minorEastAsia" w:hAnsiTheme="minorEastAsia" w:eastAsiaTheme="minorEastAsia"/>
          <w:b/>
          <w:color w:val="auto"/>
          <w:sz w:val="24"/>
          <w:highlight w:val="none"/>
        </w:rPr>
        <w:t>三、无效响应条款</w:t>
      </w:r>
    </w:p>
    <w:p w14:paraId="186222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3.1响应文件有下列情形之一的,其响应文件拒收:</w:t>
      </w:r>
    </w:p>
    <w:p w14:paraId="62F0560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(1)未在响应文件递交截止时间前通过网上招标投标系统递交有效电子响应文件的，系统不予接收，其将被拒绝。</w:t>
      </w:r>
    </w:p>
    <w:p w14:paraId="08E1EA6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接到远程解密指令后，须在规定时间内解密。因供应商自身原因导致响应文件在规定时间内未能解密、解密失败或解密超时，响应文件无效；解密时间：从本项目解密程序开始时计时，至完成响应文件解密时间，不得超过60分钟，否则响应文件将被拒绝。</w:t>
      </w:r>
    </w:p>
    <w:p w14:paraId="743315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3.2供应商有下列情形之一的,资格审查后其作无效响应处理：</w:t>
      </w:r>
    </w:p>
    <w:p w14:paraId="62786A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（1）供应商为本项目提供采购代理服务的；</w:t>
      </w:r>
    </w:p>
    <w:p w14:paraId="3479F9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（2）供应商与在本项目代理机构存在相互任职或工作的；</w:t>
      </w:r>
    </w:p>
    <w:p w14:paraId="0A9018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（3）与采购人存在利害关系可能影响采购公正性的法人、其他组织或者个人；</w:t>
      </w:r>
    </w:p>
    <w:p w14:paraId="34FE0C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（4）竞争性谈判公告写明专门面向中小企业采购，供应商提供的货物非中小企业制造的；</w:t>
      </w:r>
    </w:p>
    <w:p w14:paraId="216910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（5）要求供应商以联合体形式参加采购活动，供应商非联合体或者联合协议中中小企业合同金额未达到应当达到的比例；</w:t>
      </w:r>
    </w:p>
    <w:p w14:paraId="522F81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（6）要求获得采购合同的供应商向中小企业分包，供应商未提供分包意向协议或者分包意向协议中中小企业合同金额未达到应当达到的比例；</w:t>
      </w:r>
    </w:p>
    <w:p w14:paraId="66BC8B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（7）无法查看并检验电子响应文件中相关资料的；</w:t>
      </w:r>
    </w:p>
    <w:p w14:paraId="57A0A0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（8）联合体参与未提交联合体协议的；</w:t>
      </w:r>
    </w:p>
    <w:p w14:paraId="7F09B8B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（9）责令停产停业的；</w:t>
      </w:r>
    </w:p>
    <w:p w14:paraId="11DBE3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（10）暂停或者取消参与政府采购项目资格的；</w:t>
      </w:r>
    </w:p>
    <w:p w14:paraId="28CEFF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（11）单位负责人为同一人或者存在直接控股、管理关系的不同单位的；</w:t>
      </w:r>
    </w:p>
    <w:p w14:paraId="430E18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（12）供应商基本资格条件和特定资格条件中有一项及以上不符合要求的；</w:t>
      </w:r>
    </w:p>
    <w:p w14:paraId="0F49F6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谈判评审时查询响应文件制作机器码、文件创建标识码及造价软件加密锁号。若存在响应文件制作机器码或创建标识码或造价软件加密锁号信息与其他供应商雷同的，响应无效、进行信用信息披露，行政监管部门将依据线索依法查处；</w:t>
      </w:r>
    </w:p>
    <w:p w14:paraId="613B5C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（14）其它情形按无效响应处理，并经公共资源交易监督部门核准的；</w:t>
      </w:r>
    </w:p>
    <w:p w14:paraId="19CBDE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（15）供应商响应MAC地址或供应商联系人或联系电话相同的，由谈判小组否决其响应，并报告监管部门作不良行为处理和进一步调查；</w:t>
      </w:r>
    </w:p>
    <w:p w14:paraId="04E225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（16）供应商单方面出现其他供应商材料的；</w:t>
      </w:r>
    </w:p>
    <w:p w14:paraId="7BFD76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（17）竞争性谈判公告未写明允许采购进口产品，供应商所投产品为进口产品的；</w:t>
      </w:r>
    </w:p>
    <w:p w14:paraId="05B34C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（18）谈判文件规定的其它无效情形。</w:t>
      </w:r>
    </w:p>
    <w:p w14:paraId="341806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 供应商有下列情形之一的,符合性审查后其按无效响应处理：</w:t>
      </w:r>
    </w:p>
    <w:p w14:paraId="60D7DB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（1）响应文件签章不全，经谈判小组一致认定对响应内容有实质性影响并经公共资源交易监督部门核准的；</w:t>
      </w:r>
    </w:p>
    <w:p w14:paraId="48B160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（2）未按规定的格式填写导致实质性内容不全以及实质上不响应，或者关键字迹模糊、无法辨认；经公共资源交易监督部门核准的；</w:t>
      </w:r>
    </w:p>
    <w:p w14:paraId="40CC29A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（3）同一供应商提交两个或以上不同的响应文件或者报价，但谈判文件规定提交备选方案的除外；</w:t>
      </w:r>
    </w:p>
    <w:p w14:paraId="6583710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（4）响应文件没有对谈判文件的实质性要求和条件作出响应；</w:t>
      </w:r>
    </w:p>
    <w:p w14:paraId="5A7469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（5）报价超出规定的最高限价或公布的采购预算的或供应商的报价各项单价高于谈判文件给定的单价最高限价；</w:t>
      </w:r>
    </w:p>
    <w:p w14:paraId="18E009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（6）不按谈判小组要求澄清、说明或补正的，或者谈判小组根据谈判文件的规定对</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文件的计算错误进行修正后，供应商不接受修正的报价的。</w:t>
      </w:r>
    </w:p>
    <w:p w14:paraId="486FE0E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（7）其它情形，经谈判小组提出按无效响应处理，并经公共资源交易监督部门核准的；</w:t>
      </w:r>
    </w:p>
    <w:p w14:paraId="488F8B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（8）响应文件含有采购人不能接受的附加条件的；</w:t>
      </w:r>
    </w:p>
    <w:p w14:paraId="13FD14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（9）谈判文件规定的其它无效响应情形。</w:t>
      </w:r>
    </w:p>
    <w:p w14:paraId="7B65B1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 供应商有下列情形之一的, 详细评审后其按无效响应处理：</w:t>
      </w:r>
    </w:p>
    <w:p w14:paraId="01544A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（1）产品不符合必须强制执行的国家标准的；</w:t>
      </w:r>
    </w:p>
    <w:p w14:paraId="1D586D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（2）供应商有串通、弄虚作假、行贿等违法行为；</w:t>
      </w:r>
    </w:p>
    <w:p w14:paraId="71A0A4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（3）响应文件含有违反国家法律、法规的内容，或附有采购人不能接受的条件的；</w:t>
      </w:r>
    </w:p>
    <w:p w14:paraId="29E1C3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（4）报价明显低于其他供应商，且不能证明报价合理性的响应无效；</w:t>
      </w:r>
    </w:p>
    <w:p w14:paraId="6C1E17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（5）拒不确认谈判小组评审修正的响应无效；</w:t>
      </w:r>
    </w:p>
    <w:p w14:paraId="3CF08C3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（6）其它情形，经谈判小组提出按无效响应处理，并经公共资源交易监督部门核准的；</w:t>
      </w:r>
    </w:p>
    <w:p w14:paraId="6266226D">
      <w:pPr>
        <w:spacing w:line="360" w:lineRule="auto"/>
        <w:ind w:firstLine="480" w:firstLineChars="200"/>
        <w:jc w:val="left"/>
        <w:outlineLvl w:val="0"/>
        <w:rPr>
          <w:rFonts w:hint="eastAsia" w:asciiTheme="minorEastAsia" w:hAnsiTheme="minorEastAsia" w:eastAsiaTheme="minorEastAsia"/>
          <w:color w:val="auto"/>
          <w:sz w:val="24"/>
          <w:highlight w:val="none"/>
          <w:lang w:eastAsia="zh-CN"/>
        </w:rPr>
      </w:pPr>
      <w:bookmarkStart w:id="51" w:name="_Toc10939"/>
      <w:r>
        <w:rPr>
          <w:rFonts w:hint="eastAsia" w:asciiTheme="minorEastAsia" w:hAnsiTheme="minorEastAsia" w:eastAsiaTheme="minorEastAsia"/>
          <w:color w:val="auto"/>
          <w:sz w:val="24"/>
          <w:highlight w:val="none"/>
        </w:rPr>
        <w:t>（7）谈判文件规定的其它无效响应情形</w:t>
      </w:r>
      <w:r>
        <w:rPr>
          <w:rFonts w:hint="eastAsia" w:asciiTheme="minorEastAsia" w:hAnsiTheme="minorEastAsia" w:eastAsiaTheme="minorEastAsia"/>
          <w:color w:val="auto"/>
          <w:sz w:val="24"/>
          <w:highlight w:val="none"/>
          <w:lang w:eastAsia="zh-CN"/>
        </w:rPr>
        <w:t>。</w:t>
      </w:r>
      <w:bookmarkEnd w:id="51"/>
    </w:p>
    <w:p w14:paraId="3D043DDE">
      <w:pPr>
        <w:spacing w:line="360" w:lineRule="auto"/>
        <w:jc w:val="center"/>
        <w:outlineLvl w:val="0"/>
        <w:rPr>
          <w:rFonts w:hint="eastAsia" w:asciiTheme="minorEastAsia" w:hAnsiTheme="minorEastAsia" w:eastAsiaTheme="minorEastAsia"/>
          <w:color w:val="auto"/>
          <w:sz w:val="24"/>
          <w:highlight w:val="none"/>
          <w:lang w:eastAsia="zh-CN"/>
        </w:rPr>
      </w:pPr>
    </w:p>
    <w:p w14:paraId="130EF251">
      <w:pPr>
        <w:spacing w:line="360" w:lineRule="auto"/>
        <w:jc w:val="center"/>
        <w:outlineLvl w:val="0"/>
        <w:rPr>
          <w:rFonts w:hint="eastAsia" w:asciiTheme="minorEastAsia" w:hAnsiTheme="minorEastAsia" w:eastAsiaTheme="minorEastAsia"/>
          <w:color w:val="auto"/>
          <w:sz w:val="24"/>
          <w:highlight w:val="none"/>
          <w:lang w:eastAsia="zh-CN"/>
        </w:rPr>
      </w:pPr>
    </w:p>
    <w:p w14:paraId="6BB830E9">
      <w:pPr>
        <w:spacing w:line="360" w:lineRule="auto"/>
        <w:jc w:val="center"/>
        <w:outlineLvl w:val="0"/>
        <w:rPr>
          <w:rFonts w:hint="eastAsia" w:asciiTheme="minorEastAsia" w:hAnsiTheme="minorEastAsia" w:eastAsiaTheme="minorEastAsia"/>
          <w:color w:val="auto"/>
          <w:sz w:val="24"/>
          <w:highlight w:val="none"/>
          <w:lang w:eastAsia="zh-CN"/>
        </w:rPr>
      </w:pPr>
    </w:p>
    <w:p w14:paraId="5B350ABE">
      <w:pPr>
        <w:spacing w:line="360" w:lineRule="auto"/>
        <w:jc w:val="center"/>
        <w:outlineLvl w:val="0"/>
        <w:rPr>
          <w:rFonts w:hint="eastAsia" w:asciiTheme="minorEastAsia" w:hAnsiTheme="minorEastAsia" w:eastAsiaTheme="minorEastAsia"/>
          <w:color w:val="auto"/>
          <w:sz w:val="24"/>
          <w:highlight w:val="none"/>
          <w:lang w:eastAsia="zh-CN"/>
        </w:rPr>
      </w:pPr>
    </w:p>
    <w:p w14:paraId="5D4E78EC">
      <w:pPr>
        <w:spacing w:line="360" w:lineRule="auto"/>
        <w:jc w:val="center"/>
        <w:outlineLvl w:val="0"/>
        <w:rPr>
          <w:rFonts w:hint="eastAsia" w:asciiTheme="minorEastAsia" w:hAnsiTheme="minorEastAsia" w:eastAsiaTheme="minorEastAsia"/>
          <w:b/>
          <w:color w:val="auto"/>
          <w:sz w:val="28"/>
          <w:highlight w:val="none"/>
        </w:rPr>
      </w:pPr>
    </w:p>
    <w:p w14:paraId="3B7B5610">
      <w:pPr>
        <w:spacing w:line="360" w:lineRule="auto"/>
        <w:jc w:val="center"/>
        <w:outlineLvl w:val="0"/>
        <w:rPr>
          <w:rFonts w:hint="eastAsia" w:asciiTheme="minorEastAsia" w:hAnsiTheme="minorEastAsia" w:eastAsiaTheme="minorEastAsia"/>
          <w:b/>
          <w:color w:val="auto"/>
          <w:sz w:val="28"/>
          <w:highlight w:val="none"/>
        </w:rPr>
      </w:pPr>
    </w:p>
    <w:p w14:paraId="765CA1AC">
      <w:pPr>
        <w:spacing w:line="360" w:lineRule="auto"/>
        <w:jc w:val="center"/>
        <w:outlineLvl w:val="0"/>
        <w:rPr>
          <w:rFonts w:hint="eastAsia" w:asciiTheme="minorEastAsia" w:hAnsiTheme="minorEastAsia" w:eastAsiaTheme="minorEastAsia"/>
          <w:b/>
          <w:color w:val="auto"/>
          <w:sz w:val="28"/>
          <w:highlight w:val="none"/>
        </w:rPr>
      </w:pPr>
    </w:p>
    <w:p w14:paraId="0FFCD9FE">
      <w:pPr>
        <w:spacing w:line="360" w:lineRule="auto"/>
        <w:jc w:val="center"/>
        <w:outlineLvl w:val="0"/>
        <w:rPr>
          <w:rFonts w:hint="eastAsia" w:asciiTheme="minorEastAsia" w:hAnsiTheme="minorEastAsia" w:eastAsiaTheme="minorEastAsia"/>
          <w:b/>
          <w:color w:val="auto"/>
          <w:sz w:val="28"/>
          <w:highlight w:val="none"/>
        </w:rPr>
      </w:pPr>
    </w:p>
    <w:p w14:paraId="39710A91">
      <w:pPr>
        <w:spacing w:line="360" w:lineRule="auto"/>
        <w:jc w:val="center"/>
        <w:outlineLvl w:val="0"/>
        <w:rPr>
          <w:rFonts w:hint="eastAsia" w:asciiTheme="minorEastAsia" w:hAnsiTheme="minorEastAsia" w:eastAsiaTheme="minorEastAsia"/>
          <w:b/>
          <w:color w:val="auto"/>
          <w:sz w:val="28"/>
          <w:highlight w:val="none"/>
        </w:rPr>
      </w:pPr>
    </w:p>
    <w:p w14:paraId="5864AAFA">
      <w:pPr>
        <w:spacing w:line="360" w:lineRule="auto"/>
        <w:jc w:val="center"/>
        <w:outlineLvl w:val="0"/>
        <w:rPr>
          <w:rFonts w:hint="eastAsia" w:asciiTheme="minorEastAsia" w:hAnsiTheme="minorEastAsia" w:eastAsiaTheme="minorEastAsia"/>
          <w:b/>
          <w:color w:val="auto"/>
          <w:sz w:val="28"/>
          <w:highlight w:val="none"/>
        </w:rPr>
      </w:pPr>
    </w:p>
    <w:p w14:paraId="0C40670B">
      <w:pPr>
        <w:spacing w:line="360" w:lineRule="auto"/>
        <w:jc w:val="center"/>
        <w:outlineLvl w:val="0"/>
        <w:rPr>
          <w:rFonts w:hint="eastAsia" w:asciiTheme="minorEastAsia" w:hAnsiTheme="minorEastAsia" w:eastAsiaTheme="minorEastAsia"/>
          <w:b/>
          <w:color w:val="auto"/>
          <w:sz w:val="28"/>
          <w:highlight w:val="none"/>
        </w:rPr>
      </w:pPr>
    </w:p>
    <w:p w14:paraId="1AA066E2">
      <w:pPr>
        <w:spacing w:line="360" w:lineRule="auto"/>
        <w:jc w:val="center"/>
        <w:outlineLvl w:val="0"/>
        <w:rPr>
          <w:rFonts w:hint="eastAsia" w:asciiTheme="minorEastAsia" w:hAnsiTheme="minorEastAsia" w:eastAsiaTheme="minorEastAsia"/>
          <w:b/>
          <w:color w:val="auto"/>
          <w:sz w:val="28"/>
          <w:highlight w:val="none"/>
        </w:rPr>
      </w:pPr>
    </w:p>
    <w:p w14:paraId="2E593F0C">
      <w:pPr>
        <w:spacing w:line="360" w:lineRule="auto"/>
        <w:jc w:val="center"/>
        <w:outlineLvl w:val="0"/>
        <w:rPr>
          <w:rFonts w:hint="eastAsia" w:asciiTheme="minorEastAsia" w:hAnsiTheme="minorEastAsia" w:eastAsiaTheme="minorEastAsia"/>
          <w:b/>
          <w:color w:val="auto"/>
          <w:sz w:val="28"/>
          <w:highlight w:val="none"/>
        </w:rPr>
      </w:pPr>
    </w:p>
    <w:p w14:paraId="6B92A0C4">
      <w:pPr>
        <w:spacing w:line="360" w:lineRule="auto"/>
        <w:jc w:val="center"/>
        <w:outlineLvl w:val="0"/>
        <w:rPr>
          <w:rFonts w:hint="eastAsia" w:asciiTheme="minorEastAsia" w:hAnsiTheme="minorEastAsia" w:eastAsiaTheme="minorEastAsia"/>
          <w:b/>
          <w:color w:val="auto"/>
          <w:sz w:val="28"/>
          <w:highlight w:val="none"/>
        </w:rPr>
      </w:pPr>
    </w:p>
    <w:p w14:paraId="076E6FA8">
      <w:pPr>
        <w:spacing w:line="360" w:lineRule="auto"/>
        <w:jc w:val="center"/>
        <w:outlineLvl w:val="0"/>
        <w:rPr>
          <w:rFonts w:hint="eastAsia" w:asciiTheme="minorEastAsia" w:hAnsiTheme="minorEastAsia" w:eastAsiaTheme="minorEastAsia"/>
          <w:b/>
          <w:color w:val="auto"/>
          <w:sz w:val="28"/>
          <w:highlight w:val="none"/>
        </w:rPr>
      </w:pPr>
    </w:p>
    <w:p w14:paraId="5B9B567C">
      <w:pPr>
        <w:spacing w:line="360" w:lineRule="auto"/>
        <w:jc w:val="center"/>
        <w:outlineLvl w:val="0"/>
        <w:rPr>
          <w:rFonts w:hint="eastAsia" w:asciiTheme="minorEastAsia" w:hAnsiTheme="minorEastAsia" w:eastAsiaTheme="minorEastAsia"/>
          <w:b/>
          <w:color w:val="auto"/>
          <w:sz w:val="28"/>
          <w:highlight w:val="none"/>
        </w:rPr>
      </w:pPr>
    </w:p>
    <w:p w14:paraId="48C37080">
      <w:pPr>
        <w:spacing w:line="360" w:lineRule="auto"/>
        <w:jc w:val="center"/>
        <w:outlineLvl w:val="0"/>
        <w:rPr>
          <w:rFonts w:hint="eastAsia" w:asciiTheme="minorEastAsia" w:hAnsiTheme="minorEastAsia" w:eastAsiaTheme="minorEastAsia"/>
          <w:b/>
          <w:color w:val="auto"/>
          <w:sz w:val="28"/>
          <w:highlight w:val="none"/>
        </w:rPr>
      </w:pPr>
    </w:p>
    <w:p w14:paraId="5A9A5D77">
      <w:pPr>
        <w:pStyle w:val="24"/>
        <w:rPr>
          <w:rFonts w:hint="eastAsia" w:asciiTheme="minorEastAsia" w:hAnsiTheme="minorEastAsia" w:eastAsiaTheme="minorEastAsia"/>
          <w:b/>
          <w:color w:val="auto"/>
          <w:sz w:val="28"/>
          <w:highlight w:val="none"/>
        </w:rPr>
      </w:pPr>
    </w:p>
    <w:p w14:paraId="5278B64A">
      <w:pPr>
        <w:rPr>
          <w:rFonts w:hint="eastAsia"/>
          <w:color w:val="auto"/>
          <w:highlight w:val="none"/>
        </w:rPr>
      </w:pPr>
    </w:p>
    <w:p w14:paraId="676AAF16">
      <w:pPr>
        <w:spacing w:line="360" w:lineRule="auto"/>
        <w:jc w:val="center"/>
        <w:outlineLvl w:val="0"/>
        <w:rPr>
          <w:rFonts w:hint="eastAsia" w:asciiTheme="minorEastAsia" w:hAnsiTheme="minorEastAsia" w:eastAsiaTheme="minorEastAsia"/>
          <w:b/>
          <w:color w:val="auto"/>
          <w:sz w:val="28"/>
          <w:highlight w:val="none"/>
        </w:rPr>
      </w:pPr>
    </w:p>
    <w:p w14:paraId="305FD748">
      <w:pPr>
        <w:spacing w:line="360" w:lineRule="auto"/>
        <w:jc w:val="center"/>
        <w:outlineLvl w:val="0"/>
        <w:rPr>
          <w:rFonts w:hint="eastAsia" w:asciiTheme="minorEastAsia" w:hAnsiTheme="minorEastAsia" w:eastAsiaTheme="minorEastAsia"/>
          <w:b/>
          <w:color w:val="auto"/>
          <w:sz w:val="28"/>
          <w:highlight w:val="none"/>
        </w:rPr>
      </w:pPr>
    </w:p>
    <w:p w14:paraId="63EB2728">
      <w:pPr>
        <w:spacing w:line="360" w:lineRule="auto"/>
        <w:jc w:val="center"/>
        <w:outlineLvl w:val="0"/>
        <w:rPr>
          <w:rFonts w:hint="eastAsia" w:asciiTheme="minorEastAsia" w:hAnsiTheme="minorEastAsia" w:eastAsiaTheme="minorEastAsia"/>
          <w:b/>
          <w:color w:val="auto"/>
          <w:sz w:val="28"/>
          <w:highlight w:val="none"/>
        </w:rPr>
      </w:pPr>
    </w:p>
    <w:p w14:paraId="4391A57C">
      <w:pPr>
        <w:spacing w:line="360" w:lineRule="auto"/>
        <w:jc w:val="center"/>
        <w:outlineLvl w:val="0"/>
        <w:rPr>
          <w:rFonts w:asciiTheme="minorEastAsia" w:hAnsiTheme="minorEastAsia" w:eastAsiaTheme="minorEastAsia"/>
          <w:b/>
          <w:color w:val="auto"/>
          <w:sz w:val="28"/>
          <w:highlight w:val="none"/>
        </w:rPr>
      </w:pPr>
      <w:bookmarkStart w:id="52" w:name="_Toc1799"/>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9"/>
      <w:bookmarkEnd w:id="50"/>
      <w:bookmarkEnd w:id="52"/>
    </w:p>
    <w:p w14:paraId="14305299">
      <w:pPr>
        <w:spacing w:line="360" w:lineRule="auto"/>
        <w:rPr>
          <w:rFonts w:hint="eastAsia" w:ascii="华文中宋" w:hAnsi="华文中宋" w:eastAsia="华文中宋"/>
          <w:b/>
          <w:bCs/>
          <w:color w:val="auto"/>
          <w:sz w:val="48"/>
          <w:szCs w:val="48"/>
          <w:highlight w:val="none"/>
        </w:rPr>
      </w:pPr>
      <w:bookmarkStart w:id="53" w:name="_Toc29374"/>
      <w:r>
        <w:rPr>
          <w:rFonts w:hint="eastAsia" w:ascii="仿宋_GB2312" w:eastAsia="仿宋_GB2312"/>
          <w:b/>
          <w:color w:val="auto"/>
          <w:sz w:val="32"/>
          <w:szCs w:val="32"/>
          <w:highlight w:val="none"/>
        </w:rPr>
        <w:t>（ＧＦ－2012－0202）</w:t>
      </w:r>
    </w:p>
    <w:p w14:paraId="7BE20A3D">
      <w:pPr>
        <w:spacing w:line="360" w:lineRule="auto"/>
        <w:jc w:val="center"/>
        <w:rPr>
          <w:rFonts w:hint="eastAsia" w:ascii="华文中宋" w:hAnsi="华文中宋" w:eastAsia="华文中宋"/>
          <w:b/>
          <w:bCs/>
          <w:color w:val="auto"/>
          <w:sz w:val="48"/>
          <w:szCs w:val="48"/>
          <w:highlight w:val="none"/>
        </w:rPr>
      </w:pPr>
    </w:p>
    <w:p w14:paraId="1B9E95DD">
      <w:pPr>
        <w:spacing w:line="360" w:lineRule="auto"/>
        <w:jc w:val="center"/>
        <w:rPr>
          <w:rFonts w:hint="eastAsia" w:ascii="华文中宋" w:hAnsi="华文中宋" w:eastAsia="华文中宋"/>
          <w:b/>
          <w:bCs/>
          <w:color w:val="auto"/>
          <w:sz w:val="52"/>
          <w:szCs w:val="52"/>
          <w:highlight w:val="none"/>
        </w:rPr>
      </w:pPr>
      <w:r>
        <w:rPr>
          <w:rFonts w:hint="eastAsia" w:ascii="华文中宋" w:hAnsi="华文中宋" w:eastAsia="华文中宋"/>
          <w:b/>
          <w:bCs/>
          <w:color w:val="auto"/>
          <w:sz w:val="52"/>
          <w:szCs w:val="52"/>
          <w:highlight w:val="none"/>
        </w:rPr>
        <w:t>建设工程监理合同</w:t>
      </w:r>
    </w:p>
    <w:p w14:paraId="59487750">
      <w:pPr>
        <w:spacing w:line="360" w:lineRule="auto"/>
        <w:jc w:val="center"/>
        <w:rPr>
          <w:rFonts w:hint="eastAsia" w:ascii="华文楷体" w:hAnsi="华文楷体" w:eastAsia="华文楷体"/>
          <w:b/>
          <w:bCs/>
          <w:color w:val="auto"/>
          <w:sz w:val="52"/>
          <w:szCs w:val="52"/>
          <w:highlight w:val="none"/>
        </w:rPr>
      </w:pPr>
      <w:r>
        <w:rPr>
          <w:rFonts w:hint="eastAsia" w:ascii="华文楷体" w:hAnsi="华文楷体" w:eastAsia="华文楷体"/>
          <w:b/>
          <w:bCs/>
          <w:color w:val="auto"/>
          <w:sz w:val="52"/>
          <w:szCs w:val="52"/>
          <w:highlight w:val="none"/>
          <w:lang w:eastAsia="zh-CN"/>
        </w:rPr>
        <w:t>（</w:t>
      </w:r>
      <w:r>
        <w:rPr>
          <w:rFonts w:hint="eastAsia" w:ascii="华文楷体" w:hAnsi="华文楷体" w:eastAsia="华文楷体"/>
          <w:b/>
          <w:bCs/>
          <w:color w:val="auto"/>
          <w:sz w:val="52"/>
          <w:szCs w:val="52"/>
          <w:highlight w:val="none"/>
        </w:rPr>
        <w:t>示范文本</w:t>
      </w:r>
      <w:r>
        <w:rPr>
          <w:rFonts w:hint="eastAsia" w:ascii="华文楷体" w:hAnsi="华文楷体" w:eastAsia="华文楷体"/>
          <w:b/>
          <w:bCs/>
          <w:color w:val="auto"/>
          <w:sz w:val="52"/>
          <w:szCs w:val="52"/>
          <w:highlight w:val="none"/>
          <w:lang w:eastAsia="zh-CN"/>
        </w:rPr>
        <w:t>）</w:t>
      </w:r>
    </w:p>
    <w:p w14:paraId="41321FE5">
      <w:pPr>
        <w:rPr>
          <w:rFonts w:hint="eastAsia"/>
          <w:color w:val="auto"/>
          <w:highlight w:val="none"/>
        </w:rPr>
      </w:pPr>
    </w:p>
    <w:p w14:paraId="7CA559D7">
      <w:pPr>
        <w:spacing w:line="360" w:lineRule="auto"/>
        <w:rPr>
          <w:rFonts w:hint="eastAsia" w:ascii="仿宋_GB2312" w:hAnsi="宋体" w:eastAsia="仿宋_GB2312"/>
          <w:b/>
          <w:bCs/>
          <w:color w:val="auto"/>
          <w:sz w:val="24"/>
          <w:highlight w:val="none"/>
        </w:rPr>
      </w:pPr>
    </w:p>
    <w:p w14:paraId="2858D136">
      <w:pPr>
        <w:pStyle w:val="24"/>
        <w:rPr>
          <w:rFonts w:hint="eastAsia" w:ascii="仿宋_GB2312" w:hAnsi="宋体" w:eastAsia="仿宋_GB2312"/>
          <w:b/>
          <w:bCs/>
          <w:color w:val="auto"/>
          <w:sz w:val="24"/>
          <w:highlight w:val="none"/>
        </w:rPr>
      </w:pPr>
    </w:p>
    <w:p w14:paraId="5053CB1C">
      <w:pPr>
        <w:rPr>
          <w:rFonts w:hint="eastAsia" w:ascii="仿宋_GB2312" w:hAnsi="宋体" w:eastAsia="仿宋_GB2312"/>
          <w:b/>
          <w:bCs/>
          <w:color w:val="auto"/>
          <w:sz w:val="24"/>
          <w:highlight w:val="none"/>
        </w:rPr>
      </w:pPr>
    </w:p>
    <w:p w14:paraId="7C758426">
      <w:pPr>
        <w:pStyle w:val="24"/>
        <w:rPr>
          <w:rFonts w:hint="eastAsia" w:ascii="仿宋_GB2312" w:hAnsi="宋体" w:eastAsia="仿宋_GB2312"/>
          <w:b/>
          <w:bCs/>
          <w:color w:val="auto"/>
          <w:sz w:val="24"/>
          <w:highlight w:val="none"/>
        </w:rPr>
      </w:pPr>
    </w:p>
    <w:p w14:paraId="5310F7F8">
      <w:pPr>
        <w:rPr>
          <w:rFonts w:hint="eastAsia" w:ascii="仿宋_GB2312" w:hAnsi="宋体" w:eastAsia="仿宋_GB2312"/>
          <w:b/>
          <w:bCs/>
          <w:color w:val="auto"/>
          <w:sz w:val="24"/>
          <w:highlight w:val="none"/>
        </w:rPr>
      </w:pPr>
    </w:p>
    <w:p w14:paraId="6DBE7952">
      <w:pPr>
        <w:pStyle w:val="24"/>
        <w:rPr>
          <w:rFonts w:hint="eastAsia" w:ascii="仿宋_GB2312" w:hAnsi="宋体" w:eastAsia="仿宋_GB2312"/>
          <w:b/>
          <w:bCs/>
          <w:color w:val="auto"/>
          <w:sz w:val="24"/>
          <w:highlight w:val="none"/>
        </w:rPr>
      </w:pPr>
    </w:p>
    <w:p w14:paraId="6BEC9359">
      <w:pPr>
        <w:rPr>
          <w:rFonts w:hint="eastAsia" w:ascii="仿宋_GB2312" w:hAnsi="宋体" w:eastAsia="仿宋_GB2312"/>
          <w:b/>
          <w:bCs/>
          <w:color w:val="auto"/>
          <w:sz w:val="24"/>
          <w:highlight w:val="none"/>
        </w:rPr>
      </w:pPr>
    </w:p>
    <w:p w14:paraId="5A72394D">
      <w:pPr>
        <w:pStyle w:val="24"/>
        <w:rPr>
          <w:rFonts w:hint="eastAsia" w:ascii="仿宋_GB2312" w:hAnsi="宋体" w:eastAsia="仿宋_GB2312"/>
          <w:b/>
          <w:bCs/>
          <w:color w:val="auto"/>
          <w:sz w:val="24"/>
          <w:highlight w:val="none"/>
        </w:rPr>
      </w:pPr>
    </w:p>
    <w:p w14:paraId="54DBD975">
      <w:pPr>
        <w:rPr>
          <w:rFonts w:hint="eastAsia" w:ascii="仿宋_GB2312" w:hAnsi="宋体" w:eastAsia="仿宋_GB2312"/>
          <w:b/>
          <w:bCs/>
          <w:color w:val="auto"/>
          <w:sz w:val="24"/>
          <w:highlight w:val="none"/>
        </w:rPr>
      </w:pPr>
    </w:p>
    <w:p w14:paraId="1853FA67">
      <w:pPr>
        <w:pStyle w:val="24"/>
        <w:rPr>
          <w:rFonts w:hint="eastAsia" w:ascii="仿宋_GB2312" w:hAnsi="宋体" w:eastAsia="仿宋_GB2312"/>
          <w:b/>
          <w:bCs/>
          <w:color w:val="auto"/>
          <w:sz w:val="24"/>
          <w:highlight w:val="none"/>
        </w:rPr>
      </w:pPr>
    </w:p>
    <w:p w14:paraId="5298676B">
      <w:pPr>
        <w:rPr>
          <w:rFonts w:hint="eastAsia" w:ascii="仿宋_GB2312" w:hAnsi="宋体" w:eastAsia="仿宋_GB2312"/>
          <w:b/>
          <w:bCs/>
          <w:color w:val="auto"/>
          <w:sz w:val="24"/>
          <w:highlight w:val="none"/>
        </w:rPr>
      </w:pPr>
    </w:p>
    <w:p w14:paraId="2111F276">
      <w:pPr>
        <w:pStyle w:val="24"/>
        <w:rPr>
          <w:rFonts w:hint="eastAsia" w:ascii="仿宋_GB2312" w:hAnsi="宋体" w:eastAsia="仿宋_GB2312"/>
          <w:b/>
          <w:bCs/>
          <w:color w:val="auto"/>
          <w:sz w:val="24"/>
          <w:highlight w:val="none"/>
        </w:rPr>
      </w:pPr>
    </w:p>
    <w:p w14:paraId="67BB3569">
      <w:pPr>
        <w:rPr>
          <w:rFonts w:hint="eastAsia" w:ascii="仿宋_GB2312" w:hAnsi="宋体" w:eastAsia="仿宋_GB2312"/>
          <w:b/>
          <w:bCs/>
          <w:color w:val="auto"/>
          <w:sz w:val="24"/>
          <w:highlight w:val="none"/>
        </w:rPr>
      </w:pPr>
    </w:p>
    <w:p w14:paraId="5CAFF7DE">
      <w:pPr>
        <w:pStyle w:val="24"/>
        <w:rPr>
          <w:rFonts w:hint="eastAsia"/>
          <w:color w:val="auto"/>
          <w:highlight w:val="none"/>
        </w:rPr>
      </w:pPr>
    </w:p>
    <w:p w14:paraId="29F054B8">
      <w:pPr>
        <w:spacing w:line="360" w:lineRule="auto"/>
        <w:jc w:val="center"/>
        <w:rPr>
          <w:rFonts w:hint="eastAsia" w:ascii="华文中宋" w:hAnsi="华文中宋" w:eastAsia="华文中宋"/>
          <w:b/>
          <w:color w:val="auto"/>
          <w:highlight w:val="none"/>
        </w:rPr>
      </w:pPr>
      <w:r>
        <w:rPr>
          <w:rFonts w:hint="eastAsia" w:ascii="仿宋_GB2312" w:hAnsi="宋体" w:eastAsia="仿宋_GB2312"/>
          <w:b/>
          <w:bCs/>
          <w:color w:val="auto"/>
          <w:sz w:val="32"/>
          <w:szCs w:val="32"/>
          <w:highlight w:val="none"/>
        </w:rPr>
        <w:t xml:space="preserve">  </w:t>
      </w:r>
      <w:r>
        <w:rPr>
          <w:rFonts w:hint="eastAsia" w:ascii="华文中宋" w:hAnsi="华文中宋" w:eastAsia="华文中宋"/>
          <w:b/>
          <w:bCs/>
          <w:color w:val="auto"/>
          <w:sz w:val="32"/>
          <w:szCs w:val="32"/>
          <w:highlight w:val="none"/>
        </w:rPr>
        <w:t>住房和城乡建设部</w:t>
      </w:r>
    </w:p>
    <w:p w14:paraId="66824C2A">
      <w:pPr>
        <w:spacing w:line="360" w:lineRule="auto"/>
        <w:jc w:val="center"/>
        <w:rPr>
          <w:rFonts w:hint="eastAsia" w:ascii="华文中宋" w:hAnsi="华文中宋" w:eastAsia="华文中宋"/>
          <w:b/>
          <w:color w:val="auto"/>
          <w:sz w:val="32"/>
          <w:szCs w:val="32"/>
          <w:highlight w:val="none"/>
        </w:rPr>
      </w:pPr>
      <w:r>
        <w:rPr>
          <w:rFonts w:hint="eastAsia" w:ascii="华文中宋" w:hAnsi="华文中宋" w:eastAsia="华文中宋"/>
          <w:b/>
          <w:color w:val="auto"/>
          <w:highlight w:val="none"/>
        </w:rPr>
        <w:t xml:space="preserve">                                                          </w:t>
      </w:r>
      <w:r>
        <w:rPr>
          <w:rFonts w:hint="eastAsia" w:ascii="华文中宋" w:hAnsi="华文中宋" w:eastAsia="华文中宋"/>
          <w:b/>
          <w:color w:val="auto"/>
          <w:sz w:val="32"/>
          <w:szCs w:val="32"/>
          <w:highlight w:val="none"/>
        </w:rPr>
        <w:t>制定</w:t>
      </w:r>
    </w:p>
    <w:p w14:paraId="1FFAF9E0">
      <w:pPr>
        <w:spacing w:line="360" w:lineRule="auto"/>
        <w:jc w:val="center"/>
        <w:rPr>
          <w:rFonts w:hint="eastAsia" w:ascii="华文中宋" w:hAnsi="华文中宋" w:eastAsia="华文中宋"/>
          <w:b/>
          <w:color w:val="auto"/>
          <w:highlight w:val="none"/>
        </w:rPr>
      </w:pPr>
      <w:r>
        <w:rPr>
          <w:rFonts w:hint="eastAsia" w:ascii="华文中宋" w:hAnsi="华文中宋" w:eastAsia="华文中宋"/>
          <w:b/>
          <w:bCs/>
          <w:color w:val="auto"/>
          <w:sz w:val="32"/>
          <w:szCs w:val="32"/>
          <w:highlight w:val="none"/>
        </w:rPr>
        <w:t xml:space="preserve">   国家工商行政管理总局</w:t>
      </w:r>
    </w:p>
    <w:p w14:paraId="0D432DD0">
      <w:pPr>
        <w:rPr>
          <w:rFonts w:hint="eastAsia"/>
          <w:color w:val="auto"/>
          <w:highlight w:val="none"/>
        </w:rPr>
      </w:pPr>
      <w:r>
        <w:rPr>
          <w:rFonts w:hint="eastAsia"/>
          <w:color w:val="auto"/>
          <w:highlight w:val="none"/>
        </w:rPr>
        <w:br w:type="page"/>
      </w:r>
    </w:p>
    <w:p w14:paraId="611F5C9B">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0"/>
        <w:rPr>
          <w:rFonts w:hint="eastAsia" w:ascii="仿宋_GB2312" w:hAnsi="宋体" w:eastAsia="仿宋_GB2312"/>
          <w:b/>
          <w:color w:val="auto"/>
          <w:sz w:val="13"/>
          <w:szCs w:val="13"/>
          <w:highlight w:val="none"/>
        </w:rPr>
      </w:pPr>
      <w:r>
        <w:rPr>
          <w:rFonts w:hint="eastAsia" w:ascii="宋体" w:hAnsi="宋体" w:eastAsia="宋体" w:cs="宋体"/>
          <w:b/>
          <w:bCs/>
          <w:color w:val="auto"/>
          <w:sz w:val="32"/>
          <w:szCs w:val="32"/>
          <w:highlight w:val="none"/>
        </w:rPr>
        <w:t xml:space="preserve"> </w:t>
      </w:r>
      <w:bookmarkStart w:id="54" w:name="_Toc7788"/>
      <w:bookmarkStart w:id="55" w:name="_Toc26827"/>
      <w:bookmarkStart w:id="56" w:name="_Toc19644"/>
      <w:r>
        <w:rPr>
          <w:rFonts w:hint="eastAsia" w:ascii="宋体" w:hAnsi="宋体" w:eastAsia="宋体" w:cs="宋体"/>
          <w:b/>
          <w:bCs/>
          <w:color w:val="auto"/>
          <w:sz w:val="32"/>
          <w:szCs w:val="32"/>
          <w:highlight w:val="none"/>
        </w:rPr>
        <w:t>第一部分  协议书</w:t>
      </w:r>
      <w:bookmarkEnd w:id="54"/>
      <w:bookmarkEnd w:id="55"/>
      <w:bookmarkEnd w:id="56"/>
    </w:p>
    <w:p w14:paraId="040D027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委托人（全称）：</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 xml:space="preserve">   </w:t>
      </w:r>
    </w:p>
    <w:p w14:paraId="3765373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监理人（全称）：</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p>
    <w:p w14:paraId="410423E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中华人民共和国民法典</w:t>
      </w:r>
      <w:r>
        <w:rPr>
          <w:rFonts w:hint="eastAsia" w:ascii="宋体" w:hAnsi="宋体" w:eastAsia="宋体" w:cs="宋体"/>
          <w:color w:val="auto"/>
          <w:sz w:val="21"/>
          <w:szCs w:val="21"/>
          <w:highlight w:val="none"/>
        </w:rPr>
        <w:t>》、《中华人民共和国建筑法》及其他有关法律、法规，遵循平等、自愿、公平和诚信的原则，双方就下述工程委托监理与相关服务事项协商一致，订立本合同。</w:t>
      </w:r>
    </w:p>
    <w:p w14:paraId="0750FA6B">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left="0" w:leftChars="0" w:firstLine="422" w:firstLineChars="200"/>
        <w:jc w:val="left"/>
        <w:textAlignment w:val="auto"/>
        <w:outlineLvl w:val="0"/>
        <w:rPr>
          <w:rFonts w:hint="eastAsia" w:ascii="宋体" w:hAnsi="宋体" w:eastAsia="宋体" w:cs="宋体"/>
          <w:b/>
          <w:color w:val="auto"/>
          <w:sz w:val="21"/>
          <w:szCs w:val="21"/>
          <w:highlight w:val="none"/>
        </w:rPr>
      </w:pPr>
      <w:bookmarkStart w:id="57" w:name="_Toc30646"/>
      <w:bookmarkStart w:id="58" w:name="_Toc681"/>
      <w:bookmarkStart w:id="59" w:name="_Toc9153"/>
      <w:bookmarkStart w:id="60" w:name="_Toc20679"/>
      <w:r>
        <w:rPr>
          <w:rFonts w:hint="eastAsia" w:ascii="宋体" w:hAnsi="宋体" w:eastAsia="宋体" w:cs="宋体"/>
          <w:b/>
          <w:color w:val="auto"/>
          <w:sz w:val="21"/>
          <w:szCs w:val="21"/>
          <w:highlight w:val="none"/>
        </w:rPr>
        <w:t>一、工程概况</w:t>
      </w:r>
      <w:bookmarkEnd w:id="57"/>
      <w:bookmarkEnd w:id="58"/>
      <w:bookmarkEnd w:id="59"/>
      <w:bookmarkEnd w:id="60"/>
    </w:p>
    <w:p w14:paraId="024739A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工程名称：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151298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工程地点：</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D77100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工程规模：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7FA5BE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工程</w:t>
      </w:r>
      <w:r>
        <w:rPr>
          <w:rFonts w:hint="eastAsia" w:ascii="宋体" w:hAnsi="宋体" w:eastAsia="宋体" w:cs="宋体"/>
          <w:color w:val="auto"/>
          <w:kern w:val="0"/>
          <w:sz w:val="21"/>
          <w:szCs w:val="21"/>
          <w:highlight w:val="none"/>
        </w:rPr>
        <w:t>概算投资额或建筑安装工程费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0A51ED1">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left="0" w:leftChars="0" w:firstLine="422" w:firstLineChars="200"/>
        <w:jc w:val="left"/>
        <w:textAlignment w:val="auto"/>
        <w:outlineLvl w:val="0"/>
        <w:rPr>
          <w:rFonts w:hint="eastAsia" w:ascii="宋体" w:hAnsi="宋体" w:eastAsia="宋体" w:cs="宋体"/>
          <w:b/>
          <w:color w:val="auto"/>
          <w:sz w:val="21"/>
          <w:szCs w:val="21"/>
          <w:highlight w:val="none"/>
        </w:rPr>
      </w:pPr>
      <w:bookmarkStart w:id="61" w:name="_Toc9664"/>
      <w:bookmarkStart w:id="62" w:name="_Toc5109"/>
      <w:r>
        <w:rPr>
          <w:rFonts w:hint="eastAsia" w:ascii="宋体" w:hAnsi="宋体" w:eastAsia="宋体" w:cs="宋体"/>
          <w:b/>
          <w:color w:val="auto"/>
          <w:sz w:val="21"/>
          <w:szCs w:val="21"/>
          <w:highlight w:val="none"/>
        </w:rPr>
        <w:t>二、词语限定</w:t>
      </w:r>
      <w:bookmarkEnd w:id="61"/>
      <w:bookmarkEnd w:id="62"/>
    </w:p>
    <w:p w14:paraId="197C512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协议书中相关词语的含义与通用条件中的定义与解释相同。</w:t>
      </w:r>
    </w:p>
    <w:p w14:paraId="03205D69">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left="0" w:leftChars="0" w:firstLine="422" w:firstLineChars="200"/>
        <w:jc w:val="left"/>
        <w:textAlignment w:val="auto"/>
        <w:outlineLvl w:val="0"/>
        <w:rPr>
          <w:rFonts w:hint="eastAsia" w:ascii="宋体" w:hAnsi="宋体" w:eastAsia="宋体" w:cs="宋体"/>
          <w:b/>
          <w:color w:val="auto"/>
          <w:sz w:val="21"/>
          <w:szCs w:val="21"/>
          <w:highlight w:val="none"/>
        </w:rPr>
      </w:pPr>
      <w:bookmarkStart w:id="63" w:name="_Toc22199"/>
      <w:bookmarkStart w:id="64" w:name="_Toc25843"/>
      <w:bookmarkStart w:id="65" w:name="_Toc21994"/>
      <w:bookmarkStart w:id="66" w:name="_Toc28974"/>
      <w:r>
        <w:rPr>
          <w:rFonts w:hint="eastAsia" w:ascii="宋体" w:hAnsi="宋体" w:eastAsia="宋体" w:cs="宋体"/>
          <w:b/>
          <w:color w:val="auto"/>
          <w:sz w:val="21"/>
          <w:szCs w:val="21"/>
          <w:highlight w:val="none"/>
        </w:rPr>
        <w:t>三、组成本合同的文件</w:t>
      </w:r>
      <w:bookmarkEnd w:id="63"/>
      <w:bookmarkEnd w:id="64"/>
      <w:bookmarkEnd w:id="65"/>
      <w:bookmarkEnd w:id="66"/>
    </w:p>
    <w:p w14:paraId="308FD1F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协议书；</w:t>
      </w:r>
    </w:p>
    <w:p w14:paraId="540186B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中标通知书（适用于招标工程）或委托书（适用于非招标工程）；</w:t>
      </w:r>
    </w:p>
    <w:p w14:paraId="6D8FEB6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投标文件（适用于招标工程）或监理与相关服务建议书（适用于非招标工程）；</w:t>
      </w:r>
    </w:p>
    <w:p w14:paraId="6081D9E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专用条件；</w:t>
      </w:r>
    </w:p>
    <w:p w14:paraId="1253D3B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通用条件；</w:t>
      </w:r>
    </w:p>
    <w:p w14:paraId="3264371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附录，即：</w:t>
      </w:r>
    </w:p>
    <w:p w14:paraId="05DBFCF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附录A  相关服务的范围和内容</w:t>
      </w:r>
    </w:p>
    <w:p w14:paraId="6A3835A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附录B  委托人派遣的人员和提供的</w:t>
      </w:r>
      <w:r>
        <w:rPr>
          <w:rFonts w:hint="eastAsia" w:ascii="宋体" w:hAnsi="宋体" w:eastAsia="宋体" w:cs="宋体"/>
          <w:bCs/>
          <w:color w:val="auto"/>
          <w:sz w:val="21"/>
          <w:szCs w:val="21"/>
          <w:highlight w:val="none"/>
        </w:rPr>
        <w:t>房屋、资料</w:t>
      </w:r>
      <w:r>
        <w:rPr>
          <w:rFonts w:hint="eastAsia" w:ascii="宋体" w:hAnsi="宋体" w:eastAsia="宋体" w:cs="宋体"/>
          <w:color w:val="auto"/>
          <w:sz w:val="21"/>
          <w:szCs w:val="21"/>
          <w:highlight w:val="none"/>
        </w:rPr>
        <w:t>、设备</w:t>
      </w:r>
    </w:p>
    <w:p w14:paraId="2EA7E96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本合同签订后，双方依法签订的补充协议也是本合同文件的组成部分。</w:t>
      </w:r>
    </w:p>
    <w:p w14:paraId="03372ED5">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left="0" w:leftChars="0" w:firstLine="422" w:firstLineChars="200"/>
        <w:jc w:val="left"/>
        <w:textAlignment w:val="auto"/>
        <w:outlineLvl w:val="0"/>
        <w:rPr>
          <w:rFonts w:hint="eastAsia" w:ascii="宋体" w:hAnsi="宋体" w:eastAsia="宋体" w:cs="宋体"/>
          <w:b/>
          <w:color w:val="auto"/>
          <w:sz w:val="21"/>
          <w:szCs w:val="21"/>
          <w:highlight w:val="none"/>
        </w:rPr>
      </w:pPr>
      <w:bookmarkStart w:id="67" w:name="_Toc32346"/>
      <w:bookmarkStart w:id="68" w:name="_Toc1406"/>
      <w:bookmarkStart w:id="69" w:name="_Toc16696"/>
      <w:bookmarkStart w:id="70" w:name="_Toc7338"/>
      <w:r>
        <w:rPr>
          <w:rFonts w:hint="eastAsia" w:ascii="宋体" w:hAnsi="宋体" w:eastAsia="宋体" w:cs="宋体"/>
          <w:b/>
          <w:color w:val="auto"/>
          <w:sz w:val="21"/>
          <w:szCs w:val="21"/>
          <w:highlight w:val="none"/>
        </w:rPr>
        <w:t>四、总监理工程师</w:t>
      </w:r>
      <w:bookmarkEnd w:id="67"/>
      <w:bookmarkEnd w:id="68"/>
      <w:bookmarkEnd w:id="69"/>
      <w:bookmarkEnd w:id="70"/>
    </w:p>
    <w:p w14:paraId="01D67EB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总监理工程师姓名：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，身份证号码：</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，注册号：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3F2A59A">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left="0" w:leftChars="0" w:firstLine="422" w:firstLineChars="200"/>
        <w:jc w:val="left"/>
        <w:textAlignment w:val="auto"/>
        <w:outlineLvl w:val="0"/>
        <w:rPr>
          <w:rFonts w:hint="eastAsia" w:ascii="宋体" w:hAnsi="宋体" w:eastAsia="宋体" w:cs="宋体"/>
          <w:b/>
          <w:color w:val="auto"/>
          <w:sz w:val="21"/>
          <w:szCs w:val="21"/>
          <w:highlight w:val="none"/>
        </w:rPr>
      </w:pPr>
      <w:bookmarkStart w:id="71" w:name="_Toc30508"/>
      <w:bookmarkStart w:id="72" w:name="_Toc16314"/>
      <w:bookmarkStart w:id="73" w:name="_Toc21587"/>
      <w:bookmarkStart w:id="74" w:name="_Toc12474"/>
      <w:r>
        <w:rPr>
          <w:rFonts w:hint="eastAsia" w:ascii="宋体" w:hAnsi="宋体" w:eastAsia="宋体" w:cs="宋体"/>
          <w:b/>
          <w:color w:val="auto"/>
          <w:sz w:val="21"/>
          <w:szCs w:val="21"/>
          <w:highlight w:val="none"/>
        </w:rPr>
        <w:t>五、签约酬金</w:t>
      </w:r>
      <w:bookmarkEnd w:id="71"/>
      <w:bookmarkEnd w:id="72"/>
      <w:bookmarkEnd w:id="73"/>
      <w:bookmarkEnd w:id="74"/>
    </w:p>
    <w:p w14:paraId="099C3CF0">
      <w:pPr>
        <w:keepNext w:val="0"/>
        <w:keepLines w:val="0"/>
        <w:pageBreakBefore w:val="0"/>
        <w:widowControl/>
        <w:kinsoku/>
        <w:wordWrap/>
        <w:overflowPunct/>
        <w:topLinePunct w:val="0"/>
        <w:autoSpaceDE/>
        <w:autoSpaceDN/>
        <w:bidi w:val="0"/>
        <w:adjustRightInd w:val="0"/>
        <w:spacing w:line="440" w:lineRule="exact"/>
        <w:ind w:firstLine="422" w:firstLineChars="200"/>
        <w:jc w:val="left"/>
        <w:textAlignment w:val="auto"/>
        <w:rPr>
          <w:rFonts w:hint="eastAsia" w:ascii="宋体" w:hAnsi="宋体" w:eastAsia="宋体" w:cs="宋体"/>
          <w:b/>
          <w:color w:val="auto"/>
          <w:szCs w:val="21"/>
          <w:highlight w:val="none"/>
          <w:lang w:eastAsia="zh-CN" w:bidi="ar-SA"/>
        </w:rPr>
      </w:pPr>
      <w:r>
        <w:rPr>
          <w:rFonts w:hint="eastAsia" w:ascii="宋体" w:hAnsi="宋体" w:eastAsia="宋体" w:cs="宋体"/>
          <w:b/>
          <w:color w:val="auto"/>
          <w:szCs w:val="21"/>
          <w:highlight w:val="none"/>
          <w:lang w:bidi="ar-SA"/>
        </w:rPr>
        <w:t>本工程监理费用</w:t>
      </w:r>
      <w:r>
        <w:rPr>
          <w:rFonts w:hint="eastAsia" w:ascii="宋体" w:hAnsi="宋体" w:eastAsia="宋体" w:cs="宋体"/>
          <w:b/>
          <w:color w:val="auto"/>
          <w:szCs w:val="21"/>
          <w:highlight w:val="none"/>
          <w:lang w:val="en-US" w:eastAsia="zh-CN" w:bidi="ar-SA"/>
        </w:rPr>
        <w:t>为</w:t>
      </w:r>
      <w:r>
        <w:rPr>
          <w:rFonts w:hint="eastAsia" w:ascii="宋体" w:hAnsi="宋体" w:eastAsia="宋体" w:cs="宋体"/>
          <w:b/>
          <w:color w:val="auto"/>
          <w:szCs w:val="21"/>
          <w:highlight w:val="none"/>
          <w:lang w:bidi="ar-SA"/>
        </w:rPr>
        <w:t>国家发展改革委、建设部＜关于印发建设工程监理与相关收费管理规定＞的通知（发改价格【2007】670号）规定的价格标准的</w:t>
      </w:r>
      <w:r>
        <w:rPr>
          <w:rFonts w:hint="eastAsia" w:ascii="宋体" w:hAnsi="宋体" w:eastAsia="宋体" w:cs="宋体"/>
          <w:b/>
          <w:color w:val="auto"/>
          <w:szCs w:val="21"/>
          <w:highlight w:val="none"/>
          <w:u w:val="single"/>
          <w:lang w:bidi="ar-SA"/>
        </w:rPr>
        <w:t xml:space="preserve">     </w:t>
      </w:r>
      <w:r>
        <w:rPr>
          <w:rFonts w:hint="eastAsia" w:ascii="宋体" w:hAnsi="宋体" w:eastAsia="宋体" w:cs="宋体"/>
          <w:b/>
          <w:color w:val="auto"/>
          <w:szCs w:val="21"/>
          <w:highlight w:val="none"/>
          <w:lang w:bidi="ar-SA"/>
        </w:rPr>
        <w:t>%</w:t>
      </w:r>
      <w:r>
        <w:rPr>
          <w:rFonts w:hint="eastAsia" w:ascii="宋体" w:hAnsi="宋体" w:eastAsia="宋体" w:cs="宋体"/>
          <w:b/>
          <w:color w:val="auto"/>
          <w:szCs w:val="21"/>
          <w:highlight w:val="none"/>
          <w:lang w:eastAsia="zh-CN" w:bidi="ar-SA"/>
        </w:rPr>
        <w:t>；</w:t>
      </w:r>
    </w:p>
    <w:p w14:paraId="5ADE16A2">
      <w:pPr>
        <w:keepNext w:val="0"/>
        <w:keepLines w:val="0"/>
        <w:pageBreakBefore w:val="0"/>
        <w:widowControl/>
        <w:kinsoku/>
        <w:wordWrap/>
        <w:overflowPunct/>
        <w:topLinePunct w:val="0"/>
        <w:autoSpaceDE/>
        <w:autoSpaceDN/>
        <w:bidi w:val="0"/>
        <w:adjustRightInd w:val="0"/>
        <w:spacing w:line="440" w:lineRule="exact"/>
        <w:ind w:firstLine="422" w:firstLineChars="200"/>
        <w:jc w:val="left"/>
        <w:textAlignment w:val="auto"/>
        <w:rPr>
          <w:rFonts w:hint="eastAsia" w:ascii="宋体" w:hAnsi="宋体" w:eastAsia="宋体" w:cs="宋体"/>
          <w:b/>
          <w:color w:val="auto"/>
          <w:szCs w:val="21"/>
          <w:highlight w:val="none"/>
          <w:lang w:val="en-US" w:eastAsia="zh-CN" w:bidi="ar-SA"/>
        </w:rPr>
      </w:pPr>
      <w:r>
        <w:rPr>
          <w:rFonts w:hint="eastAsia" w:ascii="宋体" w:hAnsi="宋体" w:eastAsia="宋体" w:cs="宋体"/>
          <w:b/>
          <w:color w:val="auto"/>
          <w:szCs w:val="21"/>
          <w:highlight w:val="none"/>
          <w:lang w:val="en-US" w:eastAsia="zh-CN" w:bidi="ar-SA"/>
        </w:rPr>
        <w:t>注：（1）本项目监理服务收费调整系数均为1.0。</w:t>
      </w:r>
    </w:p>
    <w:p w14:paraId="5F221673">
      <w:pPr>
        <w:keepNext w:val="0"/>
        <w:keepLines w:val="0"/>
        <w:pageBreakBefore w:val="0"/>
        <w:widowControl/>
        <w:kinsoku/>
        <w:wordWrap/>
        <w:overflowPunct/>
        <w:topLinePunct w:val="0"/>
        <w:autoSpaceDE/>
        <w:autoSpaceDN/>
        <w:bidi w:val="0"/>
        <w:adjustRightInd w:val="0"/>
        <w:spacing w:line="440" w:lineRule="exact"/>
        <w:ind w:firstLine="422" w:firstLineChars="200"/>
        <w:jc w:val="left"/>
        <w:textAlignment w:val="auto"/>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val="en-US" w:eastAsia="zh-CN" w:bidi="ar-SA"/>
        </w:rPr>
        <w:t>（2）本项目监理费用按照中标费率计取监理费用，监理费率结算不做调整(初期暂以建安工程施工中标价为计算额计算监理费，最终支付以施工结算价为计费基数计算监理费）。无论任何原因导致的工期延长，委托人均不再增加监理费用</w:t>
      </w:r>
      <w:r>
        <w:rPr>
          <w:rFonts w:hint="eastAsia" w:ascii="宋体" w:hAnsi="宋体" w:eastAsia="宋体" w:cs="宋体"/>
          <w:b/>
          <w:color w:val="auto"/>
          <w:szCs w:val="21"/>
          <w:highlight w:val="none"/>
          <w:lang w:bidi="ar-SA"/>
        </w:rPr>
        <w:t>。</w:t>
      </w:r>
    </w:p>
    <w:p w14:paraId="7980329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w:t>
      </w:r>
    </w:p>
    <w:p w14:paraId="6BC5802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监理酬金：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6B04C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相关服务酬金：</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A71B40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52091EF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（1）勘察阶段服务</w:t>
      </w:r>
      <w:r>
        <w:rPr>
          <w:rFonts w:hint="eastAsia" w:ascii="宋体" w:hAnsi="宋体" w:eastAsia="宋体" w:cs="宋体"/>
          <w:color w:val="auto"/>
          <w:sz w:val="21"/>
          <w:szCs w:val="21"/>
          <w:highlight w:val="none"/>
        </w:rPr>
        <w:t>酬金：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90E9C1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（2）设计阶段服务</w:t>
      </w:r>
      <w:r>
        <w:rPr>
          <w:rFonts w:hint="eastAsia" w:ascii="宋体" w:hAnsi="宋体" w:eastAsia="宋体" w:cs="宋体"/>
          <w:color w:val="auto"/>
          <w:sz w:val="21"/>
          <w:szCs w:val="21"/>
          <w:highlight w:val="none"/>
        </w:rPr>
        <w:t>酬金：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DD22FA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（3）保修阶段服务</w:t>
      </w:r>
      <w:r>
        <w:rPr>
          <w:rFonts w:hint="eastAsia" w:ascii="宋体" w:hAnsi="宋体" w:eastAsia="宋体" w:cs="宋体"/>
          <w:color w:val="auto"/>
          <w:sz w:val="21"/>
          <w:szCs w:val="21"/>
          <w:highlight w:val="none"/>
        </w:rPr>
        <w:t>酬金：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C64824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其他相关服务酬金：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01BC9E8">
      <w:pPr>
        <w:keepNext w:val="0"/>
        <w:keepLines w:val="0"/>
        <w:pageBreakBefore w:val="0"/>
        <w:widowControl w:val="0"/>
        <w:kinsoku/>
        <w:wordWrap/>
        <w:overflowPunct/>
        <w:topLinePunct w:val="0"/>
        <w:autoSpaceDE/>
        <w:autoSpaceDN/>
        <w:bidi w:val="0"/>
        <w:adjustRightInd/>
        <w:snapToGrid/>
        <w:spacing w:before="95" w:beforeLines="30" w:after="95" w:afterLines="30" w:line="400" w:lineRule="exact"/>
        <w:ind w:left="0" w:leftChars="0" w:firstLine="422" w:firstLineChars="200"/>
        <w:jc w:val="left"/>
        <w:textAlignment w:val="auto"/>
        <w:outlineLvl w:val="0"/>
        <w:rPr>
          <w:rFonts w:hint="eastAsia" w:ascii="宋体" w:hAnsi="宋体" w:eastAsia="宋体" w:cs="宋体"/>
          <w:b/>
          <w:color w:val="auto"/>
          <w:sz w:val="21"/>
          <w:szCs w:val="21"/>
          <w:highlight w:val="none"/>
        </w:rPr>
      </w:pPr>
      <w:bookmarkStart w:id="75" w:name="_Toc16163"/>
      <w:bookmarkStart w:id="76" w:name="_Toc19082"/>
      <w:bookmarkStart w:id="77" w:name="_Toc13897"/>
      <w:bookmarkStart w:id="78" w:name="_Toc9390"/>
      <w:r>
        <w:rPr>
          <w:rFonts w:hint="eastAsia" w:ascii="宋体" w:hAnsi="宋体" w:eastAsia="宋体" w:cs="宋体"/>
          <w:b/>
          <w:color w:val="auto"/>
          <w:sz w:val="21"/>
          <w:szCs w:val="21"/>
          <w:highlight w:val="none"/>
        </w:rPr>
        <w:t>六、期限</w:t>
      </w:r>
      <w:bookmarkEnd w:id="75"/>
      <w:bookmarkEnd w:id="76"/>
      <w:bookmarkEnd w:id="77"/>
      <w:bookmarkEnd w:id="78"/>
    </w:p>
    <w:p w14:paraId="2F9BC1E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 </w:t>
      </w:r>
      <w:r>
        <w:rPr>
          <w:rFonts w:hint="eastAsia" w:ascii="宋体" w:hAnsi="宋体" w:eastAsia="宋体" w:cs="宋体"/>
          <w:color w:val="auto"/>
          <w:sz w:val="21"/>
          <w:szCs w:val="21"/>
          <w:highlight w:val="none"/>
        </w:rPr>
        <w:t>监理期限：自合同签订之日起至本质量缺陷责任期满截止。</w:t>
      </w:r>
    </w:p>
    <w:p w14:paraId="33FF21F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2. </w:t>
      </w:r>
      <w:r>
        <w:rPr>
          <w:rFonts w:hint="eastAsia" w:ascii="宋体" w:hAnsi="宋体" w:eastAsia="宋体" w:cs="宋体"/>
          <w:color w:val="auto"/>
          <w:sz w:val="21"/>
          <w:szCs w:val="21"/>
          <w:highlight w:val="none"/>
        </w:rPr>
        <w:t>相关服务期限：</w:t>
      </w:r>
    </w:p>
    <w:p w14:paraId="149CB33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（1）勘察阶段</w:t>
      </w:r>
      <w:r>
        <w:rPr>
          <w:rFonts w:hint="eastAsia" w:ascii="宋体" w:hAnsi="宋体" w:eastAsia="宋体" w:cs="宋体"/>
          <w:color w:val="auto"/>
          <w:sz w:val="21"/>
          <w:szCs w:val="21"/>
          <w:highlight w:val="none"/>
        </w:rPr>
        <w:t>服务期限自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日始，至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w:t>
      </w:r>
    </w:p>
    <w:p w14:paraId="31AE09E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（2）设计阶段</w:t>
      </w:r>
      <w:r>
        <w:rPr>
          <w:rFonts w:hint="eastAsia" w:ascii="宋体" w:hAnsi="宋体" w:eastAsia="宋体" w:cs="宋体"/>
          <w:color w:val="auto"/>
          <w:sz w:val="21"/>
          <w:szCs w:val="21"/>
          <w:highlight w:val="none"/>
        </w:rPr>
        <w:t>服务期限自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日始，至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w:t>
      </w:r>
    </w:p>
    <w:p w14:paraId="467B14F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（3）保修阶段</w:t>
      </w:r>
      <w:r>
        <w:rPr>
          <w:rFonts w:hint="eastAsia" w:ascii="宋体" w:hAnsi="宋体" w:eastAsia="宋体" w:cs="宋体"/>
          <w:color w:val="auto"/>
          <w:sz w:val="21"/>
          <w:szCs w:val="21"/>
          <w:highlight w:val="none"/>
        </w:rPr>
        <w:t>服务期限自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日始，至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w:t>
      </w:r>
    </w:p>
    <w:p w14:paraId="79FED34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其他相关服务期限自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日始，至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w:t>
      </w:r>
    </w:p>
    <w:p w14:paraId="426F0FF4">
      <w:pPr>
        <w:keepNext w:val="0"/>
        <w:keepLines w:val="0"/>
        <w:pageBreakBefore w:val="0"/>
        <w:widowControl w:val="0"/>
        <w:kinsoku/>
        <w:wordWrap/>
        <w:overflowPunct/>
        <w:topLinePunct w:val="0"/>
        <w:autoSpaceDE/>
        <w:autoSpaceDN/>
        <w:bidi w:val="0"/>
        <w:adjustRightInd/>
        <w:snapToGrid/>
        <w:spacing w:before="95" w:beforeLines="30" w:after="95" w:afterLines="30" w:line="400" w:lineRule="exact"/>
        <w:ind w:left="0" w:leftChars="0" w:firstLine="422" w:firstLineChars="200"/>
        <w:jc w:val="left"/>
        <w:textAlignment w:val="auto"/>
        <w:outlineLvl w:val="0"/>
        <w:rPr>
          <w:rFonts w:hint="eastAsia" w:ascii="宋体" w:hAnsi="宋体" w:eastAsia="宋体" w:cs="宋体"/>
          <w:b/>
          <w:color w:val="auto"/>
          <w:sz w:val="21"/>
          <w:szCs w:val="21"/>
          <w:highlight w:val="none"/>
          <w:lang w:val="en-US" w:eastAsia="zh-CN"/>
        </w:rPr>
      </w:pPr>
      <w:bookmarkStart w:id="79" w:name="_Toc27015"/>
      <w:bookmarkStart w:id="80" w:name="_Toc17782"/>
      <w:bookmarkStart w:id="81" w:name="_Toc3907"/>
      <w:bookmarkStart w:id="82" w:name="_Toc12274"/>
      <w:r>
        <w:rPr>
          <w:rFonts w:hint="eastAsia" w:ascii="宋体" w:hAnsi="宋体" w:eastAsia="宋体" w:cs="宋体"/>
          <w:b/>
          <w:color w:val="auto"/>
          <w:sz w:val="21"/>
          <w:szCs w:val="21"/>
          <w:highlight w:val="none"/>
        </w:rPr>
        <w:t>七、双方承诺</w:t>
      </w:r>
      <w:bookmarkEnd w:id="79"/>
      <w:bookmarkEnd w:id="80"/>
      <w:bookmarkEnd w:id="81"/>
      <w:bookmarkEnd w:id="82"/>
      <w:r>
        <w:rPr>
          <w:rFonts w:hint="eastAsia" w:ascii="宋体" w:hAnsi="宋体" w:eastAsia="宋体" w:cs="宋体"/>
          <w:b/>
          <w:color w:val="auto"/>
          <w:sz w:val="21"/>
          <w:szCs w:val="21"/>
          <w:highlight w:val="none"/>
          <w:lang w:val="en-US" w:eastAsia="zh-CN"/>
        </w:rPr>
        <w:t xml:space="preserve"> </w:t>
      </w:r>
    </w:p>
    <w:p w14:paraId="0E53C8BA">
      <w:pPr>
        <w:keepNext w:val="0"/>
        <w:keepLines w:val="0"/>
        <w:pageBreakBefore w:val="0"/>
        <w:widowControl w:val="0"/>
        <w:kinsoku/>
        <w:wordWrap/>
        <w:overflowPunct/>
        <w:topLinePunct w:val="0"/>
        <w:autoSpaceDE/>
        <w:autoSpaceDN/>
        <w:bidi w:val="0"/>
        <w:spacing w:line="400" w:lineRule="exact"/>
        <w:ind w:left="0" w:leftChars="0" w:firstLine="420" w:firstLineChars="200"/>
        <w:jc w:val="left"/>
        <w:textAlignment w:val="auto"/>
        <w:outlineLvl w:val="0"/>
        <w:rPr>
          <w:rFonts w:hint="eastAsia" w:ascii="宋体" w:hAnsi="宋体" w:eastAsia="宋体" w:cs="宋体"/>
          <w:b/>
          <w:color w:val="auto"/>
          <w:sz w:val="21"/>
          <w:szCs w:val="21"/>
          <w:highlight w:val="none"/>
        </w:rPr>
      </w:pPr>
      <w:bookmarkStart w:id="83" w:name="_Toc25648"/>
      <w:bookmarkStart w:id="84" w:name="_Toc5812"/>
      <w:bookmarkStart w:id="85" w:name="_Toc2209"/>
      <w:bookmarkStart w:id="86" w:name="_Toc17889"/>
      <w:r>
        <w:rPr>
          <w:rFonts w:hint="eastAsia" w:ascii="宋体" w:hAnsi="宋体" w:eastAsia="宋体" w:cs="宋体"/>
          <w:color w:val="auto"/>
          <w:sz w:val="21"/>
          <w:szCs w:val="21"/>
          <w:highlight w:val="none"/>
        </w:rPr>
        <w:t>1. 监理人向委托人承诺，按照本合同约定</w:t>
      </w:r>
      <w:r>
        <w:rPr>
          <w:rFonts w:hint="eastAsia" w:ascii="宋体" w:hAnsi="宋体" w:eastAsia="宋体" w:cs="宋体"/>
          <w:color w:val="auto"/>
          <w:kern w:val="0"/>
          <w:sz w:val="21"/>
          <w:szCs w:val="21"/>
          <w:highlight w:val="none"/>
        </w:rPr>
        <w:t>提供</w:t>
      </w:r>
      <w:r>
        <w:rPr>
          <w:rFonts w:hint="eastAsia" w:ascii="宋体" w:hAnsi="宋体" w:eastAsia="宋体" w:cs="宋体"/>
          <w:color w:val="auto"/>
          <w:sz w:val="21"/>
          <w:szCs w:val="21"/>
          <w:highlight w:val="none"/>
        </w:rPr>
        <w:t>监理与相关服务。</w:t>
      </w:r>
      <w:bookmarkEnd w:id="83"/>
      <w:bookmarkEnd w:id="84"/>
      <w:bookmarkEnd w:id="85"/>
      <w:bookmarkEnd w:id="86"/>
    </w:p>
    <w:p w14:paraId="25AE6ECE">
      <w:pPr>
        <w:keepNext w:val="0"/>
        <w:keepLines w:val="0"/>
        <w:pageBreakBefore w:val="0"/>
        <w:widowControl w:val="0"/>
        <w:kinsoku/>
        <w:wordWrap/>
        <w:overflowPunct/>
        <w:topLinePunct w:val="0"/>
        <w:autoSpaceDE/>
        <w:autoSpaceDN/>
        <w:bidi w:val="0"/>
        <w:spacing w:line="400" w:lineRule="exact"/>
        <w:ind w:left="0" w:leftChars="0" w:firstLine="420" w:firstLineChars="200"/>
        <w:jc w:val="left"/>
        <w:textAlignment w:val="auto"/>
        <w:outlineLvl w:val="0"/>
        <w:rPr>
          <w:rFonts w:hint="eastAsia" w:ascii="宋体" w:hAnsi="宋体" w:eastAsia="宋体" w:cs="宋体"/>
          <w:color w:val="auto"/>
          <w:sz w:val="21"/>
          <w:szCs w:val="21"/>
          <w:highlight w:val="none"/>
        </w:rPr>
      </w:pPr>
      <w:bookmarkStart w:id="87" w:name="_Toc11663"/>
      <w:bookmarkStart w:id="88" w:name="_Toc22188"/>
      <w:bookmarkStart w:id="89" w:name="_Toc3293"/>
      <w:bookmarkStart w:id="90" w:name="_Toc14048"/>
      <w:r>
        <w:rPr>
          <w:rFonts w:hint="eastAsia" w:ascii="宋体" w:hAnsi="宋体" w:eastAsia="宋体" w:cs="宋体"/>
          <w:color w:val="auto"/>
          <w:sz w:val="21"/>
          <w:szCs w:val="21"/>
          <w:highlight w:val="none"/>
        </w:rPr>
        <w:t>2. 委托人向监理人承诺，按照本合同约定派遣相应的人员，提供</w:t>
      </w:r>
      <w:r>
        <w:rPr>
          <w:rFonts w:hint="eastAsia" w:ascii="宋体" w:hAnsi="宋体" w:eastAsia="宋体" w:cs="宋体"/>
          <w:bCs/>
          <w:color w:val="auto"/>
          <w:sz w:val="21"/>
          <w:szCs w:val="21"/>
          <w:highlight w:val="none"/>
        </w:rPr>
        <w:t>房屋、资料</w:t>
      </w:r>
      <w:r>
        <w:rPr>
          <w:rFonts w:hint="eastAsia" w:ascii="宋体" w:hAnsi="宋体" w:eastAsia="宋体" w:cs="宋体"/>
          <w:color w:val="auto"/>
          <w:sz w:val="21"/>
          <w:szCs w:val="21"/>
          <w:highlight w:val="none"/>
        </w:rPr>
        <w:t>、设备，并按本合同约定支付酬金。</w:t>
      </w:r>
      <w:bookmarkEnd w:id="87"/>
      <w:bookmarkEnd w:id="88"/>
      <w:bookmarkEnd w:id="89"/>
      <w:bookmarkEnd w:id="90"/>
    </w:p>
    <w:p w14:paraId="2262876A">
      <w:pPr>
        <w:keepNext w:val="0"/>
        <w:keepLines w:val="0"/>
        <w:pageBreakBefore w:val="0"/>
        <w:widowControl w:val="0"/>
        <w:kinsoku/>
        <w:wordWrap/>
        <w:overflowPunct/>
        <w:topLinePunct w:val="0"/>
        <w:autoSpaceDE/>
        <w:autoSpaceDN/>
        <w:bidi w:val="0"/>
        <w:adjustRightInd/>
        <w:snapToGrid/>
        <w:spacing w:before="95" w:beforeLines="30" w:after="95" w:afterLines="30" w:line="400" w:lineRule="exact"/>
        <w:ind w:left="0" w:leftChars="0" w:firstLine="422" w:firstLineChars="200"/>
        <w:jc w:val="left"/>
        <w:textAlignment w:val="auto"/>
        <w:outlineLvl w:val="0"/>
        <w:rPr>
          <w:rFonts w:hint="eastAsia" w:ascii="宋体" w:hAnsi="宋体" w:eastAsia="宋体" w:cs="宋体"/>
          <w:b/>
          <w:color w:val="auto"/>
          <w:sz w:val="21"/>
          <w:szCs w:val="21"/>
          <w:highlight w:val="none"/>
        </w:rPr>
      </w:pPr>
      <w:bookmarkStart w:id="91" w:name="_Toc32139"/>
      <w:bookmarkStart w:id="92" w:name="_Toc31269"/>
      <w:bookmarkStart w:id="93" w:name="_Toc10244"/>
      <w:bookmarkStart w:id="94" w:name="_Toc5312"/>
      <w:r>
        <w:rPr>
          <w:rFonts w:hint="eastAsia" w:ascii="宋体" w:hAnsi="宋体" w:eastAsia="宋体" w:cs="宋体"/>
          <w:b/>
          <w:color w:val="auto"/>
          <w:sz w:val="21"/>
          <w:szCs w:val="21"/>
          <w:highlight w:val="none"/>
        </w:rPr>
        <w:t>八、合同订立</w:t>
      </w:r>
      <w:bookmarkEnd w:id="91"/>
      <w:bookmarkEnd w:id="92"/>
      <w:bookmarkEnd w:id="93"/>
      <w:bookmarkEnd w:id="94"/>
    </w:p>
    <w:p w14:paraId="36DD17E2">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FADEED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订立地点：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43E6B92">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份，具有同等法律效力，双方各执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02AFF36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p>
    <w:p w14:paraId="5235617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p>
    <w:p w14:paraId="71C8EF6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w:t>
      </w:r>
      <w:r>
        <w:rPr>
          <w:rFonts w:hint="eastAsia" w:ascii="宋体" w:hAnsi="宋体" w:eastAsia="宋体" w:cs="宋体"/>
          <w:color w:val="auto"/>
          <w:sz w:val="21"/>
          <w:szCs w:val="21"/>
          <w:highlight w:val="none"/>
          <w:u w:val="single"/>
        </w:rPr>
        <w:t xml:space="preserve">   （盖章）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监理人：</w:t>
      </w:r>
      <w:r>
        <w:rPr>
          <w:rFonts w:hint="eastAsia" w:ascii="宋体" w:hAnsi="宋体" w:eastAsia="宋体" w:cs="宋体"/>
          <w:color w:val="auto"/>
          <w:sz w:val="21"/>
          <w:szCs w:val="21"/>
          <w:highlight w:val="none"/>
          <w:u w:val="single"/>
        </w:rPr>
        <w:t xml:space="preserve">   （盖章）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E2171C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住所：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住所： </w:t>
      </w:r>
      <w:r>
        <w:rPr>
          <w:rFonts w:hint="eastAsia" w:ascii="宋体" w:hAnsi="宋体" w:eastAsia="宋体" w:cs="宋体"/>
          <w:color w:val="auto"/>
          <w:sz w:val="21"/>
          <w:szCs w:val="21"/>
          <w:highlight w:val="none"/>
          <w:u w:val="single"/>
        </w:rPr>
        <w:t xml:space="preserve">                      </w:t>
      </w:r>
    </w:p>
    <w:p w14:paraId="25FDF7B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282CCD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法定代表人或其授权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法定代表人或其授权</w:t>
      </w:r>
    </w:p>
    <w:p w14:paraId="6C048C1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的代理人：</w:t>
      </w:r>
      <w:r>
        <w:rPr>
          <w:rFonts w:hint="eastAsia" w:ascii="宋体" w:hAnsi="宋体" w:eastAsia="宋体" w:cs="宋体"/>
          <w:color w:val="auto"/>
          <w:sz w:val="21"/>
          <w:szCs w:val="21"/>
          <w:highlight w:val="none"/>
          <w:u w:val="single"/>
        </w:rPr>
        <w:t xml:space="preserve">（签字）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的代理人：</w:t>
      </w:r>
      <w:r>
        <w:rPr>
          <w:rFonts w:hint="eastAsia" w:ascii="宋体" w:hAnsi="宋体" w:eastAsia="宋体" w:cs="宋体"/>
          <w:color w:val="auto"/>
          <w:sz w:val="21"/>
          <w:szCs w:val="21"/>
          <w:highlight w:val="none"/>
          <w:u w:val="single"/>
        </w:rPr>
        <w:t xml:space="preserve">（签字）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D78AB7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C36672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p>
    <w:p w14:paraId="795CCEF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3F24C9A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465AF33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2D121CD1">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0"/>
        <w:rPr>
          <w:rFonts w:hint="eastAsia" w:ascii="宋体" w:hAnsi="宋体" w:eastAsia="宋体" w:cs="宋体"/>
          <w:b/>
          <w:bCs/>
          <w:color w:val="auto"/>
          <w:sz w:val="32"/>
          <w:szCs w:val="32"/>
          <w:highlight w:val="none"/>
        </w:rPr>
      </w:pPr>
      <w:bookmarkStart w:id="95" w:name="_Toc29801"/>
      <w:bookmarkStart w:id="96" w:name="_Toc2308"/>
    </w:p>
    <w:p w14:paraId="2EA26D60">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A585DDF">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0"/>
        <w:rPr>
          <w:rFonts w:hint="eastAsia" w:ascii="宋体" w:hAnsi="宋体" w:eastAsia="宋体" w:cs="宋体"/>
          <w:b/>
          <w:bCs/>
          <w:color w:val="auto"/>
          <w:sz w:val="32"/>
          <w:szCs w:val="32"/>
          <w:highlight w:val="none"/>
        </w:rPr>
      </w:pPr>
      <w:bookmarkStart w:id="97" w:name="_Toc23223"/>
      <w:r>
        <w:rPr>
          <w:rFonts w:hint="eastAsia" w:ascii="宋体" w:hAnsi="宋体" w:eastAsia="宋体" w:cs="宋体"/>
          <w:b/>
          <w:bCs/>
          <w:color w:val="auto"/>
          <w:sz w:val="32"/>
          <w:szCs w:val="32"/>
          <w:highlight w:val="none"/>
        </w:rPr>
        <w:t>第二部分  通用条件</w:t>
      </w:r>
      <w:bookmarkEnd w:id="95"/>
      <w:bookmarkEnd w:id="96"/>
      <w:bookmarkEnd w:id="97"/>
    </w:p>
    <w:p w14:paraId="750B97B4">
      <w:pPr>
        <w:keepNext w:val="0"/>
        <w:keepLines w:val="0"/>
        <w:pageBreakBefore w:val="0"/>
        <w:widowControl w:val="0"/>
        <w:kinsoku/>
        <w:wordWrap/>
        <w:overflowPunct/>
        <w:topLinePunct w:val="0"/>
        <w:autoSpaceDE/>
        <w:autoSpaceDN/>
        <w:bidi w:val="0"/>
        <w:spacing w:line="440" w:lineRule="exact"/>
        <w:ind w:left="0" w:leftChars="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定义与解释</w:t>
      </w:r>
    </w:p>
    <w:p w14:paraId="1256A932">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1.1 </w:t>
      </w:r>
      <w:r>
        <w:rPr>
          <w:rFonts w:hint="eastAsia" w:ascii="宋体" w:hAnsi="宋体" w:eastAsia="宋体" w:cs="宋体"/>
          <w:bCs/>
          <w:color w:val="auto"/>
          <w:sz w:val="21"/>
          <w:szCs w:val="21"/>
          <w:highlight w:val="none"/>
        </w:rPr>
        <w:t>定义</w:t>
      </w:r>
    </w:p>
    <w:p w14:paraId="62E9C34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除根据上下文另有其意义外，组成本合同的全部文件中的下列名词和用语应具有本款所赋予的含义：</w:t>
      </w:r>
    </w:p>
    <w:p w14:paraId="6F8858B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“工程”是指按照本合同约定实施监理与相关服务的建设工程。</w:t>
      </w:r>
    </w:p>
    <w:p w14:paraId="4A75D33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“委托人”是指本合同中委托监理与相关服务的一方，及其合法的继承人或受让人。</w:t>
      </w:r>
    </w:p>
    <w:p w14:paraId="42E72C3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“监理人”是指本合同中提供监理与相关服务的一方，及其合法的继承人。</w:t>
      </w:r>
    </w:p>
    <w:p w14:paraId="6057B5B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“承包人”是指在工程范围内与委托人签订勘察、设计、施工等有关合同的当事人，及其合法的继承人。</w:t>
      </w:r>
    </w:p>
    <w:p w14:paraId="5E6037E1">
      <w:pPr>
        <w:pStyle w:val="12"/>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477CA2C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 “相关服务”是指监理人受委托人的委托 ，按照本合同约定，在勘察、设计、保修等阶段提供的服务活动。</w:t>
      </w:r>
    </w:p>
    <w:p w14:paraId="42142F3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 “正常工作”指本合同订立时通用条件和专用条件中约定的监理人的工作。</w:t>
      </w:r>
    </w:p>
    <w:p w14:paraId="415462D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1.1.8 “附加工作”是指本合同约定的正常工作以外监理人的工作。</w:t>
      </w:r>
    </w:p>
    <w:p w14:paraId="6E190BB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1.1.9 “项目监理机构”是指监理人派驻工程负责履行本合同的组织机构。</w:t>
      </w:r>
    </w:p>
    <w:p w14:paraId="5AC93FE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1.1.10 “总监理工程师”是指由监理人的法定代表人书面授权，全面负责履行本合同、主持项目监理机构工作的注册监理工程师。</w:t>
      </w:r>
    </w:p>
    <w:p w14:paraId="68B0BDE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“酬金”是指监理人履行本合同义务，委托人按照本合同约定给付监理人的金额。</w:t>
      </w:r>
    </w:p>
    <w:p w14:paraId="176A2E8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“正常工作</w:t>
      </w:r>
      <w:r>
        <w:rPr>
          <w:rFonts w:hint="eastAsia" w:ascii="宋体" w:hAnsi="宋体" w:eastAsia="宋体" w:cs="宋体"/>
          <w:color w:val="auto"/>
          <w:kern w:val="0"/>
          <w:sz w:val="21"/>
          <w:szCs w:val="21"/>
          <w:highlight w:val="none"/>
        </w:rPr>
        <w:t>酬金”</w:t>
      </w:r>
      <w:r>
        <w:rPr>
          <w:rFonts w:hint="eastAsia" w:ascii="宋体" w:hAnsi="宋体" w:eastAsia="宋体" w:cs="宋体"/>
          <w:color w:val="auto"/>
          <w:sz w:val="21"/>
          <w:szCs w:val="21"/>
          <w:highlight w:val="none"/>
        </w:rPr>
        <w:t>是指监理人完成正常工作，委托人应给付监理人并在协议书中载明的签约</w:t>
      </w:r>
      <w:r>
        <w:rPr>
          <w:rFonts w:hint="eastAsia" w:ascii="宋体" w:hAnsi="宋体" w:eastAsia="宋体" w:cs="宋体"/>
          <w:color w:val="auto"/>
          <w:kern w:val="0"/>
          <w:sz w:val="21"/>
          <w:szCs w:val="21"/>
          <w:highlight w:val="none"/>
        </w:rPr>
        <w:t>酬金额</w:t>
      </w:r>
      <w:r>
        <w:rPr>
          <w:rFonts w:hint="eastAsia" w:ascii="宋体" w:hAnsi="宋体" w:eastAsia="宋体" w:cs="宋体"/>
          <w:color w:val="auto"/>
          <w:sz w:val="21"/>
          <w:szCs w:val="21"/>
          <w:highlight w:val="none"/>
        </w:rPr>
        <w:t>。</w:t>
      </w:r>
    </w:p>
    <w:p w14:paraId="3C326B4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1.1.13 “附加工作酬金”是指监理人完成附加工作，委托人应给付监理人的金额。</w:t>
      </w:r>
    </w:p>
    <w:p w14:paraId="30DB502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1.1.14 “一方”是指委托人或监理人；“双方”是指委托人和监理人；“第三方”是指除委托人和监理人以外的有关方。</w:t>
      </w:r>
    </w:p>
    <w:p w14:paraId="667A8E6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1.1.15 “书面形式”是指合同书、信件和数据电文（包括电报、电传、传真、电子数据交换和电子邮件）等可以有形地表现所载内容的形式。</w:t>
      </w:r>
    </w:p>
    <w:p w14:paraId="280C3E5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1.1.16 “天”是指第一天零时至第二天零时的时间。</w:t>
      </w:r>
    </w:p>
    <w:p w14:paraId="2CB86F5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1.1.17“月”是指按公历从一个月中任何一天开始的一个公历月时间。</w:t>
      </w:r>
    </w:p>
    <w:p w14:paraId="16F8A6B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0A5276F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1.2 </w:t>
      </w:r>
      <w:r>
        <w:rPr>
          <w:rFonts w:hint="eastAsia" w:ascii="宋体" w:hAnsi="宋体" w:eastAsia="宋体" w:cs="宋体"/>
          <w:color w:val="auto"/>
          <w:sz w:val="21"/>
          <w:szCs w:val="21"/>
          <w:highlight w:val="none"/>
        </w:rPr>
        <w:t>解释</w:t>
      </w:r>
    </w:p>
    <w:p w14:paraId="6EABD41F">
      <w:pPr>
        <w:keepNext w:val="0"/>
        <w:keepLines w:val="0"/>
        <w:pageBreakBefore w:val="0"/>
        <w:widowControl w:val="0"/>
        <w:tabs>
          <w:tab w:val="left" w:pos="6140"/>
        </w:tabs>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1.2.1本合同使用中文书写、解释和说明。如专用条件约定使用两种及以上语言文字时，应以中文为准。</w:t>
      </w:r>
    </w:p>
    <w:p w14:paraId="1994FF9B">
      <w:pPr>
        <w:keepNext w:val="0"/>
        <w:keepLines w:val="0"/>
        <w:pageBreakBefore w:val="0"/>
        <w:widowControl w:val="0"/>
        <w:tabs>
          <w:tab w:val="left" w:pos="6140"/>
        </w:tabs>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组成本合同的下列文件彼此应能相互解释、互为说明。除专用条件另有约定外，本合同文件的解释顺序如下：</w:t>
      </w:r>
    </w:p>
    <w:p w14:paraId="644CECD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（1）协议书；</w:t>
      </w:r>
    </w:p>
    <w:p w14:paraId="3C2A90C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（2）中标通知书（适用于招标工程）或委托书（适用于非招标工程）；</w:t>
      </w:r>
    </w:p>
    <w:p w14:paraId="0E900D8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（3）专用条件及附录A、附录B；</w:t>
      </w:r>
    </w:p>
    <w:p w14:paraId="67BCE10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（4）通用条件；</w:t>
      </w:r>
    </w:p>
    <w:p w14:paraId="79BC932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（5）投标文件（适用于招标工程）或监理与相关服务建议书（适用于非招标工程）。</w:t>
      </w:r>
    </w:p>
    <w:p w14:paraId="715E3A18">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双方签订的补充协议与其他文件发生矛盾或歧义时，属于同一类内容的文件，应以最新签署的为准。</w:t>
      </w:r>
    </w:p>
    <w:p w14:paraId="2E4FC278">
      <w:pPr>
        <w:keepNext w:val="0"/>
        <w:keepLines w:val="0"/>
        <w:pageBreakBefore w:val="0"/>
        <w:widowControl w:val="0"/>
        <w:kinsoku/>
        <w:wordWrap/>
        <w:overflowPunct/>
        <w:topLinePunct w:val="0"/>
        <w:autoSpaceDE/>
        <w:autoSpaceDN/>
        <w:bidi w:val="0"/>
        <w:spacing w:line="440" w:lineRule="exact"/>
        <w:ind w:left="0" w:leftChars="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监理人的义务</w:t>
      </w:r>
    </w:p>
    <w:p w14:paraId="2CFAD53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2.1 监理的范围和工作内容</w:t>
      </w:r>
    </w:p>
    <w:p w14:paraId="6321A51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 监理范围在专用条件中约定。</w:t>
      </w:r>
    </w:p>
    <w:p w14:paraId="294B185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 除专用条件另有约定外，监理工作内容包括：</w:t>
      </w:r>
    </w:p>
    <w:p w14:paraId="501139E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（1）收到工程设计文件后编制监理规划，并在第一次工地会议7天前报委托人。根据有关规定和监理工作需要，编制监理实施细则；</w:t>
      </w:r>
    </w:p>
    <w:p w14:paraId="559091B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（2）熟悉工程设计文件，并参加由委托人主持的图纸会审和设计交底会议；</w:t>
      </w:r>
    </w:p>
    <w:p w14:paraId="246D03A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（3）参加由委托人主持的第一次工地会议；主持监理例会并根据工程需要主持或参加专题会议；</w:t>
      </w:r>
    </w:p>
    <w:p w14:paraId="52DF153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（4）审查施工承包人提交的施工组织设计，重点审查其中的质量安全技术措施、专项施工方案与工程建设强制性标准的符合性；</w:t>
      </w:r>
    </w:p>
    <w:p w14:paraId="56C9E7D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（5）检查施工承包人工程质量、安全生产管理制度及组织机构和人员资格； </w:t>
      </w:r>
    </w:p>
    <w:p w14:paraId="58203A8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（6）检查施工承包人专职安全生产管理人员的配备情况；</w:t>
      </w:r>
    </w:p>
    <w:p w14:paraId="123ADF8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（7）审查施工承包人提交的施工进度计划，核查承包人对施工进度计划的调整；</w:t>
      </w:r>
    </w:p>
    <w:p w14:paraId="70A7980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（9）审核施工分包人资质条件；</w:t>
      </w:r>
    </w:p>
    <w:p w14:paraId="315809DF">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（10）查验施工承包人的施工测量放线成果；</w:t>
      </w:r>
    </w:p>
    <w:p w14:paraId="5D6F26C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（11）审查工程开工条件，对条件具备的签发开工令；</w:t>
      </w:r>
    </w:p>
    <w:p w14:paraId="22D8771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（12）审查施工承包人报送的工程材料、构配件、设备质量证明文件的有效性和符合性，并按规定对用于工程的材料采取平行检验或见证取样方式进行抽检；</w:t>
      </w:r>
    </w:p>
    <w:p w14:paraId="19AF374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（13）审核施工承包人提交的工程款支付申请，签发或出具工程款支付证书，并报委托人审核、批准；</w:t>
      </w:r>
    </w:p>
    <w:p w14:paraId="16981BB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（14）在巡视、旁站和检验过程中，发现工程质量、施工安全存在事故隐患的，要求施工承包人整改并报委托人；</w:t>
      </w:r>
    </w:p>
    <w:p w14:paraId="3A4C813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（15）经委托人同意，签发工程暂停令和复工令；</w:t>
      </w:r>
    </w:p>
    <w:p w14:paraId="7AD42F3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（16）审查施工承包人提交的采用新材料、新工艺、新技术、新设备的论证材料及相关验收标准；</w:t>
      </w:r>
    </w:p>
    <w:p w14:paraId="511CF79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（17）验收隐蔽工程、分部分项工程；</w:t>
      </w:r>
    </w:p>
    <w:p w14:paraId="1D96CA1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（18）审查施工承包人提交的工程变更申请，协调处理施工进度调整、费用索赔、合同争议等事项；</w:t>
      </w:r>
    </w:p>
    <w:p w14:paraId="2E58BAA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（19）审查施工承包人提交的竣工验收申请，编写工程质量评估报告；</w:t>
      </w:r>
    </w:p>
    <w:p w14:paraId="695BCFA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（20）参加工程竣工验收，签署竣工验收意见；</w:t>
      </w:r>
    </w:p>
    <w:p w14:paraId="771A9BB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（21）审查施工承包人提交的竣工结算申请并报委托人；</w:t>
      </w:r>
    </w:p>
    <w:p w14:paraId="2019889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（22）编制、整理工程监理归档文件并报委托人。</w:t>
      </w:r>
    </w:p>
    <w:p w14:paraId="2E2E5134">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 相关服务的范围和内容在附录A中约定。</w:t>
      </w:r>
    </w:p>
    <w:p w14:paraId="51741F93">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2.2 </w:t>
      </w:r>
      <w:r>
        <w:rPr>
          <w:rFonts w:hint="eastAsia" w:ascii="宋体" w:hAnsi="宋体" w:eastAsia="宋体" w:cs="宋体"/>
          <w:bCs/>
          <w:color w:val="auto"/>
          <w:sz w:val="21"/>
          <w:szCs w:val="21"/>
          <w:highlight w:val="none"/>
        </w:rPr>
        <w:t>监理与相关服务依据</w:t>
      </w:r>
    </w:p>
    <w:p w14:paraId="777C0F4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监理依据包括：</w:t>
      </w:r>
    </w:p>
    <w:p w14:paraId="1246225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（1）适用的法律、行政法规及部门规章；</w:t>
      </w:r>
    </w:p>
    <w:p w14:paraId="7D3DBF2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（2）与工程有关的标准；</w:t>
      </w:r>
    </w:p>
    <w:p w14:paraId="37DB4B7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（3）工程设计及有关文件；</w:t>
      </w:r>
    </w:p>
    <w:p w14:paraId="1581502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（4）本合同及委托人与第三方签订的与实施工程有关的其他合同。</w:t>
      </w:r>
    </w:p>
    <w:p w14:paraId="1D98462F">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双方根据工程的行业和地域特点，在专用条件中具体约定监理依据。</w:t>
      </w:r>
    </w:p>
    <w:p w14:paraId="23D9E73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 相关服务依据在专用条件中约定。</w:t>
      </w:r>
    </w:p>
    <w:p w14:paraId="002C2672">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 项目监理机构和人员</w:t>
      </w:r>
    </w:p>
    <w:p w14:paraId="2020350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2.3.1 监理人应组建满足工作需要的项目监理机构，配备必要的检测设备。项目监理机构的主要人员应具有相应的资格条件。</w:t>
      </w:r>
    </w:p>
    <w:p w14:paraId="61191A1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2.3.2本合同履行过程中，总监理工程师及重要岗位监理人员应保持相对稳定，以保证监理工作正常进行。</w:t>
      </w:r>
    </w:p>
    <w:p w14:paraId="698C505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33CC28E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2.3.4 监理人应及时更换有下列情形之一的监理人员：</w:t>
      </w:r>
    </w:p>
    <w:p w14:paraId="0260355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（1）严重过失行为的；</w:t>
      </w:r>
    </w:p>
    <w:p w14:paraId="3D43BA0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（2）有违法行为不能履行职责的；</w:t>
      </w:r>
    </w:p>
    <w:p w14:paraId="0A823E9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（3）涉嫌犯罪的；</w:t>
      </w:r>
    </w:p>
    <w:p w14:paraId="6D76EFC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（4）不能胜任岗位职责的；</w:t>
      </w:r>
    </w:p>
    <w:p w14:paraId="1ED3229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（5）严重违反职业道德的；</w:t>
      </w:r>
    </w:p>
    <w:p w14:paraId="2312357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（6）专用条件约定的其他情形。</w:t>
      </w:r>
    </w:p>
    <w:p w14:paraId="3F7393B1">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2.3.5 委托人可要求监理人更换不能胜任本职工作的项目监理机构人员。</w:t>
      </w:r>
    </w:p>
    <w:p w14:paraId="18A191BB">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 履行职责</w:t>
      </w:r>
    </w:p>
    <w:p w14:paraId="4265DC0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监理人应遵循职业道德准则和行为规范，严格按照法律法规、工程建设有关标准及本合同履行职责。</w:t>
      </w:r>
    </w:p>
    <w:p w14:paraId="3264BCE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2.4.1 在监理与相关服务范围内，委托人和承包人提出的意见和要求，监理人应及时提出处置意见。当委托人与承包人之间发生合同争议时，监理人应协助委托人、承包人协商解决。</w:t>
      </w:r>
    </w:p>
    <w:p w14:paraId="283976C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2.4.2 当委托人与承包人之间的合同争议提交仲裁机构仲裁或人民法院审理时，监理人应提供必要的证明资料。</w:t>
      </w:r>
    </w:p>
    <w:p w14:paraId="241DA14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2.4.3 监理人应在专用条件约定的授权范围内，处理委托人与承包人所签订合同的变更事宜。如果变更超过授权范围，应以书面形式报委托人批准。</w:t>
      </w:r>
    </w:p>
    <w:p w14:paraId="54702A0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在紧急情况下，为了保护财产和人身安全，监理人所发出的指令未能事先报委托人批准时，应在发出指令后的24小时内以书面形式报委托人。</w:t>
      </w:r>
    </w:p>
    <w:p w14:paraId="1DDB1ECF">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2.4.4 除专用条件另有约定外，监理人发现承包人的人员不能胜任本职工作的，有权要求承包人予以调换。</w:t>
      </w:r>
    </w:p>
    <w:p w14:paraId="4B3C3B4D">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 提交报告</w:t>
      </w:r>
    </w:p>
    <w:p w14:paraId="584FE5F1">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监理人应按专用条件约定的种类、时间和份数向委托人提交监理与相关服务的报告。</w:t>
      </w:r>
    </w:p>
    <w:p w14:paraId="1EE8DBAF">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 文件资料</w:t>
      </w:r>
    </w:p>
    <w:p w14:paraId="1D104523">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在本合同履行期内，监理人应在现场保留工作所用的图纸、报告及记录监理工</w:t>
      </w:r>
      <w:r>
        <w:rPr>
          <w:rFonts w:hint="eastAsia" w:ascii="宋体" w:hAnsi="宋体" w:eastAsia="宋体" w:cs="宋体"/>
          <w:color w:val="auto"/>
          <w:sz w:val="21"/>
          <w:szCs w:val="21"/>
          <w:highlight w:val="none"/>
        </w:rPr>
        <w:t>作的相关文件。工程竣工后，应当按照档案管理规定将监理有关文件归档。</w:t>
      </w:r>
    </w:p>
    <w:p w14:paraId="5F496D7D">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 使用委托人的财产</w:t>
      </w:r>
    </w:p>
    <w:p w14:paraId="7E2F838E">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2ADACF45">
      <w:pPr>
        <w:keepNext w:val="0"/>
        <w:keepLines w:val="0"/>
        <w:pageBreakBefore w:val="0"/>
        <w:widowControl w:val="0"/>
        <w:kinsoku/>
        <w:wordWrap/>
        <w:overflowPunct/>
        <w:topLinePunct w:val="0"/>
        <w:autoSpaceDE/>
        <w:autoSpaceDN/>
        <w:bidi w:val="0"/>
        <w:spacing w:line="440" w:lineRule="exact"/>
        <w:ind w:left="0" w:leftChars="0"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3．委托人的义务</w:t>
      </w:r>
    </w:p>
    <w:p w14:paraId="3629A732">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 告知</w:t>
      </w:r>
    </w:p>
    <w:p w14:paraId="657033A6">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委托人应在委托人与承包人签订的合同中明确监理人、总监理工程师和授予项目监理机构的权限。如有变更，应及时通知承包人。</w:t>
      </w:r>
    </w:p>
    <w:p w14:paraId="7675B4D6">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 提供资料</w:t>
      </w:r>
    </w:p>
    <w:p w14:paraId="4EA00B51">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委托人应按照附录B约定，无偿向监理人提供工程有关的资料。</w:t>
      </w:r>
      <w:r>
        <w:rPr>
          <w:rFonts w:hint="eastAsia" w:ascii="宋体" w:hAnsi="宋体" w:eastAsia="宋体" w:cs="宋体"/>
          <w:color w:val="auto"/>
          <w:sz w:val="21"/>
          <w:szCs w:val="21"/>
          <w:highlight w:val="none"/>
        </w:rPr>
        <w:t>在本合同履行过程中，委托人应及时向监理人提供最新的与工程有关的资料。</w:t>
      </w:r>
    </w:p>
    <w:p w14:paraId="27647B04">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 提供工作条件</w:t>
      </w:r>
    </w:p>
    <w:p w14:paraId="021D17C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委托人应为监理人完成监理与相关服务提供必要的条件。</w:t>
      </w:r>
    </w:p>
    <w:p w14:paraId="6AC05F2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3.3.1 </w:t>
      </w:r>
      <w:r>
        <w:rPr>
          <w:rFonts w:hint="eastAsia" w:ascii="宋体" w:hAnsi="宋体" w:eastAsia="宋体" w:cs="宋体"/>
          <w:color w:val="auto"/>
          <w:sz w:val="21"/>
          <w:szCs w:val="21"/>
          <w:highlight w:val="none"/>
        </w:rPr>
        <w:t>委托人应按照附录B约定，派遣相应的人员，提供房屋、设备，供监理人</w:t>
      </w:r>
      <w:r>
        <w:rPr>
          <w:rFonts w:hint="eastAsia" w:ascii="宋体" w:hAnsi="宋体" w:eastAsia="宋体" w:cs="宋体"/>
          <w:color w:val="auto"/>
          <w:kern w:val="0"/>
          <w:sz w:val="21"/>
          <w:szCs w:val="21"/>
          <w:highlight w:val="none"/>
        </w:rPr>
        <w:t>无偿</w:t>
      </w:r>
      <w:r>
        <w:rPr>
          <w:rFonts w:hint="eastAsia" w:ascii="宋体" w:hAnsi="宋体" w:eastAsia="宋体" w:cs="宋体"/>
          <w:color w:val="auto"/>
          <w:sz w:val="21"/>
          <w:szCs w:val="21"/>
          <w:highlight w:val="none"/>
        </w:rPr>
        <w:t>使用。</w:t>
      </w:r>
    </w:p>
    <w:p w14:paraId="157B351C">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3.3.2 </w:t>
      </w:r>
      <w:r>
        <w:rPr>
          <w:rFonts w:hint="eastAsia" w:ascii="宋体" w:hAnsi="宋体" w:eastAsia="宋体" w:cs="宋体"/>
          <w:color w:val="auto"/>
          <w:sz w:val="21"/>
          <w:szCs w:val="21"/>
          <w:highlight w:val="none"/>
        </w:rPr>
        <w:t>委托人应负责协调工程建设中所有外部关系，为监理人履行本合同提供必要的外部条件。</w:t>
      </w:r>
    </w:p>
    <w:p w14:paraId="1971C268">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 委托人代表</w:t>
      </w:r>
    </w:p>
    <w:p w14:paraId="69E4ADB7">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14:paraId="185D875B">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 委托人意见或要求</w:t>
      </w:r>
    </w:p>
    <w:p w14:paraId="04AD17CC">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在本合同约定的监理与相关服务工作范围内，委托人对承包人的任何意见或要求应通知监理人，由监理人向承包人发出相应指令。</w:t>
      </w:r>
    </w:p>
    <w:p w14:paraId="747753E7">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 答复</w:t>
      </w:r>
    </w:p>
    <w:p w14:paraId="3FE23137">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委托人应在专用条件约定的时间内，对监理人以书面形式提交并要求作出决定的事宜，给予书面答复。逾期未答复的，视为委托人认可。</w:t>
      </w:r>
    </w:p>
    <w:p w14:paraId="55B40A56">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3.7 支付</w:t>
      </w:r>
    </w:p>
    <w:p w14:paraId="7F5840DF">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委托人应按本合同约定，向监理人支付酬金。</w:t>
      </w:r>
    </w:p>
    <w:p w14:paraId="4ED2BE6B">
      <w:pPr>
        <w:keepNext w:val="0"/>
        <w:keepLines w:val="0"/>
        <w:pageBreakBefore w:val="0"/>
        <w:widowControl w:val="0"/>
        <w:kinsoku/>
        <w:wordWrap/>
        <w:overflowPunct/>
        <w:topLinePunct w:val="0"/>
        <w:autoSpaceDE/>
        <w:autoSpaceDN/>
        <w:bidi w:val="0"/>
        <w:snapToGrid w:val="0"/>
        <w:spacing w:line="44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 违约责任</w:t>
      </w:r>
    </w:p>
    <w:p w14:paraId="3E45BA12">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 监理人的违约责任</w:t>
      </w:r>
    </w:p>
    <w:p w14:paraId="446084A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监理人未履行本合同义务的，应承担相应的责任。</w:t>
      </w:r>
    </w:p>
    <w:p w14:paraId="40E9192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4.1.1 因监理人违反本合同约定</w:t>
      </w:r>
      <w:r>
        <w:rPr>
          <w:rFonts w:hint="eastAsia" w:ascii="宋体" w:hAnsi="宋体" w:eastAsia="宋体" w:cs="宋体"/>
          <w:color w:val="auto"/>
          <w:sz w:val="21"/>
          <w:szCs w:val="21"/>
          <w:highlight w:val="none"/>
        </w:rPr>
        <w:t>给委托人造成损失的，监理人应当赔偿委托人损失</w:t>
      </w:r>
      <w:r>
        <w:rPr>
          <w:rFonts w:hint="eastAsia" w:ascii="宋体" w:hAnsi="宋体" w:eastAsia="宋体" w:cs="宋体"/>
          <w:color w:val="auto"/>
          <w:kern w:val="0"/>
          <w:sz w:val="21"/>
          <w:szCs w:val="21"/>
          <w:highlight w:val="none"/>
        </w:rPr>
        <w:t>。赔偿金额的确定方法在专用条件中约定。监理人承担部分赔偿责任的，其承担赔偿金额由双方协商确定。</w:t>
      </w:r>
    </w:p>
    <w:p w14:paraId="0A634F1F">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4.1.2 监理人向委托人的索赔不成立时，监理人应赔偿委托人由此发生的费用。</w:t>
      </w:r>
    </w:p>
    <w:p w14:paraId="31EC9C17">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 委托人的违约责任</w:t>
      </w:r>
    </w:p>
    <w:p w14:paraId="18F5511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委托人未履行本合同义务的，应承担相应的责任。</w:t>
      </w:r>
    </w:p>
    <w:p w14:paraId="2D149F8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 委托人违反本合同约定造成监理人损失的，委托人应予以赔偿。</w:t>
      </w:r>
    </w:p>
    <w:p w14:paraId="5FC249B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4.2.2 委托人向监理人的索赔不成立时，应赔偿监理人由此引起的费用。</w:t>
      </w:r>
    </w:p>
    <w:p w14:paraId="39C189F2">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4.2.3 </w:t>
      </w:r>
      <w:r>
        <w:rPr>
          <w:rFonts w:hint="eastAsia" w:ascii="宋体" w:hAnsi="宋体" w:eastAsia="宋体" w:cs="宋体"/>
          <w:color w:val="auto"/>
          <w:kern w:val="0"/>
          <w:sz w:val="21"/>
          <w:szCs w:val="21"/>
          <w:highlight w:val="none"/>
        </w:rPr>
        <w:t>委托人未能按期支付</w:t>
      </w:r>
      <w:r>
        <w:rPr>
          <w:rFonts w:hint="eastAsia" w:ascii="宋体" w:hAnsi="宋体" w:eastAsia="宋体" w:cs="宋体"/>
          <w:color w:val="auto"/>
          <w:sz w:val="21"/>
          <w:szCs w:val="21"/>
          <w:highlight w:val="none"/>
        </w:rPr>
        <w:t>酬金</w:t>
      </w:r>
      <w:r>
        <w:rPr>
          <w:rFonts w:hint="eastAsia" w:ascii="宋体" w:hAnsi="宋体" w:eastAsia="宋体" w:cs="宋体"/>
          <w:color w:val="auto"/>
          <w:kern w:val="0"/>
          <w:sz w:val="21"/>
          <w:szCs w:val="21"/>
          <w:highlight w:val="none"/>
        </w:rPr>
        <w:t>超过28天，应按专用条件约定支付逾期付款利息。</w:t>
      </w:r>
    </w:p>
    <w:p w14:paraId="4A78A985">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4.3 除外责任</w:t>
      </w:r>
    </w:p>
    <w:p w14:paraId="6501DB8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因非监理人的原因，且监理人无过错，发生工程质量事故、安全事故、工期延误等造成的损失，监理人不承担赔偿责任。</w:t>
      </w:r>
    </w:p>
    <w:p w14:paraId="60BE2D6E">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因不可抗力导致本合同全部或部分不能履行时，双方各自承担其因此而造成的损失、损害。</w:t>
      </w:r>
    </w:p>
    <w:p w14:paraId="69CEEBEC">
      <w:pPr>
        <w:keepNext w:val="0"/>
        <w:keepLines w:val="0"/>
        <w:pageBreakBefore w:val="0"/>
        <w:widowControl w:val="0"/>
        <w:kinsoku/>
        <w:wordWrap/>
        <w:overflowPunct/>
        <w:topLinePunct w:val="0"/>
        <w:autoSpaceDE/>
        <w:autoSpaceDN/>
        <w:bidi w:val="0"/>
        <w:snapToGrid w:val="0"/>
        <w:spacing w:line="44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 支付</w:t>
      </w:r>
    </w:p>
    <w:p w14:paraId="14FB2EF4">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5.1 </w:t>
      </w:r>
      <w:r>
        <w:rPr>
          <w:rFonts w:hint="eastAsia" w:ascii="宋体" w:hAnsi="宋体" w:eastAsia="宋体" w:cs="宋体"/>
          <w:bCs/>
          <w:color w:val="auto"/>
          <w:sz w:val="21"/>
          <w:szCs w:val="21"/>
          <w:highlight w:val="none"/>
        </w:rPr>
        <w:t>支付货币</w:t>
      </w:r>
    </w:p>
    <w:p w14:paraId="6B65D980">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除专用条件另有约定外，酬金均以人民币支付。涉及外币支付的，所采用的货币种类、比例和汇率在专用条件中约定。</w:t>
      </w:r>
    </w:p>
    <w:p w14:paraId="118643D2">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5.2 支付申请</w:t>
      </w:r>
    </w:p>
    <w:p w14:paraId="610D9759">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监理人应在本合同约定的每次应付款时间的7天前，向委托人提交支付申请书。支付申请书应当说明当期应付款总额，并列出当期应支付的款项及其金额。</w:t>
      </w:r>
    </w:p>
    <w:p w14:paraId="43A21CD3">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5.3 支付酬金</w:t>
      </w:r>
    </w:p>
    <w:p w14:paraId="68E6E07D">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支付的酬金包括正常工作酬金、附加工作酬金、合理化建议奖励金额及费用。</w:t>
      </w:r>
    </w:p>
    <w:p w14:paraId="3AB9EFB8">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5.4 </w:t>
      </w:r>
      <w:r>
        <w:rPr>
          <w:rFonts w:hint="eastAsia" w:ascii="宋体" w:hAnsi="宋体" w:eastAsia="宋体" w:cs="宋体"/>
          <w:bCs/>
          <w:color w:val="auto"/>
          <w:sz w:val="21"/>
          <w:szCs w:val="21"/>
          <w:highlight w:val="none"/>
        </w:rPr>
        <w:t>有争议部分的付款</w:t>
      </w:r>
    </w:p>
    <w:p w14:paraId="138F5B2E">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4C68CB41">
      <w:pPr>
        <w:keepNext w:val="0"/>
        <w:keepLines w:val="0"/>
        <w:pageBreakBefore w:val="0"/>
        <w:widowControl w:val="0"/>
        <w:kinsoku/>
        <w:wordWrap/>
        <w:overflowPunct/>
        <w:topLinePunct w:val="0"/>
        <w:autoSpaceDE/>
        <w:autoSpaceDN/>
        <w:bidi w:val="0"/>
        <w:snapToGrid w:val="0"/>
        <w:spacing w:line="44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 合同生效、变更、暂停、解除与终止</w:t>
      </w:r>
    </w:p>
    <w:p w14:paraId="5FB8C81A">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6.1生效</w:t>
      </w:r>
    </w:p>
    <w:p w14:paraId="0DC091D1">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除法律另有规定或者专用条件另有约定外，委托人和监理人的法定代表人或其授权代理人在协议书上签字并盖单位章后本合同生效。</w:t>
      </w:r>
    </w:p>
    <w:p w14:paraId="663D770B">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6.2</w:t>
      </w:r>
      <w:r>
        <w:rPr>
          <w:rFonts w:hint="eastAsia" w:ascii="宋体" w:hAnsi="宋体" w:eastAsia="宋体" w:cs="宋体"/>
          <w:bCs/>
          <w:color w:val="auto"/>
          <w:sz w:val="21"/>
          <w:szCs w:val="21"/>
          <w:highlight w:val="none"/>
        </w:rPr>
        <w:t>变更</w:t>
      </w:r>
    </w:p>
    <w:p w14:paraId="0C2CC67B">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 任何一方提出变更请求时，双方经协商一致后可进行变更。</w:t>
      </w:r>
    </w:p>
    <w:p w14:paraId="422E163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7662F1E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753E65E2">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6.2.4合同签订后，遇有与工程相关的法律法规、标准颁布或修订的，双方应遵照执行。由此引起监理与相关服务的范围、时间、酬金变化的，双方应通过协商进行相应调整。</w:t>
      </w:r>
    </w:p>
    <w:p w14:paraId="35D71AD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6.2.5 因非监理人原因造成工程概算投资额或建筑安装工程费增加时，正常工作酬金应作相应调整。调整方法在专用条件中约定。</w:t>
      </w:r>
    </w:p>
    <w:p w14:paraId="31A72D21">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6.2.6 因工程规模、监理范围的变化导致监理人的正常工作量减少时，正常工作酬金应作相应调整。调整方法在专用条件中约定。</w:t>
      </w:r>
    </w:p>
    <w:p w14:paraId="258079EF">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6.3 暂停与</w:t>
      </w:r>
      <w:r>
        <w:rPr>
          <w:rFonts w:hint="eastAsia" w:ascii="宋体" w:hAnsi="宋体" w:eastAsia="宋体" w:cs="宋体"/>
          <w:bCs/>
          <w:color w:val="auto"/>
          <w:sz w:val="21"/>
          <w:szCs w:val="21"/>
          <w:highlight w:val="none"/>
        </w:rPr>
        <w:t>解除</w:t>
      </w:r>
    </w:p>
    <w:p w14:paraId="20AE563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除双方协商一致可以解除本合同外，当一方无正当理由未履行本合同约定的义务时，另一方可以根据本合同约定暂停履行本合同直至解除本合同。</w:t>
      </w:r>
    </w:p>
    <w:p w14:paraId="32A977A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3E1AFD0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因解除本合同或解除监理人的部分义务导致监理人遭受的损失，除依法可以免除责任的情况外，应由委托人予以补偿，补偿金额由双方协商确定。</w:t>
      </w:r>
    </w:p>
    <w:p w14:paraId="193594F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解除本合同的协议必须采取书面形式，协议未达成之前，本合同仍然有效。</w:t>
      </w:r>
    </w:p>
    <w:p w14:paraId="76C9DEA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60BD57C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s="宋体"/>
          <w:color w:val="auto"/>
          <w:kern w:val="0"/>
          <w:sz w:val="21"/>
          <w:szCs w:val="21"/>
          <w:highlight w:val="none"/>
        </w:rPr>
        <w:t>的</w:t>
      </w:r>
      <w:r>
        <w:rPr>
          <w:rFonts w:hint="eastAsia" w:ascii="宋体" w:hAnsi="宋体" w:eastAsia="宋体" w:cs="宋体"/>
          <w:color w:val="auto"/>
          <w:sz w:val="21"/>
          <w:szCs w:val="21"/>
          <w:highlight w:val="none"/>
        </w:rPr>
        <w:t>酬金支付至本合同解除日，且应承担第4.2款约定的责任。</w:t>
      </w:r>
    </w:p>
    <w:p w14:paraId="3D9C17B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s="宋体"/>
          <w:color w:val="auto"/>
          <w:kern w:val="0"/>
          <w:sz w:val="21"/>
          <w:szCs w:val="21"/>
          <w:highlight w:val="none"/>
        </w:rPr>
        <w:t>的</w:t>
      </w:r>
      <w:r>
        <w:rPr>
          <w:rFonts w:hint="eastAsia" w:ascii="宋体" w:hAnsi="宋体" w:eastAsia="宋体" w:cs="宋体"/>
          <w:color w:val="auto"/>
          <w:sz w:val="21"/>
          <w:szCs w:val="21"/>
          <w:highlight w:val="none"/>
        </w:rPr>
        <w:t>酬金支付至</w:t>
      </w:r>
      <w:r>
        <w:rPr>
          <w:rFonts w:hint="eastAsia" w:ascii="宋体" w:hAnsi="宋体" w:eastAsia="宋体" w:cs="宋体"/>
          <w:color w:val="auto"/>
          <w:kern w:val="0"/>
          <w:sz w:val="21"/>
          <w:szCs w:val="21"/>
          <w:highlight w:val="none"/>
        </w:rPr>
        <w:t>限期改正通知到达监理人之日</w:t>
      </w:r>
      <w:r>
        <w:rPr>
          <w:rFonts w:hint="eastAsia" w:ascii="宋体" w:hAnsi="宋体" w:eastAsia="宋体" w:cs="宋体"/>
          <w:color w:val="auto"/>
          <w:sz w:val="21"/>
          <w:szCs w:val="21"/>
          <w:highlight w:val="none"/>
        </w:rPr>
        <w:t>，但监理人应承担第4.1款约定的责任。</w:t>
      </w:r>
    </w:p>
    <w:p w14:paraId="4089FE7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3E88ED33">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6.3.5 因不可抗力致使本合同部分或全部不能履行时，一方应立即通知另一方，可暂停或解除本合同。</w:t>
      </w:r>
    </w:p>
    <w:p w14:paraId="2BC5BE4C">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6.3.6 本合同解除后，本合同约定的有关结算、清理、争议解决方式的条件仍然有效。</w:t>
      </w:r>
    </w:p>
    <w:p w14:paraId="6737FA3D">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6.4 </w:t>
      </w:r>
      <w:r>
        <w:rPr>
          <w:rFonts w:hint="eastAsia" w:ascii="宋体" w:hAnsi="宋体" w:eastAsia="宋体" w:cs="宋体"/>
          <w:bCs/>
          <w:color w:val="auto"/>
          <w:sz w:val="21"/>
          <w:szCs w:val="21"/>
          <w:highlight w:val="none"/>
        </w:rPr>
        <w:t>终止</w:t>
      </w:r>
    </w:p>
    <w:p w14:paraId="63A18E2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以下条件全部满足时，本合同即告终止：</w:t>
      </w:r>
    </w:p>
    <w:p w14:paraId="2DC907F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（1）监理人完成本合同约定的全部工作；</w:t>
      </w:r>
    </w:p>
    <w:p w14:paraId="00A14818">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（2）委托人与监理人结清并支付全部酬金。</w:t>
      </w:r>
    </w:p>
    <w:p w14:paraId="3D31339E">
      <w:pPr>
        <w:keepNext w:val="0"/>
        <w:keepLines w:val="0"/>
        <w:pageBreakBefore w:val="0"/>
        <w:widowControl w:val="0"/>
        <w:kinsoku/>
        <w:wordWrap/>
        <w:overflowPunct/>
        <w:topLinePunct w:val="0"/>
        <w:autoSpaceDE/>
        <w:autoSpaceDN/>
        <w:bidi w:val="0"/>
        <w:snapToGrid w:val="0"/>
        <w:spacing w:line="42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 争议解决</w:t>
      </w:r>
    </w:p>
    <w:p w14:paraId="0801543A">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7.1</w:t>
      </w:r>
      <w:r>
        <w:rPr>
          <w:rFonts w:hint="eastAsia" w:ascii="宋体" w:hAnsi="宋体" w:eastAsia="宋体" w:cs="宋体"/>
          <w:bCs/>
          <w:color w:val="auto"/>
          <w:sz w:val="21"/>
          <w:szCs w:val="21"/>
          <w:highlight w:val="none"/>
        </w:rPr>
        <w:t>协商</w:t>
      </w:r>
    </w:p>
    <w:p w14:paraId="6086B416">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双方应本着诚信原则协商解决彼此间的争议。</w:t>
      </w:r>
    </w:p>
    <w:p w14:paraId="3094A16E">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7.2</w:t>
      </w:r>
      <w:r>
        <w:rPr>
          <w:rFonts w:hint="eastAsia" w:ascii="宋体" w:hAnsi="宋体" w:eastAsia="宋体" w:cs="宋体"/>
          <w:bCs/>
          <w:color w:val="auto"/>
          <w:sz w:val="21"/>
          <w:szCs w:val="21"/>
          <w:highlight w:val="none"/>
        </w:rPr>
        <w:t>调解</w:t>
      </w:r>
    </w:p>
    <w:p w14:paraId="787758EB">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如果双方不能在14天内或双方商定的其他时间内解决本合同争议，可以将其提交给专用条件约定的或事后达成协议的调解人进行调解。</w:t>
      </w:r>
    </w:p>
    <w:p w14:paraId="4C1130A0">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7.3</w:t>
      </w:r>
      <w:r>
        <w:rPr>
          <w:rFonts w:hint="eastAsia" w:ascii="宋体" w:hAnsi="宋体" w:eastAsia="宋体" w:cs="宋体"/>
          <w:bCs/>
          <w:color w:val="auto"/>
          <w:sz w:val="21"/>
          <w:szCs w:val="21"/>
          <w:highlight w:val="none"/>
        </w:rPr>
        <w:t>仲裁或诉讼</w:t>
      </w:r>
    </w:p>
    <w:p w14:paraId="1AAC42BC">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双方均有权不经调解直接向专用条件约定的仲裁机构申请仲裁或向有管辖权的人民法院提起诉讼。</w:t>
      </w:r>
    </w:p>
    <w:p w14:paraId="1C7FD8DC">
      <w:pPr>
        <w:keepNext w:val="0"/>
        <w:keepLines w:val="0"/>
        <w:pageBreakBefore w:val="0"/>
        <w:widowControl w:val="0"/>
        <w:kinsoku/>
        <w:wordWrap/>
        <w:overflowPunct/>
        <w:topLinePunct w:val="0"/>
        <w:autoSpaceDE/>
        <w:autoSpaceDN/>
        <w:bidi w:val="0"/>
        <w:snapToGrid w:val="0"/>
        <w:spacing w:line="42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 其他</w:t>
      </w:r>
    </w:p>
    <w:p w14:paraId="7A33D89C">
      <w:pPr>
        <w:keepNext w:val="0"/>
        <w:keepLines w:val="0"/>
        <w:pageBreakBefore w:val="0"/>
        <w:widowControl w:val="0"/>
        <w:kinsoku/>
        <w:wordWrap/>
        <w:overflowPunct/>
        <w:topLinePunct w:val="0"/>
        <w:autoSpaceDE/>
        <w:autoSpaceDN/>
        <w:bidi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8.1 </w:t>
      </w:r>
      <w:r>
        <w:rPr>
          <w:rFonts w:hint="eastAsia" w:ascii="宋体" w:hAnsi="宋体" w:eastAsia="宋体" w:cs="宋体"/>
          <w:bCs/>
          <w:color w:val="auto"/>
          <w:sz w:val="21"/>
          <w:szCs w:val="21"/>
          <w:highlight w:val="none"/>
        </w:rPr>
        <w:t>外出考察费用</w:t>
      </w:r>
    </w:p>
    <w:p w14:paraId="4EFBAE14">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经委托人同意，监理人员外出考察发生的费用由委托人审核后支付。</w:t>
      </w:r>
    </w:p>
    <w:p w14:paraId="38B3F1C6">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8.2 </w:t>
      </w:r>
      <w:r>
        <w:rPr>
          <w:rFonts w:hint="eastAsia" w:ascii="宋体" w:hAnsi="宋体" w:eastAsia="宋体" w:cs="宋体"/>
          <w:bCs/>
          <w:color w:val="auto"/>
          <w:sz w:val="21"/>
          <w:szCs w:val="21"/>
          <w:highlight w:val="none"/>
        </w:rPr>
        <w:t>检测费用</w:t>
      </w:r>
    </w:p>
    <w:p w14:paraId="6183CF00">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委托人要求监理人进行的材料和设备检测所发生的费用，由委托人支付，支付时间在专用条件中约定。</w:t>
      </w:r>
    </w:p>
    <w:p w14:paraId="5D9C9C28">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8.3 </w:t>
      </w:r>
      <w:r>
        <w:rPr>
          <w:rFonts w:hint="eastAsia" w:ascii="宋体" w:hAnsi="宋体" w:eastAsia="宋体" w:cs="宋体"/>
          <w:bCs/>
          <w:color w:val="auto"/>
          <w:sz w:val="21"/>
          <w:szCs w:val="21"/>
          <w:highlight w:val="none"/>
        </w:rPr>
        <w:t>咨询费用</w:t>
      </w:r>
    </w:p>
    <w:p w14:paraId="5BD24D5D">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经委托人同意，根据工程需要由监理人组织的相关咨询论证会以及聘请相关专家等发生的费用由委托人支付，支付时间在专用条件中约定。</w:t>
      </w:r>
    </w:p>
    <w:p w14:paraId="187FFDDB">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8.4 </w:t>
      </w:r>
      <w:r>
        <w:rPr>
          <w:rFonts w:hint="eastAsia" w:ascii="宋体" w:hAnsi="宋体" w:eastAsia="宋体" w:cs="宋体"/>
          <w:bCs/>
          <w:color w:val="auto"/>
          <w:sz w:val="21"/>
          <w:szCs w:val="21"/>
          <w:highlight w:val="none"/>
        </w:rPr>
        <w:t>奖励</w:t>
      </w:r>
    </w:p>
    <w:p w14:paraId="5A75EEF1">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3B6D6A08">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8.5 </w:t>
      </w:r>
      <w:r>
        <w:rPr>
          <w:rFonts w:hint="eastAsia" w:ascii="宋体" w:hAnsi="宋体" w:eastAsia="宋体" w:cs="宋体"/>
          <w:bCs/>
          <w:color w:val="auto"/>
          <w:sz w:val="21"/>
          <w:szCs w:val="21"/>
          <w:highlight w:val="none"/>
        </w:rPr>
        <w:t>守法诚信</w:t>
      </w:r>
    </w:p>
    <w:p w14:paraId="68F5C187">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监理人及其工作人员不得从与实施工程有关的第三方处获得任何经济利益。</w:t>
      </w:r>
    </w:p>
    <w:p w14:paraId="63278338">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8.6 </w:t>
      </w:r>
      <w:r>
        <w:rPr>
          <w:rFonts w:hint="eastAsia" w:ascii="宋体" w:hAnsi="宋体" w:eastAsia="宋体" w:cs="宋体"/>
          <w:bCs/>
          <w:color w:val="auto"/>
          <w:sz w:val="21"/>
          <w:szCs w:val="21"/>
          <w:highlight w:val="none"/>
        </w:rPr>
        <w:t>保密</w:t>
      </w:r>
    </w:p>
    <w:p w14:paraId="16850FC8">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双方不得泄露对方申明的保密资料，亦不得泄露与实施工程有关的第三方所提供的保密资料，保密事项在专用条件中约定。</w:t>
      </w:r>
    </w:p>
    <w:p w14:paraId="0DFA2C55">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8.7 </w:t>
      </w:r>
      <w:r>
        <w:rPr>
          <w:rFonts w:hint="eastAsia" w:ascii="宋体" w:hAnsi="宋体" w:eastAsia="宋体" w:cs="宋体"/>
          <w:bCs/>
          <w:color w:val="auto"/>
          <w:sz w:val="21"/>
          <w:szCs w:val="21"/>
          <w:highlight w:val="none"/>
        </w:rPr>
        <w:t>通知</w:t>
      </w:r>
    </w:p>
    <w:p w14:paraId="329221A8">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本合同涉及的通知均应当采用书面形式，并在送达对方时生效，收件人应书面签收。</w:t>
      </w:r>
    </w:p>
    <w:p w14:paraId="7481BE58">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8.8 </w:t>
      </w:r>
      <w:r>
        <w:rPr>
          <w:rFonts w:hint="eastAsia" w:ascii="宋体" w:hAnsi="宋体" w:eastAsia="宋体" w:cs="宋体"/>
          <w:bCs/>
          <w:color w:val="auto"/>
          <w:sz w:val="21"/>
          <w:szCs w:val="21"/>
          <w:highlight w:val="none"/>
        </w:rPr>
        <w:t>著作权</w:t>
      </w:r>
    </w:p>
    <w:p w14:paraId="3D412BA4">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监理人对其编制的文件拥有著作权。</w:t>
      </w:r>
    </w:p>
    <w:p w14:paraId="1D1A9D49">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r>
        <w:rPr>
          <w:rFonts w:hint="eastAsia" w:ascii="宋体" w:hAnsi="宋体" w:eastAsia="宋体" w:cs="宋体"/>
          <w:color w:val="auto"/>
          <w:sz w:val="21"/>
          <w:szCs w:val="21"/>
          <w:highlight w:val="none"/>
          <w:lang w:eastAsia="zh-CN"/>
        </w:rPr>
        <w:t>。</w:t>
      </w:r>
    </w:p>
    <w:p w14:paraId="13FFAE23">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color w:val="auto"/>
          <w:sz w:val="21"/>
          <w:szCs w:val="21"/>
          <w:highlight w:val="none"/>
          <w:lang w:eastAsia="zh-CN"/>
        </w:rPr>
      </w:pPr>
    </w:p>
    <w:p w14:paraId="3E11963B">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color w:val="auto"/>
          <w:sz w:val="21"/>
          <w:szCs w:val="21"/>
          <w:highlight w:val="none"/>
          <w:lang w:eastAsia="zh-CN"/>
        </w:rPr>
      </w:pPr>
    </w:p>
    <w:p w14:paraId="20DCA909">
      <w:pPr>
        <w:keepNext w:val="0"/>
        <w:keepLines w:val="0"/>
        <w:pageBreakBefore w:val="0"/>
        <w:widowControl w:val="0"/>
        <w:kinsoku/>
        <w:wordWrap/>
        <w:overflowPunct/>
        <w:topLinePunct w:val="0"/>
        <w:autoSpaceDE/>
        <w:autoSpaceDN/>
        <w:bidi w:val="0"/>
        <w:snapToGrid w:val="0"/>
        <w:spacing w:line="420" w:lineRule="exact"/>
        <w:ind w:left="0" w:leftChars="0" w:firstLine="643" w:firstLineChars="200"/>
        <w:jc w:val="left"/>
        <w:textAlignment w:val="auto"/>
        <w:rPr>
          <w:rFonts w:hint="eastAsia" w:ascii="宋体" w:hAnsi="宋体" w:eastAsia="宋体" w:cs="宋体"/>
          <w:b/>
          <w:bCs/>
          <w:color w:val="auto"/>
          <w:sz w:val="32"/>
          <w:szCs w:val="32"/>
          <w:highlight w:val="none"/>
        </w:rPr>
      </w:pPr>
      <w:bookmarkStart w:id="98" w:name="_Toc4139"/>
    </w:p>
    <w:p w14:paraId="2E0F769B">
      <w:pPr>
        <w:rPr>
          <w:rFonts w:hint="eastAsia" w:ascii="宋体" w:hAnsi="宋体" w:eastAsia="宋体" w:cs="宋体"/>
          <w:b/>
          <w:bCs/>
          <w:color w:val="auto"/>
          <w:sz w:val="32"/>
          <w:szCs w:val="32"/>
          <w:highlight w:val="none"/>
        </w:rPr>
      </w:pPr>
      <w:bookmarkStart w:id="99" w:name="_Toc14492"/>
      <w:r>
        <w:rPr>
          <w:rFonts w:hint="eastAsia" w:ascii="宋体" w:hAnsi="宋体" w:eastAsia="宋体" w:cs="宋体"/>
          <w:b/>
          <w:bCs/>
          <w:color w:val="auto"/>
          <w:sz w:val="32"/>
          <w:szCs w:val="32"/>
          <w:highlight w:val="none"/>
        </w:rPr>
        <w:br w:type="page"/>
      </w:r>
    </w:p>
    <w:p w14:paraId="54C856EB">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0"/>
        <w:rPr>
          <w:rFonts w:hint="eastAsia" w:ascii="宋体" w:hAnsi="宋体" w:eastAsia="宋体" w:cs="宋体"/>
          <w:b/>
          <w:bCs/>
          <w:color w:val="auto"/>
          <w:sz w:val="32"/>
          <w:szCs w:val="32"/>
          <w:highlight w:val="none"/>
        </w:rPr>
      </w:pPr>
      <w:bookmarkStart w:id="100" w:name="_Toc14515"/>
      <w:r>
        <w:rPr>
          <w:rFonts w:hint="eastAsia" w:ascii="宋体" w:hAnsi="宋体" w:eastAsia="宋体" w:cs="宋体"/>
          <w:b/>
          <w:bCs/>
          <w:color w:val="auto"/>
          <w:sz w:val="32"/>
          <w:szCs w:val="32"/>
          <w:highlight w:val="none"/>
        </w:rPr>
        <w:t>第三部分  专用条件</w:t>
      </w:r>
      <w:bookmarkEnd w:id="98"/>
      <w:bookmarkEnd w:id="99"/>
      <w:bookmarkEnd w:id="100"/>
    </w:p>
    <w:p w14:paraId="59B1218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定义与解释</w:t>
      </w:r>
    </w:p>
    <w:p w14:paraId="0DD4281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解释</w:t>
      </w:r>
    </w:p>
    <w:p w14:paraId="53E6DB8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本合同文件除使用中文外，还可用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52011D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约定本合同文件的解释顺序为：</w:t>
      </w:r>
      <w:r>
        <w:rPr>
          <w:rFonts w:hint="eastAsia" w:ascii="宋体" w:hAnsi="宋体" w:eastAsia="宋体" w:cs="宋体"/>
          <w:color w:val="auto"/>
          <w:sz w:val="21"/>
          <w:szCs w:val="21"/>
          <w:highlight w:val="none"/>
          <w:u w:val="single"/>
        </w:rPr>
        <w:t>（1）协议书；（2）中标通知书（适用于招标工程）或委托书（适用于非招标工程）；</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招标文件</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）专用条件及附录A、附录B；（</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）通用条件；（</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）投标文件（适用于招标工程）或监理与相关服务建议书（适用于非招标工程）。</w:t>
      </w:r>
    </w:p>
    <w:p w14:paraId="5EBA7A85">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双方签订的补充协议与其他文件发生矛盾或歧义时，属于同一类内容的文件，应以最新签署的为准。</w:t>
      </w:r>
    </w:p>
    <w:p w14:paraId="2A4C74D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监理人义务</w:t>
      </w:r>
    </w:p>
    <w:p w14:paraId="1ECDEF1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监理的范围和</w:t>
      </w:r>
      <w:r>
        <w:rPr>
          <w:rFonts w:hint="eastAsia" w:ascii="宋体" w:hAnsi="宋体" w:eastAsia="宋体" w:cs="宋体"/>
          <w:bCs/>
          <w:color w:val="auto"/>
          <w:sz w:val="21"/>
          <w:szCs w:val="21"/>
          <w:highlight w:val="none"/>
        </w:rPr>
        <w:t>内容</w:t>
      </w:r>
    </w:p>
    <w:p w14:paraId="54BD47C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cs="宋体"/>
          <w:color w:val="auto"/>
          <w:sz w:val="21"/>
          <w:szCs w:val="21"/>
          <w:highlight w:val="none"/>
          <w:u w:val="single"/>
          <w:lang w:val="en-US" w:eastAsia="zh-CN"/>
        </w:rPr>
      </w:pPr>
      <w:r>
        <w:rPr>
          <w:rFonts w:hint="eastAsia" w:ascii="宋体" w:hAnsi="宋体" w:eastAsia="宋体" w:cs="宋体"/>
          <w:color w:val="auto"/>
          <w:sz w:val="21"/>
          <w:szCs w:val="21"/>
          <w:highlight w:val="none"/>
        </w:rPr>
        <w:t>2.1.1 监理范围包括但不限于：</w:t>
      </w:r>
      <w:r>
        <w:rPr>
          <w:rFonts w:hint="eastAsia" w:ascii="宋体" w:hAnsi="宋体" w:eastAsia="宋体" w:cs="宋体"/>
          <w:color w:val="auto"/>
          <w:sz w:val="21"/>
          <w:szCs w:val="21"/>
          <w:highlight w:val="none"/>
          <w:u w:val="single"/>
        </w:rPr>
        <w:t xml:space="preserve"> 接受</w:t>
      </w:r>
      <w:r>
        <w:rPr>
          <w:rFonts w:hint="eastAsia" w:ascii="宋体" w:hAnsi="宋体" w:eastAsia="宋体" w:cs="宋体"/>
          <w:color w:val="auto"/>
          <w:sz w:val="21"/>
          <w:szCs w:val="21"/>
          <w:highlight w:val="none"/>
          <w:u w:val="single"/>
          <w:lang w:val="en-US" w:eastAsia="zh-CN"/>
        </w:rPr>
        <w:t>采购人</w:t>
      </w:r>
      <w:r>
        <w:rPr>
          <w:rFonts w:hint="eastAsia" w:ascii="宋体" w:hAnsi="宋体" w:eastAsia="宋体" w:cs="宋体"/>
          <w:color w:val="auto"/>
          <w:sz w:val="21"/>
          <w:szCs w:val="21"/>
          <w:highlight w:val="none"/>
          <w:u w:val="single"/>
        </w:rPr>
        <w:t>委托开展项目前期工作，办理相关建设手续，参与本工程的施工准备阶段（包括项目的施工许可证等）、接受</w:t>
      </w:r>
      <w:r>
        <w:rPr>
          <w:rFonts w:hint="eastAsia" w:ascii="宋体" w:hAnsi="宋体" w:eastAsia="宋体" w:cs="宋体"/>
          <w:color w:val="auto"/>
          <w:sz w:val="21"/>
          <w:szCs w:val="21"/>
          <w:highlight w:val="none"/>
          <w:u w:val="single"/>
          <w:lang w:val="en-US" w:eastAsia="zh-CN"/>
        </w:rPr>
        <w:t>采购人</w:t>
      </w:r>
      <w:r>
        <w:rPr>
          <w:rFonts w:hint="eastAsia" w:ascii="宋体" w:hAnsi="宋体" w:eastAsia="宋体" w:cs="宋体"/>
          <w:color w:val="auto"/>
          <w:sz w:val="21"/>
          <w:szCs w:val="21"/>
          <w:highlight w:val="none"/>
          <w:u w:val="single"/>
        </w:rPr>
        <w:t>安排履行项目各项前期手续、施工阶段、工程收尾阶段（包括但不限于竣工验收、整改、工程移交、工程结算等）、工程质量保修阶段（缺陷责任期）的全过程监理服务，以及国家法律法规规定的其他监理服务，对工程进行进度、质量、投资、职业健康安全及环境监督管理、合同管理、信息管理、组织协调、安全生产监督及协调施工现场各方关系等。</w:t>
      </w:r>
      <w:r>
        <w:rPr>
          <w:rFonts w:hint="eastAsia" w:ascii="宋体" w:hAnsi="宋体" w:cs="宋体"/>
          <w:color w:val="auto"/>
          <w:sz w:val="21"/>
          <w:szCs w:val="21"/>
          <w:highlight w:val="none"/>
          <w:u w:val="single"/>
          <w:lang w:val="en-US" w:eastAsia="zh-CN"/>
        </w:rPr>
        <w:t xml:space="preserve"> </w:t>
      </w:r>
    </w:p>
    <w:p w14:paraId="4794883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2.1.2 监理工作内容还包括：</w:t>
      </w:r>
      <w:r>
        <w:rPr>
          <w:rFonts w:hint="eastAsia" w:ascii="宋体" w:hAnsi="宋体" w:eastAsia="宋体" w:cs="宋体"/>
          <w:color w:val="auto"/>
          <w:sz w:val="21"/>
          <w:szCs w:val="21"/>
          <w:highlight w:val="none"/>
          <w:u w:val="single"/>
        </w:rPr>
        <w:t>（1）收到工程设计文件后编制监理规划，并在第一次工地会议7天前报委托人。根据有关规定和监理工作需要，编制监理实施细则；（2）熟悉工程设计文件，并参加由委托人主持的图纸会审和设计交底会议；（3）参加由委托人主持的第一次工地会议；主持监理例会并根据工程需要主持或参加专题会议；（4）审查施工承包人提交的施工组织设计，重点审查其中的质量安全技术措施、专项施工方案与工程建设强制性标准的符合性；（5）检查施工承包人工程质量、安全生产管理制度及组织机构和人员资格； （6）检查施工承包人专职安全生产管理人员的配备情况；（7）审查施工承包人提交的施工进度计划，核查承包人对施工进度计划的调整；（9）审核施工分包人资质条件；（10）查验施工承包人的施工测量放线成果；（11）审查工程开工条件，对条件具备的签发开工令；（12）审查施工承包人报送的工程材料、构配件、设备质量证明文件的有效性和符合性，并按规定对用于工程的材料采取平行检验或见证取样方式进行抽检；（13）审核施工承包人提交的工程款支付申请，签发或出具工程款支付证书，并报委托人审核、批准；（14）在巡视、旁站和检验过程中，发现工程质量、施工安全存在事故隐患的，要求施工承包人整改并报委托人；（15）经委托人同意，签发工程暂停令和复工令；（16）审查施工承包人提交的采用新材料、新工艺、新技术、新设备的论证材料及相关验收标准；（17）验收隐蔽工程、分部分项工程；（18）审查施工承包人提交的工程变更申请，协调处理施工进度调整、费用索赔、合同争议等事项；（19）审查施工承包人提交的竣工验收申请，编写工程质量评估报告；（20）参加工程竣工验收，签署竣工验收意见；（21）审查施工承包人提交的竣工结算申请并报委托人；（22）编制、整理工程监理归档文件并报委托人。</w:t>
      </w:r>
    </w:p>
    <w:p w14:paraId="39CE24C4">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监理与相关服务依据</w:t>
      </w:r>
    </w:p>
    <w:p w14:paraId="1533D74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2.2.1 监理依据包括：</w:t>
      </w:r>
      <w:r>
        <w:rPr>
          <w:rFonts w:hint="eastAsia" w:ascii="宋体" w:hAnsi="宋体" w:eastAsia="宋体" w:cs="宋体"/>
          <w:color w:val="auto"/>
          <w:sz w:val="21"/>
          <w:szCs w:val="21"/>
          <w:highlight w:val="none"/>
          <w:u w:val="single"/>
        </w:rPr>
        <w:t>（1）适用的法律、行政法规及部门规章；（2）与工程有关的标准；（3）工程设计及有关文件；（4）本合同及委托人与第三方签订的与实施工程有关的其他合同。</w:t>
      </w:r>
    </w:p>
    <w:p w14:paraId="00E08F2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dstrike/>
          <w:color w:val="auto"/>
          <w:sz w:val="21"/>
          <w:szCs w:val="21"/>
          <w:highlight w:val="none"/>
        </w:rPr>
      </w:pPr>
      <w:r>
        <w:rPr>
          <w:rFonts w:hint="eastAsia" w:ascii="宋体" w:hAnsi="宋体" w:eastAsia="宋体" w:cs="宋体"/>
          <w:color w:val="auto"/>
          <w:sz w:val="21"/>
          <w:szCs w:val="21"/>
          <w:highlight w:val="none"/>
        </w:rPr>
        <w:t>2.2.2 相关服务依据包括：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0B5B644">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2.3</w:t>
      </w:r>
      <w:r>
        <w:rPr>
          <w:rFonts w:hint="eastAsia" w:ascii="宋体" w:hAnsi="宋体" w:eastAsia="宋体" w:cs="宋体"/>
          <w:color w:val="auto"/>
          <w:kern w:val="0"/>
          <w:sz w:val="21"/>
          <w:szCs w:val="21"/>
          <w:highlight w:val="none"/>
        </w:rPr>
        <w:t>项目监理机构和人员</w:t>
      </w:r>
    </w:p>
    <w:p w14:paraId="3E6D3012">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2.3.4 </w:t>
      </w:r>
      <w:r>
        <w:rPr>
          <w:rFonts w:hint="eastAsia" w:ascii="宋体" w:hAnsi="宋体" w:eastAsia="宋体" w:cs="宋体"/>
          <w:color w:val="auto"/>
          <w:kern w:val="0"/>
          <w:sz w:val="21"/>
          <w:szCs w:val="21"/>
          <w:highlight w:val="none"/>
        </w:rPr>
        <w:t>更换监理人员的其他情形：</w:t>
      </w:r>
      <w:r>
        <w:rPr>
          <w:rFonts w:hint="eastAsia" w:ascii="宋体" w:hAnsi="宋体" w:eastAsia="宋体" w:cs="宋体"/>
          <w:color w:val="auto"/>
          <w:kern w:val="0"/>
          <w:sz w:val="21"/>
          <w:szCs w:val="21"/>
          <w:highlight w:val="none"/>
          <w:u w:val="single"/>
          <w:lang w:eastAsia="zh-CN"/>
        </w:rPr>
        <w:t>（1）项目负责人变更必须经发包人批准，并满足《关于进一步加强建筑施工现场项目负责人变更行为管理的通知》及滁州市其他相关规定要求，除①因重病或重伤三个月以上，不能履行职责的；②辞职的；③发生重大质量安全责任事故，受到刑事或行政处罚，不能担任项目负责人的；④无能力履行合同责任和义务，建设单位要求更换的；⑤被责令停止职业资格的；⑥因犯罪被羁押或判刑的；⑦死亡的等原因外，原则上不得变更。其中，亡故的需提供公安部门开具的死亡证明；重大疾病的需提供三甲及以上医院证明。出国、辞职等原因提出变更的，除需提供相关证明外，须缴纳</w:t>
      </w:r>
      <w:r>
        <w:rPr>
          <w:rFonts w:hint="eastAsia" w:ascii="宋体" w:hAnsi="宋体" w:cs="宋体"/>
          <w:color w:val="auto"/>
          <w:kern w:val="0"/>
          <w:sz w:val="21"/>
          <w:szCs w:val="21"/>
          <w:highlight w:val="none"/>
          <w:u w:val="single"/>
          <w:lang w:val="en-US" w:eastAsia="zh-CN"/>
        </w:rPr>
        <w:t>1</w:t>
      </w:r>
      <w:r>
        <w:rPr>
          <w:rFonts w:hint="eastAsia" w:ascii="宋体" w:hAnsi="宋体" w:eastAsia="宋体" w:cs="宋体"/>
          <w:color w:val="auto"/>
          <w:kern w:val="0"/>
          <w:sz w:val="21"/>
          <w:szCs w:val="21"/>
          <w:highlight w:val="none"/>
          <w:u w:val="single"/>
          <w:lang w:eastAsia="zh-CN"/>
        </w:rPr>
        <w:t>0万元违约金，否则不得变更。变更后的项目负责人必须符合本项目</w:t>
      </w:r>
      <w:r>
        <w:rPr>
          <w:rFonts w:hint="eastAsia" w:ascii="宋体" w:hAnsi="宋体" w:eastAsia="宋体" w:cs="宋体"/>
          <w:color w:val="auto"/>
          <w:kern w:val="0"/>
          <w:sz w:val="21"/>
          <w:szCs w:val="21"/>
          <w:highlight w:val="none"/>
          <w:u w:val="single"/>
          <w:lang w:val="en-US" w:eastAsia="zh-CN"/>
        </w:rPr>
        <w:t>竞争性谈判</w:t>
      </w:r>
      <w:r>
        <w:rPr>
          <w:rFonts w:hint="eastAsia" w:ascii="宋体" w:hAnsi="宋体" w:eastAsia="宋体" w:cs="宋体"/>
          <w:color w:val="auto"/>
          <w:kern w:val="0"/>
          <w:sz w:val="21"/>
          <w:szCs w:val="21"/>
          <w:highlight w:val="none"/>
          <w:u w:val="single"/>
          <w:lang w:eastAsia="zh-CN"/>
        </w:rPr>
        <w:t>文件和</w:t>
      </w:r>
      <w:r>
        <w:rPr>
          <w:rFonts w:hint="eastAsia" w:ascii="宋体" w:hAnsi="宋体" w:eastAsia="宋体" w:cs="宋体"/>
          <w:color w:val="auto"/>
          <w:kern w:val="0"/>
          <w:sz w:val="21"/>
          <w:szCs w:val="21"/>
          <w:highlight w:val="none"/>
          <w:u w:val="single"/>
          <w:lang w:val="en-US" w:eastAsia="zh-CN"/>
        </w:rPr>
        <w:t>响应</w:t>
      </w:r>
      <w:r>
        <w:rPr>
          <w:rFonts w:hint="eastAsia" w:ascii="宋体" w:hAnsi="宋体" w:eastAsia="宋体" w:cs="宋体"/>
          <w:color w:val="auto"/>
          <w:kern w:val="0"/>
          <w:sz w:val="21"/>
          <w:szCs w:val="21"/>
          <w:highlight w:val="none"/>
          <w:u w:val="single"/>
          <w:lang w:eastAsia="zh-CN"/>
        </w:rPr>
        <w:t xml:space="preserve">承诺配备的同等条件人员，并按照滁州市有关规定履行变更审批程序。（2）总监代表、监理部等关键岗位人员变更必须经发包人批准，除亡故、重大疾病、出国、辞职等原因外，原则上不得变更。其中，亡故的需提供公安部门开具的死亡证明；重大疾病的需提供三甲及以上医院证明；出国、辞职等原因提出变更的，除需提供相关证明外，须缴纳50000元违约金，否则不得变更。变更后的总监代表、监理部等关键岗位人员必须符合本项目招标文件和投标承诺配备的同等条件人员。    </w:t>
      </w:r>
    </w:p>
    <w:p w14:paraId="7E5718BB">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2.4 </w:t>
      </w:r>
      <w:r>
        <w:rPr>
          <w:rFonts w:hint="eastAsia" w:ascii="宋体" w:hAnsi="宋体" w:eastAsia="宋体" w:cs="宋体"/>
          <w:color w:val="auto"/>
          <w:kern w:val="0"/>
          <w:sz w:val="21"/>
          <w:szCs w:val="21"/>
          <w:highlight w:val="none"/>
        </w:rPr>
        <w:t>履行职责</w:t>
      </w:r>
    </w:p>
    <w:p w14:paraId="46F5E27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 对监理人的授权范围：</w:t>
      </w:r>
      <w:r>
        <w:rPr>
          <w:rFonts w:hint="eastAsia" w:ascii="宋体" w:hAnsi="宋体" w:eastAsia="宋体" w:cs="宋体"/>
          <w:color w:val="auto"/>
          <w:sz w:val="21"/>
          <w:szCs w:val="21"/>
          <w:highlight w:val="none"/>
          <w:u w:val="single"/>
        </w:rPr>
        <w:t>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注册建造师及有关人员的建议权；分包单位资质及能力的审查权；等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A32606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outlineLvl w:val="0"/>
        <w:rPr>
          <w:rFonts w:hint="eastAsia" w:ascii="宋体" w:hAnsi="宋体" w:eastAsia="宋体" w:cs="宋体"/>
          <w:color w:val="auto"/>
          <w:sz w:val="21"/>
          <w:szCs w:val="21"/>
          <w:highlight w:val="none"/>
        </w:rPr>
      </w:pPr>
      <w:bookmarkStart w:id="101" w:name="_Toc5124"/>
      <w:bookmarkStart w:id="102" w:name="_Toc32002"/>
      <w:bookmarkStart w:id="103" w:name="_Toc29908"/>
      <w:bookmarkStart w:id="104" w:name="_Toc23904"/>
      <w:r>
        <w:rPr>
          <w:rFonts w:hint="eastAsia" w:ascii="宋体" w:hAnsi="宋体" w:eastAsia="宋体" w:cs="宋体"/>
          <w:color w:val="auto"/>
          <w:sz w:val="21"/>
          <w:szCs w:val="21"/>
          <w:highlight w:val="none"/>
        </w:rPr>
        <w:t>在涉及工程延期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天内和（或）金额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万元内的变更，监理人不需请示委托人即可向承包人发布变更通知。</w:t>
      </w:r>
      <w:bookmarkEnd w:id="101"/>
      <w:bookmarkEnd w:id="102"/>
      <w:bookmarkEnd w:id="103"/>
      <w:bookmarkEnd w:id="104"/>
    </w:p>
    <w:p w14:paraId="3E5466D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default" w:ascii="宋体" w:hAnsi="宋体" w:eastAsia="宋体" w:cs="宋体"/>
          <w:strike w:val="0"/>
          <w:dstrike w:val="0"/>
          <w:color w:val="auto"/>
          <w:sz w:val="21"/>
          <w:szCs w:val="21"/>
          <w:highlight w:val="none"/>
          <w:u w:val="single"/>
          <w:lang w:val="en-US"/>
        </w:rPr>
      </w:pPr>
      <w:r>
        <w:rPr>
          <w:rFonts w:hint="eastAsia" w:ascii="宋体" w:hAnsi="宋体" w:eastAsia="宋体" w:cs="宋体"/>
          <w:color w:val="auto"/>
          <w:kern w:val="0"/>
          <w:sz w:val="21"/>
          <w:szCs w:val="21"/>
          <w:highlight w:val="none"/>
        </w:rPr>
        <w:t>2.4.4 监理人有权要求承包人调换其人员</w:t>
      </w:r>
      <w:r>
        <w:rPr>
          <w:rFonts w:hint="eastAsia" w:ascii="宋体" w:hAnsi="宋体" w:eastAsia="宋体" w:cs="宋体"/>
          <w:color w:val="auto"/>
          <w:sz w:val="21"/>
          <w:szCs w:val="21"/>
          <w:highlight w:val="none"/>
        </w:rPr>
        <w:t>的限制条件：</w:t>
      </w:r>
      <w:r>
        <w:rPr>
          <w:rFonts w:hint="eastAsia" w:ascii="宋体" w:hAnsi="宋体" w:eastAsia="宋体" w:cs="宋体"/>
          <w:strike w:val="0"/>
          <w:dstrike w:val="0"/>
          <w:color w:val="auto"/>
          <w:sz w:val="21"/>
          <w:szCs w:val="21"/>
          <w:highlight w:val="none"/>
          <w:u w:val="single"/>
          <w:lang w:val="en-US" w:eastAsia="zh-CN"/>
        </w:rPr>
        <w:t xml:space="preserve">                           。      </w:t>
      </w:r>
    </w:p>
    <w:p w14:paraId="2FF6684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2.5 </w:t>
      </w:r>
      <w:r>
        <w:rPr>
          <w:rFonts w:hint="eastAsia" w:ascii="宋体" w:hAnsi="宋体" w:eastAsia="宋体" w:cs="宋体"/>
          <w:color w:val="auto"/>
          <w:sz w:val="21"/>
          <w:szCs w:val="21"/>
          <w:highlight w:val="none"/>
        </w:rPr>
        <w:t>提交</w:t>
      </w:r>
      <w:r>
        <w:rPr>
          <w:rFonts w:hint="eastAsia" w:ascii="宋体" w:hAnsi="宋体" w:eastAsia="宋体" w:cs="宋体"/>
          <w:color w:val="auto"/>
          <w:kern w:val="0"/>
          <w:sz w:val="21"/>
          <w:szCs w:val="21"/>
          <w:highlight w:val="none"/>
        </w:rPr>
        <w:t>报告</w:t>
      </w:r>
    </w:p>
    <w:p w14:paraId="3184E85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监理人应提交报告的种类(</w:t>
      </w:r>
      <w:r>
        <w:rPr>
          <w:rFonts w:hint="eastAsia" w:ascii="宋体" w:hAnsi="宋体" w:eastAsia="宋体" w:cs="宋体"/>
          <w:color w:val="auto"/>
          <w:kern w:val="0"/>
          <w:sz w:val="21"/>
          <w:szCs w:val="21"/>
          <w:highlight w:val="none"/>
        </w:rPr>
        <w:t>包括监理规划、监理月报及约定的专项报告)</w:t>
      </w:r>
      <w:r>
        <w:rPr>
          <w:rFonts w:hint="eastAsia" w:ascii="宋体" w:hAnsi="宋体" w:eastAsia="宋体" w:cs="宋体"/>
          <w:color w:val="auto"/>
          <w:sz w:val="21"/>
          <w:szCs w:val="21"/>
          <w:highlight w:val="none"/>
        </w:rPr>
        <w:t>、时间和份数</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94E1ECC">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 使用委托人的财产</w:t>
      </w:r>
    </w:p>
    <w:p w14:paraId="2D752DAC">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附录B中由委托人无偿提供的房屋、设备的所有权属于：</w:t>
      </w:r>
      <w:r>
        <w:rPr>
          <w:rFonts w:hint="eastAsia" w:ascii="宋体" w:hAnsi="宋体" w:eastAsia="宋体" w:cs="宋体"/>
          <w:color w:val="auto"/>
          <w:sz w:val="21"/>
          <w:szCs w:val="21"/>
          <w:highlight w:val="none"/>
          <w:u w:val="single"/>
        </w:rPr>
        <w:t xml:space="preserve"> 委托人的财产 </w:t>
      </w:r>
      <w:r>
        <w:rPr>
          <w:rFonts w:hint="eastAsia" w:ascii="宋体" w:hAnsi="宋体" w:eastAsia="宋体" w:cs="宋体"/>
          <w:color w:val="auto"/>
          <w:sz w:val="21"/>
          <w:szCs w:val="21"/>
          <w:highlight w:val="none"/>
        </w:rPr>
        <w:t>。</w:t>
      </w:r>
    </w:p>
    <w:p w14:paraId="07E34900">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监理人应在本合同终止后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天内移交委托人无偿提供的房屋、设备，移交的时间和方式为：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E98124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 xml:space="preserve">3. 委托人义务  </w:t>
      </w:r>
    </w:p>
    <w:p w14:paraId="097934B7">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3.4 委托人代表</w:t>
      </w:r>
    </w:p>
    <w:p w14:paraId="6DBD188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委托人代表为：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C3DC0F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 答复</w:t>
      </w:r>
    </w:p>
    <w:p w14:paraId="6E971EC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委托人同意在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天内，对监理人书面提交并要求做出决定的事宜给予书面答复。</w:t>
      </w:r>
    </w:p>
    <w:p w14:paraId="28B2D12B">
      <w:pPr>
        <w:keepNext w:val="0"/>
        <w:keepLines w:val="0"/>
        <w:pageBreakBefore w:val="0"/>
        <w:widowControl w:val="0"/>
        <w:kinsoku/>
        <w:wordWrap/>
        <w:overflowPunct/>
        <w:topLinePunct w:val="0"/>
        <w:autoSpaceDE/>
        <w:autoSpaceDN/>
        <w:bidi w:val="0"/>
        <w:snapToGrid w:val="0"/>
        <w:spacing w:line="44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 违约责任</w:t>
      </w:r>
    </w:p>
    <w:p w14:paraId="23B28ED4">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 监理人的违约责任</w:t>
      </w:r>
    </w:p>
    <w:p w14:paraId="7AC3A0B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4.1.1监理人赔偿金额按下列方法确定：</w:t>
      </w:r>
    </w:p>
    <w:p w14:paraId="3B06A0A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赔偿金＝直接经济损失×正常工作酬金÷工程概算</w:t>
      </w:r>
      <w:r>
        <w:rPr>
          <w:rFonts w:hint="eastAsia" w:ascii="宋体" w:hAnsi="宋体" w:eastAsia="宋体" w:cs="宋体"/>
          <w:color w:val="auto"/>
          <w:kern w:val="0"/>
          <w:sz w:val="21"/>
          <w:szCs w:val="21"/>
          <w:highlight w:val="none"/>
        </w:rPr>
        <w:t>投资额（或建筑安装工程费）</w:t>
      </w:r>
    </w:p>
    <w:p w14:paraId="045BD923">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 委托人的违约责任</w:t>
      </w:r>
    </w:p>
    <w:p w14:paraId="3A250A46">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4.2.3 委托人</w:t>
      </w:r>
      <w:r>
        <w:rPr>
          <w:rFonts w:hint="eastAsia" w:ascii="宋体" w:hAnsi="宋体" w:eastAsia="宋体" w:cs="宋体"/>
          <w:color w:val="auto"/>
          <w:kern w:val="0"/>
          <w:sz w:val="21"/>
          <w:szCs w:val="21"/>
          <w:highlight w:val="none"/>
        </w:rPr>
        <w:t>逾期付款利息按下列方法确定：</w:t>
      </w:r>
    </w:p>
    <w:p w14:paraId="171C8BB8">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逾期付款利息＝当期应付款总额×银行同期贷款利率×拖延支付天数</w:t>
      </w:r>
    </w:p>
    <w:p w14:paraId="5A61F858">
      <w:pPr>
        <w:keepNext w:val="0"/>
        <w:keepLines w:val="0"/>
        <w:pageBreakBefore w:val="0"/>
        <w:widowControl w:val="0"/>
        <w:kinsoku/>
        <w:wordWrap/>
        <w:overflowPunct/>
        <w:topLinePunct w:val="0"/>
        <w:autoSpaceDE/>
        <w:autoSpaceDN/>
        <w:bidi w:val="0"/>
        <w:snapToGrid w:val="0"/>
        <w:spacing w:line="440" w:lineRule="exact"/>
        <w:ind w:left="0" w:leftChars="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5. 支付</w:t>
      </w:r>
    </w:p>
    <w:p w14:paraId="04C0B39C">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5.1 </w:t>
      </w:r>
      <w:r>
        <w:rPr>
          <w:rFonts w:hint="eastAsia" w:ascii="宋体" w:hAnsi="宋体" w:eastAsia="宋体" w:cs="宋体"/>
          <w:bCs/>
          <w:color w:val="auto"/>
          <w:sz w:val="21"/>
          <w:szCs w:val="21"/>
          <w:highlight w:val="none"/>
        </w:rPr>
        <w:t>支付货币</w:t>
      </w:r>
    </w:p>
    <w:p w14:paraId="78B45462">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币种为：</w:t>
      </w:r>
      <w:r>
        <w:rPr>
          <w:rFonts w:hint="eastAsia" w:ascii="宋体" w:hAnsi="宋体" w:eastAsia="宋体" w:cs="宋体"/>
          <w:color w:val="auto"/>
          <w:sz w:val="21"/>
          <w:szCs w:val="21"/>
          <w:highlight w:val="none"/>
          <w:u w:val="single"/>
        </w:rPr>
        <w:t xml:space="preserve"> 人民币  </w:t>
      </w:r>
      <w:r>
        <w:rPr>
          <w:rFonts w:hint="eastAsia" w:ascii="宋体" w:hAnsi="宋体" w:eastAsia="宋体" w:cs="宋体"/>
          <w:color w:val="auto"/>
          <w:sz w:val="21"/>
          <w:szCs w:val="21"/>
          <w:highlight w:val="none"/>
        </w:rPr>
        <w:t>，比例为：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，汇率为：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18F2230">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 支付酬金</w:t>
      </w:r>
    </w:p>
    <w:p w14:paraId="4C1490D2">
      <w:pPr>
        <w:keepNext w:val="0"/>
        <w:keepLines w:val="0"/>
        <w:pageBreakBefore w:val="0"/>
        <w:widowControl/>
        <w:kinsoku/>
        <w:wordWrap/>
        <w:overflowPunct/>
        <w:topLinePunct w:val="0"/>
        <w:autoSpaceDE/>
        <w:autoSpaceDN/>
        <w:bidi w:val="0"/>
        <w:adjustRightInd w:val="0"/>
        <w:spacing w:line="440" w:lineRule="exact"/>
        <w:ind w:firstLine="422" w:firstLineChars="200"/>
        <w:jc w:val="left"/>
        <w:textAlignment w:val="auto"/>
        <w:rPr>
          <w:rFonts w:hint="eastAsia" w:ascii="宋体" w:hAnsi="宋体" w:eastAsia="宋体" w:cs="宋体"/>
          <w:b/>
          <w:color w:val="auto"/>
          <w:sz w:val="21"/>
          <w:szCs w:val="21"/>
          <w:highlight w:val="none"/>
          <w:u w:val="single"/>
          <w:lang w:bidi="ar-SA"/>
        </w:rPr>
      </w:pPr>
      <w:r>
        <w:rPr>
          <w:rFonts w:hint="eastAsia" w:ascii="宋体" w:hAnsi="宋体" w:eastAsia="宋体" w:cs="宋体"/>
          <w:b/>
          <w:color w:val="auto"/>
          <w:szCs w:val="21"/>
          <w:highlight w:val="none"/>
          <w:lang w:bidi="ar-SA"/>
        </w:rPr>
        <w:t>支付方式：</w:t>
      </w:r>
      <w:r>
        <w:rPr>
          <w:rFonts w:hint="eastAsia" w:ascii="宋体" w:hAnsi="宋体" w:eastAsia="宋体" w:cs="宋体"/>
          <w:b/>
          <w:color w:val="auto"/>
          <w:szCs w:val="21"/>
          <w:highlight w:val="none"/>
          <w:lang w:val="en-US" w:eastAsia="zh-CN" w:bidi="ar-SA"/>
        </w:rPr>
        <w:t>合同签订且具备实施条件后，支付合同价的40%预付款（扣除暂列金额）（预付款支付前，中标人须提供同等金额的见索即付保函），根据施工请款资料，于次月按照完成合格工程量的60%支付监理费，累计支付至监理范围内全部合格工程量的60%停止拨付，竣工验收合格、资料归档付清余款。（注：发包人在政府资金调度会批准且发票送达后完成支付）</w:t>
      </w:r>
      <w:r>
        <w:rPr>
          <w:rFonts w:hint="eastAsia" w:ascii="宋体" w:hAnsi="宋体" w:eastAsia="宋体" w:cs="宋体"/>
          <w:b/>
          <w:color w:val="auto"/>
          <w:szCs w:val="21"/>
          <w:highlight w:val="none"/>
          <w:lang w:eastAsia="zh-CN" w:bidi="ar-SA"/>
        </w:rPr>
        <w:t>。</w:t>
      </w:r>
    </w:p>
    <w:p w14:paraId="79FC44DA">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6</w:t>
      </w:r>
      <w:r>
        <w:rPr>
          <w:rFonts w:hint="eastAsia" w:ascii="宋体" w:hAnsi="宋体" w:eastAsia="宋体" w:cs="宋体"/>
          <w:b/>
          <w:bCs/>
          <w:color w:val="auto"/>
          <w:sz w:val="21"/>
          <w:szCs w:val="21"/>
          <w:highlight w:val="none"/>
        </w:rPr>
        <w:t>. 合同生效、变更、暂停、解除与终止</w:t>
      </w:r>
    </w:p>
    <w:p w14:paraId="4A6CA08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生效</w:t>
      </w:r>
    </w:p>
    <w:p w14:paraId="2A45FE0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本合同生效条件：</w:t>
      </w:r>
      <w:r>
        <w:rPr>
          <w:rFonts w:hint="eastAsia" w:ascii="宋体" w:hAnsi="宋体" w:eastAsia="宋体" w:cs="宋体"/>
          <w:color w:val="auto"/>
          <w:sz w:val="21"/>
          <w:szCs w:val="21"/>
          <w:highlight w:val="none"/>
          <w:u w:val="single"/>
        </w:rPr>
        <w:t xml:space="preserve">   委托人和监理人的法定代表人或其授权代理人在协议书上签字并盖单位章后本合同生效     </w:t>
      </w:r>
      <w:r>
        <w:rPr>
          <w:rFonts w:hint="eastAsia" w:ascii="宋体" w:hAnsi="宋体" w:eastAsia="宋体" w:cs="宋体"/>
          <w:color w:val="auto"/>
          <w:sz w:val="21"/>
          <w:szCs w:val="21"/>
          <w:highlight w:val="none"/>
        </w:rPr>
        <w:t>。</w:t>
      </w:r>
    </w:p>
    <w:p w14:paraId="4FA1B5A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变更</w:t>
      </w:r>
    </w:p>
    <w:p w14:paraId="6BC352C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6.2.2 除不可抗力外， 因非监理人原因导致本合同期限延长时，附加工作酬金按下列方法确定：</w:t>
      </w:r>
    </w:p>
    <w:p w14:paraId="230733ED">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附加工作</w:t>
      </w:r>
      <w:r>
        <w:rPr>
          <w:rFonts w:hint="eastAsia" w:ascii="宋体" w:hAnsi="宋体" w:eastAsia="宋体" w:cs="宋体"/>
          <w:color w:val="auto"/>
          <w:sz w:val="21"/>
          <w:szCs w:val="21"/>
          <w:highlight w:val="none"/>
        </w:rPr>
        <w:t>酬金</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本合同期限延长</w:t>
      </w:r>
      <w:r>
        <w:rPr>
          <w:rFonts w:hint="eastAsia" w:ascii="宋体" w:hAnsi="宋体" w:eastAsia="宋体" w:cs="宋体"/>
          <w:color w:val="auto"/>
          <w:kern w:val="0"/>
          <w:sz w:val="21"/>
          <w:szCs w:val="21"/>
          <w:highlight w:val="none"/>
        </w:rPr>
        <w:t>时间（天）×正常工作酬金÷</w:t>
      </w:r>
      <w:r>
        <w:rPr>
          <w:rFonts w:hint="eastAsia" w:ascii="宋体" w:hAnsi="宋体" w:eastAsia="宋体" w:cs="宋体"/>
          <w:color w:val="auto"/>
          <w:sz w:val="21"/>
          <w:szCs w:val="21"/>
          <w:highlight w:val="none"/>
        </w:rPr>
        <w:t>协议书约定的监理与相关服务期限</w:t>
      </w:r>
      <w:r>
        <w:rPr>
          <w:rFonts w:hint="eastAsia" w:ascii="宋体" w:hAnsi="宋体" w:eastAsia="宋体" w:cs="宋体"/>
          <w:color w:val="auto"/>
          <w:kern w:val="0"/>
          <w:sz w:val="21"/>
          <w:szCs w:val="21"/>
          <w:highlight w:val="none"/>
        </w:rPr>
        <w:t>（天）</w:t>
      </w:r>
    </w:p>
    <w:p w14:paraId="5AA388A5">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6.2.3附加工作酬金按下列方法确定：</w:t>
      </w:r>
    </w:p>
    <w:p w14:paraId="18900355">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附加工作</w:t>
      </w:r>
      <w:r>
        <w:rPr>
          <w:rFonts w:hint="eastAsia" w:ascii="宋体" w:hAnsi="宋体" w:eastAsia="宋体" w:cs="宋体"/>
          <w:color w:val="auto"/>
          <w:sz w:val="21"/>
          <w:szCs w:val="21"/>
          <w:highlight w:val="none"/>
        </w:rPr>
        <w:t>酬金</w:t>
      </w:r>
      <w:r>
        <w:rPr>
          <w:rFonts w:hint="eastAsia" w:ascii="宋体" w:hAnsi="宋体" w:eastAsia="宋体" w:cs="宋体"/>
          <w:color w:val="auto"/>
          <w:kern w:val="0"/>
          <w:sz w:val="21"/>
          <w:szCs w:val="21"/>
          <w:highlight w:val="none"/>
        </w:rPr>
        <w:t>=善后工作及恢复服务的准备工作时间（天）×正常工作酬金÷</w:t>
      </w:r>
      <w:r>
        <w:rPr>
          <w:rFonts w:hint="eastAsia" w:ascii="宋体" w:hAnsi="宋体" w:eastAsia="宋体" w:cs="宋体"/>
          <w:color w:val="auto"/>
          <w:sz w:val="21"/>
          <w:szCs w:val="21"/>
          <w:highlight w:val="none"/>
        </w:rPr>
        <w:t>协议书约定的监理与相关服务期限</w:t>
      </w:r>
      <w:r>
        <w:rPr>
          <w:rFonts w:hint="eastAsia" w:ascii="宋体" w:hAnsi="宋体" w:eastAsia="宋体" w:cs="宋体"/>
          <w:color w:val="auto"/>
          <w:kern w:val="0"/>
          <w:sz w:val="21"/>
          <w:szCs w:val="21"/>
          <w:highlight w:val="none"/>
        </w:rPr>
        <w:t>（天）</w:t>
      </w:r>
    </w:p>
    <w:p w14:paraId="19A9875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6.2.5 正常工作酬金增加额按下列方法确定： </w:t>
      </w:r>
    </w:p>
    <w:p w14:paraId="3E5E009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正常工作酬金增加额</w:t>
      </w:r>
      <w:r>
        <w:rPr>
          <w:rFonts w:hint="eastAsia" w:ascii="宋体" w:hAnsi="宋体" w:eastAsia="宋体" w:cs="宋体"/>
          <w:color w:val="auto"/>
          <w:kern w:val="0"/>
          <w:sz w:val="21"/>
          <w:szCs w:val="21"/>
          <w:highlight w:val="none"/>
        </w:rPr>
        <w:t>=工程投资额</w:t>
      </w:r>
      <w:r>
        <w:rPr>
          <w:rFonts w:hint="eastAsia" w:ascii="宋体" w:hAnsi="宋体" w:eastAsia="宋体" w:cs="宋体"/>
          <w:color w:val="auto"/>
          <w:sz w:val="21"/>
          <w:szCs w:val="21"/>
          <w:highlight w:val="none"/>
        </w:rPr>
        <w:t>或建筑安装工程费</w:t>
      </w:r>
      <w:r>
        <w:rPr>
          <w:rFonts w:hint="eastAsia" w:ascii="宋体" w:hAnsi="宋体" w:eastAsia="宋体" w:cs="宋体"/>
          <w:color w:val="auto"/>
          <w:kern w:val="0"/>
          <w:sz w:val="21"/>
          <w:szCs w:val="21"/>
          <w:highlight w:val="none"/>
        </w:rPr>
        <w:t>增加额×正常工作酬金÷工程概算投资额（或建筑安装工程费）</w:t>
      </w:r>
    </w:p>
    <w:p w14:paraId="154DC2EF">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6.2.6 因工程规模、监理范围的变化导致监理人的正常工作量减少时，按减少工作量的比例从协议书约定的正常工作酬金中扣减相同比例的酬金。</w:t>
      </w:r>
    </w:p>
    <w:p w14:paraId="309011ED">
      <w:pPr>
        <w:keepNext w:val="0"/>
        <w:keepLines w:val="0"/>
        <w:pageBreakBefore w:val="0"/>
        <w:widowControl w:val="0"/>
        <w:kinsoku/>
        <w:wordWrap/>
        <w:overflowPunct/>
        <w:topLinePunct w:val="0"/>
        <w:autoSpaceDE/>
        <w:autoSpaceDN/>
        <w:bidi w:val="0"/>
        <w:snapToGrid w:val="0"/>
        <w:spacing w:line="440" w:lineRule="exact"/>
        <w:ind w:left="0" w:leftChars="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7. 争议解决</w:t>
      </w:r>
    </w:p>
    <w:p w14:paraId="0B6F1CBE">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7.2 </w:t>
      </w:r>
      <w:r>
        <w:rPr>
          <w:rFonts w:hint="eastAsia" w:ascii="宋体" w:hAnsi="宋体" w:eastAsia="宋体" w:cs="宋体"/>
          <w:bCs/>
          <w:color w:val="auto"/>
          <w:sz w:val="21"/>
          <w:szCs w:val="21"/>
          <w:highlight w:val="none"/>
        </w:rPr>
        <w:t>调解</w:t>
      </w:r>
    </w:p>
    <w:p w14:paraId="0C70466F">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本合同争议进行调解时，可提交</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进行调解。</w:t>
      </w:r>
    </w:p>
    <w:p w14:paraId="55F2802C">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7.3 </w:t>
      </w:r>
      <w:r>
        <w:rPr>
          <w:rFonts w:hint="eastAsia" w:ascii="宋体" w:hAnsi="宋体" w:eastAsia="宋体" w:cs="宋体"/>
          <w:bCs/>
          <w:color w:val="auto"/>
          <w:sz w:val="21"/>
          <w:szCs w:val="21"/>
          <w:highlight w:val="none"/>
        </w:rPr>
        <w:t>仲裁或诉讼</w:t>
      </w:r>
    </w:p>
    <w:p w14:paraId="432677A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合同争议的最终解决方式为下列第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w:t>
      </w:r>
    </w:p>
    <w:p w14:paraId="6AC3F74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滁州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仲裁委员会进行仲裁。</w:t>
      </w:r>
    </w:p>
    <w:p w14:paraId="58C7043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人民法院提起诉讼。</w:t>
      </w:r>
    </w:p>
    <w:p w14:paraId="0DFC091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 其他</w:t>
      </w:r>
    </w:p>
    <w:p w14:paraId="440FEC9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8.2 检测费用</w:t>
      </w:r>
    </w:p>
    <w:p w14:paraId="326EEAA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委托人应在检测工作完成后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天内支付检测费用。</w:t>
      </w:r>
    </w:p>
    <w:p w14:paraId="7FB77D3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8.3 咨询费用</w:t>
      </w:r>
    </w:p>
    <w:p w14:paraId="7244400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委托人应在咨询工作完成后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天内支付咨询费用。</w:t>
      </w:r>
    </w:p>
    <w:p w14:paraId="0E292EF3">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 奖励</w:t>
      </w:r>
    </w:p>
    <w:p w14:paraId="08549F1A">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合理化建议的奖励金额按下列方法确定为：</w:t>
      </w:r>
    </w:p>
    <w:p w14:paraId="323FE8D8">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奖励金额＝工程投资节省额×奖励金额的比率；</w:t>
      </w:r>
    </w:p>
    <w:p w14:paraId="6C5F6F9A">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奖励金额的比率为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7AAAE4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 保密</w:t>
      </w:r>
    </w:p>
    <w:p w14:paraId="0D6A033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委托人申明的保密事项和期限：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F39F4B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监理人申明的保密事项和期限：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A7A5C0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outlineLvl w:val="0"/>
        <w:rPr>
          <w:rFonts w:hint="eastAsia" w:ascii="宋体" w:hAnsi="宋体" w:eastAsia="宋体" w:cs="宋体"/>
          <w:color w:val="auto"/>
          <w:sz w:val="21"/>
          <w:szCs w:val="21"/>
          <w:highlight w:val="none"/>
          <w:u w:val="single"/>
        </w:rPr>
      </w:pPr>
      <w:bookmarkStart w:id="105" w:name="_Toc32419"/>
      <w:bookmarkStart w:id="106" w:name="_Toc5493"/>
      <w:bookmarkStart w:id="107" w:name="_Toc25154"/>
      <w:r>
        <w:rPr>
          <w:rFonts w:hint="eastAsia" w:ascii="宋体" w:hAnsi="宋体" w:eastAsia="宋体" w:cs="宋体"/>
          <w:color w:val="auto"/>
          <w:sz w:val="21"/>
          <w:szCs w:val="21"/>
          <w:highlight w:val="none"/>
        </w:rPr>
        <w:t>第三方申明的保密事项和期限：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05"/>
      <w:bookmarkEnd w:id="106"/>
      <w:bookmarkEnd w:id="107"/>
    </w:p>
    <w:p w14:paraId="0E175193">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outlineLvl w:val="0"/>
        <w:rPr>
          <w:rFonts w:hint="eastAsia" w:ascii="宋体" w:hAnsi="宋体" w:eastAsia="宋体" w:cs="宋体"/>
          <w:bCs/>
          <w:color w:val="auto"/>
          <w:sz w:val="21"/>
          <w:szCs w:val="21"/>
          <w:highlight w:val="none"/>
        </w:rPr>
      </w:pPr>
      <w:bookmarkStart w:id="108" w:name="_Toc9556"/>
      <w:bookmarkStart w:id="109" w:name="_Toc25677"/>
      <w:bookmarkStart w:id="110" w:name="_Toc15769"/>
      <w:r>
        <w:rPr>
          <w:rFonts w:hint="eastAsia" w:ascii="宋体" w:hAnsi="宋体" w:eastAsia="宋体" w:cs="宋体"/>
          <w:color w:val="auto"/>
          <w:sz w:val="21"/>
          <w:szCs w:val="21"/>
          <w:highlight w:val="none"/>
        </w:rPr>
        <w:t>8.8</w:t>
      </w:r>
      <w:r>
        <w:rPr>
          <w:rFonts w:hint="eastAsia" w:ascii="宋体" w:hAnsi="宋体" w:eastAsia="宋体" w:cs="宋体"/>
          <w:bCs/>
          <w:color w:val="auto"/>
          <w:sz w:val="21"/>
          <w:szCs w:val="21"/>
          <w:highlight w:val="none"/>
        </w:rPr>
        <w:t>著作权</w:t>
      </w:r>
      <w:bookmarkEnd w:id="108"/>
      <w:bookmarkEnd w:id="109"/>
      <w:bookmarkEnd w:id="110"/>
    </w:p>
    <w:p w14:paraId="79B6BDDE">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监理人在本合同履行期间及本合同终止后两年内出版涉及本工程的有关监理与相关服务的资料的限制条件：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16A01BE">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bookmarkStart w:id="111" w:name="_Toc18787"/>
      <w:r>
        <w:rPr>
          <w:rFonts w:hint="eastAsia" w:ascii="宋体" w:hAnsi="宋体" w:eastAsia="宋体" w:cs="宋体"/>
          <w:b/>
          <w:bCs/>
          <w:color w:val="auto"/>
          <w:sz w:val="32"/>
          <w:szCs w:val="32"/>
          <w:highlight w:val="none"/>
        </w:rPr>
        <w:t>补充条款</w:t>
      </w:r>
      <w:bookmarkEnd w:id="111"/>
    </w:p>
    <w:p w14:paraId="5BCE1E62">
      <w:pPr>
        <w:pStyle w:val="78"/>
        <w:keepNext w:val="0"/>
        <w:keepLines w:val="0"/>
        <w:pageBreakBefore w:val="0"/>
        <w:widowControl/>
        <w:kinsoku/>
        <w:wordWrap/>
        <w:overflowPunct/>
        <w:topLinePunct w:val="0"/>
        <w:autoSpaceDE/>
        <w:autoSpaceDN/>
        <w:bidi w:val="0"/>
        <w:snapToGrid/>
        <w:spacing w:before="0" w:beforeLines="0" w:after="0" w:afterLines="0" w:line="440" w:lineRule="exact"/>
        <w:ind w:left="0" w:right="0" w:firstLine="422"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b/>
          <w:bCs/>
          <w:color w:val="auto"/>
          <w:sz w:val="21"/>
          <w:szCs w:val="21"/>
          <w:highlight w:val="none"/>
        </w:rPr>
        <w:t xml:space="preserve">1、总监理工程师: </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p>
    <w:p w14:paraId="4245BF67">
      <w:pPr>
        <w:pStyle w:val="78"/>
        <w:keepNext w:val="0"/>
        <w:keepLines w:val="0"/>
        <w:pageBreakBefore w:val="0"/>
        <w:widowControl/>
        <w:kinsoku/>
        <w:wordWrap/>
        <w:overflowPunct/>
        <w:topLinePunct w:val="0"/>
        <w:autoSpaceDE/>
        <w:autoSpaceDN/>
        <w:bidi w:val="0"/>
        <w:snapToGrid/>
        <w:spacing w:before="0" w:beforeLines="0" w:after="0" w:afterLines="0" w:line="440" w:lineRule="exact"/>
        <w:ind w:left="0" w:right="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2、总监理工程师情况一览表</w:t>
      </w:r>
    </w:p>
    <w:tbl>
      <w:tblPr>
        <w:tblStyle w:val="25"/>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166"/>
        <w:gridCol w:w="788"/>
        <w:gridCol w:w="1395"/>
        <w:gridCol w:w="1540"/>
        <w:gridCol w:w="1735"/>
        <w:gridCol w:w="1890"/>
      </w:tblGrid>
      <w:tr w14:paraId="1DC7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 w:hRule="atLeast"/>
          <w:jc w:val="center"/>
        </w:trPr>
        <w:tc>
          <w:tcPr>
            <w:tcW w:w="1366" w:type="dxa"/>
            <w:noWrap w:val="0"/>
            <w:vAlign w:val="center"/>
          </w:tcPr>
          <w:p w14:paraId="6DC0E5EC">
            <w:pPr>
              <w:keepNext w:val="0"/>
              <w:keepLines w:val="0"/>
              <w:pageBreakBefore w:val="0"/>
              <w:kinsoku/>
              <w:wordWrap/>
              <w:overflowPunct/>
              <w:topLinePunct w:val="0"/>
              <w:autoSpaceDE/>
              <w:autoSpaceDN/>
              <w:bidi w:val="0"/>
              <w:snapToGrid/>
              <w:spacing w:line="44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姓  名</w:t>
            </w:r>
          </w:p>
        </w:tc>
        <w:tc>
          <w:tcPr>
            <w:tcW w:w="1166" w:type="dxa"/>
            <w:noWrap w:val="0"/>
            <w:vAlign w:val="center"/>
          </w:tcPr>
          <w:p w14:paraId="2DBAA434">
            <w:pPr>
              <w:keepNext w:val="0"/>
              <w:keepLines w:val="0"/>
              <w:pageBreakBefore w:val="0"/>
              <w:kinsoku/>
              <w:wordWrap/>
              <w:overflowPunct/>
              <w:topLinePunct w:val="0"/>
              <w:autoSpaceDE/>
              <w:autoSpaceDN/>
              <w:bidi w:val="0"/>
              <w:snapToGrid/>
              <w:spacing w:line="44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年龄</w:t>
            </w:r>
          </w:p>
        </w:tc>
        <w:tc>
          <w:tcPr>
            <w:tcW w:w="788" w:type="dxa"/>
            <w:noWrap w:val="0"/>
            <w:vAlign w:val="center"/>
          </w:tcPr>
          <w:p w14:paraId="33B7F327">
            <w:pPr>
              <w:keepNext w:val="0"/>
              <w:keepLines w:val="0"/>
              <w:pageBreakBefore w:val="0"/>
              <w:kinsoku/>
              <w:wordWrap/>
              <w:overflowPunct/>
              <w:topLinePunct w:val="0"/>
              <w:autoSpaceDE/>
              <w:autoSpaceDN/>
              <w:bidi w:val="0"/>
              <w:snapToGrid/>
              <w:spacing w:line="44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性别</w:t>
            </w:r>
          </w:p>
        </w:tc>
        <w:tc>
          <w:tcPr>
            <w:tcW w:w="1395" w:type="dxa"/>
            <w:noWrap w:val="0"/>
            <w:vAlign w:val="center"/>
          </w:tcPr>
          <w:p w14:paraId="5A5B7850">
            <w:pPr>
              <w:keepNext w:val="0"/>
              <w:keepLines w:val="0"/>
              <w:pageBreakBefore w:val="0"/>
              <w:kinsoku/>
              <w:wordWrap/>
              <w:overflowPunct/>
              <w:topLinePunct w:val="0"/>
              <w:autoSpaceDE/>
              <w:autoSpaceDN/>
              <w:bidi w:val="0"/>
              <w:snapToGrid/>
              <w:spacing w:line="44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职称</w:t>
            </w:r>
          </w:p>
        </w:tc>
        <w:tc>
          <w:tcPr>
            <w:tcW w:w="1540" w:type="dxa"/>
            <w:noWrap w:val="0"/>
            <w:vAlign w:val="center"/>
          </w:tcPr>
          <w:p w14:paraId="15BD03D5">
            <w:pPr>
              <w:keepNext w:val="0"/>
              <w:keepLines w:val="0"/>
              <w:pageBreakBefore w:val="0"/>
              <w:kinsoku/>
              <w:wordWrap/>
              <w:overflowPunct/>
              <w:topLinePunct w:val="0"/>
              <w:autoSpaceDE/>
              <w:autoSpaceDN/>
              <w:bidi w:val="0"/>
              <w:snapToGrid/>
              <w:spacing w:line="44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拟任职务</w:t>
            </w:r>
          </w:p>
        </w:tc>
        <w:tc>
          <w:tcPr>
            <w:tcW w:w="1735" w:type="dxa"/>
            <w:noWrap w:val="0"/>
            <w:vAlign w:val="center"/>
          </w:tcPr>
          <w:p w14:paraId="072C746A">
            <w:pPr>
              <w:keepNext w:val="0"/>
              <w:keepLines w:val="0"/>
              <w:pageBreakBefore w:val="0"/>
              <w:kinsoku/>
              <w:wordWrap/>
              <w:overflowPunct/>
              <w:topLinePunct w:val="0"/>
              <w:autoSpaceDE/>
              <w:autoSpaceDN/>
              <w:bidi w:val="0"/>
              <w:snapToGrid/>
              <w:spacing w:line="44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持证名称</w:t>
            </w:r>
          </w:p>
        </w:tc>
        <w:tc>
          <w:tcPr>
            <w:tcW w:w="1890" w:type="dxa"/>
            <w:noWrap w:val="0"/>
            <w:vAlign w:val="center"/>
          </w:tcPr>
          <w:p w14:paraId="4139A765">
            <w:pPr>
              <w:keepNext w:val="0"/>
              <w:keepLines w:val="0"/>
              <w:pageBreakBefore w:val="0"/>
              <w:kinsoku/>
              <w:wordWrap/>
              <w:overflowPunct/>
              <w:topLinePunct w:val="0"/>
              <w:autoSpaceDE/>
              <w:autoSpaceDN/>
              <w:bidi w:val="0"/>
              <w:snapToGrid/>
              <w:spacing w:line="44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持证证号</w:t>
            </w:r>
          </w:p>
        </w:tc>
      </w:tr>
      <w:tr w14:paraId="7A7C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366" w:type="dxa"/>
            <w:noWrap w:val="0"/>
            <w:vAlign w:val="center"/>
          </w:tcPr>
          <w:p w14:paraId="7E90298D">
            <w:pPr>
              <w:keepNext w:val="0"/>
              <w:keepLines w:val="0"/>
              <w:pageBreakBefore w:val="0"/>
              <w:kinsoku/>
              <w:wordWrap/>
              <w:overflowPunct/>
              <w:topLinePunct w:val="0"/>
              <w:autoSpaceDE/>
              <w:autoSpaceDN/>
              <w:bidi w:val="0"/>
              <w:snapToGrid/>
              <w:spacing w:line="440" w:lineRule="exact"/>
              <w:jc w:val="left"/>
              <w:textAlignment w:val="auto"/>
              <w:rPr>
                <w:rFonts w:hint="eastAsia" w:ascii="宋体" w:hAnsi="宋体" w:eastAsia="宋体" w:cs="宋体"/>
                <w:color w:val="auto"/>
                <w:sz w:val="21"/>
                <w:szCs w:val="21"/>
                <w:highlight w:val="none"/>
              </w:rPr>
            </w:pPr>
          </w:p>
        </w:tc>
        <w:tc>
          <w:tcPr>
            <w:tcW w:w="1166" w:type="dxa"/>
            <w:noWrap w:val="0"/>
            <w:vAlign w:val="center"/>
          </w:tcPr>
          <w:p w14:paraId="5A570050">
            <w:pPr>
              <w:keepNext w:val="0"/>
              <w:keepLines w:val="0"/>
              <w:pageBreakBefore w:val="0"/>
              <w:kinsoku/>
              <w:wordWrap/>
              <w:overflowPunct/>
              <w:topLinePunct w:val="0"/>
              <w:autoSpaceDE/>
              <w:autoSpaceDN/>
              <w:bidi w:val="0"/>
              <w:snapToGrid/>
              <w:spacing w:line="440" w:lineRule="exact"/>
              <w:jc w:val="left"/>
              <w:textAlignment w:val="auto"/>
              <w:rPr>
                <w:rFonts w:hint="eastAsia" w:ascii="宋体" w:hAnsi="宋体" w:eastAsia="宋体" w:cs="宋体"/>
                <w:color w:val="auto"/>
                <w:sz w:val="21"/>
                <w:szCs w:val="21"/>
                <w:highlight w:val="none"/>
              </w:rPr>
            </w:pPr>
          </w:p>
        </w:tc>
        <w:tc>
          <w:tcPr>
            <w:tcW w:w="788" w:type="dxa"/>
            <w:noWrap w:val="0"/>
            <w:vAlign w:val="center"/>
          </w:tcPr>
          <w:p w14:paraId="7271B4DD">
            <w:pPr>
              <w:keepNext w:val="0"/>
              <w:keepLines w:val="0"/>
              <w:pageBreakBefore w:val="0"/>
              <w:kinsoku/>
              <w:wordWrap/>
              <w:overflowPunct/>
              <w:topLinePunct w:val="0"/>
              <w:autoSpaceDE/>
              <w:autoSpaceDN/>
              <w:bidi w:val="0"/>
              <w:snapToGrid/>
              <w:spacing w:line="440" w:lineRule="exact"/>
              <w:jc w:val="left"/>
              <w:textAlignment w:val="auto"/>
              <w:rPr>
                <w:rFonts w:hint="eastAsia" w:ascii="宋体" w:hAnsi="宋体" w:eastAsia="宋体" w:cs="宋体"/>
                <w:color w:val="auto"/>
                <w:sz w:val="21"/>
                <w:szCs w:val="21"/>
                <w:highlight w:val="none"/>
              </w:rPr>
            </w:pPr>
          </w:p>
        </w:tc>
        <w:tc>
          <w:tcPr>
            <w:tcW w:w="1395" w:type="dxa"/>
            <w:noWrap w:val="0"/>
            <w:vAlign w:val="center"/>
          </w:tcPr>
          <w:p w14:paraId="1DA343BF">
            <w:pPr>
              <w:keepNext w:val="0"/>
              <w:keepLines w:val="0"/>
              <w:pageBreakBefore w:val="0"/>
              <w:kinsoku/>
              <w:wordWrap/>
              <w:overflowPunct/>
              <w:topLinePunct w:val="0"/>
              <w:autoSpaceDE/>
              <w:autoSpaceDN/>
              <w:bidi w:val="0"/>
              <w:snapToGrid/>
              <w:spacing w:line="440" w:lineRule="exact"/>
              <w:jc w:val="left"/>
              <w:textAlignment w:val="auto"/>
              <w:rPr>
                <w:rFonts w:hint="eastAsia" w:ascii="宋体" w:hAnsi="宋体" w:eastAsia="宋体" w:cs="宋体"/>
                <w:color w:val="auto"/>
                <w:sz w:val="21"/>
                <w:szCs w:val="21"/>
                <w:highlight w:val="none"/>
              </w:rPr>
            </w:pPr>
          </w:p>
        </w:tc>
        <w:tc>
          <w:tcPr>
            <w:tcW w:w="1540" w:type="dxa"/>
            <w:noWrap w:val="0"/>
            <w:vAlign w:val="center"/>
          </w:tcPr>
          <w:p w14:paraId="4EEDD52C">
            <w:pPr>
              <w:keepNext w:val="0"/>
              <w:keepLines w:val="0"/>
              <w:pageBreakBefore w:val="0"/>
              <w:kinsoku/>
              <w:wordWrap/>
              <w:overflowPunct/>
              <w:topLinePunct w:val="0"/>
              <w:autoSpaceDE/>
              <w:autoSpaceDN/>
              <w:bidi w:val="0"/>
              <w:snapToGrid/>
              <w:spacing w:line="440" w:lineRule="exact"/>
              <w:jc w:val="left"/>
              <w:textAlignment w:val="auto"/>
              <w:rPr>
                <w:rFonts w:hint="eastAsia" w:ascii="宋体" w:hAnsi="宋体" w:eastAsia="宋体" w:cs="宋体"/>
                <w:color w:val="auto"/>
                <w:sz w:val="21"/>
                <w:szCs w:val="21"/>
                <w:highlight w:val="none"/>
              </w:rPr>
            </w:pPr>
          </w:p>
        </w:tc>
        <w:tc>
          <w:tcPr>
            <w:tcW w:w="1735" w:type="dxa"/>
            <w:noWrap w:val="0"/>
            <w:vAlign w:val="center"/>
          </w:tcPr>
          <w:p w14:paraId="709322DD">
            <w:pPr>
              <w:keepNext w:val="0"/>
              <w:keepLines w:val="0"/>
              <w:pageBreakBefore w:val="0"/>
              <w:kinsoku/>
              <w:wordWrap/>
              <w:overflowPunct/>
              <w:topLinePunct w:val="0"/>
              <w:autoSpaceDE/>
              <w:autoSpaceDN/>
              <w:bidi w:val="0"/>
              <w:snapToGrid/>
              <w:spacing w:line="440" w:lineRule="exact"/>
              <w:jc w:val="left"/>
              <w:textAlignment w:val="auto"/>
              <w:rPr>
                <w:rFonts w:hint="eastAsia" w:ascii="宋体" w:hAnsi="宋体" w:eastAsia="宋体" w:cs="宋体"/>
                <w:color w:val="auto"/>
                <w:sz w:val="21"/>
                <w:szCs w:val="21"/>
                <w:highlight w:val="none"/>
              </w:rPr>
            </w:pPr>
          </w:p>
        </w:tc>
        <w:tc>
          <w:tcPr>
            <w:tcW w:w="1890" w:type="dxa"/>
            <w:noWrap w:val="0"/>
            <w:vAlign w:val="center"/>
          </w:tcPr>
          <w:p w14:paraId="287F10DC">
            <w:pPr>
              <w:keepNext w:val="0"/>
              <w:keepLines w:val="0"/>
              <w:pageBreakBefore w:val="0"/>
              <w:kinsoku/>
              <w:wordWrap/>
              <w:overflowPunct/>
              <w:topLinePunct w:val="0"/>
              <w:autoSpaceDE/>
              <w:autoSpaceDN/>
              <w:bidi w:val="0"/>
              <w:snapToGrid/>
              <w:spacing w:line="440" w:lineRule="exact"/>
              <w:jc w:val="left"/>
              <w:textAlignment w:val="auto"/>
              <w:rPr>
                <w:rFonts w:hint="eastAsia" w:ascii="宋体" w:hAnsi="宋体" w:eastAsia="宋体" w:cs="宋体"/>
                <w:color w:val="auto"/>
                <w:sz w:val="21"/>
                <w:szCs w:val="21"/>
                <w:highlight w:val="none"/>
              </w:rPr>
            </w:pPr>
          </w:p>
        </w:tc>
      </w:tr>
    </w:tbl>
    <w:p w14:paraId="489D74A9">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3、标后约谈：</w:t>
      </w:r>
      <w:r>
        <w:rPr>
          <w:rFonts w:hint="eastAsia" w:ascii="宋体" w:hAnsi="宋体" w:eastAsia="宋体" w:cs="宋体"/>
          <w:color w:val="auto"/>
          <w:kern w:val="0"/>
          <w:sz w:val="21"/>
          <w:szCs w:val="21"/>
          <w:highlight w:val="none"/>
          <w:lang w:val="en-US" w:eastAsia="zh-CN" w:bidi="ar-SA"/>
        </w:rPr>
        <w:t>按照《重点工程建设约谈管理规定》执行。</w:t>
      </w:r>
      <w:r>
        <w:rPr>
          <w:rFonts w:hint="eastAsia" w:ascii="宋体" w:hAnsi="宋体" w:eastAsia="宋体" w:cs="宋体"/>
          <w:color w:val="auto"/>
          <w:sz w:val="21"/>
          <w:szCs w:val="21"/>
          <w:highlight w:val="none"/>
        </w:rPr>
        <w:t xml:space="preserve"> </w:t>
      </w:r>
    </w:p>
    <w:p w14:paraId="07D2F957">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4、履约保证金：</w:t>
      </w:r>
      <w:r>
        <w:rPr>
          <w:rFonts w:hint="eastAsia" w:ascii="宋体" w:hAnsi="宋体" w:eastAsia="宋体" w:cs="宋体"/>
          <w:b/>
          <w:bCs/>
          <w:color w:val="auto"/>
          <w:sz w:val="21"/>
          <w:szCs w:val="21"/>
          <w:highlight w:val="none"/>
          <w:lang w:val="en-US" w:eastAsia="zh-CN"/>
        </w:rPr>
        <w:t>不收取</w:t>
      </w:r>
      <w:r>
        <w:rPr>
          <w:rFonts w:hint="eastAsia" w:ascii="宋体" w:hAnsi="宋体" w:eastAsia="宋体" w:cs="宋体"/>
          <w:color w:val="auto"/>
          <w:sz w:val="21"/>
          <w:szCs w:val="21"/>
          <w:highlight w:val="none"/>
        </w:rPr>
        <w:t>。</w:t>
      </w:r>
    </w:p>
    <w:p w14:paraId="5E8ECD2A">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5、合同签订：</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bidi="ar-SA"/>
        </w:rPr>
        <w:t>执行《市重点处合同管理办法》。</w:t>
      </w:r>
    </w:p>
    <w:p w14:paraId="2E5FFC04">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6、前期手续办理：</w:t>
      </w:r>
      <w:r>
        <w:rPr>
          <w:rFonts w:hint="eastAsia" w:ascii="宋体" w:hAnsi="宋体" w:eastAsia="宋体" w:cs="宋体"/>
          <w:color w:val="auto"/>
          <w:sz w:val="21"/>
          <w:szCs w:val="21"/>
          <w:highlight w:val="none"/>
        </w:rPr>
        <w:t>合同签订后90日内配合发包人完成质量、安全报监和施工许可证办理，否则，每延期一天处罚承包人5000元/天的违约金（因发包人原因除外）。</w:t>
      </w:r>
    </w:p>
    <w:p w14:paraId="5F18B3E7">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7、监理人员费用考核：</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监理费总价最终结合投标人员到位数量来结算。即：投标总价/服务期（月）/投标人数=每个投标人员每月应得的费用，经现场考勤，少投入1人扣除1人应得费用（以委托人签字认可的考勤表为准）。</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后，如实际到岗人数不满足</w:t>
      </w:r>
      <w:r>
        <w:rPr>
          <w:rFonts w:hint="eastAsia" w:ascii="宋体" w:hAnsi="宋体" w:eastAsia="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要求的，将按上述标准从监理费用中予以扣除。（各专业监理可结合项目的实施阶段经委托人签字认可后分期到岗）</w:t>
      </w:r>
    </w:p>
    <w:p w14:paraId="6FC5998E">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8、监理考核考勤：</w:t>
      </w:r>
    </w:p>
    <w:p w14:paraId="581232D4">
      <w:pPr>
        <w:keepNext w:val="0"/>
        <w:keepLines w:val="0"/>
        <w:pageBreakBefore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color w:val="auto"/>
          <w:kern w:val="0"/>
          <w:sz w:val="21"/>
          <w:szCs w:val="21"/>
          <w:highlight w:val="none"/>
          <w:lang w:bidi="ar-SA"/>
        </w:rPr>
      </w:pPr>
      <w:r>
        <w:rPr>
          <w:rFonts w:hint="eastAsia" w:ascii="宋体" w:hAnsi="宋体" w:eastAsia="宋体" w:cs="宋体"/>
          <w:color w:val="auto"/>
          <w:kern w:val="0"/>
          <w:sz w:val="21"/>
          <w:szCs w:val="21"/>
          <w:highlight w:val="none"/>
          <w:lang w:bidi="ar-SA"/>
        </w:rPr>
        <w:t>（1）人员考核：工程开工进场后，监理单位必须按</w:t>
      </w:r>
      <w:r>
        <w:rPr>
          <w:rFonts w:hint="eastAsia" w:ascii="宋体" w:hAnsi="宋体" w:eastAsia="宋体" w:cs="宋体"/>
          <w:color w:val="auto"/>
          <w:kern w:val="0"/>
          <w:sz w:val="21"/>
          <w:szCs w:val="21"/>
          <w:highlight w:val="none"/>
          <w:lang w:val="en-US" w:eastAsia="zh-CN" w:bidi="ar-SA"/>
        </w:rPr>
        <w:t>竞争性谈判文件和响应</w:t>
      </w:r>
      <w:r>
        <w:rPr>
          <w:rFonts w:hint="eastAsia" w:ascii="宋体" w:hAnsi="宋体" w:eastAsia="宋体" w:cs="宋体"/>
          <w:color w:val="auto"/>
          <w:kern w:val="0"/>
          <w:sz w:val="21"/>
          <w:szCs w:val="21"/>
          <w:highlight w:val="none"/>
          <w:lang w:bidi="ar-SA"/>
        </w:rPr>
        <w:t>承诺配备项目总监，总监代表、专业监理工程师、监理员等监理部关键岗位人员以监理单位任命文为准。未经发包人同意，不得更换上述人员。发包人将组织对上述人员进行业务能力考核，对未按</w:t>
      </w:r>
      <w:r>
        <w:rPr>
          <w:rFonts w:hint="eastAsia" w:ascii="宋体" w:hAnsi="宋体" w:eastAsia="宋体" w:cs="宋体"/>
          <w:color w:val="auto"/>
          <w:kern w:val="0"/>
          <w:sz w:val="21"/>
          <w:szCs w:val="21"/>
          <w:highlight w:val="none"/>
          <w:lang w:val="en-US" w:eastAsia="zh-CN" w:bidi="ar-SA"/>
        </w:rPr>
        <w:t>响应</w:t>
      </w:r>
      <w:r>
        <w:rPr>
          <w:rFonts w:hint="eastAsia" w:ascii="宋体" w:hAnsi="宋体" w:eastAsia="宋体" w:cs="宋体"/>
          <w:color w:val="auto"/>
          <w:kern w:val="0"/>
          <w:sz w:val="21"/>
          <w:szCs w:val="21"/>
          <w:highlight w:val="none"/>
          <w:lang w:bidi="ar-SA"/>
        </w:rPr>
        <w:t>文件配备或经考核不合格要求更换人员的，（从第一次监理例会进行计算时间）监理单位累计7日内必须整改调整到位。否则，对于总监和总监代表，按照2000元/人·天的违约金进行处罚，专业监理工程师、监理员按照1000元/人·天的违约金进行处罚。累计28日内未整改调整到位的，发包人有权终止合同，并提请相关行政主管部门进行</w:t>
      </w:r>
      <w:r>
        <w:rPr>
          <w:rFonts w:hint="eastAsia" w:ascii="宋体" w:hAnsi="宋体" w:eastAsia="宋体" w:cs="宋体"/>
          <w:color w:val="auto"/>
          <w:kern w:val="0"/>
          <w:sz w:val="21"/>
          <w:szCs w:val="21"/>
          <w:highlight w:val="none"/>
          <w:lang w:val="en-US" w:eastAsia="zh-CN" w:bidi="ar-SA"/>
        </w:rPr>
        <w:t>处理</w:t>
      </w:r>
      <w:r>
        <w:rPr>
          <w:rFonts w:hint="eastAsia" w:ascii="宋体" w:hAnsi="宋体" w:eastAsia="宋体" w:cs="宋体"/>
          <w:color w:val="auto"/>
          <w:kern w:val="0"/>
          <w:sz w:val="21"/>
          <w:szCs w:val="21"/>
          <w:highlight w:val="none"/>
          <w:lang w:bidi="ar-SA"/>
        </w:rPr>
        <w:t>。</w:t>
      </w:r>
    </w:p>
    <w:p w14:paraId="42120334">
      <w:pPr>
        <w:keepNext w:val="0"/>
        <w:keepLines w:val="0"/>
        <w:pageBreakBefore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color w:val="auto"/>
          <w:kern w:val="0"/>
          <w:sz w:val="21"/>
          <w:szCs w:val="21"/>
          <w:highlight w:val="none"/>
          <w:lang w:bidi="ar-SA"/>
        </w:rPr>
      </w:pPr>
      <w:r>
        <w:rPr>
          <w:rFonts w:hint="eastAsia" w:ascii="宋体" w:hAnsi="宋体" w:eastAsia="宋体" w:cs="宋体"/>
          <w:color w:val="auto"/>
          <w:kern w:val="0"/>
          <w:sz w:val="21"/>
          <w:szCs w:val="21"/>
          <w:highlight w:val="none"/>
          <w:lang w:bidi="ar-SA"/>
        </w:rPr>
        <w:t>（2）在第一次监理例会，监理单位针对</w:t>
      </w:r>
      <w:r>
        <w:rPr>
          <w:rFonts w:hint="eastAsia" w:ascii="宋体" w:hAnsi="宋体" w:eastAsia="宋体" w:cs="宋体"/>
          <w:color w:val="auto"/>
          <w:kern w:val="0"/>
          <w:sz w:val="21"/>
          <w:szCs w:val="21"/>
          <w:highlight w:val="none"/>
          <w:lang w:val="en-US" w:eastAsia="zh-CN" w:bidi="ar-SA"/>
        </w:rPr>
        <w:t>响应</w:t>
      </w:r>
      <w:r>
        <w:rPr>
          <w:rFonts w:hint="eastAsia" w:ascii="宋体" w:hAnsi="宋体" w:eastAsia="宋体" w:cs="宋体"/>
          <w:color w:val="auto"/>
          <w:kern w:val="0"/>
          <w:sz w:val="21"/>
          <w:szCs w:val="21"/>
          <w:highlight w:val="none"/>
          <w:lang w:bidi="ar-SA"/>
        </w:rPr>
        <w:t>承诺配备项目总监，监理单位为本项目配备的总监代表、专业监理工程师、监理员等监理部关键岗位人员必须全部到场参加，否则发包人有权终止合同，并提请相关行政主管部门</w:t>
      </w:r>
      <w:r>
        <w:rPr>
          <w:rFonts w:hint="eastAsia" w:ascii="宋体" w:hAnsi="宋体" w:eastAsia="宋体" w:cs="宋体"/>
          <w:color w:val="auto"/>
          <w:kern w:val="0"/>
          <w:sz w:val="21"/>
          <w:szCs w:val="21"/>
          <w:highlight w:val="none"/>
          <w:lang w:val="en-US" w:eastAsia="zh-CN" w:bidi="ar-SA"/>
        </w:rPr>
        <w:t>进行处理</w:t>
      </w:r>
      <w:r>
        <w:rPr>
          <w:rFonts w:hint="eastAsia" w:ascii="宋体" w:hAnsi="宋体" w:eastAsia="宋体" w:cs="宋体"/>
          <w:color w:val="auto"/>
          <w:kern w:val="0"/>
          <w:sz w:val="21"/>
          <w:szCs w:val="21"/>
          <w:highlight w:val="none"/>
          <w:lang w:bidi="ar-SA"/>
        </w:rPr>
        <w:t>。</w:t>
      </w:r>
    </w:p>
    <w:p w14:paraId="5518DFC9">
      <w:pPr>
        <w:keepNext w:val="0"/>
        <w:keepLines w:val="0"/>
        <w:pageBreakBefore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color w:val="auto"/>
          <w:kern w:val="0"/>
          <w:sz w:val="21"/>
          <w:szCs w:val="21"/>
          <w:highlight w:val="none"/>
          <w:lang w:bidi="ar-SA"/>
        </w:rPr>
      </w:pPr>
      <w:r>
        <w:rPr>
          <w:rFonts w:hint="eastAsia" w:ascii="宋体" w:hAnsi="宋体" w:eastAsia="宋体" w:cs="宋体"/>
          <w:color w:val="auto"/>
          <w:kern w:val="0"/>
          <w:sz w:val="21"/>
          <w:szCs w:val="21"/>
          <w:highlight w:val="none"/>
          <w:lang w:bidi="ar-SA"/>
        </w:rPr>
        <w:t>（3）在图纸交底会议，监理单位针对</w:t>
      </w:r>
      <w:r>
        <w:rPr>
          <w:rFonts w:hint="eastAsia" w:ascii="宋体" w:hAnsi="宋体" w:eastAsia="宋体" w:cs="宋体"/>
          <w:color w:val="auto"/>
          <w:kern w:val="0"/>
          <w:sz w:val="21"/>
          <w:szCs w:val="21"/>
          <w:highlight w:val="none"/>
          <w:lang w:val="en-US" w:eastAsia="zh-CN" w:bidi="ar-SA"/>
        </w:rPr>
        <w:t>响应</w:t>
      </w:r>
      <w:r>
        <w:rPr>
          <w:rFonts w:hint="eastAsia" w:ascii="宋体" w:hAnsi="宋体" w:eastAsia="宋体" w:cs="宋体"/>
          <w:color w:val="auto"/>
          <w:kern w:val="0"/>
          <w:sz w:val="21"/>
          <w:szCs w:val="21"/>
          <w:highlight w:val="none"/>
          <w:lang w:bidi="ar-SA"/>
        </w:rPr>
        <w:t>承诺配备项目总监，监理单位为本项目配备的总监代表、专业监理工程师、监理员等监理部关键岗位人员必须全部到场参加，否则发包人有权终止合同，并提请相关行政主管部门</w:t>
      </w:r>
      <w:r>
        <w:rPr>
          <w:rFonts w:hint="eastAsia" w:ascii="宋体" w:hAnsi="宋体" w:eastAsia="宋体" w:cs="宋体"/>
          <w:color w:val="auto"/>
          <w:kern w:val="0"/>
          <w:sz w:val="21"/>
          <w:szCs w:val="21"/>
          <w:highlight w:val="none"/>
          <w:lang w:val="en-US" w:eastAsia="zh-CN" w:bidi="ar-SA"/>
        </w:rPr>
        <w:t>进行处理</w:t>
      </w:r>
      <w:r>
        <w:rPr>
          <w:rFonts w:hint="eastAsia" w:ascii="宋体" w:hAnsi="宋体" w:eastAsia="宋体" w:cs="宋体"/>
          <w:color w:val="auto"/>
          <w:kern w:val="0"/>
          <w:sz w:val="21"/>
          <w:szCs w:val="21"/>
          <w:highlight w:val="none"/>
          <w:lang w:bidi="ar-SA"/>
        </w:rPr>
        <w:t>。</w:t>
      </w:r>
    </w:p>
    <w:p w14:paraId="22477237">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bidi="ar-SA"/>
        </w:rPr>
      </w:pPr>
      <w:r>
        <w:rPr>
          <w:rFonts w:hint="eastAsia" w:ascii="宋体" w:hAnsi="宋体" w:eastAsia="宋体" w:cs="宋体"/>
          <w:color w:val="auto"/>
          <w:kern w:val="0"/>
          <w:sz w:val="21"/>
          <w:szCs w:val="21"/>
          <w:highlight w:val="none"/>
          <w:lang w:bidi="ar-SA"/>
        </w:rPr>
        <w:t>（4）人员考勤：①监理部所有管理人员上下班实行人脸识别电子考勤，人脸识别电子考勤系统设备必须与</w:t>
      </w:r>
      <w:r>
        <w:rPr>
          <w:rFonts w:hint="eastAsia" w:ascii="宋体" w:hAnsi="宋体" w:eastAsia="宋体" w:cs="宋体"/>
          <w:color w:val="auto"/>
          <w:kern w:val="0"/>
          <w:sz w:val="21"/>
          <w:szCs w:val="21"/>
          <w:highlight w:val="none"/>
          <w:lang w:val="en-US" w:eastAsia="zh-CN" w:bidi="ar-SA"/>
        </w:rPr>
        <w:t>采购人</w:t>
      </w:r>
      <w:r>
        <w:rPr>
          <w:rFonts w:hint="eastAsia" w:ascii="宋体" w:hAnsi="宋体" w:eastAsia="宋体" w:cs="宋体"/>
          <w:color w:val="auto"/>
          <w:kern w:val="0"/>
          <w:sz w:val="21"/>
          <w:szCs w:val="21"/>
          <w:highlight w:val="none"/>
          <w:lang w:bidi="ar-SA"/>
        </w:rPr>
        <w:t>现行使用的监管平台无缝对接。②监管平台设备及人脸识别电子考勤系统设备，监理人可以租赁或购买，但租赁或购买费用由监理人在</w:t>
      </w:r>
      <w:r>
        <w:rPr>
          <w:rFonts w:hint="eastAsia" w:ascii="宋体" w:hAnsi="宋体" w:eastAsia="宋体" w:cs="宋体"/>
          <w:color w:val="auto"/>
          <w:kern w:val="0"/>
          <w:sz w:val="21"/>
          <w:szCs w:val="21"/>
          <w:highlight w:val="none"/>
          <w:lang w:val="en-US" w:eastAsia="zh-CN" w:bidi="ar-SA"/>
        </w:rPr>
        <w:t>响应</w:t>
      </w:r>
      <w:r>
        <w:rPr>
          <w:rFonts w:hint="eastAsia" w:ascii="宋体" w:hAnsi="宋体" w:eastAsia="宋体" w:cs="宋体"/>
          <w:color w:val="auto"/>
          <w:kern w:val="0"/>
          <w:sz w:val="21"/>
          <w:szCs w:val="21"/>
          <w:highlight w:val="none"/>
          <w:lang w:bidi="ar-SA"/>
        </w:rPr>
        <w:t>报价时自行考虑，含在</w:t>
      </w:r>
      <w:r>
        <w:rPr>
          <w:rFonts w:hint="eastAsia" w:ascii="宋体" w:hAnsi="宋体" w:eastAsia="宋体" w:cs="宋体"/>
          <w:color w:val="auto"/>
          <w:kern w:val="0"/>
          <w:sz w:val="21"/>
          <w:szCs w:val="21"/>
          <w:highlight w:val="none"/>
          <w:lang w:val="en-US" w:eastAsia="zh-CN" w:bidi="ar-SA"/>
        </w:rPr>
        <w:t>响应</w:t>
      </w:r>
      <w:r>
        <w:rPr>
          <w:rFonts w:hint="eastAsia" w:ascii="宋体" w:hAnsi="宋体" w:eastAsia="宋体" w:cs="宋体"/>
          <w:color w:val="auto"/>
          <w:kern w:val="0"/>
          <w:sz w:val="21"/>
          <w:szCs w:val="21"/>
          <w:highlight w:val="none"/>
          <w:lang w:bidi="ar-SA"/>
        </w:rPr>
        <w:t>报价中，</w:t>
      </w:r>
      <w:r>
        <w:rPr>
          <w:rFonts w:hint="eastAsia" w:ascii="宋体" w:hAnsi="宋体" w:eastAsia="宋体" w:cs="宋体"/>
          <w:color w:val="auto"/>
          <w:kern w:val="0"/>
          <w:sz w:val="21"/>
          <w:szCs w:val="21"/>
          <w:highlight w:val="none"/>
          <w:lang w:val="en-US" w:eastAsia="zh-CN" w:bidi="ar-SA"/>
        </w:rPr>
        <w:t>采购人</w:t>
      </w:r>
      <w:r>
        <w:rPr>
          <w:rFonts w:hint="eastAsia" w:ascii="宋体" w:hAnsi="宋体" w:eastAsia="宋体" w:cs="宋体"/>
          <w:color w:val="auto"/>
          <w:kern w:val="0"/>
          <w:sz w:val="21"/>
          <w:szCs w:val="21"/>
          <w:highlight w:val="none"/>
          <w:lang w:bidi="ar-SA"/>
        </w:rPr>
        <w:t>将不再支付任何费用。③监管平台考勤范围为本项目监理部和项目部所有管理人员，监管平台信息及数据录入（包括质量、进度、安全、施工许可办理等）均由监理单位负责。</w:t>
      </w:r>
    </w:p>
    <w:p w14:paraId="3B767544">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color w:val="auto"/>
          <w:kern w:val="0"/>
          <w:sz w:val="21"/>
          <w:szCs w:val="21"/>
          <w:highlight w:val="none"/>
          <w:lang w:bidi="ar-SA"/>
        </w:rPr>
      </w:pPr>
      <w:r>
        <w:rPr>
          <w:rFonts w:hint="eastAsia" w:ascii="宋体" w:hAnsi="宋体" w:eastAsia="宋体" w:cs="宋体"/>
          <w:b/>
          <w:bCs/>
          <w:color w:val="auto"/>
          <w:kern w:val="0"/>
          <w:sz w:val="21"/>
          <w:szCs w:val="21"/>
          <w:highlight w:val="none"/>
          <w:lang w:val="en-US" w:eastAsia="zh-CN" w:bidi="ar-SA"/>
        </w:rPr>
        <w:t>根据施工实际需要安排，按照经批准的人员进场计划进行考勤。</w:t>
      </w:r>
      <w:r>
        <w:rPr>
          <w:rFonts w:hint="eastAsia" w:ascii="宋体" w:hAnsi="宋体" w:eastAsia="宋体" w:cs="宋体"/>
          <w:color w:val="auto"/>
          <w:kern w:val="0"/>
          <w:sz w:val="21"/>
          <w:szCs w:val="21"/>
          <w:highlight w:val="none"/>
          <w:lang w:bidi="ar-SA"/>
        </w:rPr>
        <w:t>总监及总监代表每月在岗时间不得少于20天，专业监理工程师、监理员每月均在岗。未按规定在岗履责的，对总监和总监代表处罚1000元/人·天的违约金，对专业监理工程师、监理员处罚1000元/人·天的违约金。监理部关键岗位人员离岗必须向发包人代表履行请假手续，若被相关部门日常检查和随机抽查中发现不在岗的，又未履行请假手续的，处罚5000元/人·次的违约金。</w:t>
      </w:r>
    </w:p>
    <w:p w14:paraId="0B9AF656">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9、日常履责管理</w:t>
      </w:r>
    </w:p>
    <w:p w14:paraId="2C2E6B92">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9.1</w:t>
      </w:r>
      <w:r>
        <w:rPr>
          <w:rFonts w:hint="eastAsia" w:ascii="宋体" w:hAnsi="宋体" w:eastAsia="宋体" w:cs="宋体"/>
          <w:color w:val="auto"/>
          <w:sz w:val="21"/>
          <w:szCs w:val="21"/>
          <w:highlight w:val="none"/>
        </w:rPr>
        <w:t>、工作纪律</w:t>
      </w:r>
    </w:p>
    <w:p w14:paraId="24C5D71F">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9.1.</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工程项目开工后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应按时向建设单位提供监理规划、监理细则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总监、总监代表应常驻工程现场，根据施工内容可按投标承诺安排人员进退场，进退场人员报项目组备案纳入考勤。工作期间</w:t>
      </w:r>
      <w:r>
        <w:rPr>
          <w:rFonts w:hint="eastAsia" w:ascii="宋体" w:hAnsi="宋体" w:eastAsia="宋体" w:cs="宋体"/>
          <w:color w:val="auto"/>
          <w:sz w:val="21"/>
          <w:szCs w:val="21"/>
          <w:highlight w:val="none"/>
          <w:lang w:eastAsia="zh-CN"/>
        </w:rPr>
        <w:t>上下班应与施工单位同步，</w:t>
      </w:r>
      <w:r>
        <w:rPr>
          <w:rFonts w:hint="eastAsia" w:ascii="宋体" w:hAnsi="宋体" w:eastAsia="宋体" w:cs="宋体"/>
          <w:color w:val="auto"/>
          <w:sz w:val="21"/>
          <w:szCs w:val="21"/>
          <w:highlight w:val="none"/>
        </w:rPr>
        <w:t>不得无故离岗、迟到、早退、酗酒，检查中如有发现给予1000元/次处罚，工作期间酗酒的予以清退。</w:t>
      </w:r>
    </w:p>
    <w:p w14:paraId="2AF1374B">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9.1.</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应认真审核施工图，在施工图纸交底、会审时，提出图纸中各专业存在的错、漏、碰、缺等，并提出优化意见，及时协调图纸变更手续，不及时办理</w:t>
      </w:r>
      <w:r>
        <w:rPr>
          <w:rFonts w:hint="eastAsia" w:ascii="宋体" w:hAnsi="宋体" w:eastAsia="宋体" w:cs="宋体"/>
          <w:color w:val="auto"/>
          <w:sz w:val="21"/>
          <w:szCs w:val="21"/>
          <w:highlight w:val="none"/>
          <w:lang w:eastAsia="zh-CN"/>
        </w:rPr>
        <w:t>给予</w:t>
      </w:r>
      <w:r>
        <w:rPr>
          <w:rFonts w:hint="eastAsia" w:ascii="宋体" w:hAnsi="宋体" w:eastAsia="宋体" w:cs="宋体"/>
          <w:color w:val="auto"/>
          <w:sz w:val="21"/>
          <w:szCs w:val="21"/>
          <w:highlight w:val="none"/>
        </w:rPr>
        <w:t>2000元/次处罚。</w:t>
      </w:r>
    </w:p>
    <w:p w14:paraId="7FF06782">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9.1.</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.现场配备必要的检测设备和仪器，</w:t>
      </w:r>
      <w:r>
        <w:rPr>
          <w:rFonts w:hint="eastAsia" w:ascii="宋体" w:hAnsi="宋体" w:eastAsia="宋体" w:cs="宋体"/>
          <w:color w:val="auto"/>
          <w:sz w:val="21"/>
          <w:szCs w:val="21"/>
          <w:highlight w:val="none"/>
        </w:rPr>
        <w:t>按职责做好见证取样、抽检工作；</w:t>
      </w:r>
      <w:r>
        <w:rPr>
          <w:rFonts w:hint="eastAsia" w:ascii="宋体" w:hAnsi="宋体" w:eastAsia="宋体" w:cs="宋体"/>
          <w:color w:val="auto"/>
          <w:sz w:val="21"/>
          <w:szCs w:val="21"/>
          <w:highlight w:val="none"/>
          <w:lang w:eastAsia="zh-CN"/>
        </w:rPr>
        <w:t>无设备和仪器处罚</w:t>
      </w:r>
      <w:r>
        <w:rPr>
          <w:rFonts w:hint="eastAsia" w:ascii="宋体" w:hAnsi="宋体" w:eastAsia="宋体" w:cs="宋体"/>
          <w:color w:val="auto"/>
          <w:sz w:val="21"/>
          <w:szCs w:val="21"/>
          <w:highlight w:val="none"/>
          <w:lang w:val="en-US" w:eastAsia="zh-CN"/>
        </w:rPr>
        <w:t>2000元，未做好见证取样或抽检处罚500元/次。</w:t>
      </w:r>
    </w:p>
    <w:p w14:paraId="0A729F53">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审查第三方检测方案</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负责第三方检测过程中的协调</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报告运用</w:t>
      </w:r>
      <w:r>
        <w:rPr>
          <w:rFonts w:hint="eastAsia" w:ascii="宋体" w:hAnsi="宋体" w:eastAsia="宋体" w:cs="宋体"/>
          <w:color w:val="auto"/>
          <w:sz w:val="21"/>
          <w:szCs w:val="21"/>
          <w:highlight w:val="none"/>
          <w:lang w:eastAsia="zh-CN"/>
        </w:rPr>
        <w:t>，不审查或协调不力的处罚</w:t>
      </w:r>
      <w:r>
        <w:rPr>
          <w:rFonts w:hint="eastAsia" w:ascii="宋体" w:hAnsi="宋体" w:eastAsia="宋体" w:cs="宋体"/>
          <w:color w:val="auto"/>
          <w:sz w:val="21"/>
          <w:szCs w:val="21"/>
          <w:highlight w:val="none"/>
          <w:lang w:val="en-US" w:eastAsia="zh-CN"/>
        </w:rPr>
        <w:t>500元/次。</w:t>
      </w:r>
    </w:p>
    <w:p w14:paraId="33C12B0D">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定期召开监理例会，认真书写监理例会纪要并于监理例会后的24小时内下发例会纪要，不及时传发以上资料的一次处罚300元。监理日志填写内容齐全、真实、清晰、可追溯；监理月报应包括监理管理执行情况说明，质量、进度、安全控制情况评析等内容详实。每月3日前报上月监理月报至建设单位项目组审阅</w:t>
      </w:r>
      <w:r>
        <w:rPr>
          <w:rFonts w:hint="eastAsia" w:ascii="宋体" w:hAnsi="宋体" w:eastAsia="宋体" w:cs="宋体"/>
          <w:color w:val="auto"/>
          <w:sz w:val="21"/>
          <w:szCs w:val="21"/>
          <w:highlight w:val="none"/>
          <w:lang w:eastAsia="zh-CN"/>
        </w:rPr>
        <w:t>，日志、月报内容不详实或超期处罚</w:t>
      </w:r>
      <w:r>
        <w:rPr>
          <w:rFonts w:hint="eastAsia" w:ascii="宋体" w:hAnsi="宋体" w:eastAsia="宋体" w:cs="宋体"/>
          <w:color w:val="auto"/>
          <w:sz w:val="21"/>
          <w:szCs w:val="21"/>
          <w:highlight w:val="none"/>
          <w:lang w:val="en-US" w:eastAsia="zh-CN"/>
        </w:rPr>
        <w:t>500元/次。</w:t>
      </w:r>
    </w:p>
    <w:p w14:paraId="4D85ED9B">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应公正开展监理工作，不得故意刁难施工单位，现场验收不得拖延，工程资料应及时签认，一经发现违反规定，处罚</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00元</w:t>
      </w:r>
      <w:r>
        <w:rPr>
          <w:rFonts w:hint="eastAsia" w:ascii="宋体" w:hAnsi="宋体" w:eastAsia="宋体" w:cs="宋体"/>
          <w:color w:val="auto"/>
          <w:sz w:val="21"/>
          <w:szCs w:val="21"/>
          <w:highlight w:val="none"/>
          <w:lang w:val="en-US" w:eastAsia="zh-CN"/>
        </w:rPr>
        <w:t>/次</w:t>
      </w:r>
      <w:r>
        <w:rPr>
          <w:rFonts w:hint="eastAsia" w:ascii="宋体" w:hAnsi="宋体" w:eastAsia="宋体" w:cs="宋体"/>
          <w:color w:val="auto"/>
          <w:sz w:val="21"/>
          <w:szCs w:val="21"/>
          <w:highlight w:val="none"/>
        </w:rPr>
        <w:t>。</w:t>
      </w:r>
    </w:p>
    <w:p w14:paraId="3C9DCB41">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不得向施工单位推销材料、介绍队伍、索取钱物、报销费用，不得接受施工单位、供货商的吃请或接受回扣</w:t>
      </w:r>
      <w:r>
        <w:rPr>
          <w:rFonts w:hint="eastAsia" w:ascii="宋体" w:hAnsi="宋体" w:eastAsia="宋体" w:cs="宋体"/>
          <w:color w:val="auto"/>
          <w:sz w:val="21"/>
          <w:szCs w:val="21"/>
          <w:highlight w:val="none"/>
          <w:lang w:eastAsia="zh-CN"/>
        </w:rPr>
        <w:t>，一经发现处罚</w:t>
      </w:r>
      <w:r>
        <w:rPr>
          <w:rFonts w:hint="eastAsia" w:ascii="宋体" w:hAnsi="宋体" w:eastAsia="宋体" w:cs="宋体"/>
          <w:color w:val="auto"/>
          <w:sz w:val="21"/>
          <w:szCs w:val="21"/>
          <w:highlight w:val="none"/>
          <w:lang w:val="en-US" w:eastAsia="zh-CN"/>
        </w:rPr>
        <w:t>3000元，并记入“黑名单”。</w:t>
      </w:r>
    </w:p>
    <w:p w14:paraId="3444D9B3">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监理人员在服务期内如果有重大失职，造成经济损失的</w:t>
      </w:r>
      <w:r>
        <w:rPr>
          <w:rFonts w:hint="eastAsia" w:ascii="宋体" w:hAnsi="宋体" w:eastAsia="宋体" w:cs="宋体"/>
          <w:color w:val="auto"/>
          <w:sz w:val="21"/>
          <w:szCs w:val="21"/>
          <w:highlight w:val="none"/>
          <w:lang w:eastAsia="zh-CN"/>
        </w:rPr>
        <w:t>监理公司</w:t>
      </w:r>
      <w:r>
        <w:rPr>
          <w:rFonts w:hint="eastAsia" w:ascii="宋体" w:hAnsi="宋体" w:eastAsia="宋体" w:cs="宋体"/>
          <w:color w:val="auto"/>
          <w:sz w:val="21"/>
          <w:szCs w:val="21"/>
          <w:highlight w:val="none"/>
        </w:rPr>
        <w:t>应予以赔偿损失。不准泄露与工程有关的技术和机密，对建设单位造成损失的按照合同有关规定执行</w:t>
      </w:r>
      <w:r>
        <w:rPr>
          <w:rFonts w:hint="eastAsia" w:ascii="宋体" w:hAnsi="宋体" w:eastAsia="宋体" w:cs="宋体"/>
          <w:color w:val="auto"/>
          <w:sz w:val="21"/>
          <w:szCs w:val="21"/>
          <w:highlight w:val="none"/>
          <w:lang w:eastAsia="zh-CN"/>
        </w:rPr>
        <w:t>，并记入黑名单。</w:t>
      </w:r>
    </w:p>
    <w:p w14:paraId="3458300D">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9.2</w:t>
      </w:r>
      <w:r>
        <w:rPr>
          <w:rFonts w:hint="eastAsia" w:ascii="宋体" w:hAnsi="宋体" w:eastAsia="宋体" w:cs="宋体"/>
          <w:color w:val="auto"/>
          <w:sz w:val="21"/>
          <w:szCs w:val="21"/>
          <w:highlight w:val="none"/>
        </w:rPr>
        <w:t>、质量控制</w:t>
      </w:r>
    </w:p>
    <w:p w14:paraId="21897E8D">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审核各专业施工方案，使之符合规范及标准强制性条文的规定，并监督施工单位按批准的方案施工，发现问题应及时解决。</w:t>
      </w:r>
      <w:r>
        <w:rPr>
          <w:rFonts w:hint="eastAsia" w:ascii="宋体" w:hAnsi="宋体" w:eastAsia="宋体" w:cs="宋体"/>
          <w:color w:val="auto"/>
          <w:sz w:val="21"/>
          <w:szCs w:val="21"/>
          <w:highlight w:val="none"/>
          <w:lang w:eastAsia="zh-CN"/>
        </w:rPr>
        <w:t>发现审核后的施工方案有</w:t>
      </w:r>
      <w:r>
        <w:rPr>
          <w:rFonts w:hint="eastAsia" w:ascii="宋体" w:hAnsi="宋体" w:eastAsia="宋体" w:cs="宋体"/>
          <w:color w:val="auto"/>
          <w:sz w:val="21"/>
          <w:szCs w:val="21"/>
          <w:highlight w:val="none"/>
        </w:rPr>
        <w:t>严重审查错误而不及时处理的，一次罚款1000元。</w:t>
      </w:r>
    </w:p>
    <w:p w14:paraId="289402CA">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基础放线及挖槽时监理部应按规划红线及甲方提供的坐标基准点、标高进行复核验线并做详细记录，发现偏差应及时纠正。如在竣工验收时发现放线偏差；上部结构轴线偏差在允许范围之外，造成损失的，对监理公司处以监理总费用</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0%的罚款</w:t>
      </w:r>
      <w:r>
        <w:rPr>
          <w:rFonts w:hint="eastAsia" w:ascii="宋体" w:hAnsi="宋体" w:eastAsia="宋体" w:cs="宋体"/>
          <w:color w:val="auto"/>
          <w:sz w:val="21"/>
          <w:szCs w:val="21"/>
          <w:highlight w:val="none"/>
          <w:lang w:eastAsia="zh-CN"/>
        </w:rPr>
        <w:t>，并记入“黑名单”。</w:t>
      </w:r>
    </w:p>
    <w:p w14:paraId="4D9F1248">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9.2.</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材料进场验收手续齐全，质量证明资料与实物核验符合设计及规范要求。由于发现不及时或发现未经批准的材料使用，监理不采取措施制止的，一次处罚1000元。</w:t>
      </w:r>
    </w:p>
    <w:p w14:paraId="28A4BD41">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9.2.</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现场存在的质量问题、安全隐患应及时发现并及时发出整改通知单。施工中存在质量问题，能够及时发现并进行处理的，及时安排处理并复查，质量问题不得隐瞒并私自处理；否则发现一次处罚3000元。经验收合格的工程，</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不得再有质量问题。</w:t>
      </w:r>
    </w:p>
    <w:p w14:paraId="480E705E">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监理单位对各种质量检验报告单、中间交工证书符合要求的及时签认；对施工单位的报验的关键部位或工序要及时进行验收，凡未履行签字验收程序就进行下道施工的发现一次处罚2000元。</w:t>
      </w:r>
    </w:p>
    <w:p w14:paraId="35E701F2">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9.2.</w:t>
      </w:r>
      <w:r>
        <w:rPr>
          <w:rFonts w:hint="eastAsia" w:ascii="宋体" w:hAnsi="宋体" w:eastAsia="宋体" w:cs="宋体"/>
          <w:color w:val="auto"/>
          <w:sz w:val="21"/>
          <w:szCs w:val="21"/>
          <w:highlight w:val="none"/>
          <w:lang w:val="en-US" w:eastAsia="zh-CN"/>
        </w:rPr>
        <w:t>6.各级巡查检查中对现场管理混乱、观感质量差的处罚1000元/次；检查中发现</w:t>
      </w:r>
      <w:r>
        <w:rPr>
          <w:rFonts w:hint="eastAsia" w:ascii="宋体" w:hAnsi="宋体" w:eastAsia="宋体" w:cs="宋体"/>
          <w:color w:val="auto"/>
          <w:sz w:val="21"/>
          <w:szCs w:val="21"/>
          <w:highlight w:val="none"/>
          <w:lang w:eastAsia="zh-CN"/>
        </w:rPr>
        <w:t>未按图纸及《规范》施工，</w:t>
      </w:r>
      <w:r>
        <w:rPr>
          <w:rFonts w:hint="eastAsia" w:ascii="宋体" w:hAnsi="宋体" w:eastAsia="宋体" w:cs="宋体"/>
          <w:color w:val="auto"/>
          <w:sz w:val="21"/>
          <w:szCs w:val="21"/>
          <w:highlight w:val="none"/>
          <w:lang w:val="en-US" w:eastAsia="zh-CN"/>
        </w:rPr>
        <w:t>监理理应发现而未发现，视为监理失误，处罚违约金1000--10000元/次；上述行为虽被监理人员发现但未采取有效措施，听之任之的，处罚违约金2000--20000元。情节严重的记入“黑名单”。</w:t>
      </w:r>
    </w:p>
    <w:p w14:paraId="6E21E6F4">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监理人员在施工阶段对关键部位和关键工序的施工质量实施全过程跟班旁站，旁站时发现问题要及时予以纠正。当发现施工出现了安全隐患、工程质量出现的缺陷可能引发工程质量事故时，应口头要求暂停施工并采取录相、摄影等手段予以记录，立即向总监理工程师汇报，由总监理工程师签发《暂停施工令》，并将所发现问题及处理过程记入监理日志。建设单位抽查发现旁站不到位，一次处罚1000元。</w:t>
      </w:r>
    </w:p>
    <w:p w14:paraId="3BE4FDF1">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9.3</w:t>
      </w:r>
      <w:r>
        <w:rPr>
          <w:rFonts w:hint="eastAsia" w:ascii="宋体" w:hAnsi="宋体" w:eastAsia="宋体" w:cs="宋体"/>
          <w:color w:val="auto"/>
          <w:sz w:val="21"/>
          <w:szCs w:val="21"/>
          <w:highlight w:val="none"/>
        </w:rPr>
        <w:t>、进度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投资控制</w:t>
      </w:r>
    </w:p>
    <w:p w14:paraId="0773F140">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9.3.</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监理单位须配合施工进度,根据总进度计划,要求施工单位提出各分部、分项工程的季度、月度的具体计划安排,组织各专业监理工程师审查其可行性并提出意见，如不审查处罚1000元/次。</w:t>
      </w:r>
    </w:p>
    <w:p w14:paraId="36C04F6F">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为了配合施工单位按计划完成施工任务，在施工过程中，监理人员应加强过程检查，对违反施工规范、与图纸不符、有严重错误的问题敢于指出并要求整改，必要时签发监理通知，以减少工序验收时返工。</w:t>
      </w:r>
    </w:p>
    <w:p w14:paraId="2BAB592A">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9.3.</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监理工程师审核施工方提交的已完成工程量月报,对设计变更及工地洽商等造成的工程量增减变化情况进行审查,不符合质量要求不予签认，对</w:t>
      </w:r>
      <w:r>
        <w:rPr>
          <w:rFonts w:hint="eastAsia" w:ascii="宋体" w:hAnsi="宋体" w:eastAsia="宋体" w:cs="宋体"/>
          <w:color w:val="auto"/>
          <w:sz w:val="21"/>
          <w:szCs w:val="21"/>
          <w:highlight w:val="none"/>
          <w:lang w:eastAsia="zh-CN"/>
        </w:rPr>
        <w:t>进度</w:t>
      </w:r>
      <w:r>
        <w:rPr>
          <w:rFonts w:hint="eastAsia" w:ascii="宋体" w:hAnsi="宋体" w:eastAsia="宋体" w:cs="宋体"/>
          <w:color w:val="auto"/>
          <w:sz w:val="21"/>
          <w:szCs w:val="21"/>
          <w:highlight w:val="none"/>
        </w:rPr>
        <w:t>滞后提出原因分析并督促采取补救措施，及时汇报业主方。</w:t>
      </w:r>
    </w:p>
    <w:p w14:paraId="17F02411">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9.3.</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实行业主、监理、跟审和施工单位四方共同计量方式，严格控制工程量清单数量，做到及时、准确、不漏计、不重计。为保证请款资料的完整性、准确性，采取进度款支付联合会审逐级签认，若监理单位出现漏签、错签、代签的处罚2000元/次。</w:t>
      </w:r>
    </w:p>
    <w:p w14:paraId="53DDED92">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9.4</w:t>
      </w:r>
      <w:r>
        <w:rPr>
          <w:rFonts w:hint="eastAsia" w:ascii="宋体" w:hAnsi="宋体" w:eastAsia="宋体" w:cs="宋体"/>
          <w:color w:val="auto"/>
          <w:sz w:val="21"/>
          <w:szCs w:val="21"/>
          <w:highlight w:val="none"/>
        </w:rPr>
        <w:t>、安全文明生产、扬尘控制</w:t>
      </w:r>
    </w:p>
    <w:p w14:paraId="293AB5B6">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监理部应定期组织现场安全文明生产检查，对检查发现的问题应及时</w:t>
      </w:r>
      <w:r>
        <w:rPr>
          <w:rFonts w:hint="eastAsia" w:ascii="宋体" w:hAnsi="宋体" w:eastAsia="宋体" w:cs="宋体"/>
          <w:color w:val="auto"/>
          <w:sz w:val="21"/>
          <w:szCs w:val="21"/>
          <w:highlight w:val="none"/>
          <w:lang w:eastAsia="zh-CN"/>
        </w:rPr>
        <w:t>督促</w:t>
      </w:r>
      <w:r>
        <w:rPr>
          <w:rFonts w:hint="eastAsia" w:ascii="宋体" w:hAnsi="宋体" w:eastAsia="宋体" w:cs="宋体"/>
          <w:color w:val="auto"/>
          <w:sz w:val="21"/>
          <w:szCs w:val="21"/>
          <w:highlight w:val="none"/>
        </w:rPr>
        <w:t>施工单位整改，并将整改结果上报建设单位。</w:t>
      </w:r>
    </w:p>
    <w:p w14:paraId="4C82A937">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9.4.</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督促施工单位严格执行大气污染防治措施，做好台账，若出现防治措施不到位，被巡查、检查发现的，按重点处大气污染防治规定处罚。</w:t>
      </w:r>
    </w:p>
    <w:p w14:paraId="74E0235F">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9.4.</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做好日常安全监护及督促，对发现下述情况，监理单位不按照要求提出整改听之任之的，对监理单位处罚1000元/项。</w:t>
      </w:r>
    </w:p>
    <w:p w14:paraId="2349C550">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（1）工程标牌未设置，或设置位置不醒目，破损未及时修复的。</w:t>
      </w:r>
    </w:p>
    <w:p w14:paraId="0728D4A6">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（2）施工单位未建立安全生产责任制，未落实安全生产的组织保证体系，安全员缺岗或不到位；施工单位安全管理台帐未及时建立</w:t>
      </w:r>
      <w:r>
        <w:rPr>
          <w:rFonts w:hint="eastAsia" w:ascii="宋体" w:hAnsi="宋体" w:eastAsia="宋体" w:cs="宋体"/>
          <w:color w:val="auto"/>
          <w:sz w:val="21"/>
          <w:szCs w:val="21"/>
          <w:highlight w:val="none"/>
          <w:lang w:eastAsia="zh-CN"/>
        </w:rPr>
        <w:t>或不</w:t>
      </w:r>
      <w:r>
        <w:rPr>
          <w:rFonts w:hint="eastAsia" w:ascii="宋体" w:hAnsi="宋体" w:eastAsia="宋体" w:cs="宋体"/>
          <w:color w:val="auto"/>
          <w:sz w:val="21"/>
          <w:szCs w:val="21"/>
          <w:highlight w:val="none"/>
        </w:rPr>
        <w:t>完善，未对施工作业人员进行安全生产教育或分部分项工程</w:t>
      </w:r>
      <w:r>
        <w:rPr>
          <w:rFonts w:hint="eastAsia" w:ascii="宋体" w:hAnsi="宋体" w:eastAsia="宋体" w:cs="宋体"/>
          <w:color w:val="auto"/>
          <w:sz w:val="21"/>
          <w:szCs w:val="21"/>
          <w:highlight w:val="none"/>
          <w:lang w:eastAsia="zh-CN"/>
        </w:rPr>
        <w:t>未进行</w:t>
      </w:r>
      <w:r>
        <w:rPr>
          <w:rFonts w:hint="eastAsia" w:ascii="宋体" w:hAnsi="宋体" w:eastAsia="宋体" w:cs="宋体"/>
          <w:color w:val="auto"/>
          <w:sz w:val="21"/>
          <w:szCs w:val="21"/>
          <w:highlight w:val="none"/>
        </w:rPr>
        <w:t>安全技术交底，施工单位特种作业人员未持证上岗。</w:t>
      </w:r>
    </w:p>
    <w:p w14:paraId="3A19F6C6">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（3）施工现场消防设施未按要求配置，施工脚手架未按规范搭设、报验不及时及未能满足安全防护要求的，现场安全帽、安全网、安全带等未按要求佩带或配置的。</w:t>
      </w:r>
    </w:p>
    <w:p w14:paraId="09AC65D8">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（4）施工现场扬尘、高空抛物或从高处倾倒物体、随意倾倒垃圾、损坏设施不及时修复的。</w:t>
      </w:r>
    </w:p>
    <w:p w14:paraId="440BB7FD">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（5）外墙脚手架未保持整洁、美观，发生破损，钢管、扣件、栏杆颜色标识不清楚，围档及周边道路、工地出入口未保持清洁，绿化、广告、灯箱等发生破损未及时修复的。</w:t>
      </w:r>
    </w:p>
    <w:p w14:paraId="0559607E">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现场出入口、通道口、楼梯口、井道口、预留洞口、临边洞口、基坑边缘等容易发生坠落的地方未设置安全警示标志，临边防护未及时设置，现场塔吊、架桥机、吊车及其他施工机具未按要求配备有效的保险、限位等安全设施和装置或超过质检期违规使用的。</w:t>
      </w:r>
    </w:p>
    <w:p w14:paraId="429B6CB4">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（7）施工现场成品、半成品及原材料未按规定堆放的。</w:t>
      </w:r>
    </w:p>
    <w:p w14:paraId="77E5473B">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施工现场用电设备、配电箱、开关箱未采用TN-S接零保护系统，未实行三级配电、两级保护系统，施工电缆随意拖拉，未架空或埋地，接头未保护，绝缘层有破损，现场用电设备漏电保护装置未按要求配置或失灵的。</w:t>
      </w:r>
    </w:p>
    <w:p w14:paraId="3ABBC9CE">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（9）发现生活区、职工集体宿舍、食堂违规使用电器，电线私拉乱接及未配设防火设备的。</w:t>
      </w:r>
    </w:p>
    <w:p w14:paraId="53D6B6F4">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9.5</w:t>
      </w:r>
      <w:r>
        <w:rPr>
          <w:rFonts w:hint="eastAsia" w:ascii="宋体" w:hAnsi="宋体" w:eastAsia="宋体" w:cs="宋体"/>
          <w:color w:val="auto"/>
          <w:sz w:val="21"/>
          <w:szCs w:val="21"/>
          <w:highlight w:val="none"/>
        </w:rPr>
        <w:t>、监理合同</w:t>
      </w:r>
      <w:r>
        <w:rPr>
          <w:rFonts w:hint="eastAsia" w:ascii="宋体" w:hAnsi="宋体" w:eastAsia="宋体" w:cs="宋体"/>
          <w:color w:val="auto"/>
          <w:sz w:val="21"/>
          <w:szCs w:val="21"/>
          <w:highlight w:val="none"/>
          <w:lang w:eastAsia="zh-CN"/>
        </w:rPr>
        <w:t>补充</w:t>
      </w:r>
      <w:r>
        <w:rPr>
          <w:rFonts w:hint="eastAsia" w:ascii="宋体" w:hAnsi="宋体" w:eastAsia="宋体" w:cs="宋体"/>
          <w:color w:val="auto"/>
          <w:sz w:val="21"/>
          <w:szCs w:val="21"/>
          <w:highlight w:val="none"/>
        </w:rPr>
        <w:t>条款</w:t>
      </w:r>
    </w:p>
    <w:p w14:paraId="37B858B3">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9.5.</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单位工程质量未达到施工合同约定质量标准，每出现一项扣减监理费用人民币10000元，依次类推。</w:t>
      </w:r>
    </w:p>
    <w:p w14:paraId="5DA130FB">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9.5.</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因监理服务不及时造成工期延误每天扣减监理费用人民币500元。</w:t>
      </w:r>
    </w:p>
    <w:p w14:paraId="5DEB017C">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9.5.</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因监理责任造成的工程质量返工，</w:t>
      </w:r>
      <w:r>
        <w:rPr>
          <w:rFonts w:hint="eastAsia" w:ascii="宋体" w:hAnsi="宋体" w:eastAsia="宋体" w:cs="宋体"/>
          <w:color w:val="auto"/>
          <w:sz w:val="21"/>
          <w:szCs w:val="21"/>
          <w:highlight w:val="none"/>
          <w:lang w:eastAsia="zh-CN"/>
        </w:rPr>
        <w:t>对监理单位</w:t>
      </w:r>
      <w:r>
        <w:rPr>
          <w:rFonts w:hint="eastAsia" w:ascii="宋体" w:hAnsi="宋体" w:eastAsia="宋体" w:cs="宋体"/>
          <w:color w:val="auto"/>
          <w:sz w:val="21"/>
          <w:szCs w:val="21"/>
          <w:highlight w:val="none"/>
        </w:rPr>
        <w:t>按返工损失</w:t>
      </w:r>
      <w:r>
        <w:rPr>
          <w:rFonts w:hint="eastAsia" w:ascii="宋体" w:hAnsi="宋体" w:eastAsia="宋体" w:cs="宋体"/>
          <w:color w:val="auto"/>
          <w:sz w:val="21"/>
          <w:szCs w:val="21"/>
          <w:highlight w:val="none"/>
          <w:lang w:eastAsia="zh-CN"/>
        </w:rPr>
        <w:t>总额</w:t>
      </w:r>
      <w:r>
        <w:rPr>
          <w:rFonts w:hint="eastAsia" w:ascii="宋体" w:hAnsi="宋体" w:eastAsia="宋体" w:cs="宋体"/>
          <w:color w:val="auto"/>
          <w:sz w:val="21"/>
          <w:szCs w:val="21"/>
          <w:highlight w:val="none"/>
        </w:rPr>
        <w:t>的10%</w:t>
      </w:r>
      <w:r>
        <w:rPr>
          <w:rFonts w:hint="eastAsia" w:ascii="宋体" w:hAnsi="宋体" w:eastAsia="宋体" w:cs="宋体"/>
          <w:color w:val="auto"/>
          <w:sz w:val="21"/>
          <w:szCs w:val="21"/>
          <w:highlight w:val="none"/>
          <w:lang w:eastAsia="zh-CN"/>
        </w:rPr>
        <w:t>给予处罚</w:t>
      </w:r>
      <w:r>
        <w:rPr>
          <w:rFonts w:hint="eastAsia" w:ascii="宋体" w:hAnsi="宋体" w:eastAsia="宋体" w:cs="宋体"/>
          <w:color w:val="auto"/>
          <w:sz w:val="21"/>
          <w:szCs w:val="21"/>
          <w:highlight w:val="none"/>
        </w:rPr>
        <w:t>。</w:t>
      </w:r>
    </w:p>
    <w:p w14:paraId="2ECA2CFE">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9.5.</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如监理人员与施工单位串通弄虚作假，降低工程质量，将不合格材料按照合格签字的，给委托人造成损失。视其情节轻重，扣减监理费用10000元—30000元</w:t>
      </w:r>
      <w:r>
        <w:rPr>
          <w:rFonts w:hint="eastAsia" w:ascii="宋体" w:hAnsi="宋体" w:eastAsia="宋体" w:cs="宋体"/>
          <w:color w:val="auto"/>
          <w:sz w:val="21"/>
          <w:szCs w:val="21"/>
          <w:highlight w:val="none"/>
          <w:lang w:eastAsia="zh-CN"/>
        </w:rPr>
        <w:t>，并追究经济法律责任。</w:t>
      </w:r>
    </w:p>
    <w:p w14:paraId="2702869B">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9.5.</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若是监理人员与施工单位串通弄虚作假，签发不实的经济和工期签证，给委托人造成损失。视其情节轻重，扣减监理费用10000元—20000元</w:t>
      </w:r>
      <w:r>
        <w:rPr>
          <w:rFonts w:hint="eastAsia" w:ascii="宋体" w:hAnsi="宋体" w:eastAsia="宋体" w:cs="宋体"/>
          <w:color w:val="auto"/>
          <w:sz w:val="21"/>
          <w:szCs w:val="21"/>
          <w:highlight w:val="none"/>
          <w:lang w:eastAsia="zh-CN"/>
        </w:rPr>
        <w:t>，并追究经济法律责任。</w:t>
      </w:r>
    </w:p>
    <w:p w14:paraId="733063A8">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9.6</w:t>
      </w:r>
      <w:r>
        <w:rPr>
          <w:rFonts w:hint="eastAsia" w:ascii="宋体" w:hAnsi="宋体" w:eastAsia="宋体" w:cs="宋体"/>
          <w:color w:val="auto"/>
          <w:sz w:val="21"/>
          <w:szCs w:val="21"/>
          <w:highlight w:val="none"/>
        </w:rPr>
        <w:t>、其他</w:t>
      </w:r>
    </w:p>
    <w:p w14:paraId="6BD5DD36">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项目组</w:t>
      </w:r>
      <w:r>
        <w:rPr>
          <w:rFonts w:hint="eastAsia" w:ascii="宋体" w:hAnsi="宋体" w:eastAsia="宋体" w:cs="宋体"/>
          <w:color w:val="auto"/>
          <w:sz w:val="21"/>
          <w:szCs w:val="21"/>
          <w:highlight w:val="none"/>
          <w:lang w:eastAsia="zh-CN"/>
        </w:rPr>
        <w:t>、业主代表</w:t>
      </w:r>
      <w:r>
        <w:rPr>
          <w:rFonts w:hint="eastAsia" w:ascii="宋体" w:hAnsi="宋体" w:eastAsia="宋体" w:cs="宋体"/>
          <w:color w:val="auto"/>
          <w:sz w:val="21"/>
          <w:szCs w:val="21"/>
          <w:highlight w:val="none"/>
        </w:rPr>
        <w:t>将严格按此要求进行检查，并对监理单位进行考核。</w:t>
      </w:r>
      <w:r>
        <w:rPr>
          <w:rFonts w:hint="eastAsia" w:ascii="宋体" w:hAnsi="宋体" w:eastAsia="宋体" w:cs="宋体"/>
          <w:color w:val="auto"/>
          <w:sz w:val="21"/>
          <w:szCs w:val="21"/>
          <w:highlight w:val="none"/>
          <w:lang w:val="en-US" w:eastAsia="zh-CN"/>
        </w:rPr>
        <w:t>所有处罚均函告监理公司并在处网站公布。</w:t>
      </w:r>
    </w:p>
    <w:p w14:paraId="1A04ED29">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r>
        <w:rPr>
          <w:rFonts w:hint="eastAsia" w:ascii="宋体" w:hAnsi="宋体" w:eastAsia="宋体" w:cs="宋体"/>
          <w:b/>
          <w:bCs/>
          <w:color w:val="auto"/>
          <w:sz w:val="21"/>
          <w:szCs w:val="21"/>
          <w:highlight w:val="none"/>
          <w:lang w:val="en-US" w:eastAsia="zh-CN"/>
        </w:rPr>
        <w:t>滁州市建设领域</w:t>
      </w:r>
      <w:r>
        <w:rPr>
          <w:rFonts w:hint="eastAsia" w:ascii="宋体" w:hAnsi="宋体" w:eastAsia="宋体" w:cs="宋体"/>
          <w:b/>
          <w:bCs/>
          <w:color w:val="auto"/>
          <w:sz w:val="21"/>
          <w:szCs w:val="21"/>
          <w:highlight w:val="none"/>
        </w:rPr>
        <w:t>农民工工资管理</w:t>
      </w:r>
    </w:p>
    <w:p w14:paraId="348A1576">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10.1 </w:t>
      </w:r>
      <w:r>
        <w:rPr>
          <w:rFonts w:hint="eastAsia" w:ascii="宋体" w:hAnsi="宋体" w:eastAsia="宋体" w:cs="宋体"/>
          <w:color w:val="auto"/>
          <w:sz w:val="21"/>
          <w:szCs w:val="21"/>
          <w:highlight w:val="none"/>
        </w:rPr>
        <w:t>未尽事宜，按《滁州市建设领域农民工工资管理暂行办法》（滁人社发〔2018〕215号）执行。</w:t>
      </w:r>
    </w:p>
    <w:p w14:paraId="726DD9F0">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11、禁止条款：</w:t>
      </w:r>
      <w:r>
        <w:rPr>
          <w:rFonts w:hint="eastAsia" w:ascii="宋体" w:hAnsi="宋体" w:eastAsia="宋体" w:cs="宋体"/>
          <w:color w:val="auto"/>
          <w:sz w:val="21"/>
          <w:szCs w:val="21"/>
          <w:highlight w:val="none"/>
        </w:rPr>
        <w:t>严格执行滁州市重点处《工程建设十六条禁令》；同时不得与施工单位同吃同住；不得将罚款、差旅费及相关费用转嫁给施工单位；不得代替施工单位整理相关施工资料及相关有偿服务；不得以监理费支付等为由拒绝履行监理服务，如有发现，委托人有权立即予以清退出场，终止合同，并另行委托同等资质的监理单位完善后续服务。</w:t>
      </w:r>
    </w:p>
    <w:p w14:paraId="192BD890">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12、农民工工资支付</w:t>
      </w:r>
    </w:p>
    <w:p w14:paraId="475323D8">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承包人应严格遵守《政府投资工程农民工工资信访管理办法（试行）》的相关规定。</w:t>
      </w:r>
    </w:p>
    <w:p w14:paraId="3BD25809">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凡到市重点处上访，滞留时间半个工作日（不足半个工作日以半个工作日计算），工程款支付比例在30%-40%（含）的，按每人每半个工作日200元的标准给予处罚，每增加工程款支付比例10%，每人每半个工作日处罚标准增加100元，依此类推。</w:t>
      </w:r>
    </w:p>
    <w:p w14:paraId="52CACE3D">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赴市政府上访，滞留时间半个工作日（不足半个工作日以半个工作日计算），工程款支付比例在30%-40%（含）的，按每人每半个工作日400元的标准给予处罚，每增加工程款支付比例10%，每人每半个工作日处罚标准增加200元，依此类推。</w:t>
      </w:r>
    </w:p>
    <w:p w14:paraId="5575412F">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凡赴省政府上访，滞留时间半个工作日（不足半个工作日以半个工作日计算），工程款支付比例在30%-40%（含）的，按每人每半个工作日600元的标准给予处罚，每增加工程款支付比例10%，每人每半个工作日处罚标准增加300元，依此类推。</w:t>
      </w:r>
    </w:p>
    <w:p w14:paraId="7603E1D9">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13、工地围挡公益广告设置基本要求</w:t>
      </w:r>
    </w:p>
    <w:p w14:paraId="1689788F">
      <w:pPr>
        <w:pStyle w:val="24"/>
        <w:keepNext w:val="0"/>
        <w:keepLines w:val="0"/>
        <w:pageBreakBefore w:val="0"/>
        <w:kinsoku/>
        <w:wordWrap/>
        <w:overflowPunct/>
        <w:topLinePunct w:val="0"/>
        <w:autoSpaceDE/>
        <w:autoSpaceDN/>
        <w:bidi w:val="0"/>
        <w:adjustRightInd/>
        <w:snapToGrid/>
        <w:spacing w:after="0" w:afterLines="0"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13.1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按照项目所在地现行规范执行</w:t>
      </w:r>
      <w:r>
        <w:rPr>
          <w:rFonts w:hint="eastAsia" w:ascii="宋体" w:hAnsi="宋体" w:eastAsia="宋体" w:cs="宋体"/>
          <w:color w:val="auto"/>
          <w:sz w:val="21"/>
          <w:szCs w:val="21"/>
          <w:highlight w:val="none"/>
        </w:rPr>
        <w:t>。</w:t>
      </w:r>
    </w:p>
    <w:p w14:paraId="06F09E3F">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、滁州市建设工程及储备用地围挡整治提升方案</w:t>
      </w:r>
    </w:p>
    <w:p w14:paraId="26FD2339">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执行《滁州市建筑工地围挡提档升级标准》的通知（建质﹝2022﹞34号文）</w:t>
      </w:r>
    </w:p>
    <w:p w14:paraId="00DD9A72">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、文明施工要求</w:t>
      </w:r>
    </w:p>
    <w:p w14:paraId="6510168F">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（1）公共环境</w:t>
      </w:r>
    </w:p>
    <w:p w14:paraId="00CAD12A">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①建筑工地采用砌体、钢结构或彩钢夹芯板等，不得使用彩钢板封闭管理，高度不低于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米；储备用地、路面施工应一律设置建筑围墙进行遮挡。环境卫生干净整洁，围墙内外无乱堆放现象，无生活垃圾；施工现场标识明显，四周设置围墙、围挡，并符合标准；施工车辆有硬化的进出通道和冲洗设备，无抛洒和污染路面现象。</w:t>
      </w:r>
    </w:p>
    <w:p w14:paraId="17DDF3DE">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场内设有不少于15米硬化面，车辆进出工地实行密闭运输，有车辆冲洗平台和冲洗设备、临时厕所、垃圾收集容器、污水处理排放系统、降尘设备等设施；场内干净整洁，机械设备、物料等摆放有序，安全施工措施到位，文明施工氛围浓厚。能够开展文明工地创建，施工噪音、粉尘等达到国家环保要求。</w:t>
      </w:r>
    </w:p>
    <w:p w14:paraId="594C4A39">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（2）公益宣传</w:t>
      </w:r>
    </w:p>
    <w:p w14:paraId="4B474DB3">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运用建筑围挡宣传展示社会主义核心价值观12个主题词、市民文明行为规范，及时更新中宣部、中央文明办发布的“讲文明树新风”、“图说我们的价值观”通稿作品以及本市自创的公益广告（建筑围挡无破墙开洞现象，公益广告无污染、破旧现象）。</w:t>
      </w:r>
    </w:p>
    <w:p w14:paraId="231C439C">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②公益广告展示面积占围挡总面积的比例不少于50%，且公益广告要与商业广告穿插展示（每3块广告中必须要有1块公益广告），且单面围挡墙体均能看到公益宣传。步行30米，达到50%面积比例。 </w:t>
      </w:r>
    </w:p>
    <w:p w14:paraId="1FBD7978">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、重要要求</w:t>
      </w:r>
    </w:p>
    <w:p w14:paraId="2790832B">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有下列情况之一的，</w:t>
      </w:r>
      <w:r>
        <w:rPr>
          <w:rFonts w:hint="eastAsia" w:ascii="宋体" w:hAnsi="宋体" w:eastAsia="宋体" w:cs="宋体"/>
          <w:b/>
          <w:bCs/>
          <w:color w:val="auto"/>
          <w:kern w:val="0"/>
          <w:sz w:val="21"/>
          <w:szCs w:val="21"/>
          <w:highlight w:val="none"/>
          <w:lang w:val="en-US" w:eastAsia="zh-CN"/>
        </w:rPr>
        <w:t>采购人</w:t>
      </w:r>
      <w:r>
        <w:rPr>
          <w:rFonts w:hint="eastAsia" w:ascii="宋体" w:hAnsi="宋体" w:eastAsia="宋体" w:cs="宋体"/>
          <w:b/>
          <w:bCs/>
          <w:color w:val="auto"/>
          <w:kern w:val="0"/>
          <w:sz w:val="21"/>
          <w:szCs w:val="21"/>
          <w:highlight w:val="none"/>
        </w:rPr>
        <w:t>有权终止合同：</w:t>
      </w:r>
    </w:p>
    <w:p w14:paraId="5B94D22C">
      <w:pPr>
        <w:keepNext w:val="0"/>
        <w:keepLines w:val="0"/>
        <w:pageBreakBefore w:val="0"/>
        <w:widowControl/>
        <w:tabs>
          <w:tab w:val="left" w:pos="0"/>
        </w:tabs>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（1）在第一次监理例会，监理单位针对投标承诺配备项目总监</w:t>
      </w:r>
      <w:r>
        <w:rPr>
          <w:rFonts w:hint="eastAsia" w:ascii="宋体" w:hAnsi="宋体" w:eastAsia="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以监理单位任命文为准</w:t>
      </w:r>
      <w:r>
        <w:rPr>
          <w:rFonts w:hint="eastAsia" w:ascii="宋体" w:hAnsi="宋体" w:eastAsia="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rPr>
        <w:t>总监代表、专业监理工程师、监理员等监理部关键岗位人员必须全部到场参加；</w:t>
      </w:r>
    </w:p>
    <w:p w14:paraId="3AF56418">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（2）在图纸交底会议，监理单位针对投标承诺配备项目总监和以监理单位任命文为准的总监代表、专业监理工程师、监理员等监理部关键岗位人员必须全部到场参加；</w:t>
      </w:r>
    </w:p>
    <w:p w14:paraId="66AAD6DA">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（3）发包人组织对总监进行业务能力考核，经考核不合格要求更换人员，且更换人员考核依然不合格的；</w:t>
      </w:r>
    </w:p>
    <w:p w14:paraId="4AD9AE0F">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（4）各专业监理可结合项目的实施阶段经委托人签字认可后分期到岗，若实际到岗人数不满足</w:t>
      </w:r>
      <w:r>
        <w:rPr>
          <w:rFonts w:hint="eastAsia" w:ascii="宋体" w:hAnsi="宋体" w:eastAsia="宋体" w:cs="宋体"/>
          <w:b/>
          <w:bCs/>
          <w:color w:val="auto"/>
          <w:sz w:val="21"/>
          <w:szCs w:val="21"/>
          <w:highlight w:val="none"/>
          <w:lang w:eastAsia="zh-CN"/>
        </w:rPr>
        <w:t>招标文件</w:t>
      </w:r>
      <w:r>
        <w:rPr>
          <w:rFonts w:hint="eastAsia" w:ascii="宋体" w:hAnsi="宋体" w:eastAsia="宋体" w:cs="宋体"/>
          <w:b/>
          <w:bCs/>
          <w:color w:val="auto"/>
          <w:sz w:val="21"/>
          <w:szCs w:val="21"/>
          <w:highlight w:val="none"/>
        </w:rPr>
        <w:t>要求的；</w:t>
      </w:r>
    </w:p>
    <w:p w14:paraId="05A368E0">
      <w:pPr>
        <w:pStyle w:val="24"/>
        <w:keepNext w:val="0"/>
        <w:keepLines w:val="0"/>
        <w:pageBreakBefore w:val="0"/>
        <w:kinsoku/>
        <w:wordWrap/>
        <w:overflowPunct/>
        <w:topLinePunct w:val="0"/>
        <w:autoSpaceDE/>
        <w:autoSpaceDN/>
        <w:bidi w:val="0"/>
        <w:adjustRightInd/>
        <w:snapToGrid/>
        <w:spacing w:after="0" w:afterLines="0" w:line="44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（5）工程进度管理：执行滁州市重点处《重点工程进度管理办法》规定；情节严重的，委托人有权解除合同，并追究经济损失。</w:t>
      </w:r>
    </w:p>
    <w:p w14:paraId="653FF31A">
      <w:pPr>
        <w:pStyle w:val="24"/>
        <w:keepNext w:val="0"/>
        <w:keepLines w:val="0"/>
        <w:pageBreakBefore w:val="0"/>
        <w:kinsoku/>
        <w:wordWrap/>
        <w:overflowPunct/>
        <w:topLinePunct w:val="0"/>
        <w:autoSpaceDE/>
        <w:autoSpaceDN/>
        <w:bidi w:val="0"/>
        <w:adjustRightInd/>
        <w:snapToGrid/>
        <w:spacing w:after="0" w:afterLines="0" w:line="440" w:lineRule="exact"/>
        <w:ind w:left="0" w:leftChars="0" w:firstLine="422" w:firstLineChars="200"/>
        <w:jc w:val="left"/>
        <w:textAlignment w:val="auto"/>
        <w:rPr>
          <w:rFonts w:hint="eastAsia" w:ascii="宋体" w:hAnsi="宋体" w:eastAsia="宋体" w:cs="宋体"/>
          <w:color w:val="auto"/>
          <w:sz w:val="21"/>
          <w:szCs w:val="21"/>
          <w:highlight w:val="none"/>
        </w:rPr>
      </w:pPr>
      <w:r>
        <w:rPr>
          <w:rFonts w:hint="eastAsia"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、监管平台</w:t>
      </w:r>
    </w:p>
    <w:p w14:paraId="5903F4AD">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监理单位须在监管平台录入以下（但不限于）内容：</w:t>
      </w:r>
    </w:p>
    <w:p w14:paraId="12941424">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1、在进度管理中，每周实际完成工作量、投入人员及机械使用情况；</w:t>
      </w:r>
    </w:p>
    <w:p w14:paraId="4DF5CB5E">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2、在安全管理中，现场存在的安全隐患等问题；</w:t>
      </w:r>
    </w:p>
    <w:p w14:paraId="2EAB4FAA">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3、在质量控制要点中的关键工序、验收资料及检测资料及存在的质量问题；</w:t>
      </w:r>
    </w:p>
    <w:p w14:paraId="19DB3367">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4、监理日志</w:t>
      </w:r>
    </w:p>
    <w:p w14:paraId="4CC27105">
      <w:pPr>
        <w:pStyle w:val="24"/>
        <w:keepNext w:val="0"/>
        <w:keepLines w:val="0"/>
        <w:pageBreakBefore w:val="0"/>
        <w:kinsoku/>
        <w:wordWrap/>
        <w:overflowPunct/>
        <w:topLinePunct w:val="0"/>
        <w:autoSpaceDE/>
        <w:autoSpaceDN/>
        <w:bidi w:val="0"/>
        <w:adjustRightInd/>
        <w:snapToGrid/>
        <w:spacing w:after="0" w:afterLines="0" w:line="44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5、创城、创卫管理内容</w:t>
      </w:r>
    </w:p>
    <w:p w14:paraId="1ADF2969">
      <w:pPr>
        <w:pageBreakBefore/>
        <w:spacing w:line="440" w:lineRule="exact"/>
        <w:ind w:firstLine="422" w:firstLineChars="200"/>
        <w:jc w:val="center"/>
        <w:outlineLvl w:val="0"/>
        <w:rPr>
          <w:rFonts w:hint="eastAsia" w:ascii="宋体" w:hAnsi="宋体" w:eastAsia="宋体" w:cs="宋体"/>
          <w:b/>
          <w:bCs/>
          <w:color w:val="auto"/>
          <w:szCs w:val="21"/>
          <w:highlight w:val="none"/>
        </w:rPr>
      </w:pPr>
      <w:bookmarkStart w:id="112" w:name="_Toc10448"/>
      <w:bookmarkStart w:id="113" w:name="_Toc20311"/>
      <w:bookmarkStart w:id="114" w:name="_Toc27018"/>
      <w:r>
        <w:rPr>
          <w:rFonts w:hint="eastAsia" w:ascii="宋体" w:hAnsi="宋体" w:eastAsia="宋体" w:cs="宋体"/>
          <w:b/>
          <w:bCs/>
          <w:color w:val="auto"/>
          <w:szCs w:val="21"/>
          <w:highlight w:val="none"/>
        </w:rPr>
        <w:t>附录A  相关服务的范围和内容</w:t>
      </w:r>
      <w:bookmarkEnd w:id="112"/>
      <w:bookmarkEnd w:id="113"/>
      <w:bookmarkEnd w:id="114"/>
    </w:p>
    <w:p w14:paraId="16F2CC4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A-1 勘察阶段：</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64B6C0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A-2 设计阶段：</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F5058B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A-3 保修阶段：</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235452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A-4 </w:t>
      </w:r>
      <w:r>
        <w:rPr>
          <w:rFonts w:hint="eastAsia" w:ascii="宋体" w:hAnsi="宋体" w:eastAsia="宋体" w:cs="宋体"/>
          <w:color w:val="auto"/>
          <w:szCs w:val="21"/>
          <w:highlight w:val="none"/>
        </w:rPr>
        <w:t>其他（专业技术咨询、外部协调工作等）：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Start w:id="115" w:name="_Toc24500"/>
      <w:bookmarkStart w:id="116" w:name="_Toc16232"/>
    </w:p>
    <w:p w14:paraId="17D41E77">
      <w:pPr>
        <w:snapToGrid w:val="0"/>
        <w:spacing w:line="440" w:lineRule="exact"/>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附录B  委托人派遣的人员和提供的房屋、资料、设备</w:t>
      </w:r>
      <w:bookmarkEnd w:id="115"/>
      <w:bookmarkEnd w:id="116"/>
    </w:p>
    <w:p w14:paraId="74364175">
      <w:pPr>
        <w:spacing w:line="440" w:lineRule="exact"/>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B-1  委托人派遣的人员</w:t>
      </w:r>
    </w:p>
    <w:tbl>
      <w:tblPr>
        <w:tblStyle w:val="25"/>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5"/>
        <w:gridCol w:w="1768"/>
        <w:gridCol w:w="2128"/>
        <w:gridCol w:w="1858"/>
      </w:tblGrid>
      <w:tr w14:paraId="6845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805" w:type="dxa"/>
            <w:noWrap w:val="0"/>
            <w:vAlign w:val="center"/>
          </w:tcPr>
          <w:p w14:paraId="741E992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768" w:type="dxa"/>
            <w:noWrap w:val="0"/>
            <w:vAlign w:val="center"/>
          </w:tcPr>
          <w:p w14:paraId="6CB60F1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2128" w:type="dxa"/>
            <w:noWrap w:val="0"/>
            <w:vAlign w:val="center"/>
          </w:tcPr>
          <w:p w14:paraId="618EAEA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工作要求</w:t>
            </w:r>
          </w:p>
        </w:tc>
        <w:tc>
          <w:tcPr>
            <w:tcW w:w="1858" w:type="dxa"/>
            <w:noWrap w:val="0"/>
            <w:vAlign w:val="center"/>
          </w:tcPr>
          <w:p w14:paraId="5BA2EAF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提供时间</w:t>
            </w:r>
          </w:p>
        </w:tc>
      </w:tr>
      <w:tr w14:paraId="1114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805" w:type="dxa"/>
            <w:noWrap w:val="0"/>
            <w:vAlign w:val="center"/>
          </w:tcPr>
          <w:p w14:paraId="3B27D36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工程技术人员</w:t>
            </w:r>
          </w:p>
        </w:tc>
        <w:tc>
          <w:tcPr>
            <w:tcW w:w="1768" w:type="dxa"/>
            <w:noWrap w:val="0"/>
            <w:vAlign w:val="center"/>
          </w:tcPr>
          <w:p w14:paraId="4528FFE6">
            <w:pPr>
              <w:spacing w:line="440" w:lineRule="exact"/>
              <w:jc w:val="center"/>
              <w:rPr>
                <w:rFonts w:hint="eastAsia" w:ascii="宋体" w:hAnsi="宋体" w:eastAsia="宋体" w:cs="宋体"/>
                <w:color w:val="auto"/>
                <w:szCs w:val="21"/>
                <w:highlight w:val="none"/>
              </w:rPr>
            </w:pPr>
          </w:p>
        </w:tc>
        <w:tc>
          <w:tcPr>
            <w:tcW w:w="2128" w:type="dxa"/>
            <w:noWrap w:val="0"/>
            <w:vAlign w:val="center"/>
          </w:tcPr>
          <w:p w14:paraId="4398F298">
            <w:pPr>
              <w:spacing w:line="440" w:lineRule="exact"/>
              <w:jc w:val="center"/>
              <w:rPr>
                <w:rFonts w:hint="eastAsia" w:ascii="宋体" w:hAnsi="宋体" w:eastAsia="宋体" w:cs="宋体"/>
                <w:color w:val="auto"/>
                <w:szCs w:val="21"/>
                <w:highlight w:val="none"/>
              </w:rPr>
            </w:pPr>
          </w:p>
        </w:tc>
        <w:tc>
          <w:tcPr>
            <w:tcW w:w="1858" w:type="dxa"/>
            <w:noWrap w:val="0"/>
            <w:vAlign w:val="center"/>
          </w:tcPr>
          <w:p w14:paraId="1C717622">
            <w:pPr>
              <w:spacing w:line="440" w:lineRule="exact"/>
              <w:jc w:val="center"/>
              <w:rPr>
                <w:rFonts w:hint="eastAsia" w:ascii="宋体" w:hAnsi="宋体" w:eastAsia="宋体" w:cs="宋体"/>
                <w:color w:val="auto"/>
                <w:szCs w:val="21"/>
                <w:highlight w:val="none"/>
              </w:rPr>
            </w:pPr>
          </w:p>
        </w:tc>
      </w:tr>
      <w:tr w14:paraId="7E6C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805" w:type="dxa"/>
            <w:noWrap w:val="0"/>
            <w:vAlign w:val="center"/>
          </w:tcPr>
          <w:p w14:paraId="4BAEEE6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辅助工作人员</w:t>
            </w:r>
          </w:p>
        </w:tc>
        <w:tc>
          <w:tcPr>
            <w:tcW w:w="1768" w:type="dxa"/>
            <w:noWrap w:val="0"/>
            <w:vAlign w:val="center"/>
          </w:tcPr>
          <w:p w14:paraId="60CFCC23">
            <w:pPr>
              <w:spacing w:line="440" w:lineRule="exact"/>
              <w:jc w:val="center"/>
              <w:rPr>
                <w:rFonts w:hint="eastAsia" w:ascii="宋体" w:hAnsi="宋体" w:eastAsia="宋体" w:cs="宋体"/>
                <w:color w:val="auto"/>
                <w:szCs w:val="21"/>
                <w:highlight w:val="none"/>
              </w:rPr>
            </w:pPr>
          </w:p>
        </w:tc>
        <w:tc>
          <w:tcPr>
            <w:tcW w:w="2128" w:type="dxa"/>
            <w:noWrap w:val="0"/>
            <w:vAlign w:val="center"/>
          </w:tcPr>
          <w:p w14:paraId="513DA6D6">
            <w:pPr>
              <w:spacing w:line="440" w:lineRule="exact"/>
              <w:jc w:val="center"/>
              <w:rPr>
                <w:rFonts w:hint="eastAsia" w:ascii="宋体" w:hAnsi="宋体" w:eastAsia="宋体" w:cs="宋体"/>
                <w:color w:val="auto"/>
                <w:szCs w:val="21"/>
                <w:highlight w:val="none"/>
              </w:rPr>
            </w:pPr>
          </w:p>
        </w:tc>
        <w:tc>
          <w:tcPr>
            <w:tcW w:w="1858" w:type="dxa"/>
            <w:noWrap w:val="0"/>
            <w:vAlign w:val="center"/>
          </w:tcPr>
          <w:p w14:paraId="568C9D9D">
            <w:pPr>
              <w:spacing w:line="440" w:lineRule="exact"/>
              <w:jc w:val="center"/>
              <w:rPr>
                <w:rFonts w:hint="eastAsia" w:ascii="宋体" w:hAnsi="宋体" w:eastAsia="宋体" w:cs="宋体"/>
                <w:color w:val="auto"/>
                <w:szCs w:val="21"/>
                <w:highlight w:val="none"/>
              </w:rPr>
            </w:pPr>
          </w:p>
        </w:tc>
      </w:tr>
      <w:tr w14:paraId="2EFE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05" w:type="dxa"/>
            <w:noWrap w:val="0"/>
            <w:vAlign w:val="center"/>
          </w:tcPr>
          <w:p w14:paraId="0096B66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其他人员</w:t>
            </w:r>
          </w:p>
        </w:tc>
        <w:tc>
          <w:tcPr>
            <w:tcW w:w="1768" w:type="dxa"/>
            <w:noWrap w:val="0"/>
            <w:vAlign w:val="center"/>
          </w:tcPr>
          <w:p w14:paraId="6C8A7117">
            <w:pPr>
              <w:spacing w:line="440" w:lineRule="exact"/>
              <w:jc w:val="center"/>
              <w:rPr>
                <w:rFonts w:hint="eastAsia" w:ascii="宋体" w:hAnsi="宋体" w:eastAsia="宋体" w:cs="宋体"/>
                <w:color w:val="auto"/>
                <w:szCs w:val="21"/>
                <w:highlight w:val="none"/>
              </w:rPr>
            </w:pPr>
          </w:p>
        </w:tc>
        <w:tc>
          <w:tcPr>
            <w:tcW w:w="2128" w:type="dxa"/>
            <w:noWrap w:val="0"/>
            <w:vAlign w:val="center"/>
          </w:tcPr>
          <w:p w14:paraId="0403BA5A">
            <w:pPr>
              <w:spacing w:line="440" w:lineRule="exact"/>
              <w:jc w:val="center"/>
              <w:rPr>
                <w:rFonts w:hint="eastAsia" w:ascii="宋体" w:hAnsi="宋体" w:eastAsia="宋体" w:cs="宋体"/>
                <w:color w:val="auto"/>
                <w:szCs w:val="21"/>
                <w:highlight w:val="none"/>
              </w:rPr>
            </w:pPr>
          </w:p>
        </w:tc>
        <w:tc>
          <w:tcPr>
            <w:tcW w:w="1858" w:type="dxa"/>
            <w:noWrap w:val="0"/>
            <w:vAlign w:val="center"/>
          </w:tcPr>
          <w:p w14:paraId="7F7BCBF8">
            <w:pPr>
              <w:spacing w:line="440" w:lineRule="exact"/>
              <w:jc w:val="center"/>
              <w:rPr>
                <w:rFonts w:hint="eastAsia" w:ascii="宋体" w:hAnsi="宋体" w:eastAsia="宋体" w:cs="宋体"/>
                <w:color w:val="auto"/>
                <w:szCs w:val="21"/>
                <w:highlight w:val="none"/>
              </w:rPr>
            </w:pPr>
          </w:p>
        </w:tc>
      </w:tr>
    </w:tbl>
    <w:p w14:paraId="122102EF">
      <w:pPr>
        <w:spacing w:line="440" w:lineRule="exact"/>
        <w:ind w:firstLine="422" w:firstLineChars="200"/>
        <w:outlineLvl w:val="0"/>
        <w:rPr>
          <w:rFonts w:hint="eastAsia" w:ascii="宋体" w:hAnsi="宋体" w:eastAsia="宋体" w:cs="宋体"/>
          <w:b/>
          <w:color w:val="auto"/>
          <w:kern w:val="0"/>
          <w:szCs w:val="21"/>
          <w:highlight w:val="none"/>
        </w:rPr>
      </w:pPr>
      <w:bookmarkStart w:id="117" w:name="_Toc15300912"/>
      <w:bookmarkStart w:id="118" w:name="_Toc13821"/>
      <w:bookmarkStart w:id="119" w:name="_Toc10969"/>
      <w:bookmarkStart w:id="120" w:name="_Toc11615"/>
      <w:bookmarkStart w:id="121" w:name="_Toc11231"/>
      <w:r>
        <w:rPr>
          <w:rFonts w:hint="eastAsia" w:ascii="宋体" w:hAnsi="宋体" w:eastAsia="宋体" w:cs="宋体"/>
          <w:b/>
          <w:color w:val="auto"/>
          <w:kern w:val="0"/>
          <w:szCs w:val="21"/>
          <w:highlight w:val="none"/>
        </w:rPr>
        <w:t>B-2  委托人提供的房屋</w:t>
      </w:r>
      <w:bookmarkEnd w:id="117"/>
      <w:bookmarkEnd w:id="118"/>
      <w:bookmarkEnd w:id="119"/>
      <w:bookmarkEnd w:id="120"/>
      <w:bookmarkEnd w:id="121"/>
    </w:p>
    <w:tbl>
      <w:tblPr>
        <w:tblStyle w:val="25"/>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2FE8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14:paraId="165C9D3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130" w:type="dxa"/>
            <w:noWrap w:val="0"/>
            <w:vAlign w:val="center"/>
          </w:tcPr>
          <w:p w14:paraId="1A0044DD">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2130" w:type="dxa"/>
            <w:noWrap w:val="0"/>
            <w:vAlign w:val="center"/>
          </w:tcPr>
          <w:p w14:paraId="5619CCF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面积</w:t>
            </w:r>
          </w:p>
        </w:tc>
        <w:tc>
          <w:tcPr>
            <w:tcW w:w="1860" w:type="dxa"/>
            <w:noWrap w:val="0"/>
            <w:vAlign w:val="center"/>
          </w:tcPr>
          <w:p w14:paraId="1B590C0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提供时间</w:t>
            </w:r>
          </w:p>
        </w:tc>
      </w:tr>
      <w:tr w14:paraId="19F8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14:paraId="1D80174B">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办公用房</w:t>
            </w:r>
          </w:p>
        </w:tc>
        <w:tc>
          <w:tcPr>
            <w:tcW w:w="2130" w:type="dxa"/>
            <w:noWrap w:val="0"/>
            <w:vAlign w:val="center"/>
          </w:tcPr>
          <w:p w14:paraId="1D78482F">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30A41C50">
            <w:pPr>
              <w:spacing w:line="440" w:lineRule="exact"/>
              <w:jc w:val="center"/>
              <w:rPr>
                <w:rFonts w:hint="eastAsia" w:ascii="宋体" w:hAnsi="宋体" w:eastAsia="宋体" w:cs="宋体"/>
                <w:color w:val="auto"/>
                <w:szCs w:val="21"/>
                <w:highlight w:val="none"/>
              </w:rPr>
            </w:pPr>
          </w:p>
        </w:tc>
        <w:tc>
          <w:tcPr>
            <w:tcW w:w="1860" w:type="dxa"/>
            <w:noWrap w:val="0"/>
            <w:vAlign w:val="center"/>
          </w:tcPr>
          <w:p w14:paraId="78913EB9">
            <w:pPr>
              <w:spacing w:line="440" w:lineRule="exact"/>
              <w:jc w:val="center"/>
              <w:rPr>
                <w:rFonts w:hint="eastAsia" w:ascii="宋体" w:hAnsi="宋体" w:eastAsia="宋体" w:cs="宋体"/>
                <w:color w:val="auto"/>
                <w:szCs w:val="21"/>
                <w:highlight w:val="none"/>
              </w:rPr>
            </w:pPr>
          </w:p>
        </w:tc>
      </w:tr>
      <w:tr w14:paraId="4DBE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14:paraId="5B68644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生活用房</w:t>
            </w:r>
          </w:p>
        </w:tc>
        <w:tc>
          <w:tcPr>
            <w:tcW w:w="2130" w:type="dxa"/>
            <w:noWrap w:val="0"/>
            <w:vAlign w:val="center"/>
          </w:tcPr>
          <w:p w14:paraId="48A6C514">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232EB465">
            <w:pPr>
              <w:spacing w:line="440" w:lineRule="exact"/>
              <w:jc w:val="center"/>
              <w:rPr>
                <w:rFonts w:hint="eastAsia" w:ascii="宋体" w:hAnsi="宋体" w:eastAsia="宋体" w:cs="宋体"/>
                <w:color w:val="auto"/>
                <w:szCs w:val="21"/>
                <w:highlight w:val="none"/>
              </w:rPr>
            </w:pPr>
          </w:p>
        </w:tc>
        <w:tc>
          <w:tcPr>
            <w:tcW w:w="1860" w:type="dxa"/>
            <w:noWrap w:val="0"/>
            <w:vAlign w:val="center"/>
          </w:tcPr>
          <w:p w14:paraId="6C48B229">
            <w:pPr>
              <w:spacing w:line="440" w:lineRule="exact"/>
              <w:jc w:val="center"/>
              <w:rPr>
                <w:rFonts w:hint="eastAsia" w:ascii="宋体" w:hAnsi="宋体" w:eastAsia="宋体" w:cs="宋体"/>
                <w:color w:val="auto"/>
                <w:szCs w:val="21"/>
                <w:highlight w:val="none"/>
              </w:rPr>
            </w:pPr>
          </w:p>
        </w:tc>
      </w:tr>
      <w:tr w14:paraId="5209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14:paraId="535317A7">
            <w:pPr>
              <w:spacing w:line="440" w:lineRule="exact"/>
              <w:jc w:val="center"/>
              <w:rPr>
                <w:rFonts w:hint="eastAsia" w:ascii="宋体" w:hAnsi="宋体" w:eastAsia="宋体" w:cs="宋体"/>
                <w:dstrike/>
                <w:color w:val="auto"/>
                <w:szCs w:val="21"/>
                <w:highlight w:val="none"/>
              </w:rPr>
            </w:pPr>
            <w:r>
              <w:rPr>
                <w:rFonts w:hint="eastAsia" w:ascii="宋体" w:hAnsi="宋体" w:eastAsia="宋体" w:cs="宋体"/>
                <w:color w:val="auto"/>
                <w:szCs w:val="21"/>
                <w:highlight w:val="none"/>
              </w:rPr>
              <w:t>3. 试验用房</w:t>
            </w:r>
          </w:p>
        </w:tc>
        <w:tc>
          <w:tcPr>
            <w:tcW w:w="2130" w:type="dxa"/>
            <w:noWrap w:val="0"/>
            <w:vAlign w:val="center"/>
          </w:tcPr>
          <w:p w14:paraId="2C54A43D">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2265B8DF">
            <w:pPr>
              <w:spacing w:line="440" w:lineRule="exact"/>
              <w:jc w:val="center"/>
              <w:rPr>
                <w:rFonts w:hint="eastAsia" w:ascii="宋体" w:hAnsi="宋体" w:eastAsia="宋体" w:cs="宋体"/>
                <w:color w:val="auto"/>
                <w:szCs w:val="21"/>
                <w:highlight w:val="none"/>
              </w:rPr>
            </w:pPr>
          </w:p>
        </w:tc>
        <w:tc>
          <w:tcPr>
            <w:tcW w:w="1860" w:type="dxa"/>
            <w:noWrap w:val="0"/>
            <w:vAlign w:val="center"/>
          </w:tcPr>
          <w:p w14:paraId="405FFF57">
            <w:pPr>
              <w:spacing w:line="440" w:lineRule="exact"/>
              <w:jc w:val="center"/>
              <w:rPr>
                <w:rFonts w:hint="eastAsia" w:ascii="宋体" w:hAnsi="宋体" w:eastAsia="宋体" w:cs="宋体"/>
                <w:color w:val="auto"/>
                <w:szCs w:val="21"/>
                <w:highlight w:val="none"/>
              </w:rPr>
            </w:pPr>
          </w:p>
        </w:tc>
      </w:tr>
      <w:tr w14:paraId="0138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14:paraId="3C5BF28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样品用房</w:t>
            </w:r>
          </w:p>
        </w:tc>
        <w:tc>
          <w:tcPr>
            <w:tcW w:w="2130" w:type="dxa"/>
            <w:noWrap w:val="0"/>
            <w:vAlign w:val="center"/>
          </w:tcPr>
          <w:p w14:paraId="0FE73D53">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556794B5">
            <w:pPr>
              <w:spacing w:line="440" w:lineRule="exact"/>
              <w:jc w:val="center"/>
              <w:rPr>
                <w:rFonts w:hint="eastAsia" w:ascii="宋体" w:hAnsi="宋体" w:eastAsia="宋体" w:cs="宋体"/>
                <w:color w:val="auto"/>
                <w:szCs w:val="21"/>
                <w:highlight w:val="none"/>
              </w:rPr>
            </w:pPr>
          </w:p>
        </w:tc>
        <w:tc>
          <w:tcPr>
            <w:tcW w:w="1860" w:type="dxa"/>
            <w:noWrap w:val="0"/>
            <w:vAlign w:val="center"/>
          </w:tcPr>
          <w:p w14:paraId="544D5B4A">
            <w:pPr>
              <w:spacing w:line="440" w:lineRule="exact"/>
              <w:jc w:val="center"/>
              <w:rPr>
                <w:rFonts w:hint="eastAsia" w:ascii="宋体" w:hAnsi="宋体" w:eastAsia="宋体" w:cs="宋体"/>
                <w:color w:val="auto"/>
                <w:szCs w:val="21"/>
                <w:highlight w:val="none"/>
              </w:rPr>
            </w:pPr>
          </w:p>
        </w:tc>
      </w:tr>
      <w:tr w14:paraId="4F7B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14:paraId="1BE783F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用餐及其他生活条件</w:t>
            </w:r>
          </w:p>
        </w:tc>
        <w:tc>
          <w:tcPr>
            <w:tcW w:w="6120" w:type="dxa"/>
            <w:gridSpan w:val="3"/>
            <w:noWrap w:val="0"/>
            <w:vAlign w:val="center"/>
          </w:tcPr>
          <w:p w14:paraId="3CB20C40">
            <w:pPr>
              <w:spacing w:line="440" w:lineRule="exact"/>
              <w:jc w:val="center"/>
              <w:rPr>
                <w:rFonts w:hint="eastAsia" w:ascii="宋体" w:hAnsi="宋体" w:eastAsia="宋体" w:cs="宋体"/>
                <w:color w:val="auto"/>
                <w:szCs w:val="21"/>
                <w:highlight w:val="none"/>
              </w:rPr>
            </w:pPr>
          </w:p>
        </w:tc>
      </w:tr>
    </w:tbl>
    <w:p w14:paraId="0AA8285E">
      <w:pPr>
        <w:spacing w:line="440" w:lineRule="exact"/>
        <w:ind w:firstLine="422" w:firstLineChars="200"/>
        <w:outlineLvl w:val="0"/>
        <w:rPr>
          <w:rFonts w:hint="eastAsia" w:ascii="宋体" w:hAnsi="宋体" w:eastAsia="宋体" w:cs="宋体"/>
          <w:b/>
          <w:color w:val="auto"/>
          <w:kern w:val="0"/>
          <w:szCs w:val="21"/>
          <w:highlight w:val="none"/>
        </w:rPr>
      </w:pPr>
      <w:bookmarkStart w:id="122" w:name="_Toc23965"/>
      <w:bookmarkStart w:id="123" w:name="_Toc15300913"/>
      <w:bookmarkStart w:id="124" w:name="_Toc22478"/>
      <w:bookmarkStart w:id="125" w:name="_Toc19084"/>
      <w:bookmarkStart w:id="126" w:name="_Toc12000"/>
      <w:r>
        <w:rPr>
          <w:rFonts w:hint="eastAsia" w:ascii="宋体" w:hAnsi="宋体" w:eastAsia="宋体" w:cs="宋体"/>
          <w:b/>
          <w:color w:val="auto"/>
          <w:kern w:val="0"/>
          <w:szCs w:val="21"/>
          <w:highlight w:val="none"/>
        </w:rPr>
        <w:t>B-3  委托人提供的资料</w:t>
      </w:r>
      <w:bookmarkEnd w:id="122"/>
      <w:bookmarkEnd w:id="123"/>
      <w:bookmarkEnd w:id="124"/>
      <w:bookmarkEnd w:id="125"/>
      <w:bookmarkEnd w:id="126"/>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7"/>
        <w:gridCol w:w="996"/>
        <w:gridCol w:w="2147"/>
        <w:gridCol w:w="2082"/>
      </w:tblGrid>
      <w:tr w14:paraId="2C32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7" w:type="dxa"/>
            <w:noWrap w:val="0"/>
            <w:vAlign w:val="center"/>
          </w:tcPr>
          <w:p w14:paraId="1BD95DF3">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p>
        </w:tc>
        <w:tc>
          <w:tcPr>
            <w:tcW w:w="996" w:type="dxa"/>
            <w:noWrap w:val="0"/>
            <w:vAlign w:val="center"/>
          </w:tcPr>
          <w:p w14:paraId="4A39696E">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份数</w:t>
            </w:r>
          </w:p>
        </w:tc>
        <w:tc>
          <w:tcPr>
            <w:tcW w:w="2147" w:type="dxa"/>
            <w:noWrap w:val="0"/>
            <w:vAlign w:val="center"/>
          </w:tcPr>
          <w:p w14:paraId="0A985BCF">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提供时间</w:t>
            </w:r>
          </w:p>
        </w:tc>
        <w:tc>
          <w:tcPr>
            <w:tcW w:w="2082" w:type="dxa"/>
            <w:noWrap w:val="0"/>
            <w:vAlign w:val="center"/>
          </w:tcPr>
          <w:p w14:paraId="30771E04">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A43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7" w:type="dxa"/>
            <w:noWrap w:val="0"/>
            <w:vAlign w:val="center"/>
          </w:tcPr>
          <w:p w14:paraId="4862CB75">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工程立项文件</w:t>
            </w:r>
          </w:p>
        </w:tc>
        <w:tc>
          <w:tcPr>
            <w:tcW w:w="996" w:type="dxa"/>
            <w:noWrap w:val="0"/>
            <w:vAlign w:val="center"/>
          </w:tcPr>
          <w:p w14:paraId="2158EE27">
            <w:pPr>
              <w:spacing w:line="440" w:lineRule="exact"/>
              <w:jc w:val="center"/>
              <w:rPr>
                <w:rFonts w:hint="eastAsia" w:ascii="宋体" w:hAnsi="宋体" w:eastAsia="宋体" w:cs="宋体"/>
                <w:color w:val="auto"/>
                <w:kern w:val="0"/>
                <w:szCs w:val="21"/>
                <w:highlight w:val="none"/>
              </w:rPr>
            </w:pPr>
          </w:p>
        </w:tc>
        <w:tc>
          <w:tcPr>
            <w:tcW w:w="2147" w:type="dxa"/>
            <w:noWrap w:val="0"/>
            <w:vAlign w:val="center"/>
          </w:tcPr>
          <w:p w14:paraId="6872151D">
            <w:pPr>
              <w:spacing w:line="440" w:lineRule="exact"/>
              <w:jc w:val="center"/>
              <w:rPr>
                <w:rFonts w:hint="eastAsia" w:ascii="宋体" w:hAnsi="宋体" w:eastAsia="宋体" w:cs="宋体"/>
                <w:color w:val="auto"/>
                <w:kern w:val="0"/>
                <w:szCs w:val="21"/>
                <w:highlight w:val="none"/>
              </w:rPr>
            </w:pPr>
          </w:p>
        </w:tc>
        <w:tc>
          <w:tcPr>
            <w:tcW w:w="2082" w:type="dxa"/>
            <w:noWrap w:val="0"/>
            <w:vAlign w:val="center"/>
          </w:tcPr>
          <w:p w14:paraId="643AD03B">
            <w:pPr>
              <w:spacing w:line="440" w:lineRule="exact"/>
              <w:jc w:val="center"/>
              <w:rPr>
                <w:rFonts w:hint="eastAsia" w:ascii="宋体" w:hAnsi="宋体" w:eastAsia="宋体" w:cs="宋体"/>
                <w:color w:val="auto"/>
                <w:kern w:val="0"/>
                <w:szCs w:val="21"/>
                <w:highlight w:val="none"/>
              </w:rPr>
            </w:pPr>
          </w:p>
        </w:tc>
      </w:tr>
      <w:tr w14:paraId="0E78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7" w:type="dxa"/>
            <w:noWrap w:val="0"/>
            <w:vAlign w:val="center"/>
          </w:tcPr>
          <w:p w14:paraId="3D60A9C9">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工程勘察文件</w:t>
            </w:r>
          </w:p>
        </w:tc>
        <w:tc>
          <w:tcPr>
            <w:tcW w:w="996" w:type="dxa"/>
            <w:noWrap w:val="0"/>
            <w:vAlign w:val="center"/>
          </w:tcPr>
          <w:p w14:paraId="26538668">
            <w:pPr>
              <w:spacing w:line="440" w:lineRule="exact"/>
              <w:jc w:val="center"/>
              <w:rPr>
                <w:rFonts w:hint="eastAsia" w:ascii="宋体" w:hAnsi="宋体" w:eastAsia="宋体" w:cs="宋体"/>
                <w:color w:val="auto"/>
                <w:kern w:val="0"/>
                <w:szCs w:val="21"/>
                <w:highlight w:val="none"/>
              </w:rPr>
            </w:pPr>
          </w:p>
        </w:tc>
        <w:tc>
          <w:tcPr>
            <w:tcW w:w="2147" w:type="dxa"/>
            <w:noWrap w:val="0"/>
            <w:vAlign w:val="center"/>
          </w:tcPr>
          <w:p w14:paraId="273C86BA">
            <w:pPr>
              <w:spacing w:line="440" w:lineRule="exact"/>
              <w:jc w:val="center"/>
              <w:rPr>
                <w:rFonts w:hint="eastAsia" w:ascii="宋体" w:hAnsi="宋体" w:eastAsia="宋体" w:cs="宋体"/>
                <w:color w:val="auto"/>
                <w:kern w:val="0"/>
                <w:szCs w:val="21"/>
                <w:highlight w:val="none"/>
              </w:rPr>
            </w:pPr>
          </w:p>
        </w:tc>
        <w:tc>
          <w:tcPr>
            <w:tcW w:w="2082" w:type="dxa"/>
            <w:noWrap w:val="0"/>
            <w:vAlign w:val="center"/>
          </w:tcPr>
          <w:p w14:paraId="3B983C55">
            <w:pPr>
              <w:spacing w:line="440" w:lineRule="exact"/>
              <w:jc w:val="center"/>
              <w:rPr>
                <w:rFonts w:hint="eastAsia" w:ascii="宋体" w:hAnsi="宋体" w:eastAsia="宋体" w:cs="宋体"/>
                <w:color w:val="auto"/>
                <w:kern w:val="0"/>
                <w:szCs w:val="21"/>
                <w:highlight w:val="none"/>
              </w:rPr>
            </w:pPr>
          </w:p>
        </w:tc>
      </w:tr>
      <w:tr w14:paraId="020B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7" w:type="dxa"/>
            <w:noWrap w:val="0"/>
            <w:vAlign w:val="center"/>
          </w:tcPr>
          <w:p w14:paraId="569D9F4B">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工程设计及施工图纸</w:t>
            </w:r>
          </w:p>
        </w:tc>
        <w:tc>
          <w:tcPr>
            <w:tcW w:w="996" w:type="dxa"/>
            <w:noWrap w:val="0"/>
            <w:vAlign w:val="center"/>
          </w:tcPr>
          <w:p w14:paraId="4E73CC8A">
            <w:pPr>
              <w:spacing w:line="440" w:lineRule="exact"/>
              <w:jc w:val="center"/>
              <w:rPr>
                <w:rFonts w:hint="eastAsia" w:ascii="宋体" w:hAnsi="宋体" w:eastAsia="宋体" w:cs="宋体"/>
                <w:color w:val="auto"/>
                <w:kern w:val="0"/>
                <w:szCs w:val="21"/>
                <w:highlight w:val="none"/>
              </w:rPr>
            </w:pPr>
          </w:p>
        </w:tc>
        <w:tc>
          <w:tcPr>
            <w:tcW w:w="2147" w:type="dxa"/>
            <w:noWrap w:val="0"/>
            <w:vAlign w:val="center"/>
          </w:tcPr>
          <w:p w14:paraId="7CD54A43">
            <w:pPr>
              <w:spacing w:line="440" w:lineRule="exact"/>
              <w:jc w:val="center"/>
              <w:rPr>
                <w:rFonts w:hint="eastAsia" w:ascii="宋体" w:hAnsi="宋体" w:eastAsia="宋体" w:cs="宋体"/>
                <w:color w:val="auto"/>
                <w:kern w:val="0"/>
                <w:szCs w:val="21"/>
                <w:highlight w:val="none"/>
              </w:rPr>
            </w:pPr>
          </w:p>
        </w:tc>
        <w:tc>
          <w:tcPr>
            <w:tcW w:w="2082" w:type="dxa"/>
            <w:noWrap w:val="0"/>
            <w:vAlign w:val="center"/>
          </w:tcPr>
          <w:p w14:paraId="7E8D1257">
            <w:pPr>
              <w:spacing w:line="440" w:lineRule="exact"/>
              <w:jc w:val="center"/>
              <w:rPr>
                <w:rFonts w:hint="eastAsia" w:ascii="宋体" w:hAnsi="宋体" w:eastAsia="宋体" w:cs="宋体"/>
                <w:color w:val="auto"/>
                <w:kern w:val="0"/>
                <w:szCs w:val="21"/>
                <w:highlight w:val="none"/>
              </w:rPr>
            </w:pPr>
          </w:p>
        </w:tc>
      </w:tr>
      <w:tr w14:paraId="576E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7" w:type="dxa"/>
            <w:noWrap w:val="0"/>
            <w:vAlign w:val="center"/>
          </w:tcPr>
          <w:p w14:paraId="4848D6F0">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工程承包合同及其他相关合同</w:t>
            </w:r>
          </w:p>
        </w:tc>
        <w:tc>
          <w:tcPr>
            <w:tcW w:w="996" w:type="dxa"/>
            <w:noWrap w:val="0"/>
            <w:vAlign w:val="center"/>
          </w:tcPr>
          <w:p w14:paraId="51DADEE2">
            <w:pPr>
              <w:spacing w:line="440" w:lineRule="exact"/>
              <w:jc w:val="center"/>
              <w:rPr>
                <w:rFonts w:hint="eastAsia" w:ascii="宋体" w:hAnsi="宋体" w:eastAsia="宋体" w:cs="宋体"/>
                <w:color w:val="auto"/>
                <w:kern w:val="0"/>
                <w:szCs w:val="21"/>
                <w:highlight w:val="none"/>
              </w:rPr>
            </w:pPr>
          </w:p>
        </w:tc>
        <w:tc>
          <w:tcPr>
            <w:tcW w:w="2147" w:type="dxa"/>
            <w:noWrap w:val="0"/>
            <w:vAlign w:val="center"/>
          </w:tcPr>
          <w:p w14:paraId="566F7573">
            <w:pPr>
              <w:spacing w:line="440" w:lineRule="exact"/>
              <w:jc w:val="center"/>
              <w:rPr>
                <w:rFonts w:hint="eastAsia" w:ascii="宋体" w:hAnsi="宋体" w:eastAsia="宋体" w:cs="宋体"/>
                <w:color w:val="auto"/>
                <w:kern w:val="0"/>
                <w:szCs w:val="21"/>
                <w:highlight w:val="none"/>
              </w:rPr>
            </w:pPr>
          </w:p>
        </w:tc>
        <w:tc>
          <w:tcPr>
            <w:tcW w:w="2082" w:type="dxa"/>
            <w:noWrap w:val="0"/>
            <w:vAlign w:val="center"/>
          </w:tcPr>
          <w:p w14:paraId="5ACEAC39">
            <w:pPr>
              <w:spacing w:line="440" w:lineRule="exact"/>
              <w:jc w:val="center"/>
              <w:rPr>
                <w:rFonts w:hint="eastAsia" w:ascii="宋体" w:hAnsi="宋体" w:eastAsia="宋体" w:cs="宋体"/>
                <w:color w:val="auto"/>
                <w:kern w:val="0"/>
                <w:szCs w:val="21"/>
                <w:highlight w:val="none"/>
              </w:rPr>
            </w:pPr>
          </w:p>
        </w:tc>
      </w:tr>
      <w:tr w14:paraId="154F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7" w:type="dxa"/>
            <w:noWrap w:val="0"/>
            <w:vAlign w:val="center"/>
          </w:tcPr>
          <w:p w14:paraId="739964BB">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 施工许可文件</w:t>
            </w:r>
          </w:p>
        </w:tc>
        <w:tc>
          <w:tcPr>
            <w:tcW w:w="996" w:type="dxa"/>
            <w:noWrap w:val="0"/>
            <w:vAlign w:val="center"/>
          </w:tcPr>
          <w:p w14:paraId="3469557E">
            <w:pPr>
              <w:spacing w:line="440" w:lineRule="exact"/>
              <w:jc w:val="center"/>
              <w:rPr>
                <w:rFonts w:hint="eastAsia" w:ascii="宋体" w:hAnsi="宋体" w:eastAsia="宋体" w:cs="宋体"/>
                <w:color w:val="auto"/>
                <w:kern w:val="0"/>
                <w:szCs w:val="21"/>
                <w:highlight w:val="none"/>
              </w:rPr>
            </w:pPr>
          </w:p>
        </w:tc>
        <w:tc>
          <w:tcPr>
            <w:tcW w:w="2147" w:type="dxa"/>
            <w:noWrap w:val="0"/>
            <w:vAlign w:val="center"/>
          </w:tcPr>
          <w:p w14:paraId="653F0EF1">
            <w:pPr>
              <w:spacing w:line="440" w:lineRule="exact"/>
              <w:jc w:val="center"/>
              <w:rPr>
                <w:rFonts w:hint="eastAsia" w:ascii="宋体" w:hAnsi="宋体" w:eastAsia="宋体" w:cs="宋体"/>
                <w:color w:val="auto"/>
                <w:kern w:val="0"/>
                <w:szCs w:val="21"/>
                <w:highlight w:val="none"/>
              </w:rPr>
            </w:pPr>
          </w:p>
        </w:tc>
        <w:tc>
          <w:tcPr>
            <w:tcW w:w="2082" w:type="dxa"/>
            <w:noWrap w:val="0"/>
            <w:vAlign w:val="center"/>
          </w:tcPr>
          <w:p w14:paraId="4FB039F1">
            <w:pPr>
              <w:spacing w:line="440" w:lineRule="exact"/>
              <w:jc w:val="center"/>
              <w:rPr>
                <w:rFonts w:hint="eastAsia" w:ascii="宋体" w:hAnsi="宋体" w:eastAsia="宋体" w:cs="宋体"/>
                <w:color w:val="auto"/>
                <w:kern w:val="0"/>
                <w:szCs w:val="21"/>
                <w:highlight w:val="none"/>
              </w:rPr>
            </w:pPr>
          </w:p>
        </w:tc>
      </w:tr>
      <w:tr w14:paraId="60E2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7" w:type="dxa"/>
            <w:noWrap w:val="0"/>
            <w:vAlign w:val="center"/>
          </w:tcPr>
          <w:p w14:paraId="2C8CC0B4">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 其他文件</w:t>
            </w:r>
          </w:p>
        </w:tc>
        <w:tc>
          <w:tcPr>
            <w:tcW w:w="996" w:type="dxa"/>
            <w:noWrap w:val="0"/>
            <w:vAlign w:val="center"/>
          </w:tcPr>
          <w:p w14:paraId="14C6EE84">
            <w:pPr>
              <w:spacing w:line="440" w:lineRule="exact"/>
              <w:jc w:val="center"/>
              <w:rPr>
                <w:rFonts w:hint="eastAsia" w:ascii="宋体" w:hAnsi="宋体" w:eastAsia="宋体" w:cs="宋体"/>
                <w:color w:val="auto"/>
                <w:kern w:val="0"/>
                <w:szCs w:val="21"/>
                <w:highlight w:val="none"/>
              </w:rPr>
            </w:pPr>
          </w:p>
        </w:tc>
        <w:tc>
          <w:tcPr>
            <w:tcW w:w="2147" w:type="dxa"/>
            <w:noWrap w:val="0"/>
            <w:vAlign w:val="center"/>
          </w:tcPr>
          <w:p w14:paraId="6286E7C6">
            <w:pPr>
              <w:spacing w:line="440" w:lineRule="exact"/>
              <w:jc w:val="center"/>
              <w:rPr>
                <w:rFonts w:hint="eastAsia" w:ascii="宋体" w:hAnsi="宋体" w:eastAsia="宋体" w:cs="宋体"/>
                <w:color w:val="auto"/>
                <w:kern w:val="0"/>
                <w:szCs w:val="21"/>
                <w:highlight w:val="none"/>
              </w:rPr>
            </w:pPr>
          </w:p>
        </w:tc>
        <w:tc>
          <w:tcPr>
            <w:tcW w:w="2082" w:type="dxa"/>
            <w:noWrap w:val="0"/>
            <w:vAlign w:val="center"/>
          </w:tcPr>
          <w:p w14:paraId="6683BF29">
            <w:pPr>
              <w:spacing w:line="440" w:lineRule="exact"/>
              <w:jc w:val="center"/>
              <w:rPr>
                <w:rFonts w:hint="eastAsia" w:ascii="宋体" w:hAnsi="宋体" w:eastAsia="宋体" w:cs="宋体"/>
                <w:color w:val="auto"/>
                <w:kern w:val="0"/>
                <w:szCs w:val="21"/>
                <w:highlight w:val="none"/>
              </w:rPr>
            </w:pPr>
          </w:p>
        </w:tc>
      </w:tr>
    </w:tbl>
    <w:p w14:paraId="4D6DCD47">
      <w:pPr>
        <w:spacing w:line="440" w:lineRule="exact"/>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B-4 委托人提供的设备</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6772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center"/>
          </w:tcPr>
          <w:p w14:paraId="5EBAF43B">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590" w:type="dxa"/>
            <w:noWrap w:val="0"/>
            <w:vAlign w:val="center"/>
          </w:tcPr>
          <w:p w14:paraId="3ECA654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2130" w:type="dxa"/>
            <w:noWrap w:val="0"/>
            <w:vAlign w:val="center"/>
          </w:tcPr>
          <w:p w14:paraId="2DC9424C">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型号与规格</w:t>
            </w:r>
          </w:p>
        </w:tc>
        <w:tc>
          <w:tcPr>
            <w:tcW w:w="1860" w:type="dxa"/>
            <w:noWrap w:val="0"/>
            <w:vAlign w:val="center"/>
          </w:tcPr>
          <w:p w14:paraId="65EED81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提供时间</w:t>
            </w:r>
          </w:p>
        </w:tc>
      </w:tr>
      <w:tr w14:paraId="04DC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center"/>
          </w:tcPr>
          <w:p w14:paraId="2D22FB35">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通讯设备</w:t>
            </w:r>
          </w:p>
        </w:tc>
        <w:tc>
          <w:tcPr>
            <w:tcW w:w="1590" w:type="dxa"/>
            <w:noWrap w:val="0"/>
            <w:vAlign w:val="center"/>
          </w:tcPr>
          <w:p w14:paraId="0DFDF3A1">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3A9DCC85">
            <w:pPr>
              <w:spacing w:line="440" w:lineRule="exact"/>
              <w:jc w:val="center"/>
              <w:rPr>
                <w:rFonts w:hint="eastAsia" w:ascii="宋体" w:hAnsi="宋体" w:eastAsia="宋体" w:cs="宋体"/>
                <w:color w:val="auto"/>
                <w:szCs w:val="21"/>
                <w:highlight w:val="none"/>
              </w:rPr>
            </w:pPr>
          </w:p>
        </w:tc>
        <w:tc>
          <w:tcPr>
            <w:tcW w:w="1860" w:type="dxa"/>
            <w:noWrap w:val="0"/>
            <w:vAlign w:val="center"/>
          </w:tcPr>
          <w:p w14:paraId="0BA648DD">
            <w:pPr>
              <w:spacing w:line="440" w:lineRule="exact"/>
              <w:jc w:val="center"/>
              <w:rPr>
                <w:rFonts w:hint="eastAsia" w:ascii="宋体" w:hAnsi="宋体" w:eastAsia="宋体" w:cs="宋体"/>
                <w:color w:val="auto"/>
                <w:szCs w:val="21"/>
                <w:highlight w:val="none"/>
              </w:rPr>
            </w:pPr>
          </w:p>
        </w:tc>
      </w:tr>
      <w:tr w14:paraId="5DD7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center"/>
          </w:tcPr>
          <w:p w14:paraId="2E710AD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办公设备</w:t>
            </w:r>
          </w:p>
        </w:tc>
        <w:tc>
          <w:tcPr>
            <w:tcW w:w="1590" w:type="dxa"/>
            <w:noWrap w:val="0"/>
            <w:vAlign w:val="center"/>
          </w:tcPr>
          <w:p w14:paraId="60E744BB">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07F9BD14">
            <w:pPr>
              <w:spacing w:line="440" w:lineRule="exact"/>
              <w:jc w:val="center"/>
              <w:rPr>
                <w:rFonts w:hint="eastAsia" w:ascii="宋体" w:hAnsi="宋体" w:eastAsia="宋体" w:cs="宋体"/>
                <w:color w:val="auto"/>
                <w:szCs w:val="21"/>
                <w:highlight w:val="none"/>
              </w:rPr>
            </w:pPr>
          </w:p>
        </w:tc>
        <w:tc>
          <w:tcPr>
            <w:tcW w:w="1860" w:type="dxa"/>
            <w:noWrap w:val="0"/>
            <w:vAlign w:val="center"/>
          </w:tcPr>
          <w:p w14:paraId="17A5EF5E">
            <w:pPr>
              <w:spacing w:line="440" w:lineRule="exact"/>
              <w:jc w:val="center"/>
              <w:rPr>
                <w:rFonts w:hint="eastAsia" w:ascii="宋体" w:hAnsi="宋体" w:eastAsia="宋体" w:cs="宋体"/>
                <w:color w:val="auto"/>
                <w:szCs w:val="21"/>
                <w:highlight w:val="none"/>
              </w:rPr>
            </w:pPr>
          </w:p>
        </w:tc>
      </w:tr>
      <w:tr w14:paraId="7A9C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center"/>
          </w:tcPr>
          <w:p w14:paraId="419F638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交通工具</w:t>
            </w:r>
          </w:p>
        </w:tc>
        <w:tc>
          <w:tcPr>
            <w:tcW w:w="1590" w:type="dxa"/>
            <w:noWrap w:val="0"/>
            <w:vAlign w:val="center"/>
          </w:tcPr>
          <w:p w14:paraId="488490B4">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496BB911">
            <w:pPr>
              <w:spacing w:line="440" w:lineRule="exact"/>
              <w:jc w:val="center"/>
              <w:rPr>
                <w:rFonts w:hint="eastAsia" w:ascii="宋体" w:hAnsi="宋体" w:eastAsia="宋体" w:cs="宋体"/>
                <w:color w:val="auto"/>
                <w:szCs w:val="21"/>
                <w:highlight w:val="none"/>
              </w:rPr>
            </w:pPr>
          </w:p>
        </w:tc>
        <w:tc>
          <w:tcPr>
            <w:tcW w:w="1860" w:type="dxa"/>
            <w:noWrap w:val="0"/>
            <w:vAlign w:val="center"/>
          </w:tcPr>
          <w:p w14:paraId="6B58CAEB">
            <w:pPr>
              <w:spacing w:line="440" w:lineRule="exact"/>
              <w:jc w:val="center"/>
              <w:rPr>
                <w:rFonts w:hint="eastAsia" w:ascii="宋体" w:hAnsi="宋体" w:eastAsia="宋体" w:cs="宋体"/>
                <w:color w:val="auto"/>
                <w:szCs w:val="21"/>
                <w:highlight w:val="none"/>
              </w:rPr>
            </w:pPr>
          </w:p>
        </w:tc>
      </w:tr>
      <w:tr w14:paraId="47FA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center"/>
          </w:tcPr>
          <w:p w14:paraId="52CBAA4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检测和试验设备</w:t>
            </w:r>
          </w:p>
        </w:tc>
        <w:tc>
          <w:tcPr>
            <w:tcW w:w="1590" w:type="dxa"/>
            <w:noWrap w:val="0"/>
            <w:vAlign w:val="center"/>
          </w:tcPr>
          <w:p w14:paraId="44F23246">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2F1613AA">
            <w:pPr>
              <w:spacing w:line="440" w:lineRule="exact"/>
              <w:jc w:val="center"/>
              <w:rPr>
                <w:rFonts w:hint="eastAsia" w:ascii="宋体" w:hAnsi="宋体" w:eastAsia="宋体" w:cs="宋体"/>
                <w:color w:val="auto"/>
                <w:szCs w:val="21"/>
                <w:highlight w:val="none"/>
              </w:rPr>
            </w:pPr>
          </w:p>
        </w:tc>
        <w:tc>
          <w:tcPr>
            <w:tcW w:w="1860" w:type="dxa"/>
            <w:noWrap w:val="0"/>
            <w:vAlign w:val="center"/>
          </w:tcPr>
          <w:p w14:paraId="41EC6339">
            <w:pPr>
              <w:spacing w:line="440" w:lineRule="exact"/>
              <w:jc w:val="center"/>
              <w:rPr>
                <w:rFonts w:hint="eastAsia" w:ascii="宋体" w:hAnsi="宋体" w:eastAsia="宋体" w:cs="宋体"/>
                <w:color w:val="auto"/>
                <w:szCs w:val="21"/>
                <w:highlight w:val="none"/>
              </w:rPr>
            </w:pPr>
          </w:p>
        </w:tc>
      </w:tr>
    </w:tbl>
    <w:p w14:paraId="5C6C9D23">
      <w:pPr>
        <w:spacing w:line="360" w:lineRule="auto"/>
        <w:jc w:val="center"/>
        <w:outlineLvl w:val="0"/>
        <w:rPr>
          <w:rFonts w:hint="eastAsia" w:asciiTheme="minorEastAsia" w:hAnsiTheme="minorEastAsia" w:eastAsiaTheme="minorEastAsia"/>
          <w:b/>
          <w:color w:val="auto"/>
          <w:sz w:val="28"/>
          <w:highlight w:val="none"/>
        </w:rPr>
      </w:pPr>
    </w:p>
    <w:p w14:paraId="4F1C669B">
      <w:pPr>
        <w:spacing w:line="360" w:lineRule="auto"/>
        <w:jc w:val="center"/>
        <w:outlineLvl w:val="0"/>
        <w:rPr>
          <w:rFonts w:asciiTheme="minorEastAsia" w:hAnsiTheme="minorEastAsia" w:eastAsiaTheme="minorEastAsia"/>
          <w:b/>
          <w:color w:val="auto"/>
          <w:sz w:val="28"/>
          <w:highlight w:val="none"/>
        </w:rPr>
      </w:pPr>
      <w:bookmarkStart w:id="127" w:name="_Toc11605"/>
      <w:r>
        <w:rPr>
          <w:rFonts w:hint="eastAsia" w:asciiTheme="minorEastAsia" w:hAnsiTheme="minorEastAsia" w:eastAsiaTheme="minorEastAsia"/>
          <w:b/>
          <w:color w:val="auto"/>
          <w:sz w:val="28"/>
          <w:highlight w:val="none"/>
        </w:rPr>
        <w:t>第六章  响应文件格式</w:t>
      </w:r>
      <w:bookmarkEnd w:id="53"/>
      <w:bookmarkEnd w:id="127"/>
    </w:p>
    <w:p w14:paraId="4DD8492A">
      <w:pPr>
        <w:spacing w:line="500" w:lineRule="exact"/>
        <w:jc w:val="center"/>
        <w:outlineLvl w:val="1"/>
        <w:rPr>
          <w:rFonts w:asciiTheme="minorEastAsia" w:hAnsiTheme="minorEastAsia" w:eastAsiaTheme="minorEastAsia"/>
          <w:b/>
          <w:color w:val="auto"/>
          <w:sz w:val="32"/>
          <w:highlight w:val="none"/>
        </w:rPr>
      </w:pPr>
    </w:p>
    <w:p w14:paraId="15E9FA63">
      <w:pPr>
        <w:spacing w:line="900" w:lineRule="exact"/>
        <w:jc w:val="center"/>
        <w:rPr>
          <w:rFonts w:asciiTheme="minorEastAsia" w:hAnsiTheme="minorEastAsia" w:eastAsiaTheme="minorEastAsia"/>
          <w:b/>
          <w:color w:val="auto"/>
          <w:sz w:val="72"/>
          <w:highlight w:val="none"/>
        </w:rPr>
      </w:pPr>
    </w:p>
    <w:p w14:paraId="7F422F4B">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3D80E148">
      <w:pPr>
        <w:spacing w:line="900" w:lineRule="exact"/>
        <w:jc w:val="center"/>
        <w:rPr>
          <w:rFonts w:asciiTheme="minorEastAsia" w:hAnsiTheme="minorEastAsia" w:eastAsiaTheme="minorEastAsia"/>
          <w:b/>
          <w:color w:val="auto"/>
          <w:sz w:val="72"/>
          <w:highlight w:val="none"/>
        </w:rPr>
      </w:pPr>
    </w:p>
    <w:p w14:paraId="59822D75">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74618BE6">
      <w:pPr>
        <w:spacing w:line="900" w:lineRule="exact"/>
        <w:jc w:val="center"/>
        <w:rPr>
          <w:rFonts w:asciiTheme="minorEastAsia" w:hAnsiTheme="minorEastAsia" w:eastAsiaTheme="minorEastAsia"/>
          <w:b/>
          <w:color w:val="auto"/>
          <w:sz w:val="72"/>
          <w:highlight w:val="none"/>
        </w:rPr>
      </w:pPr>
    </w:p>
    <w:p w14:paraId="11CD3D13">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2DEE44D2">
      <w:pPr>
        <w:spacing w:line="900" w:lineRule="exact"/>
        <w:jc w:val="center"/>
        <w:rPr>
          <w:rFonts w:asciiTheme="minorEastAsia" w:hAnsiTheme="minorEastAsia" w:eastAsiaTheme="minorEastAsia"/>
          <w:b/>
          <w:color w:val="auto"/>
          <w:sz w:val="72"/>
          <w:highlight w:val="none"/>
        </w:rPr>
      </w:pPr>
    </w:p>
    <w:p w14:paraId="386A2716">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752F7FF6">
      <w:pPr>
        <w:spacing w:after="156" w:afterLines="50"/>
        <w:jc w:val="center"/>
        <w:rPr>
          <w:rFonts w:asciiTheme="minorEastAsia" w:hAnsiTheme="minorEastAsia" w:eastAsiaTheme="minorEastAsia"/>
          <w:b/>
          <w:color w:val="auto"/>
          <w:sz w:val="72"/>
          <w:highlight w:val="none"/>
        </w:rPr>
      </w:pPr>
    </w:p>
    <w:p w14:paraId="55AC6C56">
      <w:pPr>
        <w:spacing w:after="156" w:afterLines="50" w:line="500" w:lineRule="exact"/>
        <w:jc w:val="center"/>
        <w:rPr>
          <w:rFonts w:asciiTheme="minorEastAsia" w:hAnsiTheme="minorEastAsia" w:eastAsiaTheme="minorEastAsia"/>
          <w:b/>
          <w:color w:val="auto"/>
          <w:sz w:val="28"/>
          <w:szCs w:val="28"/>
          <w:highlight w:val="none"/>
        </w:rPr>
      </w:pPr>
    </w:p>
    <w:p w14:paraId="7B56F7A8">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B9C1B31">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0DBAE3E">
      <w:pPr>
        <w:spacing w:after="156" w:afterLines="50" w:line="500" w:lineRule="exact"/>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应</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A7600E8">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28" w:name="_Toc3338"/>
      <w:bookmarkStart w:id="129" w:name="_Toc25570"/>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128"/>
      <w:bookmarkEnd w:id="129"/>
    </w:p>
    <w:p w14:paraId="7C01E914">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34E8F10A">
      <w:pPr>
        <w:spacing w:line="360" w:lineRule="auto"/>
        <w:jc w:val="center"/>
        <w:outlineLvl w:val="1"/>
        <w:rPr>
          <w:rFonts w:asciiTheme="minorEastAsia" w:hAnsiTheme="minorEastAsia" w:eastAsiaTheme="minorEastAsia"/>
          <w:b/>
          <w:color w:val="auto"/>
          <w:sz w:val="24"/>
          <w:highlight w:val="none"/>
        </w:rPr>
      </w:pPr>
      <w:bookmarkStart w:id="130" w:name="_Toc6837"/>
      <w:bookmarkStart w:id="131" w:name="_Toc17899"/>
      <w:r>
        <w:rPr>
          <w:rFonts w:hint="eastAsia" w:asciiTheme="minorEastAsia" w:hAnsiTheme="minorEastAsia" w:eastAsiaTheme="minorEastAsia"/>
          <w:b/>
          <w:color w:val="auto"/>
          <w:sz w:val="24"/>
          <w:highlight w:val="none"/>
        </w:rPr>
        <w:t>一、报价表格式</w:t>
      </w:r>
      <w:bookmarkEnd w:id="130"/>
      <w:bookmarkEnd w:id="131"/>
    </w:p>
    <w:p w14:paraId="57F581B1">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4D628D22">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p w14:paraId="00B1F313">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4E5C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CE924E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79910C53">
            <w:pPr>
              <w:spacing w:line="360" w:lineRule="auto"/>
              <w:rPr>
                <w:rFonts w:ascii="宋体" w:hAnsi="宋体" w:eastAsia="宋体"/>
                <w:b/>
                <w:color w:val="auto"/>
                <w:sz w:val="24"/>
                <w:highlight w:val="none"/>
              </w:rPr>
            </w:pPr>
          </w:p>
        </w:tc>
      </w:tr>
      <w:tr w14:paraId="424A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D031448">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733927A6">
            <w:pPr>
              <w:widowControl/>
              <w:spacing w:line="360" w:lineRule="exact"/>
              <w:rPr>
                <w:rFonts w:hint="default" w:ascii="宋体" w:hAnsi="宋体" w:eastAsia="宋体"/>
                <w:b/>
                <w:color w:val="auto"/>
                <w:sz w:val="24"/>
                <w:highlight w:val="none"/>
                <w:lang w:val="en-US" w:eastAsia="zh-CN"/>
              </w:rPr>
            </w:pPr>
            <w:r>
              <w:rPr>
                <w:rFonts w:hint="eastAsia" w:asciiTheme="minorEastAsia" w:hAnsiTheme="minorEastAsia" w:eastAsiaTheme="minorEastAsia"/>
                <w:color w:val="auto"/>
                <w:sz w:val="24"/>
                <w:szCs w:val="28"/>
                <w:highlight w:val="none"/>
                <w:u w:val="single"/>
                <w:lang w:val="en-US" w:eastAsia="zh-CN"/>
              </w:rPr>
              <w:t xml:space="preserve">     </w:t>
            </w:r>
            <w:r>
              <w:rPr>
                <w:rFonts w:hint="eastAsia" w:asciiTheme="minorEastAsia" w:hAnsiTheme="minorEastAsia" w:eastAsiaTheme="minorEastAsia"/>
                <w:color w:val="auto"/>
                <w:sz w:val="24"/>
                <w:szCs w:val="28"/>
                <w:highlight w:val="none"/>
                <w:u w:val="none"/>
                <w:lang w:val="en-US" w:eastAsia="zh-CN"/>
              </w:rPr>
              <w:t>包</w:t>
            </w:r>
          </w:p>
        </w:tc>
      </w:tr>
      <w:tr w14:paraId="1F55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ED79AA9">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50D3E96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60A802BE">
            <w:pPr>
              <w:snapToGrid w:val="0"/>
              <w:spacing w:line="360" w:lineRule="auto"/>
              <w:rPr>
                <w:rFonts w:ascii="宋体" w:hAnsi="宋体" w:eastAsia="宋体"/>
                <w:color w:val="auto"/>
                <w:sz w:val="24"/>
                <w:szCs w:val="28"/>
                <w:highlight w:val="none"/>
              </w:rPr>
            </w:pPr>
          </w:p>
          <w:p w14:paraId="37A41E30">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15B0C5F6">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75437F6A">
            <w:pPr>
              <w:snapToGrid w:val="0"/>
              <w:spacing w:line="360" w:lineRule="auto"/>
              <w:rPr>
                <w:rFonts w:ascii="宋体" w:hAnsi="宋体" w:eastAsia="宋体"/>
                <w:b/>
                <w:color w:val="auto"/>
                <w:sz w:val="24"/>
                <w:highlight w:val="none"/>
              </w:rPr>
            </w:pPr>
          </w:p>
        </w:tc>
      </w:tr>
      <w:tr w14:paraId="1438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56AA56D0">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44719243">
            <w:pPr>
              <w:spacing w:line="360" w:lineRule="auto"/>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小数点保留两位小数，不得报0和负数。</w:t>
            </w:r>
          </w:p>
        </w:tc>
      </w:tr>
    </w:tbl>
    <w:p w14:paraId="30A686AD">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753A948C">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75A4ECAB">
      <w:pPr>
        <w:snapToGrid w:val="0"/>
        <w:spacing w:line="360" w:lineRule="auto"/>
        <w:ind w:left="5550"/>
        <w:jc w:val="center"/>
        <w:rPr>
          <w:rFonts w:ascii="宋体" w:hAnsi="宋体" w:eastAsia="宋体"/>
          <w:color w:val="auto"/>
          <w:sz w:val="24"/>
          <w:highlight w:val="none"/>
        </w:rPr>
      </w:pPr>
      <w:r>
        <w:rPr>
          <w:rFonts w:hint="eastAsia" w:ascii="宋体" w:hAnsi="宋体" w:eastAsia="宋体"/>
          <w:color w:val="auto"/>
          <w:sz w:val="24"/>
          <w:highlight w:val="none"/>
        </w:rPr>
        <w:t xml:space="preserve"> </w:t>
      </w:r>
    </w:p>
    <w:p w14:paraId="3FEFAEE0">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41011925">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1.特殊事项在备注中注明。</w:t>
      </w:r>
    </w:p>
    <w:p w14:paraId="66455A78">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w:t>
      </w:r>
      <w:r>
        <w:rPr>
          <w:rFonts w:hint="eastAsia" w:ascii="宋体" w:hAnsi="宋体" w:eastAsia="宋体"/>
          <w:b/>
          <w:bCs/>
          <w:color w:val="auto"/>
          <w:sz w:val="24"/>
          <w:szCs w:val="28"/>
          <w:highlight w:val="none"/>
          <w:lang w:eastAsia="zh-CN"/>
        </w:rPr>
        <w:t>（</w:t>
      </w:r>
      <w:r>
        <w:rPr>
          <w:rFonts w:hint="eastAsia" w:ascii="宋体" w:hAnsi="宋体" w:eastAsia="宋体"/>
          <w:b/>
          <w:bCs/>
          <w:color w:val="auto"/>
          <w:sz w:val="24"/>
          <w:szCs w:val="28"/>
          <w:highlight w:val="none"/>
          <w:lang w:val="en-US" w:eastAsia="zh-CN"/>
        </w:rPr>
        <w:t>费率</w:t>
      </w:r>
      <w:r>
        <w:rPr>
          <w:rFonts w:hint="eastAsia" w:ascii="宋体" w:hAnsi="宋体" w:eastAsia="宋体"/>
          <w:b/>
          <w:bCs/>
          <w:color w:val="auto"/>
          <w:sz w:val="24"/>
          <w:szCs w:val="28"/>
          <w:highlight w:val="none"/>
          <w:lang w:eastAsia="zh-CN"/>
        </w:rPr>
        <w:t>）</w:t>
      </w:r>
      <w:r>
        <w:rPr>
          <w:rFonts w:hint="eastAsia" w:ascii="宋体" w:hAnsi="宋体" w:eastAsia="宋体"/>
          <w:b/>
          <w:bCs/>
          <w:color w:val="auto"/>
          <w:sz w:val="24"/>
          <w:szCs w:val="28"/>
          <w:highlight w:val="none"/>
        </w:rPr>
        <w:t>与小写金额（费率）不一致的，以大写金额（费率）为准。</w:t>
      </w:r>
    </w:p>
    <w:p w14:paraId="3D5E5D2A">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07153345">
      <w:pPr>
        <w:spacing w:line="360" w:lineRule="auto"/>
        <w:jc w:val="center"/>
        <w:outlineLvl w:val="1"/>
        <w:rPr>
          <w:rFonts w:asciiTheme="minorEastAsia" w:hAnsiTheme="minorEastAsia" w:eastAsiaTheme="minorEastAsia"/>
          <w:b/>
          <w:color w:val="auto"/>
          <w:sz w:val="24"/>
          <w:highlight w:val="none"/>
        </w:rPr>
      </w:pPr>
      <w:bookmarkStart w:id="132" w:name="_Toc30153"/>
      <w:bookmarkStart w:id="133" w:name="_Toc16379"/>
      <w:r>
        <w:rPr>
          <w:rFonts w:hint="eastAsia" w:asciiTheme="minorEastAsia" w:hAnsiTheme="minorEastAsia" w:eastAsiaTheme="minorEastAsia"/>
          <w:b/>
          <w:color w:val="auto"/>
          <w:sz w:val="24"/>
          <w:highlight w:val="none"/>
        </w:rPr>
        <w:t>二、最后承诺报价表</w:t>
      </w:r>
      <w:bookmarkEnd w:id="132"/>
      <w:bookmarkEnd w:id="133"/>
    </w:p>
    <w:p w14:paraId="4AAD1BEF">
      <w:pPr>
        <w:spacing w:before="156" w:beforeLines="50" w:after="156" w:afterLines="50" w:line="360" w:lineRule="auto"/>
        <w:ind w:firstLine="236" w:firstLineChars="98"/>
        <w:jc w:val="center"/>
        <w:rPr>
          <w:rFonts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rPr>
        <w:t>次报价书）</w:t>
      </w:r>
    </w:p>
    <w:p w14:paraId="6109720B">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p w14:paraId="7D52DA60">
      <w:pPr>
        <w:snapToGrid w:val="0"/>
        <w:spacing w:after="156" w:afterLines="50" w:line="360" w:lineRule="auto"/>
        <w:jc w:val="left"/>
        <w:rPr>
          <w:rFonts w:ascii="宋体" w:hAnsi="宋体" w:eastAsia="宋体"/>
          <w:b/>
          <w:bCs/>
          <w:color w:val="auto"/>
          <w:sz w:val="24"/>
          <w:szCs w:val="28"/>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5CFD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63E608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12FE5BF7">
            <w:pPr>
              <w:spacing w:line="360" w:lineRule="auto"/>
              <w:rPr>
                <w:rFonts w:ascii="宋体" w:hAnsi="宋体" w:eastAsia="宋体"/>
                <w:b/>
                <w:color w:val="auto"/>
                <w:sz w:val="24"/>
                <w:highlight w:val="none"/>
              </w:rPr>
            </w:pPr>
          </w:p>
        </w:tc>
      </w:tr>
      <w:tr w14:paraId="0AC1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BC1EAB0">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谈判</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5A39DDBF">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u w:val="single"/>
                <w:lang w:val="en-US" w:eastAsia="zh-CN"/>
              </w:rPr>
              <w:t xml:space="preserve">     </w:t>
            </w:r>
            <w:r>
              <w:rPr>
                <w:rFonts w:hint="eastAsia" w:asciiTheme="minorEastAsia" w:hAnsiTheme="minorEastAsia" w:eastAsiaTheme="minorEastAsia"/>
                <w:color w:val="auto"/>
                <w:sz w:val="24"/>
                <w:szCs w:val="28"/>
                <w:highlight w:val="none"/>
                <w:u w:val="none"/>
                <w:lang w:val="en-US" w:eastAsia="zh-CN"/>
              </w:rPr>
              <w:t>包</w:t>
            </w:r>
          </w:p>
        </w:tc>
      </w:tr>
      <w:tr w14:paraId="70E9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80E930B">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01888DB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19D5A469">
            <w:pPr>
              <w:snapToGrid w:val="0"/>
              <w:spacing w:line="360" w:lineRule="auto"/>
              <w:rPr>
                <w:rFonts w:ascii="宋体" w:hAnsi="宋体" w:eastAsia="宋体"/>
                <w:color w:val="auto"/>
                <w:sz w:val="24"/>
                <w:szCs w:val="28"/>
                <w:highlight w:val="none"/>
              </w:rPr>
            </w:pPr>
          </w:p>
          <w:p w14:paraId="4FBCF2E2">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3A77EE68">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3AC98287">
            <w:pPr>
              <w:snapToGrid w:val="0"/>
              <w:spacing w:line="360" w:lineRule="auto"/>
              <w:rPr>
                <w:rFonts w:ascii="宋体" w:hAnsi="宋体" w:eastAsia="宋体"/>
                <w:b/>
                <w:color w:val="auto"/>
                <w:sz w:val="24"/>
                <w:highlight w:val="none"/>
              </w:rPr>
            </w:pPr>
          </w:p>
        </w:tc>
      </w:tr>
      <w:tr w14:paraId="5B79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3" w:type="pct"/>
            <w:vAlign w:val="center"/>
          </w:tcPr>
          <w:p w14:paraId="1C339BE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1572C868">
            <w:pPr>
              <w:spacing w:line="360" w:lineRule="auto"/>
              <w:rPr>
                <w:rFonts w:ascii="宋体" w:hAnsi="宋体" w:eastAsia="宋体"/>
                <w:b/>
                <w:color w:val="auto"/>
                <w:sz w:val="24"/>
                <w:highlight w:val="none"/>
              </w:rPr>
            </w:pPr>
            <w:r>
              <w:rPr>
                <w:rFonts w:hint="eastAsia" w:ascii="宋体" w:hAnsi="宋体" w:eastAsia="宋体"/>
                <w:b/>
                <w:i/>
                <w:color w:val="auto"/>
                <w:sz w:val="24"/>
                <w:highlight w:val="none"/>
              </w:rPr>
              <w:t>（此处可补充谈判小组根据与供应商谈判情况变动的谈判文件的内容，包括采购需求中的技术、服务要求以及合同草案条款。）</w:t>
            </w:r>
          </w:p>
        </w:tc>
      </w:tr>
      <w:tr w14:paraId="50AE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19F10C45">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谈判小组</w:t>
            </w:r>
            <w:r>
              <w:rPr>
                <w:rFonts w:ascii="宋体" w:hAnsi="宋体" w:eastAsia="宋体"/>
                <w:b/>
                <w:bCs/>
                <w:color w:val="auto"/>
                <w:sz w:val="24"/>
                <w:szCs w:val="28"/>
                <w:highlight w:val="none"/>
              </w:rPr>
              <w:t>签字</w:t>
            </w:r>
          </w:p>
        </w:tc>
        <w:tc>
          <w:tcPr>
            <w:tcW w:w="3557" w:type="pct"/>
          </w:tcPr>
          <w:p w14:paraId="219CFE7D">
            <w:pPr>
              <w:spacing w:line="360" w:lineRule="auto"/>
              <w:rPr>
                <w:rFonts w:ascii="宋体" w:hAnsi="宋体" w:eastAsia="宋体"/>
                <w:b/>
                <w:color w:val="auto"/>
                <w:sz w:val="24"/>
                <w:highlight w:val="none"/>
              </w:rPr>
            </w:pPr>
          </w:p>
        </w:tc>
      </w:tr>
    </w:tbl>
    <w:p w14:paraId="456F6E1E">
      <w:pPr>
        <w:spacing w:line="360" w:lineRule="auto"/>
        <w:ind w:firstLine="1680" w:firstLineChars="700"/>
        <w:jc w:val="left"/>
        <w:rPr>
          <w:rFonts w:ascii="宋体" w:hAnsi="宋体" w:eastAsia="宋体"/>
          <w:color w:val="auto"/>
          <w:sz w:val="24"/>
          <w:highlight w:val="none"/>
        </w:rPr>
      </w:pPr>
      <w:r>
        <w:rPr>
          <w:rFonts w:hint="eastAsia" w:ascii="宋体" w:hAnsi="宋体" w:eastAsia="宋体"/>
          <w:color w:val="auto"/>
          <w:sz w:val="24"/>
          <w:highlight w:val="none"/>
        </w:rPr>
        <w:t xml:space="preserve">           供应商公章或授权代表签字：</w:t>
      </w:r>
      <w:r>
        <w:rPr>
          <w:rFonts w:hint="eastAsia" w:ascii="宋体" w:hAnsi="宋体" w:eastAsia="宋体"/>
          <w:color w:val="auto"/>
          <w:sz w:val="24"/>
          <w:highlight w:val="none"/>
          <w:u w:val="single"/>
        </w:rPr>
        <w:t xml:space="preserve">                  </w:t>
      </w:r>
    </w:p>
    <w:p w14:paraId="40AC91FC">
      <w:pPr>
        <w:spacing w:line="360" w:lineRule="auto"/>
        <w:ind w:firstLine="4200" w:firstLineChars="1750"/>
        <w:jc w:val="left"/>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D54F19E">
      <w:pPr>
        <w:adjustRightInd w:val="0"/>
        <w:snapToGrid w:val="0"/>
        <w:spacing w:line="360" w:lineRule="auto"/>
        <w:ind w:firstLine="482" w:firstLineChars="200"/>
        <w:rPr>
          <w:rFonts w:ascii="宋体" w:hAnsi="宋体" w:eastAsia="宋体"/>
          <w:b/>
          <w:bCs/>
          <w:color w:val="auto"/>
          <w:sz w:val="24"/>
          <w:szCs w:val="28"/>
          <w:highlight w:val="none"/>
        </w:rPr>
      </w:pPr>
    </w:p>
    <w:p w14:paraId="30A0840D">
      <w:pPr>
        <w:adjustRightInd w:val="0"/>
        <w:snapToGrid w:val="0"/>
        <w:spacing w:line="360" w:lineRule="auto"/>
        <w:ind w:firstLine="482" w:firstLineChars="200"/>
        <w:rPr>
          <w:rFonts w:ascii="宋体" w:hAnsi="宋体" w:eastAsia="宋体"/>
          <w:bCs/>
          <w:color w:val="auto"/>
          <w:sz w:val="24"/>
          <w:szCs w:val="28"/>
          <w:highlight w:val="none"/>
        </w:rPr>
      </w:pPr>
      <w:r>
        <w:rPr>
          <w:rFonts w:hint="eastAsia" w:ascii="宋体" w:hAnsi="宋体" w:eastAsia="宋体"/>
          <w:b/>
          <w:bCs/>
          <w:color w:val="auto"/>
          <w:sz w:val="24"/>
          <w:szCs w:val="28"/>
          <w:highlight w:val="none"/>
        </w:rPr>
        <w:t>注：1.</w:t>
      </w:r>
      <w:r>
        <w:rPr>
          <w:rFonts w:hint="eastAsia" w:ascii="宋体" w:hAnsi="宋体" w:eastAsia="宋体"/>
          <w:b/>
          <w:bCs/>
          <w:color w:val="auto"/>
          <w:sz w:val="24"/>
          <w:highlight w:val="none"/>
        </w:rPr>
        <w:t>本页《报价表》由供应商在接到报价通知后依据谈判情况填写,并在规定时间内提交。</w:t>
      </w:r>
      <w:r>
        <w:rPr>
          <w:rFonts w:hint="eastAsia" w:ascii="宋体" w:hAnsi="宋体" w:eastAsia="宋体"/>
          <w:bCs/>
          <w:color w:val="auto"/>
          <w:sz w:val="24"/>
          <w:szCs w:val="28"/>
          <w:highlight w:val="none"/>
        </w:rPr>
        <w:t>考虑谈判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此优惠率调整原则适用于合同内价格的计算及项目增减、变更时价格的计算。</w:t>
      </w:r>
    </w:p>
    <w:p w14:paraId="1E3FC548">
      <w:pPr>
        <w:adjustRightInd w:val="0"/>
        <w:snapToGrid w:val="0"/>
        <w:spacing w:line="360" w:lineRule="auto"/>
        <w:ind w:firstLine="482" w:firstLineChars="200"/>
        <w:rPr>
          <w:rFonts w:ascii="宋体" w:hAnsi="宋体" w:eastAsia="宋体"/>
          <w:b/>
          <w:color w:val="auto"/>
          <w:sz w:val="24"/>
          <w:szCs w:val="28"/>
          <w:highlight w:val="none"/>
        </w:rPr>
      </w:pPr>
      <w:r>
        <w:rPr>
          <w:rFonts w:hint="eastAsia" w:ascii="宋体" w:hAnsi="宋体" w:eastAsia="宋体"/>
          <w:b/>
          <w:color w:val="auto"/>
          <w:sz w:val="24"/>
          <w:szCs w:val="28"/>
          <w:highlight w:val="none"/>
        </w:rPr>
        <w:t>2.表中大写金额（费率）与小写金额（费率）不一致的，以大写金额（费率）为准。</w:t>
      </w:r>
    </w:p>
    <w:p w14:paraId="21F12BF7">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7DC7B7DE">
      <w:pPr>
        <w:spacing w:line="360" w:lineRule="auto"/>
        <w:jc w:val="center"/>
        <w:outlineLvl w:val="1"/>
        <w:rPr>
          <w:rFonts w:asciiTheme="minorEastAsia" w:hAnsiTheme="minorEastAsia" w:eastAsiaTheme="minorEastAsia"/>
          <w:b/>
          <w:color w:val="auto"/>
          <w:sz w:val="24"/>
          <w:highlight w:val="none"/>
        </w:rPr>
      </w:pPr>
      <w:bookmarkStart w:id="134" w:name="_Toc10325"/>
      <w:bookmarkStart w:id="135" w:name="_Toc9887"/>
      <w:r>
        <w:rPr>
          <w:rFonts w:hint="eastAsia" w:asciiTheme="minorEastAsia" w:hAnsiTheme="minorEastAsia" w:eastAsiaTheme="minorEastAsia"/>
          <w:b/>
          <w:color w:val="auto"/>
          <w:sz w:val="24"/>
          <w:highlight w:val="none"/>
        </w:rPr>
        <w:t>三、谈判响应函</w:t>
      </w:r>
      <w:bookmarkEnd w:id="134"/>
      <w:bookmarkEnd w:id="135"/>
    </w:p>
    <w:p w14:paraId="5071E5B1">
      <w:pPr>
        <w:pStyle w:val="13"/>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 xml:space="preserve">                     </w:t>
      </w:r>
      <w:r>
        <w:rPr>
          <w:rFonts w:hint="eastAsia" w:ascii="宋体" w:hAnsi="宋体"/>
          <w:color w:val="auto"/>
          <w:sz w:val="24"/>
          <w:szCs w:val="24"/>
          <w:highlight w:val="none"/>
          <w:u w:val="none"/>
          <w:lang w:eastAsia="zh-CN"/>
        </w:rPr>
        <w:t>采购人</w:t>
      </w:r>
    </w:p>
    <w:p w14:paraId="53B231DA">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36" w:name="_Hlk44287576"/>
      <w:r>
        <w:rPr>
          <w:rFonts w:hint="eastAsia" w:ascii="宋体" w:hAnsi="宋体" w:eastAsia="宋体"/>
          <w:color w:val="auto"/>
          <w:sz w:val="24"/>
          <w:highlight w:val="none"/>
        </w:rPr>
        <w:t>竞争性谈判公告和谈判邀请</w:t>
      </w:r>
      <w:bookmarkEnd w:id="136"/>
      <w:r>
        <w:rPr>
          <w:rFonts w:hint="eastAsia" w:ascii="宋体" w:hAnsi="宋体" w:eastAsia="宋体"/>
          <w:color w:val="auto"/>
          <w:sz w:val="24"/>
          <w:highlight w:val="none"/>
        </w:rPr>
        <w:t>，我方兹宣布同意如下：</w:t>
      </w:r>
    </w:p>
    <w:p w14:paraId="249AE73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75BE6639">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2019C6A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346B5485">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47832D6C">
      <w:pPr>
        <w:spacing w:line="360" w:lineRule="auto"/>
        <w:ind w:firstLine="3600" w:firstLineChars="1500"/>
        <w:rPr>
          <w:rFonts w:ascii="宋体" w:hAnsi="宋体" w:eastAsia="宋体"/>
          <w:color w:val="auto"/>
          <w:sz w:val="24"/>
          <w:highlight w:val="none"/>
        </w:rPr>
      </w:pPr>
    </w:p>
    <w:p w14:paraId="735FEF9E">
      <w:pPr>
        <w:spacing w:line="360" w:lineRule="auto"/>
        <w:ind w:firstLine="3600" w:firstLineChars="15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5E3D1248">
      <w:pPr>
        <w:spacing w:line="360" w:lineRule="auto"/>
        <w:ind w:firstLine="3600" w:firstLineChars="15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4FB007A">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7C14991F">
      <w:pPr>
        <w:spacing w:line="360" w:lineRule="auto"/>
        <w:jc w:val="center"/>
        <w:outlineLvl w:val="1"/>
        <w:rPr>
          <w:rFonts w:hint="eastAsia" w:asciiTheme="minorEastAsia" w:hAnsiTheme="minorEastAsia" w:eastAsiaTheme="minorEastAsia"/>
          <w:b/>
          <w:color w:val="auto"/>
          <w:sz w:val="24"/>
          <w:highlight w:val="none"/>
        </w:rPr>
      </w:pPr>
      <w:bookmarkStart w:id="137" w:name="_Toc15886"/>
      <w:bookmarkStart w:id="138" w:name="_Toc27496"/>
      <w:r>
        <w:rPr>
          <w:rFonts w:hint="eastAsia" w:asciiTheme="minorEastAsia" w:hAnsiTheme="minorEastAsia" w:eastAsiaTheme="minorEastAsia"/>
          <w:b/>
          <w:color w:val="auto"/>
          <w:sz w:val="24"/>
          <w:highlight w:val="none"/>
        </w:rPr>
        <w:t>四、</w:t>
      </w:r>
      <w:bookmarkEnd w:id="137"/>
      <w:r>
        <w:rPr>
          <w:rFonts w:hint="eastAsia" w:asciiTheme="minorEastAsia" w:hAnsiTheme="minorEastAsia" w:eastAsiaTheme="minorEastAsia"/>
          <w:b/>
          <w:color w:val="auto"/>
          <w:sz w:val="24"/>
          <w:highlight w:val="none"/>
          <w:lang w:val="en-US" w:eastAsia="zh-CN"/>
        </w:rPr>
        <w:t>供应商资格声明书</w:t>
      </w:r>
      <w:bookmarkEnd w:id="138"/>
      <w:r>
        <w:rPr>
          <w:rFonts w:hint="eastAsia" w:asciiTheme="minorEastAsia" w:hAnsiTheme="minorEastAsia" w:eastAsiaTheme="minorEastAsia"/>
          <w:b/>
          <w:color w:val="auto"/>
          <w:sz w:val="24"/>
          <w:highlight w:val="none"/>
          <w:lang w:val="en-US" w:eastAsia="zh-CN"/>
        </w:rPr>
        <w:t xml:space="preserve"> </w:t>
      </w:r>
    </w:p>
    <w:p w14:paraId="1B9CEB06">
      <w:pPr>
        <w:pStyle w:val="13"/>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lang w:eastAsia="zh-CN"/>
        </w:rPr>
        <w:t>采购人</w:t>
      </w:r>
    </w:p>
    <w:p w14:paraId="6D86D23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在参与本次项目谈判中，我单位承诺：</w:t>
      </w:r>
    </w:p>
    <w:p w14:paraId="31D7B9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33A771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23BE8C9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26054CD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9461D8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18E3696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4445"/>
        <w:gridCol w:w="2841"/>
      </w:tblGrid>
      <w:tr w14:paraId="0EF6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57E15F95">
            <w:pPr>
              <w:keepNext w:val="0"/>
              <w:keepLines w:val="0"/>
              <w:pageBreakBefore w:val="0"/>
              <w:widowControl/>
              <w:suppressLineNumbers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608" w:type="pct"/>
            <w:vAlign w:val="center"/>
          </w:tcPr>
          <w:p w14:paraId="03892C16">
            <w:pPr>
              <w:pStyle w:val="8"/>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1667" w:type="pct"/>
            <w:vAlign w:val="center"/>
          </w:tcPr>
          <w:p w14:paraId="187B8F90">
            <w:pPr>
              <w:pStyle w:val="8"/>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49AC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3A6FD362">
            <w:pPr>
              <w:pStyle w:val="8"/>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608" w:type="pct"/>
            <w:vAlign w:val="center"/>
          </w:tcPr>
          <w:p w14:paraId="4EA2C11A">
            <w:pPr>
              <w:pStyle w:val="8"/>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1667" w:type="pct"/>
            <w:vAlign w:val="center"/>
          </w:tcPr>
          <w:p w14:paraId="1C89F7FD">
            <w:pPr>
              <w:pStyle w:val="8"/>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4910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21F73847">
            <w:pPr>
              <w:pStyle w:val="8"/>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608" w:type="pct"/>
            <w:vAlign w:val="center"/>
          </w:tcPr>
          <w:p w14:paraId="4DA45946">
            <w:pPr>
              <w:pStyle w:val="8"/>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1667" w:type="pct"/>
            <w:vAlign w:val="center"/>
          </w:tcPr>
          <w:p w14:paraId="206AB086">
            <w:pPr>
              <w:pStyle w:val="8"/>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633353D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491389D6">
      <w:pPr>
        <w:spacing w:line="360" w:lineRule="auto"/>
        <w:ind w:firstLine="4800" w:firstLineChars="2000"/>
        <w:rPr>
          <w:rFonts w:hint="eastAsia" w:ascii="宋体" w:hAnsi="宋体" w:eastAsia="宋体"/>
          <w:color w:val="auto"/>
          <w:sz w:val="24"/>
          <w:highlight w:val="none"/>
          <w:lang w:val="en-US" w:eastAsia="zh-CN"/>
        </w:rPr>
      </w:pPr>
    </w:p>
    <w:p w14:paraId="0B16551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4489A8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8EE360B">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38A7C03E">
      <w:pPr>
        <w:spacing w:line="360" w:lineRule="auto"/>
        <w:jc w:val="center"/>
        <w:outlineLvl w:val="1"/>
        <w:rPr>
          <w:rFonts w:asciiTheme="minorEastAsia" w:hAnsiTheme="minorEastAsia" w:eastAsiaTheme="minorEastAsia"/>
          <w:b/>
          <w:color w:val="auto"/>
          <w:sz w:val="24"/>
          <w:highlight w:val="none"/>
        </w:rPr>
      </w:pPr>
      <w:bookmarkStart w:id="139" w:name="_Toc3425"/>
      <w:bookmarkStart w:id="140" w:name="_Toc19132"/>
      <w:r>
        <w:rPr>
          <w:rFonts w:hint="eastAsia" w:asciiTheme="minorEastAsia" w:hAnsiTheme="minorEastAsia" w:eastAsiaTheme="minorEastAsia"/>
          <w:b/>
          <w:color w:val="auto"/>
          <w:sz w:val="24"/>
          <w:highlight w:val="none"/>
        </w:rPr>
        <w:t>五、授权书</w:t>
      </w:r>
      <w:bookmarkEnd w:id="139"/>
      <w:bookmarkEnd w:id="140"/>
    </w:p>
    <w:p w14:paraId="20AF3A0F">
      <w:pPr>
        <w:pStyle w:val="12"/>
        <w:snapToGrid w:val="0"/>
        <w:spacing w:line="360" w:lineRule="auto"/>
        <w:ind w:firstLine="480" w:firstLineChars="200"/>
        <w:jc w:val="left"/>
        <w:rPr>
          <w:rFonts w:hAnsi="宋体" w:eastAsia="宋体"/>
          <w:color w:val="auto"/>
          <w:sz w:val="24"/>
          <w:szCs w:val="28"/>
          <w:highlight w:val="none"/>
        </w:rPr>
      </w:pPr>
    </w:p>
    <w:p w14:paraId="6ECA2698">
      <w:pPr>
        <w:pStyle w:val="12"/>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210DEDE5">
      <w:pPr>
        <w:pStyle w:val="12"/>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7D9857D8">
      <w:pPr>
        <w:pStyle w:val="12"/>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2D750829">
      <w:pPr>
        <w:pStyle w:val="12"/>
        <w:snapToGrid w:val="0"/>
        <w:spacing w:line="360" w:lineRule="auto"/>
        <w:ind w:firstLine="480" w:firstLineChars="200"/>
        <w:jc w:val="left"/>
        <w:rPr>
          <w:rFonts w:hAnsi="宋体" w:eastAsia="宋体"/>
          <w:color w:val="auto"/>
          <w:sz w:val="24"/>
          <w:highlight w:val="none"/>
        </w:rPr>
      </w:pPr>
    </w:p>
    <w:p w14:paraId="5DED6EEA">
      <w:pPr>
        <w:pStyle w:val="12"/>
        <w:snapToGrid w:val="0"/>
        <w:spacing w:line="360" w:lineRule="auto"/>
        <w:ind w:firstLine="480" w:firstLineChars="200"/>
        <w:jc w:val="left"/>
        <w:rPr>
          <w:rFonts w:hAnsi="宋体" w:eastAsia="宋体"/>
          <w:color w:val="auto"/>
          <w:sz w:val="24"/>
          <w:highlight w:val="none"/>
        </w:rPr>
      </w:pPr>
    </w:p>
    <w:p w14:paraId="55F9C92E">
      <w:pPr>
        <w:pStyle w:val="12"/>
        <w:snapToGrid w:val="0"/>
        <w:spacing w:line="360" w:lineRule="auto"/>
        <w:ind w:firstLine="480" w:firstLineChars="200"/>
        <w:jc w:val="left"/>
        <w:rPr>
          <w:rFonts w:hAnsi="宋体" w:eastAsia="宋体"/>
          <w:color w:val="auto"/>
          <w:sz w:val="24"/>
          <w:highlight w:val="none"/>
        </w:rPr>
      </w:pPr>
    </w:p>
    <w:p w14:paraId="0D913859">
      <w:pPr>
        <w:pStyle w:val="12"/>
        <w:snapToGrid w:val="0"/>
        <w:spacing w:line="360" w:lineRule="auto"/>
        <w:ind w:firstLine="480" w:firstLineChars="200"/>
        <w:jc w:val="left"/>
        <w:rPr>
          <w:rFonts w:hAnsi="宋体" w:eastAsia="宋体"/>
          <w:color w:val="auto"/>
          <w:sz w:val="24"/>
          <w:highlight w:val="none"/>
        </w:rPr>
      </w:pPr>
    </w:p>
    <w:p w14:paraId="794FE19E">
      <w:pPr>
        <w:pStyle w:val="12"/>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6222D906">
      <w:pPr>
        <w:pStyle w:val="12"/>
        <w:snapToGrid w:val="0"/>
        <w:spacing w:line="360" w:lineRule="auto"/>
        <w:ind w:firstLine="480" w:firstLineChars="200"/>
        <w:jc w:val="left"/>
        <w:rPr>
          <w:rFonts w:hAnsi="宋体" w:eastAsia="宋体"/>
          <w:color w:val="auto"/>
          <w:sz w:val="24"/>
          <w:szCs w:val="28"/>
          <w:highlight w:val="none"/>
        </w:rPr>
      </w:pPr>
    </w:p>
    <w:p w14:paraId="0E8EF6FD">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048F2A5B">
      <w:pPr>
        <w:spacing w:line="360" w:lineRule="auto"/>
        <w:rPr>
          <w:rFonts w:ascii="宋体" w:hAnsi="宋体" w:eastAsia="宋体"/>
          <w:color w:val="auto"/>
          <w:sz w:val="24"/>
          <w:szCs w:val="28"/>
          <w:highlight w:val="none"/>
        </w:rPr>
      </w:pPr>
    </w:p>
    <w:p w14:paraId="5EAAADC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44A4D6B">
      <w:pPr>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17DDC1E">
      <w:pPr>
        <w:spacing w:line="360" w:lineRule="auto"/>
        <w:rPr>
          <w:rFonts w:ascii="宋体" w:hAnsi="宋体" w:eastAsia="宋体"/>
          <w:color w:val="auto"/>
          <w:sz w:val="24"/>
          <w:szCs w:val="28"/>
          <w:highlight w:val="none"/>
        </w:rPr>
      </w:pPr>
    </w:p>
    <w:p w14:paraId="66CB1D94">
      <w:pPr>
        <w:spacing w:line="360" w:lineRule="auto"/>
        <w:rPr>
          <w:rFonts w:ascii="宋体" w:hAnsi="宋体" w:eastAsia="宋体"/>
          <w:color w:val="auto"/>
          <w:sz w:val="24"/>
          <w:szCs w:val="28"/>
          <w:highlight w:val="none"/>
        </w:rPr>
      </w:pPr>
    </w:p>
    <w:p w14:paraId="4A7973FB">
      <w:pPr>
        <w:pStyle w:val="12"/>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7A6ADFE9">
      <w:pPr>
        <w:pStyle w:val="12"/>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02993164">
      <w:pPr>
        <w:pStyle w:val="12"/>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2.法定代表人参加谈判的无需提供授权书，仅提供身份证明扫描件。</w:t>
      </w:r>
    </w:p>
    <w:p w14:paraId="5953388B">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6FC59BAC">
      <w:pPr>
        <w:spacing w:line="360" w:lineRule="auto"/>
        <w:jc w:val="center"/>
        <w:outlineLvl w:val="1"/>
        <w:rPr>
          <w:rFonts w:asciiTheme="minorEastAsia" w:hAnsiTheme="minorEastAsia" w:eastAsiaTheme="minorEastAsia"/>
          <w:b/>
          <w:color w:val="auto"/>
          <w:sz w:val="24"/>
          <w:highlight w:val="none"/>
        </w:rPr>
      </w:pPr>
      <w:bookmarkStart w:id="141" w:name="_Toc1834"/>
      <w:bookmarkStart w:id="142" w:name="_Toc31060"/>
      <w:r>
        <w:rPr>
          <w:rFonts w:hint="eastAsia" w:asciiTheme="minorEastAsia" w:hAnsiTheme="minorEastAsia" w:eastAsiaTheme="minorEastAsia"/>
          <w:b/>
          <w:color w:val="auto"/>
          <w:sz w:val="24"/>
          <w:highlight w:val="none"/>
        </w:rPr>
        <w:t>六、</w:t>
      </w:r>
      <w:bookmarkEnd w:id="141"/>
      <w:bookmarkEnd w:id="142"/>
      <w:r>
        <w:rPr>
          <w:rFonts w:hint="eastAsia" w:asciiTheme="minorEastAsia" w:hAnsiTheme="minorEastAsia" w:eastAsiaTheme="minorEastAsia"/>
          <w:b/>
          <w:color w:val="auto"/>
          <w:sz w:val="24"/>
          <w:highlight w:val="none"/>
          <w:lang w:val="en-US" w:eastAsia="zh-CN"/>
        </w:rPr>
        <w:t>谈判</w:t>
      </w:r>
      <w:r>
        <w:rPr>
          <w:rFonts w:hint="eastAsia" w:asciiTheme="minorEastAsia" w:hAnsiTheme="minorEastAsia" w:eastAsiaTheme="minorEastAsia"/>
          <w:b/>
          <w:color w:val="auto"/>
          <w:sz w:val="24"/>
          <w:highlight w:val="none"/>
        </w:rPr>
        <w:t>响应表</w:t>
      </w:r>
    </w:p>
    <w:p w14:paraId="62B0B14B">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775D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06AD6CC8">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7803CE11">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095A624C">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谈判文件</w:t>
            </w:r>
            <w:r>
              <w:rPr>
                <w:rFonts w:hint="eastAsia" w:cs="Wingdings" w:asciiTheme="minorEastAsia" w:hAnsiTheme="minorEastAsia"/>
                <w:b/>
                <w:color w:val="auto"/>
                <w:sz w:val="24"/>
                <w:highlight w:val="none"/>
              </w:rPr>
              <w:t>要求</w:t>
            </w:r>
          </w:p>
        </w:tc>
        <w:tc>
          <w:tcPr>
            <w:tcW w:w="1510" w:type="pct"/>
            <w:vAlign w:val="center"/>
          </w:tcPr>
          <w:p w14:paraId="14AB3F75">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供应商</w:t>
            </w:r>
            <w:r>
              <w:rPr>
                <w:rFonts w:hint="eastAsia" w:cs="Wingdings" w:asciiTheme="minorEastAsia" w:hAnsiTheme="minorEastAsia"/>
                <w:b/>
                <w:color w:val="auto"/>
                <w:sz w:val="24"/>
                <w:highlight w:val="none"/>
              </w:rPr>
              <w:t>承诺</w:t>
            </w:r>
          </w:p>
        </w:tc>
        <w:tc>
          <w:tcPr>
            <w:tcW w:w="475" w:type="pct"/>
            <w:vAlign w:val="center"/>
          </w:tcPr>
          <w:p w14:paraId="70407828">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C06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DA5BB83">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43A179F9">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6A4D055F">
            <w:pPr>
              <w:jc w:val="center"/>
              <w:rPr>
                <w:rFonts w:asciiTheme="minorEastAsia" w:hAnsiTheme="minorEastAsia" w:eastAsiaTheme="minorEastAsia"/>
                <w:color w:val="auto"/>
                <w:sz w:val="24"/>
                <w:highlight w:val="none"/>
              </w:rPr>
            </w:pPr>
          </w:p>
        </w:tc>
        <w:tc>
          <w:tcPr>
            <w:tcW w:w="1510" w:type="pct"/>
            <w:vAlign w:val="center"/>
          </w:tcPr>
          <w:p w14:paraId="0FBD20B7">
            <w:pPr>
              <w:jc w:val="center"/>
              <w:rPr>
                <w:rFonts w:asciiTheme="minorEastAsia" w:hAnsiTheme="minorEastAsia" w:eastAsiaTheme="minorEastAsia"/>
                <w:color w:val="auto"/>
                <w:sz w:val="24"/>
                <w:highlight w:val="none"/>
              </w:rPr>
            </w:pPr>
          </w:p>
        </w:tc>
        <w:tc>
          <w:tcPr>
            <w:tcW w:w="475" w:type="pct"/>
            <w:vAlign w:val="center"/>
          </w:tcPr>
          <w:p w14:paraId="34830BBA">
            <w:pPr>
              <w:jc w:val="center"/>
              <w:rPr>
                <w:rFonts w:asciiTheme="minorEastAsia" w:hAnsiTheme="minorEastAsia" w:eastAsiaTheme="minorEastAsia"/>
                <w:color w:val="auto"/>
                <w:sz w:val="24"/>
                <w:highlight w:val="none"/>
              </w:rPr>
            </w:pPr>
          </w:p>
        </w:tc>
      </w:tr>
      <w:tr w14:paraId="50B3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C9244B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403B5F02">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3C10013C">
            <w:pPr>
              <w:jc w:val="center"/>
              <w:rPr>
                <w:rFonts w:asciiTheme="minorEastAsia" w:hAnsiTheme="minorEastAsia" w:eastAsiaTheme="minorEastAsia"/>
                <w:color w:val="auto"/>
                <w:sz w:val="24"/>
                <w:highlight w:val="none"/>
              </w:rPr>
            </w:pPr>
          </w:p>
        </w:tc>
        <w:tc>
          <w:tcPr>
            <w:tcW w:w="1510" w:type="pct"/>
            <w:vAlign w:val="center"/>
          </w:tcPr>
          <w:p w14:paraId="71DF51CE">
            <w:pPr>
              <w:jc w:val="center"/>
              <w:rPr>
                <w:rFonts w:asciiTheme="minorEastAsia" w:hAnsiTheme="minorEastAsia" w:eastAsiaTheme="minorEastAsia"/>
                <w:color w:val="auto"/>
                <w:sz w:val="24"/>
                <w:highlight w:val="none"/>
              </w:rPr>
            </w:pPr>
          </w:p>
        </w:tc>
        <w:tc>
          <w:tcPr>
            <w:tcW w:w="475" w:type="pct"/>
            <w:vAlign w:val="center"/>
          </w:tcPr>
          <w:p w14:paraId="6621CD20">
            <w:pPr>
              <w:jc w:val="center"/>
              <w:rPr>
                <w:rFonts w:asciiTheme="minorEastAsia" w:hAnsiTheme="minorEastAsia" w:eastAsiaTheme="minorEastAsia"/>
                <w:color w:val="auto"/>
                <w:sz w:val="24"/>
                <w:highlight w:val="none"/>
              </w:rPr>
            </w:pPr>
          </w:p>
        </w:tc>
      </w:tr>
      <w:tr w14:paraId="0915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B92C57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167B55C8">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04FC7BA0">
            <w:pPr>
              <w:jc w:val="center"/>
              <w:rPr>
                <w:rFonts w:asciiTheme="minorEastAsia" w:hAnsiTheme="minorEastAsia" w:eastAsiaTheme="minorEastAsia"/>
                <w:color w:val="auto"/>
                <w:sz w:val="24"/>
                <w:highlight w:val="none"/>
              </w:rPr>
            </w:pPr>
          </w:p>
        </w:tc>
        <w:tc>
          <w:tcPr>
            <w:tcW w:w="1510" w:type="pct"/>
            <w:vAlign w:val="center"/>
          </w:tcPr>
          <w:p w14:paraId="0AD81D87">
            <w:pPr>
              <w:pStyle w:val="50"/>
              <w:jc w:val="center"/>
              <w:rPr>
                <w:rFonts w:asciiTheme="minorEastAsia" w:hAnsiTheme="minorEastAsia" w:eastAsiaTheme="minorEastAsia"/>
                <w:color w:val="auto"/>
                <w:highlight w:val="none"/>
              </w:rPr>
            </w:pPr>
          </w:p>
        </w:tc>
        <w:tc>
          <w:tcPr>
            <w:tcW w:w="475" w:type="pct"/>
            <w:vAlign w:val="center"/>
          </w:tcPr>
          <w:p w14:paraId="4B1DC8AE">
            <w:pPr>
              <w:jc w:val="center"/>
              <w:rPr>
                <w:rFonts w:asciiTheme="minorEastAsia" w:hAnsiTheme="minorEastAsia" w:eastAsiaTheme="minorEastAsia"/>
                <w:color w:val="auto"/>
                <w:sz w:val="24"/>
                <w:highlight w:val="none"/>
              </w:rPr>
            </w:pPr>
          </w:p>
        </w:tc>
      </w:tr>
      <w:tr w14:paraId="5297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0B8E9E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49A65C63">
            <w:pPr>
              <w:jc w:val="center"/>
              <w:rPr>
                <w:rFonts w:ascii="宋体" w:hAnsi="宋体" w:eastAsia="宋体"/>
                <w:color w:val="auto"/>
                <w:sz w:val="24"/>
                <w:highlight w:val="none"/>
              </w:rPr>
            </w:pPr>
          </w:p>
        </w:tc>
        <w:tc>
          <w:tcPr>
            <w:tcW w:w="1465" w:type="pct"/>
            <w:vAlign w:val="center"/>
          </w:tcPr>
          <w:p w14:paraId="26AEDEB3">
            <w:pPr>
              <w:jc w:val="center"/>
              <w:rPr>
                <w:rFonts w:asciiTheme="minorEastAsia" w:hAnsiTheme="minorEastAsia" w:eastAsiaTheme="minorEastAsia"/>
                <w:color w:val="auto"/>
                <w:sz w:val="24"/>
                <w:highlight w:val="none"/>
              </w:rPr>
            </w:pPr>
          </w:p>
        </w:tc>
        <w:tc>
          <w:tcPr>
            <w:tcW w:w="1510" w:type="pct"/>
            <w:vAlign w:val="center"/>
          </w:tcPr>
          <w:p w14:paraId="1A811D76">
            <w:pPr>
              <w:jc w:val="center"/>
              <w:rPr>
                <w:rFonts w:asciiTheme="minorEastAsia" w:hAnsiTheme="minorEastAsia" w:eastAsiaTheme="minorEastAsia"/>
                <w:color w:val="auto"/>
                <w:sz w:val="24"/>
                <w:highlight w:val="none"/>
              </w:rPr>
            </w:pPr>
          </w:p>
        </w:tc>
        <w:tc>
          <w:tcPr>
            <w:tcW w:w="475" w:type="pct"/>
            <w:vAlign w:val="center"/>
          </w:tcPr>
          <w:p w14:paraId="5F564D21">
            <w:pPr>
              <w:jc w:val="center"/>
              <w:rPr>
                <w:rFonts w:asciiTheme="minorEastAsia" w:hAnsiTheme="minorEastAsia" w:eastAsiaTheme="minorEastAsia"/>
                <w:color w:val="auto"/>
                <w:sz w:val="24"/>
                <w:highlight w:val="none"/>
              </w:rPr>
            </w:pPr>
          </w:p>
        </w:tc>
      </w:tr>
    </w:tbl>
    <w:p w14:paraId="45A067C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CC8A6BC">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4904C58">
      <w:pPr>
        <w:pStyle w:val="13"/>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79503BCC">
      <w:pPr>
        <w:spacing w:line="360" w:lineRule="auto"/>
        <w:jc w:val="center"/>
        <w:outlineLvl w:val="1"/>
        <w:rPr>
          <w:rFonts w:asciiTheme="minorEastAsia" w:hAnsiTheme="minorEastAsia" w:eastAsiaTheme="minorEastAsia"/>
          <w:b/>
          <w:color w:val="auto"/>
          <w:sz w:val="24"/>
          <w:highlight w:val="none"/>
        </w:rPr>
      </w:pPr>
      <w:bookmarkStart w:id="143" w:name="_Toc24241"/>
      <w:bookmarkStart w:id="144" w:name="_Toc29240"/>
      <w:bookmarkStart w:id="145" w:name="_Hlk60612849"/>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、中小企业声明函</w:t>
      </w:r>
      <w:bookmarkEnd w:id="143"/>
      <w:bookmarkEnd w:id="144"/>
    </w:p>
    <w:p w14:paraId="7967D72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u w:val="single"/>
          <w:lang w:val="en-US" w:eastAsia="zh-CN"/>
        </w:rPr>
        <w:t>单位名称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2B2809B5">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29640D3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C7A890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0FAB5195">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67D01155">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0C576A4F">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C770EC1">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145"/>
    <w:p w14:paraId="30F61231">
      <w:pPr>
        <w:tabs>
          <w:tab w:val="left" w:pos="4620"/>
        </w:tabs>
        <w:spacing w:line="360" w:lineRule="auto"/>
        <w:jc w:val="left"/>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30295F8B">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4008C8A1">
      <w:pPr>
        <w:tabs>
          <w:tab w:val="left" w:pos="4620"/>
        </w:tabs>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50B92EF2">
      <w:pPr>
        <w:tabs>
          <w:tab w:val="left" w:pos="4620"/>
        </w:tabs>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3A84634B">
      <w:pPr>
        <w:tabs>
          <w:tab w:val="left" w:pos="4620"/>
        </w:tabs>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48312111">
      <w:pPr>
        <w:widowControl/>
        <w:spacing w:line="360" w:lineRule="auto"/>
        <w:jc w:val="left"/>
        <w:rPr>
          <w:rFonts w:asciiTheme="minorEastAsia" w:hAnsiTheme="minorEastAsia" w:eastAsiaTheme="minorEastAsia"/>
          <w:color w:val="auto"/>
          <w:sz w:val="24"/>
          <w:highlight w:val="none"/>
        </w:rPr>
      </w:pPr>
      <w:r>
        <w:rPr>
          <w:rFonts w:hint="eastAsia" w:ascii="宋体" w:hAnsi="宋体" w:eastAsia="宋体" w:cs="宋体"/>
          <w:b/>
          <w:bCs/>
          <w:color w:val="auto"/>
          <w:szCs w:val="21"/>
          <w:highlight w:val="none"/>
        </w:rPr>
        <w:t>5. 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r>
        <w:rPr>
          <w:rFonts w:asciiTheme="minorEastAsia" w:hAnsiTheme="minorEastAsia" w:eastAsiaTheme="minorEastAsia"/>
          <w:color w:val="auto"/>
          <w:sz w:val="24"/>
          <w:highlight w:val="none"/>
        </w:rPr>
        <w:br w:type="page"/>
      </w:r>
    </w:p>
    <w:p w14:paraId="1B64DFD8">
      <w:pPr>
        <w:spacing w:line="360" w:lineRule="auto"/>
        <w:jc w:val="center"/>
        <w:outlineLvl w:val="1"/>
        <w:rPr>
          <w:rFonts w:asciiTheme="minorEastAsia" w:hAnsiTheme="minorEastAsia" w:eastAsiaTheme="minorEastAsia"/>
          <w:b/>
          <w:color w:val="auto"/>
          <w:sz w:val="24"/>
          <w:highlight w:val="none"/>
        </w:rPr>
      </w:pPr>
      <w:bookmarkStart w:id="146" w:name="_Toc4733"/>
      <w:bookmarkStart w:id="147" w:name="_Toc11207"/>
      <w:bookmarkStart w:id="148" w:name="_Hlk60613042"/>
      <w:r>
        <w:rPr>
          <w:rFonts w:hint="eastAsia" w:asciiTheme="minorEastAsia" w:hAnsiTheme="minorEastAsia" w:eastAsiaTheme="minorEastAsia"/>
          <w:b/>
          <w:color w:val="auto"/>
          <w:sz w:val="24"/>
          <w:highlight w:val="none"/>
          <w:lang w:eastAsia="zh-CN"/>
        </w:rPr>
        <w:t>八</w:t>
      </w:r>
      <w:r>
        <w:rPr>
          <w:rFonts w:hint="eastAsia" w:asciiTheme="minorEastAsia" w:hAnsiTheme="minorEastAsia" w:eastAsiaTheme="minorEastAsia"/>
          <w:b/>
          <w:color w:val="auto"/>
          <w:sz w:val="24"/>
          <w:highlight w:val="none"/>
        </w:rPr>
        <w:t>、残疾人福利性单位声明函</w:t>
      </w:r>
      <w:bookmarkEnd w:id="146"/>
      <w:bookmarkEnd w:id="147"/>
    </w:p>
    <w:p w14:paraId="03C9AE50">
      <w:pPr>
        <w:spacing w:line="360" w:lineRule="auto"/>
        <w:ind w:firstLine="435"/>
        <w:rPr>
          <w:rFonts w:asciiTheme="minorEastAsia" w:hAnsiTheme="minorEastAsia" w:eastAsiaTheme="minorEastAsia"/>
          <w:color w:val="auto"/>
          <w:spacing w:val="6"/>
          <w:sz w:val="24"/>
          <w:szCs w:val="24"/>
          <w:highlight w:val="none"/>
        </w:rPr>
      </w:pPr>
    </w:p>
    <w:p w14:paraId="41773652">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257EE043">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1FA2D39B">
      <w:pPr>
        <w:spacing w:line="360" w:lineRule="auto"/>
        <w:ind w:firstLine="4228" w:firstLineChars="1762"/>
        <w:rPr>
          <w:rFonts w:asciiTheme="minorEastAsia" w:hAnsiTheme="minorEastAsia" w:eastAsiaTheme="minorEastAsia"/>
          <w:color w:val="auto"/>
          <w:sz w:val="24"/>
          <w:szCs w:val="24"/>
          <w:highlight w:val="none"/>
        </w:rPr>
      </w:pPr>
    </w:p>
    <w:p w14:paraId="673C4537">
      <w:pPr>
        <w:spacing w:line="360" w:lineRule="auto"/>
        <w:ind w:firstLine="4228" w:firstLineChars="1762"/>
        <w:rPr>
          <w:rFonts w:asciiTheme="minorEastAsia" w:hAnsiTheme="minorEastAsia" w:eastAsiaTheme="minorEastAsia"/>
          <w:color w:val="auto"/>
          <w:sz w:val="24"/>
          <w:szCs w:val="24"/>
          <w:highlight w:val="none"/>
        </w:rPr>
      </w:pPr>
    </w:p>
    <w:p w14:paraId="03D66AD8">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734AC516">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148"/>
    <w:p w14:paraId="4C5B8CB1">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F86C322">
      <w:pPr>
        <w:spacing w:line="360" w:lineRule="auto"/>
        <w:jc w:val="center"/>
        <w:outlineLvl w:val="1"/>
        <w:rPr>
          <w:rFonts w:asciiTheme="minorEastAsia" w:hAnsiTheme="minorEastAsia" w:eastAsiaTheme="minorEastAsia"/>
          <w:b/>
          <w:color w:val="auto"/>
          <w:sz w:val="24"/>
          <w:highlight w:val="none"/>
        </w:rPr>
      </w:pPr>
      <w:bookmarkStart w:id="149" w:name="_Toc25481"/>
      <w:bookmarkStart w:id="150" w:name="_Toc19745"/>
      <w:r>
        <w:rPr>
          <w:rFonts w:hint="eastAsia" w:asciiTheme="minorEastAsia" w:hAnsiTheme="minorEastAsia" w:eastAsiaTheme="minorEastAsia"/>
          <w:b/>
          <w:color w:val="auto"/>
          <w:sz w:val="24"/>
          <w:highlight w:val="none"/>
          <w:lang w:eastAsia="zh-CN"/>
        </w:rPr>
        <w:t>九</w:t>
      </w:r>
      <w:r>
        <w:rPr>
          <w:rFonts w:hint="eastAsia" w:asciiTheme="minorEastAsia" w:hAnsiTheme="minorEastAsia" w:eastAsiaTheme="minorEastAsia"/>
          <w:b/>
          <w:color w:val="auto"/>
          <w:sz w:val="24"/>
          <w:highlight w:val="none"/>
        </w:rPr>
        <w:t>、诚信履约承诺函</w:t>
      </w:r>
      <w:bookmarkEnd w:id="149"/>
      <w:bookmarkEnd w:id="150"/>
    </w:p>
    <w:p w14:paraId="73B2D349">
      <w:pPr>
        <w:spacing w:line="360" w:lineRule="auto"/>
        <w:rPr>
          <w:rFonts w:asciiTheme="minorEastAsia" w:hAnsiTheme="minorEastAsia" w:eastAsiaTheme="minorEastAsia"/>
          <w:b/>
          <w:bCs/>
          <w:color w:val="auto"/>
          <w:sz w:val="24"/>
          <w:highlight w:val="none"/>
        </w:rPr>
      </w:pPr>
    </w:p>
    <w:p w14:paraId="0CBAE29E">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val="en-US" w:eastAsia="zh-CN"/>
        </w:rPr>
        <w:t xml:space="preserve">                              </w:t>
      </w:r>
      <w:r>
        <w:rPr>
          <w:rFonts w:hint="eastAsia" w:asciiTheme="minorEastAsia" w:hAnsiTheme="minorEastAsia" w:eastAsiaTheme="minorEastAsia"/>
          <w:b/>
          <w:bCs/>
          <w:color w:val="auto"/>
          <w:sz w:val="24"/>
          <w:highlight w:val="none"/>
          <w:u w:val="none"/>
          <w:lang w:eastAsia="zh-CN"/>
        </w:rPr>
        <w:t>采购人</w:t>
      </w:r>
    </w:p>
    <w:p w14:paraId="73AE550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397669A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8B816A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22D7F99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0E6B866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4C02CC8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6AE539C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329D812">
      <w:pPr>
        <w:spacing w:line="360" w:lineRule="auto"/>
        <w:rPr>
          <w:rFonts w:asciiTheme="minorEastAsia" w:hAnsiTheme="minorEastAsia" w:eastAsiaTheme="minorEastAsia"/>
          <w:bCs/>
          <w:color w:val="auto"/>
          <w:sz w:val="24"/>
          <w:highlight w:val="none"/>
        </w:rPr>
      </w:pPr>
    </w:p>
    <w:p w14:paraId="138CD5CF">
      <w:pPr>
        <w:spacing w:line="360" w:lineRule="auto"/>
        <w:rPr>
          <w:rFonts w:asciiTheme="minorEastAsia" w:hAnsiTheme="minorEastAsia" w:eastAsiaTheme="minorEastAsia"/>
          <w:bCs/>
          <w:color w:val="auto"/>
          <w:sz w:val="24"/>
          <w:highlight w:val="none"/>
        </w:rPr>
      </w:pPr>
    </w:p>
    <w:p w14:paraId="4B2F6AFE">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6BE7060">
      <w:pPr>
        <w:spacing w:line="360" w:lineRule="auto"/>
        <w:ind w:firstLine="4320" w:firstLineChars="1800"/>
        <w:rPr>
          <w:rFonts w:asciiTheme="minorEastAsia" w:hAnsiTheme="minorEastAsia" w:eastAsiaTheme="minorEastAsia"/>
          <w:b/>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28BE82F">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021889E0">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十、</w:t>
      </w:r>
      <w:r>
        <w:rPr>
          <w:rFonts w:hint="eastAsia" w:asciiTheme="minorEastAsia" w:hAnsiTheme="minorEastAsia" w:eastAsiaTheme="minorEastAsia"/>
          <w:b/>
          <w:color w:val="auto"/>
          <w:sz w:val="24"/>
          <w:highlight w:val="none"/>
        </w:rPr>
        <w:t>诚信响应承诺书</w:t>
      </w:r>
    </w:p>
    <w:p w14:paraId="1D901F68">
      <w:pPr>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本人以企业法定代表人的身份郑重承诺：</w:t>
      </w:r>
    </w:p>
    <w:p w14:paraId="23D9F37B">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一、将遵循公开、公正和诚实信用的原则自愿参加</w:t>
      </w:r>
      <w:r>
        <w:rPr>
          <w:rFonts w:hint="eastAsia" w:ascii="宋体" w:hAnsi="宋体" w:eastAsia="宋体" w:cs="宋体"/>
          <w:color w:val="auto"/>
          <w:sz w:val="24"/>
          <w:szCs w:val="24"/>
          <w:highlight w:val="none"/>
          <w:u w:val="single"/>
        </w:rPr>
        <w:t xml:space="preserve">       （项目名称）         项目</w:t>
      </w:r>
      <w:r>
        <w:rPr>
          <w:rFonts w:hint="eastAsia" w:ascii="宋体" w:hAnsi="宋体" w:eastAsia="宋体" w:cs="宋体"/>
          <w:color w:val="auto"/>
          <w:sz w:val="24"/>
          <w:szCs w:val="24"/>
          <w:highlight w:val="none"/>
        </w:rPr>
        <w:t>的谈判，所提供的一切材料都是真实、有效、合法的；</w:t>
      </w:r>
    </w:p>
    <w:p w14:paraId="1E46A7F1">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5618DC8E">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三、不出借、转让资质证书，不让他人挂靠，不以他人名义或者以其他方式弄虚作假，骗取成交；</w:t>
      </w:r>
    </w:p>
    <w:p w14:paraId="6D41A3C7">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四、不与其他供应商相互串通响应报价，不排挤其他供应商的公平竞争、损害采购人的合法权益；</w:t>
      </w:r>
    </w:p>
    <w:p w14:paraId="0194D022">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五、不与采购人、采购代理机构或其他供应商串通响应，损害国家利益、社会公共利益或者他人的合法权益；</w:t>
      </w:r>
    </w:p>
    <w:p w14:paraId="30F1577A">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六、我公司没有下列情形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70C4BE61">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七、严格遵守谈判现场纪律，服从监管人员管理；</w:t>
      </w:r>
    </w:p>
    <w:p w14:paraId="3F484C7C">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八、保证成交后不转包，若有分包征得采购人同意；</w:t>
      </w:r>
    </w:p>
    <w:p w14:paraId="7CC6E23F">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九、保证成交之后，按照响应文件要求提供相关后续服务；</w:t>
      </w:r>
    </w:p>
    <w:p w14:paraId="1B9ADE4D">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十、保证企业及所属相关人员在本次响应中无行贿等犯罪行为；</w:t>
      </w:r>
    </w:p>
    <w:p w14:paraId="2731CEE0">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一、如在谈判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4B92507">
      <w:pPr>
        <w:spacing w:line="560" w:lineRule="exact"/>
        <w:ind w:firstLine="480" w:firstLineChars="200"/>
        <w:jc w:val="left"/>
        <w:rPr>
          <w:rFonts w:ascii="宋体" w:hAnsi="宋体" w:eastAsia="宋体" w:cs="宋体"/>
          <w:color w:val="auto"/>
          <w:sz w:val="24"/>
          <w:szCs w:val="24"/>
          <w:highlight w:val="none"/>
        </w:rPr>
      </w:pPr>
    </w:p>
    <w:p w14:paraId="0DF987D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我已仔细阅读，本公司若有违反承诺内容的行为，自愿接受取消谈判或者中标（成交）资格、中标（成交）无效、记入不良行为记录等有关处理，愿意承担法律责任，给采购人造成损失的，依法承担赔偿责任。</w:t>
      </w:r>
    </w:p>
    <w:p w14:paraId="5F492B72">
      <w:pPr>
        <w:spacing w:line="560" w:lineRule="exact"/>
        <w:ind w:firstLine="480" w:firstLineChars="200"/>
        <w:jc w:val="left"/>
        <w:rPr>
          <w:rFonts w:ascii="宋体" w:hAnsi="宋体" w:eastAsia="宋体" w:cs="宋体"/>
          <w:color w:val="auto"/>
          <w:sz w:val="24"/>
          <w:szCs w:val="24"/>
          <w:highlight w:val="none"/>
        </w:rPr>
      </w:pPr>
    </w:p>
    <w:p w14:paraId="56F704F4">
      <w:pPr>
        <w:spacing w:line="520" w:lineRule="exact"/>
        <w:jc w:val="left"/>
        <w:rPr>
          <w:rFonts w:ascii="宋体" w:hAnsi="宋体" w:eastAsia="宋体" w:cs="宋体"/>
          <w:color w:val="auto"/>
          <w:sz w:val="24"/>
          <w:szCs w:val="24"/>
          <w:highlight w:val="none"/>
        </w:rPr>
      </w:pPr>
    </w:p>
    <w:p w14:paraId="173ADBD2">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基本账户：</w:t>
      </w:r>
    </w:p>
    <w:p w14:paraId="6FF0B21D">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供应商（签章）：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法定代表人（签章）：</w:t>
      </w:r>
    </w:p>
    <w:p w14:paraId="42B2AC69">
      <w:pPr>
        <w:spacing w:line="600" w:lineRule="exact"/>
        <w:ind w:firstLine="4095" w:firstLineChars="1950"/>
        <w:rPr>
          <w:rFonts w:ascii="宋体" w:hAnsi="宋体"/>
          <w:color w:val="auto"/>
          <w:szCs w:val="21"/>
          <w:highlight w:val="none"/>
        </w:rPr>
      </w:pPr>
    </w:p>
    <w:p w14:paraId="7F7C3251">
      <w:pPr>
        <w:spacing w:line="600" w:lineRule="exact"/>
        <w:ind w:firstLine="4680" w:firstLineChars="19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日期：年 月 日</w:t>
      </w:r>
    </w:p>
    <w:p w14:paraId="3C0ABEDC">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3E15CB93">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025E717C">
      <w:pPr>
        <w:pStyle w:val="8"/>
        <w:spacing w:before="98" w:line="219" w:lineRule="auto"/>
        <w:jc w:val="center"/>
        <w:rPr>
          <w:rFonts w:hint="eastAsia" w:asciiTheme="minorEastAsia" w:hAnsiTheme="minorEastAsia" w:eastAsiaTheme="minorEastAsia"/>
          <w:b/>
          <w:color w:val="auto"/>
          <w:sz w:val="24"/>
          <w:highlight w:val="none"/>
          <w:lang w:val="en-US" w:eastAsia="zh-CN"/>
        </w:rPr>
      </w:pPr>
    </w:p>
    <w:p w14:paraId="6CBA8CD4">
      <w:pPr>
        <w:pStyle w:val="8"/>
        <w:spacing w:before="98" w:line="219" w:lineRule="auto"/>
        <w:jc w:val="center"/>
        <w:rPr>
          <w:rFonts w:hint="eastAsia" w:asciiTheme="minorEastAsia" w:hAnsiTheme="minorEastAsia" w:eastAsiaTheme="minorEastAsia"/>
          <w:b/>
          <w:color w:val="auto"/>
          <w:sz w:val="24"/>
          <w:highlight w:val="none"/>
          <w:lang w:val="en-US" w:eastAsia="zh-CN"/>
        </w:rPr>
      </w:pPr>
    </w:p>
    <w:p w14:paraId="0807480F">
      <w:pPr>
        <w:pStyle w:val="8"/>
        <w:spacing w:before="98" w:line="219" w:lineRule="auto"/>
        <w:jc w:val="center"/>
        <w:rPr>
          <w:rFonts w:hint="eastAsia" w:asciiTheme="minorEastAsia" w:hAnsiTheme="minorEastAsia" w:eastAsiaTheme="minorEastAsia"/>
          <w:b/>
          <w:color w:val="auto"/>
          <w:sz w:val="24"/>
          <w:highlight w:val="none"/>
          <w:lang w:val="en-US" w:eastAsia="zh-CN"/>
        </w:rPr>
      </w:pPr>
    </w:p>
    <w:p w14:paraId="327531CD">
      <w:pPr>
        <w:pStyle w:val="8"/>
        <w:spacing w:before="98" w:line="219" w:lineRule="auto"/>
        <w:jc w:val="center"/>
        <w:rPr>
          <w:rFonts w:hint="eastAsia" w:asciiTheme="minorEastAsia" w:hAnsiTheme="minorEastAsia" w:eastAsiaTheme="minorEastAsia"/>
          <w:b/>
          <w:color w:val="auto"/>
          <w:sz w:val="24"/>
          <w:highlight w:val="none"/>
          <w:lang w:val="en-US" w:eastAsia="zh-CN"/>
        </w:rPr>
      </w:pPr>
    </w:p>
    <w:p w14:paraId="79B6DD5F">
      <w:pPr>
        <w:pStyle w:val="8"/>
        <w:spacing w:before="98" w:line="219" w:lineRule="auto"/>
        <w:jc w:val="center"/>
        <w:rPr>
          <w:rFonts w:hint="eastAsia" w:asciiTheme="minorEastAsia" w:hAnsiTheme="minorEastAsia" w:eastAsiaTheme="minorEastAsia"/>
          <w:b/>
          <w:color w:val="auto"/>
          <w:sz w:val="24"/>
          <w:highlight w:val="none"/>
          <w:lang w:val="en-US" w:eastAsia="zh-CN"/>
        </w:rPr>
      </w:pPr>
    </w:p>
    <w:p w14:paraId="368EB6C7">
      <w:pPr>
        <w:pStyle w:val="8"/>
        <w:spacing w:before="98" w:line="219" w:lineRule="auto"/>
        <w:jc w:val="center"/>
        <w:rPr>
          <w:rFonts w:hint="eastAsia" w:asciiTheme="minorEastAsia" w:hAnsiTheme="minorEastAsia" w:eastAsiaTheme="minorEastAsia"/>
          <w:b/>
          <w:color w:val="auto"/>
          <w:sz w:val="24"/>
          <w:highlight w:val="none"/>
          <w:lang w:val="en-US" w:eastAsia="zh-CN"/>
        </w:rPr>
      </w:pPr>
    </w:p>
    <w:p w14:paraId="55140962">
      <w:pPr>
        <w:pStyle w:val="8"/>
        <w:spacing w:before="98" w:line="219" w:lineRule="auto"/>
        <w:jc w:val="center"/>
        <w:rPr>
          <w:rFonts w:hint="eastAsia" w:asciiTheme="minorEastAsia" w:hAnsiTheme="minorEastAsia" w:eastAsiaTheme="minorEastAsia"/>
          <w:b/>
          <w:color w:val="auto"/>
          <w:sz w:val="24"/>
          <w:highlight w:val="none"/>
          <w:lang w:val="en-US" w:eastAsia="zh-CN"/>
        </w:rPr>
      </w:pPr>
    </w:p>
    <w:p w14:paraId="52AB7026">
      <w:pPr>
        <w:pStyle w:val="8"/>
        <w:spacing w:before="98" w:line="219" w:lineRule="auto"/>
        <w:jc w:val="center"/>
        <w:rPr>
          <w:rFonts w:hint="eastAsia" w:asciiTheme="minorEastAsia" w:hAnsiTheme="minorEastAsia" w:eastAsiaTheme="minorEastAsia"/>
          <w:b/>
          <w:color w:val="auto"/>
          <w:sz w:val="24"/>
          <w:highlight w:val="none"/>
          <w:lang w:val="en-US" w:eastAsia="zh-CN"/>
        </w:rPr>
      </w:pPr>
    </w:p>
    <w:p w14:paraId="4AFFEE84">
      <w:pPr>
        <w:pStyle w:val="8"/>
        <w:spacing w:before="98" w:line="219" w:lineRule="auto"/>
        <w:jc w:val="center"/>
        <w:rPr>
          <w:rFonts w:hint="eastAsia" w:asciiTheme="minorEastAsia" w:hAnsiTheme="minorEastAsia" w:eastAsiaTheme="minorEastAsia"/>
          <w:b/>
          <w:color w:val="auto"/>
          <w:sz w:val="24"/>
          <w:highlight w:val="none"/>
          <w:lang w:val="en-US" w:eastAsia="zh-CN"/>
        </w:rPr>
      </w:pPr>
    </w:p>
    <w:p w14:paraId="2C9B24FA">
      <w:pPr>
        <w:pStyle w:val="8"/>
        <w:spacing w:before="98" w:line="219" w:lineRule="auto"/>
        <w:jc w:val="center"/>
        <w:rPr>
          <w:color w:val="auto"/>
          <w:highlight w:val="none"/>
        </w:rPr>
      </w:pPr>
      <w:r>
        <w:rPr>
          <w:rFonts w:hint="eastAsia" w:asciiTheme="minorEastAsia" w:hAnsiTheme="minorEastAsia" w:eastAsiaTheme="minorEastAsia"/>
          <w:b/>
          <w:bCs w:val="0"/>
          <w:color w:val="auto"/>
          <w:sz w:val="24"/>
          <w:highlight w:val="none"/>
          <w:lang w:val="en-US" w:eastAsia="zh-CN"/>
        </w:rPr>
        <w:t>十一、</w:t>
      </w:r>
      <w:r>
        <w:rPr>
          <w:rFonts w:hint="eastAsia" w:ascii="宋体" w:hAnsi="宋体" w:eastAsia="宋体" w:cs="宋体"/>
          <w:b/>
          <w:bCs w:val="0"/>
          <w:color w:val="auto"/>
          <w:kern w:val="2"/>
          <w:sz w:val="24"/>
          <w:szCs w:val="24"/>
          <w:highlight w:val="none"/>
          <w:lang w:val="en-US" w:eastAsia="zh-CN" w:bidi="ar-SA"/>
        </w:rPr>
        <w:t>承诺函</w:t>
      </w:r>
    </w:p>
    <w:p w14:paraId="71DEFB84">
      <w:pPr>
        <w:keepNext w:val="0"/>
        <w:keepLines w:val="0"/>
        <w:pageBreakBefore w:val="0"/>
        <w:kinsoku/>
        <w:wordWrap/>
        <w:overflowPunct/>
        <w:topLinePunct w:val="0"/>
        <w:autoSpaceDE/>
        <w:autoSpaceDN/>
        <w:bidi w:val="0"/>
        <w:adjustRightInd/>
        <w:snapToGrid/>
        <w:spacing w:before="156" w:beforeLines="50" w:after="156" w:afterLines="50" w:line="600" w:lineRule="exac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w:t>
      </w:r>
    </w:p>
    <w:p w14:paraId="0FEC86E2">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现承诺在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项目名称</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包</w:t>
      </w:r>
      <w:r>
        <w:rPr>
          <w:rFonts w:hint="eastAsia" w:ascii="宋体" w:hAnsi="宋体" w:eastAsia="宋体" w:cs="宋体"/>
          <w:color w:val="auto"/>
          <w:sz w:val="24"/>
          <w:szCs w:val="24"/>
          <w:highlight w:val="none"/>
        </w:rPr>
        <w:t>中拟派的</w:t>
      </w:r>
      <w:r>
        <w:rPr>
          <w:rFonts w:hint="eastAsia" w:ascii="宋体" w:hAnsi="宋体" w:eastAsia="宋体" w:cs="宋体"/>
          <w:b/>
          <w:bCs/>
          <w:color w:val="auto"/>
          <w:sz w:val="24"/>
          <w:szCs w:val="24"/>
          <w:highlight w:val="none"/>
        </w:rPr>
        <w:t>总监理工程师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（姓名） 在本项目所在市行政区域内有</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个在建工程，本项目所在市行政区域外无在建</w:t>
      </w:r>
      <w:r>
        <w:rPr>
          <w:rFonts w:hint="eastAsia" w:ascii="宋体" w:hAnsi="宋体" w:eastAsia="宋体" w:cs="宋体"/>
          <w:b/>
          <w:color w:val="auto"/>
          <w:sz w:val="24"/>
          <w:szCs w:val="24"/>
          <w:highlight w:val="none"/>
        </w:rPr>
        <w:t>。</w:t>
      </w:r>
    </w:p>
    <w:p w14:paraId="42725847">
      <w:pPr>
        <w:keepNext w:val="0"/>
        <w:keepLines w:val="0"/>
        <w:pageBreakBefore w:val="0"/>
        <w:kinsoku/>
        <w:wordWrap/>
        <w:overflowPunct/>
        <w:topLinePunct w:val="0"/>
        <w:autoSpaceDE/>
        <w:autoSpaceDN/>
        <w:bidi w:val="0"/>
        <w:adjustRightInd/>
        <w:snapToGrid/>
        <w:spacing w:line="600" w:lineRule="exact"/>
        <w:ind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特此承诺。</w:t>
      </w:r>
    </w:p>
    <w:p w14:paraId="4B46690F">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供应商（签章）：</w:t>
      </w:r>
    </w:p>
    <w:p w14:paraId="4D6459FA">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法定代表人（签章）：</w:t>
      </w:r>
    </w:p>
    <w:p w14:paraId="501EC33D">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lang w:val="en-US" w:eastAsia="zh-CN"/>
        </w:rPr>
        <w:t>日期：  年  月   日</w:t>
      </w:r>
    </w:p>
    <w:p w14:paraId="656C40EF">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lang w:val="en-US" w:eastAsia="zh-CN"/>
        </w:rPr>
        <w:t>注：如有在建项目，需提供建设单位书面同意参与本项目总监投标履约</w:t>
      </w:r>
      <w:r>
        <w:rPr>
          <w:rFonts w:hint="eastAsia" w:ascii="宋体" w:hAnsi="宋体" w:eastAsia="宋体" w:cs="宋体"/>
          <w:color w:val="auto"/>
          <w:sz w:val="24"/>
          <w:szCs w:val="24"/>
          <w:highlight w:val="none"/>
        </w:rPr>
        <w:t>。</w:t>
      </w:r>
    </w:p>
    <w:p w14:paraId="0777DCD6">
      <w:pPr>
        <w:pStyle w:val="24"/>
        <w:rPr>
          <w:rFonts w:hint="eastAsia"/>
          <w:color w:val="auto"/>
          <w:highlight w:val="none"/>
          <w:lang w:val="en-US" w:eastAsia="zh-CN"/>
        </w:rPr>
      </w:pPr>
    </w:p>
    <w:p w14:paraId="730075D6">
      <w:pPr>
        <w:pStyle w:val="8"/>
        <w:spacing w:before="98" w:line="219" w:lineRule="auto"/>
        <w:jc w:val="center"/>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十二、拟组建的监理部人员情况一览表</w:t>
      </w:r>
    </w:p>
    <w:p w14:paraId="23B6A78B">
      <w:pPr>
        <w:rPr>
          <w:rFonts w:hint="eastAsia" w:ascii="宋体" w:hAnsi="宋体" w:eastAsia="宋体" w:cs="宋体"/>
          <w:color w:val="auto"/>
          <w:sz w:val="24"/>
          <w:highlight w:val="none"/>
        </w:rPr>
      </w:pPr>
    </w:p>
    <w:tbl>
      <w:tblPr>
        <w:tblStyle w:val="25"/>
        <w:tblW w:w="9420" w:type="dxa"/>
        <w:tblInd w:w="-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828"/>
        <w:gridCol w:w="901"/>
        <w:gridCol w:w="852"/>
        <w:gridCol w:w="729"/>
        <w:gridCol w:w="1284"/>
        <w:gridCol w:w="1309"/>
        <w:gridCol w:w="1186"/>
        <w:gridCol w:w="1275"/>
      </w:tblGrid>
      <w:tr w14:paraId="218B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056" w:type="dxa"/>
            <w:noWrap w:val="0"/>
            <w:vAlign w:val="center"/>
          </w:tcPr>
          <w:p w14:paraId="1C9BF79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828" w:type="dxa"/>
            <w:noWrap w:val="0"/>
            <w:vAlign w:val="center"/>
          </w:tcPr>
          <w:p w14:paraId="08A26B4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901" w:type="dxa"/>
            <w:noWrap w:val="0"/>
            <w:vAlign w:val="center"/>
          </w:tcPr>
          <w:p w14:paraId="3BE0226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852" w:type="dxa"/>
            <w:noWrap w:val="0"/>
            <w:vAlign w:val="center"/>
          </w:tcPr>
          <w:p w14:paraId="3EC8801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729" w:type="dxa"/>
            <w:noWrap w:val="0"/>
            <w:vAlign w:val="center"/>
          </w:tcPr>
          <w:p w14:paraId="223AEC13">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专业</w:t>
            </w:r>
          </w:p>
        </w:tc>
        <w:tc>
          <w:tcPr>
            <w:tcW w:w="1284" w:type="dxa"/>
            <w:noWrap w:val="0"/>
            <w:vAlign w:val="center"/>
          </w:tcPr>
          <w:p w14:paraId="406C63B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拟任职务</w:t>
            </w:r>
          </w:p>
        </w:tc>
        <w:tc>
          <w:tcPr>
            <w:tcW w:w="1309" w:type="dxa"/>
            <w:noWrap w:val="0"/>
            <w:vAlign w:val="center"/>
          </w:tcPr>
          <w:p w14:paraId="5B41351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持证名称</w:t>
            </w:r>
          </w:p>
        </w:tc>
        <w:tc>
          <w:tcPr>
            <w:tcW w:w="1186" w:type="dxa"/>
            <w:noWrap w:val="0"/>
            <w:vAlign w:val="center"/>
          </w:tcPr>
          <w:p w14:paraId="75D93DB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持证证号</w:t>
            </w:r>
          </w:p>
        </w:tc>
        <w:tc>
          <w:tcPr>
            <w:tcW w:w="1275" w:type="dxa"/>
            <w:noWrap w:val="0"/>
            <w:vAlign w:val="center"/>
          </w:tcPr>
          <w:p w14:paraId="608576BC">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联系方式</w:t>
            </w:r>
          </w:p>
        </w:tc>
      </w:tr>
      <w:tr w14:paraId="7DE8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056" w:type="dxa"/>
            <w:noWrap w:val="0"/>
            <w:vAlign w:val="center"/>
          </w:tcPr>
          <w:p w14:paraId="61EBEDB2">
            <w:pPr>
              <w:jc w:val="center"/>
              <w:rPr>
                <w:rFonts w:hint="eastAsia" w:ascii="宋体" w:hAnsi="宋体" w:eastAsia="宋体" w:cs="宋体"/>
                <w:color w:val="auto"/>
                <w:sz w:val="24"/>
                <w:highlight w:val="none"/>
              </w:rPr>
            </w:pPr>
          </w:p>
        </w:tc>
        <w:tc>
          <w:tcPr>
            <w:tcW w:w="828" w:type="dxa"/>
            <w:noWrap w:val="0"/>
            <w:vAlign w:val="center"/>
          </w:tcPr>
          <w:p w14:paraId="20CF84C2">
            <w:pPr>
              <w:jc w:val="center"/>
              <w:rPr>
                <w:rFonts w:hint="eastAsia" w:ascii="宋体" w:hAnsi="宋体" w:eastAsia="宋体" w:cs="宋体"/>
                <w:color w:val="auto"/>
                <w:sz w:val="24"/>
                <w:highlight w:val="none"/>
              </w:rPr>
            </w:pPr>
          </w:p>
        </w:tc>
        <w:tc>
          <w:tcPr>
            <w:tcW w:w="901" w:type="dxa"/>
            <w:noWrap w:val="0"/>
            <w:vAlign w:val="center"/>
          </w:tcPr>
          <w:p w14:paraId="56E655C9">
            <w:pPr>
              <w:jc w:val="center"/>
              <w:rPr>
                <w:rFonts w:hint="eastAsia" w:ascii="宋体" w:hAnsi="宋体" w:eastAsia="宋体" w:cs="宋体"/>
                <w:color w:val="auto"/>
                <w:sz w:val="24"/>
                <w:highlight w:val="none"/>
              </w:rPr>
            </w:pPr>
          </w:p>
        </w:tc>
        <w:tc>
          <w:tcPr>
            <w:tcW w:w="852" w:type="dxa"/>
            <w:noWrap w:val="0"/>
            <w:vAlign w:val="center"/>
          </w:tcPr>
          <w:p w14:paraId="3E8CBE95">
            <w:pPr>
              <w:jc w:val="center"/>
              <w:rPr>
                <w:rFonts w:hint="eastAsia" w:ascii="宋体" w:hAnsi="宋体" w:eastAsia="宋体" w:cs="宋体"/>
                <w:color w:val="auto"/>
                <w:sz w:val="24"/>
                <w:highlight w:val="none"/>
              </w:rPr>
            </w:pPr>
          </w:p>
        </w:tc>
        <w:tc>
          <w:tcPr>
            <w:tcW w:w="729" w:type="dxa"/>
            <w:noWrap w:val="0"/>
            <w:vAlign w:val="center"/>
          </w:tcPr>
          <w:p w14:paraId="4E0E69EA">
            <w:pPr>
              <w:jc w:val="center"/>
              <w:rPr>
                <w:rFonts w:hint="eastAsia" w:ascii="宋体" w:hAnsi="宋体" w:eastAsia="宋体" w:cs="宋体"/>
                <w:color w:val="auto"/>
                <w:sz w:val="24"/>
                <w:highlight w:val="none"/>
              </w:rPr>
            </w:pPr>
          </w:p>
        </w:tc>
        <w:tc>
          <w:tcPr>
            <w:tcW w:w="1284" w:type="dxa"/>
            <w:noWrap w:val="0"/>
            <w:vAlign w:val="center"/>
          </w:tcPr>
          <w:p w14:paraId="6064C8CD">
            <w:pPr>
              <w:jc w:val="center"/>
              <w:rPr>
                <w:rFonts w:hint="eastAsia" w:ascii="宋体" w:hAnsi="宋体" w:eastAsia="宋体" w:cs="宋体"/>
                <w:color w:val="auto"/>
                <w:sz w:val="24"/>
                <w:highlight w:val="none"/>
              </w:rPr>
            </w:pPr>
          </w:p>
        </w:tc>
        <w:tc>
          <w:tcPr>
            <w:tcW w:w="1309" w:type="dxa"/>
            <w:noWrap w:val="0"/>
            <w:vAlign w:val="center"/>
          </w:tcPr>
          <w:p w14:paraId="22D9103B">
            <w:pPr>
              <w:jc w:val="center"/>
              <w:rPr>
                <w:rFonts w:hint="eastAsia" w:ascii="宋体" w:hAnsi="宋体" w:eastAsia="宋体" w:cs="宋体"/>
                <w:color w:val="auto"/>
                <w:sz w:val="24"/>
                <w:highlight w:val="none"/>
              </w:rPr>
            </w:pPr>
          </w:p>
        </w:tc>
        <w:tc>
          <w:tcPr>
            <w:tcW w:w="1186" w:type="dxa"/>
            <w:noWrap w:val="0"/>
            <w:vAlign w:val="center"/>
          </w:tcPr>
          <w:p w14:paraId="1593A142">
            <w:pPr>
              <w:jc w:val="center"/>
              <w:rPr>
                <w:rFonts w:hint="eastAsia" w:ascii="宋体" w:hAnsi="宋体" w:eastAsia="宋体" w:cs="宋体"/>
                <w:color w:val="auto"/>
                <w:sz w:val="24"/>
                <w:highlight w:val="none"/>
              </w:rPr>
            </w:pPr>
          </w:p>
        </w:tc>
        <w:tc>
          <w:tcPr>
            <w:tcW w:w="1275" w:type="dxa"/>
            <w:noWrap w:val="0"/>
            <w:vAlign w:val="center"/>
          </w:tcPr>
          <w:p w14:paraId="25123912">
            <w:pPr>
              <w:jc w:val="center"/>
              <w:rPr>
                <w:rFonts w:hint="eastAsia" w:ascii="宋体" w:hAnsi="宋体" w:eastAsia="宋体" w:cs="宋体"/>
                <w:color w:val="auto"/>
                <w:sz w:val="24"/>
                <w:highlight w:val="none"/>
              </w:rPr>
            </w:pPr>
          </w:p>
        </w:tc>
      </w:tr>
      <w:tr w14:paraId="3321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056" w:type="dxa"/>
            <w:noWrap w:val="0"/>
            <w:vAlign w:val="center"/>
          </w:tcPr>
          <w:p w14:paraId="41166742">
            <w:pPr>
              <w:jc w:val="center"/>
              <w:rPr>
                <w:rFonts w:hint="eastAsia" w:ascii="宋体" w:hAnsi="宋体" w:eastAsia="宋体" w:cs="宋体"/>
                <w:color w:val="auto"/>
                <w:sz w:val="24"/>
                <w:highlight w:val="none"/>
              </w:rPr>
            </w:pPr>
          </w:p>
        </w:tc>
        <w:tc>
          <w:tcPr>
            <w:tcW w:w="828" w:type="dxa"/>
            <w:noWrap w:val="0"/>
            <w:vAlign w:val="center"/>
          </w:tcPr>
          <w:p w14:paraId="27C38CCF">
            <w:pPr>
              <w:jc w:val="center"/>
              <w:rPr>
                <w:rFonts w:hint="eastAsia" w:ascii="宋体" w:hAnsi="宋体" w:eastAsia="宋体" w:cs="宋体"/>
                <w:color w:val="auto"/>
                <w:sz w:val="24"/>
                <w:highlight w:val="none"/>
              </w:rPr>
            </w:pPr>
          </w:p>
        </w:tc>
        <w:tc>
          <w:tcPr>
            <w:tcW w:w="901" w:type="dxa"/>
            <w:noWrap w:val="0"/>
            <w:vAlign w:val="center"/>
          </w:tcPr>
          <w:p w14:paraId="33B08FD2">
            <w:pPr>
              <w:jc w:val="center"/>
              <w:rPr>
                <w:rFonts w:hint="eastAsia" w:ascii="宋体" w:hAnsi="宋体" w:eastAsia="宋体" w:cs="宋体"/>
                <w:color w:val="auto"/>
                <w:sz w:val="24"/>
                <w:highlight w:val="none"/>
              </w:rPr>
            </w:pPr>
          </w:p>
        </w:tc>
        <w:tc>
          <w:tcPr>
            <w:tcW w:w="852" w:type="dxa"/>
            <w:noWrap w:val="0"/>
            <w:vAlign w:val="center"/>
          </w:tcPr>
          <w:p w14:paraId="61EFE041">
            <w:pPr>
              <w:jc w:val="center"/>
              <w:rPr>
                <w:rFonts w:hint="eastAsia" w:ascii="宋体" w:hAnsi="宋体" w:eastAsia="宋体" w:cs="宋体"/>
                <w:color w:val="auto"/>
                <w:sz w:val="24"/>
                <w:highlight w:val="none"/>
              </w:rPr>
            </w:pPr>
          </w:p>
        </w:tc>
        <w:tc>
          <w:tcPr>
            <w:tcW w:w="729" w:type="dxa"/>
            <w:noWrap w:val="0"/>
            <w:vAlign w:val="center"/>
          </w:tcPr>
          <w:p w14:paraId="740BE910">
            <w:pPr>
              <w:jc w:val="center"/>
              <w:rPr>
                <w:rFonts w:hint="eastAsia" w:ascii="宋体" w:hAnsi="宋体" w:eastAsia="宋体" w:cs="宋体"/>
                <w:color w:val="auto"/>
                <w:sz w:val="24"/>
                <w:highlight w:val="none"/>
              </w:rPr>
            </w:pPr>
          </w:p>
        </w:tc>
        <w:tc>
          <w:tcPr>
            <w:tcW w:w="1284" w:type="dxa"/>
            <w:noWrap w:val="0"/>
            <w:vAlign w:val="center"/>
          </w:tcPr>
          <w:p w14:paraId="2C781D68">
            <w:pPr>
              <w:jc w:val="center"/>
              <w:rPr>
                <w:rFonts w:hint="eastAsia" w:ascii="宋体" w:hAnsi="宋体" w:eastAsia="宋体" w:cs="宋体"/>
                <w:color w:val="auto"/>
                <w:sz w:val="24"/>
                <w:highlight w:val="none"/>
              </w:rPr>
            </w:pPr>
          </w:p>
        </w:tc>
        <w:tc>
          <w:tcPr>
            <w:tcW w:w="1309" w:type="dxa"/>
            <w:noWrap w:val="0"/>
            <w:vAlign w:val="center"/>
          </w:tcPr>
          <w:p w14:paraId="12DEE076">
            <w:pPr>
              <w:jc w:val="center"/>
              <w:rPr>
                <w:rFonts w:hint="eastAsia" w:ascii="宋体" w:hAnsi="宋体" w:eastAsia="宋体" w:cs="宋体"/>
                <w:color w:val="auto"/>
                <w:sz w:val="24"/>
                <w:highlight w:val="none"/>
              </w:rPr>
            </w:pPr>
          </w:p>
        </w:tc>
        <w:tc>
          <w:tcPr>
            <w:tcW w:w="1186" w:type="dxa"/>
            <w:noWrap w:val="0"/>
            <w:vAlign w:val="center"/>
          </w:tcPr>
          <w:p w14:paraId="7F2FB947">
            <w:pPr>
              <w:jc w:val="center"/>
              <w:rPr>
                <w:rFonts w:hint="eastAsia" w:ascii="宋体" w:hAnsi="宋体" w:eastAsia="宋体" w:cs="宋体"/>
                <w:color w:val="auto"/>
                <w:sz w:val="24"/>
                <w:highlight w:val="none"/>
              </w:rPr>
            </w:pPr>
          </w:p>
        </w:tc>
        <w:tc>
          <w:tcPr>
            <w:tcW w:w="1275" w:type="dxa"/>
            <w:noWrap w:val="0"/>
            <w:vAlign w:val="center"/>
          </w:tcPr>
          <w:p w14:paraId="5297F71F">
            <w:pPr>
              <w:jc w:val="center"/>
              <w:rPr>
                <w:rFonts w:hint="eastAsia" w:ascii="宋体" w:hAnsi="宋体" w:eastAsia="宋体" w:cs="宋体"/>
                <w:color w:val="auto"/>
                <w:sz w:val="24"/>
                <w:highlight w:val="none"/>
              </w:rPr>
            </w:pPr>
          </w:p>
        </w:tc>
      </w:tr>
      <w:tr w14:paraId="7E30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056" w:type="dxa"/>
            <w:noWrap w:val="0"/>
            <w:vAlign w:val="center"/>
          </w:tcPr>
          <w:p w14:paraId="2953B505">
            <w:pPr>
              <w:jc w:val="center"/>
              <w:rPr>
                <w:rFonts w:hint="eastAsia" w:ascii="宋体" w:hAnsi="宋体" w:eastAsia="宋体" w:cs="宋体"/>
                <w:color w:val="auto"/>
                <w:sz w:val="24"/>
                <w:highlight w:val="none"/>
              </w:rPr>
            </w:pPr>
          </w:p>
        </w:tc>
        <w:tc>
          <w:tcPr>
            <w:tcW w:w="828" w:type="dxa"/>
            <w:noWrap w:val="0"/>
            <w:vAlign w:val="center"/>
          </w:tcPr>
          <w:p w14:paraId="75DC33B0">
            <w:pPr>
              <w:jc w:val="center"/>
              <w:rPr>
                <w:rFonts w:hint="eastAsia" w:ascii="宋体" w:hAnsi="宋体" w:eastAsia="宋体" w:cs="宋体"/>
                <w:color w:val="auto"/>
                <w:sz w:val="24"/>
                <w:highlight w:val="none"/>
              </w:rPr>
            </w:pPr>
          </w:p>
        </w:tc>
        <w:tc>
          <w:tcPr>
            <w:tcW w:w="901" w:type="dxa"/>
            <w:noWrap w:val="0"/>
            <w:vAlign w:val="center"/>
          </w:tcPr>
          <w:p w14:paraId="4C403777">
            <w:pPr>
              <w:jc w:val="center"/>
              <w:rPr>
                <w:rFonts w:hint="eastAsia" w:ascii="宋体" w:hAnsi="宋体" w:eastAsia="宋体" w:cs="宋体"/>
                <w:color w:val="auto"/>
                <w:sz w:val="24"/>
                <w:highlight w:val="none"/>
              </w:rPr>
            </w:pPr>
          </w:p>
        </w:tc>
        <w:tc>
          <w:tcPr>
            <w:tcW w:w="852" w:type="dxa"/>
            <w:noWrap w:val="0"/>
            <w:vAlign w:val="center"/>
          </w:tcPr>
          <w:p w14:paraId="58983E19">
            <w:pPr>
              <w:jc w:val="center"/>
              <w:rPr>
                <w:rFonts w:hint="eastAsia" w:ascii="宋体" w:hAnsi="宋体" w:eastAsia="宋体" w:cs="宋体"/>
                <w:color w:val="auto"/>
                <w:sz w:val="24"/>
                <w:highlight w:val="none"/>
              </w:rPr>
            </w:pPr>
          </w:p>
        </w:tc>
        <w:tc>
          <w:tcPr>
            <w:tcW w:w="729" w:type="dxa"/>
            <w:noWrap w:val="0"/>
            <w:vAlign w:val="center"/>
          </w:tcPr>
          <w:p w14:paraId="36E9B6BD">
            <w:pPr>
              <w:jc w:val="center"/>
              <w:rPr>
                <w:rFonts w:hint="eastAsia" w:ascii="宋体" w:hAnsi="宋体" w:eastAsia="宋体" w:cs="宋体"/>
                <w:color w:val="auto"/>
                <w:sz w:val="24"/>
                <w:highlight w:val="none"/>
              </w:rPr>
            </w:pPr>
          </w:p>
        </w:tc>
        <w:tc>
          <w:tcPr>
            <w:tcW w:w="1284" w:type="dxa"/>
            <w:noWrap w:val="0"/>
            <w:vAlign w:val="center"/>
          </w:tcPr>
          <w:p w14:paraId="3A59CE3D">
            <w:pPr>
              <w:jc w:val="center"/>
              <w:rPr>
                <w:rFonts w:hint="eastAsia" w:ascii="宋体" w:hAnsi="宋体" w:eastAsia="宋体" w:cs="宋体"/>
                <w:color w:val="auto"/>
                <w:sz w:val="24"/>
                <w:highlight w:val="none"/>
              </w:rPr>
            </w:pPr>
          </w:p>
        </w:tc>
        <w:tc>
          <w:tcPr>
            <w:tcW w:w="1309" w:type="dxa"/>
            <w:noWrap w:val="0"/>
            <w:vAlign w:val="center"/>
          </w:tcPr>
          <w:p w14:paraId="0DC1B812">
            <w:pPr>
              <w:jc w:val="center"/>
              <w:rPr>
                <w:rFonts w:hint="eastAsia" w:ascii="宋体" w:hAnsi="宋体" w:eastAsia="宋体" w:cs="宋体"/>
                <w:color w:val="auto"/>
                <w:sz w:val="24"/>
                <w:highlight w:val="none"/>
              </w:rPr>
            </w:pPr>
          </w:p>
        </w:tc>
        <w:tc>
          <w:tcPr>
            <w:tcW w:w="1186" w:type="dxa"/>
            <w:noWrap w:val="0"/>
            <w:vAlign w:val="center"/>
          </w:tcPr>
          <w:p w14:paraId="71A73105">
            <w:pPr>
              <w:jc w:val="center"/>
              <w:rPr>
                <w:rFonts w:hint="eastAsia" w:ascii="宋体" w:hAnsi="宋体" w:eastAsia="宋体" w:cs="宋体"/>
                <w:color w:val="auto"/>
                <w:sz w:val="24"/>
                <w:highlight w:val="none"/>
              </w:rPr>
            </w:pPr>
          </w:p>
        </w:tc>
        <w:tc>
          <w:tcPr>
            <w:tcW w:w="1275" w:type="dxa"/>
            <w:noWrap w:val="0"/>
            <w:vAlign w:val="center"/>
          </w:tcPr>
          <w:p w14:paraId="568AFB2E">
            <w:pPr>
              <w:jc w:val="center"/>
              <w:rPr>
                <w:rFonts w:hint="eastAsia" w:ascii="宋体" w:hAnsi="宋体" w:eastAsia="宋体" w:cs="宋体"/>
                <w:color w:val="auto"/>
                <w:sz w:val="24"/>
                <w:highlight w:val="none"/>
              </w:rPr>
            </w:pPr>
          </w:p>
        </w:tc>
      </w:tr>
      <w:tr w14:paraId="64AE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056" w:type="dxa"/>
            <w:noWrap w:val="0"/>
            <w:vAlign w:val="center"/>
          </w:tcPr>
          <w:p w14:paraId="0FEB8BCB">
            <w:pPr>
              <w:jc w:val="center"/>
              <w:rPr>
                <w:rFonts w:hint="eastAsia" w:ascii="宋体" w:hAnsi="宋体" w:eastAsia="宋体" w:cs="宋体"/>
                <w:color w:val="auto"/>
                <w:sz w:val="24"/>
                <w:highlight w:val="none"/>
              </w:rPr>
            </w:pPr>
          </w:p>
        </w:tc>
        <w:tc>
          <w:tcPr>
            <w:tcW w:w="828" w:type="dxa"/>
            <w:noWrap w:val="0"/>
            <w:vAlign w:val="center"/>
          </w:tcPr>
          <w:p w14:paraId="4E831D6F">
            <w:pPr>
              <w:jc w:val="center"/>
              <w:rPr>
                <w:rFonts w:hint="eastAsia" w:ascii="宋体" w:hAnsi="宋体" w:eastAsia="宋体" w:cs="宋体"/>
                <w:color w:val="auto"/>
                <w:sz w:val="24"/>
                <w:highlight w:val="none"/>
              </w:rPr>
            </w:pPr>
          </w:p>
        </w:tc>
        <w:tc>
          <w:tcPr>
            <w:tcW w:w="901" w:type="dxa"/>
            <w:noWrap w:val="0"/>
            <w:vAlign w:val="center"/>
          </w:tcPr>
          <w:p w14:paraId="68CFA1DD">
            <w:pPr>
              <w:jc w:val="center"/>
              <w:rPr>
                <w:rFonts w:hint="eastAsia" w:ascii="宋体" w:hAnsi="宋体" w:eastAsia="宋体" w:cs="宋体"/>
                <w:color w:val="auto"/>
                <w:sz w:val="24"/>
                <w:highlight w:val="none"/>
              </w:rPr>
            </w:pPr>
          </w:p>
        </w:tc>
        <w:tc>
          <w:tcPr>
            <w:tcW w:w="852" w:type="dxa"/>
            <w:noWrap w:val="0"/>
            <w:vAlign w:val="center"/>
          </w:tcPr>
          <w:p w14:paraId="692BCC2E">
            <w:pPr>
              <w:jc w:val="center"/>
              <w:rPr>
                <w:rFonts w:hint="eastAsia" w:ascii="宋体" w:hAnsi="宋体" w:eastAsia="宋体" w:cs="宋体"/>
                <w:color w:val="auto"/>
                <w:sz w:val="24"/>
                <w:highlight w:val="none"/>
              </w:rPr>
            </w:pPr>
          </w:p>
        </w:tc>
        <w:tc>
          <w:tcPr>
            <w:tcW w:w="729" w:type="dxa"/>
            <w:noWrap w:val="0"/>
            <w:vAlign w:val="center"/>
          </w:tcPr>
          <w:p w14:paraId="5B21DCFE">
            <w:pPr>
              <w:jc w:val="center"/>
              <w:rPr>
                <w:rFonts w:hint="eastAsia" w:ascii="宋体" w:hAnsi="宋体" w:eastAsia="宋体" w:cs="宋体"/>
                <w:color w:val="auto"/>
                <w:sz w:val="24"/>
                <w:highlight w:val="none"/>
              </w:rPr>
            </w:pPr>
          </w:p>
        </w:tc>
        <w:tc>
          <w:tcPr>
            <w:tcW w:w="1284" w:type="dxa"/>
            <w:noWrap w:val="0"/>
            <w:vAlign w:val="center"/>
          </w:tcPr>
          <w:p w14:paraId="2E9B9949">
            <w:pPr>
              <w:jc w:val="center"/>
              <w:rPr>
                <w:rFonts w:hint="eastAsia" w:ascii="宋体" w:hAnsi="宋体" w:eastAsia="宋体" w:cs="宋体"/>
                <w:color w:val="auto"/>
                <w:sz w:val="24"/>
                <w:highlight w:val="none"/>
              </w:rPr>
            </w:pPr>
          </w:p>
        </w:tc>
        <w:tc>
          <w:tcPr>
            <w:tcW w:w="1309" w:type="dxa"/>
            <w:noWrap w:val="0"/>
            <w:vAlign w:val="center"/>
          </w:tcPr>
          <w:p w14:paraId="76129ABD">
            <w:pPr>
              <w:jc w:val="center"/>
              <w:rPr>
                <w:rFonts w:hint="eastAsia" w:ascii="宋体" w:hAnsi="宋体" w:eastAsia="宋体" w:cs="宋体"/>
                <w:color w:val="auto"/>
                <w:sz w:val="24"/>
                <w:highlight w:val="none"/>
              </w:rPr>
            </w:pPr>
          </w:p>
        </w:tc>
        <w:tc>
          <w:tcPr>
            <w:tcW w:w="1186" w:type="dxa"/>
            <w:noWrap w:val="0"/>
            <w:vAlign w:val="center"/>
          </w:tcPr>
          <w:p w14:paraId="2C858B8D">
            <w:pPr>
              <w:jc w:val="center"/>
              <w:rPr>
                <w:rFonts w:hint="eastAsia" w:ascii="宋体" w:hAnsi="宋体" w:eastAsia="宋体" w:cs="宋体"/>
                <w:color w:val="auto"/>
                <w:sz w:val="24"/>
                <w:highlight w:val="none"/>
              </w:rPr>
            </w:pPr>
          </w:p>
        </w:tc>
        <w:tc>
          <w:tcPr>
            <w:tcW w:w="1275" w:type="dxa"/>
            <w:noWrap w:val="0"/>
            <w:vAlign w:val="center"/>
          </w:tcPr>
          <w:p w14:paraId="50750F6C">
            <w:pPr>
              <w:jc w:val="center"/>
              <w:rPr>
                <w:rFonts w:hint="eastAsia" w:ascii="宋体" w:hAnsi="宋体" w:eastAsia="宋体" w:cs="宋体"/>
                <w:color w:val="auto"/>
                <w:sz w:val="24"/>
                <w:highlight w:val="none"/>
              </w:rPr>
            </w:pPr>
          </w:p>
        </w:tc>
      </w:tr>
      <w:tr w14:paraId="43E5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056" w:type="dxa"/>
            <w:noWrap w:val="0"/>
            <w:vAlign w:val="center"/>
          </w:tcPr>
          <w:p w14:paraId="54A91E7A">
            <w:pPr>
              <w:jc w:val="center"/>
              <w:rPr>
                <w:rFonts w:hint="eastAsia" w:ascii="宋体" w:hAnsi="宋体" w:eastAsia="宋体" w:cs="宋体"/>
                <w:color w:val="auto"/>
                <w:sz w:val="24"/>
                <w:highlight w:val="none"/>
              </w:rPr>
            </w:pPr>
          </w:p>
        </w:tc>
        <w:tc>
          <w:tcPr>
            <w:tcW w:w="828" w:type="dxa"/>
            <w:noWrap w:val="0"/>
            <w:vAlign w:val="center"/>
          </w:tcPr>
          <w:p w14:paraId="07E45301">
            <w:pPr>
              <w:jc w:val="center"/>
              <w:rPr>
                <w:rFonts w:hint="eastAsia" w:ascii="宋体" w:hAnsi="宋体" w:eastAsia="宋体" w:cs="宋体"/>
                <w:color w:val="auto"/>
                <w:sz w:val="24"/>
                <w:highlight w:val="none"/>
              </w:rPr>
            </w:pPr>
          </w:p>
        </w:tc>
        <w:tc>
          <w:tcPr>
            <w:tcW w:w="901" w:type="dxa"/>
            <w:noWrap w:val="0"/>
            <w:vAlign w:val="center"/>
          </w:tcPr>
          <w:p w14:paraId="0F599084">
            <w:pPr>
              <w:jc w:val="center"/>
              <w:rPr>
                <w:rFonts w:hint="eastAsia" w:ascii="宋体" w:hAnsi="宋体" w:eastAsia="宋体" w:cs="宋体"/>
                <w:color w:val="auto"/>
                <w:sz w:val="24"/>
                <w:highlight w:val="none"/>
              </w:rPr>
            </w:pPr>
          </w:p>
        </w:tc>
        <w:tc>
          <w:tcPr>
            <w:tcW w:w="852" w:type="dxa"/>
            <w:noWrap w:val="0"/>
            <w:vAlign w:val="center"/>
          </w:tcPr>
          <w:p w14:paraId="633DD06C">
            <w:pPr>
              <w:jc w:val="center"/>
              <w:rPr>
                <w:rFonts w:hint="eastAsia" w:ascii="宋体" w:hAnsi="宋体" w:eastAsia="宋体" w:cs="宋体"/>
                <w:color w:val="auto"/>
                <w:sz w:val="24"/>
                <w:highlight w:val="none"/>
              </w:rPr>
            </w:pPr>
          </w:p>
        </w:tc>
        <w:tc>
          <w:tcPr>
            <w:tcW w:w="729" w:type="dxa"/>
            <w:noWrap w:val="0"/>
            <w:vAlign w:val="center"/>
          </w:tcPr>
          <w:p w14:paraId="10DB6E50">
            <w:pPr>
              <w:jc w:val="center"/>
              <w:rPr>
                <w:rFonts w:hint="eastAsia" w:ascii="宋体" w:hAnsi="宋体" w:eastAsia="宋体" w:cs="宋体"/>
                <w:color w:val="auto"/>
                <w:sz w:val="24"/>
                <w:highlight w:val="none"/>
              </w:rPr>
            </w:pPr>
          </w:p>
        </w:tc>
        <w:tc>
          <w:tcPr>
            <w:tcW w:w="1284" w:type="dxa"/>
            <w:noWrap w:val="0"/>
            <w:vAlign w:val="center"/>
          </w:tcPr>
          <w:p w14:paraId="13B9EDB4">
            <w:pPr>
              <w:jc w:val="center"/>
              <w:rPr>
                <w:rFonts w:hint="eastAsia" w:ascii="宋体" w:hAnsi="宋体" w:eastAsia="宋体" w:cs="宋体"/>
                <w:color w:val="auto"/>
                <w:sz w:val="24"/>
                <w:highlight w:val="none"/>
              </w:rPr>
            </w:pPr>
          </w:p>
        </w:tc>
        <w:tc>
          <w:tcPr>
            <w:tcW w:w="1309" w:type="dxa"/>
            <w:noWrap w:val="0"/>
            <w:vAlign w:val="center"/>
          </w:tcPr>
          <w:p w14:paraId="20CA4D8B">
            <w:pPr>
              <w:jc w:val="center"/>
              <w:rPr>
                <w:rFonts w:hint="eastAsia" w:ascii="宋体" w:hAnsi="宋体" w:eastAsia="宋体" w:cs="宋体"/>
                <w:color w:val="auto"/>
                <w:sz w:val="24"/>
                <w:highlight w:val="none"/>
              </w:rPr>
            </w:pPr>
          </w:p>
        </w:tc>
        <w:tc>
          <w:tcPr>
            <w:tcW w:w="1186" w:type="dxa"/>
            <w:noWrap w:val="0"/>
            <w:vAlign w:val="center"/>
          </w:tcPr>
          <w:p w14:paraId="4386CCCB">
            <w:pPr>
              <w:jc w:val="center"/>
              <w:rPr>
                <w:rFonts w:hint="eastAsia" w:ascii="宋体" w:hAnsi="宋体" w:eastAsia="宋体" w:cs="宋体"/>
                <w:color w:val="auto"/>
                <w:sz w:val="24"/>
                <w:highlight w:val="none"/>
              </w:rPr>
            </w:pPr>
          </w:p>
        </w:tc>
        <w:tc>
          <w:tcPr>
            <w:tcW w:w="1275" w:type="dxa"/>
            <w:noWrap w:val="0"/>
            <w:vAlign w:val="center"/>
          </w:tcPr>
          <w:p w14:paraId="2F2E67E5">
            <w:pPr>
              <w:jc w:val="center"/>
              <w:rPr>
                <w:rFonts w:hint="eastAsia" w:ascii="宋体" w:hAnsi="宋体" w:eastAsia="宋体" w:cs="宋体"/>
                <w:color w:val="auto"/>
                <w:sz w:val="24"/>
                <w:highlight w:val="none"/>
              </w:rPr>
            </w:pPr>
          </w:p>
        </w:tc>
      </w:tr>
      <w:tr w14:paraId="22B7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056" w:type="dxa"/>
            <w:noWrap w:val="0"/>
            <w:vAlign w:val="center"/>
          </w:tcPr>
          <w:p w14:paraId="01CC7CE3">
            <w:pPr>
              <w:jc w:val="center"/>
              <w:rPr>
                <w:rFonts w:hint="eastAsia" w:ascii="宋体" w:hAnsi="宋体" w:eastAsia="宋体" w:cs="宋体"/>
                <w:color w:val="auto"/>
                <w:sz w:val="24"/>
                <w:highlight w:val="none"/>
              </w:rPr>
            </w:pPr>
          </w:p>
        </w:tc>
        <w:tc>
          <w:tcPr>
            <w:tcW w:w="828" w:type="dxa"/>
            <w:noWrap w:val="0"/>
            <w:vAlign w:val="center"/>
          </w:tcPr>
          <w:p w14:paraId="33848D71">
            <w:pPr>
              <w:jc w:val="center"/>
              <w:rPr>
                <w:rFonts w:hint="eastAsia" w:ascii="宋体" w:hAnsi="宋体" w:eastAsia="宋体" w:cs="宋体"/>
                <w:color w:val="auto"/>
                <w:sz w:val="24"/>
                <w:highlight w:val="none"/>
              </w:rPr>
            </w:pPr>
          </w:p>
        </w:tc>
        <w:tc>
          <w:tcPr>
            <w:tcW w:w="901" w:type="dxa"/>
            <w:noWrap w:val="0"/>
            <w:vAlign w:val="center"/>
          </w:tcPr>
          <w:p w14:paraId="544A350D">
            <w:pPr>
              <w:jc w:val="center"/>
              <w:rPr>
                <w:rFonts w:hint="eastAsia" w:ascii="宋体" w:hAnsi="宋体" w:eastAsia="宋体" w:cs="宋体"/>
                <w:color w:val="auto"/>
                <w:sz w:val="24"/>
                <w:highlight w:val="none"/>
              </w:rPr>
            </w:pPr>
          </w:p>
        </w:tc>
        <w:tc>
          <w:tcPr>
            <w:tcW w:w="852" w:type="dxa"/>
            <w:noWrap w:val="0"/>
            <w:vAlign w:val="center"/>
          </w:tcPr>
          <w:p w14:paraId="1250965E">
            <w:pPr>
              <w:jc w:val="center"/>
              <w:rPr>
                <w:rFonts w:hint="eastAsia" w:ascii="宋体" w:hAnsi="宋体" w:eastAsia="宋体" w:cs="宋体"/>
                <w:color w:val="auto"/>
                <w:sz w:val="24"/>
                <w:highlight w:val="none"/>
              </w:rPr>
            </w:pPr>
          </w:p>
        </w:tc>
        <w:tc>
          <w:tcPr>
            <w:tcW w:w="729" w:type="dxa"/>
            <w:noWrap w:val="0"/>
            <w:vAlign w:val="center"/>
          </w:tcPr>
          <w:p w14:paraId="36E13E23">
            <w:pPr>
              <w:jc w:val="center"/>
              <w:rPr>
                <w:rFonts w:hint="eastAsia" w:ascii="宋体" w:hAnsi="宋体" w:eastAsia="宋体" w:cs="宋体"/>
                <w:color w:val="auto"/>
                <w:sz w:val="24"/>
                <w:highlight w:val="none"/>
              </w:rPr>
            </w:pPr>
          </w:p>
        </w:tc>
        <w:tc>
          <w:tcPr>
            <w:tcW w:w="1284" w:type="dxa"/>
            <w:noWrap w:val="0"/>
            <w:vAlign w:val="center"/>
          </w:tcPr>
          <w:p w14:paraId="71A50C3E">
            <w:pPr>
              <w:jc w:val="center"/>
              <w:rPr>
                <w:rFonts w:hint="eastAsia" w:ascii="宋体" w:hAnsi="宋体" w:eastAsia="宋体" w:cs="宋体"/>
                <w:color w:val="auto"/>
                <w:sz w:val="24"/>
                <w:highlight w:val="none"/>
              </w:rPr>
            </w:pPr>
          </w:p>
        </w:tc>
        <w:tc>
          <w:tcPr>
            <w:tcW w:w="1309" w:type="dxa"/>
            <w:noWrap w:val="0"/>
            <w:vAlign w:val="center"/>
          </w:tcPr>
          <w:p w14:paraId="4DC061F8">
            <w:pPr>
              <w:jc w:val="center"/>
              <w:rPr>
                <w:rFonts w:hint="eastAsia" w:ascii="宋体" w:hAnsi="宋体" w:eastAsia="宋体" w:cs="宋体"/>
                <w:color w:val="auto"/>
                <w:sz w:val="24"/>
                <w:highlight w:val="none"/>
              </w:rPr>
            </w:pPr>
          </w:p>
        </w:tc>
        <w:tc>
          <w:tcPr>
            <w:tcW w:w="1186" w:type="dxa"/>
            <w:noWrap w:val="0"/>
            <w:vAlign w:val="center"/>
          </w:tcPr>
          <w:p w14:paraId="33FBB050">
            <w:pPr>
              <w:jc w:val="center"/>
              <w:rPr>
                <w:rFonts w:hint="eastAsia" w:ascii="宋体" w:hAnsi="宋体" w:eastAsia="宋体" w:cs="宋体"/>
                <w:color w:val="auto"/>
                <w:sz w:val="24"/>
                <w:highlight w:val="none"/>
              </w:rPr>
            </w:pPr>
          </w:p>
        </w:tc>
        <w:tc>
          <w:tcPr>
            <w:tcW w:w="1275" w:type="dxa"/>
            <w:noWrap w:val="0"/>
            <w:vAlign w:val="center"/>
          </w:tcPr>
          <w:p w14:paraId="60B9C32F">
            <w:pPr>
              <w:jc w:val="center"/>
              <w:rPr>
                <w:rFonts w:hint="eastAsia" w:ascii="宋体" w:hAnsi="宋体" w:eastAsia="宋体" w:cs="宋体"/>
                <w:color w:val="auto"/>
                <w:sz w:val="24"/>
                <w:highlight w:val="none"/>
              </w:rPr>
            </w:pPr>
          </w:p>
        </w:tc>
      </w:tr>
    </w:tbl>
    <w:p w14:paraId="71CDE8CF">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供应商（签章）：</w:t>
      </w:r>
    </w:p>
    <w:p w14:paraId="0E866A52">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法定代表人（签章）：</w:t>
      </w:r>
    </w:p>
    <w:p w14:paraId="084B627E">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日期：  年  月   日</w:t>
      </w:r>
    </w:p>
    <w:p w14:paraId="351C6F46">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十三、</w:t>
      </w:r>
      <w:r>
        <w:rPr>
          <w:rFonts w:hint="eastAsia" w:asciiTheme="minorEastAsia" w:hAnsiTheme="minorEastAsia" w:eastAsiaTheme="minorEastAsia"/>
          <w:b/>
          <w:color w:val="auto"/>
          <w:sz w:val="24"/>
          <w:highlight w:val="none"/>
        </w:rPr>
        <w:t>其他相关证明材料</w:t>
      </w:r>
    </w:p>
    <w:p w14:paraId="093B292A">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提供符合谈判邀请、采购需求及评审方法和标准规定的相关证明文件。</w:t>
      </w:r>
    </w:p>
    <w:p w14:paraId="72323735">
      <w:pPr>
        <w:spacing w:line="360" w:lineRule="auto"/>
        <w:ind w:firstLine="435"/>
        <w:rPr>
          <w:rFonts w:asciiTheme="minorEastAsia" w:hAnsiTheme="minorEastAsia" w:eastAsiaTheme="minorEastAsia"/>
          <w:color w:val="auto"/>
          <w:sz w:val="24"/>
          <w:highlight w:val="none"/>
        </w:rPr>
      </w:pPr>
    </w:p>
    <w:p w14:paraId="4E2DE6F3">
      <w:pPr>
        <w:spacing w:line="360" w:lineRule="auto"/>
        <w:ind w:firstLine="480" w:firstLineChars="200"/>
        <w:rPr>
          <w:rFonts w:asciiTheme="minorEastAsia" w:hAnsiTheme="minorEastAsia" w:eastAsiaTheme="minorEastAsia"/>
          <w:color w:val="auto"/>
          <w:sz w:val="24"/>
          <w:highlight w:val="none"/>
        </w:rPr>
      </w:pPr>
    </w:p>
    <w:p w14:paraId="2160CC5A">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003113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供应商在响应文件制作时可在此栏内上传谈判</w:t>
      </w:r>
      <w:r>
        <w:rPr>
          <w:rFonts w:asciiTheme="minorEastAsia" w:hAnsiTheme="minorEastAsia" w:eastAsiaTheme="minorEastAsia"/>
          <w:color w:val="auto"/>
          <w:sz w:val="24"/>
          <w:highlight w:val="none"/>
        </w:rPr>
        <w:t>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5930CB5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E5BBEE6">
      <w:pPr>
        <w:spacing w:line="360" w:lineRule="auto"/>
        <w:jc w:val="center"/>
        <w:outlineLvl w:val="0"/>
        <w:rPr>
          <w:rFonts w:ascii="宋体" w:hAnsi="宋体" w:eastAsia="宋体"/>
          <w:b/>
          <w:bCs/>
          <w:color w:val="auto"/>
          <w:sz w:val="28"/>
          <w:highlight w:val="none"/>
        </w:rPr>
      </w:pPr>
      <w:bookmarkStart w:id="151" w:name="_Toc60608832"/>
      <w:bookmarkStart w:id="152" w:name="_Toc3652"/>
      <w:bookmarkStart w:id="153" w:name="_Toc32294"/>
      <w:bookmarkStart w:id="154" w:name="_Toc19945"/>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 xml:space="preserve">章 </w:t>
      </w:r>
      <w:r>
        <w:rPr>
          <w:rFonts w:hint="eastAsia"/>
          <w:b/>
          <w:bCs/>
          <w:color w:val="auto"/>
          <w:sz w:val="28"/>
          <w:highlight w:val="none"/>
        </w:rPr>
        <w:t xml:space="preserve"> </w:t>
      </w:r>
      <w:bookmarkEnd w:id="151"/>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52"/>
      <w:bookmarkEnd w:id="153"/>
      <w:bookmarkEnd w:id="154"/>
    </w:p>
    <w:p w14:paraId="72B27C0E">
      <w:pPr>
        <w:spacing w:line="360" w:lineRule="auto"/>
        <w:jc w:val="center"/>
        <w:outlineLvl w:val="1"/>
        <w:rPr>
          <w:rFonts w:ascii="仿宋" w:hAnsi="仿宋" w:eastAsia="仿宋" w:cs="仿宋"/>
          <w:b/>
          <w:bCs/>
          <w:color w:val="auto"/>
          <w:sz w:val="32"/>
          <w:szCs w:val="44"/>
          <w:highlight w:val="none"/>
        </w:rPr>
      </w:pPr>
      <w:bookmarkStart w:id="155" w:name="_Toc29598"/>
      <w:bookmarkStart w:id="156" w:name="_Toc15965"/>
      <w:r>
        <w:rPr>
          <w:rFonts w:hint="eastAsia" w:ascii="仿宋" w:hAnsi="仿宋" w:eastAsia="仿宋" w:cs="仿宋"/>
          <w:b/>
          <w:bCs/>
          <w:color w:val="auto"/>
          <w:sz w:val="32"/>
          <w:szCs w:val="44"/>
          <w:highlight w:val="none"/>
        </w:rPr>
        <w:t>询问函范本</w:t>
      </w:r>
      <w:bookmarkEnd w:id="155"/>
      <w:bookmarkEnd w:id="156"/>
    </w:p>
    <w:p w14:paraId="2725A589">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4ED4AFAF">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099EE45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i/>
          <w:iCs/>
          <w:color w:val="auto"/>
          <w:sz w:val="24"/>
          <w:szCs w:val="24"/>
          <w:highlight w:val="none"/>
        </w:rPr>
        <w:t>(</w:t>
      </w:r>
      <w:r>
        <w:rPr>
          <w:rFonts w:hint="eastAsia" w:cs="仿宋" w:asciiTheme="minorEastAsia" w:hAnsiTheme="minorEastAsia" w:eastAsiaTheme="minorEastAsia"/>
          <w:i/>
          <w:iCs/>
          <w:color w:val="auto"/>
          <w:sz w:val="24"/>
          <w:szCs w:val="24"/>
          <w:highlight w:val="none"/>
          <w:u w:val="none"/>
        </w:rPr>
        <w:t>项目</w:t>
      </w:r>
      <w:r>
        <w:rPr>
          <w:rFonts w:hint="eastAsia" w:cs="仿宋" w:asciiTheme="minorEastAsia" w:hAnsiTheme="minorEastAsia" w:eastAsiaTheme="minorEastAsia"/>
          <w:i/>
          <w:iCs/>
          <w:color w:val="auto"/>
          <w:sz w:val="24"/>
          <w:szCs w:val="24"/>
          <w:highlight w:val="none"/>
          <w:u w:val="none"/>
          <w:lang w:val="en-US" w:eastAsia="zh-CN"/>
        </w:rPr>
        <w:t>名称、</w:t>
      </w:r>
      <w:r>
        <w:rPr>
          <w:rFonts w:hint="eastAsia" w:cs="仿宋" w:asciiTheme="minorEastAsia" w:hAnsiTheme="minorEastAsia" w:eastAsiaTheme="minorEastAsia"/>
          <w:i/>
          <w:iCs/>
          <w:color w:val="auto"/>
          <w:sz w:val="24"/>
          <w:szCs w:val="24"/>
          <w:highlight w:val="none"/>
          <w:u w:val="none"/>
        </w:rPr>
        <w:t>编号</w:t>
      </w:r>
      <w:r>
        <w:rPr>
          <w:rFonts w:hint="eastAsia" w:cs="仿宋" w:asciiTheme="minorEastAsia" w:hAnsiTheme="minorEastAsia" w:eastAsiaTheme="minorEastAsia"/>
          <w:i/>
          <w:iCs/>
          <w:color w:val="auto"/>
          <w:sz w:val="24"/>
          <w:szCs w:val="24"/>
          <w:highlight w:val="none"/>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2CA3CA9">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57" w:name="_Toc11903"/>
      <w:bookmarkStart w:id="158" w:name="_Toc29988"/>
      <w:r>
        <w:rPr>
          <w:rFonts w:hint="eastAsia" w:cs="仿宋" w:asciiTheme="minorEastAsia" w:hAnsiTheme="minorEastAsia" w:eastAsiaTheme="minorEastAsia"/>
          <w:color w:val="auto"/>
          <w:sz w:val="24"/>
          <w:szCs w:val="24"/>
          <w:highlight w:val="none"/>
        </w:rPr>
        <w:t>一、(事项一)</w:t>
      </w:r>
      <w:bookmarkEnd w:id="157"/>
      <w:bookmarkEnd w:id="158"/>
    </w:p>
    <w:p w14:paraId="37D1280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63E67C0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0F556A7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ADB2B2E">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59" w:name="_Toc2942"/>
      <w:bookmarkStart w:id="160" w:name="_Toc31894"/>
      <w:r>
        <w:rPr>
          <w:rFonts w:hint="eastAsia" w:cs="仿宋" w:asciiTheme="minorEastAsia" w:hAnsiTheme="minorEastAsia" w:eastAsiaTheme="minorEastAsia"/>
          <w:color w:val="auto"/>
          <w:sz w:val="24"/>
          <w:szCs w:val="24"/>
          <w:highlight w:val="none"/>
        </w:rPr>
        <w:t>二、(事项二)</w:t>
      </w:r>
      <w:bookmarkEnd w:id="159"/>
      <w:bookmarkEnd w:id="160"/>
    </w:p>
    <w:p w14:paraId="5A21D35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A3C2DB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0F618788">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C906D8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2651CA5C">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2D0F2DA">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109D0EDD">
      <w:pPr>
        <w:jc w:val="center"/>
        <w:outlineLvl w:val="1"/>
        <w:rPr>
          <w:rFonts w:ascii="仿宋" w:hAnsi="仿宋" w:eastAsia="仿宋" w:cs="仿宋"/>
          <w:b/>
          <w:bCs/>
          <w:color w:val="auto"/>
          <w:sz w:val="32"/>
          <w:szCs w:val="44"/>
          <w:highlight w:val="none"/>
        </w:rPr>
      </w:pPr>
      <w:bookmarkStart w:id="161" w:name="_Toc22109"/>
      <w:bookmarkStart w:id="162" w:name="_Toc26062"/>
      <w:r>
        <w:rPr>
          <w:rFonts w:hint="eastAsia" w:ascii="仿宋" w:hAnsi="仿宋" w:eastAsia="仿宋" w:cs="仿宋"/>
          <w:b/>
          <w:bCs/>
          <w:color w:val="auto"/>
          <w:sz w:val="32"/>
          <w:szCs w:val="44"/>
          <w:highlight w:val="none"/>
        </w:rPr>
        <w:t>质疑函范本</w:t>
      </w:r>
      <w:bookmarkEnd w:id="161"/>
      <w:bookmarkEnd w:id="162"/>
    </w:p>
    <w:p w14:paraId="081F6830">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163" w:name="_Toc29798"/>
      <w:bookmarkStart w:id="164" w:name="_Toc24159"/>
      <w:r>
        <w:rPr>
          <w:rFonts w:hint="eastAsia" w:cs="仿宋" w:asciiTheme="minorEastAsia" w:hAnsiTheme="minorEastAsia" w:eastAsiaTheme="minorEastAsia"/>
          <w:b/>
          <w:bCs/>
          <w:color w:val="auto"/>
          <w:sz w:val="24"/>
          <w:szCs w:val="24"/>
          <w:highlight w:val="none"/>
        </w:rPr>
        <w:t>一、质疑供应商基本信息</w:t>
      </w:r>
      <w:bookmarkEnd w:id="163"/>
      <w:bookmarkEnd w:id="164"/>
    </w:p>
    <w:p w14:paraId="30B1DFC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1867F19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2F665AE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6A53B5C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C7C37A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064E53D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2B96DC7A">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65" w:name="_Toc5445"/>
      <w:bookmarkStart w:id="166" w:name="_Toc23479"/>
      <w:r>
        <w:rPr>
          <w:rFonts w:hint="eastAsia" w:cs="仿宋" w:asciiTheme="minorEastAsia" w:hAnsiTheme="minorEastAsia" w:eastAsiaTheme="minorEastAsia"/>
          <w:b/>
          <w:bCs/>
          <w:color w:val="auto"/>
          <w:sz w:val="24"/>
          <w:szCs w:val="24"/>
          <w:highlight w:val="none"/>
        </w:rPr>
        <w:t>二、质疑项目基本情况</w:t>
      </w:r>
      <w:bookmarkEnd w:id="165"/>
      <w:bookmarkEnd w:id="166"/>
    </w:p>
    <w:p w14:paraId="1C694DE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6A353E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0945C5C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03C86BF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9C32F3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67" w:name="_Toc26982"/>
      <w:bookmarkStart w:id="168" w:name="_Toc5891"/>
      <w:r>
        <w:rPr>
          <w:rFonts w:hint="eastAsia" w:cs="仿宋" w:asciiTheme="minorEastAsia" w:hAnsiTheme="minorEastAsia" w:eastAsiaTheme="minorEastAsia"/>
          <w:b/>
          <w:bCs/>
          <w:color w:val="auto"/>
          <w:sz w:val="24"/>
          <w:szCs w:val="24"/>
          <w:highlight w:val="none"/>
        </w:rPr>
        <w:t>三、质疑事项具体内容</w:t>
      </w:r>
      <w:bookmarkEnd w:id="167"/>
      <w:bookmarkEnd w:id="168"/>
    </w:p>
    <w:p w14:paraId="712B19F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6203171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4A0FEA3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2C2A87B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1ED2C2F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CB62D0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128CF8A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17EEAEC">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69" w:name="_Toc9453"/>
      <w:bookmarkStart w:id="170" w:name="_Toc16039"/>
      <w:r>
        <w:rPr>
          <w:rFonts w:hint="eastAsia" w:cs="仿宋" w:asciiTheme="minorEastAsia" w:hAnsiTheme="minorEastAsia" w:eastAsiaTheme="minorEastAsia"/>
          <w:b/>
          <w:bCs/>
          <w:color w:val="auto"/>
          <w:sz w:val="24"/>
          <w:szCs w:val="24"/>
          <w:highlight w:val="none"/>
        </w:rPr>
        <w:t>四、与质疑事项相关的质疑请求</w:t>
      </w:r>
      <w:bookmarkEnd w:id="169"/>
      <w:bookmarkEnd w:id="170"/>
    </w:p>
    <w:p w14:paraId="070FCD6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31BAFE4B">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36CEC2D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66510054">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7F2D028F">
      <w:pPr>
        <w:outlineLvl w:val="0"/>
        <w:rPr>
          <w:rFonts w:asciiTheme="minorEastAsia" w:hAnsiTheme="minorEastAsia" w:eastAsiaTheme="minorEastAsia"/>
          <w:b/>
          <w:color w:val="auto"/>
          <w:sz w:val="28"/>
          <w:szCs w:val="32"/>
          <w:highlight w:val="none"/>
        </w:rPr>
      </w:pPr>
      <w:bookmarkStart w:id="171" w:name="_Toc15971"/>
      <w:bookmarkStart w:id="172" w:name="_Toc28276"/>
      <w:bookmarkStart w:id="173" w:name="_Toc10345"/>
      <w:r>
        <w:rPr>
          <w:rFonts w:hint="eastAsia" w:asciiTheme="minorEastAsia" w:hAnsiTheme="minorEastAsia" w:eastAsiaTheme="minorEastAsia"/>
          <w:b/>
          <w:color w:val="auto"/>
          <w:sz w:val="28"/>
          <w:szCs w:val="32"/>
          <w:highlight w:val="none"/>
        </w:rPr>
        <w:t>质疑函制作说明：</w:t>
      </w:r>
      <w:bookmarkEnd w:id="171"/>
      <w:bookmarkEnd w:id="172"/>
      <w:bookmarkEnd w:id="173"/>
    </w:p>
    <w:p w14:paraId="286150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70934D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AEA7A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1CFA95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7B25D2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3EBE60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43778B5D">
      <w:pPr>
        <w:spacing w:line="360" w:lineRule="auto"/>
        <w:ind w:firstLine="435"/>
        <w:rPr>
          <w:rFonts w:hint="eastAsia" w:asciiTheme="minorEastAsia" w:hAnsiTheme="minorEastAsia" w:eastAsiaTheme="minorEastAsia"/>
          <w:color w:val="auto"/>
          <w:sz w:val="24"/>
          <w:highlight w:val="none"/>
        </w:rPr>
      </w:pPr>
    </w:p>
    <w:p w14:paraId="33F50078">
      <w:pPr>
        <w:spacing w:line="360" w:lineRule="auto"/>
        <w:ind w:firstLine="435"/>
        <w:rPr>
          <w:rFonts w:hint="eastAsia" w:asciiTheme="minorEastAsia" w:hAnsiTheme="minorEastAsia" w:eastAsiaTheme="minorEastAsia"/>
          <w:color w:val="auto"/>
          <w:sz w:val="24"/>
          <w:highlight w:val="none"/>
        </w:rPr>
      </w:pPr>
    </w:p>
    <w:p w14:paraId="5EFA33DA">
      <w:pPr>
        <w:spacing w:line="360" w:lineRule="auto"/>
        <w:ind w:firstLine="435"/>
        <w:rPr>
          <w:rFonts w:hint="eastAsia" w:asciiTheme="minorEastAsia" w:hAnsiTheme="minorEastAsia" w:eastAsiaTheme="minorEastAsia"/>
          <w:color w:val="auto"/>
          <w:sz w:val="24"/>
          <w:highlight w:val="none"/>
        </w:rPr>
      </w:pPr>
    </w:p>
    <w:p w14:paraId="22B4D7A7">
      <w:pPr>
        <w:spacing w:line="360" w:lineRule="auto"/>
        <w:ind w:firstLine="435"/>
        <w:rPr>
          <w:rFonts w:hint="eastAsia" w:asciiTheme="minorEastAsia" w:hAnsiTheme="minorEastAsia" w:eastAsiaTheme="minorEastAsia"/>
          <w:color w:val="auto"/>
          <w:sz w:val="24"/>
          <w:highlight w:val="none"/>
        </w:rPr>
      </w:pPr>
    </w:p>
    <w:p w14:paraId="0351A268">
      <w:pPr>
        <w:spacing w:line="360" w:lineRule="auto"/>
        <w:ind w:firstLine="435"/>
        <w:rPr>
          <w:rFonts w:hint="eastAsia" w:asciiTheme="minorEastAsia" w:hAnsiTheme="minorEastAsia" w:eastAsiaTheme="minorEastAsia"/>
          <w:color w:val="auto"/>
          <w:sz w:val="24"/>
          <w:highlight w:val="none"/>
        </w:rPr>
      </w:pPr>
    </w:p>
    <w:p w14:paraId="6423EE7B">
      <w:pPr>
        <w:spacing w:line="360" w:lineRule="auto"/>
        <w:ind w:firstLine="435"/>
        <w:rPr>
          <w:rFonts w:hint="eastAsia" w:asciiTheme="minorEastAsia" w:hAnsiTheme="minorEastAsia" w:eastAsiaTheme="minorEastAsia"/>
          <w:color w:val="auto"/>
          <w:sz w:val="24"/>
          <w:highlight w:val="none"/>
        </w:rPr>
      </w:pPr>
    </w:p>
    <w:p w14:paraId="79997D72">
      <w:pPr>
        <w:spacing w:line="360" w:lineRule="auto"/>
        <w:ind w:firstLine="435"/>
        <w:rPr>
          <w:rFonts w:hint="eastAsia" w:asciiTheme="minorEastAsia" w:hAnsiTheme="minorEastAsia" w:eastAsiaTheme="minorEastAsia"/>
          <w:color w:val="auto"/>
          <w:sz w:val="24"/>
          <w:highlight w:val="none"/>
        </w:rPr>
      </w:pPr>
    </w:p>
    <w:p w14:paraId="5FC0837E">
      <w:pPr>
        <w:spacing w:line="360" w:lineRule="auto"/>
        <w:ind w:firstLine="435"/>
        <w:rPr>
          <w:rFonts w:hint="eastAsia" w:asciiTheme="minorEastAsia" w:hAnsiTheme="minorEastAsia" w:eastAsiaTheme="minorEastAsia"/>
          <w:color w:val="auto"/>
          <w:sz w:val="24"/>
          <w:highlight w:val="none"/>
        </w:rPr>
      </w:pPr>
    </w:p>
    <w:p w14:paraId="52AA8BFB">
      <w:pPr>
        <w:spacing w:line="360" w:lineRule="auto"/>
        <w:ind w:firstLine="435"/>
        <w:rPr>
          <w:rFonts w:hint="eastAsia" w:asciiTheme="minorEastAsia" w:hAnsiTheme="minorEastAsia" w:eastAsiaTheme="minorEastAsia"/>
          <w:color w:val="auto"/>
          <w:sz w:val="24"/>
          <w:highlight w:val="none"/>
        </w:rPr>
      </w:pPr>
    </w:p>
    <w:p w14:paraId="2AF923CC">
      <w:pPr>
        <w:spacing w:line="360" w:lineRule="auto"/>
        <w:ind w:firstLine="435"/>
        <w:rPr>
          <w:rFonts w:hint="eastAsia" w:asciiTheme="minorEastAsia" w:hAnsiTheme="minorEastAsia" w:eastAsiaTheme="minorEastAsia"/>
          <w:color w:val="auto"/>
          <w:sz w:val="24"/>
          <w:highlight w:val="none"/>
        </w:rPr>
      </w:pPr>
    </w:p>
    <w:p w14:paraId="424CF0C1">
      <w:pPr>
        <w:spacing w:line="360" w:lineRule="auto"/>
        <w:ind w:firstLine="435"/>
        <w:rPr>
          <w:rFonts w:hint="eastAsia" w:asciiTheme="minorEastAsia" w:hAnsiTheme="minorEastAsia" w:eastAsiaTheme="minorEastAsia"/>
          <w:color w:val="auto"/>
          <w:sz w:val="24"/>
          <w:highlight w:val="none"/>
        </w:rPr>
      </w:pPr>
    </w:p>
    <w:p w14:paraId="5E533DAF">
      <w:pPr>
        <w:spacing w:line="360" w:lineRule="auto"/>
        <w:ind w:firstLine="435"/>
        <w:rPr>
          <w:rFonts w:hint="eastAsia" w:asciiTheme="minorEastAsia" w:hAnsiTheme="minorEastAsia" w:eastAsiaTheme="minorEastAsia"/>
          <w:color w:val="auto"/>
          <w:sz w:val="24"/>
          <w:highlight w:val="none"/>
        </w:rPr>
      </w:pPr>
    </w:p>
    <w:p w14:paraId="57B5618A">
      <w:pPr>
        <w:spacing w:line="360" w:lineRule="auto"/>
        <w:ind w:firstLine="435"/>
        <w:rPr>
          <w:rFonts w:hint="eastAsia" w:asciiTheme="minorEastAsia" w:hAnsiTheme="minorEastAsia" w:eastAsiaTheme="minorEastAsia"/>
          <w:color w:val="auto"/>
          <w:sz w:val="24"/>
          <w:highlight w:val="none"/>
        </w:rPr>
      </w:pPr>
    </w:p>
    <w:p w14:paraId="71D0D1B1">
      <w:pPr>
        <w:spacing w:line="360" w:lineRule="auto"/>
        <w:ind w:firstLine="435"/>
        <w:rPr>
          <w:rFonts w:hint="eastAsia" w:asciiTheme="minorEastAsia" w:hAnsiTheme="minorEastAsia" w:eastAsiaTheme="minorEastAsia"/>
          <w:color w:val="auto"/>
          <w:sz w:val="24"/>
          <w:highlight w:val="none"/>
        </w:rPr>
      </w:pPr>
    </w:p>
    <w:p w14:paraId="079BB64B">
      <w:pPr>
        <w:spacing w:line="360" w:lineRule="auto"/>
        <w:ind w:firstLine="435"/>
        <w:rPr>
          <w:rFonts w:hint="eastAsia" w:asciiTheme="minorEastAsia" w:hAnsiTheme="minorEastAsia" w:eastAsiaTheme="minorEastAsia"/>
          <w:color w:val="auto"/>
          <w:sz w:val="24"/>
          <w:highlight w:val="none"/>
        </w:rPr>
      </w:pPr>
    </w:p>
    <w:p w14:paraId="472D3083">
      <w:pPr>
        <w:spacing w:line="360" w:lineRule="auto"/>
        <w:ind w:firstLine="435"/>
        <w:rPr>
          <w:rFonts w:hint="eastAsia" w:asciiTheme="minorEastAsia" w:hAnsiTheme="minorEastAsia" w:eastAsiaTheme="minorEastAsia"/>
          <w:color w:val="auto"/>
          <w:sz w:val="24"/>
          <w:highlight w:val="none"/>
        </w:rPr>
      </w:pPr>
    </w:p>
    <w:p w14:paraId="23A39128">
      <w:pPr>
        <w:spacing w:line="360" w:lineRule="auto"/>
        <w:ind w:firstLine="435"/>
        <w:rPr>
          <w:rFonts w:hint="eastAsia" w:asciiTheme="minorEastAsia" w:hAnsiTheme="minorEastAsia" w:eastAsiaTheme="minorEastAsia"/>
          <w:color w:val="auto"/>
          <w:sz w:val="24"/>
          <w:highlight w:val="none"/>
        </w:rPr>
      </w:pPr>
    </w:p>
    <w:p w14:paraId="3A303209">
      <w:pPr>
        <w:spacing w:line="360" w:lineRule="auto"/>
        <w:ind w:firstLine="435"/>
        <w:rPr>
          <w:rFonts w:hint="eastAsia" w:asciiTheme="minorEastAsia" w:hAnsiTheme="minorEastAsia" w:eastAsiaTheme="minorEastAsia"/>
          <w:color w:val="auto"/>
          <w:sz w:val="24"/>
          <w:highlight w:val="none"/>
        </w:rPr>
      </w:pPr>
    </w:p>
    <w:p w14:paraId="605EE50E">
      <w:pPr>
        <w:spacing w:line="360" w:lineRule="auto"/>
        <w:ind w:firstLine="435"/>
        <w:rPr>
          <w:rFonts w:hint="eastAsia" w:asciiTheme="minorEastAsia" w:hAnsiTheme="minorEastAsia" w:eastAsiaTheme="minorEastAsia"/>
          <w:color w:val="auto"/>
          <w:sz w:val="24"/>
          <w:highlight w:val="none"/>
        </w:rPr>
      </w:pPr>
    </w:p>
    <w:p w14:paraId="47EAAAFC">
      <w:pP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附件</w:t>
      </w:r>
      <w:r>
        <w:rPr>
          <w:rFonts w:ascii="Times New Roman" w:hAnsi="Times New Roman" w:eastAsia="宋体" w:cs="Times New Roman"/>
          <w:b/>
          <w:color w:val="auto"/>
          <w:sz w:val="28"/>
          <w:szCs w:val="28"/>
          <w:highlight w:val="none"/>
        </w:rPr>
        <w:t>1</w:t>
      </w:r>
    </w:p>
    <w:p w14:paraId="0D61CCA0">
      <w:pPr>
        <w:spacing w:line="440" w:lineRule="exact"/>
        <w:jc w:val="center"/>
        <w:rPr>
          <w:rFonts w:hint="eastAsia" w:ascii="黑体" w:hAnsi="宋体" w:eastAsia="黑体" w:cs="黑体"/>
          <w:b/>
          <w:color w:val="auto"/>
          <w:sz w:val="30"/>
          <w:szCs w:val="30"/>
          <w:highlight w:val="none"/>
        </w:rPr>
      </w:pPr>
      <w:r>
        <w:rPr>
          <w:rFonts w:hint="eastAsia" w:ascii="黑体" w:hAnsi="宋体" w:eastAsia="黑体" w:cs="黑体"/>
          <w:b/>
          <w:color w:val="auto"/>
          <w:sz w:val="30"/>
          <w:szCs w:val="30"/>
          <w:highlight w:val="none"/>
        </w:rPr>
        <w:t>关于联合惩戒失信行为 加强信用查询管理的通知</w:t>
      </w:r>
    </w:p>
    <w:p w14:paraId="31B60A08">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t>一、失信行为联合惩戒的范围和查询渠道</w:t>
      </w:r>
    </w:p>
    <w:p w14:paraId="2B77769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在我市公共资源交易活动中对存在下列失信行为的投标人、法定代表人及其项目经理（建造师）实施联合惩戒，禁止参与我市公共资源交易活动。</w:t>
      </w:r>
    </w:p>
    <w:p w14:paraId="48E1DC75">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t>（一）工程建设项目</w:t>
      </w:r>
    </w:p>
    <w:p w14:paraId="5C37AD05">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1、“信用中国”网站（www.creditchina.gov.cn）查询投标人、法定代表人及其项目经理(建造师)以下失信行为：</w:t>
      </w:r>
    </w:p>
    <w:p w14:paraId="3CE158B9">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①被列入“失信被执行人”的;</w:t>
      </w:r>
    </w:p>
    <w:p w14:paraId="5982AAFB">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②被列入“重大税收违法失信主体”的；</w:t>
      </w:r>
    </w:p>
    <w:p w14:paraId="2F37902B">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③被列入“拖欠农民工工资失信联合惩戒对象名单”的；</w:t>
      </w:r>
    </w:p>
    <w:p w14:paraId="0905B8C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④被列入 “严重失信主体名单”的；</w:t>
      </w:r>
    </w:p>
    <w:p w14:paraId="14239A4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⑤在“信用中国”网站上披露的仍在公示期的严重失信行为(具体行为类别及判定依据见附件2)的。</w:t>
      </w:r>
    </w:p>
    <w:p w14:paraId="32BF628B">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2、国家企业信用信息公示系统网站（</w:t>
      </w:r>
      <w:r>
        <w:rPr>
          <w:rFonts w:hint="eastAsia" w:ascii="宋体" w:hAnsi="宋体" w:eastAsia="宋体" w:cs="宋体"/>
          <w:color w:val="auto"/>
          <w:sz w:val="24"/>
          <w:szCs w:val="24"/>
          <w:u w:val="none"/>
        </w:rPr>
        <w:t>www.gsxt.gov.cn）</w:t>
      </w:r>
      <w:r>
        <w:rPr>
          <w:rFonts w:hint="eastAsia" w:ascii="宋体" w:hAnsi="宋体" w:eastAsia="宋体" w:cs="宋体"/>
          <w:kern w:val="0"/>
          <w:sz w:val="24"/>
          <w:szCs w:val="24"/>
          <w:lang w:val="en-US" w:eastAsia="zh-CN" w:bidi="ar"/>
        </w:rPr>
        <w:t>查询投标人以下失信行为：</w:t>
      </w:r>
    </w:p>
    <w:p w14:paraId="475AD81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①被列入“经营异常名录”或者“严重违法失信名单”的。</w:t>
      </w:r>
    </w:p>
    <w:p w14:paraId="2CE3CA8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3、由投标人、法定代表人及其项目经理(建造师)进行承诺，不进行现场网上信用查询的失信行为：</w:t>
      </w:r>
    </w:p>
    <w:p w14:paraId="7ED3DC5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①前三年有行贿犯罪行为的单位和个人；</w:t>
      </w:r>
    </w:p>
    <w:p w14:paraId="292EFC2D">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②被滁州市县两级公管部门取消在一定期限内的投标资格且在取消期限内的；</w:t>
      </w:r>
    </w:p>
    <w:p w14:paraId="786869A9">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③被滁州市县两级各行业主管部门取消在一定期限内的投标资格且在取消期限内的；</w:t>
      </w:r>
    </w:p>
    <w:p w14:paraId="2E139D89">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④因拖欠农民工工资被县级及以上有关行政主管部门限制投标资格且在限制期限内的；</w:t>
      </w:r>
    </w:p>
    <w:p w14:paraId="7DD54CA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1E810DF3">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t>（二）政府采购项目</w:t>
      </w:r>
    </w:p>
    <w:p w14:paraId="1A01626F">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1、“信用中国”网站（www.creditchina.gov.cn）查询供应商、法定代表人及其项目负责人以下失信行为：</w:t>
      </w:r>
    </w:p>
    <w:p w14:paraId="6BE0B6FC">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①被列入“失信被执行人”的;</w:t>
      </w:r>
    </w:p>
    <w:p w14:paraId="799BFA7B">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②被列入“重大税收违法失信主体”的；</w:t>
      </w:r>
    </w:p>
    <w:p w14:paraId="1F49FF96">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③被列入 “严重失信主体名单”的；</w:t>
      </w:r>
    </w:p>
    <w:p w14:paraId="5985BECE">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④在“信用中国”网站上披露的仍在公示期的严重失信行为(具体行为类别及判定依据见附件2)的。</w:t>
      </w:r>
    </w:p>
    <w:p w14:paraId="020E96B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2、国家企业信用信息公示系统网站（</w:t>
      </w:r>
      <w:r>
        <w:rPr>
          <w:rFonts w:hint="eastAsia" w:ascii="宋体" w:hAnsi="宋体" w:eastAsia="宋体" w:cs="宋体"/>
          <w:color w:val="auto"/>
          <w:sz w:val="24"/>
          <w:szCs w:val="24"/>
          <w:u w:val="none"/>
        </w:rPr>
        <w:t>www.gsxt.gov.cn）</w:t>
      </w:r>
      <w:r>
        <w:rPr>
          <w:rFonts w:hint="eastAsia" w:ascii="宋体" w:hAnsi="宋体" w:eastAsia="宋体" w:cs="宋体"/>
          <w:kern w:val="0"/>
          <w:sz w:val="24"/>
          <w:szCs w:val="24"/>
          <w:lang w:val="en-US" w:eastAsia="zh-CN" w:bidi="ar"/>
        </w:rPr>
        <w:t>查询供应商以下失信行为：</w:t>
      </w:r>
    </w:p>
    <w:p w14:paraId="05768BD3">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①被列入“经营异常名录”或者“严重违法失信名单”的。</w:t>
      </w:r>
    </w:p>
    <w:p w14:paraId="00DCCDA9">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3、中国政府采购网站（</w:t>
      </w:r>
      <w:r>
        <w:rPr>
          <w:rFonts w:hint="eastAsia" w:ascii="宋体" w:hAnsi="宋体" w:eastAsia="宋体" w:cs="宋体"/>
          <w:color w:val="auto"/>
          <w:sz w:val="24"/>
          <w:szCs w:val="24"/>
          <w:u w:val="none"/>
        </w:rPr>
        <w:t>www.ccgp.gov.cn</w:t>
      </w:r>
      <w:r>
        <w:rPr>
          <w:rFonts w:hint="eastAsia" w:ascii="宋体" w:hAnsi="宋体" w:eastAsia="宋体" w:cs="宋体"/>
          <w:kern w:val="0"/>
          <w:sz w:val="24"/>
          <w:szCs w:val="24"/>
          <w:lang w:val="en-US" w:eastAsia="zh-CN" w:bidi="ar"/>
        </w:rPr>
        <w:t>）查询以下失信行为：</w:t>
      </w:r>
    </w:p>
    <w:p w14:paraId="6F2D7B1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①被列入“政府采购严重违法失信行为信息记录”的。</w:t>
      </w:r>
    </w:p>
    <w:p w14:paraId="5DB92C5F">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4、由竞争主体进行承诺，不进行现场网上信用查询的失信行为：</w:t>
      </w:r>
    </w:p>
    <w:p w14:paraId="4FF27BB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①前三年有行贿犯罪行为的单位和个人。</w:t>
      </w:r>
    </w:p>
    <w:p w14:paraId="2EF89A61">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t>二、在开评标活动中的查询程序</w:t>
      </w:r>
    </w:p>
    <w:p w14:paraId="764ADD0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10C2F99F">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9DDEEC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3、项目单位及其委托的代理机构应当做好信用查询结果截图和记录留存。</w:t>
      </w:r>
    </w:p>
    <w:p w14:paraId="2815A618">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t>三、相关要求</w:t>
      </w:r>
    </w:p>
    <w:p w14:paraId="50BCC71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2630C38C">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D1B8889">
      <w:pPr>
        <w:keepNext w:val="0"/>
        <w:keepLines w:val="0"/>
        <w:widowControl w:val="0"/>
        <w:suppressLineNumbers w:val="0"/>
        <w:wordWrap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F39A905">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t>2、“信用中国”查询的严重失信行为判定依据为各行业主管部门下发的联合惩戒文件中规定的行为（按附件2执行）。</w:t>
      </w:r>
    </w:p>
    <w:p w14:paraId="2CE6B53F">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3、资格预审的项目以递交资格预审申请文件截止时间查询为准；资格后审的项目以递交投标文件截止时间查询为准。 </w:t>
      </w:r>
    </w:p>
    <w:p w14:paraId="03567057">
      <w:pPr>
        <w:pStyle w:val="19"/>
        <w:keepNext w:val="0"/>
        <w:keepLines w:val="0"/>
        <w:widowControl w:val="0"/>
        <w:suppressLineNumbers w:val="0"/>
        <w:spacing w:before="0" w:beforeAutospacing="1" w:after="120" w:afterAutospacing="0" w:line="360" w:lineRule="auto"/>
        <w:ind w:left="420" w:leftChars="200" w:right="0" w:firstLine="420" w:firstLineChars="200"/>
        <w:jc w:val="both"/>
        <w:rPr>
          <w:rFonts w:hint="eastAsia" w:ascii="宋体" w:hAnsi="Calibri" w:eastAsia="宋体" w:cs="Times New Roman"/>
          <w:kern w:val="2"/>
          <w:sz w:val="21"/>
          <w:szCs w:val="21"/>
        </w:rPr>
      </w:pPr>
      <w:r>
        <w:rPr>
          <w:rFonts w:hint="eastAsia" w:ascii="宋体" w:hAnsi="Calibri" w:eastAsia="宋体" w:cs="Times New Roman"/>
          <w:kern w:val="2"/>
          <w:sz w:val="21"/>
          <w:szCs w:val="21"/>
          <w:lang w:val="en-US" w:eastAsia="zh-CN" w:bidi="ar"/>
        </w:rPr>
        <w:t xml:space="preserve"> </w:t>
      </w:r>
    </w:p>
    <w:p w14:paraId="735C200B">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br w:type="page"/>
      </w:r>
      <w:r>
        <w:rPr>
          <w:rFonts w:hint="eastAsia" w:ascii="宋体" w:hAnsi="宋体" w:eastAsia="宋体" w:cs="宋体"/>
          <w:b/>
          <w:bCs w:val="0"/>
          <w:kern w:val="0"/>
          <w:sz w:val="24"/>
          <w:szCs w:val="24"/>
          <w:lang w:val="en-US" w:eastAsia="zh-CN" w:bidi="ar"/>
        </w:rPr>
        <w:t>附件</w:t>
      </w:r>
      <w:r>
        <w:rPr>
          <w:rFonts w:hint="default" w:ascii="Times New Roman" w:hAnsi="Times New Roman" w:eastAsia="宋体" w:cs="Times New Roman"/>
          <w:b/>
          <w:bCs w:val="0"/>
          <w:kern w:val="0"/>
          <w:sz w:val="24"/>
          <w:szCs w:val="24"/>
          <w:lang w:val="en-US" w:eastAsia="zh-CN" w:bidi="ar"/>
        </w:rPr>
        <w:t>2</w:t>
      </w:r>
    </w:p>
    <w:p w14:paraId="5DDD843C">
      <w:pPr>
        <w:keepNext w:val="0"/>
        <w:keepLines w:val="0"/>
        <w:widowControl w:val="0"/>
        <w:suppressLineNumbers w:val="0"/>
        <w:adjustRightInd w:val="0"/>
        <w:snapToGrid w:val="0"/>
        <w:spacing w:before="0" w:beforeAutospacing="0" w:after="0" w:afterAutospacing="0" w:line="560" w:lineRule="exact"/>
        <w:ind w:left="0" w:right="0" w:firstLine="645"/>
        <w:jc w:val="center"/>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t>“信用中国”查询的严重失信行为类别及判定依据</w:t>
      </w:r>
    </w:p>
    <w:p w14:paraId="0621617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“信用中国”查询的严重失信行为判定依据为各行业主管部门下发的联合惩戒文件中规定的行为。下面将部分类别的严重失信行为列举如下：</w:t>
      </w:r>
    </w:p>
    <w:p w14:paraId="0254276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t>一、安全生产领域严重失信行为：</w:t>
      </w:r>
    </w:p>
    <w:p w14:paraId="7B80227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（一）下列发生生产安全事故的生产经营单位及其有关人员应当列入严重失信主体名单：</w:t>
      </w:r>
    </w:p>
    <w:p w14:paraId="75F38B2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1、发生特别重大、重大生产安全事故的生产经营单位及其主要负责人，以及经调查认定对该事故发生负有责任，应当列入名单的其他单位和人员；</w:t>
      </w:r>
    </w:p>
    <w:p w14:paraId="0FAD9AC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2、12个月内累计发生2起以上较大生产安全事故的生产经营单位及其主要负责人；</w:t>
      </w:r>
    </w:p>
    <w:p w14:paraId="032D9D5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3、发生生产安全事故，情节特别严重、影响特别恶劣，依照《中华人民共和国安全生产法》第一百一十四条的规定被处以罚款数额2倍以上5倍以下罚款的生产经营单位及其主要负责人；</w:t>
      </w:r>
    </w:p>
    <w:p w14:paraId="2CDBD5A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4、瞒报、谎报生产安全事故的生产经营单位及其有关责任人员；</w:t>
      </w:r>
    </w:p>
    <w:p w14:paraId="07313BD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5、发生生产安全事故后，不立即组织抢救或者在事故调查处理期间擅离职守或者逃匿的生产经营单位主要负责人。</w:t>
      </w:r>
    </w:p>
    <w:p w14:paraId="58CBBDE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（二）下列未发生生产安全事故，但因安全生产违法行为，受到行政处罚的生产经营单位或者机构及其有关人员，应当列入严重失信主体名单：</w:t>
      </w:r>
    </w:p>
    <w:p w14:paraId="4FB2B24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1、未依法取得安全生产相关许可或者许可被暂扣、吊销期间从事相关生产经营活动的生产经营单位及其主要负责人；</w:t>
      </w:r>
    </w:p>
    <w:p w14:paraId="7412B5F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2、承担安全评价、认证、检测、检验职责的机构及其直接责任人员租借资质、挂靠、出具虚假报告或者证书的；</w:t>
      </w:r>
    </w:p>
    <w:p w14:paraId="655DD3F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3、在应急管理部门作出行政处罚后，有执行能力拒不执行或者逃避执行的生产经营单位及其主要负责人；</w:t>
      </w:r>
    </w:p>
    <w:p w14:paraId="5C80512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4、其他违反安全生产法律法规受到行政处罚，且性质恶劣、情节严重的。</w:t>
      </w:r>
    </w:p>
    <w:p w14:paraId="7B4A9A7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t>依据：《安全生产严重失信主体名单管理办法》（2023年8月8日应急管理部令第11号）</w:t>
      </w:r>
    </w:p>
    <w:p w14:paraId="594DCD0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t>二、环境保护领域严重失信行为：</w:t>
      </w:r>
    </w:p>
    <w:p w14:paraId="59273AE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（一）因为环境违法构成环境犯罪的；</w:t>
      </w:r>
    </w:p>
    <w:p w14:paraId="0EAB539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（二）建设项目环境影响评价文件未按规定通过审批，擅自开工建设的；</w:t>
      </w:r>
    </w:p>
    <w:p w14:paraId="069BA95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（三）建设项目环保设施未建成、环保措施未落实、未通过竣工环保验收或者验收不合格，主体工程正式投入生产或者使用的；</w:t>
      </w:r>
    </w:p>
    <w:p w14:paraId="2155E86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（四）建设项目性质、规模、地点、采用的生产工艺或者防治污染、防止生态破坏的措施发生重大变动，未重新报批环境影响评价文件，擅自投入生产或者使用的；</w:t>
      </w:r>
    </w:p>
    <w:p w14:paraId="5436F4B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（五）主要污染物排放总量超过控制指标的；</w:t>
      </w:r>
    </w:p>
    <w:p w14:paraId="612F94D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（六）私设暗管或者利用渗井、渗坑、裂隙、溶洞等排放、倾倒、处置水污染物，或者通过私设旁路排放大气污染物的；</w:t>
      </w:r>
    </w:p>
    <w:p w14:paraId="7545D72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（七）非法排放、倾倒、处置危险废物，或者向无经营许可证或者超出经营许可范围的单位或个人提供或者委托其收集、贮存、利用、处置危险废物的；</w:t>
      </w:r>
    </w:p>
    <w:p w14:paraId="0009E96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（八）环境违法行为造成集中式生活饮用水水源取水中断的；</w:t>
      </w:r>
    </w:p>
    <w:p w14:paraId="1D04FCB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（九）环境违法行为对生活饮用水水源保护区、自然保护区、国家重点生态功能区、风景名胜区、居住功能区、基本农田保护区等环境敏感区造成重大不利影响的；</w:t>
      </w:r>
    </w:p>
    <w:p w14:paraId="4EDF090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（十）违法从事自然资源开发、交通基础设施建设，以及其他开发建设活动，造成严重生态破坏的；</w:t>
      </w:r>
    </w:p>
    <w:p w14:paraId="4202CA3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（十一）发生较大及以上突发环境事件的；</w:t>
      </w:r>
    </w:p>
    <w:p w14:paraId="701962D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（十二）被环保部门挂牌督办，整改逾期未完成的；</w:t>
      </w:r>
    </w:p>
    <w:p w14:paraId="722394A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（十三）以暴力、威胁等方式拒绝、阻挠环保部门工作人员现场检查的；</w:t>
      </w:r>
    </w:p>
    <w:p w14:paraId="469BD14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（十四）违反重污染天气应急预案有关规定，对重污染天气响应不力的。</w:t>
      </w:r>
    </w:p>
    <w:p w14:paraId="0355669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t>依据：《关于对环境保护领域失信生产经营单位及其有关人员开展联合惩戒的合作备忘录》、《企业环境信用评价办法（试行）》（环发〔2013〕150号）</w:t>
      </w:r>
    </w:p>
    <w:p w14:paraId="22A80C3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t>三、</w:t>
      </w:r>
      <w:r>
        <w:rPr>
          <w:rFonts w:hint="eastAsia" w:ascii="宋体" w:hAnsi="宋体" w:eastAsia="宋体" w:cs="宋体"/>
          <w:b/>
          <w:bCs/>
          <w:kern w:val="0"/>
          <w:sz w:val="24"/>
          <w:szCs w:val="24"/>
          <w:lang w:val="en-US" w:eastAsia="zh-CN" w:bidi="ar"/>
        </w:rPr>
        <w:t>公共资源交易领域严重失信行为</w:t>
      </w:r>
    </w:p>
    <w:p w14:paraId="013FFCF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（一）违反法律规定，必须进行招标的项目而不招标的，将必须进行招标的项目化整为零或者以其他任何方式规避招标的； </w:t>
      </w:r>
    </w:p>
    <w:p w14:paraId="1B32C13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（二）招标代理机构违反法律规定，泄露应当保密的与招标投标活动有关的情况和资料的，或者与招标人、投标人串通损害 国家利益、社会公共利益或者他人合法权益的；</w:t>
      </w:r>
    </w:p>
    <w:p w14:paraId="75F74BC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（三）招标人以不合理的条件限制或者排斥潜在投标人的，对潜在投标人实行歧视待遇的，强制要求投标人组成联合体共同 投标的，或者限制投标人之间竞争的；</w:t>
      </w:r>
    </w:p>
    <w:p w14:paraId="28391CC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（四）依法必须进行招标的项目的招标人向他人透露已获取招标文件的潜在投标人的名称、数量或者可能影响公平竞争的有 关招标投标的其他情况的，或者泄露标底的；</w:t>
      </w:r>
    </w:p>
    <w:p w14:paraId="6F9D442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（五）投标人相互串通投标或者与招标人串通投标的，投标人以向招标人或者评标委员会成员行贿的手段谋取中标的； </w:t>
      </w:r>
    </w:p>
    <w:p w14:paraId="6BC2CD8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（六）投标人以他人名义投标或者以其他方式弄虚作假，骗取中标的；</w:t>
      </w:r>
    </w:p>
    <w:p w14:paraId="63CC867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（七）依法必须进行招标的项目，招标人违反法律规定，与投标人就投标价格、投标方案等实质性内容进行谈判的；</w:t>
      </w:r>
    </w:p>
    <w:p w14:paraId="5B0175E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B46AF3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（九）招标人在评标委员会依法推荐的中标候选人以外确定中标人的，依法必须进行招标的项目在所有投标被评标委员会否 决后自行确定中标人的； </w:t>
      </w:r>
    </w:p>
    <w:p w14:paraId="26D9BE5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（十）中标人将中标项目转让给他人的，将中标项目肢解后分别转让给他人的，违反法律规定将中标项目的部分主体、关键 性工作分包给他人的，或者分包人再次分包的； </w:t>
      </w:r>
    </w:p>
    <w:p w14:paraId="7F76F7F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（十一）招标人与中标人不按照招标文件和中标人的投标文件订立合同的，或者招标人、中标人订立背离合同实质性内容的 协议的； </w:t>
      </w:r>
    </w:p>
    <w:p w14:paraId="6D632A1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（十二）中标人不按照与招标人订立的合同履行义务，情节严重的； </w:t>
      </w:r>
    </w:p>
    <w:p w14:paraId="6097436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46C4FA6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7692A2D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（十五）采购人对应当实行集中采购的政府采购项目，不委托集中采购机构实行集中采购的； </w:t>
      </w:r>
    </w:p>
    <w:p w14:paraId="7A1F1FC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（十六）采购人、采购代理机构违反法律规定隐匿、销毁应当保存的采购文件或者伪造、变造采购文件的； </w:t>
      </w:r>
    </w:p>
    <w:p w14:paraId="5C41008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5234E4C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（十八）疫苗生产企业向县级疾病预防控制机构以外的单位或者个人销售第二类疫苗的； </w:t>
      </w:r>
    </w:p>
    <w:p w14:paraId="3A90FBB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（十九）存在其他违反公共资源交易法律法规行为的。</w:t>
      </w:r>
    </w:p>
    <w:p w14:paraId="65A6950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sz w:val="24"/>
          <w:szCs w:val="24"/>
        </w:rPr>
      </w:pPr>
      <w:r>
        <w:rPr>
          <w:rFonts w:hint="eastAsia" w:ascii="宋体" w:hAnsi="宋体" w:eastAsia="宋体" w:cs="宋体"/>
          <w:b/>
          <w:bCs w:val="0"/>
          <w:kern w:val="0"/>
          <w:sz w:val="24"/>
          <w:szCs w:val="24"/>
          <w:lang w:val="en-US" w:eastAsia="zh-CN" w:bidi="ar"/>
        </w:rPr>
        <w:t>依据：《关于对公共资源交易领域严重失信主体开展联合惩戒的备忘录》（发改法规〔2018〕457号）</w:t>
      </w:r>
    </w:p>
    <w:p w14:paraId="563FB62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sz w:val="24"/>
          <w:szCs w:val="24"/>
        </w:rPr>
      </w:pPr>
      <w:r>
        <w:rPr>
          <w:rFonts w:hint="eastAsia" w:ascii="宋体" w:hAnsi="宋体" w:eastAsia="宋体" w:cs="宋体"/>
          <w:b/>
          <w:bCs w:val="0"/>
          <w:kern w:val="0"/>
          <w:sz w:val="24"/>
          <w:szCs w:val="24"/>
          <w:lang w:val="en-US" w:eastAsia="zh-CN" w:bidi="ar"/>
        </w:rPr>
        <w:t>四、</w:t>
      </w:r>
      <w:r>
        <w:rPr>
          <w:rFonts w:hint="eastAsia" w:ascii="宋体" w:hAnsi="宋体" w:eastAsia="宋体" w:cs="宋体"/>
          <w:b/>
          <w:bCs/>
          <w:kern w:val="0"/>
          <w:sz w:val="24"/>
          <w:szCs w:val="24"/>
          <w:lang w:val="en-US" w:eastAsia="zh-CN" w:bidi="ar"/>
        </w:rPr>
        <w:t>社会保险领域严重失信行为</w:t>
      </w:r>
    </w:p>
    <w:p w14:paraId="5696098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（一）用人单位未按相关规定参加社会保险且拒不整改的； </w:t>
      </w:r>
    </w:p>
    <w:p w14:paraId="44B1656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（二）用人单位未如实申报社会保险缴费基数且拒不整改的； </w:t>
      </w:r>
    </w:p>
    <w:p w14:paraId="2DF3EDF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（三）应缴纳社会保险费却拒不缴纳的； </w:t>
      </w:r>
    </w:p>
    <w:p w14:paraId="5879E1C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（四）隐匿、转移、侵占、挪用社会保险费款、基金或者违规投资运营的；</w:t>
      </w:r>
    </w:p>
    <w:p w14:paraId="5621FB9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（五）以欺诈、伪造证明材料或者其他手段参加、申报社会保险和骗取社会保险基金支出或社会保险待遇的； </w:t>
      </w:r>
    </w:p>
    <w:p w14:paraId="4309F9F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（六）非法获取、出售或变相交易社会保险个人权益数据的； </w:t>
      </w:r>
    </w:p>
    <w:p w14:paraId="7418F9D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（七）社会保险服务机构违反服务协议或相关规定的； </w:t>
      </w:r>
    </w:p>
    <w:p w14:paraId="6770DF4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7298CC0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（九）其他违反法律法规规定的。</w:t>
      </w:r>
    </w:p>
    <w:p w14:paraId="73AFAD0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sz w:val="24"/>
          <w:szCs w:val="24"/>
        </w:rPr>
      </w:pPr>
      <w:r>
        <w:rPr>
          <w:rFonts w:hint="eastAsia" w:ascii="宋体" w:hAnsi="宋体" w:eastAsia="宋体" w:cs="宋体"/>
          <w:b/>
          <w:bCs w:val="0"/>
          <w:kern w:val="0"/>
          <w:sz w:val="24"/>
          <w:szCs w:val="24"/>
          <w:lang w:val="en-US" w:eastAsia="zh-CN" w:bidi="ar"/>
        </w:rPr>
        <w:t>依据：《关于对社会保险领域严重失信企业及其有关人员实施联合惩戒的合作备忘录》（发改财金〔2018〕1704号）</w:t>
      </w:r>
    </w:p>
    <w:p w14:paraId="23BCD95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sz w:val="24"/>
          <w:szCs w:val="24"/>
        </w:rPr>
      </w:pPr>
      <w:r>
        <w:rPr>
          <w:rFonts w:hint="eastAsia" w:ascii="宋体" w:hAnsi="宋体" w:eastAsia="宋体" w:cs="宋体"/>
          <w:b/>
          <w:bCs w:val="0"/>
          <w:kern w:val="0"/>
          <w:sz w:val="24"/>
          <w:szCs w:val="24"/>
          <w:lang w:val="en-US" w:eastAsia="zh-CN" w:bidi="ar"/>
        </w:rPr>
        <w:t>五、建筑市场领域</w:t>
      </w:r>
      <w:r>
        <w:rPr>
          <w:rFonts w:hint="eastAsia" w:ascii="宋体" w:hAnsi="宋体" w:eastAsia="宋体" w:cs="宋体"/>
          <w:b/>
          <w:bCs/>
          <w:kern w:val="0"/>
          <w:sz w:val="24"/>
          <w:szCs w:val="24"/>
          <w:lang w:val="en-US" w:eastAsia="zh-CN" w:bidi="ar"/>
        </w:rPr>
        <w:t>严重失信行为</w:t>
      </w:r>
    </w:p>
    <w:p w14:paraId="0C26481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（一）利用虚假材料、以欺骗手段取得企业资质的；</w:t>
      </w:r>
    </w:p>
    <w:p w14:paraId="06B39FC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（二）发生转包、出借资质，受到行政处罚的；</w:t>
      </w:r>
    </w:p>
    <w:p w14:paraId="745AE12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3370309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（四）经法院判决或仲裁机构裁决，认定为拖欠工程款,且拒不履行生效法律文书确定的义务的。</w:t>
      </w:r>
    </w:p>
    <w:p w14:paraId="69566B3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各级住房城乡建设主管部门应当参照建筑市场主体“黑名单”，对被人力资源社会保障行政部门列入拖欠农民工工资“黑名单”的建筑市场各方主体加强监管。</w:t>
      </w:r>
    </w:p>
    <w:p w14:paraId="132071A6">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t>依据：《建筑市场信用管理暂行办法》（建市〔2017〕241号）</w:t>
      </w:r>
    </w:p>
    <w:p w14:paraId="708DC1F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t>六、政府采购严重失信行为</w:t>
      </w:r>
    </w:p>
    <w:p w14:paraId="1380BCB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供应商、采购代理机构在三年内受到财政部门作出下列情形之一的行政处罚，列入政府采购严重违法失信行为记录名单。</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（一）三万元以上罚款；</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（二）在一至三年内禁止参加政府采购活动（处罚期限届满的除外）；</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（三）在一至三年内禁止代理政府采购业务（处罚期限届满的除外）；</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（四）撤销政府采购代理机构资格（仅针对《政府采购法》第78条修改前作出的处罚决定）。</w:t>
      </w:r>
    </w:p>
    <w:p w14:paraId="0E9BF86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t>依据：《关于报送政府采购严重违法失信行为信息记录的通知》（财办库〔2014〕526号）</w:t>
      </w:r>
    </w:p>
    <w:p w14:paraId="794850C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bidi="ar"/>
        </w:rPr>
        <w:t>未列出的其他类别严重失信行为，由招标人（代理机构）根据各类别行业主管部门下发的联合惩戒文件进行判断。</w:t>
      </w:r>
    </w:p>
    <w:p w14:paraId="58BFC11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kern w:val="0"/>
          <w:sz w:val="24"/>
          <w:szCs w:val="24"/>
        </w:rPr>
      </w:pPr>
    </w:p>
    <w:p w14:paraId="23150FCF">
      <w:pPr>
        <w:spacing w:line="360" w:lineRule="auto"/>
        <w:ind w:firstLine="435"/>
        <w:rPr>
          <w:rFonts w:hint="eastAsia" w:asciiTheme="minorEastAsia" w:hAnsiTheme="minorEastAsia" w:eastAsiaTheme="minorEastAsia"/>
          <w:color w:val="auto"/>
          <w:sz w:val="24"/>
          <w:highlight w:val="none"/>
        </w:rPr>
      </w:pPr>
    </w:p>
    <w:sectPr>
      <w:headerReference r:id="rId5" w:type="default"/>
      <w:footerReference r:id="rId6" w:type="default"/>
      <w:pgSz w:w="11906" w:h="16838"/>
      <w:pgMar w:top="1270" w:right="1800" w:bottom="127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99E6B">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00B02">
    <w:pPr>
      <w:spacing w:line="189" w:lineRule="auto"/>
      <w:ind w:left="4430"/>
      <w:rPr>
        <w:rFonts w:hint="eastAsia" w:cs="@仿宋_GB2312" w:asciiTheme="minorEastAsia" w:hAnsiTheme="minorEastAsia" w:eastAsiaTheme="minorEastAsia"/>
        <w:kern w:val="2"/>
        <w:sz w:val="21"/>
        <w:szCs w:val="21"/>
        <w:lang w:val="en-US" w:eastAsia="zh-CN" w:bidi="ar-SA"/>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FBB9F">
                          <w:pPr>
                            <w:pStyle w:val="1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4BFBB9F">
                    <w:pPr>
                      <w:pStyle w:val="1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3B993">
    <w:pPr>
      <w:pStyle w:val="16"/>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81F">
    <w:pPr>
      <w:pStyle w:val="16"/>
      <w:pBdr>
        <w:bottom w:val="none" w:color="auto" w:sz="0" w:space="1"/>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3379E"/>
    <w:multiLevelType w:val="multilevel"/>
    <w:tmpl w:val="2323379E"/>
    <w:lvl w:ilvl="0" w:tentative="0">
      <w:start w:val="1"/>
      <w:numFmt w:val="chineseCountingThousand"/>
      <w:pStyle w:val="22"/>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6BA1"/>
    <w:rsid w:val="0000043F"/>
    <w:rsid w:val="000023CA"/>
    <w:rsid w:val="000037F9"/>
    <w:rsid w:val="000049DA"/>
    <w:rsid w:val="000056B7"/>
    <w:rsid w:val="00006585"/>
    <w:rsid w:val="00007647"/>
    <w:rsid w:val="0000779C"/>
    <w:rsid w:val="000131F7"/>
    <w:rsid w:val="00014039"/>
    <w:rsid w:val="0001600A"/>
    <w:rsid w:val="00016B6C"/>
    <w:rsid w:val="000201D0"/>
    <w:rsid w:val="00020B57"/>
    <w:rsid w:val="00020E3A"/>
    <w:rsid w:val="000261F2"/>
    <w:rsid w:val="000360B3"/>
    <w:rsid w:val="00040C25"/>
    <w:rsid w:val="00042139"/>
    <w:rsid w:val="00042973"/>
    <w:rsid w:val="00042B14"/>
    <w:rsid w:val="00044F49"/>
    <w:rsid w:val="000450C3"/>
    <w:rsid w:val="0004550A"/>
    <w:rsid w:val="00050A3F"/>
    <w:rsid w:val="00061234"/>
    <w:rsid w:val="00062C99"/>
    <w:rsid w:val="000648D2"/>
    <w:rsid w:val="00066B5B"/>
    <w:rsid w:val="00070E0E"/>
    <w:rsid w:val="0007146E"/>
    <w:rsid w:val="00076DB7"/>
    <w:rsid w:val="00080FEB"/>
    <w:rsid w:val="000845C6"/>
    <w:rsid w:val="000845CA"/>
    <w:rsid w:val="00092933"/>
    <w:rsid w:val="00093150"/>
    <w:rsid w:val="00094D41"/>
    <w:rsid w:val="000970FA"/>
    <w:rsid w:val="00097CB9"/>
    <w:rsid w:val="000A0D8A"/>
    <w:rsid w:val="000A10A9"/>
    <w:rsid w:val="000A6693"/>
    <w:rsid w:val="000A7970"/>
    <w:rsid w:val="000A7D94"/>
    <w:rsid w:val="000B00AF"/>
    <w:rsid w:val="000B1511"/>
    <w:rsid w:val="000B46F2"/>
    <w:rsid w:val="000B70F0"/>
    <w:rsid w:val="000C0507"/>
    <w:rsid w:val="000C1DB1"/>
    <w:rsid w:val="000D3A8D"/>
    <w:rsid w:val="000D3F37"/>
    <w:rsid w:val="000E2BA5"/>
    <w:rsid w:val="000E33A5"/>
    <w:rsid w:val="000E3BFD"/>
    <w:rsid w:val="000E3C74"/>
    <w:rsid w:val="000E3F9B"/>
    <w:rsid w:val="000E478E"/>
    <w:rsid w:val="000E6689"/>
    <w:rsid w:val="000E6FA7"/>
    <w:rsid w:val="000F172B"/>
    <w:rsid w:val="000F2198"/>
    <w:rsid w:val="000F3856"/>
    <w:rsid w:val="000F39B6"/>
    <w:rsid w:val="000F54AA"/>
    <w:rsid w:val="000F6B7B"/>
    <w:rsid w:val="00100B0F"/>
    <w:rsid w:val="0010187C"/>
    <w:rsid w:val="0010219C"/>
    <w:rsid w:val="001037E3"/>
    <w:rsid w:val="001077EC"/>
    <w:rsid w:val="0011036B"/>
    <w:rsid w:val="00110820"/>
    <w:rsid w:val="00112D01"/>
    <w:rsid w:val="00113EBF"/>
    <w:rsid w:val="00116050"/>
    <w:rsid w:val="0011660B"/>
    <w:rsid w:val="0012143A"/>
    <w:rsid w:val="00124AF9"/>
    <w:rsid w:val="001258BA"/>
    <w:rsid w:val="00126A59"/>
    <w:rsid w:val="001273BC"/>
    <w:rsid w:val="001301E2"/>
    <w:rsid w:val="001349C6"/>
    <w:rsid w:val="00140687"/>
    <w:rsid w:val="00140769"/>
    <w:rsid w:val="00141FE8"/>
    <w:rsid w:val="00142ED4"/>
    <w:rsid w:val="001459A7"/>
    <w:rsid w:val="00146421"/>
    <w:rsid w:val="00147A94"/>
    <w:rsid w:val="00147E0C"/>
    <w:rsid w:val="00151E19"/>
    <w:rsid w:val="00153B20"/>
    <w:rsid w:val="00154FDC"/>
    <w:rsid w:val="00155F64"/>
    <w:rsid w:val="00157856"/>
    <w:rsid w:val="00160729"/>
    <w:rsid w:val="001651ED"/>
    <w:rsid w:val="00166794"/>
    <w:rsid w:val="00166ED8"/>
    <w:rsid w:val="001714C9"/>
    <w:rsid w:val="00171B25"/>
    <w:rsid w:val="001749A0"/>
    <w:rsid w:val="0018119B"/>
    <w:rsid w:val="001812BE"/>
    <w:rsid w:val="001844AB"/>
    <w:rsid w:val="001853C7"/>
    <w:rsid w:val="00190839"/>
    <w:rsid w:val="00192879"/>
    <w:rsid w:val="00194365"/>
    <w:rsid w:val="001944B8"/>
    <w:rsid w:val="00196DA3"/>
    <w:rsid w:val="001A26EE"/>
    <w:rsid w:val="001A526C"/>
    <w:rsid w:val="001A68E5"/>
    <w:rsid w:val="001A69CE"/>
    <w:rsid w:val="001B2A54"/>
    <w:rsid w:val="001B2BA4"/>
    <w:rsid w:val="001B4A22"/>
    <w:rsid w:val="001B5014"/>
    <w:rsid w:val="001B7327"/>
    <w:rsid w:val="001C3E8A"/>
    <w:rsid w:val="001C646A"/>
    <w:rsid w:val="001D22EA"/>
    <w:rsid w:val="001D3674"/>
    <w:rsid w:val="001D3E9A"/>
    <w:rsid w:val="001D53B4"/>
    <w:rsid w:val="001D67FB"/>
    <w:rsid w:val="001D6C96"/>
    <w:rsid w:val="001E1835"/>
    <w:rsid w:val="001E7198"/>
    <w:rsid w:val="001F19A3"/>
    <w:rsid w:val="001F28D2"/>
    <w:rsid w:val="001F2F45"/>
    <w:rsid w:val="001F3023"/>
    <w:rsid w:val="001F3250"/>
    <w:rsid w:val="001F35F6"/>
    <w:rsid w:val="001F74CA"/>
    <w:rsid w:val="001F7590"/>
    <w:rsid w:val="002003B6"/>
    <w:rsid w:val="0020244A"/>
    <w:rsid w:val="00204609"/>
    <w:rsid w:val="002049B4"/>
    <w:rsid w:val="0020520B"/>
    <w:rsid w:val="00207490"/>
    <w:rsid w:val="002076AD"/>
    <w:rsid w:val="00213C55"/>
    <w:rsid w:val="00216412"/>
    <w:rsid w:val="00223CF4"/>
    <w:rsid w:val="00224C4A"/>
    <w:rsid w:val="00225608"/>
    <w:rsid w:val="002302D6"/>
    <w:rsid w:val="00231187"/>
    <w:rsid w:val="00233C96"/>
    <w:rsid w:val="0023407E"/>
    <w:rsid w:val="00240B40"/>
    <w:rsid w:val="00244182"/>
    <w:rsid w:val="00247817"/>
    <w:rsid w:val="002544A1"/>
    <w:rsid w:val="00256EF1"/>
    <w:rsid w:val="00257ECE"/>
    <w:rsid w:val="00260B94"/>
    <w:rsid w:val="00264F2E"/>
    <w:rsid w:val="00265463"/>
    <w:rsid w:val="00271245"/>
    <w:rsid w:val="00271720"/>
    <w:rsid w:val="00274A9E"/>
    <w:rsid w:val="00276BA1"/>
    <w:rsid w:val="002778C0"/>
    <w:rsid w:val="00280984"/>
    <w:rsid w:val="002835E3"/>
    <w:rsid w:val="00284542"/>
    <w:rsid w:val="00291840"/>
    <w:rsid w:val="00297870"/>
    <w:rsid w:val="002A14D1"/>
    <w:rsid w:val="002A1A1D"/>
    <w:rsid w:val="002A28AD"/>
    <w:rsid w:val="002A3F9B"/>
    <w:rsid w:val="002B04FD"/>
    <w:rsid w:val="002B5318"/>
    <w:rsid w:val="002B6D27"/>
    <w:rsid w:val="002B7A09"/>
    <w:rsid w:val="002C060C"/>
    <w:rsid w:val="002C5DCC"/>
    <w:rsid w:val="002C69FD"/>
    <w:rsid w:val="002C70AB"/>
    <w:rsid w:val="002D05DD"/>
    <w:rsid w:val="002D10A6"/>
    <w:rsid w:val="002D26D1"/>
    <w:rsid w:val="002D2965"/>
    <w:rsid w:val="002D2F38"/>
    <w:rsid w:val="002D3C10"/>
    <w:rsid w:val="002D3D02"/>
    <w:rsid w:val="002D4CB5"/>
    <w:rsid w:val="002D5610"/>
    <w:rsid w:val="002D684B"/>
    <w:rsid w:val="002D6FA4"/>
    <w:rsid w:val="002E1327"/>
    <w:rsid w:val="002E2AD2"/>
    <w:rsid w:val="002E2D3A"/>
    <w:rsid w:val="002E3B26"/>
    <w:rsid w:val="002E4AB8"/>
    <w:rsid w:val="002E7FC4"/>
    <w:rsid w:val="002F1132"/>
    <w:rsid w:val="00303D04"/>
    <w:rsid w:val="00310070"/>
    <w:rsid w:val="0031081B"/>
    <w:rsid w:val="00310EF7"/>
    <w:rsid w:val="003110EC"/>
    <w:rsid w:val="00314577"/>
    <w:rsid w:val="00317A51"/>
    <w:rsid w:val="003206A6"/>
    <w:rsid w:val="00322439"/>
    <w:rsid w:val="0032560D"/>
    <w:rsid w:val="00327C92"/>
    <w:rsid w:val="0033145F"/>
    <w:rsid w:val="00333292"/>
    <w:rsid w:val="003344E7"/>
    <w:rsid w:val="0033460E"/>
    <w:rsid w:val="0033580B"/>
    <w:rsid w:val="003365E7"/>
    <w:rsid w:val="003378D5"/>
    <w:rsid w:val="00341B40"/>
    <w:rsid w:val="00344BF7"/>
    <w:rsid w:val="003473D7"/>
    <w:rsid w:val="003510A4"/>
    <w:rsid w:val="00351AC8"/>
    <w:rsid w:val="00351CB6"/>
    <w:rsid w:val="00353075"/>
    <w:rsid w:val="003536F2"/>
    <w:rsid w:val="00360384"/>
    <w:rsid w:val="00361F77"/>
    <w:rsid w:val="00362110"/>
    <w:rsid w:val="00362561"/>
    <w:rsid w:val="00363022"/>
    <w:rsid w:val="00363E02"/>
    <w:rsid w:val="00370BF9"/>
    <w:rsid w:val="00372CF6"/>
    <w:rsid w:val="00373A96"/>
    <w:rsid w:val="003744F2"/>
    <w:rsid w:val="003800C3"/>
    <w:rsid w:val="0038193A"/>
    <w:rsid w:val="003826C2"/>
    <w:rsid w:val="00383728"/>
    <w:rsid w:val="00385435"/>
    <w:rsid w:val="00386239"/>
    <w:rsid w:val="003903BB"/>
    <w:rsid w:val="00392627"/>
    <w:rsid w:val="003938B3"/>
    <w:rsid w:val="003939B1"/>
    <w:rsid w:val="00394128"/>
    <w:rsid w:val="00394ADC"/>
    <w:rsid w:val="00395131"/>
    <w:rsid w:val="00395235"/>
    <w:rsid w:val="0039561A"/>
    <w:rsid w:val="0039676A"/>
    <w:rsid w:val="00397C7D"/>
    <w:rsid w:val="003A004F"/>
    <w:rsid w:val="003A085C"/>
    <w:rsid w:val="003A092F"/>
    <w:rsid w:val="003A326B"/>
    <w:rsid w:val="003A68A7"/>
    <w:rsid w:val="003B1321"/>
    <w:rsid w:val="003B154F"/>
    <w:rsid w:val="003B2E76"/>
    <w:rsid w:val="003B4130"/>
    <w:rsid w:val="003B715B"/>
    <w:rsid w:val="003C2C62"/>
    <w:rsid w:val="003C2CB8"/>
    <w:rsid w:val="003D1D14"/>
    <w:rsid w:val="003D31C0"/>
    <w:rsid w:val="003D6B5D"/>
    <w:rsid w:val="003D6C7C"/>
    <w:rsid w:val="003D6EFB"/>
    <w:rsid w:val="003D73CA"/>
    <w:rsid w:val="003D7E52"/>
    <w:rsid w:val="003E25C6"/>
    <w:rsid w:val="003F7528"/>
    <w:rsid w:val="0040083C"/>
    <w:rsid w:val="004009F4"/>
    <w:rsid w:val="004011AA"/>
    <w:rsid w:val="0040202C"/>
    <w:rsid w:val="0040563A"/>
    <w:rsid w:val="00406508"/>
    <w:rsid w:val="00412E69"/>
    <w:rsid w:val="004140DE"/>
    <w:rsid w:val="0041456E"/>
    <w:rsid w:val="00414F7E"/>
    <w:rsid w:val="004164F8"/>
    <w:rsid w:val="0042170B"/>
    <w:rsid w:val="00424A97"/>
    <w:rsid w:val="00426F05"/>
    <w:rsid w:val="00427B65"/>
    <w:rsid w:val="004327A2"/>
    <w:rsid w:val="004328E1"/>
    <w:rsid w:val="00436B56"/>
    <w:rsid w:val="0044205D"/>
    <w:rsid w:val="004426E7"/>
    <w:rsid w:val="004427B7"/>
    <w:rsid w:val="00442F6D"/>
    <w:rsid w:val="0044349F"/>
    <w:rsid w:val="00445F1F"/>
    <w:rsid w:val="004474B2"/>
    <w:rsid w:val="0045076F"/>
    <w:rsid w:val="00451F60"/>
    <w:rsid w:val="00452BB2"/>
    <w:rsid w:val="00456054"/>
    <w:rsid w:val="0045656D"/>
    <w:rsid w:val="00460B9A"/>
    <w:rsid w:val="0046291C"/>
    <w:rsid w:val="00462D98"/>
    <w:rsid w:val="00463E7D"/>
    <w:rsid w:val="0046704C"/>
    <w:rsid w:val="0047174D"/>
    <w:rsid w:val="0047268A"/>
    <w:rsid w:val="00472964"/>
    <w:rsid w:val="00472A44"/>
    <w:rsid w:val="00473A89"/>
    <w:rsid w:val="00475899"/>
    <w:rsid w:val="00482C78"/>
    <w:rsid w:val="0048634A"/>
    <w:rsid w:val="004874AE"/>
    <w:rsid w:val="004905FC"/>
    <w:rsid w:val="00494385"/>
    <w:rsid w:val="00494D24"/>
    <w:rsid w:val="004951D1"/>
    <w:rsid w:val="004960BB"/>
    <w:rsid w:val="00496773"/>
    <w:rsid w:val="00496FA4"/>
    <w:rsid w:val="004A27D0"/>
    <w:rsid w:val="004A4D67"/>
    <w:rsid w:val="004A7690"/>
    <w:rsid w:val="004B0A70"/>
    <w:rsid w:val="004B6A5D"/>
    <w:rsid w:val="004C13CB"/>
    <w:rsid w:val="004D0537"/>
    <w:rsid w:val="004D3D4B"/>
    <w:rsid w:val="004D5498"/>
    <w:rsid w:val="004D66A5"/>
    <w:rsid w:val="004D6B00"/>
    <w:rsid w:val="004D6B8C"/>
    <w:rsid w:val="004D71FC"/>
    <w:rsid w:val="004D7A64"/>
    <w:rsid w:val="004E0D39"/>
    <w:rsid w:val="004E1D50"/>
    <w:rsid w:val="004E65E1"/>
    <w:rsid w:val="004F27A0"/>
    <w:rsid w:val="004F2F91"/>
    <w:rsid w:val="004F63C7"/>
    <w:rsid w:val="004F6BAD"/>
    <w:rsid w:val="00501382"/>
    <w:rsid w:val="005029C7"/>
    <w:rsid w:val="00504B12"/>
    <w:rsid w:val="00510798"/>
    <w:rsid w:val="00512101"/>
    <w:rsid w:val="005125F1"/>
    <w:rsid w:val="0051737F"/>
    <w:rsid w:val="00522A55"/>
    <w:rsid w:val="00524A11"/>
    <w:rsid w:val="0052757B"/>
    <w:rsid w:val="00527768"/>
    <w:rsid w:val="00530EA4"/>
    <w:rsid w:val="00531AD6"/>
    <w:rsid w:val="005327FB"/>
    <w:rsid w:val="00533FCA"/>
    <w:rsid w:val="00536422"/>
    <w:rsid w:val="005470D4"/>
    <w:rsid w:val="005616B5"/>
    <w:rsid w:val="005639C3"/>
    <w:rsid w:val="005668F0"/>
    <w:rsid w:val="005679A4"/>
    <w:rsid w:val="00571FA4"/>
    <w:rsid w:val="00574B0B"/>
    <w:rsid w:val="005760E1"/>
    <w:rsid w:val="00581663"/>
    <w:rsid w:val="00585811"/>
    <w:rsid w:val="00591DC8"/>
    <w:rsid w:val="0059223D"/>
    <w:rsid w:val="00597B15"/>
    <w:rsid w:val="005A044C"/>
    <w:rsid w:val="005A149F"/>
    <w:rsid w:val="005A18B7"/>
    <w:rsid w:val="005A2656"/>
    <w:rsid w:val="005A73B1"/>
    <w:rsid w:val="005B05B5"/>
    <w:rsid w:val="005B16E3"/>
    <w:rsid w:val="005B34C9"/>
    <w:rsid w:val="005B6BD1"/>
    <w:rsid w:val="005C140C"/>
    <w:rsid w:val="005C6C95"/>
    <w:rsid w:val="005D0200"/>
    <w:rsid w:val="005D44EF"/>
    <w:rsid w:val="005D5109"/>
    <w:rsid w:val="005D5112"/>
    <w:rsid w:val="005D5A94"/>
    <w:rsid w:val="005D5D67"/>
    <w:rsid w:val="005E2874"/>
    <w:rsid w:val="005E425A"/>
    <w:rsid w:val="005E6202"/>
    <w:rsid w:val="005F240E"/>
    <w:rsid w:val="005F2B97"/>
    <w:rsid w:val="005F34CC"/>
    <w:rsid w:val="005F3914"/>
    <w:rsid w:val="005F3B5A"/>
    <w:rsid w:val="005F6AB4"/>
    <w:rsid w:val="00607471"/>
    <w:rsid w:val="00610A66"/>
    <w:rsid w:val="00610C25"/>
    <w:rsid w:val="00612CFF"/>
    <w:rsid w:val="00613177"/>
    <w:rsid w:val="00613F7C"/>
    <w:rsid w:val="00614BF2"/>
    <w:rsid w:val="0061557C"/>
    <w:rsid w:val="00617ECF"/>
    <w:rsid w:val="006208AC"/>
    <w:rsid w:val="00623DE2"/>
    <w:rsid w:val="00627601"/>
    <w:rsid w:val="006300D0"/>
    <w:rsid w:val="00630BA1"/>
    <w:rsid w:val="00632012"/>
    <w:rsid w:val="00634694"/>
    <w:rsid w:val="00635682"/>
    <w:rsid w:val="006357FD"/>
    <w:rsid w:val="00636517"/>
    <w:rsid w:val="00637122"/>
    <w:rsid w:val="00637690"/>
    <w:rsid w:val="00637BB7"/>
    <w:rsid w:val="0064044E"/>
    <w:rsid w:val="00640E1E"/>
    <w:rsid w:val="0064389A"/>
    <w:rsid w:val="00644F02"/>
    <w:rsid w:val="00645442"/>
    <w:rsid w:val="00650474"/>
    <w:rsid w:val="006525CD"/>
    <w:rsid w:val="00652C67"/>
    <w:rsid w:val="00653F7F"/>
    <w:rsid w:val="00655229"/>
    <w:rsid w:val="0065682C"/>
    <w:rsid w:val="00662EE8"/>
    <w:rsid w:val="00663813"/>
    <w:rsid w:val="00664AFD"/>
    <w:rsid w:val="00667567"/>
    <w:rsid w:val="0067391A"/>
    <w:rsid w:val="00674173"/>
    <w:rsid w:val="00676551"/>
    <w:rsid w:val="00677D87"/>
    <w:rsid w:val="0068405B"/>
    <w:rsid w:val="00690DB1"/>
    <w:rsid w:val="00691C87"/>
    <w:rsid w:val="00693404"/>
    <w:rsid w:val="006953D9"/>
    <w:rsid w:val="006A03C1"/>
    <w:rsid w:val="006A1269"/>
    <w:rsid w:val="006A49DE"/>
    <w:rsid w:val="006A5803"/>
    <w:rsid w:val="006A69C3"/>
    <w:rsid w:val="006A7C15"/>
    <w:rsid w:val="006B1242"/>
    <w:rsid w:val="006B1DBC"/>
    <w:rsid w:val="006B7C1C"/>
    <w:rsid w:val="006B7D9A"/>
    <w:rsid w:val="006C06D9"/>
    <w:rsid w:val="006C3E22"/>
    <w:rsid w:val="006C45B8"/>
    <w:rsid w:val="006C48CA"/>
    <w:rsid w:val="006C5716"/>
    <w:rsid w:val="006C64B2"/>
    <w:rsid w:val="006C6D92"/>
    <w:rsid w:val="006C74A9"/>
    <w:rsid w:val="006D07DE"/>
    <w:rsid w:val="006D361A"/>
    <w:rsid w:val="006D36C1"/>
    <w:rsid w:val="006E06D9"/>
    <w:rsid w:val="006E0FB8"/>
    <w:rsid w:val="006E1D40"/>
    <w:rsid w:val="006E2E1F"/>
    <w:rsid w:val="006E5059"/>
    <w:rsid w:val="006F0247"/>
    <w:rsid w:val="006F1A03"/>
    <w:rsid w:val="006F5F03"/>
    <w:rsid w:val="006F5FFF"/>
    <w:rsid w:val="0070078B"/>
    <w:rsid w:val="00710804"/>
    <w:rsid w:val="00711FC6"/>
    <w:rsid w:val="007130B1"/>
    <w:rsid w:val="00715071"/>
    <w:rsid w:val="00716532"/>
    <w:rsid w:val="00716F39"/>
    <w:rsid w:val="00720574"/>
    <w:rsid w:val="00720D0D"/>
    <w:rsid w:val="007231E9"/>
    <w:rsid w:val="007243E6"/>
    <w:rsid w:val="00724F0E"/>
    <w:rsid w:val="00725DA2"/>
    <w:rsid w:val="00727C59"/>
    <w:rsid w:val="00733730"/>
    <w:rsid w:val="00734E5D"/>
    <w:rsid w:val="00736013"/>
    <w:rsid w:val="00737BF8"/>
    <w:rsid w:val="0074339B"/>
    <w:rsid w:val="007516F4"/>
    <w:rsid w:val="00752504"/>
    <w:rsid w:val="00753ECD"/>
    <w:rsid w:val="00756245"/>
    <w:rsid w:val="00761662"/>
    <w:rsid w:val="0076222D"/>
    <w:rsid w:val="00763E37"/>
    <w:rsid w:val="00763F83"/>
    <w:rsid w:val="00764043"/>
    <w:rsid w:val="007757CF"/>
    <w:rsid w:val="0078128F"/>
    <w:rsid w:val="007819D9"/>
    <w:rsid w:val="00782F68"/>
    <w:rsid w:val="00785E68"/>
    <w:rsid w:val="007866A5"/>
    <w:rsid w:val="0078683C"/>
    <w:rsid w:val="00787C8F"/>
    <w:rsid w:val="00790EDB"/>
    <w:rsid w:val="00791538"/>
    <w:rsid w:val="0079326E"/>
    <w:rsid w:val="007954E7"/>
    <w:rsid w:val="00796EDE"/>
    <w:rsid w:val="007A085A"/>
    <w:rsid w:val="007A5A58"/>
    <w:rsid w:val="007B1C56"/>
    <w:rsid w:val="007C1DD7"/>
    <w:rsid w:val="007C3CD5"/>
    <w:rsid w:val="007C4CBA"/>
    <w:rsid w:val="007C5E88"/>
    <w:rsid w:val="007C61EF"/>
    <w:rsid w:val="007D1C0D"/>
    <w:rsid w:val="007D2D23"/>
    <w:rsid w:val="007D7AA0"/>
    <w:rsid w:val="007E2241"/>
    <w:rsid w:val="007E2627"/>
    <w:rsid w:val="007E27D6"/>
    <w:rsid w:val="007E3921"/>
    <w:rsid w:val="007F2052"/>
    <w:rsid w:val="007F40D8"/>
    <w:rsid w:val="00801028"/>
    <w:rsid w:val="00802DCE"/>
    <w:rsid w:val="00803793"/>
    <w:rsid w:val="00804000"/>
    <w:rsid w:val="0081017D"/>
    <w:rsid w:val="008153D1"/>
    <w:rsid w:val="00817A01"/>
    <w:rsid w:val="00820E1F"/>
    <w:rsid w:val="00825E35"/>
    <w:rsid w:val="00830A4E"/>
    <w:rsid w:val="008334F8"/>
    <w:rsid w:val="00835FFD"/>
    <w:rsid w:val="00844FAA"/>
    <w:rsid w:val="008504BF"/>
    <w:rsid w:val="008524CE"/>
    <w:rsid w:val="00854ED9"/>
    <w:rsid w:val="00855391"/>
    <w:rsid w:val="0086440C"/>
    <w:rsid w:val="00875269"/>
    <w:rsid w:val="00876294"/>
    <w:rsid w:val="00876659"/>
    <w:rsid w:val="0087734C"/>
    <w:rsid w:val="00881EEF"/>
    <w:rsid w:val="00882141"/>
    <w:rsid w:val="00883A1A"/>
    <w:rsid w:val="008876EC"/>
    <w:rsid w:val="008922A8"/>
    <w:rsid w:val="00894999"/>
    <w:rsid w:val="008953F3"/>
    <w:rsid w:val="00895BD5"/>
    <w:rsid w:val="008A1475"/>
    <w:rsid w:val="008A16C4"/>
    <w:rsid w:val="008A6FED"/>
    <w:rsid w:val="008B39C5"/>
    <w:rsid w:val="008B51AA"/>
    <w:rsid w:val="008C2AA8"/>
    <w:rsid w:val="008C67F2"/>
    <w:rsid w:val="008D064A"/>
    <w:rsid w:val="008D1E91"/>
    <w:rsid w:val="008D264C"/>
    <w:rsid w:val="008D2B0F"/>
    <w:rsid w:val="008D5611"/>
    <w:rsid w:val="008E294B"/>
    <w:rsid w:val="008E449E"/>
    <w:rsid w:val="008E4BDD"/>
    <w:rsid w:val="008E4DA7"/>
    <w:rsid w:val="008E5B79"/>
    <w:rsid w:val="008E770C"/>
    <w:rsid w:val="008E7CD5"/>
    <w:rsid w:val="008F187F"/>
    <w:rsid w:val="008F39F1"/>
    <w:rsid w:val="008F402F"/>
    <w:rsid w:val="008F76E8"/>
    <w:rsid w:val="0090697A"/>
    <w:rsid w:val="009078A1"/>
    <w:rsid w:val="00911E9C"/>
    <w:rsid w:val="00913A93"/>
    <w:rsid w:val="00914AD1"/>
    <w:rsid w:val="00917405"/>
    <w:rsid w:val="00920F7C"/>
    <w:rsid w:val="00924743"/>
    <w:rsid w:val="00924F78"/>
    <w:rsid w:val="00934CAE"/>
    <w:rsid w:val="0094257D"/>
    <w:rsid w:val="009467D2"/>
    <w:rsid w:val="009469A8"/>
    <w:rsid w:val="0095467C"/>
    <w:rsid w:val="00954A61"/>
    <w:rsid w:val="00955C6F"/>
    <w:rsid w:val="00956916"/>
    <w:rsid w:val="00966C7B"/>
    <w:rsid w:val="00967FE8"/>
    <w:rsid w:val="009700F4"/>
    <w:rsid w:val="009701DC"/>
    <w:rsid w:val="00970996"/>
    <w:rsid w:val="009715D8"/>
    <w:rsid w:val="0097552B"/>
    <w:rsid w:val="00976B1D"/>
    <w:rsid w:val="009775B8"/>
    <w:rsid w:val="009811A8"/>
    <w:rsid w:val="0098659E"/>
    <w:rsid w:val="009904C9"/>
    <w:rsid w:val="00992CEC"/>
    <w:rsid w:val="00995BF9"/>
    <w:rsid w:val="009A0CAF"/>
    <w:rsid w:val="009A1328"/>
    <w:rsid w:val="009A2207"/>
    <w:rsid w:val="009B0673"/>
    <w:rsid w:val="009B0EDA"/>
    <w:rsid w:val="009B3545"/>
    <w:rsid w:val="009B6C42"/>
    <w:rsid w:val="009D2690"/>
    <w:rsid w:val="009D2998"/>
    <w:rsid w:val="009D31F7"/>
    <w:rsid w:val="009D32C2"/>
    <w:rsid w:val="009D50DB"/>
    <w:rsid w:val="009E2932"/>
    <w:rsid w:val="009E2B8D"/>
    <w:rsid w:val="009E2E04"/>
    <w:rsid w:val="009E3A0A"/>
    <w:rsid w:val="009E4BCE"/>
    <w:rsid w:val="009E5ECD"/>
    <w:rsid w:val="009F3E91"/>
    <w:rsid w:val="009F7A34"/>
    <w:rsid w:val="00A008DA"/>
    <w:rsid w:val="00A00C7A"/>
    <w:rsid w:val="00A0571E"/>
    <w:rsid w:val="00A101E6"/>
    <w:rsid w:val="00A130DE"/>
    <w:rsid w:val="00A1499B"/>
    <w:rsid w:val="00A16EB2"/>
    <w:rsid w:val="00A17CCF"/>
    <w:rsid w:val="00A20CD3"/>
    <w:rsid w:val="00A30A1B"/>
    <w:rsid w:val="00A314C2"/>
    <w:rsid w:val="00A35C01"/>
    <w:rsid w:val="00A46CD5"/>
    <w:rsid w:val="00A50447"/>
    <w:rsid w:val="00A519A0"/>
    <w:rsid w:val="00A56D48"/>
    <w:rsid w:val="00A60B3D"/>
    <w:rsid w:val="00A62A2E"/>
    <w:rsid w:val="00A63E86"/>
    <w:rsid w:val="00A65139"/>
    <w:rsid w:val="00A655F5"/>
    <w:rsid w:val="00A66A60"/>
    <w:rsid w:val="00A713BD"/>
    <w:rsid w:val="00A71D1A"/>
    <w:rsid w:val="00A757C3"/>
    <w:rsid w:val="00A75E5B"/>
    <w:rsid w:val="00A7684A"/>
    <w:rsid w:val="00A83B69"/>
    <w:rsid w:val="00A86533"/>
    <w:rsid w:val="00A91CA2"/>
    <w:rsid w:val="00A92FB8"/>
    <w:rsid w:val="00A932EE"/>
    <w:rsid w:val="00A948F1"/>
    <w:rsid w:val="00AA18F9"/>
    <w:rsid w:val="00AA1D7D"/>
    <w:rsid w:val="00AA2790"/>
    <w:rsid w:val="00AA3806"/>
    <w:rsid w:val="00AA7F1B"/>
    <w:rsid w:val="00AB066F"/>
    <w:rsid w:val="00AB139D"/>
    <w:rsid w:val="00AB187D"/>
    <w:rsid w:val="00AB2D05"/>
    <w:rsid w:val="00AB3EFB"/>
    <w:rsid w:val="00AC0B05"/>
    <w:rsid w:val="00AC7F9D"/>
    <w:rsid w:val="00AD079A"/>
    <w:rsid w:val="00AD1890"/>
    <w:rsid w:val="00AD4A6B"/>
    <w:rsid w:val="00AE2149"/>
    <w:rsid w:val="00AE33AE"/>
    <w:rsid w:val="00AE3F91"/>
    <w:rsid w:val="00AE4B4A"/>
    <w:rsid w:val="00AF020F"/>
    <w:rsid w:val="00AF1F69"/>
    <w:rsid w:val="00B00288"/>
    <w:rsid w:val="00B0053D"/>
    <w:rsid w:val="00B02AF8"/>
    <w:rsid w:val="00B03916"/>
    <w:rsid w:val="00B039E3"/>
    <w:rsid w:val="00B06D36"/>
    <w:rsid w:val="00B0722E"/>
    <w:rsid w:val="00B07C1F"/>
    <w:rsid w:val="00B12BC4"/>
    <w:rsid w:val="00B22838"/>
    <w:rsid w:val="00B26818"/>
    <w:rsid w:val="00B311CE"/>
    <w:rsid w:val="00B31C60"/>
    <w:rsid w:val="00B3250C"/>
    <w:rsid w:val="00B33E95"/>
    <w:rsid w:val="00B35AE1"/>
    <w:rsid w:val="00B3720B"/>
    <w:rsid w:val="00B4477D"/>
    <w:rsid w:val="00B458F3"/>
    <w:rsid w:val="00B45D0B"/>
    <w:rsid w:val="00B4619F"/>
    <w:rsid w:val="00B54621"/>
    <w:rsid w:val="00B5558A"/>
    <w:rsid w:val="00B56513"/>
    <w:rsid w:val="00B6149B"/>
    <w:rsid w:val="00B63D36"/>
    <w:rsid w:val="00B64376"/>
    <w:rsid w:val="00B6570C"/>
    <w:rsid w:val="00B71D0E"/>
    <w:rsid w:val="00B7401F"/>
    <w:rsid w:val="00B769CF"/>
    <w:rsid w:val="00B77614"/>
    <w:rsid w:val="00B77636"/>
    <w:rsid w:val="00B806C3"/>
    <w:rsid w:val="00B80D6F"/>
    <w:rsid w:val="00B84290"/>
    <w:rsid w:val="00B84FCA"/>
    <w:rsid w:val="00B9089F"/>
    <w:rsid w:val="00B91826"/>
    <w:rsid w:val="00B91AEE"/>
    <w:rsid w:val="00B95F5A"/>
    <w:rsid w:val="00B967C6"/>
    <w:rsid w:val="00B96EAD"/>
    <w:rsid w:val="00BA21CC"/>
    <w:rsid w:val="00BA2EFC"/>
    <w:rsid w:val="00BA79F5"/>
    <w:rsid w:val="00BB10ED"/>
    <w:rsid w:val="00BB1747"/>
    <w:rsid w:val="00BB276E"/>
    <w:rsid w:val="00BB295A"/>
    <w:rsid w:val="00BB3AB6"/>
    <w:rsid w:val="00BB766D"/>
    <w:rsid w:val="00BC003F"/>
    <w:rsid w:val="00BC007B"/>
    <w:rsid w:val="00BC0FFE"/>
    <w:rsid w:val="00BC148D"/>
    <w:rsid w:val="00BC26BA"/>
    <w:rsid w:val="00BC35F8"/>
    <w:rsid w:val="00BC47D9"/>
    <w:rsid w:val="00BC481B"/>
    <w:rsid w:val="00BD1989"/>
    <w:rsid w:val="00BD2771"/>
    <w:rsid w:val="00BD617C"/>
    <w:rsid w:val="00BE1DBC"/>
    <w:rsid w:val="00BF2BD0"/>
    <w:rsid w:val="00BF376F"/>
    <w:rsid w:val="00BF3E44"/>
    <w:rsid w:val="00BF3F05"/>
    <w:rsid w:val="00BF436A"/>
    <w:rsid w:val="00BF46A6"/>
    <w:rsid w:val="00BF48F0"/>
    <w:rsid w:val="00BF53E1"/>
    <w:rsid w:val="00BF56F8"/>
    <w:rsid w:val="00BF5FD3"/>
    <w:rsid w:val="00BF71FB"/>
    <w:rsid w:val="00C02546"/>
    <w:rsid w:val="00C044C1"/>
    <w:rsid w:val="00C04AB6"/>
    <w:rsid w:val="00C06545"/>
    <w:rsid w:val="00C10D50"/>
    <w:rsid w:val="00C12CEE"/>
    <w:rsid w:val="00C134AF"/>
    <w:rsid w:val="00C17625"/>
    <w:rsid w:val="00C220FC"/>
    <w:rsid w:val="00C24B5B"/>
    <w:rsid w:val="00C24DFA"/>
    <w:rsid w:val="00C24F9D"/>
    <w:rsid w:val="00C261F6"/>
    <w:rsid w:val="00C276F6"/>
    <w:rsid w:val="00C30182"/>
    <w:rsid w:val="00C30382"/>
    <w:rsid w:val="00C30C9E"/>
    <w:rsid w:val="00C31FC9"/>
    <w:rsid w:val="00C37A63"/>
    <w:rsid w:val="00C41F60"/>
    <w:rsid w:val="00C46A36"/>
    <w:rsid w:val="00C47037"/>
    <w:rsid w:val="00C53625"/>
    <w:rsid w:val="00C53E9F"/>
    <w:rsid w:val="00C548BA"/>
    <w:rsid w:val="00C54D56"/>
    <w:rsid w:val="00C57784"/>
    <w:rsid w:val="00C602C1"/>
    <w:rsid w:val="00C63608"/>
    <w:rsid w:val="00C63FC0"/>
    <w:rsid w:val="00C66392"/>
    <w:rsid w:val="00C67D87"/>
    <w:rsid w:val="00C72C8D"/>
    <w:rsid w:val="00C73D09"/>
    <w:rsid w:val="00C74C5E"/>
    <w:rsid w:val="00C75ECA"/>
    <w:rsid w:val="00C80D87"/>
    <w:rsid w:val="00C82558"/>
    <w:rsid w:val="00C827A2"/>
    <w:rsid w:val="00C82B69"/>
    <w:rsid w:val="00C82CB3"/>
    <w:rsid w:val="00C86E29"/>
    <w:rsid w:val="00C91B28"/>
    <w:rsid w:val="00C91F3A"/>
    <w:rsid w:val="00C93590"/>
    <w:rsid w:val="00CA314D"/>
    <w:rsid w:val="00CA5446"/>
    <w:rsid w:val="00CB1213"/>
    <w:rsid w:val="00CB12E8"/>
    <w:rsid w:val="00CB218D"/>
    <w:rsid w:val="00CB3C63"/>
    <w:rsid w:val="00CB5625"/>
    <w:rsid w:val="00CB5797"/>
    <w:rsid w:val="00CB7E67"/>
    <w:rsid w:val="00CC03E5"/>
    <w:rsid w:val="00CC1C17"/>
    <w:rsid w:val="00CC4F01"/>
    <w:rsid w:val="00CC4F7F"/>
    <w:rsid w:val="00CC5C15"/>
    <w:rsid w:val="00CD0146"/>
    <w:rsid w:val="00CD0252"/>
    <w:rsid w:val="00CD09E1"/>
    <w:rsid w:val="00CD49AD"/>
    <w:rsid w:val="00CD74CC"/>
    <w:rsid w:val="00CE1780"/>
    <w:rsid w:val="00CE3028"/>
    <w:rsid w:val="00CE353F"/>
    <w:rsid w:val="00CE3C6D"/>
    <w:rsid w:val="00CE4327"/>
    <w:rsid w:val="00CE4913"/>
    <w:rsid w:val="00CE66BD"/>
    <w:rsid w:val="00CF0671"/>
    <w:rsid w:val="00CF247A"/>
    <w:rsid w:val="00CF4190"/>
    <w:rsid w:val="00CF44AD"/>
    <w:rsid w:val="00CF4FC0"/>
    <w:rsid w:val="00D00028"/>
    <w:rsid w:val="00D0107F"/>
    <w:rsid w:val="00D033A5"/>
    <w:rsid w:val="00D1072F"/>
    <w:rsid w:val="00D108A5"/>
    <w:rsid w:val="00D14585"/>
    <w:rsid w:val="00D20249"/>
    <w:rsid w:val="00D20831"/>
    <w:rsid w:val="00D20EFF"/>
    <w:rsid w:val="00D2551E"/>
    <w:rsid w:val="00D25F48"/>
    <w:rsid w:val="00D304CC"/>
    <w:rsid w:val="00D3077A"/>
    <w:rsid w:val="00D31324"/>
    <w:rsid w:val="00D36A58"/>
    <w:rsid w:val="00D47756"/>
    <w:rsid w:val="00D53ED8"/>
    <w:rsid w:val="00D604AC"/>
    <w:rsid w:val="00D608F8"/>
    <w:rsid w:val="00D64857"/>
    <w:rsid w:val="00D6493A"/>
    <w:rsid w:val="00D649A5"/>
    <w:rsid w:val="00D67875"/>
    <w:rsid w:val="00D719B9"/>
    <w:rsid w:val="00D71E86"/>
    <w:rsid w:val="00D731C6"/>
    <w:rsid w:val="00D745C5"/>
    <w:rsid w:val="00D75327"/>
    <w:rsid w:val="00D80C36"/>
    <w:rsid w:val="00D81A32"/>
    <w:rsid w:val="00D86EE1"/>
    <w:rsid w:val="00D87E70"/>
    <w:rsid w:val="00D91C23"/>
    <w:rsid w:val="00D9377F"/>
    <w:rsid w:val="00D95E90"/>
    <w:rsid w:val="00D96126"/>
    <w:rsid w:val="00D96523"/>
    <w:rsid w:val="00D97B36"/>
    <w:rsid w:val="00DA2FD5"/>
    <w:rsid w:val="00DA515B"/>
    <w:rsid w:val="00DB0B64"/>
    <w:rsid w:val="00DB2522"/>
    <w:rsid w:val="00DB42D9"/>
    <w:rsid w:val="00DB4B1C"/>
    <w:rsid w:val="00DB5085"/>
    <w:rsid w:val="00DB5E31"/>
    <w:rsid w:val="00DB619F"/>
    <w:rsid w:val="00DB6E51"/>
    <w:rsid w:val="00DC1062"/>
    <w:rsid w:val="00DC132C"/>
    <w:rsid w:val="00DC1AD2"/>
    <w:rsid w:val="00DC48CC"/>
    <w:rsid w:val="00DD078D"/>
    <w:rsid w:val="00DD3189"/>
    <w:rsid w:val="00DD4191"/>
    <w:rsid w:val="00DD43F0"/>
    <w:rsid w:val="00DD44DE"/>
    <w:rsid w:val="00DD5C4A"/>
    <w:rsid w:val="00DE09AB"/>
    <w:rsid w:val="00DE4A3F"/>
    <w:rsid w:val="00DE5A99"/>
    <w:rsid w:val="00DF24C2"/>
    <w:rsid w:val="00DF4367"/>
    <w:rsid w:val="00DF70AA"/>
    <w:rsid w:val="00DF7291"/>
    <w:rsid w:val="00E043D3"/>
    <w:rsid w:val="00E0574A"/>
    <w:rsid w:val="00E076D8"/>
    <w:rsid w:val="00E10709"/>
    <w:rsid w:val="00E1243D"/>
    <w:rsid w:val="00E12742"/>
    <w:rsid w:val="00E1403B"/>
    <w:rsid w:val="00E146D4"/>
    <w:rsid w:val="00E14B2F"/>
    <w:rsid w:val="00E15966"/>
    <w:rsid w:val="00E1744B"/>
    <w:rsid w:val="00E21D37"/>
    <w:rsid w:val="00E220ED"/>
    <w:rsid w:val="00E22B44"/>
    <w:rsid w:val="00E24551"/>
    <w:rsid w:val="00E25E48"/>
    <w:rsid w:val="00E30ACD"/>
    <w:rsid w:val="00E31806"/>
    <w:rsid w:val="00E319C3"/>
    <w:rsid w:val="00E32735"/>
    <w:rsid w:val="00E416DF"/>
    <w:rsid w:val="00E42251"/>
    <w:rsid w:val="00E44B88"/>
    <w:rsid w:val="00E51CEF"/>
    <w:rsid w:val="00E66E36"/>
    <w:rsid w:val="00E671AE"/>
    <w:rsid w:val="00E702ED"/>
    <w:rsid w:val="00E709A4"/>
    <w:rsid w:val="00E75D63"/>
    <w:rsid w:val="00E772DB"/>
    <w:rsid w:val="00E77C34"/>
    <w:rsid w:val="00E81367"/>
    <w:rsid w:val="00E8338F"/>
    <w:rsid w:val="00E85191"/>
    <w:rsid w:val="00E86012"/>
    <w:rsid w:val="00E86BAB"/>
    <w:rsid w:val="00E9037B"/>
    <w:rsid w:val="00E9432B"/>
    <w:rsid w:val="00E94E10"/>
    <w:rsid w:val="00E96743"/>
    <w:rsid w:val="00E96A42"/>
    <w:rsid w:val="00EA49C5"/>
    <w:rsid w:val="00EA6279"/>
    <w:rsid w:val="00EA68A0"/>
    <w:rsid w:val="00EA7B0A"/>
    <w:rsid w:val="00EB1969"/>
    <w:rsid w:val="00EB5027"/>
    <w:rsid w:val="00EB5EE1"/>
    <w:rsid w:val="00EC1836"/>
    <w:rsid w:val="00EC2442"/>
    <w:rsid w:val="00EC318C"/>
    <w:rsid w:val="00EC3990"/>
    <w:rsid w:val="00EC42AE"/>
    <w:rsid w:val="00EC484B"/>
    <w:rsid w:val="00EC5D8E"/>
    <w:rsid w:val="00EC7E58"/>
    <w:rsid w:val="00ED15FA"/>
    <w:rsid w:val="00ED3881"/>
    <w:rsid w:val="00ED5C9F"/>
    <w:rsid w:val="00ED7302"/>
    <w:rsid w:val="00ED7C12"/>
    <w:rsid w:val="00EE07A3"/>
    <w:rsid w:val="00EE0B52"/>
    <w:rsid w:val="00EE45D7"/>
    <w:rsid w:val="00EE6E9A"/>
    <w:rsid w:val="00EE789D"/>
    <w:rsid w:val="00EF04AC"/>
    <w:rsid w:val="00EF2AC4"/>
    <w:rsid w:val="00EF397E"/>
    <w:rsid w:val="00EF51CE"/>
    <w:rsid w:val="00EF7A17"/>
    <w:rsid w:val="00F05AE9"/>
    <w:rsid w:val="00F06F68"/>
    <w:rsid w:val="00F117BB"/>
    <w:rsid w:val="00F13DBE"/>
    <w:rsid w:val="00F1488C"/>
    <w:rsid w:val="00F15E9D"/>
    <w:rsid w:val="00F200DD"/>
    <w:rsid w:val="00F24C2D"/>
    <w:rsid w:val="00F25584"/>
    <w:rsid w:val="00F27D59"/>
    <w:rsid w:val="00F32A81"/>
    <w:rsid w:val="00F40C82"/>
    <w:rsid w:val="00F4197F"/>
    <w:rsid w:val="00F431D4"/>
    <w:rsid w:val="00F44A0E"/>
    <w:rsid w:val="00F44AF1"/>
    <w:rsid w:val="00F45DFF"/>
    <w:rsid w:val="00F46998"/>
    <w:rsid w:val="00F5382D"/>
    <w:rsid w:val="00F53D9C"/>
    <w:rsid w:val="00F5462B"/>
    <w:rsid w:val="00F57205"/>
    <w:rsid w:val="00F62DD8"/>
    <w:rsid w:val="00F634AD"/>
    <w:rsid w:val="00F63677"/>
    <w:rsid w:val="00F6568C"/>
    <w:rsid w:val="00F71EBA"/>
    <w:rsid w:val="00F75B81"/>
    <w:rsid w:val="00F804C4"/>
    <w:rsid w:val="00F80C7E"/>
    <w:rsid w:val="00F82F83"/>
    <w:rsid w:val="00F84506"/>
    <w:rsid w:val="00F85A85"/>
    <w:rsid w:val="00F873AC"/>
    <w:rsid w:val="00F90C64"/>
    <w:rsid w:val="00F92B30"/>
    <w:rsid w:val="00F933B9"/>
    <w:rsid w:val="00F94674"/>
    <w:rsid w:val="00F94919"/>
    <w:rsid w:val="00F94A59"/>
    <w:rsid w:val="00FA1E07"/>
    <w:rsid w:val="00FA25B6"/>
    <w:rsid w:val="00FA2FAF"/>
    <w:rsid w:val="00FA3757"/>
    <w:rsid w:val="00FA3C61"/>
    <w:rsid w:val="00FA54F6"/>
    <w:rsid w:val="00FA64B1"/>
    <w:rsid w:val="00FA70F3"/>
    <w:rsid w:val="00FA71CD"/>
    <w:rsid w:val="00FA7FDD"/>
    <w:rsid w:val="00FB0453"/>
    <w:rsid w:val="00FB0C07"/>
    <w:rsid w:val="00FB298D"/>
    <w:rsid w:val="00FB35EA"/>
    <w:rsid w:val="00FB4832"/>
    <w:rsid w:val="00FC1439"/>
    <w:rsid w:val="00FC1B7A"/>
    <w:rsid w:val="00FC2DB5"/>
    <w:rsid w:val="00FC33AA"/>
    <w:rsid w:val="00FC3F65"/>
    <w:rsid w:val="00FC4173"/>
    <w:rsid w:val="00FC71DA"/>
    <w:rsid w:val="00FC724B"/>
    <w:rsid w:val="00FC7668"/>
    <w:rsid w:val="00FC7910"/>
    <w:rsid w:val="00FD01E0"/>
    <w:rsid w:val="00FD0FC8"/>
    <w:rsid w:val="00FD2B6F"/>
    <w:rsid w:val="00FD4B78"/>
    <w:rsid w:val="00FD6FF8"/>
    <w:rsid w:val="00FE1627"/>
    <w:rsid w:val="00FE2AA2"/>
    <w:rsid w:val="00FE439C"/>
    <w:rsid w:val="00FE444F"/>
    <w:rsid w:val="00FE54B7"/>
    <w:rsid w:val="00FE5BD0"/>
    <w:rsid w:val="00FE62B8"/>
    <w:rsid w:val="00FE69F4"/>
    <w:rsid w:val="00FE73F0"/>
    <w:rsid w:val="00FE7E42"/>
    <w:rsid w:val="00FF092F"/>
    <w:rsid w:val="00FF0DA7"/>
    <w:rsid w:val="00FF44E0"/>
    <w:rsid w:val="00FF6C72"/>
    <w:rsid w:val="01234CA9"/>
    <w:rsid w:val="01A94010"/>
    <w:rsid w:val="01DF6F92"/>
    <w:rsid w:val="05BF1420"/>
    <w:rsid w:val="067761F6"/>
    <w:rsid w:val="078220FB"/>
    <w:rsid w:val="09C30F57"/>
    <w:rsid w:val="0A3B3C8B"/>
    <w:rsid w:val="0B45552B"/>
    <w:rsid w:val="0BF263F6"/>
    <w:rsid w:val="0BF91683"/>
    <w:rsid w:val="0CF629FC"/>
    <w:rsid w:val="0D596940"/>
    <w:rsid w:val="0D7E0499"/>
    <w:rsid w:val="0D981BB8"/>
    <w:rsid w:val="0F3932BC"/>
    <w:rsid w:val="105E794E"/>
    <w:rsid w:val="106B05B6"/>
    <w:rsid w:val="119360D6"/>
    <w:rsid w:val="11EB3D39"/>
    <w:rsid w:val="1354798A"/>
    <w:rsid w:val="135B70C7"/>
    <w:rsid w:val="137B35AF"/>
    <w:rsid w:val="14782AA2"/>
    <w:rsid w:val="149A64B1"/>
    <w:rsid w:val="1505027F"/>
    <w:rsid w:val="15134287"/>
    <w:rsid w:val="15B12FCF"/>
    <w:rsid w:val="16CE15A3"/>
    <w:rsid w:val="177B0705"/>
    <w:rsid w:val="17A4173D"/>
    <w:rsid w:val="18610CDC"/>
    <w:rsid w:val="19940F5A"/>
    <w:rsid w:val="1A324115"/>
    <w:rsid w:val="1A540717"/>
    <w:rsid w:val="1D814AA5"/>
    <w:rsid w:val="1DB84F1E"/>
    <w:rsid w:val="1DD73BCF"/>
    <w:rsid w:val="1EB6048B"/>
    <w:rsid w:val="1EF65EF6"/>
    <w:rsid w:val="1F234C0C"/>
    <w:rsid w:val="210755B4"/>
    <w:rsid w:val="22AC04B1"/>
    <w:rsid w:val="22FB276D"/>
    <w:rsid w:val="237B596D"/>
    <w:rsid w:val="2446477A"/>
    <w:rsid w:val="249D2C56"/>
    <w:rsid w:val="25566745"/>
    <w:rsid w:val="25D16D75"/>
    <w:rsid w:val="261F6D61"/>
    <w:rsid w:val="27DB3EDB"/>
    <w:rsid w:val="28386F2E"/>
    <w:rsid w:val="28EA52FA"/>
    <w:rsid w:val="29107F53"/>
    <w:rsid w:val="2AF730C2"/>
    <w:rsid w:val="2BA57BBC"/>
    <w:rsid w:val="2BEE4B94"/>
    <w:rsid w:val="2D113502"/>
    <w:rsid w:val="2DE86E74"/>
    <w:rsid w:val="2F2470D2"/>
    <w:rsid w:val="2F5B716B"/>
    <w:rsid w:val="307A0C5E"/>
    <w:rsid w:val="30F77FD8"/>
    <w:rsid w:val="31A751BC"/>
    <w:rsid w:val="3252638A"/>
    <w:rsid w:val="33057DFC"/>
    <w:rsid w:val="337203AE"/>
    <w:rsid w:val="343B3DBB"/>
    <w:rsid w:val="36000CFE"/>
    <w:rsid w:val="36C2526A"/>
    <w:rsid w:val="376641A4"/>
    <w:rsid w:val="3811168E"/>
    <w:rsid w:val="38D41769"/>
    <w:rsid w:val="394B7113"/>
    <w:rsid w:val="39A42568"/>
    <w:rsid w:val="3A022862"/>
    <w:rsid w:val="3B3A3330"/>
    <w:rsid w:val="3B537311"/>
    <w:rsid w:val="3BBF0A71"/>
    <w:rsid w:val="3D1E454A"/>
    <w:rsid w:val="3F2324C1"/>
    <w:rsid w:val="401C35B7"/>
    <w:rsid w:val="41221750"/>
    <w:rsid w:val="42124D27"/>
    <w:rsid w:val="422549D8"/>
    <w:rsid w:val="4260483A"/>
    <w:rsid w:val="4367484E"/>
    <w:rsid w:val="43885228"/>
    <w:rsid w:val="44AA183B"/>
    <w:rsid w:val="44DD67C7"/>
    <w:rsid w:val="45690CD5"/>
    <w:rsid w:val="45952195"/>
    <w:rsid w:val="488302E7"/>
    <w:rsid w:val="4BD97CE6"/>
    <w:rsid w:val="4BDD4185"/>
    <w:rsid w:val="4C6729B1"/>
    <w:rsid w:val="4D2D3004"/>
    <w:rsid w:val="4D424C15"/>
    <w:rsid w:val="4DBF2D2F"/>
    <w:rsid w:val="4F0831A5"/>
    <w:rsid w:val="4F6B3C13"/>
    <w:rsid w:val="4F771487"/>
    <w:rsid w:val="517B52CE"/>
    <w:rsid w:val="522E0650"/>
    <w:rsid w:val="5260237F"/>
    <w:rsid w:val="55346855"/>
    <w:rsid w:val="56866803"/>
    <w:rsid w:val="56F1196D"/>
    <w:rsid w:val="59282FEE"/>
    <w:rsid w:val="5AFA409D"/>
    <w:rsid w:val="5AFE591D"/>
    <w:rsid w:val="5CFE3670"/>
    <w:rsid w:val="5D7B027C"/>
    <w:rsid w:val="5E131117"/>
    <w:rsid w:val="5E4E4E2C"/>
    <w:rsid w:val="5FE91B00"/>
    <w:rsid w:val="60956786"/>
    <w:rsid w:val="61876A50"/>
    <w:rsid w:val="62EA5F8F"/>
    <w:rsid w:val="633352E7"/>
    <w:rsid w:val="63576604"/>
    <w:rsid w:val="642B3B2B"/>
    <w:rsid w:val="64732901"/>
    <w:rsid w:val="68682E9A"/>
    <w:rsid w:val="696E0130"/>
    <w:rsid w:val="69B52012"/>
    <w:rsid w:val="6A942F72"/>
    <w:rsid w:val="6B146AB5"/>
    <w:rsid w:val="6C43379D"/>
    <w:rsid w:val="6DE035C6"/>
    <w:rsid w:val="6E292BB9"/>
    <w:rsid w:val="6E873A42"/>
    <w:rsid w:val="70142E12"/>
    <w:rsid w:val="705C5240"/>
    <w:rsid w:val="71F66F14"/>
    <w:rsid w:val="72633030"/>
    <w:rsid w:val="72E12639"/>
    <w:rsid w:val="731A4031"/>
    <w:rsid w:val="736D475F"/>
    <w:rsid w:val="74162BD4"/>
    <w:rsid w:val="743E2DF5"/>
    <w:rsid w:val="749156AA"/>
    <w:rsid w:val="755F0D14"/>
    <w:rsid w:val="757177C2"/>
    <w:rsid w:val="76940F17"/>
    <w:rsid w:val="77577866"/>
    <w:rsid w:val="78E41947"/>
    <w:rsid w:val="79312F71"/>
    <w:rsid w:val="794A3C60"/>
    <w:rsid w:val="797E3D39"/>
    <w:rsid w:val="79D9001D"/>
    <w:rsid w:val="7A020A57"/>
    <w:rsid w:val="7A3A0E26"/>
    <w:rsid w:val="7A4A3CF9"/>
    <w:rsid w:val="7BAB6A04"/>
    <w:rsid w:val="7D776DF5"/>
    <w:rsid w:val="7F0569E9"/>
    <w:rsid w:val="7F5D4FEE"/>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1260"/>
      <w:jc w:val="left"/>
    </w:pPr>
    <w:rPr>
      <w:sz w:val="18"/>
      <w:szCs w:val="18"/>
    </w:r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7"/>
    <w:autoRedefine/>
    <w:qFormat/>
    <w:uiPriority w:val="0"/>
    <w:pPr>
      <w:jc w:val="left"/>
    </w:pPr>
    <w:rPr>
      <w:rFonts w:ascii="Arial" w:hAnsi="Arial" w:eastAsia="黑体" w:cs="Arial"/>
    </w:rPr>
  </w:style>
  <w:style w:type="paragraph" w:styleId="8">
    <w:name w:val="Body Text"/>
    <w:basedOn w:val="1"/>
    <w:link w:val="66"/>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next w:val="10"/>
    <w:qFormat/>
    <w:uiPriority w:val="0"/>
    <w:pPr>
      <w:spacing w:after="120"/>
      <w:ind w:left="420" w:leftChars="200"/>
    </w:pPr>
  </w:style>
  <w:style w:type="paragraph" w:styleId="10">
    <w:name w:val="envelope return"/>
    <w:basedOn w:val="1"/>
    <w:next w:val="5"/>
    <w:qFormat/>
    <w:uiPriority w:val="0"/>
    <w:pPr>
      <w:snapToGrid w:val="0"/>
    </w:pPr>
    <w:rPr>
      <w:rFonts w:ascii="Arial" w:hAnsi="Arial"/>
    </w:r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next w:val="1"/>
    <w:link w:val="46"/>
    <w:autoRedefine/>
    <w:qFormat/>
    <w:uiPriority w:val="99"/>
    <w:rPr>
      <w:rFonts w:ascii="宋体" w:hAnsi="Courier New" w:eastAsiaTheme="minorEastAsia" w:cstheme="minorBidi"/>
      <w:szCs w:val="22"/>
    </w:rPr>
  </w:style>
  <w:style w:type="paragraph" w:styleId="13">
    <w:name w:val="Date"/>
    <w:basedOn w:val="1"/>
    <w:next w:val="1"/>
    <w:link w:val="53"/>
    <w:autoRedefine/>
    <w:qFormat/>
    <w:uiPriority w:val="0"/>
    <w:rPr>
      <w:rFonts w:ascii="Arial" w:hAnsi="Arial" w:eastAsia="宋体" w:cs="Arial"/>
      <w:b/>
      <w:sz w:val="28"/>
    </w:rPr>
  </w:style>
  <w:style w:type="paragraph" w:styleId="14">
    <w:name w:val="Balloon Text"/>
    <w:basedOn w:val="1"/>
    <w:link w:val="40"/>
    <w:autoRedefine/>
    <w:semiHidden/>
    <w:unhideWhenUsed/>
    <w:qFormat/>
    <w:uiPriority w:val="99"/>
    <w:rPr>
      <w:sz w:val="18"/>
      <w:szCs w:val="18"/>
    </w:rPr>
  </w:style>
  <w:style w:type="paragraph" w:styleId="15">
    <w:name w:val="footer"/>
    <w:basedOn w:val="1"/>
    <w:link w:val="45"/>
    <w:autoRedefine/>
    <w:unhideWhenUsed/>
    <w:qFormat/>
    <w:uiPriority w:val="99"/>
    <w:pPr>
      <w:tabs>
        <w:tab w:val="center" w:pos="4153"/>
        <w:tab w:val="right" w:pos="8306"/>
      </w:tabs>
      <w:snapToGrid w:val="0"/>
      <w:jc w:val="left"/>
    </w:pPr>
    <w:rPr>
      <w:sz w:val="18"/>
      <w:szCs w:val="18"/>
    </w:rPr>
  </w:style>
  <w:style w:type="paragraph" w:styleId="16">
    <w:name w:val="header"/>
    <w:basedOn w:val="1"/>
    <w:link w:val="4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next w:val="20"/>
    <w:autoRedefine/>
    <w:qFormat/>
    <w:uiPriority w:val="0"/>
    <w:pPr>
      <w:spacing w:before="100" w:beforeAutospacing="1" w:after="100" w:afterAutospacing="1"/>
      <w:jc w:val="left"/>
    </w:pPr>
    <w:rPr>
      <w:rFonts w:cs="Times New Roman"/>
      <w:kern w:val="0"/>
      <w:sz w:val="24"/>
    </w:rPr>
  </w:style>
  <w:style w:type="paragraph" w:customStyle="1" w:styleId="20">
    <w:name w:val="正文文字 8"/>
    <w:basedOn w:val="1"/>
    <w:next w:val="1"/>
    <w:autoRedefine/>
    <w:qFormat/>
    <w:uiPriority w:val="0"/>
    <w:pPr>
      <w:ind w:left="240"/>
    </w:pPr>
    <w:rPr>
      <w:sz w:val="16"/>
    </w:rPr>
  </w:style>
  <w:style w:type="paragraph" w:styleId="21">
    <w:name w:val="index 1"/>
    <w:basedOn w:val="1"/>
    <w:next w:val="1"/>
    <w:autoRedefine/>
    <w:qFormat/>
    <w:uiPriority w:val="0"/>
    <w:pPr>
      <w:jc w:val="center"/>
    </w:pPr>
    <w:rPr>
      <w:rFonts w:ascii="Arial" w:hAnsi="Arial" w:eastAsia="Arial" w:cs="Arial"/>
      <w:b/>
      <w:bCs/>
      <w:sz w:val="28"/>
    </w:rPr>
  </w:style>
  <w:style w:type="paragraph" w:styleId="22">
    <w:name w:val="Title"/>
    <w:basedOn w:val="1"/>
    <w:next w:val="1"/>
    <w:qFormat/>
    <w:uiPriority w:val="0"/>
    <w:pPr>
      <w:numPr>
        <w:ilvl w:val="0"/>
        <w:numId w:val="1"/>
      </w:numPr>
      <w:spacing w:line="360" w:lineRule="auto"/>
      <w:jc w:val="left"/>
      <w:outlineLvl w:val="0"/>
    </w:pPr>
    <w:rPr>
      <w:rFonts w:ascii="Cambria" w:hAnsi="Cambria" w:cs="Times New Roman"/>
      <w:b/>
      <w:bCs/>
      <w:sz w:val="28"/>
      <w:szCs w:val="32"/>
    </w:rPr>
  </w:style>
  <w:style w:type="paragraph" w:styleId="23">
    <w:name w:val="Body Text First Indent"/>
    <w:basedOn w:val="8"/>
    <w:autoRedefine/>
    <w:semiHidden/>
    <w:unhideWhenUsed/>
    <w:qFormat/>
    <w:uiPriority w:val="99"/>
    <w:pPr>
      <w:ind w:firstLine="420" w:firstLineChars="100"/>
    </w:pPr>
  </w:style>
  <w:style w:type="paragraph" w:styleId="24">
    <w:name w:val="Body Text First Indent 2"/>
    <w:basedOn w:val="9"/>
    <w:next w:val="1"/>
    <w:qFormat/>
    <w:uiPriority w:val="0"/>
    <w:pPr>
      <w:ind w:firstLine="420" w:firstLineChars="200"/>
    </w:pPr>
    <w:rPr>
      <w:rFonts w:ascii="Times New Roman" w:hAnsi="Times New Roman" w:cs="Times New Roman"/>
      <w:szCs w:val="21"/>
    </w:rPr>
  </w:style>
  <w:style w:type="table" w:styleId="26">
    <w:name w:val="Table Grid"/>
    <w:basedOn w:val="2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0"/>
    <w:rPr>
      <w:b/>
      <w:bCs/>
    </w:rPr>
  </w:style>
  <w:style w:type="character" w:styleId="29">
    <w:name w:val="FollowedHyperlink"/>
    <w:basedOn w:val="27"/>
    <w:semiHidden/>
    <w:unhideWhenUsed/>
    <w:qFormat/>
    <w:uiPriority w:val="99"/>
    <w:rPr>
      <w:color w:val="5C5C5C"/>
      <w:u w:val="none"/>
    </w:rPr>
  </w:style>
  <w:style w:type="character" w:styleId="30">
    <w:name w:val="Emphasis"/>
    <w:basedOn w:val="27"/>
    <w:qFormat/>
    <w:uiPriority w:val="20"/>
    <w:rPr>
      <w:b/>
      <w:bCs/>
    </w:rPr>
  </w:style>
  <w:style w:type="character" w:styleId="31">
    <w:name w:val="HTML Definition"/>
    <w:basedOn w:val="27"/>
    <w:semiHidden/>
    <w:unhideWhenUsed/>
    <w:qFormat/>
    <w:uiPriority w:val="99"/>
  </w:style>
  <w:style w:type="character" w:styleId="32">
    <w:name w:val="HTML Typewriter"/>
    <w:basedOn w:val="27"/>
    <w:semiHidden/>
    <w:unhideWhenUsed/>
    <w:qFormat/>
    <w:uiPriority w:val="99"/>
    <w:rPr>
      <w:rFonts w:hint="default" w:ascii="monospace" w:hAnsi="monospace" w:eastAsia="monospace" w:cs="monospace"/>
      <w:sz w:val="20"/>
    </w:rPr>
  </w:style>
  <w:style w:type="character" w:styleId="33">
    <w:name w:val="HTML Acronym"/>
    <w:basedOn w:val="27"/>
    <w:semiHidden/>
    <w:unhideWhenUsed/>
    <w:qFormat/>
    <w:uiPriority w:val="99"/>
    <w:rPr>
      <w:color w:val="D6D6D6"/>
    </w:rPr>
  </w:style>
  <w:style w:type="character" w:styleId="34">
    <w:name w:val="HTML Variable"/>
    <w:basedOn w:val="27"/>
    <w:semiHidden/>
    <w:unhideWhenUsed/>
    <w:qFormat/>
    <w:uiPriority w:val="99"/>
  </w:style>
  <w:style w:type="character" w:styleId="35">
    <w:name w:val="Hyperlink"/>
    <w:basedOn w:val="27"/>
    <w:autoRedefine/>
    <w:unhideWhenUsed/>
    <w:qFormat/>
    <w:uiPriority w:val="99"/>
    <w:rPr>
      <w:color w:val="0000FF" w:themeColor="hyperlink"/>
      <w:u w:val="single"/>
      <w14:textFill>
        <w14:solidFill>
          <w14:schemeClr w14:val="hlink"/>
        </w14:solidFill>
      </w14:textFill>
    </w:rPr>
  </w:style>
  <w:style w:type="character" w:styleId="36">
    <w:name w:val="HTML Code"/>
    <w:basedOn w:val="27"/>
    <w:semiHidden/>
    <w:unhideWhenUsed/>
    <w:qFormat/>
    <w:uiPriority w:val="99"/>
    <w:rPr>
      <w:rFonts w:hint="default" w:ascii="monospace" w:hAnsi="monospace" w:eastAsia="monospace" w:cs="monospace"/>
      <w:sz w:val="20"/>
    </w:rPr>
  </w:style>
  <w:style w:type="character" w:styleId="37">
    <w:name w:val="HTML Cite"/>
    <w:basedOn w:val="27"/>
    <w:semiHidden/>
    <w:unhideWhenUsed/>
    <w:qFormat/>
    <w:uiPriority w:val="99"/>
  </w:style>
  <w:style w:type="character" w:styleId="38">
    <w:name w:val="HTML Keyboard"/>
    <w:basedOn w:val="27"/>
    <w:semiHidden/>
    <w:unhideWhenUsed/>
    <w:qFormat/>
    <w:uiPriority w:val="99"/>
    <w:rPr>
      <w:rFonts w:hint="default" w:ascii="monospace" w:hAnsi="monospace" w:eastAsia="monospace" w:cs="monospace"/>
      <w:sz w:val="20"/>
    </w:rPr>
  </w:style>
  <w:style w:type="character" w:styleId="39">
    <w:name w:val="HTML Sample"/>
    <w:basedOn w:val="27"/>
    <w:semiHidden/>
    <w:unhideWhenUsed/>
    <w:qFormat/>
    <w:uiPriority w:val="99"/>
    <w:rPr>
      <w:rFonts w:ascii="monospace" w:hAnsi="monospace" w:eastAsia="monospace" w:cs="monospace"/>
    </w:rPr>
  </w:style>
  <w:style w:type="character" w:customStyle="1" w:styleId="40">
    <w:name w:val="批注框文本 Char"/>
    <w:basedOn w:val="27"/>
    <w:link w:val="14"/>
    <w:autoRedefine/>
    <w:semiHidden/>
    <w:qFormat/>
    <w:uiPriority w:val="99"/>
    <w:rPr>
      <w:rFonts w:ascii="@仿宋_GB2312" w:hAnsi="@仿宋_GB2312" w:eastAsia="@仿宋_GB2312" w:cs="@仿宋_GB2312"/>
      <w:sz w:val="18"/>
      <w:szCs w:val="18"/>
    </w:rPr>
  </w:style>
  <w:style w:type="paragraph" w:customStyle="1" w:styleId="41">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2">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3">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4">
    <w:name w:val="页眉 Char"/>
    <w:basedOn w:val="27"/>
    <w:link w:val="16"/>
    <w:autoRedefine/>
    <w:qFormat/>
    <w:uiPriority w:val="0"/>
    <w:rPr>
      <w:rFonts w:ascii="@仿宋_GB2312" w:hAnsi="@仿宋_GB2312" w:eastAsia="@仿宋_GB2312" w:cs="@仿宋_GB2312"/>
      <w:sz w:val="18"/>
      <w:szCs w:val="18"/>
    </w:rPr>
  </w:style>
  <w:style w:type="character" w:customStyle="1" w:styleId="45">
    <w:name w:val="页脚 Char"/>
    <w:basedOn w:val="27"/>
    <w:link w:val="15"/>
    <w:autoRedefine/>
    <w:qFormat/>
    <w:uiPriority w:val="99"/>
    <w:rPr>
      <w:rFonts w:ascii="@仿宋_GB2312" w:hAnsi="@仿宋_GB2312" w:eastAsia="@仿宋_GB2312" w:cs="@仿宋_GB2312"/>
      <w:sz w:val="18"/>
      <w:szCs w:val="18"/>
    </w:rPr>
  </w:style>
  <w:style w:type="character" w:customStyle="1" w:styleId="46">
    <w:name w:val="纯文本 Char"/>
    <w:link w:val="12"/>
    <w:autoRedefine/>
    <w:qFormat/>
    <w:uiPriority w:val="0"/>
    <w:rPr>
      <w:rFonts w:ascii="宋体" w:hAnsi="Courier New"/>
    </w:rPr>
  </w:style>
  <w:style w:type="character" w:customStyle="1" w:styleId="47">
    <w:name w:val="纯文本 字符1"/>
    <w:basedOn w:val="27"/>
    <w:autoRedefine/>
    <w:semiHidden/>
    <w:qFormat/>
    <w:uiPriority w:val="99"/>
    <w:rPr>
      <w:rFonts w:hAnsi="Courier New" w:cs="Courier New" w:asciiTheme="minorEastAsia"/>
      <w:szCs w:val="20"/>
    </w:rPr>
  </w:style>
  <w:style w:type="character" w:customStyle="1" w:styleId="48">
    <w:name w:val="未处理的提及1"/>
    <w:basedOn w:val="27"/>
    <w:autoRedefine/>
    <w:semiHidden/>
    <w:unhideWhenUsed/>
    <w:qFormat/>
    <w:uiPriority w:val="99"/>
    <w:rPr>
      <w:color w:val="605E5C"/>
      <w:shd w:val="clear" w:color="auto" w:fill="E1DFDD"/>
    </w:rPr>
  </w:style>
  <w:style w:type="paragraph" w:styleId="49">
    <w:name w:val="List Paragraph"/>
    <w:basedOn w:val="1"/>
    <w:autoRedefine/>
    <w:qFormat/>
    <w:uiPriority w:val="34"/>
    <w:pPr>
      <w:ind w:firstLine="420" w:firstLineChars="200"/>
    </w:pPr>
  </w:style>
  <w:style w:type="paragraph" w:customStyle="1" w:styleId="50">
    <w:name w:val="Char Char Char Char Char Char Char1 Char"/>
    <w:basedOn w:val="1"/>
    <w:autoRedefine/>
    <w:qFormat/>
    <w:uiPriority w:val="0"/>
    <w:rPr>
      <w:rFonts w:ascii="Arial" w:hAnsi="Arial" w:eastAsia="宋体" w:cs="Arial"/>
      <w:sz w:val="24"/>
    </w:rPr>
  </w:style>
  <w:style w:type="table" w:customStyle="1" w:styleId="51">
    <w:name w:val="网格表 1 浅色1"/>
    <w:basedOn w:val="2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2">
    <w:name w:val="日期 字符"/>
    <w:basedOn w:val="27"/>
    <w:autoRedefine/>
    <w:semiHidden/>
    <w:qFormat/>
    <w:uiPriority w:val="99"/>
    <w:rPr>
      <w:rFonts w:ascii="@仿宋_GB2312" w:hAnsi="@仿宋_GB2312" w:eastAsia="@仿宋_GB2312" w:cs="@仿宋_GB2312"/>
      <w:szCs w:val="20"/>
    </w:rPr>
  </w:style>
  <w:style w:type="character" w:customStyle="1" w:styleId="53">
    <w:name w:val="日期 Char"/>
    <w:link w:val="13"/>
    <w:autoRedefine/>
    <w:qFormat/>
    <w:uiPriority w:val="0"/>
    <w:rPr>
      <w:rFonts w:ascii="Arial" w:hAnsi="Arial" w:eastAsia="宋体" w:cs="Arial"/>
      <w:b/>
      <w:sz w:val="28"/>
      <w:szCs w:val="20"/>
    </w:rPr>
  </w:style>
  <w:style w:type="character" w:customStyle="1" w:styleId="54">
    <w:name w:val="纯文本 Char1"/>
    <w:link w:val="55"/>
    <w:autoRedefine/>
    <w:qFormat/>
    <w:locked/>
    <w:uiPriority w:val="0"/>
    <w:rPr>
      <w:rFonts w:ascii="Arial" w:hAnsi="Arial" w:eastAsia="Arial"/>
      <w:kern w:val="2"/>
      <w:sz w:val="21"/>
      <w:lang w:val="en-US" w:eastAsia="zh-CN" w:bidi="ar-SA"/>
    </w:rPr>
  </w:style>
  <w:style w:type="paragraph" w:customStyle="1" w:styleId="55">
    <w:name w:val="纯文本1"/>
    <w:basedOn w:val="1"/>
    <w:link w:val="54"/>
    <w:autoRedefine/>
    <w:qFormat/>
    <w:uiPriority w:val="0"/>
    <w:rPr>
      <w:rFonts w:ascii="Arial" w:hAnsi="Arial" w:eastAsia="Arial" w:cstheme="minorBidi"/>
    </w:rPr>
  </w:style>
  <w:style w:type="character" w:customStyle="1" w:styleId="56">
    <w:name w:val="批注文字 Char"/>
    <w:basedOn w:val="27"/>
    <w:autoRedefine/>
    <w:semiHidden/>
    <w:qFormat/>
    <w:uiPriority w:val="99"/>
    <w:rPr>
      <w:rFonts w:ascii="@仿宋_GB2312" w:hAnsi="@仿宋_GB2312" w:eastAsia="@仿宋_GB2312" w:cs="@仿宋_GB2312"/>
      <w:szCs w:val="20"/>
    </w:rPr>
  </w:style>
  <w:style w:type="character" w:customStyle="1" w:styleId="57">
    <w:name w:val="批注文字 Char1"/>
    <w:link w:val="7"/>
    <w:autoRedefine/>
    <w:qFormat/>
    <w:uiPriority w:val="0"/>
    <w:rPr>
      <w:rFonts w:ascii="Arial" w:hAnsi="Arial" w:eastAsia="黑体" w:cs="Arial"/>
      <w:szCs w:val="20"/>
    </w:rPr>
  </w:style>
  <w:style w:type="character" w:customStyle="1" w:styleId="58">
    <w:name w:val="标题 1 Char"/>
    <w:basedOn w:val="27"/>
    <w:link w:val="2"/>
    <w:autoRedefine/>
    <w:qFormat/>
    <w:uiPriority w:val="9"/>
    <w:rPr>
      <w:rFonts w:ascii="@仿宋_GB2312" w:hAnsi="@仿宋_GB2312" w:eastAsia="@仿宋_GB2312" w:cs="@仿宋_GB2312"/>
      <w:b/>
      <w:bCs/>
      <w:kern w:val="44"/>
      <w:sz w:val="44"/>
      <w:szCs w:val="44"/>
    </w:rPr>
  </w:style>
  <w:style w:type="paragraph" w:customStyle="1" w:styleId="5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Char"/>
    <w:basedOn w:val="27"/>
    <w:link w:val="3"/>
    <w:autoRedefine/>
    <w:semiHidden/>
    <w:qFormat/>
    <w:uiPriority w:val="9"/>
    <w:rPr>
      <w:rFonts w:ascii="@仿宋_GB2312" w:hAnsi="@仿宋_GB2312" w:eastAsia="@仿宋_GB2312" w:cs="@仿宋_GB2312"/>
      <w:b/>
      <w:bCs/>
      <w:sz w:val="32"/>
      <w:szCs w:val="32"/>
    </w:rPr>
  </w:style>
  <w:style w:type="character" w:customStyle="1" w:styleId="61">
    <w:name w:val="fontstyle01"/>
    <w:basedOn w:val="27"/>
    <w:autoRedefine/>
    <w:qFormat/>
    <w:uiPriority w:val="0"/>
    <w:rPr>
      <w:rFonts w:hint="eastAsia" w:ascii="宋体" w:hAnsi="宋体" w:eastAsia="宋体"/>
      <w:color w:val="000000"/>
      <w:sz w:val="22"/>
      <w:szCs w:val="22"/>
    </w:rPr>
  </w:style>
  <w:style w:type="character" w:customStyle="1" w:styleId="62">
    <w:name w:val="fontstyle21"/>
    <w:basedOn w:val="27"/>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7"/>
    <w:autoRedefine/>
    <w:semiHidden/>
    <w:qFormat/>
    <w:uiPriority w:val="9"/>
    <w:rPr>
      <w:rFonts w:asciiTheme="majorHAnsi" w:hAnsiTheme="majorHAnsi" w:eastAsiaTheme="majorEastAsia" w:cstheme="majorBidi"/>
      <w:b/>
      <w:bCs/>
      <w:sz w:val="28"/>
      <w:szCs w:val="28"/>
    </w:rPr>
  </w:style>
  <w:style w:type="character" w:customStyle="1" w:styleId="65">
    <w:name w:val="标题 4 Char"/>
    <w:link w:val="4"/>
    <w:autoRedefine/>
    <w:qFormat/>
    <w:uiPriority w:val="0"/>
    <w:rPr>
      <w:rFonts w:ascii="@仿宋_GB2312" w:hAnsi="@仿宋_GB2312" w:eastAsia="@仿宋_GB2312" w:cs="@仿宋_GB2312"/>
      <w:b/>
      <w:bCs/>
      <w:sz w:val="28"/>
      <w:szCs w:val="28"/>
    </w:rPr>
  </w:style>
  <w:style w:type="character" w:customStyle="1" w:styleId="66">
    <w:name w:val="正文文本 Char"/>
    <w:basedOn w:val="27"/>
    <w:link w:val="8"/>
    <w:autoRedefine/>
    <w:qFormat/>
    <w:uiPriority w:val="0"/>
    <w:rPr>
      <w:rFonts w:ascii="@微软简标宋" w:hAnsi="@微软简标宋" w:eastAsia="@微软简标宋" w:cs="@微软简标宋"/>
      <w:szCs w:val="24"/>
      <w:lang w:val="zh-CN" w:eastAsia="zh-CN"/>
    </w:rPr>
  </w:style>
  <w:style w:type="table" w:customStyle="1" w:styleId="67">
    <w:name w:val="网格型1"/>
    <w:basedOn w:val="25"/>
    <w:autoRedefine/>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
    <w:name w:val="Table Normal"/>
    <w:autoRedefine/>
    <w:semiHidden/>
    <w:unhideWhenUsed/>
    <w:qFormat/>
    <w:uiPriority w:val="0"/>
    <w:tblPr>
      <w:tblCellMar>
        <w:top w:w="0" w:type="dxa"/>
        <w:left w:w="0" w:type="dxa"/>
        <w:bottom w:w="0" w:type="dxa"/>
        <w:right w:w="0" w:type="dxa"/>
      </w:tblCellMar>
    </w:tblPr>
  </w:style>
  <w:style w:type="paragraph" w:customStyle="1" w:styleId="69">
    <w:name w:val="Table Text"/>
    <w:basedOn w:val="1"/>
    <w:autoRedefine/>
    <w:semiHidden/>
    <w:qFormat/>
    <w:uiPriority w:val="0"/>
    <w:rPr>
      <w:rFonts w:ascii="Arial" w:hAnsi="Arial" w:eastAsia="Arial" w:cs="Arial"/>
      <w:sz w:val="21"/>
      <w:szCs w:val="21"/>
      <w:lang w:val="en-US" w:eastAsia="en-US" w:bidi="ar-SA"/>
    </w:rPr>
  </w:style>
  <w:style w:type="character" w:customStyle="1" w:styleId="70">
    <w:name w:val="hover"/>
    <w:basedOn w:val="27"/>
    <w:qFormat/>
    <w:uiPriority w:val="0"/>
    <w:rPr>
      <w:color w:val="2590EB"/>
    </w:rPr>
  </w:style>
  <w:style w:type="character" w:customStyle="1" w:styleId="71">
    <w:name w:val="hover1"/>
    <w:basedOn w:val="27"/>
    <w:qFormat/>
    <w:uiPriority w:val="0"/>
    <w:rPr>
      <w:color w:val="2590EB"/>
    </w:rPr>
  </w:style>
  <w:style w:type="character" w:customStyle="1" w:styleId="72">
    <w:name w:val="hover2"/>
    <w:basedOn w:val="27"/>
    <w:qFormat/>
    <w:uiPriority w:val="0"/>
  </w:style>
  <w:style w:type="character" w:customStyle="1" w:styleId="73">
    <w:name w:val="hover3"/>
    <w:basedOn w:val="27"/>
    <w:qFormat/>
    <w:uiPriority w:val="0"/>
    <w:rPr>
      <w:color w:val="2590EB"/>
      <w:shd w:val="clear" w:fill="E9F4FD"/>
    </w:rPr>
  </w:style>
  <w:style w:type="character" w:customStyle="1" w:styleId="74">
    <w:name w:val="first-child"/>
    <w:basedOn w:val="27"/>
    <w:qFormat/>
    <w:uiPriority w:val="0"/>
  </w:style>
  <w:style w:type="character" w:customStyle="1" w:styleId="75">
    <w:name w:val="layui-this"/>
    <w:basedOn w:val="27"/>
    <w:qFormat/>
    <w:uiPriority w:val="0"/>
    <w:rPr>
      <w:bdr w:val="single" w:color="EEEEEE" w:sz="6" w:space="0"/>
      <w:shd w:val="clear" w:fill="FFFFFF"/>
    </w:rPr>
  </w:style>
  <w:style w:type="character" w:customStyle="1" w:styleId="76">
    <w:name w:val="hover4"/>
    <w:basedOn w:val="27"/>
    <w:qFormat/>
    <w:uiPriority w:val="0"/>
    <w:rPr>
      <w:color w:val="2590EB"/>
      <w:shd w:val="clear" w:fill="E9F4FD"/>
    </w:rPr>
  </w:style>
  <w:style w:type="character" w:customStyle="1" w:styleId="77">
    <w:name w:val="mini-outputtext1"/>
    <w:basedOn w:val="27"/>
    <w:qFormat/>
    <w:uiPriority w:val="0"/>
  </w:style>
  <w:style w:type="paragraph" w:customStyle="1" w:styleId="78">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9">
    <w:name w:val="card-title"/>
    <w:basedOn w:val="1"/>
    <w:qFormat/>
    <w:uiPriority w:val="0"/>
    <w:pPr>
      <w:spacing w:line="543" w:lineRule="atLeast"/>
      <w:ind w:right="679"/>
      <w:jc w:val="left"/>
    </w:pPr>
    <w:rPr>
      <w:color w:val="666666"/>
      <w:kern w:val="0"/>
      <w:lang w:val="en-US" w:eastAsia="zh-CN" w:bidi="ar"/>
    </w:rPr>
  </w:style>
  <w:style w:type="character" w:customStyle="1" w:styleId="80">
    <w:name w:val="15"/>
    <w:basedOn w:val="27"/>
    <w:qFormat/>
    <w:uiPriority w:val="0"/>
    <w:rPr>
      <w:rFonts w:hint="default" w:ascii="Times New Roman" w:hAnsi="Times New Roman" w:cs="Times New Roman"/>
      <w:color w:val="0000FF"/>
      <w:u w:val="single"/>
    </w:rPr>
  </w:style>
  <w:style w:type="character" w:customStyle="1" w:styleId="81">
    <w:name w:val="16"/>
    <w:basedOn w:val="27"/>
    <w:qFormat/>
    <w:uiPriority w:val="0"/>
    <w:rPr>
      <w:rFonts w:hint="default" w:ascii="Times New Roman" w:hAnsi="Times New Roman" w:cs="Times New Roman"/>
      <w:color w:val="0000FF"/>
      <w:u w:val="single"/>
    </w:rPr>
  </w:style>
  <w:style w:type="character" w:customStyle="1" w:styleId="82">
    <w:name w:val="10"/>
    <w:basedOn w:val="2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87</Pages>
  <Words>2611</Words>
  <Characters>2980</Characters>
  <Lines>1</Lines>
  <Paragraphs>1</Paragraphs>
  <TotalTime>23</TotalTime>
  <ScaleCrop>false</ScaleCrop>
  <LinksUpToDate>false</LinksUpToDate>
  <CharactersWithSpaces>3021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这不科学</cp:lastModifiedBy>
  <cp:lastPrinted>2019-12-07T15:21:00Z</cp:lastPrinted>
  <dcterms:modified xsi:type="dcterms:W3CDTF">2025-10-14T04:43:13Z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D59E0B28A69646A8870A9179F837F584_12</vt:lpwstr>
  </property>
  <property fmtid="{D5CDD505-2E9C-101B-9397-08002B2CF9AE}" pid="4" name="KSOTemplateDocerSaveRecord">
    <vt:lpwstr>eyJoZGlkIjoiZmI5ZDY5ZDNjMmE2ZDcxYTFkMDY0Zjg5Mjg3YTE0YTgiLCJ1c2VySWQiOiI1MDM3MjkwOTMifQ==</vt:lpwstr>
  </property>
</Properties>
</file>