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BEA7F1">
      <w:pPr>
        <w:pStyle w:val="14"/>
        <w:ind w:left="0" w:leftChars="0" w:firstLine="0" w:firstLineChars="0"/>
        <w:rPr>
          <w:highlight w:val="none"/>
        </w:rPr>
      </w:pPr>
      <w:bookmarkStart w:id="0" w:name="_Toc15058843"/>
      <w:bookmarkStart w:id="1" w:name="_Toc506107265"/>
      <w:bookmarkStart w:id="2" w:name="_Toc324404811"/>
      <w:bookmarkStart w:id="3" w:name="_Toc247085669"/>
      <w:bookmarkStart w:id="4" w:name="_Toc461631222"/>
      <w:bookmarkStart w:id="5" w:name="_Toc296602400"/>
      <w:bookmarkStart w:id="6" w:name="_Toc246996898"/>
      <w:bookmarkStart w:id="7" w:name="OLE_LINK3"/>
      <w:bookmarkStart w:id="8" w:name="OLE_LINK2"/>
      <w:bookmarkStart w:id="9" w:name="OLE_LINK1"/>
      <w:bookmarkStart w:id="10" w:name="OLE_LINK4"/>
      <w:bookmarkStart w:id="11" w:name="OLE_LINK5"/>
    </w:p>
    <w:p w14:paraId="1C9996FB">
      <w:pPr>
        <w:jc w:val="center"/>
        <w:rPr>
          <w:rFonts w:ascii="宋体" w:hAnsi="宋体"/>
          <w:color w:val="auto"/>
          <w:sz w:val="72"/>
          <w:szCs w:val="72"/>
          <w:highlight w:val="none"/>
        </w:rPr>
      </w:pPr>
      <w:r>
        <w:rPr>
          <w:rFonts w:hint="eastAsia" w:hAnsi="宋体" w:cs="宋体"/>
          <w:b/>
          <w:color w:val="auto"/>
          <w:kern w:val="0"/>
          <w:sz w:val="52"/>
          <w:szCs w:val="52"/>
          <w:highlight w:val="none"/>
          <w:lang w:eastAsia="zh-CN"/>
        </w:rPr>
        <w:t>G36宁洛高速公路来安至明光段改扩建工程曹庄、嘉山服务区污水改造项目</w:t>
      </w:r>
    </w:p>
    <w:p w14:paraId="2A2621CC">
      <w:pPr>
        <w:pStyle w:val="14"/>
        <w:rPr>
          <w:highlight w:val="none"/>
        </w:rPr>
      </w:pPr>
    </w:p>
    <w:p w14:paraId="05533949">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6F6112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center"/>
        <w:textAlignment w:val="top"/>
        <w:rPr>
          <w:rFonts w:hint="eastAsia" w:ascii="宋体" w:hAnsi="宋体" w:eastAsia="宋体" w:cs="宋体"/>
          <w:color w:val="auto"/>
          <w:sz w:val="28"/>
          <w:szCs w:val="22"/>
          <w:highlight w:val="none"/>
        </w:rPr>
      </w:pPr>
      <w:r>
        <w:rPr>
          <w:rFonts w:hint="eastAsia" w:ascii="宋体" w:hAnsi="宋体" w:eastAsia="宋体" w:cs="宋体"/>
          <w:color w:val="auto"/>
          <w:sz w:val="28"/>
          <w:szCs w:val="22"/>
          <w:highlight w:val="none"/>
        </w:rPr>
        <w:t>项目编号：</w:t>
      </w:r>
      <w:r>
        <w:rPr>
          <w:rFonts w:hint="eastAsia" w:ascii="宋体" w:hAnsi="宋体" w:eastAsia="宋体" w:cs="宋体"/>
          <w:color w:val="auto"/>
          <w:sz w:val="28"/>
          <w:szCs w:val="22"/>
          <w:highlight w:val="none"/>
          <w:lang w:val="en-US" w:eastAsia="zh-CN"/>
        </w:rPr>
        <w:t>HXJY1110001063721001</w:t>
      </w:r>
    </w:p>
    <w:p w14:paraId="555B4981">
      <w:pPr>
        <w:ind w:firstLine="2560" w:firstLineChars="800"/>
        <w:rPr>
          <w:rFonts w:hint="default" w:ascii="宋体" w:hAnsi="宋体" w:eastAsia="宋体" w:cs="宋体"/>
          <w:color w:val="auto"/>
          <w:sz w:val="32"/>
          <w:highlight w:val="none"/>
          <w:lang w:val="en-US" w:eastAsia="zh-CN"/>
        </w:rPr>
      </w:pPr>
    </w:p>
    <w:p w14:paraId="15D88AAA">
      <w:pPr>
        <w:pStyle w:val="14"/>
        <w:rPr>
          <w:color w:val="auto"/>
          <w:highlight w:val="none"/>
        </w:rPr>
      </w:pPr>
    </w:p>
    <w:p w14:paraId="691FE4D6">
      <w:pPr>
        <w:rPr>
          <w:color w:val="auto"/>
          <w:highlight w:val="none"/>
        </w:rPr>
      </w:pPr>
    </w:p>
    <w:p w14:paraId="7E411827">
      <w:pPr>
        <w:pStyle w:val="14"/>
        <w:rPr>
          <w:color w:val="auto"/>
          <w:highlight w:val="none"/>
        </w:rPr>
      </w:pPr>
    </w:p>
    <w:p w14:paraId="6CF62471">
      <w:pPr>
        <w:rPr>
          <w:color w:val="auto"/>
          <w:highlight w:val="none"/>
        </w:rPr>
      </w:pPr>
    </w:p>
    <w:p w14:paraId="31EEA548">
      <w:pPr>
        <w:pStyle w:val="14"/>
        <w:ind w:left="0" w:leftChars="0" w:firstLine="0" w:firstLineChars="0"/>
        <w:rPr>
          <w:highlight w:val="none"/>
        </w:rPr>
      </w:pPr>
    </w:p>
    <w:p w14:paraId="6EBADFFD">
      <w:pPr>
        <w:rPr>
          <w:highlight w:val="none"/>
        </w:rPr>
      </w:pPr>
    </w:p>
    <w:p w14:paraId="57C971B3">
      <w:pPr>
        <w:pStyle w:val="14"/>
        <w:rPr>
          <w:highlight w:val="none"/>
        </w:rPr>
      </w:pPr>
    </w:p>
    <w:p w14:paraId="0FB3EFCA">
      <w:pPr>
        <w:pStyle w:val="14"/>
        <w:ind w:left="0" w:leftChars="0" w:firstLine="0" w:firstLineChars="0"/>
        <w:rPr>
          <w:highlight w:val="none"/>
        </w:rPr>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安徽滁宁高速公路股份有限公司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096ECC50">
      <w:pPr>
        <w:spacing w:before="156" w:beforeLines="50" w:after="156" w:afterLines="50" w:line="700" w:lineRule="exact"/>
        <w:jc w:val="center"/>
        <w:rPr>
          <w:rFonts w:ascii="宋体"/>
          <w:b w:val="0"/>
          <w:bCs/>
          <w:color w:val="auto"/>
          <w:sz w:val="32"/>
          <w:szCs w:val="32"/>
          <w:highlight w:val="none"/>
        </w:rPr>
      </w:pPr>
      <w:r>
        <w:rPr>
          <w:rFonts w:hint="eastAsia" w:ascii="宋体"/>
          <w:b w:val="0"/>
          <w:bCs/>
          <w:color w:val="auto"/>
          <w:sz w:val="32"/>
          <w:szCs w:val="32"/>
          <w:highlight w:val="none"/>
          <w:u w:val="single"/>
          <w:lang w:eastAsia="zh-CN"/>
        </w:rPr>
        <w:t>202</w:t>
      </w:r>
      <w:r>
        <w:rPr>
          <w:rFonts w:hint="eastAsia" w:ascii="宋体"/>
          <w:b w:val="0"/>
          <w:bCs/>
          <w:color w:val="auto"/>
          <w:sz w:val="32"/>
          <w:szCs w:val="32"/>
          <w:highlight w:val="none"/>
          <w:u w:val="single"/>
          <w:lang w:val="en-US" w:eastAsia="zh-CN"/>
        </w:rPr>
        <w:t>6</w:t>
      </w:r>
      <w:r>
        <w:rPr>
          <w:rFonts w:hint="eastAsia" w:ascii="宋体"/>
          <w:b w:val="0"/>
          <w:bCs/>
          <w:color w:val="auto"/>
          <w:sz w:val="32"/>
          <w:szCs w:val="32"/>
          <w:highlight w:val="none"/>
          <w:u w:val="none"/>
          <w:lang w:eastAsia="zh-CN"/>
        </w:rPr>
        <w:t>年</w:t>
      </w:r>
      <w:r>
        <w:rPr>
          <w:rFonts w:hint="eastAsia" w:ascii="宋体"/>
          <w:b w:val="0"/>
          <w:bCs/>
          <w:color w:val="auto"/>
          <w:sz w:val="32"/>
          <w:szCs w:val="32"/>
          <w:highlight w:val="none"/>
          <w:u w:val="single"/>
          <w:lang w:val="en-US" w:eastAsia="zh-CN"/>
        </w:rPr>
        <w:t xml:space="preserve"> 9 </w:t>
      </w:r>
      <w:r>
        <w:rPr>
          <w:rFonts w:hint="eastAsia" w:ascii="宋体"/>
          <w:b w:val="0"/>
          <w:bCs/>
          <w:color w:val="auto"/>
          <w:sz w:val="32"/>
          <w:szCs w:val="32"/>
          <w:highlight w:val="none"/>
        </w:rPr>
        <w:t>月</w:t>
      </w:r>
      <w:r>
        <w:rPr>
          <w:rFonts w:hint="eastAsia" w:ascii="宋体"/>
          <w:b w:val="0"/>
          <w:bCs/>
          <w:color w:val="auto"/>
          <w:sz w:val="32"/>
          <w:szCs w:val="32"/>
          <w:highlight w:val="none"/>
          <w:u w:val="single"/>
          <w:lang w:val="en-US" w:eastAsia="zh-CN"/>
        </w:rPr>
        <w:t xml:space="preserve"> 18 </w:t>
      </w:r>
      <w:r>
        <w:rPr>
          <w:rFonts w:hint="eastAsia" w:ascii="宋体"/>
          <w:b w:val="0"/>
          <w:bCs/>
          <w:color w:val="auto"/>
          <w:sz w:val="32"/>
          <w:szCs w:val="32"/>
          <w:highlight w:val="none"/>
        </w:rPr>
        <w:t>日</w:t>
      </w:r>
    </w:p>
    <w:p w14:paraId="0D5E6D18">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52042287"/>
      <w:bookmarkStart w:id="13" w:name="_Toc179632527"/>
      <w:bookmarkStart w:id="14" w:name="_Toc152045511"/>
      <w:bookmarkStart w:id="15" w:name="_Toc144974479"/>
    </w:p>
    <w:p w14:paraId="3C53E9AE">
      <w:pPr>
        <w:pStyle w:val="31"/>
        <w:tabs>
          <w:tab w:val="right" w:leader="dot" w:pos="9460"/>
        </w:tabs>
        <w:rPr>
          <w:rFonts w:ascii="Calibri" w:hAnsi="Calibri"/>
          <w:b w:val="0"/>
          <w:bCs w:val="0"/>
          <w:caps w:val="0"/>
          <w:color w:val="000000"/>
          <w:sz w:val="32"/>
          <w:szCs w:val="22"/>
          <w:highlight w:val="none"/>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"_Toc95223332"</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第一章</w:t>
      </w:r>
      <w:r>
        <w:rPr>
          <w:rStyle w:val="58"/>
          <w:color w:val="000000"/>
          <w:sz w:val="28"/>
          <w:highlight w:val="none"/>
        </w:rPr>
        <w:t xml:space="preserve"> </w:t>
      </w:r>
      <w:r>
        <w:rPr>
          <w:rStyle w:val="58"/>
          <w:rFonts w:hint="eastAsia"/>
          <w:color w:val="000000"/>
          <w:sz w:val="28"/>
          <w:highlight w:val="none"/>
        </w:rPr>
        <w:t>招标公告</w:t>
      </w:r>
      <w:r>
        <w:rPr>
          <w:color w:val="000000"/>
          <w:sz w:val="28"/>
          <w:highlight w:val="none"/>
        </w:rPr>
        <w:tab/>
      </w:r>
      <w:r>
        <w:rPr>
          <w:rFonts w:hint="eastAsia"/>
          <w:color w:val="000000"/>
          <w:sz w:val="28"/>
          <w:highlight w:val="none"/>
          <w:lang w:val="en-US" w:eastAsia="zh-CN"/>
        </w:rPr>
        <w:t>1</w:t>
      </w:r>
      <w:r>
        <w:rPr>
          <w:rStyle w:val="58"/>
          <w:color w:val="000000"/>
          <w:sz w:val="28"/>
          <w:highlight w:val="none"/>
        </w:rPr>
        <w:fldChar w:fldCharType="end"/>
      </w:r>
    </w:p>
    <w:p w14:paraId="0460FC51">
      <w:pPr>
        <w:pStyle w:val="31"/>
        <w:tabs>
          <w:tab w:val="right" w:leader="dot" w:pos="9460"/>
        </w:tabs>
        <w:rPr>
          <w:rFonts w:ascii="Calibri" w:hAnsi="Calibri"/>
          <w:b w:val="0"/>
          <w:bCs w:val="0"/>
          <w:caps w:val="0"/>
          <w:color w:val="000000"/>
          <w:sz w:val="32"/>
          <w:szCs w:val="22"/>
          <w:highlight w:val="none"/>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"_Toc95223333"</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第二章</w:t>
      </w:r>
      <w:r>
        <w:rPr>
          <w:rStyle w:val="58"/>
          <w:color w:val="000000"/>
          <w:sz w:val="28"/>
          <w:highlight w:val="none"/>
        </w:rPr>
        <w:t xml:space="preserve"> </w:t>
      </w:r>
      <w:r>
        <w:rPr>
          <w:rStyle w:val="58"/>
          <w:rFonts w:hint="eastAsia"/>
          <w:color w:val="000000"/>
          <w:sz w:val="28"/>
          <w:highlight w:val="none"/>
        </w:rPr>
        <w:t>投标人须知</w:t>
      </w:r>
      <w:r>
        <w:rPr>
          <w:color w:val="000000"/>
          <w:sz w:val="28"/>
          <w:highlight w:val="none"/>
        </w:rPr>
        <w:tab/>
      </w:r>
      <w:r>
        <w:rPr>
          <w:rFonts w:hint="eastAsia"/>
          <w:color w:val="000000"/>
          <w:sz w:val="28"/>
          <w:highlight w:val="none"/>
          <w:lang w:val="en-US" w:eastAsia="zh-CN"/>
        </w:rPr>
        <w:t>5</w:t>
      </w:r>
      <w:r>
        <w:rPr>
          <w:rStyle w:val="58"/>
          <w:color w:val="000000"/>
          <w:sz w:val="28"/>
          <w:highlight w:val="none"/>
        </w:rPr>
        <w:fldChar w:fldCharType="end"/>
      </w:r>
    </w:p>
    <w:p w14:paraId="4117FED1">
      <w:pPr>
        <w:pStyle w:val="31"/>
        <w:tabs>
          <w:tab w:val="right" w:leader="dot" w:pos="9460"/>
        </w:tabs>
        <w:rPr>
          <w:rFonts w:hint="default"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"_Toc95223391"</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第三章</w:t>
      </w:r>
      <w:r>
        <w:rPr>
          <w:rStyle w:val="58"/>
          <w:color w:val="000000"/>
          <w:sz w:val="28"/>
          <w:highlight w:val="none"/>
        </w:rPr>
        <w:t xml:space="preserve"> </w:t>
      </w:r>
      <w:r>
        <w:rPr>
          <w:rStyle w:val="58"/>
          <w:rFonts w:hint="eastAsia"/>
          <w:color w:val="000000"/>
          <w:sz w:val="28"/>
          <w:highlight w:val="none"/>
        </w:rPr>
        <w:t>资格审查办法</w:t>
      </w:r>
      <w:r>
        <w:rPr>
          <w:color w:val="000000"/>
          <w:sz w:val="28"/>
          <w:highlight w:val="none"/>
        </w:rPr>
        <w:tab/>
      </w:r>
      <w:r>
        <w:rPr>
          <w:rStyle w:val="58"/>
          <w:color w:val="000000"/>
          <w:sz w:val="28"/>
          <w:highlight w:val="none"/>
        </w:rPr>
        <w:fldChar w:fldCharType="end"/>
      </w:r>
      <w:r>
        <w:rPr>
          <w:rStyle w:val="58"/>
          <w:rFonts w:hint="eastAsia"/>
          <w:color w:val="000000"/>
          <w:sz w:val="28"/>
          <w:highlight w:val="none"/>
          <w:lang w:val="en-US" w:eastAsia="zh-CN"/>
        </w:rPr>
        <w:t>23</w:t>
      </w:r>
    </w:p>
    <w:p w14:paraId="278F67BB">
      <w:pPr>
        <w:pStyle w:val="31"/>
        <w:tabs>
          <w:tab w:val="right" w:leader="dot" w:pos="946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"_Toc95223398"</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第四章</w:t>
      </w:r>
      <w:r>
        <w:rPr>
          <w:rStyle w:val="58"/>
          <w:color w:val="000000"/>
          <w:sz w:val="28"/>
          <w:highlight w:val="none"/>
        </w:rPr>
        <w:t xml:space="preserve"> </w:t>
      </w:r>
      <w:r>
        <w:rPr>
          <w:rStyle w:val="58"/>
          <w:rFonts w:hint="eastAsia"/>
          <w:color w:val="000000"/>
          <w:sz w:val="28"/>
          <w:highlight w:val="none"/>
        </w:rPr>
        <w:t>评标办法</w:t>
      </w:r>
      <w:bookmarkStart w:id="16" w:name="_Hlt95225442"/>
      <w:r>
        <w:rPr>
          <w:color w:val="000000"/>
          <w:sz w:val="28"/>
          <w:highlight w:val="none"/>
        </w:rPr>
        <w:tab/>
      </w:r>
      <w:bookmarkEnd w:id="16"/>
      <w:r>
        <w:rPr>
          <w:rFonts w:hint="eastAsia"/>
          <w:color w:val="000000"/>
          <w:sz w:val="28"/>
          <w:highlight w:val="none"/>
          <w:lang w:val="en-US" w:eastAsia="zh-CN"/>
        </w:rPr>
        <w:t>2</w:t>
      </w:r>
      <w:r>
        <w:rPr>
          <w:rStyle w:val="58"/>
          <w:color w:val="000000"/>
          <w:sz w:val="28"/>
          <w:highlight w:val="none"/>
        </w:rPr>
        <w:fldChar w:fldCharType="end"/>
      </w:r>
      <w:r>
        <w:rPr>
          <w:rStyle w:val="58"/>
          <w:rFonts w:hint="eastAsia"/>
          <w:color w:val="000000"/>
          <w:sz w:val="28"/>
          <w:highlight w:val="none"/>
          <w:lang w:val="en-US" w:eastAsia="zh-CN"/>
        </w:rPr>
        <w:t>6</w:t>
      </w:r>
    </w:p>
    <w:p w14:paraId="50BF535A">
      <w:pPr>
        <w:pStyle w:val="31"/>
        <w:tabs>
          <w:tab w:val="right" w:leader="dot" w:pos="9460"/>
        </w:tabs>
        <w:rPr>
          <w:rFonts w:hint="eastAsia" w:ascii="Calibri" w:hAnsi="Calibri" w:eastAsia="宋体"/>
          <w:b w:val="0"/>
          <w:bCs w:val="0"/>
          <w:caps w:val="0"/>
          <w:color w:val="000000"/>
          <w:sz w:val="32"/>
          <w:szCs w:val="22"/>
          <w:highlight w:val="none"/>
          <w:lang w:val="en-US" w:eastAsia="zh-CN"/>
        </w:rPr>
      </w:pPr>
      <w:r>
        <w:rPr>
          <w:rStyle w:val="58"/>
          <w:color w:val="000000"/>
          <w:sz w:val="28"/>
          <w:highlight w:val="none"/>
        </w:rPr>
        <w:fldChar w:fldCharType="begin"/>
      </w:r>
      <w:r>
        <w:rPr>
          <w:rStyle w:val="58"/>
          <w:color w:val="000000"/>
          <w:sz w:val="28"/>
          <w:highlight w:val="none"/>
        </w:rPr>
        <w:instrText xml:space="preserve"> </w:instrText>
      </w:r>
      <w:r>
        <w:rPr>
          <w:color w:val="000000"/>
          <w:sz w:val="28"/>
          <w:highlight w:val="none"/>
        </w:rPr>
        <w:instrText xml:space="preserve">HYPERLINK \l "_Toc95223458"</w:instrText>
      </w:r>
      <w:r>
        <w:rPr>
          <w:rStyle w:val="58"/>
          <w:color w:val="000000"/>
          <w:sz w:val="28"/>
          <w:highlight w:val="none"/>
        </w:rPr>
        <w:instrText xml:space="preserve"> </w:instrText>
      </w:r>
      <w:r>
        <w:rPr>
          <w:rStyle w:val="58"/>
          <w:color w:val="000000"/>
          <w:sz w:val="28"/>
          <w:highlight w:val="none"/>
        </w:rPr>
        <w:fldChar w:fldCharType="separate"/>
      </w:r>
      <w:r>
        <w:rPr>
          <w:rStyle w:val="58"/>
          <w:rFonts w:hint="eastAsia"/>
          <w:color w:val="000000"/>
          <w:sz w:val="28"/>
          <w:highlight w:val="none"/>
        </w:rPr>
        <w:t>第五章</w:t>
      </w:r>
      <w:r>
        <w:rPr>
          <w:rStyle w:val="58"/>
          <w:color w:val="000000"/>
          <w:sz w:val="28"/>
          <w:highlight w:val="none"/>
        </w:rPr>
        <w:t xml:space="preserve"> </w:t>
      </w:r>
      <w:r>
        <w:rPr>
          <w:rStyle w:val="58"/>
          <w:rFonts w:hint="eastAsia"/>
          <w:color w:val="000000"/>
          <w:sz w:val="28"/>
          <w:highlight w:val="none"/>
        </w:rPr>
        <w:t>合同条款及格式</w:t>
      </w:r>
      <w:r>
        <w:rPr>
          <w:color w:val="000000"/>
          <w:sz w:val="28"/>
          <w:highlight w:val="none"/>
        </w:rPr>
        <w:tab/>
      </w:r>
      <w:r>
        <w:rPr>
          <w:rFonts w:hint="eastAsia"/>
          <w:color w:val="000000"/>
          <w:sz w:val="28"/>
          <w:highlight w:val="none"/>
          <w:lang w:val="en-US" w:eastAsia="zh-CN"/>
        </w:rPr>
        <w:t>3</w:t>
      </w:r>
      <w:r>
        <w:rPr>
          <w:rStyle w:val="58"/>
          <w:color w:val="000000"/>
          <w:sz w:val="28"/>
          <w:highlight w:val="none"/>
        </w:rPr>
        <w:fldChar w:fldCharType="end"/>
      </w:r>
      <w:r>
        <w:rPr>
          <w:rStyle w:val="58"/>
          <w:rFonts w:hint="eastAsia"/>
          <w:color w:val="000000"/>
          <w:sz w:val="28"/>
          <w:highlight w:val="none"/>
          <w:lang w:val="en-US" w:eastAsia="zh-CN"/>
        </w:rPr>
        <w:t>7</w:t>
      </w:r>
    </w:p>
    <w:p w14:paraId="2E624EDC">
      <w:pPr>
        <w:pStyle w:val="31"/>
        <w:tabs>
          <w:tab w:val="right" w:leader="dot" w:pos="9460"/>
        </w:tabs>
        <w:rPr>
          <w:rFonts w:hint="eastAsia" w:ascii="Calibri" w:hAnsi="Calibri" w:eastAsia="宋体"/>
          <w:b w:val="0"/>
          <w:bCs w:val="0"/>
          <w:caps w:val="0"/>
          <w:color w:val="000000"/>
          <w:sz w:val="32"/>
          <w:szCs w:val="22"/>
          <w:lang w:val="en-US" w:eastAsia="zh-CN"/>
        </w:rPr>
      </w:pPr>
      <w:r>
        <w:rPr>
          <w:rStyle w:val="58"/>
          <w:color w:val="000000"/>
          <w:sz w:val="28"/>
        </w:rPr>
        <w:fldChar w:fldCharType="begin"/>
      </w:r>
      <w:r>
        <w:rPr>
          <w:rStyle w:val="58"/>
          <w:color w:val="000000"/>
          <w:sz w:val="28"/>
        </w:rPr>
        <w:instrText xml:space="preserve"> </w:instrText>
      </w:r>
      <w:r>
        <w:rPr>
          <w:color w:val="000000"/>
          <w:sz w:val="28"/>
        </w:rPr>
        <w:instrText xml:space="preserve">HYPERLINK \l "_Toc95223515"</w:instrText>
      </w:r>
      <w:r>
        <w:rPr>
          <w:rStyle w:val="58"/>
          <w:color w:val="000000"/>
          <w:sz w:val="28"/>
        </w:rPr>
        <w:instrText xml:space="preserve"> </w:instrText>
      </w:r>
      <w:r>
        <w:rPr>
          <w:rStyle w:val="58"/>
          <w:color w:val="000000"/>
          <w:sz w:val="28"/>
        </w:rPr>
        <w:fldChar w:fldCharType="separate"/>
      </w:r>
      <w:r>
        <w:rPr>
          <w:rStyle w:val="58"/>
          <w:rFonts w:hint="eastAsia" w:ascii="宋体" w:hAnsi="宋体" w:cs="宋体"/>
          <w:color w:val="000000"/>
          <w:kern w:val="44"/>
          <w:sz w:val="28"/>
        </w:rPr>
        <w:t>第六章 工程量清单</w:t>
      </w:r>
      <w:r>
        <w:rPr>
          <w:color w:val="000000"/>
          <w:sz w:val="28"/>
        </w:rPr>
        <w:tab/>
      </w:r>
      <w:r>
        <w:rPr>
          <w:rFonts w:hint="eastAsia"/>
          <w:color w:val="000000"/>
          <w:sz w:val="28"/>
          <w:lang w:val="en-US" w:eastAsia="zh-CN"/>
        </w:rPr>
        <w:t>8</w:t>
      </w:r>
      <w:r>
        <w:rPr>
          <w:rStyle w:val="58"/>
          <w:color w:val="000000"/>
          <w:sz w:val="28"/>
        </w:rPr>
        <w:fldChar w:fldCharType="end"/>
      </w:r>
      <w:r>
        <w:rPr>
          <w:rStyle w:val="58"/>
          <w:rFonts w:hint="eastAsia"/>
          <w:color w:val="000000"/>
          <w:sz w:val="28"/>
          <w:lang w:val="en-US" w:eastAsia="zh-CN"/>
        </w:rPr>
        <w:t>1</w:t>
      </w:r>
    </w:p>
    <w:p w14:paraId="2D8A1052">
      <w:pPr>
        <w:pStyle w:val="31"/>
        <w:tabs>
          <w:tab w:val="right" w:leader="dot" w:pos="9460"/>
        </w:tabs>
        <w:rPr>
          <w:rFonts w:hint="eastAsia" w:ascii="Calibri" w:hAnsi="Calibri" w:eastAsia="宋体"/>
          <w:b w:val="0"/>
          <w:bCs w:val="0"/>
          <w:caps w:val="0"/>
          <w:color w:val="000000"/>
          <w:sz w:val="32"/>
          <w:szCs w:val="22"/>
          <w:lang w:val="en-US" w:eastAsia="zh-CN"/>
        </w:rPr>
      </w:pPr>
      <w:r>
        <w:rPr>
          <w:rStyle w:val="58"/>
          <w:color w:val="000000"/>
          <w:sz w:val="28"/>
        </w:rPr>
        <w:fldChar w:fldCharType="begin"/>
      </w:r>
      <w:r>
        <w:rPr>
          <w:rStyle w:val="58"/>
          <w:color w:val="000000"/>
          <w:sz w:val="28"/>
        </w:rPr>
        <w:instrText xml:space="preserve"> </w:instrText>
      </w:r>
      <w:r>
        <w:rPr>
          <w:color w:val="000000"/>
          <w:sz w:val="28"/>
        </w:rPr>
        <w:instrText xml:space="preserve">HYPERLINK \l "_Toc95223522"</w:instrText>
      </w:r>
      <w:r>
        <w:rPr>
          <w:rStyle w:val="58"/>
          <w:color w:val="000000"/>
          <w:sz w:val="28"/>
        </w:rPr>
        <w:instrText xml:space="preserve"> </w:instrText>
      </w:r>
      <w:r>
        <w:rPr>
          <w:rStyle w:val="58"/>
          <w:color w:val="000000"/>
          <w:sz w:val="28"/>
        </w:rPr>
        <w:fldChar w:fldCharType="separate"/>
      </w:r>
      <w:r>
        <w:rPr>
          <w:rStyle w:val="58"/>
          <w:rFonts w:hint="eastAsia" w:ascii="宋体" w:hAnsi="宋体" w:cs="宋体"/>
          <w:color w:val="000000"/>
          <w:kern w:val="44"/>
          <w:sz w:val="28"/>
        </w:rPr>
        <w:t>第七章</w:t>
      </w:r>
      <w:r>
        <w:rPr>
          <w:rStyle w:val="58"/>
          <w:rFonts w:ascii="宋体" w:hAnsi="宋体" w:cs="宋体"/>
          <w:color w:val="000000"/>
          <w:kern w:val="44"/>
          <w:sz w:val="28"/>
        </w:rPr>
        <w:t xml:space="preserve"> </w:t>
      </w:r>
      <w:r>
        <w:rPr>
          <w:rStyle w:val="58"/>
          <w:rFonts w:hint="eastAsia" w:ascii="宋体" w:hAnsi="宋体" w:cs="宋体"/>
          <w:color w:val="000000"/>
          <w:kern w:val="44"/>
          <w:sz w:val="28"/>
        </w:rPr>
        <w:t>图</w:t>
      </w:r>
      <w:r>
        <w:rPr>
          <w:rStyle w:val="58"/>
          <w:rFonts w:ascii="宋体" w:hAnsi="宋体" w:cs="宋体"/>
          <w:color w:val="000000"/>
          <w:kern w:val="44"/>
          <w:sz w:val="28"/>
        </w:rPr>
        <w:t xml:space="preserve">  </w:t>
      </w:r>
      <w:r>
        <w:rPr>
          <w:rStyle w:val="58"/>
          <w:rFonts w:hint="eastAsia" w:ascii="宋体" w:hAnsi="宋体" w:cs="宋体"/>
          <w:color w:val="000000"/>
          <w:kern w:val="44"/>
          <w:sz w:val="28"/>
        </w:rPr>
        <w:t>纸</w:t>
      </w:r>
      <w:r>
        <w:rPr>
          <w:color w:val="000000"/>
          <w:sz w:val="28"/>
        </w:rPr>
        <w:tab/>
      </w:r>
      <w:r>
        <w:rPr>
          <w:rFonts w:hint="eastAsia"/>
          <w:color w:val="000000"/>
          <w:sz w:val="28"/>
          <w:lang w:val="en-US" w:eastAsia="zh-CN"/>
        </w:rPr>
        <w:t>8</w:t>
      </w:r>
      <w:r>
        <w:rPr>
          <w:rStyle w:val="58"/>
          <w:color w:val="000000"/>
          <w:sz w:val="28"/>
        </w:rPr>
        <w:fldChar w:fldCharType="end"/>
      </w:r>
      <w:r>
        <w:rPr>
          <w:rStyle w:val="58"/>
          <w:rFonts w:hint="eastAsia"/>
          <w:color w:val="000000"/>
          <w:sz w:val="28"/>
          <w:lang w:val="en-US" w:eastAsia="zh-CN"/>
        </w:rPr>
        <w:t>1</w:t>
      </w:r>
    </w:p>
    <w:p w14:paraId="0CF25CEB">
      <w:pPr>
        <w:pStyle w:val="31"/>
        <w:tabs>
          <w:tab w:val="right" w:leader="dot" w:pos="9460"/>
        </w:tabs>
        <w:rPr>
          <w:rFonts w:hint="eastAsia" w:ascii="Calibri" w:hAnsi="Calibri" w:eastAsia="宋体"/>
          <w:b w:val="0"/>
          <w:bCs w:val="0"/>
          <w:caps w:val="0"/>
          <w:color w:val="000000"/>
          <w:sz w:val="32"/>
          <w:szCs w:val="22"/>
          <w:lang w:val="en-US" w:eastAsia="zh-CN"/>
        </w:rPr>
      </w:pPr>
      <w:r>
        <w:rPr>
          <w:rStyle w:val="58"/>
          <w:color w:val="000000"/>
          <w:sz w:val="28"/>
        </w:rPr>
        <w:fldChar w:fldCharType="begin"/>
      </w:r>
      <w:r>
        <w:rPr>
          <w:rStyle w:val="58"/>
          <w:color w:val="000000"/>
          <w:sz w:val="28"/>
        </w:rPr>
        <w:instrText xml:space="preserve"> </w:instrText>
      </w:r>
      <w:r>
        <w:rPr>
          <w:color w:val="000000"/>
          <w:sz w:val="28"/>
        </w:rPr>
        <w:instrText xml:space="preserve">HYPERLINK \l "_Toc95223525"</w:instrText>
      </w:r>
      <w:r>
        <w:rPr>
          <w:rStyle w:val="58"/>
          <w:color w:val="000000"/>
          <w:sz w:val="28"/>
        </w:rPr>
        <w:instrText xml:space="preserve"> </w:instrText>
      </w:r>
      <w:r>
        <w:rPr>
          <w:rStyle w:val="58"/>
          <w:color w:val="000000"/>
          <w:sz w:val="28"/>
        </w:rPr>
        <w:fldChar w:fldCharType="separate"/>
      </w:r>
      <w:r>
        <w:rPr>
          <w:rStyle w:val="58"/>
          <w:rFonts w:hint="eastAsia" w:ascii="宋体" w:hAnsi="宋体" w:cs="宋体"/>
          <w:color w:val="000000"/>
          <w:kern w:val="44"/>
          <w:sz w:val="28"/>
        </w:rPr>
        <w:t>第八章 技术标准和要求</w:t>
      </w:r>
      <w:r>
        <w:rPr>
          <w:color w:val="000000"/>
          <w:sz w:val="28"/>
        </w:rPr>
        <w:tab/>
      </w:r>
      <w:r>
        <w:rPr>
          <w:rFonts w:hint="eastAsia"/>
          <w:color w:val="000000"/>
          <w:sz w:val="28"/>
          <w:lang w:val="en-US" w:eastAsia="zh-CN"/>
        </w:rPr>
        <w:t>8</w:t>
      </w:r>
      <w:r>
        <w:rPr>
          <w:rStyle w:val="58"/>
          <w:color w:val="000000"/>
          <w:sz w:val="28"/>
        </w:rPr>
        <w:fldChar w:fldCharType="end"/>
      </w:r>
      <w:r>
        <w:rPr>
          <w:rStyle w:val="58"/>
          <w:rFonts w:hint="eastAsia"/>
          <w:color w:val="000000"/>
          <w:sz w:val="28"/>
          <w:lang w:val="en-US" w:eastAsia="zh-CN"/>
        </w:rPr>
        <w:t>2</w:t>
      </w:r>
    </w:p>
    <w:p w14:paraId="4DEC494E">
      <w:pPr>
        <w:pStyle w:val="31"/>
        <w:tabs>
          <w:tab w:val="right" w:leader="dot" w:pos="9460"/>
        </w:tabs>
        <w:rPr>
          <w:rFonts w:hint="eastAsia" w:ascii="Calibri" w:hAnsi="Calibri" w:eastAsia="宋体"/>
          <w:b w:val="0"/>
          <w:bCs w:val="0"/>
          <w:caps w:val="0"/>
          <w:color w:val="000000"/>
          <w:sz w:val="32"/>
          <w:szCs w:val="22"/>
          <w:lang w:val="en-US" w:eastAsia="zh-CN"/>
        </w:rPr>
      </w:pPr>
      <w:r>
        <w:rPr>
          <w:rStyle w:val="58"/>
          <w:color w:val="000000"/>
          <w:sz w:val="28"/>
        </w:rPr>
        <w:fldChar w:fldCharType="begin"/>
      </w:r>
      <w:r>
        <w:rPr>
          <w:rStyle w:val="58"/>
          <w:color w:val="000000"/>
          <w:sz w:val="28"/>
        </w:rPr>
        <w:instrText xml:space="preserve"> </w:instrText>
      </w:r>
      <w:r>
        <w:rPr>
          <w:color w:val="000000"/>
          <w:sz w:val="28"/>
        </w:rPr>
        <w:instrText xml:space="preserve">HYPERLINK \l "_Toc95223531"</w:instrText>
      </w:r>
      <w:r>
        <w:rPr>
          <w:rStyle w:val="58"/>
          <w:color w:val="000000"/>
          <w:sz w:val="28"/>
        </w:rPr>
        <w:instrText xml:space="preserve"> </w:instrText>
      </w:r>
      <w:r>
        <w:rPr>
          <w:rStyle w:val="58"/>
          <w:color w:val="000000"/>
          <w:sz w:val="28"/>
        </w:rPr>
        <w:fldChar w:fldCharType="separate"/>
      </w:r>
      <w:r>
        <w:rPr>
          <w:rStyle w:val="58"/>
          <w:rFonts w:hint="eastAsia"/>
          <w:color w:val="000000"/>
          <w:sz w:val="28"/>
        </w:rPr>
        <w:t>第九章 投标文件格式</w:t>
      </w:r>
      <w:r>
        <w:rPr>
          <w:color w:val="000000"/>
          <w:sz w:val="28"/>
        </w:rPr>
        <w:tab/>
      </w:r>
      <w:r>
        <w:rPr>
          <w:rFonts w:hint="eastAsia"/>
          <w:color w:val="000000"/>
          <w:sz w:val="28"/>
          <w:lang w:val="en-US" w:eastAsia="zh-CN"/>
        </w:rPr>
        <w:t>8</w:t>
      </w:r>
      <w:r>
        <w:rPr>
          <w:rStyle w:val="58"/>
          <w:color w:val="000000"/>
          <w:sz w:val="28"/>
        </w:rPr>
        <w:fldChar w:fldCharType="end"/>
      </w:r>
      <w:r>
        <w:rPr>
          <w:rStyle w:val="58"/>
          <w:rFonts w:hint="eastAsia"/>
          <w:color w:val="000000"/>
          <w:sz w:val="28"/>
          <w:lang w:val="en-US" w:eastAsia="zh-CN"/>
        </w:rPr>
        <w:t>3</w:t>
      </w:r>
    </w:p>
    <w:p w14:paraId="59902E59">
      <w:pPr>
        <w:pStyle w:val="31"/>
        <w:tabs>
          <w:tab w:val="right" w:leader="dot" w:pos="9460"/>
        </w:tabs>
        <w:rPr>
          <w:rFonts w:ascii="Calibri" w:hAnsi="Calibri"/>
          <w:b w:val="0"/>
          <w:bCs w:val="0"/>
          <w:caps w:val="0"/>
          <w:color w:val="000000"/>
          <w:sz w:val="32"/>
          <w:szCs w:val="22"/>
        </w:rPr>
      </w:pPr>
      <w:r>
        <w:rPr>
          <w:rStyle w:val="58"/>
          <w:color w:val="000000"/>
          <w:sz w:val="28"/>
        </w:rPr>
        <w:fldChar w:fldCharType="begin"/>
      </w:r>
      <w:r>
        <w:rPr>
          <w:rStyle w:val="58"/>
          <w:color w:val="000000"/>
          <w:sz w:val="28"/>
        </w:rPr>
        <w:instrText xml:space="preserve"> </w:instrText>
      </w:r>
      <w:r>
        <w:rPr>
          <w:color w:val="000000"/>
          <w:sz w:val="28"/>
        </w:rPr>
        <w:instrText xml:space="preserve">HYPERLINK \l "_Toc95223547"</w:instrText>
      </w:r>
      <w:r>
        <w:rPr>
          <w:rStyle w:val="58"/>
          <w:color w:val="000000"/>
          <w:sz w:val="28"/>
        </w:rPr>
        <w:instrText xml:space="preserve"> </w:instrText>
      </w:r>
      <w:r>
        <w:rPr>
          <w:rStyle w:val="58"/>
          <w:color w:val="000000"/>
          <w:sz w:val="28"/>
        </w:rPr>
        <w:fldChar w:fldCharType="separate"/>
      </w:r>
      <w:r>
        <w:rPr>
          <w:rStyle w:val="58"/>
          <w:rFonts w:hint="eastAsia" w:eastAsia="黑体"/>
          <w:color w:val="000000"/>
          <w:sz w:val="28"/>
        </w:rPr>
        <w:t>第十章</w:t>
      </w:r>
      <w:r>
        <w:rPr>
          <w:rStyle w:val="58"/>
          <w:rFonts w:eastAsia="黑体"/>
          <w:color w:val="000000"/>
          <w:sz w:val="28"/>
        </w:rPr>
        <w:t xml:space="preserve"> </w:t>
      </w:r>
      <w:r>
        <w:rPr>
          <w:rStyle w:val="58"/>
          <w:rFonts w:hint="eastAsia" w:eastAsia="黑体"/>
          <w:color w:val="000000"/>
          <w:sz w:val="28"/>
        </w:rPr>
        <w:t>招标人、招标代理机构对本招标文件的确认</w:t>
      </w:r>
      <w:bookmarkStart w:id="17" w:name="_Hlt95223551"/>
      <w:bookmarkStart w:id="18" w:name="_Hlt95223550"/>
      <w:r>
        <w:rPr>
          <w:color w:val="000000"/>
          <w:sz w:val="28"/>
        </w:rPr>
        <w:tab/>
      </w:r>
      <w:bookmarkEnd w:id="17"/>
      <w:bookmarkEnd w:id="18"/>
      <w:r>
        <w:rPr>
          <w:color w:val="000000"/>
          <w:sz w:val="28"/>
        </w:rPr>
        <w:fldChar w:fldCharType="begin"/>
      </w:r>
      <w:r>
        <w:rPr>
          <w:color w:val="000000"/>
          <w:sz w:val="28"/>
        </w:rPr>
        <w:instrText xml:space="preserve"> PAGEREF _Toc95223547 \h </w:instrText>
      </w:r>
      <w:r>
        <w:rPr>
          <w:color w:val="000000"/>
          <w:sz w:val="28"/>
        </w:rPr>
        <w:fldChar w:fldCharType="separate"/>
      </w:r>
      <w:r>
        <w:rPr>
          <w:rFonts w:hint="eastAsia"/>
          <w:color w:val="000000"/>
          <w:sz w:val="28"/>
          <w:lang w:val="en-US" w:eastAsia="zh-CN"/>
        </w:rPr>
        <w:t>94</w:t>
      </w:r>
      <w:r>
        <w:rPr>
          <w:color w:val="000000"/>
          <w:sz w:val="28"/>
        </w:rPr>
        <w:fldChar w:fldCharType="end"/>
      </w:r>
      <w:r>
        <w:rPr>
          <w:rStyle w:val="58"/>
          <w:color w:val="000000"/>
          <w:sz w:val="28"/>
        </w:rPr>
        <w:fldChar w:fldCharType="end"/>
      </w:r>
    </w:p>
    <w:p w14:paraId="0E9B8E74">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rFonts w:hint="eastAsia" w:eastAsia="宋体" w:cs="Times New Roman"/>
          <w:bCs/>
          <w:szCs w:val="32"/>
          <w:highlight w:val="none"/>
        </w:rPr>
      </w:pPr>
      <w:bookmarkStart w:id="19" w:name="_Toc78803320"/>
      <w:bookmarkStart w:id="20" w:name="_Toc179632544"/>
      <w:bookmarkStart w:id="21" w:name="_Toc247085687"/>
      <w:bookmarkStart w:id="22" w:name="_Toc144974495"/>
      <w:bookmarkStart w:id="23" w:name="_Toc246996173"/>
      <w:bookmarkStart w:id="24" w:name="_Toc152042303"/>
      <w:bookmarkStart w:id="25" w:name="_Toc15058844"/>
      <w:bookmarkStart w:id="26" w:name="_Toc506107267"/>
      <w:bookmarkStart w:id="27" w:name="_Toc324404813"/>
      <w:bookmarkStart w:id="28" w:name="_Toc35424883"/>
      <w:bookmarkStart w:id="29" w:name="_Toc35425050"/>
      <w:bookmarkStart w:id="30" w:name="_Toc246996916"/>
      <w:bookmarkStart w:id="31" w:name="_Toc152045527"/>
      <w:r>
        <w:rPr>
          <w:rFonts w:hint="eastAsia" w:eastAsia="宋体" w:cs="Times New Roman"/>
          <w:bCs/>
          <w:szCs w:val="32"/>
          <w:highlight w:val="none"/>
          <w:lang w:val="en-US" w:eastAsia="zh-CN"/>
        </w:rPr>
        <w:t xml:space="preserve">第一章 </w:t>
      </w:r>
      <w:r>
        <w:rPr>
          <w:rFonts w:hint="eastAsia" w:eastAsia="宋体" w:cs="Times New Roman"/>
          <w:bCs/>
          <w:szCs w:val="32"/>
          <w:highlight w:val="none"/>
        </w:rPr>
        <w:t>招标公告</w:t>
      </w:r>
      <w:bookmarkEnd w:id="19"/>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0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G36宁洛高速公路来安至明光段改扩建工程曹庄、嘉山服务区污水改造项目</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bCs/>
                <w:color w:val="auto"/>
                <w:kern w:val="1"/>
                <w:sz w:val="21"/>
                <w:szCs w:val="21"/>
                <w:highlight w:val="none"/>
                <w:lang w:eastAsia="zh-CN"/>
              </w:rPr>
              <w:t>安徽滁宁高速公路股份有限公司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安徽滁宁高速公路股份有限公司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G36宁洛高速公路来安至明光段改扩建工程曹庄、嘉山服务区污水改造项目</w:t>
            </w:r>
          </w:p>
        </w:tc>
      </w:tr>
      <w:tr w14:paraId="7B9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67D976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Cs w:val="21"/>
                <w:highlight w:val="none"/>
              </w:rPr>
              <w:t>招标项目编号</w:t>
            </w:r>
          </w:p>
        </w:tc>
        <w:tc>
          <w:tcPr>
            <w:tcW w:w="7997" w:type="dxa"/>
            <w:noWrap w:val="0"/>
            <w:vAlign w:val="center"/>
          </w:tcPr>
          <w:p w14:paraId="666FF851">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HXJY1110001063721001</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招标人指定地点</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6B461091">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曹庄服务区污水改造工程：排水管道全长3848米；泵站设计规模21m³/h，泵站设计扬程14米；</w:t>
            </w:r>
          </w:p>
          <w:p w14:paraId="56AC02AD">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嘉山服务区污水改造工程：排水管道全长12074米；泵站设计规模34m³/h，泵站设计扬程33米。</w:t>
            </w:r>
          </w:p>
        </w:tc>
      </w:tr>
      <w:tr w14:paraId="5DC7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323046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7997" w:type="dxa"/>
            <w:noWrap w:val="0"/>
            <w:vAlign w:val="center"/>
          </w:tcPr>
          <w:p w14:paraId="2618AED0">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6029422.74元</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计划工期</w:t>
            </w:r>
          </w:p>
        </w:tc>
        <w:tc>
          <w:tcPr>
            <w:tcW w:w="7997" w:type="dxa"/>
            <w:noWrap w:val="0"/>
            <w:vAlign w:val="center"/>
          </w:tcPr>
          <w:p w14:paraId="5161EF3C">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详见招标文件</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52E6C02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本工程分为两阶段实施，第一阶段为曹庄服务区污水改造图纸全部施工内容和嘉山服务区内污水改造施工内容；第二阶段为嘉山服务区从污水提升泵站引出的DN150PE实壁管至接入现状园区污水处理厂施工内容，详见本工程施工图纸和工程量清单中的所有内容。</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市政工程</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8EAA9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7997" w:type="dxa"/>
            <w:shd w:val="clear" w:color="auto" w:fill="auto"/>
            <w:noWrap w:val="0"/>
            <w:vAlign w:val="center"/>
          </w:tcPr>
          <w:p w14:paraId="05D67B97">
            <w:pPr>
              <w:keepNext w:val="0"/>
              <w:keepLines w:val="0"/>
              <w:pageBreakBefore w:val="0"/>
              <w:kinsoku/>
              <w:overflowPunct/>
              <w:topLinePunct w:val="0"/>
              <w:autoSpaceDN/>
              <w:bidi w:val="0"/>
              <w:adjustRightInd/>
              <w:snapToGrid/>
              <w:spacing w:line="400" w:lineRule="exact"/>
              <w:textAlignment w:val="auto"/>
              <w:rPr>
                <w:rFonts w:hint="eastAsia" w:eastAsia="宋体"/>
                <w:szCs w:val="21"/>
                <w:highlight w:val="none"/>
                <w:lang w:val="en-US" w:eastAsia="zh-CN"/>
              </w:rPr>
            </w:pPr>
            <w:r>
              <w:rPr>
                <w:rFonts w:hint="eastAsia" w:ascii="宋体" w:hAnsi="宋体" w:eastAsia="宋体" w:cs="宋体"/>
                <w:color w:val="auto"/>
                <w:sz w:val="21"/>
                <w:szCs w:val="21"/>
                <w:highlight w:val="none"/>
                <w:lang w:val="en-US" w:eastAsia="zh-CN"/>
              </w:rPr>
              <w:t>投标人具备</w:t>
            </w:r>
            <w:r>
              <w:rPr>
                <w:rFonts w:hint="eastAsia"/>
                <w:szCs w:val="21"/>
                <w:highlight w:val="none"/>
              </w:rPr>
              <w:t>市政公用工程施工总承包</w:t>
            </w:r>
            <w:r>
              <w:rPr>
                <w:rFonts w:hint="eastAsia"/>
                <w:szCs w:val="21"/>
                <w:highlight w:val="none"/>
                <w:lang w:val="en-US" w:eastAsia="zh-CN"/>
              </w:rPr>
              <w:t>叁</w:t>
            </w:r>
            <w:r>
              <w:rPr>
                <w:rFonts w:hint="eastAsia"/>
                <w:szCs w:val="21"/>
                <w:highlight w:val="none"/>
              </w:rPr>
              <w:t>级</w:t>
            </w:r>
            <w:r>
              <w:rPr>
                <w:rFonts w:hint="eastAsia"/>
                <w:szCs w:val="21"/>
                <w:highlight w:val="none"/>
                <w:lang w:val="en-US" w:eastAsia="zh-CN"/>
              </w:rPr>
              <w:t>或</w:t>
            </w:r>
            <w:r>
              <w:rPr>
                <w:rFonts w:hint="eastAsia"/>
                <w:szCs w:val="21"/>
                <w:highlight w:val="none"/>
              </w:rPr>
              <w:t>以上资质，并具有有效的安全生产许可证</w:t>
            </w:r>
            <w:r>
              <w:rPr>
                <w:rFonts w:hint="eastAsia"/>
                <w:szCs w:val="21"/>
                <w:highlight w:val="none"/>
                <w:lang w:eastAsia="zh-CN"/>
              </w:rPr>
              <w:t>。</w:t>
            </w:r>
          </w:p>
        </w:tc>
      </w:tr>
      <w:tr w14:paraId="07C2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541401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w:t>
            </w:r>
            <w:r>
              <w:rPr>
                <w:rFonts w:hint="eastAsia" w:ascii="宋体" w:hAnsi="宋体" w:cs="宋体"/>
                <w:bCs/>
                <w:snapToGrid w:val="0"/>
                <w:color w:val="auto"/>
                <w:kern w:val="0"/>
                <w:sz w:val="21"/>
                <w:szCs w:val="21"/>
                <w:highlight w:val="none"/>
                <w:lang w:val="en-US" w:eastAsia="zh-CN"/>
              </w:rPr>
              <w:t>经理</w:t>
            </w:r>
            <w:r>
              <w:rPr>
                <w:rFonts w:hint="eastAsia" w:ascii="宋体" w:hAnsi="宋体" w:eastAsia="宋体" w:cs="宋体"/>
                <w:bCs/>
                <w:snapToGrid w:val="0"/>
                <w:color w:val="auto"/>
                <w:kern w:val="0"/>
                <w:sz w:val="21"/>
                <w:szCs w:val="21"/>
                <w:highlight w:val="none"/>
              </w:rPr>
              <w:t>资格要求</w:t>
            </w:r>
          </w:p>
        </w:tc>
        <w:tc>
          <w:tcPr>
            <w:tcW w:w="7997" w:type="dxa"/>
            <w:noWrap w:val="0"/>
            <w:vAlign w:val="center"/>
          </w:tcPr>
          <w:p w14:paraId="2FCE30F9">
            <w:pPr>
              <w:keepNext w:val="0"/>
              <w:keepLines w:val="0"/>
              <w:pageBreakBefore w:val="0"/>
              <w:kinsoku/>
              <w:overflowPunct/>
              <w:topLinePunct w:val="0"/>
              <w:autoSpaceDN/>
              <w:bidi w:val="0"/>
              <w:adjustRightInd/>
              <w:snapToGrid/>
              <w:spacing w:line="400" w:lineRule="exact"/>
              <w:textAlignment w:val="auto"/>
              <w:rPr>
                <w:rFonts w:hint="eastAsia"/>
                <w:szCs w:val="21"/>
                <w:highlight w:val="none"/>
                <w:lang w:val="en-US" w:eastAsia="zh-CN"/>
              </w:rPr>
            </w:pPr>
            <w:r>
              <w:rPr>
                <w:rFonts w:hint="eastAsia" w:ascii="宋体" w:hAnsi="宋体" w:eastAsia="宋体" w:cs="Times New Roman"/>
                <w:color w:val="auto"/>
                <w:szCs w:val="21"/>
                <w:highlight w:val="none"/>
                <w:lang w:val="en-US" w:eastAsia="zh-CN"/>
              </w:rPr>
              <w:t>拟派的项目经理具备注册在投标单位的</w:t>
            </w:r>
            <w:r>
              <w:rPr>
                <w:rFonts w:hint="eastAsia"/>
                <w:szCs w:val="21"/>
                <w:highlight w:val="none"/>
              </w:rPr>
              <w:t>市政公用工程专业</w:t>
            </w:r>
            <w:r>
              <w:rPr>
                <w:rFonts w:hint="eastAsia"/>
                <w:szCs w:val="21"/>
                <w:highlight w:val="none"/>
                <w:lang w:val="en-US" w:eastAsia="zh-CN"/>
              </w:rPr>
              <w:t>二</w:t>
            </w:r>
            <w:r>
              <w:rPr>
                <w:rFonts w:hint="eastAsia"/>
                <w:szCs w:val="21"/>
                <w:highlight w:val="none"/>
              </w:rPr>
              <w:t>级</w:t>
            </w:r>
            <w:r>
              <w:rPr>
                <w:rFonts w:hint="eastAsia"/>
                <w:szCs w:val="21"/>
                <w:highlight w:val="none"/>
                <w:lang w:eastAsia="zh-CN"/>
              </w:rPr>
              <w:t>（</w:t>
            </w:r>
            <w:r>
              <w:rPr>
                <w:rFonts w:hint="eastAsia"/>
                <w:szCs w:val="21"/>
                <w:highlight w:val="none"/>
                <w:lang w:val="en-US" w:eastAsia="zh-CN"/>
              </w:rPr>
              <w:t>或以上）</w:t>
            </w:r>
            <w:r>
              <w:rPr>
                <w:rFonts w:hint="eastAsia"/>
                <w:szCs w:val="21"/>
                <w:highlight w:val="none"/>
              </w:rPr>
              <w:t>建造师资格</w:t>
            </w:r>
            <w:r>
              <w:rPr>
                <w:rFonts w:hint="eastAsia" w:ascii="宋体" w:hAnsi="宋体" w:eastAsia="宋体" w:cs="Times New Roman"/>
                <w:color w:val="auto"/>
                <w:szCs w:val="21"/>
                <w:highlight w:val="none"/>
                <w:lang w:val="en-US" w:eastAsia="zh-CN"/>
              </w:rPr>
              <w:t>。</w:t>
            </w:r>
          </w:p>
        </w:tc>
      </w:tr>
      <w:tr w14:paraId="5D76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1FF232E">
            <w:pPr>
              <w:keepNext w:val="0"/>
              <w:keepLines w:val="0"/>
              <w:pageBreakBefore w:val="0"/>
              <w:widowControl/>
              <w:kinsoku/>
              <w:overflowPunct/>
              <w:topLinePunct w:val="0"/>
              <w:autoSpaceDN/>
              <w:bidi w:val="0"/>
              <w:adjustRightInd/>
              <w:snapToGrid/>
              <w:spacing w:line="400" w:lineRule="exact"/>
              <w:jc w:val="center"/>
              <w:textAlignment w:val="auto"/>
              <w:rPr>
                <w:rFonts w:hint="eastAsia" w:ascii="宋体" w:hAnsi="宋体" w:eastAsia="宋体" w:cs="宋体"/>
                <w:bCs/>
                <w:snapToGrid w:val="0"/>
                <w:color w:val="auto"/>
                <w:kern w:val="0"/>
                <w:sz w:val="21"/>
                <w:szCs w:val="21"/>
                <w:highlight w:val="none"/>
              </w:rPr>
            </w:pPr>
            <w:r>
              <w:rPr>
                <w:rFonts w:hint="eastAsia" w:ascii="宋体" w:hAnsi="宋体" w:cs="宋体"/>
                <w:color w:val="000000"/>
                <w:kern w:val="0"/>
                <w:szCs w:val="21"/>
                <w:highlight w:val="none"/>
              </w:rPr>
              <w:t>信誉要求</w:t>
            </w:r>
          </w:p>
        </w:tc>
        <w:tc>
          <w:tcPr>
            <w:tcW w:w="7997" w:type="dxa"/>
            <w:noWrap w:val="0"/>
            <w:vAlign w:val="center"/>
          </w:tcPr>
          <w:p w14:paraId="231504B5">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bookmarkStart w:id="32" w:name="OLE_LINK36"/>
            <w:bookmarkStart w:id="33" w:name="OLE_LINK35"/>
            <w:r>
              <w:rPr>
                <w:rFonts w:hint="eastAsia" w:ascii="宋体" w:hAnsi="宋体" w:eastAsia="宋体" w:cs="Times New Roman"/>
                <w:color w:val="auto"/>
                <w:szCs w:val="21"/>
                <w:highlight w:val="none"/>
                <w:lang w:val="en-US" w:eastAsia="zh-CN"/>
              </w:rPr>
              <w:t>投标人（包括联合体各成员）存在以下情形之一的，不得被确定为中标人：</w:t>
            </w:r>
          </w:p>
          <w:p w14:paraId="323700C0">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①被列入“信用中国”网站（www.creditchina.gov.cn）“失信被执行人”的；</w:t>
            </w:r>
          </w:p>
          <w:p w14:paraId="2ADCC78A">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②被列入“信用中国”网站（www.creditchina.gov.cn）“重大税收违法失信主体”的；</w:t>
            </w:r>
          </w:p>
          <w:p w14:paraId="7B2163AE">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③被列入“信用中国”网站（www.creditchina.gov.cn）“拖欠农民工工资失信联合惩戒对象名单”的；</w:t>
            </w:r>
          </w:p>
          <w:p w14:paraId="04FBC062">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④被列入“信用中国”网站（www.creditchina.gov.cn） “安全生产严重失信主体名单”的；</w:t>
            </w:r>
          </w:p>
          <w:p w14:paraId="46952EA2">
            <w:pPr>
              <w:keepNext w:val="0"/>
              <w:keepLines w:val="0"/>
              <w:pageBreakBefore w:val="0"/>
              <w:kinsoku/>
              <w:overflowPunct/>
              <w:topLinePunct w:val="0"/>
              <w:autoSpaceDN/>
              <w:bidi w:val="0"/>
              <w:adjustRightInd/>
              <w:snapToGrid/>
              <w:spacing w:line="400" w:lineRule="exac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⑤被列入国家企业信用信息公示系统网站（</w:t>
            </w:r>
            <w:r>
              <w:rPr>
                <w:rFonts w:hint="eastAsia" w:ascii="宋体" w:hAnsi="宋体" w:eastAsia="宋体" w:cs="Times New Roman"/>
                <w:color w:val="auto"/>
                <w:szCs w:val="21"/>
                <w:highlight w:val="none"/>
                <w:lang w:val="en-US" w:eastAsia="zh-CN"/>
              </w:rPr>
              <w:fldChar w:fldCharType="begin"/>
            </w:r>
            <w:r>
              <w:rPr>
                <w:rFonts w:hint="eastAsia" w:ascii="宋体" w:hAnsi="宋体" w:eastAsia="宋体" w:cs="Times New Roman"/>
                <w:color w:val="auto"/>
                <w:szCs w:val="21"/>
                <w:highlight w:val="none"/>
                <w:lang w:val="en-US" w:eastAsia="zh-CN"/>
              </w:rPr>
              <w:instrText xml:space="preserve"> HYPERLINK "http://www.gsxt.gov.cn）查询" </w:instrText>
            </w:r>
            <w:r>
              <w:rPr>
                <w:rFonts w:hint="eastAsia" w:ascii="宋体" w:hAnsi="宋体" w:eastAsia="宋体" w:cs="Times New Roman"/>
                <w:color w:val="auto"/>
                <w:szCs w:val="21"/>
                <w:highlight w:val="none"/>
                <w:lang w:val="en-US" w:eastAsia="zh-CN"/>
              </w:rPr>
              <w:fldChar w:fldCharType="separate"/>
            </w:r>
            <w:r>
              <w:rPr>
                <w:rFonts w:hint="eastAsia" w:ascii="宋体" w:hAnsi="宋体" w:eastAsia="宋体" w:cs="Times New Roman"/>
                <w:color w:val="auto"/>
                <w:szCs w:val="21"/>
                <w:highlight w:val="none"/>
                <w:lang w:val="en-US" w:eastAsia="zh-CN"/>
              </w:rPr>
              <w:t>www.gsxt.gov.cn）</w:t>
            </w:r>
            <w:r>
              <w:rPr>
                <w:rFonts w:hint="eastAsia" w:ascii="宋体" w:hAnsi="宋体" w:eastAsia="宋体" w:cs="Times New Roman"/>
                <w:color w:val="auto"/>
                <w:szCs w:val="21"/>
                <w:highlight w:val="none"/>
                <w:lang w:val="en-US" w:eastAsia="zh-CN"/>
              </w:rPr>
              <w:fldChar w:fldCharType="end"/>
            </w:r>
            <w:r>
              <w:rPr>
                <w:rFonts w:hint="eastAsia" w:ascii="宋体" w:hAnsi="宋体" w:eastAsia="宋体" w:cs="Times New Roman"/>
                <w:color w:val="auto"/>
                <w:szCs w:val="21"/>
                <w:highlight w:val="none"/>
                <w:lang w:val="en-US" w:eastAsia="zh-CN"/>
              </w:rPr>
              <w:t>“严重违法失信名单”的。</w:t>
            </w:r>
          </w:p>
          <w:p w14:paraId="65A128CA">
            <w:pPr>
              <w:keepNext w:val="0"/>
              <w:keepLines w:val="0"/>
              <w:pageBreakBefore w:val="0"/>
              <w:kinsoku/>
              <w:overflowPunct/>
              <w:topLinePunct w:val="0"/>
              <w:autoSpaceDN/>
              <w:bidi w:val="0"/>
              <w:adjustRightInd/>
              <w:snapToGrid/>
              <w:spacing w:line="400" w:lineRule="exact"/>
              <w:textAlignment w:val="auto"/>
              <w:rPr>
                <w:rFonts w:hint="eastAsia" w:ascii="宋体" w:hAnsi="宋体"/>
                <w:color w:val="auto"/>
                <w:szCs w:val="21"/>
                <w:highlight w:val="none"/>
                <w:lang w:val="en-US" w:eastAsia="zh-CN"/>
              </w:rPr>
            </w:pPr>
            <w:r>
              <w:rPr>
                <w:rFonts w:hint="eastAsia" w:ascii="宋体" w:hAnsi="宋体" w:eastAsia="宋体" w:cs="Times New Roman"/>
                <w:color w:val="auto"/>
                <w:szCs w:val="21"/>
                <w:highlight w:val="none"/>
                <w:lang w:val="en-US" w:eastAsia="zh-CN"/>
              </w:rPr>
              <w:t>2、投标人（包括联合体各成员）所属分公司、办事处等分支机构存在第1条信誉要求①-⑤项情形之一的，接受其被确定为中标人。</w:t>
            </w:r>
            <w:bookmarkEnd w:id="32"/>
            <w:bookmarkEnd w:id="33"/>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47657132">
            <w:pPr>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kern w:val="0"/>
                <w:sz w:val="21"/>
                <w:szCs w:val="21"/>
                <w:highlight w:val="none"/>
              </w:rPr>
            </w:pPr>
            <w:r>
              <w:rPr>
                <w:rFonts w:hint="eastAsia" w:ascii="宋体" w:hAnsi="宋体" w:cs="宋体"/>
                <w:color w:val="auto"/>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 xml:space="preserve">6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18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cs="宋体"/>
                <w:bCs/>
                <w:snapToGrid w:val="0"/>
                <w:color w:val="000000"/>
                <w:kern w:val="0"/>
                <w:szCs w:val="21"/>
                <w:highlight w:val="none"/>
                <w:u w:val="single"/>
                <w:lang w:val="en-US" w:eastAsia="zh-CN"/>
              </w:rPr>
              <w:t>2026</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9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24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5AC4F37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06D33B5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1CA3EC4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18</w:t>
            </w:r>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eastAsia="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24</w:t>
            </w:r>
            <w:r>
              <w:rPr>
                <w:rFonts w:hint="eastAsia" w:ascii="宋体" w:hAnsi="宋体" w:eastAsia="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招标文件</w:t>
            </w:r>
            <w:r>
              <w:rPr>
                <w:rFonts w:hint="eastAsia" w:ascii="宋体" w:hAnsi="宋体" w:cs="宋体"/>
                <w:color w:val="auto"/>
                <w:sz w:val="21"/>
                <w:szCs w:val="21"/>
                <w:highlight w:val="none"/>
                <w:lang w:val="en-US" w:eastAsia="zh-CN"/>
              </w:rPr>
              <w:t>售价</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087B457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是否要求提交投标保证金：要求，投标保证金的金额：12万元。</w:t>
            </w:r>
          </w:p>
          <w:p w14:paraId="5BF2D70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投标保证金的形式：支持现金（银行转账）、电子保函</w:t>
            </w:r>
          </w:p>
          <w:p w14:paraId="5A458BB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采用现金形式的，投标保证金应当从投标人基本存款账户转出，投标保证金的到账截止时间为投标截止时间。投标保证金转出账户与投标人投标文件提供的基本存款账户不一致的，视为未按照招标文件规定提交投标保证金。提交投标保证金的开户银行及账号如下：</w:t>
            </w:r>
          </w:p>
          <w:p w14:paraId="2F97D4F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 xml:space="preserve">户  名：滁州市城投工程咨询管理有限公司 </w:t>
            </w:r>
          </w:p>
          <w:p w14:paraId="1DFA98E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 xml:space="preserve">开户行：中国银行滁州分行营业部 </w:t>
            </w:r>
          </w:p>
          <w:p w14:paraId="7E3AE8B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账  号：</w:t>
            </w:r>
            <w:r>
              <w:rPr>
                <w:rFonts w:hint="default" w:ascii="Times New Roman" w:hAnsi="Times New Roman" w:eastAsia="宋体" w:cs="Times New Roman"/>
                <w:highlight w:val="none"/>
                <w:lang w:val="en-US" w:eastAsia="zh-CN"/>
              </w:rPr>
              <w:t xml:space="preserve">184256514737 </w:t>
            </w:r>
          </w:p>
          <w:p w14:paraId="52C9853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采用现金形式缴纳保证金时须在交易附言中注明：“</w:t>
            </w:r>
            <w:r>
              <w:rPr>
                <w:rFonts w:hint="eastAsia" w:cs="Times New Roman"/>
                <w:highlight w:val="none"/>
                <w:lang w:val="en-US" w:eastAsia="zh-CN"/>
              </w:rPr>
              <w:t>G36宁洛高速公路来安至明光段改扩建工程曹庄、嘉山服务区污水改造项目</w:t>
            </w:r>
            <w:r>
              <w:rPr>
                <w:rFonts w:hint="eastAsia" w:ascii="Times New Roman" w:hAnsi="Times New Roman" w:eastAsia="宋体" w:cs="Times New Roman"/>
                <w:highlight w:val="none"/>
                <w:lang w:val="en-US" w:eastAsia="zh-CN"/>
              </w:rPr>
              <w:t xml:space="preserve">投标保证金”。 </w:t>
            </w:r>
          </w:p>
          <w:p w14:paraId="064A716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注：各投标人请严格按照招标公告和招标文件载明的银行、账户汇入投标保证金，否则在开标时将无法查询保证金是否到账，导致评标委员会否决其投标！</w:t>
            </w:r>
          </w:p>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投标保证金退还期限：中标通知书发放后五个工作日内退还未中标单位的投标保证金，签订合同后五个工作日内退还中标单位的投标保证金。</w:t>
            </w:r>
          </w:p>
          <w:p w14:paraId="7602C65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（2）采用电子保函提交要求如下：</w:t>
            </w:r>
          </w:p>
          <w:p w14:paraId="2340634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①投标人须在投标文件提交截止时间前提供与新点电子交易平台【滁州专区】对接的电子保函否则视为投标保证金未按规定要求缴纳。</w:t>
            </w:r>
          </w:p>
          <w:p w14:paraId="59526BF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②电子保函生效时间须为所投项目规定的保证金到账截止时间之前，电子保函的有效期截止时间不得短于招标文件约定的投标有效期截止时间，否则视为投标保证金未按规定要求缴纳。</w:t>
            </w:r>
          </w:p>
          <w:p w14:paraId="0979113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③投标有效期内未能确定中标结果，需要延长投标有效期，投标人同意延长投标有效期的，须相应延长电子保函的有效期。</w:t>
            </w:r>
          </w:p>
          <w:p w14:paraId="655ACF5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④投标人存在投标保证金不予退还的情形，采用电子保函形式的将予以追缴。</w:t>
            </w:r>
          </w:p>
          <w:p w14:paraId="4BEAD14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（3）保证金电子保函业务应急处置措施。由于自然灾害、事故灾难、突发公共网络安全事件或者系统原因，以及保证金电子保函系统使用过程中出现的以下情况：</w:t>
            </w:r>
          </w:p>
          <w:p w14:paraId="07A3CC1D">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①开标时，系统获取明文保函文件异常，无法正常获取保函文件；</w:t>
            </w:r>
          </w:p>
          <w:p w14:paraId="7D385B0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②保证金电子保函系统的软件或数据库出现错误，不能进行正常操作；</w:t>
            </w:r>
          </w:p>
          <w:p w14:paraId="42FFA6C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③保证金电子保函系统服务器发生故障等情况，无法访问或无法使用电子保函；</w:t>
            </w:r>
          </w:p>
          <w:p w14:paraId="2E536D4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④保证金电子保函系统服务器受到病毒或其他外来的攻击；</w:t>
            </w:r>
          </w:p>
          <w:p w14:paraId="7E18908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⑤其他影响电子保函出具的异常情形。</w:t>
            </w:r>
          </w:p>
          <w:p w14:paraId="4BFE091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由于上述原因导致投标人无法正常参加开评标的，投标人确实已购买电子保函，投标人可以继续参加开评标。</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eastAsia="zh-CN"/>
              </w:rPr>
              <w:t>安徽滁宁高速公路股份有限公司</w:t>
            </w:r>
            <w:r>
              <w:rPr>
                <w:rFonts w:hint="eastAsia" w:ascii="宋体" w:hAnsi="宋体" w:eastAsia="宋体" w:cs="宋体"/>
                <w:color w:val="auto"/>
                <w:kern w:val="0"/>
                <w:sz w:val="21"/>
                <w:szCs w:val="21"/>
                <w:highlight w:val="none"/>
                <w:lang w:eastAsia="zh-CN"/>
              </w:rPr>
              <w:t xml:space="preserve">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eastAsia="zh-CN"/>
              </w:rPr>
              <w:t>安徽省滁州市来安县经济开发区裕安西路188号</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黄工</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0550-3568109</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5B1A9D09">
      <w:pPr>
        <w:jc w:val="left"/>
        <w:rPr>
          <w:highlight w:val="none"/>
        </w:rPr>
      </w:pPr>
    </w:p>
    <w:p w14:paraId="32A53F0D">
      <w:pPr>
        <w:pStyle w:val="44"/>
        <w:spacing w:beforeLines="50" w:afterLines="50" w:line="440" w:lineRule="exact"/>
        <w:rPr>
          <w:bCs/>
          <w:szCs w:val="32"/>
          <w:highlight w:val="none"/>
        </w:rPr>
      </w:pPr>
      <w:bookmarkStart w:id="34" w:name="_Toc78803321"/>
      <w:r>
        <w:rPr>
          <w:rFonts w:hint="eastAsia"/>
          <w:bCs/>
          <w:szCs w:val="32"/>
          <w:highlight w:val="none"/>
        </w:rPr>
        <w:br w:type="page"/>
      </w:r>
      <w:r>
        <w:rPr>
          <w:rFonts w:hint="eastAsia"/>
          <w:bCs/>
          <w:szCs w:val="32"/>
          <w:highlight w:val="none"/>
        </w:rPr>
        <w:t>第</w:t>
      </w:r>
      <w:r>
        <w:rPr>
          <w:rFonts w:hint="eastAsia"/>
          <w:bCs/>
          <w:szCs w:val="32"/>
          <w:highlight w:val="none"/>
          <w:lang w:val="en-US" w:eastAsia="zh-CN"/>
        </w:rPr>
        <w:t>二</w:t>
      </w:r>
      <w:r>
        <w:rPr>
          <w:rFonts w:hint="eastAsia"/>
          <w:bCs/>
          <w:szCs w:val="32"/>
          <w:highlight w:val="none"/>
        </w:rPr>
        <w:t>章  投标人须知</w:t>
      </w:r>
      <w:bookmarkEnd w:id="20"/>
      <w:bookmarkEnd w:id="21"/>
      <w:bookmarkEnd w:id="22"/>
      <w:bookmarkEnd w:id="23"/>
      <w:bookmarkEnd w:id="24"/>
      <w:bookmarkEnd w:id="25"/>
      <w:bookmarkEnd w:id="26"/>
      <w:bookmarkEnd w:id="27"/>
      <w:bookmarkEnd w:id="28"/>
      <w:bookmarkEnd w:id="29"/>
      <w:bookmarkEnd w:id="30"/>
      <w:bookmarkEnd w:id="31"/>
      <w:bookmarkEnd w:id="34"/>
    </w:p>
    <w:p w14:paraId="594BBBF6">
      <w:pPr>
        <w:spacing w:beforeLines="50" w:afterLines="50" w:line="440" w:lineRule="exact"/>
        <w:jc w:val="center"/>
        <w:rPr>
          <w:b/>
          <w:bCs/>
          <w:sz w:val="28"/>
          <w:szCs w:val="28"/>
          <w:highlight w:val="none"/>
        </w:rPr>
      </w:pPr>
      <w:bookmarkStart w:id="35" w:name="_Toc152042304"/>
      <w:bookmarkStart w:id="36" w:name="_Toc15058845"/>
      <w:bookmarkStart w:id="37" w:name="_Toc246996174"/>
      <w:bookmarkStart w:id="38" w:name="_Toc35425051"/>
      <w:bookmarkStart w:id="39" w:name="_Toc324404814"/>
      <w:bookmarkStart w:id="40" w:name="_Toc144974496"/>
      <w:bookmarkStart w:id="41" w:name="_Toc179632545"/>
      <w:bookmarkStart w:id="42" w:name="_Toc246996917"/>
      <w:bookmarkStart w:id="43" w:name="_Toc247085688"/>
      <w:bookmarkStart w:id="44" w:name="_Toc35424884"/>
      <w:bookmarkStart w:id="45" w:name="_Toc506107268"/>
      <w:bookmarkStart w:id="46" w:name="_Toc152045528"/>
      <w:r>
        <w:rPr>
          <w:rFonts w:hint="eastAsia"/>
          <w:b/>
          <w:bCs/>
          <w:sz w:val="28"/>
          <w:szCs w:val="28"/>
          <w:highlight w:val="none"/>
        </w:rPr>
        <w:t>投标人须知前附表</w:t>
      </w:r>
      <w:bookmarkEnd w:id="35"/>
      <w:bookmarkEnd w:id="36"/>
      <w:bookmarkEnd w:id="37"/>
      <w:bookmarkEnd w:id="38"/>
      <w:bookmarkEnd w:id="39"/>
      <w:bookmarkEnd w:id="40"/>
      <w:bookmarkEnd w:id="41"/>
      <w:bookmarkEnd w:id="42"/>
      <w:bookmarkEnd w:id="43"/>
      <w:bookmarkEnd w:id="44"/>
      <w:bookmarkEnd w:id="45"/>
      <w:bookmarkEnd w:id="46"/>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7" w:name="_Toc144974497"/>
            <w:bookmarkStart w:id="48" w:name="_Toc246996918"/>
            <w:bookmarkStart w:id="49" w:name="_Toc247085689"/>
            <w:bookmarkStart w:id="50" w:name="_Toc152045529"/>
            <w:bookmarkStart w:id="51" w:name="_Toc506107269"/>
            <w:bookmarkStart w:id="52" w:name="_Toc179632546"/>
            <w:bookmarkStart w:id="53" w:name="_Toc324404815"/>
            <w:bookmarkStart w:id="54" w:name="_Toc152042305"/>
            <w:bookmarkStart w:id="55" w:name="_Toc246996175"/>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pStyle w:val="93"/>
              <w:keepNext w:val="0"/>
              <w:keepLines w:val="0"/>
              <w:pageBreakBefore w:val="0"/>
              <w:kinsoku/>
              <w:wordWrap/>
              <w:overflowPunct/>
              <w:autoSpaceDN/>
              <w:bidi w:val="0"/>
              <w:spacing w:line="4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见招标公告</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pageBreakBefore w:val="0"/>
              <w:kinsoku/>
              <w:wordWrap/>
              <w:overflowPunct/>
              <w:autoSpaceDE/>
              <w:autoSpaceDN/>
              <w:bidi w:val="0"/>
              <w:adjustRightInd w:val="0"/>
              <w:snapToGrid w:val="0"/>
              <w:spacing w:line="440" w:lineRule="exact"/>
              <w:jc w:val="center"/>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rPr>
              <w:t>计划工期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1C49749A">
            <w:pPr>
              <w:adjustRightInd w:val="0"/>
              <w:snapToGrid w:val="0"/>
              <w:spacing w:line="400" w:lineRule="exact"/>
              <w:jc w:val="left"/>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rPr>
              <w:t>计划工</w:t>
            </w:r>
            <w:r>
              <w:rPr>
                <w:rFonts w:hint="eastAsia" w:ascii="宋体" w:hAnsi="宋体" w:eastAsia="宋体" w:cs="宋体"/>
                <w:color w:val="000000"/>
                <w:szCs w:val="21"/>
                <w:highlight w:val="none"/>
                <w:lang w:eastAsia="zh-CN"/>
              </w:rPr>
              <w:t>期：</w:t>
            </w:r>
            <w:r>
              <w:rPr>
                <w:rFonts w:hint="eastAsia" w:ascii="宋体" w:hAnsi="宋体" w:cs="宋体"/>
                <w:color w:val="000000"/>
                <w:szCs w:val="21"/>
                <w:highlight w:val="none"/>
                <w:lang w:val="en-US" w:eastAsia="zh-CN"/>
              </w:rPr>
              <w:t>第一阶段</w:t>
            </w:r>
            <w:r>
              <w:rPr>
                <w:rFonts w:hint="eastAsia" w:ascii="宋体" w:hAnsi="宋体" w:eastAsia="宋体" w:cs="宋体"/>
                <w:color w:val="000000"/>
                <w:szCs w:val="21"/>
                <w:highlight w:val="none"/>
                <w:lang w:val="en-US" w:eastAsia="zh-CN"/>
              </w:rPr>
              <w:t>不高于</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0个日历天</w:t>
            </w:r>
            <w:r>
              <w:rPr>
                <w:rFonts w:hint="eastAsia" w:ascii="宋体" w:hAnsi="宋体" w:cs="宋体"/>
                <w:color w:val="000000"/>
                <w:szCs w:val="21"/>
                <w:highlight w:val="none"/>
                <w:lang w:val="en-US" w:eastAsia="zh-CN"/>
              </w:rPr>
              <w:t>；第二阶段</w:t>
            </w:r>
            <w:r>
              <w:rPr>
                <w:rFonts w:hint="eastAsia" w:ascii="宋体" w:hAnsi="宋体" w:eastAsia="宋体" w:cs="宋体"/>
                <w:color w:val="000000"/>
                <w:szCs w:val="21"/>
                <w:highlight w:val="none"/>
                <w:lang w:val="en-US" w:eastAsia="zh-CN"/>
              </w:rPr>
              <w:t>不高于</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0个日历天</w:t>
            </w:r>
          </w:p>
          <w:p w14:paraId="5C1338C9">
            <w:pPr>
              <w:adjustRightInd w:val="0"/>
              <w:snapToGrid w:val="0"/>
              <w:spacing w:line="400" w:lineRule="exact"/>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计划开工日期：</w:t>
            </w:r>
            <w:r>
              <w:rPr>
                <w:rFonts w:hint="eastAsia" w:ascii="宋体" w:hAnsi="宋体" w:cs="宋体"/>
                <w:color w:val="000000"/>
                <w:szCs w:val="21"/>
                <w:highlight w:val="none"/>
                <w:lang w:val="en-US" w:eastAsia="zh-CN"/>
              </w:rPr>
              <w:t>以监理下发的开工令为准</w:t>
            </w:r>
            <w:r>
              <w:rPr>
                <w:rFonts w:hint="eastAsia" w:ascii="宋体" w:hAnsi="宋体" w:eastAsia="宋体" w:cs="宋体"/>
                <w:color w:val="000000"/>
                <w:szCs w:val="21"/>
                <w:highlight w:val="none"/>
                <w:lang w:val="en-US" w:eastAsia="zh-CN"/>
              </w:rPr>
              <w:t xml:space="preserve"> </w:t>
            </w:r>
          </w:p>
          <w:p w14:paraId="4A50C0F9">
            <w:pPr>
              <w:adjustRightInd w:val="0"/>
              <w:snapToGrid w:val="0"/>
              <w:spacing w:line="400" w:lineRule="exact"/>
              <w:jc w:val="left"/>
              <w:rPr>
                <w:rFonts w:hint="eastAsia" w:ascii="宋体" w:hAnsi="宋体" w:cs="宋体"/>
                <w:color w:val="auto"/>
                <w:sz w:val="21"/>
                <w:szCs w:val="21"/>
                <w:highlight w:val="none"/>
              </w:rPr>
            </w:pPr>
            <w:r>
              <w:rPr>
                <w:rFonts w:hint="eastAsia" w:ascii="宋体" w:hAnsi="宋体" w:eastAsia="宋体" w:cs="宋体"/>
                <w:color w:val="000000"/>
                <w:szCs w:val="21"/>
                <w:highlight w:val="none"/>
              </w:rPr>
              <w:t>注：投标人自报的承诺工期为考核标准</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工期每延误一天，处以</w:t>
            </w:r>
            <w:r>
              <w:rPr>
                <w:rFonts w:hint="eastAsia" w:ascii="宋体" w:hAnsi="宋体" w:eastAsia="宋体" w:cs="宋体"/>
                <w:color w:val="000000"/>
                <w:szCs w:val="21"/>
                <w:highlight w:val="none"/>
                <w:lang w:val="en-US" w:eastAsia="zh-CN"/>
              </w:rPr>
              <w:t>1000</w:t>
            </w:r>
            <w:r>
              <w:rPr>
                <w:rFonts w:hint="eastAsia" w:ascii="宋体" w:hAnsi="宋体" w:eastAsia="宋体" w:cs="宋体"/>
                <w:color w:val="000000"/>
                <w:szCs w:val="21"/>
                <w:highlight w:val="none"/>
              </w:rPr>
              <w:t>元违约金，</w:t>
            </w:r>
            <w:r>
              <w:rPr>
                <w:rFonts w:hint="eastAsia" w:ascii="宋体" w:hAnsi="宋体" w:eastAsia="宋体" w:cs="宋体"/>
                <w:color w:val="000000"/>
                <w:szCs w:val="21"/>
                <w:highlight w:val="none"/>
                <w:lang w:val="en-US" w:eastAsia="zh-CN"/>
              </w:rPr>
              <w:t>累计最高赔偿金额为5万元。</w:t>
            </w:r>
            <w:r>
              <w:rPr>
                <w:rFonts w:hint="eastAsia" w:ascii="宋体" w:hAnsi="宋体" w:eastAsia="宋体" w:cs="宋体"/>
                <w:color w:val="000000"/>
                <w:szCs w:val="21"/>
                <w:highlight w:val="none"/>
              </w:rPr>
              <w:t>工期提前不奖励。</w:t>
            </w:r>
          </w:p>
        </w:tc>
      </w:tr>
      <w:tr w14:paraId="4024D16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470813DF">
            <w:pPr>
              <w:adjustRightInd w:val="0"/>
              <w:snapToGrid w:val="0"/>
              <w:spacing w:line="400" w:lineRule="exact"/>
              <w:jc w:val="left"/>
              <w:rPr>
                <w:rFonts w:hint="eastAsia" w:ascii="宋体" w:hAnsi="宋体" w:cs="宋体"/>
                <w:color w:val="000000"/>
                <w:szCs w:val="21"/>
                <w:highlight w:val="none"/>
              </w:rPr>
            </w:pPr>
            <w:r>
              <w:rPr>
                <w:rFonts w:hint="eastAsia" w:ascii="宋体" w:hAnsi="宋体" w:cs="宋体"/>
                <w:color w:val="000000"/>
                <w:szCs w:val="21"/>
                <w:highlight w:val="none"/>
              </w:rPr>
              <w:t>质量必须达到国家工程施工质量验收合格标准。</w:t>
            </w:r>
          </w:p>
          <w:p w14:paraId="32456A47">
            <w:pPr>
              <w:adjustRightInd w:val="0"/>
              <w:snapToGrid w:val="0"/>
              <w:spacing w:line="400" w:lineRule="exact"/>
              <w:jc w:val="left"/>
              <w:rPr>
                <w:rFonts w:ascii="宋体" w:hAnsi="宋体" w:cs="宋体"/>
                <w:szCs w:val="21"/>
                <w:highlight w:val="none"/>
              </w:rPr>
            </w:pPr>
            <w:r>
              <w:rPr>
                <w:rFonts w:hint="eastAsia" w:ascii="宋体" w:hAnsi="宋体" w:cs="宋体"/>
                <w:color w:val="000000"/>
                <w:szCs w:val="21"/>
                <w:highlight w:val="none"/>
              </w:rPr>
              <w:t>相关规范、标准以及《建设标准强制性条文》要求的相关强制性标准。</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pStyle w:val="14"/>
              <w:keepNext w:val="0"/>
              <w:keepLines w:val="0"/>
              <w:pageBreakBefore w:val="0"/>
              <w:kinsoku/>
              <w:wordWrap/>
              <w:overflowPunct/>
              <w:autoSpaceDN/>
              <w:bidi w:val="0"/>
              <w:spacing w:line="400" w:lineRule="exact"/>
              <w:ind w:left="0" w:leftChars="0" w:firstLine="0" w:firstLineChars="0"/>
              <w:jc w:val="left"/>
              <w:textAlignment w:val="auto"/>
              <w:rPr>
                <w:rFonts w:hAnsi="宋体" w:cs="宋体"/>
                <w:szCs w:val="21"/>
                <w:highlight w:val="none"/>
                <w:u w:val="single"/>
              </w:rPr>
            </w:pPr>
            <w:r>
              <w:rPr>
                <w:rFonts w:hint="eastAsia" w:hAnsi="宋体" w:cs="宋体"/>
                <w:szCs w:val="21"/>
                <w:highlight w:val="none"/>
                <w:u w:val="single"/>
              </w:rPr>
              <w:t>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w:t>
            </w:r>
            <w:r>
              <w:rPr>
                <w:rFonts w:hint="eastAsia" w:ascii="宋体" w:hAnsi="宋体" w:cs="宋体"/>
                <w:kern w:val="0"/>
                <w:szCs w:val="21"/>
                <w:highlight w:val="none"/>
                <w:lang w:val="en-US" w:eastAsia="zh-CN"/>
              </w:rPr>
              <w:t>2026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9</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21</w:t>
            </w:r>
            <w:r>
              <w:rPr>
                <w:rFonts w:hint="eastAsia" w:ascii="宋体" w:hAnsi="宋体" w:eastAsia="宋体" w:cs="宋体"/>
                <w:kern w:val="0"/>
                <w:szCs w:val="21"/>
                <w:highlight w:val="none"/>
              </w:rPr>
              <w:t>日1</w:t>
            </w:r>
            <w:r>
              <w:rPr>
                <w:rFonts w:hint="eastAsia" w:ascii="宋体" w:hAnsi="宋体" w:cs="宋体"/>
                <w:kern w:val="0"/>
                <w:szCs w:val="21"/>
                <w:highlight w:val="none"/>
                <w:lang w:val="en-US" w:eastAsia="zh-CN"/>
              </w:rPr>
              <w:t>2</w:t>
            </w:r>
            <w:r>
              <w:rPr>
                <w:rFonts w:hint="eastAsia" w:ascii="宋体" w:hAnsi="宋体" w:eastAsia="宋体" w:cs="宋体"/>
                <w:kern w:val="0"/>
                <w:szCs w:val="21"/>
                <w:highlight w:val="none"/>
              </w:rPr>
              <w:t>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w:t>
            </w:r>
            <w:r>
              <w:rPr>
                <w:rFonts w:hint="eastAsia" w:ascii="宋体" w:hAnsi="宋体" w:cs="宋体"/>
                <w:b w:val="0"/>
                <w:bCs w:val="0"/>
                <w:color w:val="000000"/>
                <w:kern w:val="2"/>
                <w:sz w:val="21"/>
                <w:szCs w:val="21"/>
                <w:highlight w:val="none"/>
                <w:u w:color="000000"/>
                <w:lang w:val="en-US" w:eastAsia="zh-CN" w:bidi="ar"/>
              </w:rPr>
              <w:t>2026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9</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21</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70551AA5">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FCAD629">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584240">
            <w:pPr>
              <w:pageBreakBefore w:val="0"/>
              <w:kinsoku/>
              <w:wordWrap/>
              <w:overflowPunct/>
              <w:autoSpaceDE/>
              <w:autoSpaceDN/>
              <w:bidi w:val="0"/>
              <w:adjustRightInd w:val="0"/>
              <w:snapToGrid w:val="0"/>
              <w:spacing w:line="440" w:lineRule="exact"/>
              <w:jc w:val="center"/>
              <w:textAlignment w:val="auto"/>
              <w:rPr>
                <w:rFonts w:hint="eastAsia" w:ascii="宋体" w:hAnsi="宋体" w:cs="宋体"/>
                <w:szCs w:val="21"/>
                <w:highlight w:val="none"/>
              </w:rPr>
            </w:pPr>
            <w:r>
              <w:rPr>
                <w:rFonts w:hint="eastAsia" w:ascii="宋体" w:hAnsi="宋体" w:eastAsia="宋体" w:cs="宋体"/>
                <w:b/>
                <w:bCs/>
                <w:color w:val="auto"/>
                <w:sz w:val="21"/>
                <w:szCs w:val="21"/>
                <w:highlight w:val="none"/>
              </w:rPr>
              <w:t>最高投标限价</w:t>
            </w:r>
          </w:p>
        </w:tc>
        <w:tc>
          <w:tcPr>
            <w:tcW w:w="7251" w:type="dxa"/>
            <w:tcBorders>
              <w:top w:val="single" w:color="auto" w:sz="4" w:space="0"/>
              <w:left w:val="single" w:color="auto" w:sz="4" w:space="0"/>
              <w:bottom w:val="single" w:color="auto" w:sz="4" w:space="0"/>
              <w:right w:val="single" w:color="auto" w:sz="4" w:space="0"/>
            </w:tcBorders>
            <w:noWrap/>
            <w:vAlign w:val="center"/>
          </w:tcPr>
          <w:p w14:paraId="627FFBE1">
            <w:pPr>
              <w:pageBreakBefore w:val="0"/>
              <w:kinsoku/>
              <w:wordWrap/>
              <w:overflowPunct/>
              <w:autoSpaceDE/>
              <w:autoSpaceDN/>
              <w:bidi w:val="0"/>
              <w:adjustRightInd w:val="0"/>
              <w:snapToGrid w:val="0"/>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u w:val="none"/>
              </w:rPr>
              <w:t>有</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公布的最高投标限价：</w:t>
            </w:r>
            <w:r>
              <w:rPr>
                <w:rFonts w:hint="eastAsia" w:ascii="宋体" w:hAnsi="宋体" w:cs="宋体"/>
                <w:color w:val="auto"/>
                <w:sz w:val="21"/>
                <w:szCs w:val="21"/>
                <w:highlight w:val="none"/>
                <w:u w:val="single"/>
                <w:lang w:val="en-US" w:eastAsia="zh-CN"/>
              </w:rPr>
              <w:t>6029422.74</w:t>
            </w:r>
            <w:r>
              <w:rPr>
                <w:rFonts w:hint="eastAsia" w:ascii="宋体" w:hAnsi="宋体" w:eastAsia="宋体" w:cs="宋体"/>
                <w:color w:val="auto"/>
                <w:sz w:val="21"/>
                <w:szCs w:val="21"/>
                <w:highlight w:val="none"/>
              </w:rPr>
              <w:t>元</w:t>
            </w:r>
            <w:r>
              <w:rPr>
                <w:rFonts w:hint="eastAsia" w:ascii="宋体" w:hAnsi="宋体" w:cs="宋体"/>
                <w:color w:val="000000"/>
                <w:sz w:val="21"/>
                <w:szCs w:val="21"/>
                <w:highlight w:val="none"/>
              </w:rPr>
              <w:t>（其中含暂列金额</w:t>
            </w:r>
            <w:r>
              <w:rPr>
                <w:rFonts w:hint="eastAsia" w:ascii="宋体" w:hAnsi="宋体" w:cs="宋体"/>
                <w:color w:val="auto"/>
                <w:sz w:val="21"/>
                <w:szCs w:val="21"/>
                <w:highlight w:val="none"/>
                <w:u w:val="single"/>
                <w:lang w:val="en-US" w:eastAsia="zh-CN"/>
              </w:rPr>
              <w:t>350000.00</w:t>
            </w:r>
            <w:r>
              <w:rPr>
                <w:rFonts w:hint="eastAsia" w:ascii="宋体" w:hAnsi="宋体" w:cs="宋体"/>
                <w:color w:val="000000"/>
                <w:sz w:val="21"/>
                <w:szCs w:val="21"/>
                <w:highlight w:val="none"/>
              </w:rPr>
              <w:t>元）</w:t>
            </w:r>
            <w:r>
              <w:rPr>
                <w:rFonts w:hint="eastAsia" w:ascii="宋体" w:hAnsi="宋体" w:cs="宋体"/>
                <w:color w:val="000000"/>
                <w:sz w:val="21"/>
                <w:szCs w:val="21"/>
                <w:highlight w:val="none"/>
                <w:lang w:eastAsia="zh-CN"/>
              </w:rPr>
              <w:t>。</w:t>
            </w:r>
            <w:r>
              <w:rPr>
                <w:rFonts w:hint="eastAsia" w:ascii="宋体" w:hAnsi="宋体" w:eastAsia="宋体" w:cs="宋体"/>
                <w:color w:val="auto"/>
                <w:sz w:val="21"/>
                <w:szCs w:val="21"/>
                <w:highlight w:val="none"/>
              </w:rPr>
              <w:t>应当包括总价、各单位工程的分部分项工程费、措施项目费、其他项目费、不可竞争性费用和税金。</w:t>
            </w:r>
          </w:p>
          <w:p w14:paraId="1DA045AF">
            <w:pPr>
              <w:pageBreakBefore w:val="0"/>
              <w:kinsoku/>
              <w:wordWrap/>
              <w:overflowPunct/>
              <w:autoSpaceDE/>
              <w:autoSpaceDN/>
              <w:bidi w:val="0"/>
              <w:adjustRightInd w:val="0"/>
              <w:snapToGrid w:val="0"/>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投标报价不得超过最高投标限价，否则按无效标处理。</w:t>
            </w:r>
          </w:p>
          <w:p w14:paraId="04800667">
            <w:pPr>
              <w:pageBreakBefore w:val="0"/>
              <w:kinsoku/>
              <w:wordWrap/>
              <w:overflowPunct/>
              <w:autoSpaceDE/>
              <w:autoSpaceDN/>
              <w:bidi w:val="0"/>
              <w:adjustRightInd w:val="0"/>
              <w:snapToGrid w:val="0"/>
              <w:spacing w:line="440" w:lineRule="exact"/>
              <w:textAlignment w:val="auto"/>
              <w:rPr>
                <w:rFonts w:hint="eastAsia" w:ascii="宋体" w:hAnsi="宋体" w:cs="宋体"/>
                <w:szCs w:val="21"/>
                <w:highlight w:val="none"/>
              </w:rPr>
            </w:pPr>
            <w:r>
              <w:rPr>
                <w:rFonts w:hint="eastAsia" w:ascii="宋体" w:hAnsi="宋体" w:eastAsia="宋体" w:cs="宋体"/>
                <w:color w:val="auto"/>
                <w:sz w:val="21"/>
                <w:szCs w:val="21"/>
                <w:highlight w:val="none"/>
                <w:lang w:val="en-US" w:eastAsia="zh-CN"/>
              </w:rPr>
              <w:t>注：投标报价小数点后最多保留两位小数，如填报多位小数的，按小数点后第3位四舍五入修正投标报价。</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hint="eastAsia" w:ascii="宋体" w:hAnsi="宋体" w:eastAsia="宋体" w:cs="宋体"/>
                <w:szCs w:val="21"/>
                <w:highlight w:val="none"/>
                <w:lang w:eastAsia="zh-CN"/>
              </w:rPr>
            </w:pPr>
            <w:bookmarkStart w:id="1011" w:name="_GoBack" w:colFirst="1" w:colLast="2"/>
            <w:r>
              <w:rPr>
                <w:rFonts w:hint="eastAsia" w:ascii="宋体" w:hAnsi="宋体" w:cs="宋体"/>
                <w:szCs w:val="21"/>
                <w:highlight w:val="none"/>
              </w:rPr>
              <w:t>1</w:t>
            </w:r>
            <w:r>
              <w:rPr>
                <w:rFonts w:hint="eastAsia" w:ascii="宋体" w:hAnsi="宋体" w:cs="宋体"/>
                <w:szCs w:val="21"/>
                <w:highlight w:val="none"/>
                <w:lang w:val="en-US" w:eastAsia="zh-CN"/>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D79A2BB">
            <w:pPr>
              <w:keepNext w:val="0"/>
              <w:keepLines w:val="0"/>
              <w:pageBreakBefore w:val="0"/>
              <w:kinsoku/>
              <w:wordWrap/>
              <w:overflowPunct/>
              <w:autoSpaceDN/>
              <w:bidi w:val="0"/>
              <w:spacing w:line="400" w:lineRule="exact"/>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投标报价的</w:t>
            </w:r>
          </w:p>
          <w:p w14:paraId="0588F859">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eastAsia="宋体" w:cs="宋体"/>
                <w:szCs w:val="21"/>
                <w:highlight w:val="none"/>
              </w:rPr>
              <w:t>其他要求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BBD7B28">
            <w:pPr>
              <w:pStyle w:val="14"/>
              <w:spacing w:after="0" w:line="400" w:lineRule="exact"/>
              <w:ind w:left="0" w:leftChars="0" w:firstLine="0" w:firstLineChars="0"/>
              <w:rPr>
                <w:highlight w:val="none"/>
              </w:rPr>
            </w:pPr>
            <w:r>
              <w:rPr>
                <w:rFonts w:hint="eastAsia"/>
                <w:highlight w:val="none"/>
                <w:lang w:val="en-US" w:eastAsia="zh-CN"/>
              </w:rPr>
              <w:t>1.</w:t>
            </w:r>
            <w:r>
              <w:rPr>
                <w:rFonts w:hint="eastAsia"/>
                <w:highlight w:val="none"/>
              </w:rPr>
              <w:t>投标人可先到工地踏勘以充分了解工地位置、情况、道路、储存空间、装卸限制及任何其他足以影响承包价的情况，任何因忽视或误解工地情况而导致的索赔或</w:t>
            </w:r>
            <w:r>
              <w:rPr>
                <w:rFonts w:hint="eastAsia"/>
                <w:highlight w:val="none"/>
                <w:lang w:val="en-US" w:eastAsia="zh-CN"/>
              </w:rPr>
              <w:t>工期</w:t>
            </w:r>
            <w:r>
              <w:rPr>
                <w:rFonts w:hint="eastAsia"/>
                <w:highlight w:val="none"/>
              </w:rPr>
              <w:t>延长申请将不被批准。</w:t>
            </w:r>
          </w:p>
          <w:p w14:paraId="2A6601E8">
            <w:pPr>
              <w:pStyle w:val="14"/>
              <w:spacing w:after="0" w:line="400" w:lineRule="exact"/>
              <w:ind w:left="0" w:leftChars="0" w:firstLine="0" w:firstLineChars="0"/>
              <w:rPr>
                <w:highlight w:val="none"/>
              </w:rPr>
            </w:pPr>
            <w:r>
              <w:rPr>
                <w:rFonts w:hint="eastAsia"/>
                <w:highlight w:val="none"/>
                <w:lang w:val="en-US" w:eastAsia="zh-CN"/>
              </w:rPr>
              <w:t>2.</w:t>
            </w:r>
            <w:r>
              <w:rPr>
                <w:rFonts w:hint="eastAsia"/>
                <w:highlight w:val="none"/>
              </w:rPr>
              <w:t>对于受施工现场场地限制，需要另外寻找场地解决临时住宿、材料及设备堆放，由此所产生的费用应包含在投标报价范围内，招标人不再承担该费用。</w:t>
            </w:r>
          </w:p>
          <w:p w14:paraId="41A3FD42">
            <w:pPr>
              <w:pStyle w:val="14"/>
              <w:spacing w:after="0" w:line="400" w:lineRule="exact"/>
              <w:ind w:left="0" w:leftChars="0" w:firstLine="0" w:firstLineChars="0"/>
              <w:rPr>
                <w:rFonts w:hint="eastAsia"/>
                <w:highlight w:val="none"/>
              </w:rPr>
            </w:pPr>
            <w:r>
              <w:rPr>
                <w:rFonts w:hint="eastAsia"/>
                <w:highlight w:val="none"/>
                <w:lang w:val="en-US" w:eastAsia="zh-CN"/>
              </w:rPr>
              <w:t>3.</w:t>
            </w:r>
            <w:r>
              <w:rPr>
                <w:rFonts w:hint="eastAsia"/>
                <w:highlight w:val="none"/>
              </w:rPr>
              <w:t>投标人必须完成</w:t>
            </w:r>
            <w:r>
              <w:rPr>
                <w:rFonts w:hint="eastAsia"/>
                <w:highlight w:val="none"/>
                <w:lang w:val="en-US" w:eastAsia="zh-CN"/>
              </w:rPr>
              <w:t>招标</w:t>
            </w:r>
            <w:r>
              <w:rPr>
                <w:rFonts w:hint="eastAsia"/>
                <w:highlight w:val="none"/>
              </w:rPr>
              <w:t>范围内的所有工程内容，报价错漏项不予调整，但</w:t>
            </w:r>
            <w:r>
              <w:rPr>
                <w:rFonts w:hint="eastAsia"/>
                <w:highlight w:val="none"/>
                <w:lang w:val="en-US" w:eastAsia="zh-CN"/>
              </w:rPr>
              <w:t>招标人</w:t>
            </w:r>
            <w:r>
              <w:rPr>
                <w:rFonts w:hint="eastAsia"/>
                <w:highlight w:val="none"/>
              </w:rPr>
              <w:t>指令调整建设范围、内容和设计变更除外。</w:t>
            </w:r>
          </w:p>
          <w:p w14:paraId="53B3C8D1">
            <w:pPr>
              <w:pStyle w:val="14"/>
              <w:spacing w:after="0" w:line="400" w:lineRule="exact"/>
              <w:ind w:left="0" w:leftChars="0" w:firstLine="0" w:firstLineChars="0"/>
              <w:rPr>
                <w:rFonts w:hint="default"/>
                <w:b/>
                <w:bCs/>
                <w:highlight w:val="none"/>
                <w:lang w:val="en-US" w:eastAsia="zh-CN"/>
              </w:rPr>
            </w:pPr>
            <w:r>
              <w:rPr>
                <w:rFonts w:hint="eastAsia"/>
                <w:b/>
                <w:bCs/>
                <w:highlight w:val="none"/>
                <w:lang w:val="en-US" w:eastAsia="zh-CN"/>
              </w:rPr>
              <w:t>4.因项目实施阶段，服务区正常运营。投标人应将以下内容包括在投标报价范围内：</w:t>
            </w:r>
          </w:p>
          <w:p w14:paraId="39ED1352">
            <w:pPr>
              <w:pStyle w:val="14"/>
              <w:spacing w:after="0" w:line="400" w:lineRule="exact"/>
              <w:ind w:left="0" w:leftChars="0" w:firstLine="0" w:firstLineChars="0"/>
              <w:rPr>
                <w:rFonts w:hint="default"/>
                <w:b/>
                <w:bCs/>
                <w:color w:val="0000FF"/>
                <w:highlight w:val="none"/>
                <w:lang w:val="en-US" w:eastAsia="zh-CN"/>
              </w:rPr>
            </w:pPr>
            <w:r>
              <w:rPr>
                <w:rFonts w:hint="eastAsia"/>
                <w:b/>
                <w:bCs/>
                <w:highlight w:val="none"/>
                <w:lang w:val="en-US" w:eastAsia="zh-CN"/>
              </w:rPr>
              <w:t>4.1为保障服务区正常运营，所采取的安全措施、交通维护费用等包括在投标报价范围内。</w:t>
            </w:r>
          </w:p>
          <w:p w14:paraId="521A6ADD">
            <w:pPr>
              <w:pStyle w:val="14"/>
              <w:spacing w:after="0" w:line="400" w:lineRule="exact"/>
              <w:ind w:left="0" w:leftChars="0" w:firstLine="0" w:firstLineChars="0"/>
              <w:rPr>
                <w:rFonts w:hint="eastAsia"/>
                <w:b/>
                <w:bCs/>
                <w:highlight w:val="none"/>
                <w:lang w:val="en-US" w:eastAsia="zh-CN"/>
              </w:rPr>
            </w:pPr>
            <w:r>
              <w:rPr>
                <w:rFonts w:hint="eastAsia"/>
                <w:b/>
                <w:bCs/>
                <w:highlight w:val="none"/>
                <w:lang w:val="en-US" w:eastAsia="zh-CN"/>
              </w:rPr>
              <w:t>4.2</w:t>
            </w:r>
            <w:r>
              <w:rPr>
                <w:rFonts w:hint="eastAsia" w:ascii="Times New Roman" w:eastAsia="宋体"/>
                <w:b/>
                <w:bCs/>
                <w:highlight w:val="none"/>
                <w:lang w:val="en-US" w:eastAsia="zh-CN"/>
              </w:rPr>
              <w:t>为保障</w:t>
            </w:r>
            <w:r>
              <w:rPr>
                <w:rFonts w:hint="eastAsia" w:ascii="Times New Roman"/>
                <w:b/>
                <w:bCs/>
                <w:highlight w:val="none"/>
                <w:lang w:val="en-US" w:eastAsia="zh-CN"/>
              </w:rPr>
              <w:t>在整体项目实施阶段</w:t>
            </w:r>
            <w:r>
              <w:rPr>
                <w:rFonts w:hint="eastAsia" w:ascii="Times New Roman" w:eastAsia="宋体"/>
                <w:b/>
                <w:bCs/>
                <w:highlight w:val="none"/>
                <w:lang w:val="en-US" w:eastAsia="zh-CN"/>
              </w:rPr>
              <w:t>服务区正常运营</w:t>
            </w:r>
            <w:r>
              <w:rPr>
                <w:rFonts w:hint="eastAsia" w:ascii="Times New Roman"/>
                <w:b/>
                <w:bCs/>
                <w:highlight w:val="none"/>
                <w:lang w:val="en-US" w:eastAsia="zh-CN"/>
              </w:rPr>
              <w:t>，对服务区产生的污水采取有效处理措施，所产生的费用包括在</w:t>
            </w:r>
            <w:r>
              <w:rPr>
                <w:rFonts w:hint="eastAsia"/>
                <w:b/>
                <w:bCs/>
                <w:highlight w:val="none"/>
                <w:lang w:val="en-US" w:eastAsia="zh-CN"/>
              </w:rPr>
              <w:t>投标报价范围内。</w:t>
            </w:r>
          </w:p>
          <w:p w14:paraId="2B2158BD">
            <w:pPr>
              <w:pStyle w:val="14"/>
              <w:spacing w:after="0" w:line="400" w:lineRule="exact"/>
              <w:ind w:left="0" w:leftChars="0" w:firstLine="0" w:firstLineChars="0"/>
              <w:rPr>
                <w:rFonts w:hint="default"/>
                <w:b/>
                <w:bCs/>
                <w:highlight w:val="none"/>
                <w:lang w:val="en-US" w:eastAsia="zh-CN"/>
              </w:rPr>
            </w:pPr>
            <w:r>
              <w:rPr>
                <w:rFonts w:hint="eastAsia"/>
                <w:b/>
                <w:bCs/>
                <w:highlight w:val="none"/>
                <w:lang w:val="en-US" w:eastAsia="zh-CN"/>
              </w:rPr>
              <w:t>4.3</w:t>
            </w:r>
            <w:r>
              <w:rPr>
                <w:rFonts w:hint="eastAsia" w:ascii="Times New Roman"/>
                <w:b/>
                <w:bCs/>
                <w:highlight w:val="none"/>
                <w:lang w:val="en-US" w:eastAsia="zh-CN"/>
              </w:rPr>
              <w:t>本项目原有设备的拆除由中标人自行处置，所产生的拆除与处置等相关费用包含在投标报价范围内，投标人应综合考虑。</w:t>
            </w:r>
          </w:p>
          <w:p w14:paraId="0FFE6C9B">
            <w:pPr>
              <w:adjustRightInd w:val="0"/>
              <w:snapToGrid w:val="0"/>
              <w:spacing w:line="400" w:lineRule="exact"/>
              <w:jc w:val="left"/>
              <w:rPr>
                <w:rFonts w:hint="eastAsia" w:ascii="Times New Roman"/>
                <w:b/>
                <w:bCs/>
                <w:highlight w:val="none"/>
                <w:lang w:val="en-US" w:eastAsia="zh-CN"/>
              </w:rPr>
            </w:pPr>
            <w:r>
              <w:rPr>
                <w:rFonts w:hint="eastAsia" w:ascii="宋体" w:hAnsi="Times New Roman" w:eastAsia="宋体" w:cs="Times New Roman"/>
                <w:b/>
                <w:bCs/>
                <w:kern w:val="2"/>
                <w:sz w:val="21"/>
                <w:szCs w:val="20"/>
                <w:highlight w:val="none"/>
                <w:lang w:val="en-US" w:eastAsia="zh-CN" w:bidi="ar-SA"/>
              </w:rPr>
              <w:t>4.4</w:t>
            </w:r>
            <w:r>
              <w:rPr>
                <w:rFonts w:hint="eastAsia" w:ascii="Times New Roman"/>
                <w:b/>
                <w:bCs/>
                <w:highlight w:val="none"/>
                <w:lang w:val="en-US" w:eastAsia="zh-CN"/>
              </w:rPr>
              <w:t>本项目缺陷责任期2年</w:t>
            </w:r>
            <w:r>
              <w:rPr>
                <w:rFonts w:hint="eastAsia"/>
                <w:b/>
                <w:bCs/>
                <w:highlight w:val="none"/>
                <w:lang w:val="en-US" w:eastAsia="zh-CN"/>
              </w:rPr>
              <w:t>（其中机电设备免费质保期5年）</w:t>
            </w:r>
            <w:r>
              <w:rPr>
                <w:rFonts w:hint="eastAsia" w:ascii="Times New Roman"/>
                <w:b/>
                <w:bCs/>
                <w:highlight w:val="none"/>
                <w:lang w:val="en-US" w:eastAsia="zh-CN"/>
              </w:rPr>
              <w:t>（自项目验收合格之日起算）。缺陷责任期的主要工作内容执行国家、省、市及本项目招标文件相关规定。免费质保期主要工作内容包括设备正常运行所需要的维护及保养、售后服务等全过程服务</w:t>
            </w:r>
            <w:r>
              <w:rPr>
                <w:rFonts w:hint="eastAsia"/>
                <w:b/>
                <w:bCs/>
                <w:highlight w:val="none"/>
                <w:lang w:val="en-US" w:eastAsia="zh-CN"/>
              </w:rPr>
              <w:t>，</w:t>
            </w:r>
            <w:r>
              <w:rPr>
                <w:rFonts w:hint="eastAsia" w:ascii="Times New Roman"/>
                <w:b/>
                <w:bCs/>
                <w:highlight w:val="none"/>
                <w:lang w:val="en-US" w:eastAsia="zh-CN"/>
              </w:rPr>
              <w:t>设备所有</w:t>
            </w:r>
            <w:r>
              <w:rPr>
                <w:rFonts w:hint="eastAsia"/>
                <w:b/>
                <w:bCs/>
                <w:highlight w:val="none"/>
                <w:lang w:val="en-US" w:eastAsia="zh-CN"/>
              </w:rPr>
              <w:t>线路、</w:t>
            </w:r>
            <w:r>
              <w:rPr>
                <w:rFonts w:hint="eastAsia" w:ascii="Times New Roman"/>
                <w:b/>
                <w:bCs/>
                <w:highlight w:val="none"/>
                <w:lang w:val="en-US" w:eastAsia="zh-CN"/>
              </w:rPr>
              <w:t>配件损坏维修、更换等相关费用都包括在投标报价范围内。</w:t>
            </w:r>
          </w:p>
          <w:p w14:paraId="66DE637E">
            <w:pPr>
              <w:pStyle w:val="14"/>
              <w:spacing w:after="0" w:line="400" w:lineRule="exact"/>
              <w:ind w:left="0" w:leftChars="0" w:firstLine="0" w:firstLineChars="0"/>
              <w:rPr>
                <w:rFonts w:hint="default" w:ascii="宋体" w:hAnsi="Times New Roman" w:eastAsia="宋体" w:cs="Times New Roman"/>
                <w:kern w:val="2"/>
                <w:sz w:val="21"/>
                <w:szCs w:val="20"/>
                <w:highlight w:val="none"/>
                <w:lang w:val="en-US" w:eastAsia="zh-CN" w:bidi="ar-SA"/>
              </w:rPr>
            </w:pPr>
            <w:r>
              <w:rPr>
                <w:rFonts w:hint="eastAsia"/>
                <w:highlight w:val="none"/>
                <w:lang w:val="en-US" w:eastAsia="zh-CN"/>
              </w:rPr>
              <w:t>5.</w:t>
            </w:r>
            <w:r>
              <w:rPr>
                <w:rFonts w:hint="eastAsia"/>
                <w:highlight w:val="none"/>
              </w:rPr>
              <w:t>因中标人施工各方面考虑不周造成的漏项、施工工艺变更或实际工程量超出对应的报价量范围、未通过相关竣工验收等一系列由</w:t>
            </w:r>
            <w:r>
              <w:rPr>
                <w:rFonts w:hint="eastAsia"/>
                <w:highlight w:val="none"/>
                <w:lang w:val="en-US" w:eastAsia="zh-CN"/>
              </w:rPr>
              <w:t>中标</w:t>
            </w:r>
            <w:r>
              <w:rPr>
                <w:rFonts w:hint="eastAsia"/>
                <w:highlight w:val="none"/>
              </w:rPr>
              <w:t>人自身原因造成的工程变更均不予调整，由中标人自行承担，其产生的相关费用均含在</w:t>
            </w:r>
            <w:r>
              <w:rPr>
                <w:rFonts w:hint="eastAsia"/>
                <w:highlight w:val="none"/>
                <w:lang w:val="en-US" w:eastAsia="zh-CN"/>
              </w:rPr>
              <w:t>合同价款</w:t>
            </w:r>
            <w:r>
              <w:rPr>
                <w:rFonts w:hint="eastAsia"/>
                <w:highlight w:val="none"/>
              </w:rPr>
              <w:t>中。</w:t>
            </w:r>
          </w:p>
          <w:p w14:paraId="576E0E27">
            <w:pPr>
              <w:pageBreakBefore w:val="0"/>
              <w:kinsoku/>
              <w:wordWrap/>
              <w:overflowPunct/>
              <w:autoSpaceDE/>
              <w:autoSpaceDN/>
              <w:bidi w:val="0"/>
              <w:adjustRightInd w:val="0"/>
              <w:snapToGrid w:val="0"/>
              <w:spacing w:line="440" w:lineRule="exact"/>
              <w:textAlignment w:val="auto"/>
              <w:rPr>
                <w:rFonts w:hint="default"/>
                <w:highlight w:val="none"/>
                <w:lang w:val="en-US" w:eastAsia="zh-CN"/>
              </w:rPr>
            </w:pPr>
            <w:r>
              <w:rPr>
                <w:rFonts w:hint="eastAsia" w:ascii="宋体" w:cs="Times New Roman"/>
                <w:kern w:val="2"/>
                <w:sz w:val="21"/>
                <w:szCs w:val="20"/>
                <w:highlight w:val="none"/>
                <w:lang w:val="en-US" w:eastAsia="zh-CN" w:bidi="ar-SA"/>
              </w:rPr>
              <w:t>6</w:t>
            </w:r>
            <w:r>
              <w:rPr>
                <w:rFonts w:hint="eastAsia" w:ascii="宋体" w:hAnsi="Times New Roman" w:eastAsia="宋体" w:cs="Times New Roman"/>
                <w:kern w:val="2"/>
                <w:sz w:val="21"/>
                <w:szCs w:val="20"/>
                <w:highlight w:val="none"/>
                <w:lang w:val="en-US" w:eastAsia="zh-CN" w:bidi="ar-SA"/>
              </w:rPr>
              <w:t>.因招标人</w:t>
            </w:r>
            <w:r>
              <w:rPr>
                <w:rFonts w:hint="eastAsia"/>
                <w:highlight w:val="none"/>
              </w:rPr>
              <w:t>指令引起工程量的增减或变更，按实结算。</w:t>
            </w:r>
          </w:p>
        </w:tc>
      </w:tr>
      <w:bookmarkEnd w:id="1011"/>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w:t>
            </w:r>
            <w:r>
              <w:rPr>
                <w:rFonts w:hint="eastAsia" w:ascii="宋体" w:hAnsi="宋体" w:eastAsia="宋体" w:cs="宋体"/>
                <w:szCs w:val="21"/>
                <w:highlight w:val="none"/>
              </w:rPr>
              <w:t>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62AE54">
            <w:pPr>
              <w:pStyle w:val="14"/>
              <w:keepNext w:val="0"/>
              <w:keepLines w:val="0"/>
              <w:pageBreakBefore w:val="0"/>
              <w:kinsoku/>
              <w:wordWrap/>
              <w:overflowPunct/>
              <w:autoSpaceDN/>
              <w:bidi w:val="0"/>
              <w:spacing w:line="40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ascii="宋体" w:hAnsi="宋体" w:cs="宋体"/>
                <w:b/>
                <w:bCs/>
                <w:i w:val="0"/>
                <w:iCs w:val="0"/>
                <w:color w:val="auto"/>
                <w:kern w:val="0"/>
                <w:sz w:val="21"/>
                <w:szCs w:val="21"/>
                <w:highlight w:val="none"/>
                <w:u w:val="single"/>
                <w:lang w:val="en-US" w:eastAsia="zh-CN"/>
              </w:rPr>
              <w:t>2</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2026</w:t>
            </w:r>
            <w:r>
              <w:rPr>
                <w:rFonts w:hint="eastAsia" w:ascii="宋体" w:hAnsi="宋体" w:eastAsia="宋体" w:cs="宋体"/>
                <w:szCs w:val="21"/>
                <w:highlight w:val="none"/>
              </w:rPr>
              <w:t>年</w:t>
            </w:r>
            <w:r>
              <w:rPr>
                <w:rFonts w:hint="eastAsia" w:ascii="宋体" w:hAnsi="宋体" w:cs="宋体"/>
                <w:szCs w:val="21"/>
                <w:highlight w:val="none"/>
                <w:lang w:val="en-US" w:eastAsia="zh-CN"/>
              </w:rPr>
              <w:t>9</w:t>
            </w:r>
            <w:r>
              <w:rPr>
                <w:rFonts w:hint="eastAsia" w:ascii="宋体" w:hAnsi="宋体" w:eastAsia="宋体" w:cs="宋体"/>
                <w:szCs w:val="21"/>
                <w:highlight w:val="none"/>
              </w:rPr>
              <w:t>月</w:t>
            </w:r>
            <w:r>
              <w:rPr>
                <w:rFonts w:hint="eastAsia" w:ascii="宋体" w:hAnsi="宋体" w:cs="宋体"/>
                <w:szCs w:val="21"/>
                <w:highlight w:val="none"/>
                <w:lang w:val="en-US" w:eastAsia="zh-CN"/>
              </w:rPr>
              <w:t>24</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55159CA4">
            <w:pPr>
              <w:adjustRightInd w:val="0"/>
              <w:snapToGrid w:val="0"/>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开标时间：同投标截止时间</w:t>
            </w:r>
          </w:p>
          <w:p w14:paraId="7D5F050E">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58E2D2E2">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cs="宋体"/>
                <w:color w:val="auto"/>
                <w:szCs w:val="21"/>
                <w:highlight w:val="none"/>
                <w:u w:val="single"/>
                <w:lang w:val="en-US" w:eastAsia="zh-CN"/>
              </w:rPr>
              <w:t>2026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24</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w:t>
            </w:r>
            <w:r>
              <w:rPr>
                <w:rFonts w:hint="eastAsia" w:ascii="宋体" w:hAnsi="宋体" w:cs="宋体"/>
                <w:color w:val="auto"/>
                <w:szCs w:val="21"/>
                <w:highlight w:val="none"/>
                <w:u w:val="single"/>
                <w:lang w:val="en-US" w:eastAsia="zh-CN"/>
              </w:rPr>
              <w:t>2026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24</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3</w:t>
            </w:r>
            <w:r>
              <w:rPr>
                <w:rFonts w:hint="eastAsia" w:ascii="宋体" w:hAnsi="宋体" w:eastAsia="宋体" w:cs="宋体"/>
                <w:color w:val="auto"/>
                <w:szCs w:val="21"/>
                <w:highlight w:val="none"/>
                <w:u w:val="single"/>
              </w:rPr>
              <w:t>0分</w:t>
            </w:r>
            <w:r>
              <w:rPr>
                <w:rFonts w:hint="eastAsia" w:ascii="宋体" w:hAnsi="宋体" w:eastAsia="宋体" w:cs="宋体"/>
                <w:color w:val="auto"/>
                <w:szCs w:val="21"/>
                <w:highlight w:val="none"/>
                <w:u w:val="single"/>
                <w:lang w:val="en-US" w:eastAsia="zh-CN"/>
              </w:rPr>
              <w:t>解密；未在规定时间内完成解密的，退回其投标文件；如有因系统因系统原因造成的故障，代理机构可申请延迟解密时间。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default" w:ascii="宋体" w:hAnsi="宋体" w:cs="宋体"/>
                <w:szCs w:val="21"/>
                <w:highlight w:val="none"/>
                <w:lang w:val="en-US"/>
              </w:rPr>
            </w:pPr>
            <w:r>
              <w:rPr>
                <w:rFonts w:hint="eastAsia" w:ascii="宋体" w:hAnsi="宋体" w:cs="宋体"/>
                <w:kern w:val="2"/>
                <w:highlight w:val="none"/>
                <w:lang w:val="en-US" w:eastAsia="zh-CN"/>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59FF402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评标委员会构成：5人，其中招标人代表</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人，评标专家</w:t>
            </w:r>
            <w:r>
              <w:rPr>
                <w:rFonts w:hint="eastAsia" w:ascii="宋体" w:hAnsi="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val="en-US" w:eastAsia="zh-CN"/>
              </w:rPr>
              <w:t>人。</w:t>
            </w:r>
          </w:p>
          <w:p w14:paraId="1846547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lang w:val="en-US" w:eastAsia="zh-CN"/>
              </w:rPr>
              <w:t>评标专家确定方式：评标专家由招标人在开标前从专家库中随机抽取。</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hint="default" w:ascii="宋体" w:hAnsi="宋体" w:eastAsia="宋体" w:cs="宋体"/>
                <w:b/>
                <w:bCs/>
                <w:szCs w:val="21"/>
                <w:highlight w:val="none"/>
                <w:lang w:val="en-US" w:eastAsia="zh-CN"/>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57A14FB2">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履约担保的形式：支持银行转账、银行保函（见索即付无条件保函）、担保保函、商业保险、第三方担保（无条件担保）使用</w:t>
            </w:r>
          </w:p>
          <w:p w14:paraId="49F3368F">
            <w:pPr>
              <w:keepNext w:val="0"/>
              <w:keepLines w:val="0"/>
              <w:pageBreakBefore w:val="0"/>
              <w:kinsoku/>
              <w:wordWrap/>
              <w:overflowPunct/>
              <w:autoSpaceDE/>
              <w:autoSpaceDN/>
              <w:bidi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履约担保的金额：</w:t>
            </w:r>
            <w:r>
              <w:rPr>
                <w:rFonts w:hint="eastAsia" w:ascii="宋体" w:hAnsi="宋体" w:eastAsia="宋体" w:cs="宋体"/>
                <w:bCs/>
                <w:color w:val="auto"/>
                <w:szCs w:val="21"/>
                <w:highlight w:val="none"/>
              </w:rPr>
              <w:t>中标合同金额×2%</w:t>
            </w:r>
          </w:p>
          <w:p w14:paraId="4F22EBF8">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420B8239">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7A8F1231">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6A6E6589">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合同）。中标单位原因造成合同延期签订的，延期签订情节严重的，招标人有权取消其中标资格。并承担给招标人造成的损失，同时依法承担相应法律责任。   </w:t>
            </w:r>
          </w:p>
          <w:p w14:paraId="7AD6BAEA">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履约保证金退还时限：履约保证金有效期满7日内。</w:t>
            </w:r>
          </w:p>
          <w:p w14:paraId="1944A556">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5A2E52CB">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1、采用银行保函的具体要求:按招标人要求提供</w:t>
            </w:r>
          </w:p>
          <w:p w14:paraId="0404B97A">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2、采用担保保函的具体要求：按招标人要求提供</w:t>
            </w:r>
          </w:p>
          <w:p w14:paraId="75072C65">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3、采用商业保险的具体要求：按招标人要求提供</w:t>
            </w:r>
          </w:p>
          <w:p w14:paraId="3E915FC8">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4、采用第三方担保的具体要求：按招标人要求提供</w:t>
            </w:r>
          </w:p>
        </w:tc>
      </w:tr>
      <w:tr w14:paraId="35ED23D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0D14238">
            <w:pPr>
              <w:keepNext w:val="0"/>
              <w:keepLines w:val="0"/>
              <w:pageBreakBefore w:val="0"/>
              <w:kinsoku/>
              <w:wordWrap/>
              <w:overflowPunct/>
              <w:autoSpaceDN/>
              <w:bidi w:val="0"/>
              <w:spacing w:line="400" w:lineRule="exact"/>
              <w:jc w:val="center"/>
              <w:textAlignment w:val="auto"/>
              <w:rPr>
                <w:rFonts w:hint="default" w:ascii="宋体" w:hAnsi="宋体" w:cs="宋体"/>
                <w:szCs w:val="21"/>
                <w:highlight w:val="none"/>
                <w:lang w:val="en-US" w:eastAsia="zh-CN"/>
              </w:rPr>
            </w:pPr>
            <w:r>
              <w:rPr>
                <w:rFonts w:hint="eastAsia" w:ascii="宋体" w:hAnsi="宋体" w:cs="宋体"/>
                <w:szCs w:val="21"/>
                <w:highlight w:val="none"/>
                <w:lang w:val="en-US" w:eastAsia="zh-CN"/>
              </w:rPr>
              <w:t>33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E77DE9E">
            <w:pPr>
              <w:adjustRightInd w:val="0"/>
              <w:snapToGrid w:val="0"/>
              <w:spacing w:line="560" w:lineRule="exact"/>
              <w:jc w:val="center"/>
              <w:rPr>
                <w:rFonts w:hint="eastAsia" w:ascii="宋体" w:hAnsi="宋体" w:cs="宋体"/>
                <w:color w:val="auto"/>
                <w:szCs w:val="21"/>
                <w:highlight w:val="none"/>
              </w:rPr>
            </w:pPr>
            <w:r>
              <w:rPr>
                <w:rFonts w:hint="eastAsia"/>
                <w:color w:val="000000"/>
                <w:sz w:val="24"/>
                <w:highlight w:val="none"/>
              </w:rPr>
              <w:t>签订合同</w:t>
            </w:r>
          </w:p>
        </w:tc>
        <w:tc>
          <w:tcPr>
            <w:tcW w:w="7251" w:type="dxa"/>
            <w:tcBorders>
              <w:top w:val="single" w:color="auto" w:sz="4" w:space="0"/>
              <w:left w:val="single" w:color="auto" w:sz="4" w:space="0"/>
              <w:bottom w:val="single" w:color="auto" w:sz="4" w:space="0"/>
              <w:right w:val="single" w:color="auto" w:sz="4" w:space="0"/>
            </w:tcBorders>
            <w:noWrap/>
            <w:vAlign w:val="top"/>
          </w:tcPr>
          <w:p w14:paraId="3C6915AB">
            <w:pPr>
              <w:keepNext w:val="0"/>
              <w:keepLines w:val="0"/>
              <w:pageBreakBefore w:val="0"/>
              <w:kinsoku/>
              <w:wordWrap/>
              <w:overflowPunct/>
              <w:autoSpaceDE/>
              <w:autoSpaceDN/>
              <w:bidi w:val="0"/>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Cs w:val="21"/>
                <w:highlight w:val="none"/>
              </w:rPr>
              <w:t>中标通知书发出之日起</w:t>
            </w:r>
            <w:r>
              <w:rPr>
                <w:rFonts w:hint="eastAsia" w:ascii="宋体" w:hAnsi="宋体" w:cs="宋体"/>
                <w:bCs/>
                <w:color w:val="auto"/>
                <w:szCs w:val="21"/>
                <w:highlight w:val="none"/>
                <w:u w:val="single"/>
                <w:lang w:val="en-US" w:eastAsia="zh-CN"/>
              </w:rPr>
              <w:t>7</w:t>
            </w:r>
            <w:r>
              <w:rPr>
                <w:rFonts w:hint="eastAsia" w:ascii="宋体" w:hAnsi="宋体" w:eastAsia="宋体" w:cs="宋体"/>
                <w:bCs/>
                <w:color w:val="auto"/>
                <w:szCs w:val="21"/>
                <w:highlight w:val="none"/>
              </w:rPr>
              <w:t>日内，应委派代表与招标人联系并商讨书面合同签订事宜。中标人和招标人应在投标有效期内以及中标通知书发出之日起30日内，根据招标文件和中标人的投标文件订立书面合同。</w:t>
            </w:r>
          </w:p>
        </w:tc>
      </w:tr>
      <w:tr w14:paraId="1717AE69">
        <w:tblPrEx>
          <w:tblCellMar>
            <w:top w:w="0" w:type="dxa"/>
            <w:left w:w="108" w:type="dxa"/>
            <w:bottom w:w="0" w:type="dxa"/>
            <w:right w:w="108" w:type="dxa"/>
          </w:tblCellMar>
        </w:tblPrEx>
        <w:trPr>
          <w:trHeight w:val="1371"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5438E95B">
            <w:pPr>
              <w:keepNext w:val="0"/>
              <w:keepLines w:val="0"/>
              <w:pageBreakBefore w:val="0"/>
              <w:kinsoku/>
              <w:wordWrap/>
              <w:overflowPunct/>
              <w:autoSpaceDE/>
              <w:autoSpaceDN/>
              <w:bidi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本工程无预付款，</w:t>
            </w:r>
            <w:r>
              <w:rPr>
                <w:rFonts w:hint="default" w:ascii="宋体" w:hAnsi="宋体" w:eastAsia="宋体" w:cs="宋体"/>
                <w:color w:val="auto"/>
                <w:sz w:val="21"/>
                <w:szCs w:val="21"/>
                <w:highlight w:val="none"/>
                <w:lang w:val="en-US" w:eastAsia="zh-CN"/>
              </w:rPr>
              <w:t>分两阶段施工</w:t>
            </w:r>
            <w:r>
              <w:rPr>
                <w:rFonts w:hint="eastAsia" w:ascii="宋体" w:hAnsi="宋体" w:cs="宋体"/>
                <w:color w:val="auto"/>
                <w:sz w:val="21"/>
                <w:szCs w:val="21"/>
                <w:highlight w:val="none"/>
                <w:lang w:val="en-US" w:eastAsia="zh-CN"/>
              </w:rPr>
              <w:t>和</w:t>
            </w:r>
            <w:r>
              <w:rPr>
                <w:rFonts w:hint="default" w:ascii="宋体" w:hAnsi="宋体" w:eastAsia="宋体" w:cs="宋体"/>
                <w:color w:val="auto"/>
                <w:sz w:val="21"/>
                <w:szCs w:val="21"/>
                <w:highlight w:val="none"/>
                <w:lang w:val="en-US" w:eastAsia="zh-CN"/>
              </w:rPr>
              <w:t>竣工验收</w:t>
            </w:r>
            <w:r>
              <w:rPr>
                <w:rFonts w:hint="eastAsia" w:ascii="宋体" w:hAnsi="宋体" w:cs="宋体"/>
                <w:color w:val="auto"/>
                <w:sz w:val="21"/>
                <w:szCs w:val="21"/>
                <w:highlight w:val="none"/>
                <w:lang w:val="en-US" w:eastAsia="zh-CN"/>
              </w:rPr>
              <w:t>；工程竣工验收合格、</w:t>
            </w:r>
            <w:r>
              <w:rPr>
                <w:rFonts w:hint="eastAsia" w:ascii="宋体" w:hAnsi="宋体" w:eastAsia="宋体" w:cs="宋体"/>
                <w:color w:val="auto"/>
                <w:sz w:val="21"/>
                <w:szCs w:val="21"/>
                <w:highlight w:val="none"/>
                <w:lang w:val="en-US" w:eastAsia="zh-CN"/>
              </w:rPr>
              <w:t>结算审核完成后付至结算价款的98%，剩余2%作为质量保证金，工程缺陷责任期（自竣工验收合格之日起满两年）满后付清余款。</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代理服务具体金额：</w:t>
            </w:r>
            <w:r>
              <w:rPr>
                <w:rFonts w:hint="eastAsia" w:ascii="宋体" w:hAnsi="宋体" w:cs="宋体"/>
                <w:kern w:val="0"/>
                <w:szCs w:val="21"/>
                <w:highlight w:val="none"/>
                <w:lang w:val="en-US" w:eastAsia="zh-CN"/>
              </w:rPr>
              <w:t>21831</w:t>
            </w:r>
            <w:r>
              <w:rPr>
                <w:rFonts w:hint="eastAsia" w:ascii="宋体" w:hAnsi="宋体" w:cs="宋体"/>
                <w:kern w:val="0"/>
                <w:szCs w:val="21"/>
                <w:highlight w:val="none"/>
              </w:rPr>
              <w:t>元。</w:t>
            </w:r>
          </w:p>
          <w:p w14:paraId="7550C2A5">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zCs w:val="21"/>
                <w:highlight w:val="none"/>
              </w:rPr>
            </w:pPr>
            <w:r>
              <w:rPr>
                <w:rFonts w:hint="eastAsia" w:ascii="宋体" w:hAnsi="宋体" w:cs="宋体"/>
                <w:kern w:val="0"/>
                <w:szCs w:val="21"/>
                <w:highlight w:val="none"/>
              </w:rPr>
              <w:t>代理服务费支付主体</w:t>
            </w:r>
            <w:r>
              <w:rPr>
                <w:rFonts w:hint="eastAsia" w:ascii="宋体" w:hAnsi="宋体" w:cs="宋体"/>
                <w:szCs w:val="21"/>
                <w:highlight w:val="none"/>
              </w:rPr>
              <w:t>：</w:t>
            </w:r>
            <w:r>
              <w:rPr>
                <w:rFonts w:hint="eastAsia" w:ascii="宋体" w:hAnsi="宋体" w:cs="宋体"/>
                <w:kern w:val="0"/>
                <w:szCs w:val="21"/>
                <w:highlight w:val="none"/>
              </w:rPr>
              <w:t>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费用或支付标准：</w:t>
            </w:r>
            <w:r>
              <w:rPr>
                <w:rFonts w:hint="eastAsia" w:ascii="宋体" w:hAnsi="宋体" w:cs="宋体"/>
                <w:color w:val="auto"/>
                <w:sz w:val="21"/>
                <w:szCs w:val="21"/>
                <w:highlight w:val="none"/>
                <w:lang w:val="en-US" w:eastAsia="zh-CN"/>
              </w:rPr>
              <w:t>以实际发生为准。</w:t>
            </w:r>
          </w:p>
          <w:p w14:paraId="0376B137">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cs="宋体"/>
                <w:kern w:val="0"/>
                <w:szCs w:val="21"/>
                <w:highlight w:val="none"/>
                <w:lang w:val="en-US"/>
              </w:rPr>
            </w:pPr>
            <w:r>
              <w:rPr>
                <w:rFonts w:hint="eastAsia"/>
                <w:color w:val="auto"/>
                <w:sz w:val="21"/>
                <w:szCs w:val="21"/>
                <w:highlight w:val="none"/>
              </w:rPr>
              <w:t>支付主体：</w:t>
            </w:r>
            <w:r>
              <w:rPr>
                <w:rFonts w:hint="eastAsia" w:cs="Times New Roman"/>
                <w:color w:val="auto"/>
                <w:sz w:val="21"/>
                <w:szCs w:val="21"/>
                <w:highlight w:val="none"/>
                <w:lang w:val="en-US" w:eastAsia="zh-CN"/>
              </w:rPr>
              <w:t>中标单位。</w:t>
            </w:r>
          </w:p>
        </w:tc>
      </w:tr>
      <w:tr w14:paraId="781A0BA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21B8C00A">
            <w:pPr>
              <w:adjustRightInd w:val="0"/>
              <w:snapToGrid w:val="0"/>
              <w:spacing w:line="500" w:lineRule="exact"/>
              <w:jc w:val="center"/>
              <w:rPr>
                <w:rFonts w:hint="eastAsia" w:ascii="宋体" w:hAnsi="宋体" w:cs="宋体"/>
                <w:color w:val="auto"/>
                <w:sz w:val="21"/>
                <w:szCs w:val="21"/>
                <w:highlight w:val="none"/>
              </w:rPr>
            </w:pPr>
            <w:r>
              <w:rPr>
                <w:rFonts w:hint="eastAsia" w:ascii="宋体" w:hAnsi="宋体" w:cs="宋体"/>
                <w:bCs/>
                <w:snapToGrid w:val="0"/>
                <w:color w:val="auto"/>
                <w:kern w:val="0"/>
                <w:szCs w:val="21"/>
                <w:highlight w:val="none"/>
              </w:rPr>
              <w:t>电子招投标</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1E3556BD">
            <w:pPr>
              <w:adjustRightInd w:val="0"/>
              <w:snapToGrid w:val="0"/>
              <w:spacing w:line="500" w:lineRule="exact"/>
              <w:rPr>
                <w:rFonts w:hint="eastAsia"/>
                <w:color w:val="auto"/>
                <w:sz w:val="21"/>
                <w:szCs w:val="21"/>
                <w:highlight w:val="none"/>
              </w:rPr>
            </w:pPr>
            <w:r>
              <w:rPr>
                <w:rFonts w:hint="eastAsia" w:ascii="宋体" w:hAnsi="宋体" w:cs="宋体"/>
                <w:bCs/>
                <w:snapToGrid w:val="0"/>
                <w:color w:val="auto"/>
                <w:kern w:val="0"/>
                <w:szCs w:val="21"/>
                <w:highlight w:val="none"/>
              </w:rPr>
              <w:t>本项目采用电子招标投标方式。</w:t>
            </w:r>
          </w:p>
        </w:tc>
      </w:tr>
      <w:tr w14:paraId="145A4C4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4B8D8722">
            <w:pPr>
              <w:adjustRightInd w:val="0"/>
              <w:snapToGrid w:val="0"/>
              <w:spacing w:line="500" w:lineRule="exact"/>
              <w:jc w:val="center"/>
              <w:rPr>
                <w:rFonts w:hint="eastAsia" w:ascii="宋体" w:hAnsi="宋体" w:cs="宋体"/>
                <w:color w:val="auto"/>
                <w:sz w:val="21"/>
                <w:szCs w:val="21"/>
                <w:highlight w:val="none"/>
              </w:rPr>
            </w:pPr>
            <w:r>
              <w:rPr>
                <w:rFonts w:hint="eastAsia" w:ascii="宋体" w:hAnsi="宋体" w:cs="宋体"/>
                <w:bCs/>
                <w:snapToGrid w:val="0"/>
                <w:color w:val="auto"/>
                <w:kern w:val="0"/>
                <w:szCs w:val="21"/>
                <w:highlight w:val="none"/>
              </w:rPr>
              <w:t>图纸获取说明</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8FD83E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通过</w:t>
            </w:r>
            <w:r>
              <w:rPr>
                <w:rFonts w:hint="eastAsia" w:ascii="宋体" w:hAnsi="宋体" w:eastAsia="宋体" w:cs="宋体"/>
                <w:kern w:val="0"/>
                <w:szCs w:val="21"/>
                <w:highlight w:val="none"/>
                <w:lang w:eastAsia="zh-CN"/>
              </w:rPr>
              <w:t>滁州市城投工程咨询管理有限公司</w:t>
            </w:r>
            <w:r>
              <w:rPr>
                <w:rFonts w:hint="eastAsia" w:ascii="宋体" w:hAnsi="宋体" w:eastAsia="宋体" w:cs="宋体"/>
                <w:kern w:val="0"/>
                <w:szCs w:val="21"/>
                <w:highlight w:val="none"/>
              </w:rPr>
              <w:t>网站发布，投标人应自行下载。</w:t>
            </w:r>
            <w:r>
              <w:rPr>
                <w:rFonts w:hint="eastAsia" w:ascii="宋体" w:hAnsi="宋体" w:eastAsia="宋体" w:cs="宋体"/>
                <w:kern w:val="0"/>
                <w:szCs w:val="21"/>
                <w:highlight w:val="none"/>
                <w:lang w:eastAsia="zh-CN"/>
              </w:rPr>
              <w:t>投标人应当及时登录滁州市城投工程咨询管理有限公司网站查看。</w:t>
            </w:r>
          </w:p>
        </w:tc>
      </w:tr>
      <w:tr w14:paraId="08ADA3C3">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38250C29">
            <w:pPr>
              <w:adjustRightInd w:val="0"/>
              <w:snapToGrid w:val="0"/>
              <w:spacing w:line="500" w:lineRule="exact"/>
              <w:jc w:val="center"/>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rPr>
              <w:t>获取与查看通知</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CED81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lang w:eastAsia="zh-CN"/>
              </w:rPr>
              <w:t>本项目的招标文件、工程量清单、最高投标限价、澄清及修改等相关资料均通过滁州市城投工程咨询管理有限公司网站发布，投标人应自行下载。投标人应当及时登录滁州市城投工程咨询管理有限公司网站查看。</w:t>
            </w:r>
          </w:p>
        </w:tc>
      </w:tr>
      <w:tr w14:paraId="0533584B">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5C774CFE">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color w:val="auto"/>
                <w:sz w:val="21"/>
                <w:szCs w:val="21"/>
                <w:highlight w:val="none"/>
              </w:rPr>
            </w:pPr>
            <w:r>
              <w:rPr>
                <w:rFonts w:hint="eastAsia" w:ascii="宋体" w:hAnsi="宋体" w:eastAsia="宋体" w:cs="宋体"/>
                <w:color w:val="auto"/>
                <w:sz w:val="21"/>
                <w:szCs w:val="21"/>
                <w:highlight w:val="none"/>
              </w:rPr>
              <w:t>主要材料要求</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654F7CA">
            <w:pPr>
              <w:keepNext w:val="0"/>
              <w:keepLines w:val="0"/>
              <w:pageBreakBefore w:val="0"/>
              <w:kinsoku/>
              <w:wordWrap/>
              <w:overflowPunct/>
              <w:autoSpaceDN/>
              <w:bidi w:val="0"/>
              <w:adjustRightInd w:val="0"/>
              <w:snapToGrid w:val="0"/>
              <w:spacing w:line="400" w:lineRule="exact"/>
              <w:textAlignment w:val="auto"/>
              <w:rPr>
                <w:rFonts w:hint="eastAsia"/>
                <w:color w:val="auto"/>
                <w:sz w:val="21"/>
                <w:szCs w:val="21"/>
                <w:highlight w:val="none"/>
              </w:rPr>
            </w:pPr>
            <w:r>
              <w:rPr>
                <w:rFonts w:hint="eastAsia" w:ascii="宋体" w:hAnsi="宋体" w:eastAsia="宋体" w:cs="宋体"/>
                <w:color w:val="auto"/>
                <w:sz w:val="21"/>
                <w:szCs w:val="21"/>
                <w:highlight w:val="none"/>
                <w:lang w:val="en-US"/>
              </w:rPr>
              <w:t>主要材料由中标人自行采购</w:t>
            </w:r>
            <w:r>
              <w:rPr>
                <w:rFonts w:hint="eastAsia" w:ascii="宋体" w:hAnsi="宋体" w:cs="宋体"/>
                <w:color w:val="auto"/>
                <w:sz w:val="21"/>
                <w:szCs w:val="21"/>
                <w:highlight w:val="none"/>
                <w:lang w:val="en-US" w:eastAsia="zh-CN"/>
              </w:rPr>
              <w:t>，应满足工程质量要求，经监理和业主许可后进场。</w:t>
            </w:r>
          </w:p>
        </w:tc>
      </w:tr>
      <w:tr w14:paraId="3C31AEE6">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5D0B8C86">
            <w:pPr>
              <w:adjustRightInd w:val="0"/>
              <w:snapToGrid w:val="0"/>
              <w:spacing w:line="500" w:lineRule="exact"/>
              <w:jc w:val="center"/>
              <w:rPr>
                <w:rFonts w:hint="eastAsia" w:ascii="宋体" w:hAnsi="宋体" w:eastAsia="宋体" w:cs="宋体"/>
                <w:color w:val="auto"/>
                <w:sz w:val="21"/>
                <w:szCs w:val="21"/>
                <w:highlight w:val="none"/>
              </w:rPr>
            </w:pPr>
            <w:r>
              <w:rPr>
                <w:rFonts w:hint="eastAsia" w:ascii="宋体" w:hAnsi="宋体" w:cs="宋体"/>
                <w:color w:val="auto"/>
                <w:szCs w:val="21"/>
                <w:highlight w:val="none"/>
              </w:rPr>
              <w:t>评标过程中的澄清、说明或补正</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08071009">
            <w:pPr>
              <w:pStyle w:val="92"/>
              <w:spacing w:line="500" w:lineRule="exact"/>
              <w:jc w:val="left"/>
              <w:rPr>
                <w:rFonts w:hint="eastAsia" w:ascii="宋体" w:hAnsi="宋体" w:eastAsia="宋体" w:cs="宋体"/>
                <w:bCs/>
                <w:color w:val="auto"/>
                <w:kern w:val="2"/>
                <w:sz w:val="21"/>
                <w:szCs w:val="21"/>
                <w:highlight w:val="none"/>
                <w:lang w:val="en-US" w:eastAsia="zh-CN" w:bidi="zh-CN"/>
              </w:rPr>
            </w:pPr>
            <w:r>
              <w:rPr>
                <w:rFonts w:hint="eastAsia" w:ascii="宋体" w:hAnsi="宋体" w:eastAsia="宋体" w:cs="宋体"/>
                <w:bCs/>
                <w:color w:val="auto"/>
                <w:kern w:val="2"/>
                <w:sz w:val="21"/>
                <w:szCs w:val="21"/>
                <w:highlight w:val="none"/>
                <w:lang w:val="en-US" w:eastAsia="zh-CN" w:bidi="zh-CN"/>
              </w:rPr>
              <w:t>1、评标委员会通过网上招投标系统将需要澄清、说明或补正的内容以询标函的形式发送给投标人，投标人应安排专人登录网上招投标系统并保持在线状态，并确保联系方式有效，以便及时接收评标委员会可能发出的询标函。</w:t>
            </w:r>
          </w:p>
          <w:p w14:paraId="43AC5418">
            <w:pPr>
              <w:pStyle w:val="92"/>
              <w:spacing w:line="500" w:lineRule="exact"/>
              <w:jc w:val="left"/>
              <w:rPr>
                <w:rFonts w:hint="eastAsia" w:ascii="宋体" w:hAnsi="宋体" w:eastAsia="宋体" w:cs="宋体"/>
                <w:color w:val="auto"/>
                <w:sz w:val="21"/>
                <w:szCs w:val="21"/>
                <w:highlight w:val="none"/>
                <w:lang w:val="en-US"/>
              </w:rPr>
            </w:pPr>
            <w:r>
              <w:rPr>
                <w:rFonts w:hint="eastAsia" w:ascii="宋体" w:hAnsi="宋体" w:eastAsia="宋体" w:cs="宋体"/>
                <w:bCs/>
                <w:color w:val="auto"/>
                <w:kern w:val="2"/>
                <w:sz w:val="21"/>
                <w:szCs w:val="21"/>
                <w:highlight w:val="none"/>
                <w:lang w:val="en-US" w:eastAsia="zh-CN" w:bidi="zh-CN"/>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tc>
      </w:tr>
      <w:tr w14:paraId="54DBA8BF">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1CDF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color w:val="auto"/>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C96A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1、构成本招标文件的各个组成文件应互为解释，互为说明；</w:t>
            </w:r>
          </w:p>
          <w:p w14:paraId="34106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2、同一组成文件中就同一事项的规定或约定不一致的，以编排顺序在后者为准；</w:t>
            </w:r>
          </w:p>
          <w:p w14:paraId="70A70F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3、如有不明确或不一致，构成合同文件组成内容的，以合同文件约定内容为准，且以专用合同条款约定的合同文件优先顺序解释；</w:t>
            </w:r>
          </w:p>
          <w:p w14:paraId="6BA903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bCs/>
                <w:color w:val="auto"/>
                <w:kern w:val="2"/>
                <w:sz w:val="21"/>
                <w:szCs w:val="21"/>
                <w:highlight w:val="none"/>
                <w:lang w:val="en-US" w:eastAsia="zh-CN" w:bidi="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749E41E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32A0DB8A">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相关要求</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661A9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eastAsia="zh-CN"/>
              </w:rPr>
              <w:t>1</w:t>
            </w:r>
            <w:r>
              <w:rPr>
                <w:rFonts w:hint="eastAsia" w:ascii="宋体" w:hAnsi="Times New Roman" w:eastAsia="宋体" w:cs="Times New Roman"/>
                <w:color w:val="auto"/>
                <w:sz w:val="21"/>
                <w:szCs w:val="21"/>
                <w:highlight w:val="none"/>
                <w:lang w:val="en-US"/>
              </w:rPr>
              <w:t>、</w:t>
            </w:r>
            <w:r>
              <w:rPr>
                <w:rFonts w:hint="eastAsia" w:ascii="宋体" w:hAnsi="Times New Roman" w:eastAsia="宋体" w:cs="Times New Roman"/>
                <w:color w:val="auto"/>
                <w:sz w:val="21"/>
                <w:szCs w:val="21"/>
                <w:highlight w:val="none"/>
              </w:rPr>
              <w:t>承包人在工程实施过程中的用工行为，必须严格按照《保障农民工工资支付条例》（国务院令 第724号）、《安徽省人民政府办公厅关于全面治理拖欠农民工工资问题的实施意见》（皖政办〔2016〕22号）以及《贯彻落实&lt;工程建设领域农民工工资专用账户管理暂行办法&gt;的通知》（皖人社发〔2022〕5号）、《安徽省工程建设领域农民工工资保证金实施办法》（皖人社发〔2022〕8号）等文件精神的有关规定，依法与招用的农民工签订劳动合同，并按规定及时足额支付工资。</w:t>
            </w:r>
          </w:p>
          <w:p w14:paraId="7D6FB9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为切实保障建筑行业农民工工资支付、加快培育新时代建筑产业工人队伍、有效破解拖欠工程款问题，承包人应严格落实安徽省住建厅《关于建立长效机制切实保障建筑行业农民工工资支付工作的通知》（建市函〔2022〕490号），《关于加快培育和壮大我省建筑产业工人队伍的意见》（建市规〔2023〕1号）以及《关于印发〈安徽省房屋建筑和市政基础设施工程施工过程结算管理办法〉 的通知》（建市规〔2023〕2号）等文件要求。</w:t>
            </w:r>
          </w:p>
          <w:p w14:paraId="320DA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rPr>
              <w:t>《贯彻落实&lt;工程建设领域农民工工资专用账户管理暂行办法&gt;的通知》（皖人社发【2022】5号），其中工资保证金和工资专户由工程建设项目的施工总承包企业（包括直接承包建设单位发包工程的专业承包企业）缴存和开设。若为联合体中标，由联合体中牵头人缴存和开设专户。</w:t>
            </w:r>
          </w:p>
          <w:p w14:paraId="78F8FB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eastAsia="zh-CN"/>
              </w:rPr>
              <w:t>2、</w:t>
            </w:r>
            <w:r>
              <w:rPr>
                <w:rFonts w:hint="eastAsia" w:ascii="宋体" w:hAnsi="Times New Roman" w:eastAsia="宋体" w:cs="Times New Roman"/>
                <w:color w:val="auto"/>
                <w:sz w:val="21"/>
                <w:szCs w:val="21"/>
                <w:highlight w:val="none"/>
                <w:lang w:val="en-US"/>
              </w:rPr>
              <w:t>保证保险产品应按《中国银保监会办公厅关于进一步加强和改进财产保险公司产品监管有关问题的通知》执行。</w:t>
            </w:r>
          </w:p>
          <w:p w14:paraId="63AE98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auto"/>
                <w:sz w:val="21"/>
                <w:szCs w:val="21"/>
                <w:highlight w:val="none"/>
                <w:lang w:val="en-US"/>
              </w:rPr>
            </w:pPr>
            <w:r>
              <w:rPr>
                <w:rFonts w:hint="eastAsia" w:ascii="宋体" w:hAnsi="Times New Roman" w:eastAsia="宋体" w:cs="Times New Roman"/>
                <w:color w:val="auto"/>
                <w:sz w:val="21"/>
                <w:szCs w:val="21"/>
                <w:highlight w:val="none"/>
                <w:lang w:val="en-US" w:eastAsia="zh-CN"/>
              </w:rPr>
              <w:t>3、</w:t>
            </w:r>
            <w:r>
              <w:rPr>
                <w:rFonts w:hint="eastAsia" w:ascii="宋体" w:hAnsi="Times New Roman" w:eastAsia="宋体" w:cs="Times New Roman"/>
                <w:color w:val="auto"/>
                <w:sz w:val="21"/>
                <w:szCs w:val="21"/>
                <w:highlight w:val="none"/>
              </w:rPr>
              <w:t>我省行政区域内按照规定应办理建筑工程施工许可证的房屋建筑和市政工程建设项目，均应办理工程款支付担保。具体金额、担保方式等按《安徽省住房和城乡建设厅关于加强房屋建筑和市政基础设施工程建设领域工程款支付担保管理工作的通知》（建市〔2022〕54号）执行。</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lang w:val="en-US"/>
              </w:rPr>
              <w:t>构成招标文件组成部分的“通用合同条款”、“专用合同条款”、“技术标准和要求”和“工程量清单”等章节中 “发包人”和“承包人”，等同于招标投标阶段的“招标人”和“投标人/中标人”。</w:t>
            </w:r>
          </w:p>
        </w:tc>
      </w:tr>
      <w:tr w14:paraId="329A6BBF">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31575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关于招标工程量清单、最高投标限价及投标报价编制特别说明</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51A24B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cs="Times New Roman"/>
                <w:color w:val="auto"/>
                <w:sz w:val="21"/>
                <w:szCs w:val="21"/>
                <w:highlight w:val="none"/>
                <w:lang w:val="en-US" w:eastAsia="zh-CN"/>
              </w:rPr>
              <w:t>1.</w:t>
            </w:r>
            <w:r>
              <w:rPr>
                <w:rFonts w:hint="eastAsia" w:ascii="宋体" w:hAnsi="Times New Roman" w:eastAsia="宋体" w:cs="Times New Roman"/>
                <w:color w:val="auto"/>
                <w:sz w:val="21"/>
                <w:szCs w:val="21"/>
                <w:highlight w:val="none"/>
              </w:rPr>
              <w:t>本项目最高投标限价材料、设备价格依据造价管理部门发布的市场价格信息并结合市场实际价格综合考虑编制，投标人应根据</w:t>
            </w:r>
            <w:r>
              <w:rPr>
                <w:rFonts w:hint="eastAsia" w:ascii="宋体" w:hAnsi="Times New Roman" w:eastAsia="宋体" w:cs="Times New Roman"/>
                <w:color w:val="auto"/>
                <w:sz w:val="21"/>
                <w:szCs w:val="21"/>
                <w:highlight w:val="none"/>
                <w:lang w:val="en-US"/>
              </w:rPr>
              <w:t>施工</w:t>
            </w:r>
            <w:r>
              <w:rPr>
                <w:rFonts w:hint="eastAsia" w:ascii="宋体" w:hAnsi="Times New Roman" w:eastAsia="宋体" w:cs="Times New Roman"/>
                <w:color w:val="auto"/>
                <w:sz w:val="21"/>
                <w:szCs w:val="21"/>
                <w:highlight w:val="none"/>
              </w:rPr>
              <w:t>图纸、招标工程量清单、补遗，并结合企业自身实力理性报价。</w:t>
            </w:r>
          </w:p>
          <w:p w14:paraId="72649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cs="Times New Roman"/>
                <w:color w:val="auto"/>
                <w:sz w:val="21"/>
                <w:szCs w:val="21"/>
                <w:highlight w:val="none"/>
                <w:lang w:val="en-US" w:eastAsia="zh-CN"/>
              </w:rPr>
              <w:t>2.</w:t>
            </w:r>
            <w:r>
              <w:rPr>
                <w:rFonts w:hint="eastAsia" w:ascii="宋体" w:hAnsi="Times New Roman" w:eastAsia="宋体" w:cs="Times New Roman"/>
                <w:color w:val="auto"/>
                <w:sz w:val="21"/>
                <w:szCs w:val="21"/>
                <w:highlight w:val="none"/>
                <w:lang w:val="en-US" w:eastAsia="zh-CN"/>
              </w:rPr>
              <w:t>投标人应认真对照施工设计图纸等文件结合自行组织踏勘现场情况，核对招标人提供的工程量清单，发现工程量存在项目划分误差、计量单位误差、数量误差、遗漏项目等，必须在网上询问截止时间前向招标人提出疑问，否则招标人可不予答复。</w:t>
            </w:r>
          </w:p>
          <w:p w14:paraId="58198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cs="Times New Roman"/>
                <w:color w:val="auto"/>
                <w:sz w:val="21"/>
                <w:szCs w:val="21"/>
                <w:highlight w:val="none"/>
                <w:lang w:val="en-US" w:eastAsia="zh-CN"/>
              </w:rPr>
              <w:t>3.</w:t>
            </w:r>
            <w:r>
              <w:rPr>
                <w:rFonts w:hint="eastAsia" w:ascii="宋体" w:hAnsi="Times New Roman" w:eastAsia="宋体" w:cs="Times New Roman"/>
                <w:color w:val="auto"/>
                <w:sz w:val="21"/>
                <w:szCs w:val="21"/>
                <w:highlight w:val="none"/>
                <w:lang w:val="en-US" w:eastAsia="zh-CN"/>
              </w:rPr>
              <w:t>招标人对疑问应进行核实，确认工程量单项子目误差在±3%（含±3%）以内的，采购人可不予调整工程量，供应商应将其误差考虑在综合单价内；若有遗漏项目或单项子目工程量误差超过±3%的，招标人应进行修正并重新公布准确的工程量清单。</w:t>
            </w:r>
          </w:p>
          <w:p w14:paraId="4ABD5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eastAsia="zh-CN"/>
              </w:rPr>
              <w:t>4.投标人在规定时间内未对工程量清单提出疑问的，</w:t>
            </w:r>
            <w:r>
              <w:rPr>
                <w:rFonts w:hint="eastAsia" w:ascii="宋体" w:hAnsi="Times New Roman" w:cs="Times New Roman"/>
                <w:color w:val="auto"/>
                <w:sz w:val="21"/>
                <w:szCs w:val="21"/>
                <w:highlight w:val="none"/>
                <w:lang w:val="en-US" w:eastAsia="zh-CN"/>
              </w:rPr>
              <w:t>中标</w:t>
            </w:r>
            <w:r>
              <w:rPr>
                <w:rFonts w:hint="eastAsia" w:ascii="宋体" w:hAnsi="Times New Roman" w:eastAsia="宋体" w:cs="Times New Roman"/>
                <w:color w:val="auto"/>
                <w:sz w:val="21"/>
                <w:szCs w:val="21"/>
                <w:highlight w:val="none"/>
                <w:lang w:val="en-US" w:eastAsia="zh-CN"/>
              </w:rPr>
              <w:t>后，招标人不再对工程量清单的项目和数量进行校对调整。中标人必须按其报价完成招标文件规定范围内的设计图纸规定的所有工程项目。</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kinsoku/>
              <w:wordWrap/>
              <w:overflowPunct/>
              <w:autoSpaceDN/>
              <w:bidi w:val="0"/>
              <w:spacing w:line="400" w:lineRule="exact"/>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其他</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1D5DE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1、</w:t>
            </w:r>
            <w:r>
              <w:rPr>
                <w:rFonts w:hint="eastAsia" w:ascii="宋体" w:hAnsi="Times New Roman" w:eastAsia="宋体" w:cs="Times New Roman"/>
                <w:color w:val="auto"/>
                <w:sz w:val="21"/>
                <w:szCs w:val="21"/>
                <w:highlight w:val="none"/>
              </w:rPr>
              <w:t>如本项目招标文件中出现特定性、唯一性品牌的表述，该品牌仅作为参考，施工过程中不具有限定性。</w:t>
            </w:r>
          </w:p>
          <w:p w14:paraId="0D095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rPr>
              <w:t>2、项目经理必须是投标人本单位工作人员，提供虚假资料谋取中标将被依法处罚。</w:t>
            </w:r>
            <w:r>
              <w:rPr>
                <w:rFonts w:hint="eastAsia" w:ascii="宋体" w:hAnsi="Times New Roman" w:eastAsia="宋体" w:cs="Times New Roman"/>
                <w:color w:val="auto"/>
                <w:sz w:val="21"/>
                <w:szCs w:val="21"/>
                <w:highlight w:val="none"/>
              </w:rPr>
              <w:t>投标人对所提交的投标人业绩、投标人资质等证明资料承担缔约过失责任和法律责任。若投诉人或举报人对前述资料或证明资料存在争议，进行有效投诉或举报，被投诉人、被举报人应当主动配合执法机关调查，并在规定的期限内举证，提供有关证明资料的原件；拒不配合执法机构调查，且未在规定期限内举证、提供证明资料原件的，执法机构依法处理。</w:t>
            </w:r>
          </w:p>
          <w:p w14:paraId="6B0049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rPr>
              <w:t>3、</w:t>
            </w:r>
            <w:r>
              <w:rPr>
                <w:rFonts w:hint="eastAsia" w:ascii="宋体" w:hAnsi="Times New Roman" w:eastAsia="宋体" w:cs="Times New Roman"/>
                <w:color w:val="auto"/>
                <w:sz w:val="21"/>
                <w:szCs w:val="21"/>
                <w:highlight w:val="none"/>
              </w:rPr>
              <w:t>中标人未履行下述义务的，将依法对中标人追究相关责任：</w:t>
            </w:r>
          </w:p>
          <w:p w14:paraId="2A80F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①中标人无正当理由不与招标人订立合同，在签订合同时向招标人提出附加条件，或者不按照招标文件要求提交履约保证金的，招标人有权取消中标人中标资格，并将相关违约行为报送监管部门处理；</w:t>
            </w:r>
          </w:p>
          <w:p w14:paraId="03557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②合同签订后，中标人存在规定时间内不组织人员进场开工、</w:t>
            </w:r>
            <w:r>
              <w:rPr>
                <w:rFonts w:hint="eastAsia" w:ascii="宋体" w:cs="Times New Roman"/>
                <w:color w:val="auto"/>
                <w:sz w:val="21"/>
                <w:szCs w:val="21"/>
                <w:highlight w:val="none"/>
                <w:lang w:eastAsia="zh-CN"/>
              </w:rPr>
              <w:t>或</w:t>
            </w:r>
            <w:r>
              <w:rPr>
                <w:rFonts w:hint="eastAsia" w:ascii="宋体" w:hAnsi="Times New Roman" w:eastAsia="宋体" w:cs="Times New Roman"/>
                <w:color w:val="auto"/>
                <w:sz w:val="21"/>
                <w:szCs w:val="21"/>
                <w:highlight w:val="none"/>
              </w:rPr>
              <w:t>不履行供货安装义务</w:t>
            </w:r>
            <w:r>
              <w:rPr>
                <w:rFonts w:hint="eastAsia" w:ascii="宋体" w:cs="Times New Roman"/>
                <w:color w:val="auto"/>
                <w:sz w:val="21"/>
                <w:szCs w:val="21"/>
                <w:highlight w:val="none"/>
                <w:lang w:eastAsia="zh-CN"/>
              </w:rPr>
              <w:t>、</w:t>
            </w:r>
            <w:r>
              <w:rPr>
                <w:rFonts w:hint="eastAsia" w:ascii="宋体" w:hAnsi="Times New Roman" w:eastAsia="宋体" w:cs="Times New Roman"/>
                <w:color w:val="auto"/>
                <w:sz w:val="21"/>
                <w:szCs w:val="21"/>
                <w:highlight w:val="none"/>
                <w:lang w:eastAsia="zh-CN"/>
              </w:rPr>
              <w:t>或按投标人须知第</w:t>
            </w:r>
            <w:r>
              <w:rPr>
                <w:rFonts w:hint="eastAsia" w:ascii="宋体" w:hAnsi="Times New Roman" w:eastAsia="宋体" w:cs="Times New Roman"/>
                <w:color w:val="auto"/>
                <w:sz w:val="21"/>
                <w:szCs w:val="21"/>
                <w:highlight w:val="none"/>
                <w:lang w:val="en-US" w:eastAsia="zh-CN"/>
              </w:rPr>
              <w:t>19项编制完成后经第三方复审单位审核的</w:t>
            </w:r>
            <w:r>
              <w:rPr>
                <w:rFonts w:hint="eastAsia" w:ascii="宋体" w:hAnsi="Times New Roman" w:eastAsia="宋体" w:cs="Times New Roman"/>
                <w:color w:val="auto"/>
                <w:sz w:val="21"/>
                <w:szCs w:val="21"/>
                <w:highlight w:val="none"/>
                <w:lang w:eastAsia="zh-CN"/>
              </w:rPr>
              <w:t>最高投标限价无法达成共识并经招标人催办，仍未实施等情况，</w:t>
            </w:r>
            <w:r>
              <w:rPr>
                <w:rFonts w:hint="eastAsia" w:ascii="宋体" w:hAnsi="Times New Roman" w:eastAsia="宋体" w:cs="Times New Roman"/>
                <w:color w:val="auto"/>
                <w:sz w:val="21"/>
                <w:szCs w:val="21"/>
                <w:highlight w:val="none"/>
              </w:rPr>
              <w:t>招标人有权</w:t>
            </w:r>
            <w:r>
              <w:rPr>
                <w:rFonts w:hint="eastAsia" w:ascii="宋体" w:cs="Times New Roman"/>
                <w:color w:val="auto"/>
                <w:sz w:val="21"/>
                <w:szCs w:val="21"/>
                <w:highlight w:val="none"/>
                <w:lang w:eastAsia="zh-CN"/>
              </w:rPr>
              <w:t>单方面</w:t>
            </w:r>
            <w:r>
              <w:rPr>
                <w:rFonts w:hint="eastAsia" w:ascii="宋体" w:hAnsi="Times New Roman" w:eastAsia="宋体" w:cs="Times New Roman"/>
                <w:color w:val="auto"/>
                <w:sz w:val="21"/>
                <w:szCs w:val="21"/>
                <w:highlight w:val="none"/>
              </w:rPr>
              <w:t>解除合同，并追究违约责任，同时将相关违约行为报送监管部门处理。</w:t>
            </w:r>
          </w:p>
          <w:p w14:paraId="10AB5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4、</w:t>
            </w:r>
            <w:r>
              <w:rPr>
                <w:rFonts w:hint="eastAsia" w:ascii="宋体" w:hAnsi="Times New Roman" w:eastAsia="宋体" w:cs="Times New Roman"/>
                <w:color w:val="auto"/>
                <w:sz w:val="21"/>
                <w:szCs w:val="21"/>
                <w:highlight w:val="none"/>
                <w:lang w:val="en-US" w:eastAsia="zh-CN"/>
              </w:rPr>
              <w:t>项目经理（建造师）</w:t>
            </w:r>
            <w:r>
              <w:rPr>
                <w:rFonts w:hint="eastAsia" w:ascii="宋体" w:cs="Times New Roman"/>
                <w:color w:val="auto"/>
                <w:sz w:val="21"/>
                <w:szCs w:val="21"/>
                <w:highlight w:val="none"/>
                <w:lang w:val="en-US" w:eastAsia="zh-CN"/>
              </w:rPr>
              <w:t>、</w:t>
            </w:r>
            <w:r>
              <w:rPr>
                <w:rFonts w:hint="eastAsia" w:ascii="宋体" w:hAnsi="Times New Roman" w:eastAsia="宋体" w:cs="Times New Roman"/>
                <w:color w:val="auto"/>
                <w:sz w:val="21"/>
                <w:szCs w:val="21"/>
                <w:highlight w:val="none"/>
                <w:lang w:val="en-US" w:eastAsia="zh-CN"/>
              </w:rPr>
              <w:t>项目</w:t>
            </w:r>
            <w:r>
              <w:rPr>
                <w:rFonts w:hint="eastAsia" w:ascii="宋体" w:cs="Times New Roman"/>
                <w:color w:val="auto"/>
                <w:sz w:val="21"/>
                <w:szCs w:val="21"/>
                <w:highlight w:val="none"/>
                <w:lang w:val="en-US" w:eastAsia="zh-CN"/>
              </w:rPr>
              <w:t>技术负责人</w:t>
            </w:r>
            <w:r>
              <w:rPr>
                <w:rFonts w:hint="eastAsia" w:ascii="宋体" w:hAnsi="Times New Roman" w:eastAsia="宋体" w:cs="Times New Roman"/>
                <w:color w:val="auto"/>
                <w:sz w:val="21"/>
                <w:szCs w:val="21"/>
                <w:highlight w:val="none"/>
                <w:lang w:val="en-US" w:eastAsia="zh-CN"/>
              </w:rPr>
              <w:t>变更需经发包人同意</w:t>
            </w:r>
            <w:r>
              <w:rPr>
                <w:rFonts w:hint="eastAsia" w:ascii="宋体" w:hAnsi="Times New Roman" w:eastAsia="宋体" w:cs="Times New Roman"/>
                <w:color w:val="auto"/>
                <w:sz w:val="21"/>
                <w:szCs w:val="21"/>
                <w:highlight w:val="none"/>
                <w:lang w:val="en-US"/>
              </w:rPr>
              <w:t>。</w:t>
            </w:r>
          </w:p>
          <w:p w14:paraId="2BC39E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rPr>
            </w:pPr>
            <w:r>
              <w:rPr>
                <w:rFonts w:hint="eastAsia" w:ascii="宋体" w:hAnsi="Times New Roman" w:eastAsia="宋体" w:cs="Times New Roman"/>
                <w:color w:val="auto"/>
                <w:sz w:val="21"/>
                <w:szCs w:val="21"/>
                <w:highlight w:val="none"/>
                <w:lang w:val="en-US"/>
              </w:rPr>
              <w:t>中标人因下列原因变更</w:t>
            </w:r>
            <w:r>
              <w:rPr>
                <w:rFonts w:hint="eastAsia" w:ascii="宋体" w:cs="Times New Roman"/>
                <w:color w:val="auto"/>
                <w:sz w:val="21"/>
                <w:szCs w:val="21"/>
                <w:highlight w:val="none"/>
                <w:lang w:val="en-US" w:eastAsia="zh-CN"/>
              </w:rPr>
              <w:t>项目经理或项目技术负责人</w:t>
            </w:r>
            <w:r>
              <w:rPr>
                <w:rFonts w:hint="eastAsia" w:ascii="宋体" w:hAnsi="Times New Roman" w:eastAsia="宋体" w:cs="Times New Roman"/>
                <w:color w:val="auto"/>
                <w:sz w:val="21"/>
                <w:szCs w:val="21"/>
                <w:highlight w:val="none"/>
                <w:lang w:val="en-US"/>
              </w:rPr>
              <w:t>，须缴纳违约金</w:t>
            </w:r>
            <w:r>
              <w:rPr>
                <w:rFonts w:hint="eastAsia" w:ascii="宋体" w:hAnsi="Times New Roman" w:eastAsia="宋体" w:cs="Times New Roman"/>
                <w:color w:val="auto"/>
                <w:sz w:val="21"/>
                <w:szCs w:val="21"/>
                <w:highlight w:val="none"/>
                <w:lang w:val="en-US" w:eastAsia="zh-CN"/>
              </w:rPr>
              <w:t>10万</w:t>
            </w:r>
            <w:r>
              <w:rPr>
                <w:rFonts w:hint="eastAsia" w:ascii="宋体" w:hAnsi="Times New Roman" w:eastAsia="宋体" w:cs="Times New Roman"/>
                <w:color w:val="auto"/>
                <w:sz w:val="21"/>
                <w:szCs w:val="21"/>
                <w:highlight w:val="none"/>
                <w:lang w:val="en-US"/>
              </w:rPr>
              <w:t>元</w:t>
            </w:r>
            <w:r>
              <w:rPr>
                <w:rFonts w:hint="eastAsia" w:ascii="宋体" w:hAnsi="Times New Roman" w:eastAsia="宋体" w:cs="Times New Roman"/>
                <w:color w:val="auto"/>
                <w:sz w:val="21"/>
                <w:szCs w:val="21"/>
                <w:highlight w:val="none"/>
                <w:lang w:val="en-US" w:eastAsia="zh-CN"/>
              </w:rPr>
              <w:t>：</w:t>
            </w:r>
            <w:r>
              <w:rPr>
                <w:rFonts w:hint="eastAsia" w:ascii="宋体" w:hAnsi="Times New Roman" w:eastAsia="宋体" w:cs="Times New Roman"/>
                <w:color w:val="auto"/>
                <w:sz w:val="21"/>
                <w:szCs w:val="21"/>
                <w:highlight w:val="none"/>
                <w:lang w:val="en-US"/>
              </w:rPr>
              <w:t>①患重病、发生意外等身体原因不能在现场进行管理的；②离职的；③违法违规行为不能继续从事现场管理工作的；④无能力履行合同责任义务被建设行政主管部门或建设单位责令更换的。</w:t>
            </w:r>
          </w:p>
          <w:p w14:paraId="123A9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val="en-US" w:eastAsia="zh-CN"/>
              </w:rPr>
              <w:t>5、</w:t>
            </w:r>
            <w:r>
              <w:rPr>
                <w:rFonts w:hint="eastAsia" w:ascii="宋体" w:hAnsi="Times New Roman" w:eastAsia="宋体" w:cs="Times New Roman"/>
                <w:color w:val="auto"/>
                <w:sz w:val="21"/>
                <w:szCs w:val="21"/>
                <w:highlight w:val="none"/>
              </w:rPr>
              <w:t>安全生产</w:t>
            </w:r>
          </w:p>
          <w:p w14:paraId="060747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rPr>
              <w:t>①须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350439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Times New Roman" w:eastAsia="宋体" w:cs="Times New Roman"/>
                <w:color w:val="auto"/>
                <w:sz w:val="21"/>
                <w:szCs w:val="21"/>
                <w:highlight w:val="none"/>
                <w:lang w:val="en-US" w:eastAsia="zh-CN"/>
              </w:rPr>
            </w:pPr>
            <w:r>
              <w:rPr>
                <w:rFonts w:hint="eastAsia" w:ascii="宋体" w:hAnsi="Times New Roman" w:eastAsia="宋体" w:cs="Times New Roman"/>
                <w:color w:val="auto"/>
                <w:sz w:val="21"/>
                <w:szCs w:val="21"/>
                <w:highlight w:val="none"/>
              </w:rPr>
              <w:t>②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合同的各项规定，做到生产与安全工作同时计划、布置、检查、总结和评比。</w:t>
            </w:r>
          </w:p>
          <w:p w14:paraId="18FE7FDC">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trike/>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0" w:type="auto"/>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1"/>
                <w:szCs w:val="21"/>
                <w:highlight w:val="none"/>
                <w:lang w:val="en-US" w:eastAsia="zh-CN"/>
              </w:rPr>
            </w:pPr>
            <w:bookmarkStart w:id="56" w:name="_Toc35424887"/>
            <w:bookmarkStart w:id="57" w:name="_Toc15058846"/>
            <w:bookmarkStart w:id="58" w:name="_Toc35425053"/>
            <w:bookmarkStart w:id="59" w:name="_Toc78803322"/>
            <w:bookmarkStart w:id="60" w:name="_Toc5813"/>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53B1753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E66151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w:t>
            </w:r>
            <w:r>
              <w:rPr>
                <w:rFonts w:hint="eastAsia" w:ascii="宋体" w:hAnsi="宋体" w:cs="宋体"/>
                <w:kern w:val="0"/>
                <w:sz w:val="21"/>
                <w:szCs w:val="21"/>
                <w:highlight w:val="none"/>
                <w:lang w:val="en-US" w:eastAsia="zh-CN" w:bidi="ar-SA"/>
              </w:rPr>
              <w:t>0512-58151515</w:t>
            </w:r>
            <w:r>
              <w:rPr>
                <w:rFonts w:hint="eastAsia" w:ascii="宋体" w:hAnsi="宋体" w:eastAsia="宋体" w:cs="宋体"/>
                <w:kern w:val="0"/>
                <w:sz w:val="21"/>
                <w:szCs w:val="21"/>
                <w:highlight w:val="none"/>
                <w:lang w:val="en-US" w:eastAsia="zh-CN" w:bidi="ar-SA"/>
              </w:rPr>
              <w:t>（工作日）。 </w:t>
            </w:r>
          </w:p>
          <w:p w14:paraId="7641EF1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3.投标人登录新点电子交易平台【滁州专区】获取招标文件及其它资料（含澄清和补充说明等）。如在招标文件获取过程中遇到系统问题，请拨打技术支持服务热线4009280095或者网站首页在线客服。</w:t>
            </w:r>
          </w:p>
          <w:p w14:paraId="47DF65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030ED2F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6118BFC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6.投标人的联系人电话(手机)在开标过程中必须保持畅通，否则因上述原因造成的后果，责任自负。</w:t>
            </w:r>
          </w:p>
          <w:p w14:paraId="4E97232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59D69F8D">
            <w:pPr>
              <w:keepNext w:val="0"/>
              <w:keepLines w:val="0"/>
              <w:pageBreakBefore w:val="0"/>
              <w:widowControl w:val="0"/>
              <w:kinsoku/>
              <w:wordWrap w:val="0"/>
              <w:overflowPunct/>
              <w:topLinePunct w:val="0"/>
              <w:autoSpaceDE/>
              <w:autoSpaceDN/>
              <w:bidi w:val="0"/>
              <w:adjustRightInd/>
              <w:snapToGrid/>
              <w:spacing w:line="400" w:lineRule="exact"/>
              <w:jc w:val="left"/>
              <w:textAlignment w:val="auto"/>
              <w:rPr>
                <w:rFonts w:hint="default"/>
                <w:highlight w:val="none"/>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2AE7C8E8">
      <w:pPr>
        <w:pStyle w:val="3"/>
        <w:ind w:firstLine="422" w:firstLineChars="200"/>
        <w:rPr>
          <w:rFonts w:ascii="宋体" w:hAnsi="宋体" w:eastAsia="宋体" w:cs="宋体"/>
          <w:kern w:val="44"/>
          <w:highlight w:val="none"/>
        </w:rPr>
      </w:pPr>
      <w:bookmarkStart w:id="61" w:name="_Toc35425054"/>
      <w:bookmarkStart w:id="62" w:name="_Toc247085690"/>
      <w:bookmarkStart w:id="63" w:name="_Toc152045530"/>
      <w:bookmarkStart w:id="64" w:name="_Toc179632547"/>
      <w:bookmarkStart w:id="65" w:name="_Toc152042306"/>
      <w:bookmarkStart w:id="66" w:name="_Toc246996919"/>
      <w:bookmarkStart w:id="67" w:name="_Toc15058847"/>
      <w:bookmarkStart w:id="68" w:name="_Toc144974498"/>
      <w:bookmarkStart w:id="69" w:name="_Toc246996176"/>
      <w:bookmarkStart w:id="70" w:name="_Toc35424888"/>
      <w:bookmarkStart w:id="71" w:name="_Toc506107270"/>
      <w:bookmarkStart w:id="72" w:name="_Toc78803323"/>
      <w:bookmarkStart w:id="73" w:name="_Toc296602421"/>
      <w:bookmarkStart w:id="74" w:name="_Toc4678"/>
      <w:bookmarkStart w:id="75" w:name="_Toc324404816"/>
      <w:r>
        <w:rPr>
          <w:rFonts w:hint="eastAsia" w:ascii="宋体" w:hAnsi="宋体" w:eastAsia="宋体" w:cs="宋体"/>
          <w:kern w:val="44"/>
          <w:highlight w:val="none"/>
        </w:rPr>
        <w:t>1.1 项目概况</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1.1.1根据《中华人民共和国招标投标法》《中华人民共和国招标投标法实施条例》等有关法律、法规和规章的规定，本招标项目已具备招标条件，现对本项目施工进行招标。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6" w:name="_Toc78803324"/>
      <w:bookmarkStart w:id="77" w:name="_Toc152045531"/>
      <w:bookmarkStart w:id="78" w:name="_Toc15058848"/>
      <w:bookmarkStart w:id="79" w:name="_Toc179632548"/>
      <w:bookmarkStart w:id="80" w:name="_Toc247085691"/>
      <w:bookmarkStart w:id="81" w:name="_Toc506107271"/>
      <w:bookmarkStart w:id="82" w:name="_Toc7142"/>
      <w:bookmarkStart w:id="83" w:name="_Toc246996920"/>
      <w:bookmarkStart w:id="84" w:name="_Toc35425055"/>
      <w:bookmarkStart w:id="85" w:name="_Toc296602422"/>
      <w:bookmarkStart w:id="86" w:name="_Toc35424889"/>
      <w:bookmarkStart w:id="87" w:name="_Toc144974499"/>
      <w:bookmarkStart w:id="88" w:name="_Toc324404817"/>
      <w:bookmarkStart w:id="89" w:name="_Toc246996177"/>
      <w:bookmarkStart w:id="90" w:name="_Toc152042307"/>
      <w:r>
        <w:rPr>
          <w:rFonts w:hint="eastAsia" w:ascii="宋体" w:hAnsi="宋体" w:eastAsia="宋体" w:cs="宋体"/>
          <w:highlight w:val="none"/>
        </w:rPr>
        <w:t>1.2 资金来源和落实情况</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91" w:name="_Toc152045532"/>
      <w:bookmarkStart w:id="92" w:name="_Toc6330"/>
      <w:bookmarkStart w:id="93" w:name="_Toc144974500"/>
      <w:bookmarkStart w:id="94" w:name="_Toc78803325"/>
      <w:bookmarkStart w:id="95" w:name="_Toc246996921"/>
      <w:bookmarkStart w:id="96" w:name="_Toc152042308"/>
      <w:bookmarkStart w:id="97" w:name="_Toc324404818"/>
      <w:bookmarkStart w:id="98" w:name="_Toc179632549"/>
      <w:bookmarkStart w:id="99" w:name="_Toc35424890"/>
      <w:bookmarkStart w:id="100" w:name="_Toc506107272"/>
      <w:bookmarkStart w:id="101" w:name="_Toc247085692"/>
      <w:bookmarkStart w:id="102" w:name="_Toc296602423"/>
      <w:bookmarkStart w:id="103" w:name="_Toc35425056"/>
      <w:bookmarkStart w:id="104" w:name="_Toc246996178"/>
      <w:bookmarkStart w:id="105" w:name="_Toc15058849"/>
      <w:r>
        <w:rPr>
          <w:rFonts w:hint="eastAsia" w:ascii="宋体" w:hAnsi="宋体" w:eastAsia="宋体" w:cs="宋体"/>
          <w:highlight w:val="none"/>
        </w:rPr>
        <w:t>1.3 招标范围、计划工期、质量要求</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w:t>
      </w:r>
      <w:r>
        <w:rPr>
          <w:rFonts w:hint="eastAsia" w:ascii="宋体" w:hAnsi="宋体" w:cs="宋体"/>
          <w:szCs w:val="21"/>
          <w:highlight w:val="none"/>
          <w:lang w:val="en-US" w:eastAsia="zh-CN"/>
        </w:rPr>
        <w:t>工期要求</w:t>
      </w:r>
      <w:r>
        <w:rPr>
          <w:rFonts w:hint="eastAsia" w:ascii="宋体" w:hAnsi="宋体" w:cs="宋体"/>
          <w:szCs w:val="21"/>
          <w:highlight w:val="none"/>
        </w:rPr>
        <w:t>：见投标人须知前附表。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6" w:name="_Toc246996922"/>
      <w:bookmarkStart w:id="107" w:name="_Toc26897"/>
      <w:bookmarkStart w:id="108" w:name="_Toc179632551"/>
      <w:bookmarkStart w:id="109" w:name="_Toc78803326"/>
      <w:bookmarkStart w:id="110" w:name="_Toc144974502"/>
      <w:bookmarkStart w:id="111" w:name="_Toc247085693"/>
      <w:bookmarkStart w:id="112" w:name="_Toc246996179"/>
      <w:bookmarkStart w:id="113" w:name="_Toc324404819"/>
      <w:bookmarkStart w:id="114" w:name="_Toc35424891"/>
      <w:bookmarkStart w:id="115" w:name="_Toc15058850"/>
      <w:bookmarkStart w:id="116" w:name="_Toc35425057"/>
      <w:bookmarkStart w:id="117" w:name="_Toc152045534"/>
      <w:bookmarkStart w:id="118" w:name="_Toc296602424"/>
      <w:bookmarkStart w:id="119" w:name="_Toc152042310"/>
      <w:bookmarkStart w:id="120" w:name="_Toc506107273"/>
      <w:r>
        <w:rPr>
          <w:rFonts w:hint="eastAsia" w:ascii="宋体" w:hAnsi="宋体" w:eastAsia="宋体" w:cs="宋体"/>
          <w:highlight w:val="none"/>
        </w:rPr>
        <w:t>1.4 投标人资格要求</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473C4A8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1.4.1 投标人应具备承担本项目</w:t>
      </w:r>
      <w:r>
        <w:rPr>
          <w:rFonts w:hint="eastAsia" w:ascii="宋体" w:hAnsi="宋体" w:eastAsia="宋体" w:cs="宋体"/>
          <w:szCs w:val="21"/>
          <w:highlight w:val="none"/>
          <w:lang w:val="en-US" w:eastAsia="zh-CN"/>
        </w:rPr>
        <w:t>施工</w:t>
      </w:r>
      <w:r>
        <w:rPr>
          <w:rFonts w:hint="eastAsia" w:ascii="宋体" w:hAnsi="宋体" w:eastAsia="宋体" w:cs="宋体"/>
          <w:szCs w:val="21"/>
          <w:highlight w:val="none"/>
        </w:rPr>
        <w:t>的资质条件、能力和信誉。</w:t>
      </w:r>
    </w:p>
    <w:p w14:paraId="42CF7408">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（1）资质条件：见投标人须知前附表；</w:t>
      </w:r>
    </w:p>
    <w:p w14:paraId="213F5755">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bCs/>
          <w:snapToGrid w:val="0"/>
          <w:color w:val="auto"/>
          <w:kern w:val="0"/>
          <w:sz w:val="21"/>
          <w:szCs w:val="21"/>
          <w:highlight w:val="none"/>
        </w:rPr>
        <w:t>项目</w:t>
      </w:r>
      <w:r>
        <w:rPr>
          <w:rFonts w:hint="eastAsia" w:ascii="宋体" w:hAnsi="宋体" w:cs="宋体"/>
          <w:bCs/>
          <w:snapToGrid w:val="0"/>
          <w:color w:val="auto"/>
          <w:kern w:val="0"/>
          <w:sz w:val="21"/>
          <w:szCs w:val="21"/>
          <w:highlight w:val="none"/>
          <w:lang w:val="en-US" w:eastAsia="zh-CN"/>
        </w:rPr>
        <w:t>经理</w:t>
      </w:r>
      <w:r>
        <w:rPr>
          <w:rFonts w:hint="eastAsia" w:ascii="宋体" w:hAnsi="宋体" w:eastAsia="宋体" w:cs="宋体"/>
          <w:szCs w:val="21"/>
          <w:highlight w:val="none"/>
        </w:rPr>
        <w:t>资格：见投标人须知前附表；</w:t>
      </w:r>
    </w:p>
    <w:p w14:paraId="77975E2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（3）信誉要求：见投标人须知前附表；</w:t>
      </w:r>
    </w:p>
    <w:p w14:paraId="1C33B20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）其他要求：见投标人须知前附表。</w:t>
      </w:r>
    </w:p>
    <w:p w14:paraId="66002C8A">
      <w:pPr>
        <w:spacing w:line="440" w:lineRule="exact"/>
        <w:ind w:firstLine="420" w:firstLineChars="200"/>
        <w:jc w:val="left"/>
        <w:rPr>
          <w:rFonts w:hint="eastAsia" w:ascii="宋体" w:hAnsi="宋体" w:eastAsia="宋体" w:cs="宋体"/>
          <w:szCs w:val="21"/>
          <w:highlight w:val="none"/>
        </w:rPr>
      </w:pPr>
      <w:bookmarkStart w:id="121" w:name="_Toc324404820"/>
      <w:bookmarkStart w:id="122" w:name="_Toc296602425"/>
      <w:bookmarkStart w:id="123" w:name="_Toc35425058"/>
      <w:bookmarkStart w:id="124" w:name="_Toc247085694"/>
      <w:bookmarkStart w:id="125" w:name="_Toc15058851"/>
      <w:bookmarkStart w:id="126" w:name="_Toc10179"/>
      <w:bookmarkStart w:id="127" w:name="_Toc246996923"/>
      <w:bookmarkStart w:id="128" w:name="_Toc35424892"/>
      <w:bookmarkStart w:id="129" w:name="_Toc179632552"/>
      <w:bookmarkStart w:id="130" w:name="_Toc78803327"/>
      <w:bookmarkStart w:id="131" w:name="_Toc152042311"/>
      <w:bookmarkStart w:id="132" w:name="_Toc152045535"/>
      <w:bookmarkStart w:id="133" w:name="_Toc246996180"/>
      <w:bookmarkStart w:id="134" w:name="_Toc506107274"/>
      <w:bookmarkStart w:id="135" w:name="_Toc144974503"/>
      <w:r>
        <w:rPr>
          <w:rFonts w:hint="eastAsia" w:ascii="宋体" w:hAnsi="宋体" w:eastAsia="宋体" w:cs="宋体"/>
          <w:szCs w:val="21"/>
          <w:highlight w:val="none"/>
        </w:rPr>
        <w:t>1.4.3投标人（包括联合体各成员）不得与本标段相关单位存在下列关联关系：</w:t>
      </w:r>
    </w:p>
    <w:p w14:paraId="5DE8D0B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（1）为招标人不具有独立法人资格的附属机构（单位）；</w:t>
      </w:r>
    </w:p>
    <w:p w14:paraId="09E6B8F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（2）与招标人存在利害关系且可能影响招标公正性；</w:t>
      </w:r>
    </w:p>
    <w:p w14:paraId="0505EF5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（3）与本标段的其他投标人同为一个单位负责人；</w:t>
      </w:r>
    </w:p>
    <w:p w14:paraId="36333F8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（4）与本标段的其他投标人存在控股、管理关系；</w:t>
      </w:r>
    </w:p>
    <w:p w14:paraId="4D18F6F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（5）为本标段前期准备提供设计或咨询服务的法人或其任何附属机构（单位）(工程总承包项目本目不采用)；</w:t>
      </w:r>
    </w:p>
    <w:p w14:paraId="73E2482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（6）为本标段的监理人；</w:t>
      </w:r>
    </w:p>
    <w:p w14:paraId="43DEC31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（7）为本标段的代建人；</w:t>
      </w:r>
    </w:p>
    <w:p w14:paraId="5653615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（8）为本标段的招标代理机构；</w:t>
      </w:r>
    </w:p>
    <w:p w14:paraId="3407078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（9）与本标段的监理人或代建人或招标代理机构同为一个法定代表人；</w:t>
      </w:r>
    </w:p>
    <w:p w14:paraId="5B21E9B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（10）与本标段的监理人或代建人或招标代理机构存在控股或参股关系；</w:t>
      </w:r>
    </w:p>
    <w:p w14:paraId="552CFA5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（11）法律法规或投标人须知前附表规定的其他情形。</w:t>
      </w:r>
    </w:p>
    <w:p w14:paraId="4D283291">
      <w:pPr>
        <w:pStyle w:val="3"/>
        <w:ind w:firstLine="422" w:firstLineChars="200"/>
        <w:rPr>
          <w:rFonts w:ascii="宋体" w:hAnsi="宋体" w:eastAsia="宋体" w:cs="宋体"/>
          <w:highlight w:val="none"/>
        </w:rPr>
      </w:pPr>
      <w:r>
        <w:rPr>
          <w:rFonts w:hint="eastAsia" w:ascii="宋体" w:hAnsi="宋体" w:eastAsia="宋体" w:cs="宋体"/>
          <w:highlight w:val="none"/>
        </w:rPr>
        <w:t>1.5 费用承担</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6" w:name="_Toc296602426"/>
      <w:bookmarkStart w:id="137" w:name="_Toc144974504"/>
      <w:bookmarkStart w:id="138" w:name="_Toc246996181"/>
      <w:bookmarkStart w:id="139" w:name="_Toc35425059"/>
      <w:bookmarkStart w:id="140" w:name="_Toc4092"/>
      <w:bookmarkStart w:id="141" w:name="_Toc15058852"/>
      <w:bookmarkStart w:id="142" w:name="_Toc247085695"/>
      <w:bookmarkStart w:id="143" w:name="_Toc152045536"/>
      <w:bookmarkStart w:id="144" w:name="_Toc179632553"/>
      <w:bookmarkStart w:id="145" w:name="_Toc35424893"/>
      <w:bookmarkStart w:id="146" w:name="_Toc152042312"/>
      <w:bookmarkStart w:id="147" w:name="_Toc506107275"/>
      <w:bookmarkStart w:id="148" w:name="_Toc78803328"/>
      <w:bookmarkStart w:id="149" w:name="_Toc246996924"/>
      <w:bookmarkStart w:id="150" w:name="_Toc324404821"/>
      <w:r>
        <w:rPr>
          <w:rFonts w:hint="eastAsia" w:ascii="宋体" w:hAnsi="宋体" w:eastAsia="宋体" w:cs="宋体"/>
          <w:highlight w:val="none"/>
        </w:rPr>
        <w:t>1.6 保密</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51" w:name="_Toc144974505"/>
      <w:bookmarkStart w:id="152" w:name="_Toc4119"/>
      <w:bookmarkStart w:id="153" w:name="_Toc246996182"/>
      <w:bookmarkStart w:id="154" w:name="_Toc35425060"/>
      <w:bookmarkStart w:id="155" w:name="_Toc152042313"/>
      <w:bookmarkStart w:id="156" w:name="_Toc506107276"/>
      <w:bookmarkStart w:id="157" w:name="_Toc296602427"/>
      <w:bookmarkStart w:id="158" w:name="_Toc246996925"/>
      <w:bookmarkStart w:id="159" w:name="_Toc324404822"/>
      <w:bookmarkStart w:id="160" w:name="_Toc78803329"/>
      <w:bookmarkStart w:id="161" w:name="_Toc247085696"/>
      <w:bookmarkStart w:id="162" w:name="_Toc152045537"/>
      <w:bookmarkStart w:id="163" w:name="_Toc35424894"/>
      <w:bookmarkStart w:id="164" w:name="_Toc179632554"/>
      <w:bookmarkStart w:id="165" w:name="_Toc15058853"/>
      <w:r>
        <w:rPr>
          <w:rFonts w:hint="eastAsia" w:ascii="宋体" w:hAnsi="宋体" w:eastAsia="宋体" w:cs="宋体"/>
          <w:highlight w:val="none"/>
        </w:rPr>
        <w:t>1.7 语言</w:t>
      </w:r>
      <w:bookmarkEnd w:id="151"/>
      <w:r>
        <w:rPr>
          <w:rFonts w:hint="eastAsia" w:ascii="宋体" w:hAnsi="宋体" w:eastAsia="宋体" w:cs="宋体"/>
          <w:highlight w:val="none"/>
        </w:rPr>
        <w:t>文字</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13039B6C">
      <w:pPr>
        <w:spacing w:line="440" w:lineRule="exact"/>
        <w:ind w:firstLine="420" w:firstLineChars="200"/>
        <w:jc w:val="left"/>
        <w:rPr>
          <w:rFonts w:ascii="宋体" w:hAnsi="宋体" w:cs="宋体"/>
          <w:szCs w:val="21"/>
          <w:highlight w:val="none"/>
        </w:rPr>
      </w:pPr>
      <w:bookmarkStart w:id="166" w:name="_Toc246996926"/>
      <w:bookmarkStart w:id="167" w:name="_Toc152045538"/>
      <w:bookmarkStart w:id="168" w:name="_Toc152042314"/>
      <w:bookmarkStart w:id="169" w:name="_Toc247085697"/>
      <w:bookmarkStart w:id="170" w:name="_Toc246996183"/>
      <w:bookmarkStart w:id="171" w:name="_Toc144974506"/>
      <w:bookmarkStart w:id="172" w:name="_Toc179632555"/>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73" w:name="_Toc78803330"/>
      <w:bookmarkStart w:id="174" w:name="_Toc35425061"/>
      <w:bookmarkStart w:id="175" w:name="_Toc35424895"/>
      <w:bookmarkStart w:id="176" w:name="_Toc13408"/>
      <w:bookmarkStart w:id="177" w:name="_Toc15058854"/>
      <w:bookmarkStart w:id="178" w:name="_Toc296602428"/>
      <w:bookmarkStart w:id="179" w:name="_Toc324404823"/>
      <w:bookmarkStart w:id="180" w:name="_Toc506107277"/>
      <w:r>
        <w:rPr>
          <w:rFonts w:hint="eastAsia" w:ascii="宋体" w:hAnsi="宋体" w:eastAsia="宋体" w:cs="宋体"/>
          <w:highlight w:val="none"/>
        </w:rPr>
        <w:t>1.8 计量单位</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81" w:name="_Toc144974507"/>
      <w:bookmarkStart w:id="182" w:name="_Toc296602429"/>
      <w:bookmarkStart w:id="183" w:name="_Toc324404824"/>
      <w:bookmarkStart w:id="184" w:name="_Toc247592876"/>
      <w:bookmarkStart w:id="185" w:name="_Toc152042315"/>
      <w:bookmarkStart w:id="186" w:name="_Toc11493"/>
      <w:bookmarkStart w:id="187" w:name="_Toc247527563"/>
      <w:bookmarkStart w:id="188" w:name="_Toc35425062"/>
      <w:bookmarkStart w:id="189" w:name="_Toc247513962"/>
      <w:bookmarkStart w:id="190" w:name="_Toc35424896"/>
      <w:bookmarkStart w:id="191" w:name="_Toc506107278"/>
      <w:bookmarkStart w:id="192" w:name="_Toc15058855"/>
      <w:bookmarkStart w:id="193" w:name="_Toc78803331"/>
      <w:bookmarkStart w:id="194" w:name="_Toc152045539"/>
      <w:r>
        <w:rPr>
          <w:rFonts w:hint="eastAsia" w:ascii="宋体" w:hAnsi="宋体" w:eastAsia="宋体" w:cs="宋体"/>
          <w:highlight w:val="none"/>
        </w:rPr>
        <w:t>1.9 踏勘现场</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5AA9B494">
      <w:pPr>
        <w:spacing w:line="440" w:lineRule="exact"/>
        <w:ind w:firstLine="420" w:firstLineChars="200"/>
        <w:jc w:val="left"/>
        <w:rPr>
          <w:rFonts w:hint="eastAsia" w:ascii="宋体" w:hAnsi="宋体" w:eastAsia="宋体" w:cs="宋体"/>
          <w:szCs w:val="21"/>
          <w:highlight w:val="none"/>
        </w:rPr>
      </w:pPr>
      <w:bookmarkStart w:id="195" w:name="_Toc78803332"/>
      <w:bookmarkStart w:id="196" w:name="_Toc506107279"/>
      <w:bookmarkStart w:id="197" w:name="_Toc324404825"/>
      <w:bookmarkStart w:id="198" w:name="_Toc296602430"/>
      <w:bookmarkStart w:id="199" w:name="_Toc152042316"/>
      <w:bookmarkStart w:id="200" w:name="_Toc152045540"/>
      <w:bookmarkStart w:id="201" w:name="_Toc144974508"/>
      <w:bookmarkStart w:id="202" w:name="_Toc247592877"/>
      <w:bookmarkStart w:id="203" w:name="_Toc22954"/>
      <w:bookmarkStart w:id="204" w:name="_Toc35425063"/>
      <w:bookmarkStart w:id="205" w:name="_Toc247527564"/>
      <w:bookmarkStart w:id="206" w:name="_Toc247513963"/>
      <w:bookmarkStart w:id="207" w:name="_Toc35424897"/>
      <w:bookmarkStart w:id="208" w:name="_Toc15058856"/>
      <w:r>
        <w:rPr>
          <w:rFonts w:hint="eastAsia" w:ascii="宋体" w:hAnsi="宋体" w:eastAsia="宋体" w:cs="宋体"/>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1D49473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1.9.2 投标人踏勘现场发生的费用自理。</w:t>
      </w:r>
    </w:p>
    <w:p w14:paraId="4EA3604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1.9.3 除招标人的原因外，投标人自行负责在踏勘现场中所发生的人员伤亡和财产损失。</w:t>
      </w:r>
    </w:p>
    <w:p w14:paraId="50FCC1C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1.9.4 招标人在踏勘现场中介绍的工程场地和相关的周边环境情况，供投标人在编制投标文件时参考，招标人不对投标人据此作出的判断和决策负责。</w:t>
      </w:r>
    </w:p>
    <w:p w14:paraId="024D6A4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179FDA06">
      <w:pPr>
        <w:pStyle w:val="3"/>
        <w:ind w:firstLine="422" w:firstLineChars="200"/>
        <w:rPr>
          <w:rFonts w:ascii="宋体" w:hAnsi="宋体" w:eastAsia="宋体" w:cs="宋体"/>
          <w:highlight w:val="none"/>
        </w:rPr>
      </w:pPr>
      <w:r>
        <w:rPr>
          <w:rFonts w:hint="eastAsia" w:ascii="宋体" w:hAnsi="宋体" w:eastAsia="宋体" w:cs="宋体"/>
          <w:highlight w:val="none"/>
        </w:rPr>
        <w:t>1.10 投标预备会</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59781F3B">
      <w:pPr>
        <w:spacing w:line="440" w:lineRule="exact"/>
        <w:ind w:firstLine="420" w:firstLineChars="200"/>
        <w:jc w:val="left"/>
        <w:rPr>
          <w:rFonts w:hint="eastAsia" w:ascii="宋体" w:hAnsi="宋体" w:eastAsia="宋体" w:cs="宋体"/>
          <w:szCs w:val="21"/>
          <w:highlight w:val="none"/>
        </w:rPr>
      </w:pPr>
      <w:bookmarkStart w:id="209" w:name="_Toc60061444"/>
      <w:bookmarkStart w:id="210" w:name="_Toc83301699"/>
      <w:bookmarkStart w:id="211" w:name="_Toc95223347"/>
      <w:bookmarkStart w:id="212" w:name="_Toc15058857"/>
      <w:bookmarkStart w:id="213" w:name="_Toc506107280"/>
      <w:bookmarkStart w:id="214" w:name="_Toc35424898"/>
      <w:bookmarkStart w:id="215" w:name="_Toc78803333"/>
      <w:bookmarkStart w:id="216" w:name="_Toc32016"/>
      <w:bookmarkStart w:id="217" w:name="_Toc324404826"/>
      <w:bookmarkStart w:id="218" w:name="_Toc296602431"/>
      <w:bookmarkStart w:id="219" w:name="_Toc35425064"/>
      <w:r>
        <w:rPr>
          <w:rFonts w:hint="eastAsia" w:ascii="宋体" w:hAnsi="宋体" w:eastAsia="宋体" w:cs="宋体"/>
          <w:szCs w:val="21"/>
          <w:highlight w:val="none"/>
        </w:rPr>
        <w:t>1.10.1投标人须知前附表规定召开投标预备会的，招标人按投标人须知前附表规定的时间和地点召开投标预备会，澄清投标人提出的问题。</w:t>
      </w:r>
    </w:p>
    <w:p w14:paraId="68E1CBD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1.10.2投标人应在投标人须知前附表规定的时间前，将提出的问题送达招标人，以便招标人澄清。</w:t>
      </w:r>
    </w:p>
    <w:p w14:paraId="77334C7F">
      <w:pPr>
        <w:pStyle w:val="3"/>
        <w:ind w:firstLine="422" w:firstLineChars="200"/>
        <w:rPr>
          <w:rFonts w:hint="eastAsia" w:ascii="宋体" w:hAnsi="宋体" w:eastAsia="宋体" w:cs="宋体"/>
          <w:highlight w:val="none"/>
        </w:rPr>
      </w:pPr>
      <w:r>
        <w:rPr>
          <w:rFonts w:hint="eastAsia" w:ascii="宋体" w:hAnsi="宋体" w:eastAsia="宋体" w:cs="宋体"/>
          <w:highlight w:val="none"/>
        </w:rPr>
        <w:t>1.11 分包</w:t>
      </w:r>
      <w:bookmarkEnd w:id="209"/>
      <w:bookmarkEnd w:id="210"/>
      <w:bookmarkEnd w:id="211"/>
    </w:p>
    <w:p w14:paraId="4C37D79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1.11.1投标人拟在中标后将中标项目的部分非主体、非关键性工作进行分包的，应符合以下规定：</w:t>
      </w:r>
    </w:p>
    <w:p w14:paraId="656917F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（1）分包内容要求：招标人允许分包或不允许分包的专业工程（如有）应在投标人须知前附表中载明；</w:t>
      </w:r>
    </w:p>
    <w:p w14:paraId="5CB3AEC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（2）接受分包的第三人资格要求：分包人的资格能力应与其分包工程的标准和规模相适应，且具备投标人须知前附表中规定的资格条件；</w:t>
      </w:r>
    </w:p>
    <w:p w14:paraId="4C9BC43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（3）其他要求：投标人如有分包计划，应按第</w:t>
      </w:r>
      <w:r>
        <w:rPr>
          <w:rFonts w:hint="eastAsia" w:ascii="宋体" w:hAnsi="宋体" w:cs="宋体"/>
          <w:szCs w:val="21"/>
          <w:highlight w:val="none"/>
          <w:lang w:val="en-US" w:eastAsia="zh-CN"/>
        </w:rPr>
        <w:t>九</w:t>
      </w:r>
      <w:r>
        <w:rPr>
          <w:rFonts w:hint="eastAsia" w:ascii="宋体" w:hAnsi="宋体" w:eastAsia="宋体" w:cs="宋体"/>
          <w:szCs w:val="21"/>
          <w:highlight w:val="none"/>
        </w:rPr>
        <w:t>章“投标文件格式”的要求填写“拟分包项目情况表”，明确拟分包的工程及规模，且投标人中标后的分包应满足合同条款的相关要求。</w:t>
      </w:r>
    </w:p>
    <w:p w14:paraId="25700247">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rPr>
        <w:t>1.11.2中标人不得向他人转让中标项目，接受分包的人不得再次分包。中标人应就分包项目向招标人负责，接受分包的人就分包项目承担连带责任</w:t>
      </w:r>
      <w:r>
        <w:rPr>
          <w:rFonts w:hint="eastAsia" w:ascii="宋体" w:hAnsi="宋体" w:eastAsia="宋体" w:cs="宋体"/>
          <w:szCs w:val="21"/>
          <w:highlight w:val="none"/>
          <w:lang w:eastAsia="zh-CN"/>
        </w:rPr>
        <w:t>。</w:t>
      </w:r>
    </w:p>
    <w:p w14:paraId="01FA1CA0">
      <w:pPr>
        <w:pStyle w:val="3"/>
        <w:ind w:firstLine="422" w:firstLineChars="200"/>
        <w:rPr>
          <w:rFonts w:ascii="宋体" w:hAnsi="宋体" w:eastAsia="宋体" w:cs="宋体"/>
          <w:highlight w:val="none"/>
        </w:rPr>
      </w:pPr>
      <w:r>
        <w:rPr>
          <w:rFonts w:hint="eastAsia" w:ascii="宋体" w:hAnsi="宋体" w:eastAsia="宋体" w:cs="宋体"/>
          <w:highlight w:val="none"/>
        </w:rPr>
        <w:t>1.1</w:t>
      </w:r>
      <w:r>
        <w:rPr>
          <w:rFonts w:hint="eastAsia" w:ascii="宋体" w:hAnsi="宋体" w:eastAsia="宋体" w:cs="宋体"/>
          <w:highlight w:val="none"/>
          <w:lang w:val="en-US" w:eastAsia="zh-CN"/>
        </w:rPr>
        <w:t>2</w:t>
      </w:r>
      <w:r>
        <w:rPr>
          <w:rFonts w:hint="eastAsia" w:ascii="宋体" w:hAnsi="宋体" w:eastAsia="宋体" w:cs="宋体"/>
          <w:highlight w:val="none"/>
        </w:rPr>
        <w:t xml:space="preserve"> 偏离</w:t>
      </w:r>
      <w:bookmarkEnd w:id="212"/>
      <w:bookmarkEnd w:id="213"/>
      <w:bookmarkEnd w:id="214"/>
      <w:bookmarkEnd w:id="215"/>
      <w:bookmarkEnd w:id="216"/>
      <w:bookmarkEnd w:id="217"/>
      <w:bookmarkEnd w:id="218"/>
      <w:bookmarkEnd w:id="219"/>
    </w:p>
    <w:p w14:paraId="6C0210C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1.12.1投标文件偏离招标文件某些要求，视为投标文件存在偏差。偏差包括重大偏差和细微偏差。</w:t>
      </w:r>
    </w:p>
    <w:p w14:paraId="37CEA0B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1.12.2投标文件应对招标文件的实质性要求和条件作出满足性或更有利于招标人的响应，否则，视为投标文件存在重大偏差，投标人的投标将被否决。</w:t>
      </w:r>
    </w:p>
    <w:p w14:paraId="29D3BBD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投标文件存在第四章“评标办法”中所列任一无效投标情形的，均属于存在重大偏差。</w:t>
      </w:r>
    </w:p>
    <w:p w14:paraId="5FF54E7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1.12.3投标文件中的下列偏差为细微偏差：</w:t>
      </w:r>
    </w:p>
    <w:p w14:paraId="369FF23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在按照第四章“评标办法”的规定对投标价进行算术性错误修正及其他错误修正后，最终投标报价未超过最高投标限价（如有）或未被否决投标的情况下，出现第四章“评标办法”规定的算术性错误和投标报价的其他错误；</w:t>
      </w:r>
    </w:p>
    <w:p w14:paraId="0E80F0C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（2）投标文件个别文字有遗漏错误等不影响投标文件实质性内容的偏差。</w:t>
      </w:r>
    </w:p>
    <w:p w14:paraId="5169B9E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1.12.4评标委员会对投标文件中的细微偏差按如下规定处理：</w:t>
      </w:r>
    </w:p>
    <w:p w14:paraId="291A7C9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对于本章第 1.12.3 项（1）目所述的细微偏差，按照第四章“评标办法”的规定予以修正并要求投标人进行澄清；</w:t>
      </w:r>
    </w:p>
    <w:p w14:paraId="2BAB6D7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对于本章第 1.12.3 项（2）目所述的细微偏差，可要求投标人对细微偏差进行澄清。</w:t>
      </w:r>
    </w:p>
    <w:p w14:paraId="258F395D">
      <w:pPr>
        <w:pStyle w:val="3"/>
        <w:spacing w:beforeLines="50" w:afterLines="50"/>
        <w:ind w:firstLine="482" w:firstLineChars="200"/>
        <w:rPr>
          <w:rFonts w:ascii="宋体" w:hAnsi="宋体" w:eastAsia="宋体" w:cs="宋体"/>
          <w:sz w:val="24"/>
          <w:szCs w:val="24"/>
          <w:highlight w:val="none"/>
        </w:rPr>
      </w:pPr>
      <w:bookmarkStart w:id="220" w:name="_Toc506107281"/>
      <w:bookmarkStart w:id="221" w:name="_Toc246996930"/>
      <w:bookmarkStart w:id="222" w:name="_Toc144974510"/>
      <w:bookmarkStart w:id="223" w:name="_Toc4012"/>
      <w:bookmarkStart w:id="224" w:name="_Toc246996187"/>
      <w:bookmarkStart w:id="225" w:name="_Toc179632560"/>
      <w:bookmarkStart w:id="226" w:name="_Toc247085701"/>
      <w:bookmarkStart w:id="227" w:name="_Toc324404827"/>
      <w:bookmarkStart w:id="228" w:name="_Toc152045542"/>
      <w:bookmarkStart w:id="229" w:name="_Toc35424899"/>
      <w:bookmarkStart w:id="230" w:name="_Toc15058858"/>
      <w:bookmarkStart w:id="231" w:name="_Toc152042318"/>
      <w:bookmarkStart w:id="232" w:name="_Toc78803334"/>
      <w:bookmarkStart w:id="233" w:name="_Toc35425065"/>
      <w:r>
        <w:rPr>
          <w:rFonts w:hint="eastAsia" w:ascii="宋体" w:hAnsi="宋体" w:eastAsia="宋体" w:cs="宋体"/>
          <w:sz w:val="24"/>
          <w:szCs w:val="24"/>
          <w:highlight w:val="none"/>
        </w:rPr>
        <w:t>2. 招标文件</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14:paraId="1E9A892E">
      <w:pPr>
        <w:pStyle w:val="3"/>
        <w:ind w:firstLine="422" w:firstLineChars="200"/>
        <w:rPr>
          <w:rFonts w:ascii="宋体" w:hAnsi="宋体" w:eastAsia="宋体" w:cs="宋体"/>
          <w:highlight w:val="none"/>
        </w:rPr>
      </w:pPr>
      <w:bookmarkStart w:id="234" w:name="_Toc324404828"/>
      <w:bookmarkStart w:id="235" w:name="_Toc35425066"/>
      <w:bookmarkStart w:id="236" w:name="_Toc144974511"/>
      <w:bookmarkStart w:id="237" w:name="_Toc247085702"/>
      <w:bookmarkStart w:id="238" w:name="_Toc152045543"/>
      <w:bookmarkStart w:id="239" w:name="_Toc246996931"/>
      <w:bookmarkStart w:id="240" w:name="_Toc296602433"/>
      <w:bookmarkStart w:id="241" w:name="_Toc152042319"/>
      <w:bookmarkStart w:id="242" w:name="_Toc15058859"/>
      <w:bookmarkStart w:id="243" w:name="_Toc506107282"/>
      <w:bookmarkStart w:id="244" w:name="_Toc246996188"/>
      <w:bookmarkStart w:id="245" w:name="_Toc13213"/>
      <w:bookmarkStart w:id="246" w:name="_Toc78803335"/>
      <w:bookmarkStart w:id="247" w:name="_Toc35424900"/>
      <w:bookmarkStart w:id="248" w:name="_Toc179632561"/>
      <w:r>
        <w:rPr>
          <w:rFonts w:hint="eastAsia" w:ascii="宋体" w:hAnsi="宋体" w:eastAsia="宋体" w:cs="宋体"/>
          <w:highlight w:val="none"/>
        </w:rPr>
        <w:t>2.1 招标文件的组成</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25387C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（1）招标公告；</w:t>
      </w:r>
    </w:p>
    <w:p w14:paraId="3745A76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（2）投标人须知；</w:t>
      </w:r>
    </w:p>
    <w:p w14:paraId="0C51073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（3）资格审查办法</w:t>
      </w:r>
    </w:p>
    <w:p w14:paraId="41CA133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（4）评标办法；</w:t>
      </w:r>
    </w:p>
    <w:p w14:paraId="21E08D67">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rPr>
        <w:t>（5）工程量清单</w:t>
      </w:r>
      <w:r>
        <w:rPr>
          <w:rFonts w:hint="eastAsia" w:ascii="宋体" w:hAnsi="宋体" w:eastAsia="宋体" w:cs="宋体"/>
          <w:szCs w:val="21"/>
          <w:highlight w:val="none"/>
          <w:lang w:eastAsia="zh-CN"/>
        </w:rPr>
        <w:t>；</w:t>
      </w:r>
    </w:p>
    <w:p w14:paraId="4479AF15">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图纸</w:t>
      </w:r>
    </w:p>
    <w:p w14:paraId="3435A78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）合同条款及格式；</w:t>
      </w:r>
    </w:p>
    <w:p w14:paraId="544DE8B8">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8</w:t>
      </w:r>
      <w:r>
        <w:rPr>
          <w:rFonts w:hint="eastAsia" w:ascii="宋体" w:hAnsi="宋体" w:eastAsia="宋体" w:cs="宋体"/>
          <w:szCs w:val="21"/>
          <w:highlight w:val="none"/>
        </w:rPr>
        <w:t>）投标文件格式；</w:t>
      </w:r>
    </w:p>
    <w:p w14:paraId="4025A03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）投标人须知前附表规定的其他材料。</w:t>
      </w:r>
    </w:p>
    <w:p w14:paraId="4A2A5929">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07992AB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2.1.3当招标文件、招标文件的澄清或修改等在同一内容的表述上不一致时，以最后发出的文件为准。</w:t>
      </w:r>
    </w:p>
    <w:p w14:paraId="3B513EA0">
      <w:pPr>
        <w:pStyle w:val="3"/>
        <w:ind w:firstLine="422" w:firstLineChars="200"/>
        <w:rPr>
          <w:rFonts w:hint="eastAsia" w:ascii="宋体" w:hAnsi="宋体" w:eastAsia="宋体" w:cs="宋体"/>
          <w:highlight w:val="none"/>
        </w:rPr>
      </w:pPr>
      <w:bookmarkStart w:id="249" w:name="_Toc32239"/>
      <w:bookmarkStart w:id="250" w:name="_Toc78803336"/>
      <w:bookmarkStart w:id="251" w:name="_Toc35424901"/>
      <w:bookmarkStart w:id="252" w:name="_Toc246996932"/>
      <w:bookmarkStart w:id="253" w:name="_Toc246996189"/>
      <w:bookmarkStart w:id="254" w:name="_Toc324404829"/>
      <w:bookmarkStart w:id="255" w:name="_Toc296602434"/>
      <w:bookmarkStart w:id="256" w:name="_Toc506107283"/>
      <w:bookmarkStart w:id="257" w:name="_Toc152045544"/>
      <w:bookmarkStart w:id="258" w:name="_Toc247085703"/>
      <w:bookmarkStart w:id="259" w:name="_Toc35425067"/>
      <w:bookmarkStart w:id="260" w:name="_Toc152042320"/>
      <w:bookmarkStart w:id="261" w:name="_Toc15058860"/>
      <w:bookmarkStart w:id="262" w:name="_Toc179632562"/>
      <w:bookmarkStart w:id="263" w:name="_Toc144974512"/>
      <w:r>
        <w:rPr>
          <w:rFonts w:hint="eastAsia" w:ascii="宋体" w:hAnsi="宋体" w:eastAsia="宋体" w:cs="宋体"/>
          <w:highlight w:val="none"/>
        </w:rPr>
        <w:t xml:space="preserve">2.2 </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Fonts w:hint="eastAsia" w:ascii="宋体" w:hAnsi="宋体" w:eastAsia="宋体" w:cs="宋体"/>
          <w:highlight w:val="none"/>
        </w:rPr>
        <w:t>招标文件的异议</w:t>
      </w:r>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w:t>
      </w:r>
    </w:p>
    <w:p w14:paraId="5EC8A5BB">
      <w:pPr>
        <w:pStyle w:val="3"/>
        <w:ind w:firstLine="422" w:firstLineChars="200"/>
        <w:rPr>
          <w:rFonts w:hint="eastAsia" w:ascii="宋体" w:hAnsi="宋体" w:eastAsia="宋体" w:cs="宋体"/>
          <w:highlight w:val="none"/>
          <w:lang w:eastAsia="zh-CN"/>
        </w:rPr>
      </w:pPr>
      <w:bookmarkStart w:id="264" w:name="_Toc247085704"/>
      <w:bookmarkStart w:id="265" w:name="_Toc324404830"/>
      <w:bookmarkStart w:id="266" w:name="_Toc152045545"/>
      <w:bookmarkStart w:id="267" w:name="_Toc35425068"/>
      <w:bookmarkStart w:id="268" w:name="_Toc35424902"/>
      <w:bookmarkStart w:id="269" w:name="_Toc24633"/>
      <w:bookmarkStart w:id="270" w:name="_Toc179632563"/>
      <w:bookmarkStart w:id="271" w:name="_Toc152042321"/>
      <w:bookmarkStart w:id="272" w:name="_Toc506107284"/>
      <w:bookmarkStart w:id="273" w:name="_Toc144974513"/>
      <w:bookmarkStart w:id="274" w:name="_Toc246996933"/>
      <w:bookmarkStart w:id="275" w:name="_Toc296602435"/>
      <w:bookmarkStart w:id="276" w:name="_Toc15058861"/>
      <w:bookmarkStart w:id="277" w:name="_Toc78803337"/>
      <w:bookmarkStart w:id="278" w:name="_Toc246996190"/>
      <w:r>
        <w:rPr>
          <w:rFonts w:hint="eastAsia" w:ascii="宋体" w:hAnsi="宋体" w:eastAsia="宋体" w:cs="宋体"/>
          <w:highlight w:val="none"/>
        </w:rPr>
        <w:t>2.3 招标文件的</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Fonts w:hint="eastAsia" w:ascii="宋体" w:hAnsi="宋体" w:eastAsia="宋体" w:cs="宋体"/>
          <w:highlight w:val="none"/>
          <w:lang w:val="en-US" w:eastAsia="zh-CN"/>
        </w:rPr>
        <w:t>澄清</w:t>
      </w:r>
    </w:p>
    <w:p w14:paraId="47D94C5D">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bookmarkStart w:id="279" w:name="_Toc15058862"/>
      <w:bookmarkStart w:id="280" w:name="_Toc324404831"/>
      <w:bookmarkStart w:id="281" w:name="_Toc35424903"/>
      <w:bookmarkStart w:id="282" w:name="_Toc78803338"/>
      <w:bookmarkStart w:id="283" w:name="_Toc2696"/>
      <w:bookmarkStart w:id="284" w:name="_Toc35425069"/>
      <w:r>
        <w:rPr>
          <w:rFonts w:hint="eastAsia" w:ascii="宋体" w:hAnsi="宋体" w:eastAsia="宋体" w:cs="宋体"/>
          <w:szCs w:val="21"/>
          <w:highlight w:val="none"/>
        </w:rPr>
        <w:t>招标文件的澄清将在</w:t>
      </w:r>
      <w:r>
        <w:rPr>
          <w:rFonts w:hint="eastAsia" w:ascii="宋体" w:hAnsi="宋体" w:eastAsia="宋体" w:cs="宋体"/>
          <w:szCs w:val="21"/>
          <w:highlight w:val="none"/>
          <w:lang w:val="en-US" w:eastAsia="zh-CN"/>
        </w:rPr>
        <w:t>滁州市城投工程咨询管理有限公司网站</w:t>
      </w:r>
      <w:r>
        <w:rPr>
          <w:rFonts w:hint="eastAsia" w:ascii="宋体" w:hAnsi="宋体" w:eastAsia="宋体" w:cs="宋体"/>
          <w:szCs w:val="21"/>
          <w:highlight w:val="none"/>
        </w:rPr>
        <w:t>（https://www.czctgczx.com/）发布，但不指明澄清问题的来源。如果澄清发出的时间距投标人须知前附表规定的投标截止时间不足15天，并且澄清内容影响投标文件编制的，将相应延长投标截止时间。</w:t>
      </w:r>
    </w:p>
    <w:bookmarkEnd w:id="279"/>
    <w:bookmarkEnd w:id="280"/>
    <w:bookmarkEnd w:id="281"/>
    <w:bookmarkEnd w:id="282"/>
    <w:bookmarkEnd w:id="283"/>
    <w:bookmarkEnd w:id="284"/>
    <w:p w14:paraId="5681C7DF">
      <w:pPr>
        <w:pStyle w:val="3"/>
        <w:spacing w:beforeLines="50" w:afterLines="50"/>
        <w:ind w:firstLine="482" w:firstLineChars="200"/>
        <w:rPr>
          <w:rFonts w:ascii="宋体" w:hAnsi="宋体" w:eastAsia="宋体" w:cs="宋体"/>
          <w:sz w:val="24"/>
          <w:szCs w:val="24"/>
          <w:highlight w:val="none"/>
        </w:rPr>
      </w:pPr>
      <w:bookmarkStart w:id="285" w:name="_Toc78803339"/>
      <w:bookmarkStart w:id="286" w:name="_Toc152042322"/>
      <w:bookmarkStart w:id="287" w:name="_Toc324404832"/>
      <w:bookmarkStart w:id="288" w:name="_Toc246996191"/>
      <w:bookmarkStart w:id="289" w:name="_Toc144974514"/>
      <w:bookmarkStart w:id="290" w:name="_Toc35425070"/>
      <w:bookmarkStart w:id="291" w:name="_Toc247085705"/>
      <w:bookmarkStart w:id="292" w:name="_Toc152045546"/>
      <w:bookmarkStart w:id="293" w:name="_Toc179632564"/>
      <w:bookmarkStart w:id="294" w:name="_Toc15058863"/>
      <w:bookmarkStart w:id="295" w:name="_Toc246996934"/>
      <w:bookmarkStart w:id="296" w:name="_Toc506107285"/>
      <w:bookmarkStart w:id="297" w:name="_Toc6464"/>
      <w:bookmarkStart w:id="298" w:name="_Toc35424904"/>
      <w:r>
        <w:rPr>
          <w:rFonts w:hint="eastAsia" w:ascii="宋体" w:hAnsi="宋体" w:eastAsia="宋体" w:cs="宋体"/>
          <w:sz w:val="24"/>
          <w:szCs w:val="24"/>
          <w:highlight w:val="none"/>
        </w:rPr>
        <w:t>3. 投标文件</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218225A2">
      <w:pPr>
        <w:pStyle w:val="3"/>
        <w:ind w:firstLine="422" w:firstLineChars="200"/>
        <w:rPr>
          <w:rFonts w:ascii="宋体" w:hAnsi="宋体" w:eastAsia="宋体" w:cs="宋体"/>
          <w:highlight w:val="none"/>
        </w:rPr>
      </w:pPr>
      <w:bookmarkStart w:id="299" w:name="_Toc78803340"/>
      <w:bookmarkStart w:id="300" w:name="_Toc152042323"/>
      <w:bookmarkStart w:id="301" w:name="_Toc152045547"/>
      <w:bookmarkStart w:id="302" w:name="_Toc15058864"/>
      <w:bookmarkStart w:id="303" w:name="_Toc506107286"/>
      <w:bookmarkStart w:id="304" w:name="_Toc179632565"/>
      <w:bookmarkStart w:id="305" w:name="_Toc324404833"/>
      <w:bookmarkStart w:id="306" w:name="_Toc35424905"/>
      <w:bookmarkStart w:id="307" w:name="_Toc247085706"/>
      <w:bookmarkStart w:id="308" w:name="_Toc157"/>
      <w:bookmarkStart w:id="309" w:name="_Toc296602437"/>
      <w:bookmarkStart w:id="310" w:name="_Toc246996935"/>
      <w:bookmarkStart w:id="311" w:name="_Toc35425071"/>
      <w:bookmarkStart w:id="312" w:name="_Toc246996192"/>
      <w:bookmarkStart w:id="313" w:name="_Toc144974515"/>
      <w:r>
        <w:rPr>
          <w:rFonts w:hint="eastAsia" w:ascii="宋体" w:hAnsi="宋体" w:eastAsia="宋体" w:cs="宋体"/>
          <w:highlight w:val="none"/>
        </w:rPr>
        <w:t>3.1 投标文件的组成</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lang w:val="en-US" w:eastAsia="zh-CN"/>
        </w:rPr>
        <w:t>二</w:t>
      </w:r>
      <w:r>
        <w:rPr>
          <w:rFonts w:hint="eastAsia" w:ascii="宋体" w:hAnsi="宋体" w:cs="宋体"/>
          <w:szCs w:val="21"/>
          <w:highlight w:val="none"/>
        </w:rPr>
        <w:t>（</w:t>
      </w:r>
      <w:r>
        <w:rPr>
          <w:rFonts w:hint="eastAsia" w:ascii="宋体" w:hAnsi="宋体" w:cs="宋体"/>
          <w:szCs w:val="21"/>
          <w:highlight w:val="none"/>
          <w:lang w:val="en-US" w:eastAsia="zh-CN"/>
        </w:rPr>
        <w:t>技术标文件</w:t>
      </w:r>
      <w:r>
        <w:rPr>
          <w:rFonts w:hint="eastAsia" w:ascii="宋体" w:hAnsi="宋体" w:cs="宋体"/>
          <w:szCs w:val="21"/>
          <w:highlight w:val="none"/>
        </w:rPr>
        <w:t>）</w:t>
      </w:r>
      <w:r>
        <w:rPr>
          <w:rFonts w:hint="eastAsia" w:ascii="宋体" w:hAnsi="宋体" w:cs="宋体"/>
          <w:szCs w:val="21"/>
          <w:highlight w:val="none"/>
          <w:lang w:val="en-US" w:eastAsia="zh-CN"/>
        </w:rPr>
        <w:t>和</w:t>
      </w:r>
      <w:r>
        <w:rPr>
          <w:rFonts w:hint="eastAsia" w:ascii="宋体" w:hAnsi="宋体" w:cs="宋体"/>
          <w:szCs w:val="21"/>
          <w:highlight w:val="none"/>
          <w:lang w:eastAsia="zh-CN"/>
        </w:rPr>
        <w:t>投标文件</w:t>
      </w:r>
      <w:r>
        <w:rPr>
          <w:rFonts w:hint="eastAsia" w:ascii="宋体" w:hAnsi="宋体" w:cs="宋体"/>
          <w:szCs w:val="21"/>
          <w:highlight w:val="none"/>
          <w:lang w:val="en-US" w:eastAsia="zh-CN"/>
        </w:rPr>
        <w:t>三</w:t>
      </w:r>
      <w:r>
        <w:rPr>
          <w:rFonts w:hint="eastAsia" w:ascii="宋体" w:hAnsi="宋体" w:cs="宋体"/>
          <w:szCs w:val="21"/>
          <w:highlight w:val="none"/>
        </w:rPr>
        <w:t>（商务标</w:t>
      </w:r>
      <w:r>
        <w:rPr>
          <w:rFonts w:hint="eastAsia" w:ascii="宋体" w:hAnsi="宋体" w:cs="宋体"/>
          <w:szCs w:val="21"/>
          <w:highlight w:val="none"/>
          <w:lang w:val="en-US" w:eastAsia="zh-CN"/>
        </w:rPr>
        <w:t>文件</w:t>
      </w:r>
      <w:r>
        <w:rPr>
          <w:rFonts w:hint="eastAsia" w:ascii="宋体" w:hAnsi="宋体" w:cs="宋体"/>
          <w:szCs w:val="21"/>
          <w:highlight w:val="none"/>
        </w:rPr>
        <w:t>）</w:t>
      </w:r>
      <w:r>
        <w:rPr>
          <w:rFonts w:hint="eastAsia" w:ascii="宋体" w:hAnsi="宋体" w:cs="宋体"/>
          <w:szCs w:val="21"/>
          <w:highlight w:val="none"/>
          <w:lang w:val="en-US" w:eastAsia="zh-CN"/>
        </w:rPr>
        <w:t>三</w:t>
      </w:r>
      <w:r>
        <w:rPr>
          <w:rFonts w:hint="eastAsia" w:ascii="宋体" w:hAnsi="宋体" w:cs="宋体"/>
          <w:szCs w:val="21"/>
          <w:highlight w:val="none"/>
        </w:rPr>
        <w:t>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九</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14" w:name="_Toc506107287"/>
      <w:bookmarkStart w:id="315" w:name="_Toc296602438"/>
      <w:bookmarkStart w:id="316" w:name="_Toc152042324"/>
      <w:bookmarkStart w:id="317" w:name="_Toc35425072"/>
      <w:bookmarkStart w:id="318" w:name="_Toc78803341"/>
      <w:bookmarkStart w:id="319" w:name="_Toc179632566"/>
      <w:bookmarkStart w:id="320" w:name="_Toc152045548"/>
      <w:bookmarkStart w:id="321" w:name="_Toc247085707"/>
      <w:bookmarkStart w:id="322" w:name="_Toc15058865"/>
      <w:bookmarkStart w:id="323" w:name="_Toc35424906"/>
      <w:bookmarkStart w:id="324" w:name="_Toc246996936"/>
      <w:bookmarkStart w:id="325" w:name="_Toc6829"/>
      <w:bookmarkStart w:id="326" w:name="_Toc324404834"/>
      <w:bookmarkStart w:id="327" w:name="_Toc144974516"/>
      <w:bookmarkStart w:id="328" w:name="_Toc246996193"/>
      <w:r>
        <w:rPr>
          <w:rFonts w:hint="eastAsia" w:ascii="宋体" w:hAnsi="宋体" w:eastAsia="宋体" w:cs="宋体"/>
          <w:highlight w:val="none"/>
        </w:rPr>
        <w:t>3.2 投标报价</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705FA1B6">
      <w:pPr>
        <w:spacing w:line="440" w:lineRule="exact"/>
        <w:ind w:firstLine="420" w:firstLineChars="200"/>
        <w:jc w:val="left"/>
        <w:rPr>
          <w:rFonts w:hint="eastAsia" w:ascii="宋体" w:hAnsi="宋体" w:eastAsia="宋体" w:cs="宋体"/>
          <w:szCs w:val="21"/>
          <w:highlight w:val="none"/>
          <w:lang w:eastAsia="zh-CN"/>
        </w:rPr>
      </w:pPr>
      <w:bookmarkStart w:id="329" w:name="_Toc179632567"/>
      <w:bookmarkStart w:id="330" w:name="_Toc35424907"/>
      <w:bookmarkStart w:id="331" w:name="_Toc246996937"/>
      <w:bookmarkStart w:id="332" w:name="_Toc324404835"/>
      <w:bookmarkStart w:id="333" w:name="_Toc247085708"/>
      <w:bookmarkStart w:id="334" w:name="_Toc15058866"/>
      <w:bookmarkStart w:id="335" w:name="_Toc35425073"/>
      <w:bookmarkStart w:id="336" w:name="_Toc246996194"/>
      <w:bookmarkStart w:id="337" w:name="_Toc152045549"/>
      <w:bookmarkStart w:id="338" w:name="_Toc506107288"/>
      <w:bookmarkStart w:id="339" w:name="_Toc31735"/>
      <w:bookmarkStart w:id="340" w:name="_Toc296602439"/>
      <w:bookmarkStart w:id="341" w:name="_Toc152042325"/>
      <w:bookmarkStart w:id="342" w:name="_Toc78803342"/>
      <w:bookmarkStart w:id="343" w:name="_Toc144974517"/>
      <w:r>
        <w:rPr>
          <w:rFonts w:hint="eastAsia" w:ascii="宋体" w:hAnsi="宋体" w:eastAsia="宋体" w:cs="宋体"/>
          <w:szCs w:val="21"/>
          <w:highlight w:val="none"/>
          <w:lang w:eastAsia="zh-CN"/>
        </w:rPr>
        <w:t>3.2.1投标报价应包括国家规定的增值税税金，除投标人须知前附表另有规定外，增值税税金按一般计税方法计算。投标人应按第</w:t>
      </w:r>
      <w:r>
        <w:rPr>
          <w:rFonts w:hint="eastAsia" w:ascii="宋体" w:hAnsi="宋体" w:cs="宋体"/>
          <w:szCs w:val="21"/>
          <w:highlight w:val="none"/>
          <w:lang w:val="en-US" w:eastAsia="zh-CN"/>
        </w:rPr>
        <w:t>九</w:t>
      </w:r>
      <w:r>
        <w:rPr>
          <w:rFonts w:hint="eastAsia" w:ascii="宋体" w:hAnsi="宋体" w:eastAsia="宋体" w:cs="宋体"/>
          <w:szCs w:val="21"/>
          <w:highlight w:val="none"/>
          <w:lang w:eastAsia="zh-CN"/>
        </w:rPr>
        <w:t>章“投标文件格式”的要求在投标函中进行报价。</w:t>
      </w:r>
    </w:p>
    <w:p w14:paraId="1192EB75">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3.2.2投标人应充分了解本项目的总体情况以及影响投标报价的其他要素。</w:t>
      </w:r>
    </w:p>
    <w:p w14:paraId="037A7F9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3.2.4招标人设有最高投标限价的，投标人的投标报价不得超过最高投标限价，最高投标限价在投标人须知前附表中载明。</w:t>
      </w:r>
    </w:p>
    <w:p w14:paraId="7C1D3D58">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3.2.5 投标报价的其他要求见投标人须知前附表。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38E346F9">
      <w:pPr>
        <w:spacing w:line="440" w:lineRule="exact"/>
        <w:ind w:firstLine="420" w:firstLineChars="200"/>
        <w:jc w:val="left"/>
        <w:rPr>
          <w:rFonts w:hint="eastAsia" w:ascii="宋体" w:hAnsi="宋体" w:eastAsia="宋体" w:cs="宋体"/>
          <w:szCs w:val="21"/>
          <w:highlight w:val="none"/>
        </w:rPr>
      </w:pPr>
      <w:r>
        <w:rPr>
          <w:rFonts w:hint="eastAsia" w:ascii="宋体" w:hAnsi="宋体" w:cs="宋体"/>
          <w:szCs w:val="21"/>
          <w:highlight w:val="none"/>
        </w:rPr>
        <w:t>3</w:t>
      </w:r>
      <w:r>
        <w:rPr>
          <w:rFonts w:hint="eastAsia" w:ascii="宋体" w:hAnsi="宋体" w:eastAsia="宋体" w:cs="宋体"/>
          <w:szCs w:val="21"/>
          <w:highlight w:val="none"/>
        </w:rPr>
        <w:t>.3.1 除投标人须知前附表另有规定外，投标有效期为90天。</w:t>
      </w:r>
    </w:p>
    <w:p w14:paraId="19262D1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3.3.2在投标有效期内，投标人撤销或修改其投标文件的，应承担招标文件和法律规定的责任。</w:t>
      </w:r>
    </w:p>
    <w:p w14:paraId="68D42DB1">
      <w:pPr>
        <w:spacing w:line="440" w:lineRule="exact"/>
        <w:ind w:firstLine="420" w:firstLineChars="200"/>
        <w:jc w:val="left"/>
        <w:rPr>
          <w:rFonts w:ascii="宋体" w:hAnsi="宋体" w:cs="宋体"/>
          <w:szCs w:val="21"/>
          <w:highlight w:val="none"/>
        </w:rPr>
      </w:pPr>
      <w:r>
        <w:rPr>
          <w:rFonts w:hint="eastAsia" w:ascii="宋体" w:hAnsi="宋体" w:eastAsia="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pageBreakBefore w:val="0"/>
        <w:widowControl w:val="0"/>
        <w:kinsoku/>
        <w:wordWrap/>
        <w:overflowPunct/>
        <w:topLinePunct w:val="0"/>
        <w:autoSpaceDE/>
        <w:autoSpaceDN/>
        <w:bidi w:val="0"/>
        <w:spacing w:line="440" w:lineRule="exact"/>
        <w:ind w:firstLine="422" w:firstLineChars="200"/>
        <w:textAlignment w:val="auto"/>
        <w:rPr>
          <w:rFonts w:hint="eastAsia" w:ascii="宋体" w:hAnsi="宋体" w:eastAsia="宋体" w:cs="宋体"/>
          <w:highlight w:val="none"/>
        </w:rPr>
      </w:pPr>
      <w:bookmarkStart w:id="344" w:name="_Toc152045550"/>
      <w:bookmarkStart w:id="345" w:name="_Toc506107289"/>
      <w:bookmarkStart w:id="346" w:name="_Toc15058867"/>
      <w:bookmarkStart w:id="347" w:name="_Toc246996938"/>
      <w:bookmarkStart w:id="348" w:name="_Toc246996195"/>
      <w:bookmarkStart w:id="349" w:name="_Toc296602440"/>
      <w:bookmarkStart w:id="350" w:name="_Toc10714"/>
      <w:bookmarkStart w:id="351" w:name="_Toc35424908"/>
      <w:bookmarkStart w:id="352" w:name="_Toc78803343"/>
      <w:bookmarkStart w:id="353" w:name="_Toc324404836"/>
      <w:bookmarkStart w:id="354" w:name="_Toc152042326"/>
      <w:bookmarkStart w:id="355" w:name="_Toc144974518"/>
      <w:bookmarkStart w:id="356" w:name="_Toc35425074"/>
      <w:bookmarkStart w:id="357" w:name="_Toc179632568"/>
      <w:bookmarkStart w:id="358" w:name="_Toc247085709"/>
      <w:r>
        <w:rPr>
          <w:rFonts w:hint="eastAsia" w:ascii="宋体" w:hAnsi="宋体" w:eastAsia="宋体" w:cs="宋体"/>
          <w:highlight w:val="none"/>
        </w:rPr>
        <w:t>3.4 投标保证金</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10C7E5CB">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bookmarkStart w:id="359" w:name="_Toc35424909"/>
      <w:bookmarkStart w:id="360" w:name="_Toc78803344"/>
      <w:bookmarkStart w:id="361" w:name="_Toc506107290"/>
      <w:bookmarkStart w:id="362" w:name="_Toc296602442"/>
      <w:bookmarkStart w:id="363" w:name="_Toc35425075"/>
      <w:bookmarkStart w:id="364" w:name="_Toc19037"/>
      <w:bookmarkStart w:id="365" w:name="_Toc15058868"/>
      <w:bookmarkStart w:id="366" w:name="_Toc324404837"/>
      <w:bookmarkStart w:id="367" w:name="_Toc152042329"/>
      <w:bookmarkStart w:id="368" w:name="_Toc246996197"/>
      <w:bookmarkStart w:id="369" w:name="_Toc247085711"/>
      <w:bookmarkStart w:id="370" w:name="_Toc246996940"/>
      <w:bookmarkStart w:id="371" w:name="_Toc144974521"/>
      <w:bookmarkStart w:id="372" w:name="_Toc152045553"/>
      <w:bookmarkStart w:id="373" w:name="_Toc179632571"/>
      <w:r>
        <w:rPr>
          <w:rFonts w:hint="eastAsia" w:ascii="宋体" w:hAnsi="宋体" w:cs="宋体"/>
          <w:color w:val="000000"/>
          <w:szCs w:val="21"/>
          <w:highlight w:val="none"/>
        </w:rPr>
        <w:t xml:space="preserve">3.4.1 </w:t>
      </w:r>
      <w:r>
        <w:rPr>
          <w:rFonts w:hint="eastAsia" w:ascii="宋体" w:hAnsi="宋体" w:cs="宋体"/>
          <w:color w:val="000000"/>
          <w:szCs w:val="21"/>
          <w:highlight w:val="none"/>
          <w:lang w:val="en-US" w:eastAsia="zh-CN"/>
        </w:rPr>
        <w:t>招标公告</w:t>
      </w:r>
      <w:r>
        <w:rPr>
          <w:rFonts w:hint="eastAsia" w:ascii="宋体" w:hAnsi="宋体" w:cs="宋体"/>
          <w:color w:val="000000"/>
          <w:szCs w:val="21"/>
          <w:highlight w:val="none"/>
        </w:rPr>
        <w:t>规定递交投标保证金的，投标人在递交投标文件的同时，应按</w:t>
      </w:r>
      <w:r>
        <w:rPr>
          <w:rFonts w:hint="eastAsia" w:ascii="宋体" w:hAnsi="宋体" w:cs="宋体"/>
          <w:color w:val="000000"/>
          <w:szCs w:val="21"/>
          <w:highlight w:val="none"/>
          <w:lang w:val="en-US" w:eastAsia="zh-CN"/>
        </w:rPr>
        <w:t>招标公告</w:t>
      </w:r>
      <w:r>
        <w:rPr>
          <w:rFonts w:hint="eastAsia" w:ascii="宋体" w:hAnsi="宋体" w:cs="宋体"/>
          <w:color w:val="000000"/>
          <w:szCs w:val="21"/>
          <w:highlight w:val="none"/>
        </w:rPr>
        <w:t>规定的金额、担保形式或者事先经过招标人认可的保证金格式递交保证金，并作为其投标文件的组成部分。联合体投标的，其投标保证金由牵头人递交，并应符合投标人须知前附表的规定。</w:t>
      </w:r>
    </w:p>
    <w:p w14:paraId="1FA6B470">
      <w:pPr>
        <w:pageBreakBefore w:val="0"/>
        <w:widowControl w:val="0"/>
        <w:kinsoku/>
        <w:wordWrap/>
        <w:overflowPunct/>
        <w:topLinePunct w:val="0"/>
        <w:autoSpaceDE/>
        <w:autoSpaceDN/>
        <w:bidi w:val="0"/>
        <w:adjustRightInd w:val="0"/>
        <w:snapToGrid w:val="0"/>
        <w:spacing w:line="440" w:lineRule="exact"/>
        <w:textAlignment w:val="auto"/>
        <w:rPr>
          <w:rFonts w:ascii="宋体" w:hAnsi="宋体" w:cs="宋体"/>
          <w:color w:val="000000"/>
          <w:szCs w:val="21"/>
          <w:highlight w:val="none"/>
        </w:rPr>
      </w:pPr>
      <w:r>
        <w:rPr>
          <w:rFonts w:hint="eastAsia" w:ascii="宋体" w:hAnsi="宋体" w:cs="宋体"/>
          <w:color w:val="000000"/>
          <w:szCs w:val="21"/>
          <w:highlight w:val="none"/>
        </w:rPr>
        <w:t xml:space="preserve">    无论采取何种形式的投标保证金，投标保证金有效期均应与投标有效期一致（</w:t>
      </w:r>
      <w:r>
        <w:rPr>
          <w:rFonts w:hint="eastAsia"/>
          <w:color w:val="000000"/>
          <w:highlight w:val="none"/>
        </w:rPr>
        <w:t>采用投标电子保函的保证期截止时间不得早于该项目投标有效期的截止时间</w:t>
      </w:r>
      <w:r>
        <w:rPr>
          <w:rFonts w:hint="eastAsia" w:ascii="宋体" w:hAnsi="宋体" w:cs="宋体"/>
          <w:color w:val="000000"/>
          <w:szCs w:val="21"/>
          <w:highlight w:val="none"/>
        </w:rPr>
        <w:t>）。招标人如果按本章第3.3.3项的规定延长了投标有效期，则投标保证金的有效期也相应延长。</w:t>
      </w:r>
    </w:p>
    <w:p w14:paraId="218F6CA2">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3.4.2 投标人不按本章第3.4.1项要求提交投标保证金的，评标委员会将否决其投标。</w:t>
      </w:r>
    </w:p>
    <w:p w14:paraId="244A3FFB">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3.4.3 未中标投标人的投标保证金，</w:t>
      </w:r>
      <w:r>
        <w:rPr>
          <w:rFonts w:hint="eastAsia" w:ascii="宋体" w:hAnsi="宋体" w:eastAsia="宋体" w:cs="宋体"/>
          <w:color w:val="000000"/>
          <w:szCs w:val="21"/>
          <w:highlight w:val="none"/>
          <w:lang w:val="en-US" w:eastAsia="zh-CN"/>
        </w:rPr>
        <w:t>中标通知书发放后五个工作日内退还</w:t>
      </w:r>
      <w:r>
        <w:rPr>
          <w:rFonts w:hint="eastAsia" w:ascii="宋体" w:hAnsi="宋体" w:eastAsia="宋体" w:cs="宋体"/>
          <w:color w:val="000000"/>
          <w:szCs w:val="21"/>
          <w:highlight w:val="none"/>
        </w:rPr>
        <w:t>保证金到达原交纳的账户；中标人的投标保证金，</w:t>
      </w:r>
      <w:r>
        <w:rPr>
          <w:rFonts w:hint="eastAsia" w:ascii="宋体" w:hAnsi="宋体" w:eastAsia="宋体" w:cs="宋体"/>
          <w:color w:val="000000"/>
          <w:szCs w:val="21"/>
          <w:highlight w:val="none"/>
          <w:lang w:val="en-US" w:eastAsia="zh-CN"/>
        </w:rPr>
        <w:t>订合同后五个工作日内</w:t>
      </w:r>
      <w:r>
        <w:rPr>
          <w:rFonts w:hint="eastAsia" w:ascii="宋体" w:hAnsi="宋体" w:eastAsia="宋体" w:cs="宋体"/>
          <w:color w:val="000000"/>
          <w:szCs w:val="21"/>
          <w:highlight w:val="none"/>
        </w:rPr>
        <w:t>退付保证金到达原交纳的账户。</w:t>
      </w:r>
    </w:p>
    <w:p w14:paraId="3A7F9ECA">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3.4.4 有下列情形之一的，投标保证金将不予退还： </w:t>
      </w:r>
    </w:p>
    <w:p w14:paraId="7B47B873">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（1）投标截止后投标人撤销投标文件的；</w:t>
      </w:r>
    </w:p>
    <w:p w14:paraId="466F5123">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s="宋体"/>
          <w:color w:val="000000"/>
          <w:szCs w:val="21"/>
          <w:highlight w:val="none"/>
        </w:rPr>
      </w:pPr>
      <w:r>
        <w:rPr>
          <w:rFonts w:hint="eastAsia" w:ascii="宋体" w:hAnsi="宋体" w:cs="宋体"/>
          <w:color w:val="000000"/>
          <w:szCs w:val="21"/>
          <w:highlight w:val="none"/>
        </w:rPr>
        <w:t>（2）中标人无正当理由不与招标人订立合同，在签订合同时向招标人提出附加条件，或者不按照招标文件要求提交履约保证金的。</w:t>
      </w:r>
    </w:p>
    <w:p w14:paraId="31A74824">
      <w:pPr>
        <w:pStyle w:val="3"/>
        <w:ind w:firstLine="422" w:firstLineChars="200"/>
        <w:rPr>
          <w:rFonts w:ascii="宋体" w:hAnsi="宋体" w:eastAsia="宋体" w:cs="宋体"/>
          <w:highlight w:val="none"/>
        </w:rPr>
      </w:pPr>
      <w:r>
        <w:rPr>
          <w:rFonts w:hint="eastAsia" w:ascii="宋体" w:hAnsi="宋体" w:eastAsia="宋体" w:cs="宋体"/>
          <w:highlight w:val="none"/>
        </w:rPr>
        <w:t>3.5投标文件的编制</w:t>
      </w:r>
      <w:bookmarkEnd w:id="359"/>
      <w:bookmarkEnd w:id="360"/>
      <w:bookmarkEnd w:id="361"/>
      <w:bookmarkEnd w:id="362"/>
      <w:bookmarkEnd w:id="363"/>
      <w:bookmarkEnd w:id="364"/>
      <w:bookmarkEnd w:id="365"/>
      <w:bookmarkEnd w:id="366"/>
    </w:p>
    <w:bookmarkEnd w:id="367"/>
    <w:bookmarkEnd w:id="368"/>
    <w:bookmarkEnd w:id="369"/>
    <w:bookmarkEnd w:id="370"/>
    <w:bookmarkEnd w:id="371"/>
    <w:bookmarkEnd w:id="372"/>
    <w:bookmarkEnd w:id="373"/>
    <w:p w14:paraId="5BD1A4A0">
      <w:pPr>
        <w:spacing w:line="440" w:lineRule="exact"/>
        <w:ind w:firstLine="420" w:firstLineChars="200"/>
        <w:jc w:val="left"/>
        <w:rPr>
          <w:rFonts w:hint="eastAsia" w:ascii="宋体" w:hAnsi="宋体" w:eastAsia="宋体" w:cs="宋体"/>
          <w:szCs w:val="21"/>
          <w:highlight w:val="none"/>
          <w:lang w:val="en-US" w:eastAsia="zh-CN"/>
        </w:rPr>
      </w:pPr>
      <w:bookmarkStart w:id="374" w:name="_Toc179632573"/>
      <w:bookmarkStart w:id="375" w:name="_Toc246996942"/>
      <w:bookmarkStart w:id="376" w:name="_Toc246996199"/>
      <w:bookmarkStart w:id="377" w:name="_Toc144974523"/>
      <w:bookmarkStart w:id="378" w:name="_Toc247085713"/>
      <w:bookmarkStart w:id="379" w:name="_Toc324404838"/>
      <w:bookmarkStart w:id="380" w:name="_Toc152045555"/>
      <w:bookmarkStart w:id="381" w:name="_Toc152042331"/>
      <w:r>
        <w:rPr>
          <w:rFonts w:hint="eastAsia" w:ascii="宋体" w:hAnsi="宋体" w:eastAsia="宋体" w:cs="宋体"/>
          <w:szCs w:val="21"/>
          <w:highlight w:val="none"/>
          <w:lang w:val="en-US" w:eastAsia="zh-CN"/>
        </w:rPr>
        <w:t>3.5.1投标文件应按第</w:t>
      </w:r>
      <w:r>
        <w:rPr>
          <w:rFonts w:hint="eastAsia" w:ascii="宋体" w:hAnsi="宋体" w:cs="宋体"/>
          <w:szCs w:val="21"/>
          <w:highlight w:val="none"/>
          <w:lang w:val="en-US" w:eastAsia="zh-CN"/>
        </w:rPr>
        <w:t>九</w:t>
      </w:r>
      <w:r>
        <w:rPr>
          <w:rFonts w:hint="eastAsia" w:ascii="宋体" w:hAnsi="宋体" w:eastAsia="宋体" w:cs="宋体"/>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14F1B8C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3.5.2本次投标不需要提供纸质投标文件，投标人应按照电子招标投标的要求，在投标人的电子系统中制作、签章、上传加密的电子投标文件。</w:t>
      </w:r>
    </w:p>
    <w:p w14:paraId="3C40A9D2">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3.5.3 投标文件应当对招标文件有关工期、投标有效期、质量要求、技术标准和要求、招标范围等实质性内容作出响应。</w:t>
      </w:r>
    </w:p>
    <w:p w14:paraId="5D83FF6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3.5.4 投标人须知前附表规定接受联合体投标的，资格审查资料应包括联合体各方相关情况 。</w:t>
      </w:r>
    </w:p>
    <w:p w14:paraId="6A9887E1">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3.5.5招标人有权核查投标人在投标文件中提供的资料，若发现投标人以他人名义投标或者以其他方式弄虚作假骗取中标的，中标无效；如果签订合同后发现中标人提供了虚假材料，招标人有权解除合同。</w:t>
      </w:r>
    </w:p>
    <w:p w14:paraId="093D5520">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3.5.6投标文件的制作应满足以下规定：</w:t>
      </w:r>
    </w:p>
    <w:p w14:paraId="0727C6A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1</w:t>
      </w:r>
      <w:r>
        <w:rPr>
          <w:rFonts w:hint="eastAsia" w:ascii="宋体" w:hAnsi="宋体" w:eastAsia="宋体" w:cs="宋体"/>
          <w:szCs w:val="21"/>
          <w:highlight w:val="none"/>
          <w:lang w:val="en-US" w:eastAsia="zh-CN"/>
        </w:rPr>
        <w:t>）招标文件中“签章”是指签字或盖章。在第</w:t>
      </w:r>
      <w:r>
        <w:rPr>
          <w:rFonts w:hint="eastAsia" w:ascii="宋体" w:hAnsi="宋体" w:cs="宋体"/>
          <w:szCs w:val="21"/>
          <w:highlight w:val="none"/>
          <w:lang w:val="en-US" w:eastAsia="zh-CN"/>
        </w:rPr>
        <w:t>九</w:t>
      </w:r>
      <w:r>
        <w:rPr>
          <w:rFonts w:hint="eastAsia" w:ascii="宋体" w:hAnsi="宋体" w:eastAsia="宋体" w:cs="宋体"/>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19FF8C7E">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318FCD41">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3.5.7 因投标人自身原因而导致投标文件无法导入电子交易系统电子开标、评标系统，该投标视为无效投标，投标人自行承担由此导致的全部责任。</w:t>
      </w:r>
    </w:p>
    <w:p w14:paraId="18B9F40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3.5.8 投标人中标后须递交与网上电子投标文件完全一致的纸质版投标文件，在领取中标通知书时，一并递交给招标代理机构。</w:t>
      </w:r>
    </w:p>
    <w:p w14:paraId="6D17F42F">
      <w:pPr>
        <w:pStyle w:val="3"/>
        <w:ind w:firstLine="422" w:firstLineChars="200"/>
        <w:rPr>
          <w:rFonts w:hint="eastAsia" w:ascii="宋体" w:hAnsi="宋体" w:eastAsia="宋体" w:cs="宋体"/>
          <w:highlight w:val="none"/>
        </w:rPr>
      </w:pPr>
      <w:r>
        <w:rPr>
          <w:rFonts w:hint="eastAsia" w:ascii="宋体" w:hAnsi="宋体" w:eastAsia="宋体" w:cs="宋体"/>
          <w:highlight w:val="none"/>
        </w:rPr>
        <w:t>3.6 备选投标方案</w:t>
      </w:r>
    </w:p>
    <w:p w14:paraId="1CD0EBA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3.6.1 除投标人须知前附表规定允许外，投标人不得递交备选投标方案，否则其投标将被否决。</w:t>
      </w:r>
    </w:p>
    <w:p w14:paraId="2E592F8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14:paraId="1186786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3.6.3 投标人提供两个或两个以上投标报价，或在投标文件中提供一个报价，但同时提供两个或两个以上施工组织设计的，视为提供备选方案。</w:t>
      </w:r>
    </w:p>
    <w:p w14:paraId="66C99F80">
      <w:pPr>
        <w:pStyle w:val="3"/>
        <w:spacing w:beforeLines="50" w:afterLines="50"/>
        <w:ind w:firstLine="482" w:firstLineChars="200"/>
        <w:rPr>
          <w:rFonts w:hint="eastAsia" w:ascii="宋体" w:hAnsi="宋体" w:eastAsia="宋体" w:cs="宋体"/>
          <w:sz w:val="24"/>
          <w:szCs w:val="24"/>
          <w:highlight w:val="none"/>
        </w:rPr>
      </w:pPr>
      <w:bookmarkStart w:id="382" w:name="_Toc19455"/>
      <w:bookmarkStart w:id="383" w:name="_Toc506107291"/>
      <w:bookmarkStart w:id="384" w:name="_Toc15058869"/>
      <w:bookmarkStart w:id="385" w:name="_Toc35424910"/>
      <w:bookmarkStart w:id="386" w:name="_Toc78803345"/>
      <w:bookmarkStart w:id="387" w:name="_Toc35425076"/>
      <w:r>
        <w:rPr>
          <w:rFonts w:hint="eastAsia" w:ascii="宋体" w:hAnsi="宋体" w:eastAsia="宋体" w:cs="宋体"/>
          <w:sz w:val="24"/>
          <w:szCs w:val="24"/>
          <w:highlight w:val="none"/>
        </w:rPr>
        <w:t>4.投标</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3E108AB6">
      <w:pPr>
        <w:pStyle w:val="3"/>
        <w:ind w:firstLine="422" w:firstLineChars="200"/>
        <w:rPr>
          <w:rFonts w:hint="eastAsia" w:ascii="宋体" w:hAnsi="宋体" w:eastAsia="宋体" w:cs="宋体"/>
          <w:highlight w:val="none"/>
        </w:rPr>
      </w:pPr>
      <w:bookmarkStart w:id="388" w:name="_Toc60061458"/>
      <w:bookmarkStart w:id="389" w:name="_Toc83301713"/>
      <w:bookmarkStart w:id="390" w:name="_Toc95223361"/>
      <w:bookmarkStart w:id="391" w:name="_Toc14473"/>
      <w:bookmarkStart w:id="392" w:name="_Toc35424911"/>
      <w:bookmarkStart w:id="393" w:name="_Toc35425077"/>
      <w:bookmarkStart w:id="394" w:name="_Toc15058870"/>
      <w:bookmarkStart w:id="395" w:name="_Toc78803346"/>
      <w:r>
        <w:rPr>
          <w:rFonts w:hint="eastAsia" w:ascii="宋体" w:hAnsi="宋体" w:eastAsia="宋体" w:cs="宋体"/>
          <w:highlight w:val="none"/>
        </w:rPr>
        <w:t>4.1投标文件上传</w:t>
      </w:r>
      <w:bookmarkEnd w:id="388"/>
      <w:bookmarkEnd w:id="389"/>
      <w:bookmarkEnd w:id="390"/>
    </w:p>
    <w:p w14:paraId="491611B7">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4.1.1请投标人通过系统下载投标工具制作投标文件，并利用CA数字证书进行上传投标文件，上传已加密的投标文件，务必通过此方式上传投标文件。</w:t>
      </w:r>
    </w:p>
    <w:p w14:paraId="55CE6F79">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4.1.2投标人在投标文件编制、签章、上传过程中如有任何操作的疑问请及时联系技术支持，</w:t>
      </w:r>
      <w:r>
        <w:rPr>
          <w:rFonts w:hint="eastAsia" w:ascii="宋体" w:hAnsi="宋体" w:eastAsia="宋体" w:cs="宋体"/>
          <w:kern w:val="0"/>
          <w:sz w:val="21"/>
          <w:szCs w:val="21"/>
          <w:highlight w:val="none"/>
          <w:lang w:val="en-US" w:eastAsia="zh-CN" w:bidi="ar-SA"/>
        </w:rPr>
        <w:t>请拨打服务电话：</w:t>
      </w:r>
      <w:r>
        <w:rPr>
          <w:rFonts w:hint="eastAsia" w:ascii="宋体" w:hAnsi="宋体" w:cs="宋体"/>
          <w:kern w:val="0"/>
          <w:sz w:val="21"/>
          <w:szCs w:val="21"/>
          <w:highlight w:val="none"/>
          <w:lang w:val="en-US" w:eastAsia="zh-CN" w:bidi="ar-SA"/>
        </w:rPr>
        <w:t>0512-58151515</w:t>
      </w:r>
      <w:r>
        <w:rPr>
          <w:rFonts w:hint="eastAsia" w:ascii="宋体" w:hAnsi="宋体" w:eastAsia="宋体" w:cs="宋体"/>
          <w:kern w:val="0"/>
          <w:sz w:val="21"/>
          <w:szCs w:val="21"/>
          <w:highlight w:val="none"/>
          <w:lang w:val="en-US" w:eastAsia="zh-CN" w:bidi="ar-SA"/>
        </w:rPr>
        <w:t>（工作日）。</w:t>
      </w:r>
    </w:p>
    <w:p w14:paraId="1CEF98C2">
      <w:pPr>
        <w:pStyle w:val="3"/>
        <w:ind w:firstLine="422" w:firstLineChars="200"/>
        <w:rPr>
          <w:rFonts w:hint="eastAsia" w:ascii="宋体" w:hAnsi="宋体" w:eastAsia="宋体" w:cs="宋体"/>
          <w:highlight w:val="none"/>
        </w:rPr>
      </w:pPr>
      <w:bookmarkStart w:id="396" w:name="_Toc246996200"/>
      <w:bookmarkStart w:id="397" w:name="_Toc179632574"/>
      <w:bookmarkStart w:id="398" w:name="_Toc95223362"/>
      <w:bookmarkStart w:id="399" w:name="_Toc144974524"/>
      <w:bookmarkStart w:id="400" w:name="_Toc15058871"/>
      <w:bookmarkStart w:id="401" w:name="_Toc247085714"/>
      <w:bookmarkStart w:id="402" w:name="_Toc324404839"/>
      <w:bookmarkStart w:id="403" w:name="_Toc152045556"/>
      <w:bookmarkStart w:id="404" w:name="_Toc83301714"/>
      <w:bookmarkStart w:id="405" w:name="_Toc296602444"/>
      <w:bookmarkStart w:id="406" w:name="_Toc506107292"/>
      <w:bookmarkStart w:id="407" w:name="_Toc152042332"/>
      <w:bookmarkStart w:id="408" w:name="_Toc246996943"/>
      <w:bookmarkStart w:id="409" w:name="_Toc60061459"/>
      <w:r>
        <w:rPr>
          <w:rFonts w:hint="eastAsia" w:ascii="宋体" w:hAnsi="宋体" w:eastAsia="宋体" w:cs="宋体"/>
          <w:highlight w:val="none"/>
        </w:rPr>
        <w:t>4.2投标文件的密封和标记</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14:paraId="39B65438">
      <w:pPr>
        <w:spacing w:line="440" w:lineRule="exact"/>
        <w:ind w:firstLine="420" w:firstLineChars="200"/>
        <w:jc w:val="left"/>
        <w:rPr>
          <w:rFonts w:hint="eastAsia" w:ascii="宋体" w:hAnsi="宋体" w:eastAsia="宋体" w:cs="宋体"/>
          <w:szCs w:val="21"/>
          <w:highlight w:val="none"/>
          <w:lang w:val="en-US" w:eastAsia="zh-CN"/>
        </w:rPr>
      </w:pPr>
      <w:bookmarkStart w:id="410" w:name="_Toc144974525"/>
      <w:bookmarkStart w:id="411" w:name="_Toc152045557"/>
      <w:bookmarkStart w:id="412" w:name="_Toc246996201"/>
      <w:bookmarkStart w:id="413" w:name="_Toc324404840"/>
      <w:bookmarkStart w:id="414" w:name="_Toc246996944"/>
      <w:bookmarkStart w:id="415" w:name="_Toc247085715"/>
      <w:bookmarkStart w:id="416" w:name="_Toc152042333"/>
      <w:bookmarkStart w:id="417" w:name="_Toc296602445"/>
      <w:bookmarkStart w:id="418" w:name="_Toc179632575"/>
      <w:r>
        <w:rPr>
          <w:rFonts w:hint="eastAsia" w:ascii="宋体" w:hAnsi="宋体" w:eastAsia="宋体" w:cs="宋体"/>
          <w:szCs w:val="21"/>
          <w:highlight w:val="none"/>
          <w:lang w:val="en-US" w:eastAsia="zh-CN"/>
        </w:rPr>
        <w:t>4.2.1投标文件应按照本章第3.5.6项要求制作并加密，未按要求加密的投标文件将被拒绝接收。以投标人在投标截止时间前网上递交的电子投标文件为准。</w:t>
      </w:r>
    </w:p>
    <w:p w14:paraId="1C1625AE">
      <w:pPr>
        <w:pStyle w:val="3"/>
        <w:ind w:firstLine="422" w:firstLineChars="200"/>
        <w:rPr>
          <w:rFonts w:hint="eastAsia" w:ascii="宋体" w:hAnsi="宋体" w:eastAsia="宋体" w:cs="宋体"/>
          <w:highlight w:val="none"/>
        </w:rPr>
      </w:pPr>
      <w:bookmarkStart w:id="419" w:name="_Toc60061460"/>
      <w:bookmarkStart w:id="420" w:name="_Toc15058872"/>
      <w:bookmarkStart w:id="421" w:name="_Toc83301715"/>
      <w:bookmarkStart w:id="422" w:name="_Toc95223363"/>
      <w:bookmarkStart w:id="423" w:name="_Toc506107293"/>
      <w:r>
        <w:rPr>
          <w:rFonts w:hint="eastAsia" w:ascii="宋体" w:hAnsi="宋体" w:eastAsia="宋体" w:cs="宋体"/>
          <w:highlight w:val="none"/>
        </w:rPr>
        <w:t>4.3 投标文件的递交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6874998">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4.3.1 投标人应当在第一章“招标公告”规定的投标截止时间前，将加密投标文件上传至</w:t>
      </w:r>
      <w:r>
        <w:rPr>
          <w:rFonts w:hint="eastAsia" w:ascii="Times New Roman" w:hAnsi="Times New Roman" w:eastAsia="宋体" w:cs="Times New Roman"/>
          <w:highlight w:val="none"/>
          <w:lang w:val="en-US" w:eastAsia="zh-CN"/>
        </w:rPr>
        <w:t>交易系统</w:t>
      </w:r>
      <w:r>
        <w:rPr>
          <w:rFonts w:hint="eastAsia" w:ascii="宋体" w:hAnsi="宋体" w:eastAsia="宋体" w:cs="宋体"/>
          <w:szCs w:val="21"/>
          <w:highlight w:val="none"/>
          <w:lang w:val="en-US" w:eastAsia="zh-CN"/>
        </w:rPr>
        <w:t>。</w:t>
      </w:r>
    </w:p>
    <w:p w14:paraId="267A96E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4.3.2 除投标人须知前附表另有规定外，投标人所递交的投标文件不予退还。</w:t>
      </w:r>
    </w:p>
    <w:p w14:paraId="1F9C95C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4.3.3 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10EA5B88">
      <w:pPr>
        <w:pStyle w:val="3"/>
        <w:ind w:firstLine="422" w:firstLineChars="200"/>
        <w:rPr>
          <w:rFonts w:hint="eastAsia" w:ascii="宋体" w:hAnsi="宋体" w:eastAsia="宋体" w:cs="宋体"/>
          <w:highlight w:val="none"/>
        </w:rPr>
      </w:pPr>
      <w:bookmarkStart w:id="424" w:name="_Toc60061461"/>
      <w:bookmarkStart w:id="425" w:name="_Toc83301716"/>
      <w:bookmarkStart w:id="426" w:name="_Toc95223364"/>
      <w:r>
        <w:rPr>
          <w:rFonts w:hint="eastAsia" w:ascii="宋体" w:hAnsi="宋体" w:eastAsia="宋体" w:cs="宋体"/>
          <w:highlight w:val="none"/>
        </w:rPr>
        <w:t>4.4 投标文件的修改与撤回</w:t>
      </w:r>
      <w:bookmarkEnd w:id="424"/>
      <w:bookmarkEnd w:id="425"/>
      <w:bookmarkEnd w:id="426"/>
    </w:p>
    <w:p w14:paraId="64F97846">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4.4.1在第一章“招标公告”规定的投标截止时间前，投标人可以自行从网上交易系统撤回已递交的投标文件，并可修改后重新加密上传，开标时以投标截止时间前投标人最终上传的投标文件为准。</w:t>
      </w:r>
    </w:p>
    <w:bookmarkEnd w:id="391"/>
    <w:bookmarkEnd w:id="392"/>
    <w:bookmarkEnd w:id="393"/>
    <w:bookmarkEnd w:id="394"/>
    <w:bookmarkEnd w:id="395"/>
    <w:p w14:paraId="7AF40F87">
      <w:pPr>
        <w:pStyle w:val="3"/>
        <w:spacing w:beforeLines="50" w:afterLines="50"/>
        <w:ind w:firstLine="482" w:firstLineChars="200"/>
        <w:rPr>
          <w:rFonts w:ascii="宋体" w:hAnsi="宋体" w:eastAsia="宋体" w:cs="宋体"/>
          <w:sz w:val="24"/>
          <w:szCs w:val="24"/>
          <w:highlight w:val="none"/>
        </w:rPr>
      </w:pPr>
      <w:bookmarkStart w:id="427" w:name="_Toc152042335"/>
      <w:bookmarkStart w:id="428" w:name="_Toc246996946"/>
      <w:bookmarkStart w:id="429" w:name="_Toc246996203"/>
      <w:bookmarkStart w:id="430" w:name="_Toc324404842"/>
      <w:bookmarkStart w:id="431" w:name="_Toc247085717"/>
      <w:bookmarkStart w:id="432" w:name="_Toc144974527"/>
      <w:bookmarkStart w:id="433" w:name="_Toc152045559"/>
      <w:bookmarkStart w:id="434" w:name="_Toc15058874"/>
      <w:bookmarkStart w:id="435" w:name="_Toc179632577"/>
      <w:bookmarkStart w:id="436" w:name="_Toc78803348"/>
      <w:bookmarkStart w:id="437" w:name="_Toc506107295"/>
      <w:bookmarkStart w:id="438" w:name="_Toc35425081"/>
      <w:bookmarkStart w:id="439" w:name="_Toc35424915"/>
      <w:bookmarkStart w:id="440" w:name="_Toc29639"/>
      <w:r>
        <w:rPr>
          <w:rFonts w:hint="eastAsia" w:ascii="宋体" w:hAnsi="宋体" w:eastAsia="宋体" w:cs="宋体"/>
          <w:sz w:val="24"/>
          <w:szCs w:val="24"/>
          <w:highlight w:val="none"/>
        </w:rPr>
        <w:t>5. 开标</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44DFC292">
      <w:pPr>
        <w:pStyle w:val="3"/>
        <w:ind w:firstLine="422" w:firstLineChars="200"/>
        <w:rPr>
          <w:rFonts w:ascii="宋体" w:hAnsi="宋体" w:eastAsia="宋体" w:cs="宋体"/>
          <w:highlight w:val="none"/>
        </w:rPr>
      </w:pPr>
      <w:bookmarkStart w:id="441" w:name="_Toc506107296"/>
      <w:bookmarkStart w:id="442" w:name="_Toc179632578"/>
      <w:bookmarkStart w:id="443" w:name="_Toc35425082"/>
      <w:bookmarkStart w:id="444" w:name="_Toc35424916"/>
      <w:bookmarkStart w:id="445" w:name="_Toc296602448"/>
      <w:bookmarkStart w:id="446" w:name="_Toc246996947"/>
      <w:bookmarkStart w:id="447" w:name="_Toc13691"/>
      <w:bookmarkStart w:id="448" w:name="_Toc247085718"/>
      <w:bookmarkStart w:id="449" w:name="_Toc152042336"/>
      <w:bookmarkStart w:id="450" w:name="_Toc152045560"/>
      <w:bookmarkStart w:id="451" w:name="_Toc78803349"/>
      <w:bookmarkStart w:id="452" w:name="_Toc15058875"/>
      <w:bookmarkStart w:id="453" w:name="_Toc324404843"/>
      <w:bookmarkStart w:id="454" w:name="_Toc246996204"/>
      <w:bookmarkStart w:id="455" w:name="_Toc144974528"/>
      <w:r>
        <w:rPr>
          <w:rFonts w:hint="eastAsia" w:ascii="宋体" w:hAnsi="宋体" w:eastAsia="宋体" w:cs="宋体"/>
          <w:highlight w:val="none"/>
        </w:rPr>
        <w:t>5.1 开标时间和地点</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14:paraId="3EA480E2">
      <w:pPr>
        <w:adjustRightInd w:val="0"/>
        <w:snapToGrid w:val="0"/>
        <w:spacing w:line="560" w:lineRule="exact"/>
        <w:ind w:firstLine="420" w:firstLineChars="200"/>
        <w:rPr>
          <w:rFonts w:hint="eastAsia" w:ascii="宋体" w:hAnsi="宋体" w:cs="宋体"/>
          <w:color w:val="000000"/>
          <w:szCs w:val="21"/>
          <w:highlight w:val="none"/>
        </w:rPr>
      </w:pPr>
      <w:bookmarkStart w:id="456" w:name="_Toc324404844"/>
      <w:bookmarkStart w:id="457" w:name="_Toc152042337"/>
      <w:bookmarkStart w:id="458" w:name="_Toc152045561"/>
      <w:bookmarkStart w:id="459" w:name="_Toc35424917"/>
      <w:bookmarkStart w:id="460" w:name="_Toc296602449"/>
      <w:bookmarkStart w:id="461" w:name="_Toc179632579"/>
      <w:bookmarkStart w:id="462" w:name="_Toc15058876"/>
      <w:bookmarkStart w:id="463" w:name="_Toc32451"/>
      <w:bookmarkStart w:id="464" w:name="_Toc506107297"/>
      <w:bookmarkStart w:id="465" w:name="_Toc144974529"/>
      <w:bookmarkStart w:id="466" w:name="_Toc35425083"/>
      <w:bookmarkStart w:id="467" w:name="_Toc78803350"/>
      <w:bookmarkStart w:id="468" w:name="_Toc246996205"/>
      <w:bookmarkStart w:id="469" w:name="_Toc246996948"/>
      <w:bookmarkStart w:id="470" w:name="_Toc247085719"/>
      <w:r>
        <w:rPr>
          <w:rFonts w:hint="eastAsia" w:ascii="宋体" w:hAnsi="宋体" w:cs="宋体"/>
          <w:color w:val="000000"/>
          <w:szCs w:val="21"/>
          <w:highlight w:val="none"/>
        </w:rPr>
        <w:t>招标人在第一章“招标公告”规定的投标截止时间前（开标时间）和地点</w:t>
      </w:r>
      <w:r>
        <w:rPr>
          <w:color w:val="000000"/>
          <w:highlight w:val="none"/>
        </w:rPr>
        <w:t>通过交易系统公开开标</w:t>
      </w:r>
      <w:r>
        <w:rPr>
          <w:rFonts w:hint="eastAsia" w:ascii="宋体" w:hAnsi="宋体" w:cs="宋体"/>
          <w:color w:val="000000"/>
          <w:szCs w:val="21"/>
          <w:highlight w:val="none"/>
        </w:rPr>
        <w:t>。</w:t>
      </w:r>
    </w:p>
    <w:p w14:paraId="72027328">
      <w:pPr>
        <w:pStyle w:val="3"/>
        <w:ind w:firstLine="422" w:firstLineChars="200"/>
        <w:rPr>
          <w:rFonts w:ascii="宋体" w:hAnsi="宋体" w:eastAsia="宋体" w:cs="宋体"/>
          <w:highlight w:val="none"/>
        </w:rPr>
      </w:pPr>
      <w:r>
        <w:rPr>
          <w:rFonts w:hint="eastAsia" w:ascii="宋体" w:hAnsi="宋体" w:eastAsia="宋体" w:cs="宋体"/>
          <w:highlight w:val="none"/>
        </w:rPr>
        <w:t>5.2 开标程序</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0B511289">
      <w:pPr>
        <w:spacing w:line="440" w:lineRule="exact"/>
        <w:ind w:firstLine="420" w:firstLineChars="200"/>
        <w:jc w:val="left"/>
        <w:rPr>
          <w:rFonts w:hint="eastAsia" w:ascii="宋体" w:hAnsi="宋体" w:eastAsia="宋体" w:cs="宋体"/>
          <w:szCs w:val="21"/>
          <w:highlight w:val="none"/>
          <w:lang w:val="en-US" w:eastAsia="zh-CN"/>
        </w:rPr>
      </w:pPr>
      <w:bookmarkStart w:id="471" w:name="_Toc324404846"/>
      <w:bookmarkStart w:id="472" w:name="_Toc179632580"/>
      <w:bookmarkStart w:id="473" w:name="_Toc35425085"/>
      <w:bookmarkStart w:id="474" w:name="_Toc152042338"/>
      <w:bookmarkStart w:id="475" w:name="_Toc246996949"/>
      <w:bookmarkStart w:id="476" w:name="_Toc246996206"/>
      <w:bookmarkStart w:id="477" w:name="_Toc152045562"/>
      <w:bookmarkStart w:id="478" w:name="_Toc15058884"/>
      <w:bookmarkStart w:id="479" w:name="_Toc247085720"/>
      <w:bookmarkStart w:id="480" w:name="_Toc20689"/>
      <w:bookmarkStart w:id="481" w:name="_Toc35424919"/>
      <w:bookmarkStart w:id="482" w:name="_Toc78803352"/>
      <w:bookmarkStart w:id="483" w:name="_Toc144974530"/>
      <w:bookmarkStart w:id="484" w:name="_Toc506107299"/>
      <w:r>
        <w:rPr>
          <w:rFonts w:hint="eastAsia" w:ascii="宋体" w:hAnsi="宋体" w:eastAsia="宋体" w:cs="宋体"/>
          <w:szCs w:val="21"/>
          <w:highlight w:val="none"/>
          <w:lang w:val="en-US" w:eastAsia="zh-CN"/>
        </w:rPr>
        <w:t>主持人按下列程序进行开标：</w:t>
      </w:r>
    </w:p>
    <w:p w14:paraId="69335D40">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（1）公布在投标截止时间前通过电子交易系统完成投标文件递交的投标人名称；</w:t>
      </w:r>
    </w:p>
    <w:p w14:paraId="3FE3B9E5">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（2）投标人在投标截止时间后在投标人须知前附表规定的解密时间内完成投标文件的解密工作；</w:t>
      </w:r>
    </w:p>
    <w:p w14:paraId="09913E1C">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（3）招标人或招标代理机构完成解密工作，导入并读取所有成功解密的投标文件；</w:t>
      </w:r>
    </w:p>
    <w:p w14:paraId="3C9672B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（4）按投标人须知前附表规定公布投标人名称、标段名称、投标报价、质量目标、工期及其他内容；</w:t>
      </w:r>
    </w:p>
    <w:p w14:paraId="4611C8FD">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（5）开标结束。</w:t>
      </w:r>
    </w:p>
    <w:p w14:paraId="0FABB25E">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6. 评标</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6D7B4E38">
      <w:pPr>
        <w:pStyle w:val="3"/>
        <w:ind w:firstLine="422" w:firstLineChars="200"/>
        <w:rPr>
          <w:rFonts w:hint="eastAsia" w:ascii="宋体" w:hAnsi="宋体" w:eastAsia="宋体" w:cs="宋体"/>
          <w:highlight w:val="none"/>
        </w:rPr>
      </w:pPr>
      <w:bookmarkStart w:id="485" w:name="_Toc95223370"/>
      <w:bookmarkStart w:id="486" w:name="_Toc246996207"/>
      <w:bookmarkStart w:id="487" w:name="_Toc144974531"/>
      <w:bookmarkStart w:id="488" w:name="_Toc506107300"/>
      <w:bookmarkStart w:id="489" w:name="_Toc15058885"/>
      <w:bookmarkStart w:id="490" w:name="_Toc246996950"/>
      <w:bookmarkStart w:id="491" w:name="_Toc152042339"/>
      <w:bookmarkStart w:id="492" w:name="_Toc83301722"/>
      <w:bookmarkStart w:id="493" w:name="_Toc296602452"/>
      <w:bookmarkStart w:id="494" w:name="_Toc60061467"/>
      <w:bookmarkStart w:id="495" w:name="_Toc247085721"/>
      <w:bookmarkStart w:id="496" w:name="_Toc179632581"/>
      <w:bookmarkStart w:id="497" w:name="_Toc324404847"/>
      <w:bookmarkStart w:id="498" w:name="_Toc152045563"/>
      <w:bookmarkStart w:id="499" w:name="_Toc12948"/>
      <w:bookmarkStart w:id="500" w:name="_Toc246996951"/>
      <w:bookmarkStart w:id="501" w:name="_Toc78803354"/>
      <w:bookmarkStart w:id="502" w:name="_Toc35424921"/>
      <w:bookmarkStart w:id="503" w:name="_Toc35425087"/>
      <w:bookmarkStart w:id="504" w:name="_Toc179632582"/>
      <w:bookmarkStart w:id="505" w:name="_Toc15058886"/>
      <w:bookmarkStart w:id="506" w:name="_Toc246996208"/>
      <w:bookmarkStart w:id="507" w:name="_Toc152045564"/>
      <w:bookmarkStart w:id="508" w:name="_Toc152042340"/>
      <w:bookmarkStart w:id="509" w:name="_Toc324404848"/>
      <w:bookmarkStart w:id="510" w:name="_Toc296602453"/>
      <w:bookmarkStart w:id="511" w:name="_Toc247085722"/>
      <w:bookmarkStart w:id="512" w:name="_Toc506107301"/>
      <w:bookmarkStart w:id="513" w:name="_Toc144974532"/>
      <w:r>
        <w:rPr>
          <w:rFonts w:hint="eastAsia" w:ascii="宋体" w:hAnsi="宋体" w:eastAsia="宋体" w:cs="宋体"/>
          <w:highlight w:val="none"/>
        </w:rPr>
        <w:t>6.1 评标委员会</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4E04D39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29F69B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6.1.2 评标委员会成员有下列情形之一的，应当回避：</w:t>
      </w:r>
    </w:p>
    <w:p w14:paraId="73C97D4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（1）项目主管部门或行政监督管理部门的工作人员； </w:t>
      </w:r>
    </w:p>
    <w:p w14:paraId="2C74894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（2）与竞争主体主要负责人或者授权参与交易的代理人有近亲属关系的人员； </w:t>
      </w:r>
    </w:p>
    <w:p w14:paraId="2117A829">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（3）竞争主体的工作人员或者退休人员； </w:t>
      </w:r>
    </w:p>
    <w:p w14:paraId="33843AD1">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（4）竞争主体的上级主管、控股或者被控股单位等相关利害关系的人员，或任职单位与竞争主体单位为同一法定代表人的。 </w:t>
      </w:r>
    </w:p>
    <w:p w14:paraId="0C395A6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（5）存在其他法定回避情形的</w:t>
      </w:r>
    </w:p>
    <w:p w14:paraId="175B40D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项目实施主体及其子公司、下属单位、上级主管部门或者控股公司的工作人员或者退休人员不得以专家身份参与本单位或者代理项目的评标评审。 </w:t>
      </w:r>
    </w:p>
    <w:p w14:paraId="3E7C33FF">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评标委员会或评审机构成员有前两款规定情形的，应当主动提出回避；已经进入的应当更换，被更换的成员评标评审意见无效。</w:t>
      </w:r>
    </w:p>
    <w:p w14:paraId="0DC1ABC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2C15BB0C">
      <w:pPr>
        <w:pStyle w:val="3"/>
        <w:ind w:firstLine="422" w:firstLineChars="200"/>
        <w:rPr>
          <w:rFonts w:ascii="宋体" w:hAnsi="宋体" w:eastAsia="宋体" w:cs="宋体"/>
          <w:highlight w:val="none"/>
        </w:rPr>
      </w:pPr>
      <w:r>
        <w:rPr>
          <w:rFonts w:hint="eastAsia" w:ascii="宋体" w:hAnsi="宋体" w:eastAsia="宋体" w:cs="宋体"/>
          <w:highlight w:val="none"/>
        </w:rPr>
        <w:t>6.2 评标原则</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514" w:name="_Toc246996209"/>
      <w:bookmarkStart w:id="515" w:name="_Toc152042341"/>
      <w:bookmarkStart w:id="516" w:name="_Toc246996952"/>
      <w:bookmarkStart w:id="517" w:name="_Toc179632583"/>
      <w:bookmarkStart w:id="518" w:name="_Toc247085723"/>
      <w:bookmarkStart w:id="519" w:name="_Toc296602454"/>
      <w:bookmarkStart w:id="520" w:name="_Toc35424922"/>
      <w:bookmarkStart w:id="521" w:name="_Toc15058887"/>
      <w:bookmarkStart w:id="522" w:name="_Toc78803355"/>
      <w:bookmarkStart w:id="523" w:name="_Toc152045565"/>
      <w:bookmarkStart w:id="524" w:name="_Toc324404849"/>
      <w:bookmarkStart w:id="525" w:name="_Toc144974533"/>
      <w:bookmarkStart w:id="526" w:name="_Toc506107302"/>
      <w:bookmarkStart w:id="527" w:name="_Toc14892"/>
      <w:bookmarkStart w:id="528" w:name="_Toc35425088"/>
      <w:r>
        <w:rPr>
          <w:rFonts w:hint="eastAsia" w:ascii="宋体" w:hAnsi="宋体" w:eastAsia="宋体" w:cs="宋体"/>
          <w:highlight w:val="none"/>
        </w:rPr>
        <w:t>6.3 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4929DC3A">
      <w:pPr>
        <w:spacing w:line="440" w:lineRule="exact"/>
        <w:ind w:firstLine="420" w:firstLineChars="200"/>
        <w:jc w:val="left"/>
        <w:rPr>
          <w:rFonts w:ascii="宋体" w:hAnsi="宋体" w:cs="宋体"/>
          <w:szCs w:val="21"/>
          <w:highlight w:val="none"/>
        </w:rPr>
      </w:pPr>
      <w:bookmarkStart w:id="529" w:name="_Toc324404850"/>
      <w:bookmarkStart w:id="530" w:name="_Toc247085724"/>
      <w:bookmarkStart w:id="531" w:name="_Toc179632584"/>
      <w:bookmarkStart w:id="532" w:name="_Toc152042342"/>
      <w:bookmarkStart w:id="533" w:name="_Toc144974534"/>
      <w:bookmarkStart w:id="534" w:name="_Toc246996953"/>
      <w:bookmarkStart w:id="535" w:name="_Toc152045566"/>
      <w:bookmarkStart w:id="536" w:name="_Toc246996210"/>
      <w:r>
        <w:rPr>
          <w:rFonts w:hint="eastAsia" w:ascii="宋体" w:hAnsi="宋体" w:cs="宋体"/>
          <w:szCs w:val="21"/>
          <w:highlight w:val="none"/>
        </w:rPr>
        <w:t>6.3.1评标委员会按照第</w:t>
      </w:r>
      <w:r>
        <w:rPr>
          <w:rFonts w:hint="eastAsia" w:ascii="宋体" w:hAnsi="宋体" w:cs="宋体"/>
          <w:szCs w:val="21"/>
          <w:highlight w:val="none"/>
          <w:lang w:val="en-US" w:eastAsia="zh-CN"/>
        </w:rPr>
        <w:t>四</w:t>
      </w:r>
      <w:r>
        <w:rPr>
          <w:rFonts w:hint="eastAsia" w:ascii="宋体" w:hAnsi="宋体" w:cs="宋体"/>
          <w:szCs w:val="21"/>
          <w:highlight w:val="none"/>
        </w:rPr>
        <w:t>章“评标办法”规定的方法、评审因素、标准和程序对投标文件进行评审。第</w:t>
      </w:r>
      <w:r>
        <w:rPr>
          <w:rFonts w:hint="eastAsia" w:ascii="宋体" w:hAnsi="宋体" w:cs="宋体"/>
          <w:szCs w:val="21"/>
          <w:highlight w:val="none"/>
          <w:lang w:val="en-US" w:eastAsia="zh-CN"/>
        </w:rPr>
        <w:t>四</w:t>
      </w:r>
      <w:r>
        <w:rPr>
          <w:rFonts w:hint="eastAsia" w:ascii="宋体" w:hAnsi="宋体" w:cs="宋体"/>
          <w:szCs w:val="21"/>
          <w:highlight w:val="none"/>
        </w:rPr>
        <w:t>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37" w:name="_Toc26182"/>
      <w:bookmarkStart w:id="538" w:name="_Toc35424923"/>
      <w:bookmarkStart w:id="539" w:name="_Toc15058888"/>
      <w:bookmarkStart w:id="540" w:name="_Toc78803356"/>
      <w:bookmarkStart w:id="541" w:name="_Toc506107303"/>
      <w:bookmarkStart w:id="542" w:name="_Toc35425089"/>
      <w:r>
        <w:rPr>
          <w:rFonts w:hint="eastAsia" w:ascii="宋体" w:hAnsi="宋体" w:eastAsia="宋体" w:cs="宋体"/>
          <w:sz w:val="24"/>
          <w:szCs w:val="24"/>
          <w:highlight w:val="none"/>
        </w:rPr>
        <w:t>7. 合同授予</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14:paraId="070C7520">
      <w:pPr>
        <w:pStyle w:val="3"/>
        <w:ind w:firstLine="422" w:firstLineChars="200"/>
        <w:rPr>
          <w:rFonts w:hint="eastAsia" w:ascii="宋体" w:hAnsi="宋体" w:eastAsia="宋体" w:cs="宋体"/>
          <w:highlight w:val="none"/>
        </w:rPr>
      </w:pPr>
      <w:bookmarkStart w:id="543" w:name="_Toc60061472"/>
      <w:bookmarkStart w:id="544" w:name="_Toc296602457"/>
      <w:bookmarkStart w:id="545" w:name="_Toc95223374"/>
      <w:bookmarkStart w:id="546" w:name="_Toc506107305"/>
      <w:bookmarkStart w:id="547" w:name="_Toc15058890"/>
      <w:bookmarkStart w:id="548" w:name="_Toc83301726"/>
      <w:bookmarkStart w:id="549" w:name="_Toc324404852"/>
      <w:bookmarkStart w:id="550" w:name="_Toc35424926"/>
      <w:bookmarkStart w:id="551" w:name="_Toc8261"/>
      <w:bookmarkStart w:id="552" w:name="_Toc27040"/>
      <w:bookmarkStart w:id="553" w:name="_Toc35425092"/>
      <w:bookmarkStart w:id="554" w:name="_Toc78803359"/>
      <w:bookmarkStart w:id="555" w:name="_Toc246996955"/>
      <w:bookmarkStart w:id="556" w:name="_Toc152042344"/>
      <w:bookmarkStart w:id="557" w:name="_Toc246996212"/>
      <w:bookmarkStart w:id="558" w:name="_Toc15058891"/>
      <w:bookmarkStart w:id="559" w:name="_Toc35424927"/>
      <w:bookmarkStart w:id="560" w:name="_Toc247085726"/>
      <w:bookmarkStart w:id="561" w:name="_Toc144974536"/>
      <w:bookmarkStart w:id="562" w:name="_Toc179632586"/>
      <w:bookmarkStart w:id="563" w:name="_Toc324404853"/>
      <w:bookmarkStart w:id="564" w:name="_Toc152045568"/>
      <w:bookmarkStart w:id="565" w:name="_Toc296602458"/>
      <w:bookmarkStart w:id="566" w:name="_Toc35425093"/>
      <w:bookmarkStart w:id="567" w:name="_Toc14692"/>
      <w:bookmarkStart w:id="568" w:name="_Toc506107306"/>
      <w:r>
        <w:rPr>
          <w:rFonts w:hint="eastAsia" w:ascii="宋体" w:hAnsi="宋体" w:eastAsia="宋体" w:cs="宋体"/>
          <w:highlight w:val="none"/>
        </w:rPr>
        <w:t>7.1 中标候选人公示</w:t>
      </w:r>
      <w:bookmarkEnd w:id="543"/>
      <w:bookmarkEnd w:id="544"/>
      <w:bookmarkEnd w:id="545"/>
      <w:bookmarkEnd w:id="546"/>
      <w:bookmarkEnd w:id="547"/>
      <w:bookmarkEnd w:id="548"/>
      <w:bookmarkEnd w:id="549"/>
    </w:p>
    <w:p w14:paraId="3D3C9E8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招标人在收到评标报告之日起3日内，按照投标人须知前附表规定的公示媒介和期限依法公示。中标候选人公示期不得少于3日。</w:t>
      </w:r>
    </w:p>
    <w:p w14:paraId="02BCD838">
      <w:pPr>
        <w:pStyle w:val="3"/>
        <w:ind w:firstLine="422" w:firstLineChars="200"/>
        <w:rPr>
          <w:rFonts w:hint="eastAsia" w:ascii="宋体" w:hAnsi="宋体" w:eastAsia="宋体" w:cs="宋体"/>
          <w:highlight w:val="none"/>
        </w:rPr>
      </w:pPr>
      <w:r>
        <w:rPr>
          <w:rFonts w:hint="eastAsia" w:ascii="宋体" w:hAnsi="宋体" w:eastAsia="宋体" w:cs="宋体"/>
          <w:highlight w:val="none"/>
        </w:rPr>
        <w:t>7.2 评标结果异议</w:t>
      </w:r>
    </w:p>
    <w:p w14:paraId="6D874A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投标人或其他利害关系人对评标结果有异议的，应在中标候选人公示期内提出。招标人将在收到异议之日起3日内作出答复；作出答复前，将暂停招标投标活动。</w:t>
      </w:r>
    </w:p>
    <w:p w14:paraId="1D0EB461">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w:t>
      </w:r>
      <w:bookmarkEnd w:id="550"/>
      <w:bookmarkEnd w:id="551"/>
      <w:bookmarkEnd w:id="552"/>
      <w:bookmarkEnd w:id="553"/>
      <w:bookmarkEnd w:id="554"/>
      <w:r>
        <w:rPr>
          <w:rFonts w:hint="eastAsia" w:ascii="宋体" w:hAnsi="宋体" w:eastAsia="宋体" w:cs="宋体"/>
          <w:highlight w:val="none"/>
        </w:rPr>
        <w:t>定标</w:t>
      </w:r>
    </w:p>
    <w:p w14:paraId="117D2B8C">
      <w:pPr>
        <w:spacing w:line="440" w:lineRule="exact"/>
        <w:ind w:firstLine="420" w:firstLineChars="200"/>
        <w:jc w:val="left"/>
        <w:rPr>
          <w:rFonts w:hint="eastAsia" w:ascii="宋体" w:hAnsi="宋体" w:eastAsia="宋体" w:cs="宋体"/>
          <w:szCs w:val="21"/>
          <w:highlight w:val="none"/>
        </w:rPr>
      </w:pPr>
      <w:bookmarkStart w:id="569" w:name="_Toc78803360"/>
      <w:bookmarkStart w:id="570" w:name="_Toc4204"/>
      <w:r>
        <w:rPr>
          <w:rFonts w:hint="eastAsia" w:ascii="宋体" w:hAnsi="宋体" w:eastAsia="宋体" w:cs="宋体"/>
          <w:szCs w:val="21"/>
          <w:highlight w:val="none"/>
        </w:rPr>
        <w:t>按照投标人须知前附表的规定，招标人或招标人授权的评标委员会依法确定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05B9A367">
      <w:pPr>
        <w:pStyle w:val="3"/>
        <w:ind w:firstLine="422" w:firstLineChars="200"/>
        <w:rPr>
          <w:rFonts w:hint="eastAsia" w:ascii="宋体" w:hAnsi="宋体" w:eastAsia="宋体" w:cs="宋体"/>
          <w:highlight w:val="none"/>
        </w:rPr>
      </w:pPr>
      <w:bookmarkStart w:id="571" w:name="_Toc95223376"/>
      <w:bookmarkStart w:id="572" w:name="_Toc83301728"/>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71"/>
      <w:bookmarkEnd w:id="572"/>
    </w:p>
    <w:p w14:paraId="768E4E46">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在本招标文件规定的投标有效期内，招标人向中标人发出中标通知书，同时将中标结果通知未中标的投标人。</w:t>
      </w:r>
    </w:p>
    <w:p w14:paraId="045D8AA7">
      <w:pPr>
        <w:pStyle w:val="3"/>
        <w:ind w:firstLine="422" w:firstLineChars="200"/>
        <w:rPr>
          <w:rFonts w:hint="eastAsia" w:ascii="宋体" w:hAnsi="宋体" w:eastAsia="宋体" w:cs="宋体"/>
          <w:highlight w:val="none"/>
        </w:rPr>
      </w:pPr>
      <w:bookmarkStart w:id="573" w:name="_Toc95223377"/>
      <w:r>
        <w:rPr>
          <w:rFonts w:hint="eastAsia" w:ascii="宋体" w:hAnsi="宋体" w:eastAsia="宋体" w:cs="宋体"/>
          <w:highlight w:val="none"/>
        </w:rPr>
        <w:t>7.</w:t>
      </w:r>
      <w:r>
        <w:rPr>
          <w:rFonts w:hint="eastAsia" w:ascii="宋体" w:hAnsi="宋体" w:eastAsia="宋体" w:cs="宋体"/>
          <w:highlight w:val="none"/>
          <w:lang w:val="en-US" w:eastAsia="zh-CN"/>
        </w:rPr>
        <w:t xml:space="preserve">5 </w:t>
      </w:r>
      <w:r>
        <w:rPr>
          <w:rFonts w:hint="eastAsia" w:ascii="宋体" w:hAnsi="宋体" w:eastAsia="宋体" w:cs="宋体"/>
          <w:highlight w:val="none"/>
        </w:rPr>
        <w:t>中标结果公示</w:t>
      </w:r>
      <w:bookmarkEnd w:id="573"/>
    </w:p>
    <w:p w14:paraId="0718115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招标人在确定中标人之日起3日内，按照投标人须知前附表规定的公示媒介和期限公示中标结果。</w:t>
      </w:r>
    </w:p>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14:paraId="76BD1912">
      <w:pPr>
        <w:pStyle w:val="3"/>
        <w:ind w:firstLine="422" w:firstLineChars="200"/>
        <w:rPr>
          <w:rFonts w:ascii="宋体" w:hAnsi="宋体" w:eastAsia="宋体" w:cs="宋体"/>
          <w:highlight w:val="none"/>
        </w:rPr>
      </w:pPr>
      <w:bookmarkStart w:id="574" w:name="_Toc246996213"/>
      <w:bookmarkStart w:id="575" w:name="_Toc15058892"/>
      <w:bookmarkStart w:id="576" w:name="_Toc35425095"/>
      <w:bookmarkStart w:id="577" w:name="_Toc144974537"/>
      <w:bookmarkStart w:id="578" w:name="_Toc296602459"/>
      <w:bookmarkStart w:id="579" w:name="_Toc506107307"/>
      <w:bookmarkStart w:id="580" w:name="_Toc247085727"/>
      <w:bookmarkStart w:id="581" w:name="_Toc152042345"/>
      <w:bookmarkStart w:id="582" w:name="_Toc78803362"/>
      <w:bookmarkStart w:id="583" w:name="_Toc25501"/>
      <w:bookmarkStart w:id="584" w:name="_Toc152045569"/>
      <w:bookmarkStart w:id="585" w:name="_Toc35424929"/>
      <w:bookmarkStart w:id="586" w:name="_Toc246996956"/>
      <w:bookmarkStart w:id="587" w:name="_Toc179632587"/>
      <w:bookmarkStart w:id="588" w:name="_Toc324404854"/>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履约担保</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612A633E">
      <w:pPr>
        <w:spacing w:line="440" w:lineRule="exact"/>
        <w:ind w:firstLine="420" w:firstLineChars="200"/>
        <w:jc w:val="left"/>
        <w:rPr>
          <w:rFonts w:hint="eastAsia" w:ascii="宋体" w:hAnsi="宋体" w:eastAsia="宋体" w:cs="宋体"/>
          <w:szCs w:val="21"/>
          <w:highlight w:val="none"/>
        </w:rPr>
      </w:pPr>
      <w:bookmarkStart w:id="589" w:name="_Toc35425096"/>
      <w:bookmarkStart w:id="590" w:name="_Toc78803363"/>
      <w:bookmarkStart w:id="591" w:name="_Toc247085728"/>
      <w:bookmarkStart w:id="592" w:name="_Toc506107308"/>
      <w:bookmarkStart w:id="593" w:name="_Toc144974538"/>
      <w:bookmarkStart w:id="594" w:name="_Toc246996214"/>
      <w:bookmarkStart w:id="595" w:name="_Toc35424930"/>
      <w:bookmarkStart w:id="596" w:name="_Toc152045570"/>
      <w:bookmarkStart w:id="597" w:name="_Toc246996957"/>
      <w:bookmarkStart w:id="598" w:name="_Toc296602460"/>
      <w:bookmarkStart w:id="599" w:name="_Toc152042346"/>
      <w:bookmarkStart w:id="600" w:name="_Toc11010"/>
      <w:bookmarkStart w:id="601" w:name="_Toc324404855"/>
      <w:bookmarkStart w:id="602" w:name="_Toc15058893"/>
      <w:bookmarkStart w:id="603" w:name="_Toc179632588"/>
      <w:r>
        <w:rPr>
          <w:rFonts w:hint="eastAsia" w:ascii="宋体" w:hAnsi="宋体" w:eastAsia="宋体" w:cs="宋体"/>
          <w:szCs w:val="21"/>
          <w:highlight w:val="none"/>
        </w:rPr>
        <w:t>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1在签订合同前，中标人应按投标人须知前附表规定的担保形式和招标文件第五章“合同条款及格式”规定的或者事先经过招标人书面认可的履约担保格式向招标人提交履约担保。联合体中标的，其履约担保应符合投标人须知前附表规定的金额、担保形式和招标文件第五章“合同条款及格式”规定的履约担保格式要求。</w:t>
      </w:r>
    </w:p>
    <w:p w14:paraId="7C6B336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.2 中标人不能按本章第7.</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.1项要求提交履约担保的，视为放弃中标，其投标保证金不予退还，给招标人造成的损失超过投标保证金数额的，中标人还应当对超过部分予以赔偿。</w:t>
      </w:r>
    </w:p>
    <w:p w14:paraId="3B4E380F">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7</w:t>
      </w:r>
      <w:r>
        <w:rPr>
          <w:rFonts w:hint="eastAsia" w:ascii="宋体" w:hAnsi="宋体" w:eastAsia="宋体" w:cs="宋体"/>
          <w:highlight w:val="none"/>
        </w:rPr>
        <w:t xml:space="preserve"> 签订合同</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72DE0C53">
      <w:pPr>
        <w:wordWrap w:val="0"/>
        <w:spacing w:line="440" w:lineRule="exact"/>
        <w:ind w:firstLine="420" w:firstLineChars="200"/>
        <w:jc w:val="left"/>
        <w:rPr>
          <w:rFonts w:hint="eastAsia" w:ascii="宋体" w:hAnsi="宋体" w:eastAsia="宋体" w:cs="宋体"/>
          <w:bCs/>
          <w:szCs w:val="21"/>
          <w:highlight w:val="none"/>
        </w:rPr>
      </w:pPr>
      <w:bookmarkStart w:id="604" w:name="_Toc15058894"/>
      <w:bookmarkStart w:id="605" w:name="_Toc506107309"/>
      <w:bookmarkStart w:id="606" w:name="_Toc324404856"/>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.1本招标工程的施工合同将授予按本须知第7.</w:t>
      </w:r>
      <w:r>
        <w:rPr>
          <w:rFonts w:hint="eastAsia" w:ascii="宋体" w:hAnsi="宋体" w:cs="宋体"/>
          <w:bCs/>
          <w:szCs w:val="21"/>
          <w:highlight w:val="none"/>
          <w:lang w:val="en-US" w:eastAsia="zh-CN"/>
        </w:rPr>
        <w:t>3</w:t>
      </w:r>
      <w:r>
        <w:rPr>
          <w:rFonts w:hint="eastAsia" w:ascii="宋体" w:hAnsi="宋体" w:eastAsia="宋体" w:cs="宋体"/>
          <w:bCs/>
          <w:szCs w:val="21"/>
          <w:highlight w:val="none"/>
        </w:rPr>
        <w:t xml:space="preserve">条规定所确定的中标人。 </w:t>
      </w:r>
    </w:p>
    <w:p w14:paraId="01C1DF48">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2招标人和中标人应当自中标通知书发出之日起30天内，根据招标文件和中标人的投标文件订立书面合同。中标人无正当理由拒签合同的，在签订合同时向招标人提出附加条件，或不按照招标文件要求提交履约保证金的，招标人取消其中标资格；给招标人造成的损失的，中标人还应当对予以赔偿。</w:t>
      </w:r>
    </w:p>
    <w:p w14:paraId="01E0BEC3">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.3发出中标通知书后，招标单位无正当理由拒签合同的，给中标人造成损失的，还应当赔偿损失。</w:t>
      </w:r>
    </w:p>
    <w:p w14:paraId="15321B34">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7.</w:t>
      </w:r>
      <w:r>
        <w:rPr>
          <w:rFonts w:hint="eastAsia" w:ascii="宋体" w:hAnsi="宋体" w:eastAsia="宋体" w:cs="宋体"/>
          <w:bCs/>
          <w:szCs w:val="21"/>
          <w:highlight w:val="none"/>
          <w:lang w:val="en-US" w:eastAsia="zh-CN"/>
        </w:rPr>
        <w:t>7</w:t>
      </w:r>
      <w:r>
        <w:rPr>
          <w:rFonts w:hint="eastAsia" w:ascii="宋体" w:hAnsi="宋体" w:eastAsia="宋体" w:cs="宋体"/>
          <w:bCs/>
          <w:szCs w:val="21"/>
          <w:highlight w:val="none"/>
        </w:rPr>
        <w:t>.4除法定情形外，建设工程合同履行期间项目经理（建造师）不得更换。项目经理（建造师）确需变更的，应根据招标文件要求，变更后的项目经理（建造师）不低于投标文件中拟派项目经理（建造师）的资格条件。</w:t>
      </w:r>
    </w:p>
    <w:bookmarkEnd w:id="604"/>
    <w:bookmarkEnd w:id="605"/>
    <w:bookmarkEnd w:id="606"/>
    <w:p w14:paraId="57E42931">
      <w:pPr>
        <w:pStyle w:val="3"/>
        <w:spacing w:beforeLines="50" w:afterLines="50"/>
        <w:ind w:firstLine="422" w:firstLineChars="200"/>
        <w:rPr>
          <w:rFonts w:hint="eastAsia" w:ascii="宋体" w:hAnsi="宋体" w:eastAsia="宋体" w:cs="宋体"/>
          <w:highlight w:val="none"/>
        </w:rPr>
      </w:pPr>
      <w:bookmarkStart w:id="607" w:name="_Toc152042347"/>
      <w:bookmarkStart w:id="608" w:name="_Toc95223381"/>
      <w:bookmarkStart w:id="609" w:name="_Toc144974539"/>
      <w:bookmarkStart w:id="610" w:name="_Toc179632589"/>
      <w:bookmarkStart w:id="611" w:name="_Toc60061478"/>
      <w:bookmarkStart w:id="612" w:name="_Toc83301732"/>
      <w:bookmarkStart w:id="613" w:name="_Toc152045571"/>
      <w:bookmarkStart w:id="614" w:name="_Toc35425097"/>
      <w:bookmarkStart w:id="615" w:name="_Toc25375"/>
      <w:bookmarkStart w:id="616" w:name="_Toc78803367"/>
      <w:bookmarkStart w:id="617" w:name="_Toc31686"/>
      <w:bookmarkStart w:id="618" w:name="_Toc35424931"/>
      <w:bookmarkStart w:id="619" w:name="_Toc26974"/>
      <w:bookmarkStart w:id="620" w:name="_Toc324404864"/>
      <w:bookmarkStart w:id="621" w:name="_Toc15058902"/>
      <w:bookmarkStart w:id="622" w:name="_Toc35425105"/>
      <w:bookmarkStart w:id="623" w:name="_Toc35424939"/>
      <w:bookmarkStart w:id="624" w:name="_Toc506107317"/>
      <w:bookmarkStart w:id="625" w:name="_Toc296602475"/>
      <w:r>
        <w:rPr>
          <w:rFonts w:hint="eastAsia" w:ascii="宋体" w:hAnsi="宋体" w:eastAsia="宋体" w:cs="宋体"/>
          <w:highlight w:val="none"/>
        </w:rPr>
        <w:t>8. 重新招标和不再招标</w:t>
      </w:r>
      <w:bookmarkEnd w:id="607"/>
      <w:bookmarkEnd w:id="608"/>
      <w:bookmarkEnd w:id="609"/>
      <w:bookmarkEnd w:id="610"/>
      <w:bookmarkEnd w:id="611"/>
      <w:bookmarkEnd w:id="612"/>
      <w:bookmarkEnd w:id="613"/>
    </w:p>
    <w:p w14:paraId="774B94FD">
      <w:pPr>
        <w:pStyle w:val="3"/>
        <w:ind w:firstLine="422" w:firstLineChars="200"/>
        <w:rPr>
          <w:rFonts w:hint="eastAsia" w:ascii="宋体" w:hAnsi="宋体" w:eastAsia="宋体" w:cs="宋体"/>
          <w:highlight w:val="none"/>
        </w:rPr>
      </w:pPr>
      <w:bookmarkStart w:id="626" w:name="_Toc144974540"/>
      <w:bookmarkStart w:id="627" w:name="_Toc60061479"/>
      <w:bookmarkStart w:id="628" w:name="_Toc95223382"/>
      <w:bookmarkStart w:id="629" w:name="_Toc152045572"/>
      <w:bookmarkStart w:id="630" w:name="_Toc83301733"/>
      <w:bookmarkStart w:id="631" w:name="_Toc152042348"/>
      <w:bookmarkStart w:id="632" w:name="_Toc179632590"/>
      <w:r>
        <w:rPr>
          <w:rFonts w:hint="eastAsia" w:ascii="宋体" w:hAnsi="宋体" w:eastAsia="宋体" w:cs="宋体"/>
          <w:highlight w:val="none"/>
        </w:rPr>
        <w:t>8.1 重新招标</w:t>
      </w:r>
      <w:bookmarkEnd w:id="626"/>
      <w:bookmarkEnd w:id="627"/>
      <w:bookmarkEnd w:id="628"/>
      <w:bookmarkEnd w:id="629"/>
      <w:bookmarkEnd w:id="630"/>
      <w:bookmarkEnd w:id="631"/>
      <w:bookmarkEnd w:id="632"/>
    </w:p>
    <w:p w14:paraId="243115F1">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依法必须招标的项目有下列情形之一的，招标人将重新招标：</w:t>
      </w:r>
    </w:p>
    <w:p w14:paraId="71A327E5">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（1）投标截止时间止，投标人少于3个的；</w:t>
      </w:r>
    </w:p>
    <w:p w14:paraId="53761C98">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（2）经评标委员会评审后否决所有投标的；</w:t>
      </w:r>
    </w:p>
    <w:p w14:paraId="3412299B">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（3）中标候选人均未与招标人签订合同的；</w:t>
      </w:r>
    </w:p>
    <w:p w14:paraId="4115D547">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（4）法律、法规规定的其他情形。</w:t>
      </w:r>
    </w:p>
    <w:p w14:paraId="077F17AF">
      <w:pPr>
        <w:pStyle w:val="3"/>
        <w:ind w:firstLine="422" w:firstLineChars="200"/>
        <w:rPr>
          <w:rFonts w:hint="eastAsia" w:ascii="宋体" w:hAnsi="宋体" w:eastAsia="宋体" w:cs="宋体"/>
          <w:highlight w:val="none"/>
        </w:rPr>
      </w:pPr>
      <w:bookmarkStart w:id="633" w:name="_Toc152042349"/>
      <w:bookmarkStart w:id="634" w:name="_Toc144974541"/>
      <w:bookmarkStart w:id="635" w:name="_Toc83301734"/>
      <w:bookmarkStart w:id="636" w:name="_Toc179632591"/>
      <w:bookmarkStart w:id="637" w:name="_Toc152045573"/>
      <w:bookmarkStart w:id="638" w:name="_Toc60061480"/>
      <w:bookmarkStart w:id="639" w:name="_Toc95223383"/>
      <w:r>
        <w:rPr>
          <w:rFonts w:hint="eastAsia" w:ascii="宋体" w:hAnsi="宋体" w:eastAsia="宋体" w:cs="宋体"/>
          <w:highlight w:val="none"/>
        </w:rPr>
        <w:t>8.2 不再招标</w:t>
      </w:r>
      <w:bookmarkEnd w:id="633"/>
      <w:bookmarkEnd w:id="634"/>
      <w:bookmarkEnd w:id="635"/>
      <w:bookmarkEnd w:id="636"/>
      <w:bookmarkEnd w:id="637"/>
      <w:bookmarkEnd w:id="638"/>
      <w:bookmarkEnd w:id="639"/>
    </w:p>
    <w:p w14:paraId="79E8730A">
      <w:pPr>
        <w:wordWrap w:val="0"/>
        <w:spacing w:line="440" w:lineRule="exact"/>
        <w:ind w:firstLine="420" w:firstLineChars="200"/>
        <w:jc w:val="left"/>
        <w:rPr>
          <w:rFonts w:hint="eastAsia" w:ascii="宋体" w:hAnsi="宋体" w:eastAsia="宋体" w:cs="宋体"/>
          <w:bCs/>
          <w:szCs w:val="21"/>
          <w:highlight w:val="none"/>
        </w:rPr>
      </w:pPr>
      <w:r>
        <w:rPr>
          <w:rFonts w:hint="eastAsia" w:ascii="宋体" w:hAnsi="宋体" w:eastAsia="宋体" w:cs="宋体"/>
          <w:bCs/>
          <w:szCs w:val="21"/>
          <w:highlight w:val="none"/>
        </w:rPr>
        <w:t>重新招标后投标人仍少于3个或者所有投标被否决的，属于必须审批或核准的工程建设项目，经原审批或核准部门批准后不再进行招标。</w:t>
      </w:r>
    </w:p>
    <w:p w14:paraId="31B2E77F">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9. 纪律和监督</w:t>
      </w:r>
      <w:bookmarkEnd w:id="614"/>
      <w:bookmarkEnd w:id="615"/>
      <w:bookmarkEnd w:id="616"/>
      <w:bookmarkEnd w:id="617"/>
      <w:bookmarkEnd w:id="618"/>
      <w:bookmarkEnd w:id="619"/>
    </w:p>
    <w:p w14:paraId="49CA1A8F">
      <w:pPr>
        <w:pStyle w:val="3"/>
        <w:ind w:firstLine="422" w:firstLineChars="200"/>
        <w:rPr>
          <w:rFonts w:ascii="宋体" w:hAnsi="宋体" w:eastAsia="宋体" w:cs="宋体"/>
          <w:highlight w:val="none"/>
        </w:rPr>
      </w:pPr>
      <w:bookmarkStart w:id="640" w:name="_Toc35425098"/>
      <w:bookmarkStart w:id="641" w:name="_Toc324404857"/>
      <w:bookmarkStart w:id="642" w:name="_Toc152045575"/>
      <w:bookmarkStart w:id="643" w:name="_Toc15058895"/>
      <w:bookmarkStart w:id="644" w:name="_Toc246996219"/>
      <w:bookmarkStart w:id="645" w:name="_Toc78803368"/>
      <w:bookmarkStart w:id="646" w:name="_Toc506107310"/>
      <w:bookmarkStart w:id="647" w:name="_Toc296590983"/>
      <w:bookmarkStart w:id="648" w:name="_Toc247085733"/>
      <w:bookmarkStart w:id="649" w:name="_Toc144974543"/>
      <w:bookmarkStart w:id="650" w:name="_Toc246996962"/>
      <w:bookmarkStart w:id="651" w:name="_Toc2855"/>
      <w:bookmarkStart w:id="652" w:name="_Toc152042351"/>
      <w:bookmarkStart w:id="653" w:name="_Toc179632593"/>
      <w:bookmarkStart w:id="654" w:name="_Toc296602462"/>
      <w:bookmarkStart w:id="655" w:name="_Toc15607"/>
      <w:bookmarkStart w:id="656" w:name="_Toc35424932"/>
      <w:r>
        <w:rPr>
          <w:rFonts w:hint="eastAsia" w:ascii="宋体" w:hAnsi="宋体" w:eastAsia="宋体" w:cs="宋体"/>
          <w:highlight w:val="none"/>
        </w:rPr>
        <w:t>9.1 对招标人的纪律要求</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57" w:name="_Toc78803369"/>
      <w:bookmarkStart w:id="658" w:name="_Toc144974544"/>
      <w:bookmarkStart w:id="659" w:name="_Toc179632594"/>
      <w:bookmarkStart w:id="660" w:name="_Toc246996963"/>
      <w:bookmarkStart w:id="661" w:name="_Toc35425099"/>
      <w:bookmarkStart w:id="662" w:name="_Toc152042352"/>
      <w:bookmarkStart w:id="663" w:name="_Toc32177"/>
      <w:bookmarkStart w:id="664" w:name="_Toc506107311"/>
      <w:bookmarkStart w:id="665" w:name="_Toc247085734"/>
      <w:bookmarkStart w:id="666" w:name="_Toc324404858"/>
      <w:bookmarkStart w:id="667" w:name="_Toc296602463"/>
      <w:bookmarkStart w:id="668" w:name="_Toc35424933"/>
      <w:bookmarkStart w:id="669" w:name="_Toc15058896"/>
      <w:bookmarkStart w:id="670" w:name="_Toc19779"/>
      <w:bookmarkStart w:id="671" w:name="_Toc152045576"/>
      <w:bookmarkStart w:id="672" w:name="_Toc246996220"/>
      <w:r>
        <w:rPr>
          <w:rFonts w:hint="eastAsia" w:ascii="宋体" w:hAnsi="宋体" w:eastAsia="宋体" w:cs="宋体"/>
          <w:highlight w:val="none"/>
        </w:rPr>
        <w:t>9.2 对投标人的纪律要求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73" w:name="_Toc13043"/>
      <w:bookmarkStart w:id="674" w:name="_Toc12564"/>
      <w:bookmarkStart w:id="675" w:name="_Toc247085735"/>
      <w:bookmarkStart w:id="676" w:name="_Toc144974545"/>
      <w:bookmarkStart w:id="677" w:name="_Toc246996221"/>
      <w:bookmarkStart w:id="678" w:name="_Toc35424934"/>
      <w:bookmarkStart w:id="679" w:name="_Toc324404859"/>
      <w:bookmarkStart w:id="680" w:name="_Toc246996964"/>
      <w:bookmarkStart w:id="681" w:name="_Toc296602464"/>
      <w:bookmarkStart w:id="682" w:name="_Toc15058897"/>
      <w:bookmarkStart w:id="683" w:name="_Toc506107312"/>
      <w:bookmarkStart w:id="684" w:name="_Toc152045577"/>
      <w:bookmarkStart w:id="685" w:name="_Toc179632595"/>
      <w:bookmarkStart w:id="686" w:name="_Toc152042353"/>
      <w:bookmarkStart w:id="687" w:name="_Toc78803370"/>
      <w:bookmarkStart w:id="688" w:name="_Toc35425100"/>
      <w:r>
        <w:rPr>
          <w:rFonts w:hint="eastAsia" w:ascii="宋体" w:hAnsi="宋体" w:eastAsia="宋体" w:cs="宋体"/>
          <w:highlight w:val="none"/>
        </w:rPr>
        <w:t>9.3 对评标委员会成员的纪律要求</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89" w:name="_Toc35424935"/>
      <w:bookmarkStart w:id="690" w:name="_Toc324404860"/>
      <w:bookmarkStart w:id="691" w:name="_Toc247085736"/>
      <w:bookmarkStart w:id="692" w:name="_Toc506107313"/>
      <w:bookmarkStart w:id="693" w:name="_Toc246996222"/>
      <w:bookmarkStart w:id="694" w:name="_Toc152042354"/>
      <w:bookmarkStart w:id="695" w:name="_Toc18329"/>
      <w:bookmarkStart w:id="696" w:name="_Toc296602465"/>
      <w:bookmarkStart w:id="697" w:name="_Toc179632596"/>
      <w:bookmarkStart w:id="698" w:name="_Toc246996965"/>
      <w:bookmarkStart w:id="699" w:name="_Toc32214"/>
      <w:bookmarkStart w:id="700" w:name="_Toc15058898"/>
      <w:bookmarkStart w:id="701" w:name="_Toc35425101"/>
      <w:bookmarkStart w:id="702" w:name="_Toc78803371"/>
      <w:bookmarkStart w:id="703" w:name="_Toc152045578"/>
      <w:bookmarkStart w:id="704" w:name="_Toc144974546"/>
      <w:r>
        <w:rPr>
          <w:rFonts w:hint="eastAsia" w:ascii="宋体" w:hAnsi="宋体" w:eastAsia="宋体" w:cs="宋体"/>
          <w:highlight w:val="none"/>
        </w:rPr>
        <w:t>9.4 对与评标活动有关的工作人员的纪律要求</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766BE765">
      <w:pPr>
        <w:spacing w:line="440" w:lineRule="exact"/>
        <w:ind w:firstLine="420" w:firstLineChars="200"/>
        <w:jc w:val="left"/>
        <w:rPr>
          <w:rFonts w:ascii="宋体" w:hAnsi="宋体" w:cs="宋体"/>
          <w:szCs w:val="21"/>
          <w:highlight w:val="none"/>
        </w:rPr>
      </w:pPr>
      <w:bookmarkStart w:id="705"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705"/>
    </w:p>
    <w:p w14:paraId="6EC5285F">
      <w:pPr>
        <w:pStyle w:val="3"/>
        <w:ind w:firstLine="422" w:firstLineChars="200"/>
        <w:rPr>
          <w:rFonts w:ascii="宋体" w:hAnsi="宋体" w:eastAsia="宋体" w:cs="宋体"/>
          <w:highlight w:val="none"/>
        </w:rPr>
      </w:pPr>
      <w:bookmarkStart w:id="706" w:name="_Toc152045579"/>
      <w:bookmarkStart w:id="707" w:name="_Toc35424936"/>
      <w:bookmarkStart w:id="708" w:name="_Toc247085737"/>
      <w:bookmarkStart w:id="709" w:name="_Toc296602466"/>
      <w:bookmarkStart w:id="710" w:name="_Toc324404861"/>
      <w:bookmarkStart w:id="711" w:name="_Toc246996223"/>
      <w:bookmarkStart w:id="712" w:name="_Toc506107314"/>
      <w:bookmarkStart w:id="713" w:name="_Toc2811"/>
      <w:bookmarkStart w:id="714" w:name="_Toc152042356"/>
      <w:bookmarkStart w:id="715" w:name="_Toc78803372"/>
      <w:bookmarkStart w:id="716" w:name="_Toc179632597"/>
      <w:bookmarkStart w:id="717" w:name="_Toc15058899"/>
      <w:bookmarkStart w:id="718" w:name="_Toc23607"/>
      <w:bookmarkStart w:id="719" w:name="_Toc35425102"/>
      <w:bookmarkStart w:id="720" w:name="_Toc246996966"/>
      <w:r>
        <w:rPr>
          <w:rFonts w:hint="eastAsia" w:ascii="宋体" w:hAnsi="宋体" w:eastAsia="宋体" w:cs="宋体"/>
          <w:highlight w:val="none"/>
        </w:rPr>
        <w:t>9.5 投诉</w:t>
      </w:r>
      <w:bookmarkEnd w:id="704"/>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18A92B0B">
      <w:pPr>
        <w:spacing w:line="440" w:lineRule="exact"/>
        <w:ind w:firstLine="420" w:firstLineChars="200"/>
        <w:jc w:val="left"/>
        <w:rPr>
          <w:rFonts w:hint="eastAsia" w:ascii="宋体" w:hAnsi="宋体" w:eastAsia="宋体" w:cs="宋体"/>
          <w:szCs w:val="21"/>
          <w:highlight w:val="none"/>
        </w:rPr>
      </w:pPr>
      <w:bookmarkStart w:id="721" w:name="_Toc179632598"/>
      <w:bookmarkStart w:id="722" w:name="_Toc16463"/>
      <w:bookmarkStart w:id="723" w:name="_Toc247085738"/>
      <w:bookmarkStart w:id="724" w:name="_Toc35424937"/>
      <w:bookmarkStart w:id="725" w:name="_Toc31643"/>
      <w:bookmarkStart w:id="726" w:name="_Toc152045580"/>
      <w:bookmarkStart w:id="727" w:name="_Toc152042357"/>
      <w:bookmarkStart w:id="728" w:name="_Toc144974547"/>
      <w:bookmarkStart w:id="729" w:name="_Toc78803373"/>
      <w:bookmarkStart w:id="730" w:name="_Toc20669"/>
      <w:bookmarkStart w:id="731" w:name="_Toc246996224"/>
      <w:bookmarkStart w:id="732" w:name="_Toc324404862"/>
      <w:bookmarkStart w:id="733" w:name="_Toc35425103"/>
      <w:bookmarkStart w:id="734" w:name="_Toc246996967"/>
      <w:bookmarkStart w:id="735" w:name="_Toc15058900"/>
      <w:bookmarkStart w:id="736" w:name="_Toc506107315"/>
      <w:r>
        <w:rPr>
          <w:rFonts w:hint="eastAsia" w:ascii="宋体" w:hAnsi="宋体" w:eastAsia="宋体" w:cs="宋体"/>
          <w:szCs w:val="21"/>
          <w:highlight w:val="none"/>
        </w:rPr>
        <w:t>9.5.1投标人或者其他利害关系人认为招标投标活动违反法律、法规和规章规定的，有权向相关行政监督部门投诉。投诉应当有明确的请求和必要的证明材料。</w:t>
      </w:r>
    </w:p>
    <w:p w14:paraId="64A3032D">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9.5.2投标人和其他利害关系人对招标文件、开标和评标结果事项投诉的，应当按照投标人须知的规定先向招标人提出异议。异议答复期间不计算在第9.5.1项规定的期限内。</w:t>
      </w:r>
    </w:p>
    <w:p w14:paraId="39FC7842">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10.需要补充的其他内容</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2610702A">
      <w:pPr>
        <w:spacing w:line="440" w:lineRule="exact"/>
        <w:ind w:firstLine="420" w:firstLineChars="200"/>
        <w:jc w:val="left"/>
        <w:rPr>
          <w:rFonts w:ascii="宋体" w:hAnsi="宋体" w:cs="宋体"/>
          <w:szCs w:val="21"/>
          <w:highlight w:val="none"/>
        </w:rPr>
      </w:pPr>
      <w:bookmarkStart w:id="737" w:name="_Toc15058901"/>
      <w:r>
        <w:rPr>
          <w:rFonts w:hint="eastAsia" w:ascii="宋体" w:hAnsi="宋体" w:cs="宋体"/>
          <w:szCs w:val="21"/>
          <w:highlight w:val="none"/>
        </w:rPr>
        <w:t>需要补充的其他内容：见投标人须知前附表。</w:t>
      </w:r>
      <w:bookmarkEnd w:id="737"/>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38" w:name="_Toc78803375"/>
      <w:r>
        <w:rPr>
          <w:rFonts w:hint="eastAsia" w:ascii="宋体"/>
          <w:b/>
          <w:sz w:val="32"/>
          <w:szCs w:val="32"/>
          <w:highlight w:val="none"/>
        </w:rPr>
        <w:t>第</w:t>
      </w:r>
      <w:r>
        <w:rPr>
          <w:rFonts w:hint="eastAsia" w:ascii="宋体"/>
          <w:b/>
          <w:sz w:val="32"/>
          <w:szCs w:val="32"/>
          <w:highlight w:val="none"/>
          <w:lang w:val="en-US" w:eastAsia="zh-CN"/>
        </w:rPr>
        <w:t>三</w:t>
      </w:r>
      <w:r>
        <w:rPr>
          <w:rFonts w:hint="eastAsia" w:ascii="宋体"/>
          <w:b/>
          <w:sz w:val="32"/>
          <w:szCs w:val="32"/>
          <w:highlight w:val="none"/>
        </w:rPr>
        <w:t>章  资格审查</w:t>
      </w:r>
      <w:bookmarkEnd w:id="620"/>
      <w:r>
        <w:rPr>
          <w:rFonts w:hint="eastAsia" w:ascii="宋体"/>
          <w:b/>
          <w:sz w:val="32"/>
          <w:szCs w:val="32"/>
          <w:highlight w:val="none"/>
        </w:rPr>
        <w:t>办法</w:t>
      </w:r>
      <w:bookmarkEnd w:id="621"/>
      <w:bookmarkEnd w:id="622"/>
      <w:bookmarkEnd w:id="623"/>
      <w:bookmarkEnd w:id="624"/>
      <w:bookmarkEnd w:id="738"/>
    </w:p>
    <w:p w14:paraId="510BB1C6">
      <w:pPr>
        <w:spacing w:beforeLines="50" w:afterLines="50" w:line="440" w:lineRule="exact"/>
        <w:jc w:val="center"/>
        <w:rPr>
          <w:rFonts w:ascii="宋体" w:hAnsi="宋体" w:cs="宋体"/>
          <w:b/>
          <w:bCs/>
          <w:sz w:val="28"/>
          <w:szCs w:val="22"/>
          <w:highlight w:val="none"/>
        </w:rPr>
      </w:pPr>
      <w:bookmarkStart w:id="739" w:name="_Toc324404865"/>
      <w:bookmarkStart w:id="740" w:name="_Toc506107318"/>
      <w:bookmarkStart w:id="741" w:name="_Toc35425106"/>
      <w:bookmarkStart w:id="742" w:name="_Toc35424940"/>
      <w:bookmarkStart w:id="743" w:name="_Toc15058903"/>
      <w:r>
        <w:rPr>
          <w:rFonts w:hint="eastAsia" w:ascii="宋体" w:hAnsi="宋体" w:cs="宋体"/>
          <w:b/>
          <w:bCs/>
          <w:sz w:val="28"/>
          <w:szCs w:val="22"/>
          <w:highlight w:val="none"/>
        </w:rPr>
        <w:t>资格审查办法前附表</w:t>
      </w:r>
      <w:bookmarkEnd w:id="739"/>
      <w:bookmarkEnd w:id="740"/>
      <w:bookmarkEnd w:id="741"/>
      <w:bookmarkEnd w:id="742"/>
      <w:bookmarkEnd w:id="743"/>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top"/>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top"/>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top"/>
          </w:tcPr>
          <w:p w14:paraId="7DE2EBA3">
            <w:pPr>
              <w:spacing w:line="440" w:lineRule="exact"/>
              <w:rPr>
                <w:rFonts w:ascii="宋体" w:hAnsi="宋体" w:cs="宋体"/>
                <w:szCs w:val="21"/>
                <w:highlight w:val="none"/>
              </w:rPr>
            </w:pPr>
            <w:r>
              <w:rPr>
                <w:rFonts w:hint="eastAsia" w:asci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25FC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65" w:type="dxa"/>
            <w:vMerge w:val="continue"/>
            <w:noWrap/>
            <w:vAlign w:val="center"/>
          </w:tcPr>
          <w:p w14:paraId="2D4982A9">
            <w:pPr>
              <w:spacing w:line="440" w:lineRule="exact"/>
              <w:jc w:val="center"/>
              <w:rPr>
                <w:rFonts w:ascii="宋体" w:hAnsi="宋体" w:cs="宋体"/>
                <w:szCs w:val="21"/>
                <w:highlight w:val="none"/>
              </w:rPr>
            </w:pPr>
          </w:p>
        </w:tc>
        <w:tc>
          <w:tcPr>
            <w:tcW w:w="1258" w:type="dxa"/>
            <w:vMerge w:val="continue"/>
            <w:noWrap/>
            <w:vAlign w:val="center"/>
          </w:tcPr>
          <w:p w14:paraId="0B3A3CE4">
            <w:pPr>
              <w:spacing w:line="440" w:lineRule="exact"/>
              <w:jc w:val="center"/>
              <w:rPr>
                <w:rFonts w:ascii="宋体" w:hAnsi="宋体" w:cs="宋体"/>
                <w:b/>
                <w:bCs/>
                <w:szCs w:val="21"/>
                <w:highlight w:val="none"/>
              </w:rPr>
            </w:pPr>
          </w:p>
        </w:tc>
        <w:tc>
          <w:tcPr>
            <w:tcW w:w="6183" w:type="dxa"/>
            <w:noWrap/>
            <w:vAlign w:val="top"/>
          </w:tcPr>
          <w:p w14:paraId="5DF3ACB3">
            <w:pPr>
              <w:spacing w:line="440" w:lineRule="exact"/>
              <w:rPr>
                <w:rFonts w:hint="eastAsia" w:ascii="宋体" w:hAnsi="宋体" w:eastAsia="宋体" w:cs="宋体"/>
                <w:szCs w:val="21"/>
                <w:highlight w:val="none"/>
                <w:lang w:val="en-US" w:eastAsia="zh-CN"/>
              </w:rPr>
            </w:pPr>
            <w:r>
              <w:rPr>
                <w:rFonts w:hint="eastAsia"/>
                <w:highlight w:val="none"/>
              </w:rPr>
              <w:t>企业资质</w:t>
            </w:r>
            <w:r>
              <w:rPr>
                <w:rFonts w:hint="eastAsia"/>
                <w:strike w:val="0"/>
                <w:dstrike w:val="0"/>
                <w:highlight w:val="none"/>
              </w:rPr>
              <w:t>证书</w:t>
            </w:r>
          </w:p>
        </w:tc>
        <w:tc>
          <w:tcPr>
            <w:tcW w:w="1860" w:type="dxa"/>
            <w:vMerge w:val="continue"/>
            <w:noWrap/>
            <w:vAlign w:val="center"/>
          </w:tcPr>
          <w:p w14:paraId="2E943AB5">
            <w:pPr>
              <w:spacing w:line="440" w:lineRule="exact"/>
              <w:rPr>
                <w:rFonts w:ascii="宋体" w:hAnsi="宋体" w:cs="宋体"/>
                <w:szCs w:val="21"/>
                <w:highlight w:val="none"/>
              </w:rPr>
            </w:pPr>
          </w:p>
        </w:tc>
      </w:tr>
      <w:tr w14:paraId="00FC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F88F031">
            <w:pPr>
              <w:spacing w:line="440" w:lineRule="exact"/>
              <w:jc w:val="center"/>
              <w:rPr>
                <w:rFonts w:ascii="宋体" w:hAnsi="宋体" w:cs="宋体"/>
                <w:szCs w:val="21"/>
                <w:highlight w:val="none"/>
              </w:rPr>
            </w:pPr>
          </w:p>
        </w:tc>
        <w:tc>
          <w:tcPr>
            <w:tcW w:w="1258" w:type="dxa"/>
            <w:vMerge w:val="continue"/>
            <w:noWrap/>
            <w:vAlign w:val="center"/>
          </w:tcPr>
          <w:p w14:paraId="4316256A">
            <w:pPr>
              <w:spacing w:line="440" w:lineRule="exact"/>
              <w:jc w:val="center"/>
              <w:rPr>
                <w:rFonts w:ascii="宋体" w:hAnsi="宋体" w:cs="宋体"/>
                <w:b/>
                <w:bCs/>
                <w:szCs w:val="21"/>
                <w:highlight w:val="none"/>
              </w:rPr>
            </w:pPr>
          </w:p>
        </w:tc>
        <w:tc>
          <w:tcPr>
            <w:tcW w:w="6183" w:type="dxa"/>
            <w:noWrap/>
            <w:vAlign w:val="top"/>
          </w:tcPr>
          <w:p w14:paraId="505DCD37">
            <w:pPr>
              <w:spacing w:line="440" w:lineRule="exact"/>
              <w:rPr>
                <w:rFonts w:hint="eastAsia" w:ascii="宋体" w:hAnsi="宋体" w:cs="宋体"/>
                <w:szCs w:val="21"/>
                <w:highlight w:val="none"/>
              </w:rPr>
            </w:pPr>
            <w:r>
              <w:rPr>
                <w:rFonts w:hint="eastAsia" w:ascii="宋体" w:hAnsi="宋体" w:cs="宋体"/>
                <w:szCs w:val="21"/>
                <w:highlight w:val="none"/>
              </w:rPr>
              <w:t>企业安全生产许可证</w:t>
            </w:r>
          </w:p>
        </w:tc>
        <w:tc>
          <w:tcPr>
            <w:tcW w:w="1860" w:type="dxa"/>
            <w:vMerge w:val="continue"/>
            <w:noWrap/>
            <w:vAlign w:val="center"/>
          </w:tcPr>
          <w:p w14:paraId="164A7BA0">
            <w:pPr>
              <w:spacing w:line="440" w:lineRule="exact"/>
              <w:rPr>
                <w:rFonts w:ascii="宋体" w:hAnsi="宋体" w:cs="宋体"/>
                <w:szCs w:val="21"/>
                <w:highlight w:val="none"/>
              </w:rPr>
            </w:pPr>
          </w:p>
        </w:tc>
      </w:tr>
      <w:tr w14:paraId="57C6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7B5BF40A">
            <w:pPr>
              <w:spacing w:line="440" w:lineRule="exact"/>
              <w:jc w:val="center"/>
              <w:rPr>
                <w:rFonts w:ascii="宋体" w:hAnsi="宋体" w:cs="宋体"/>
                <w:szCs w:val="21"/>
                <w:highlight w:val="none"/>
              </w:rPr>
            </w:pPr>
          </w:p>
        </w:tc>
        <w:tc>
          <w:tcPr>
            <w:tcW w:w="1258" w:type="dxa"/>
            <w:vMerge w:val="continue"/>
            <w:noWrap/>
            <w:vAlign w:val="center"/>
          </w:tcPr>
          <w:p w14:paraId="1672FBCB">
            <w:pPr>
              <w:spacing w:line="440" w:lineRule="exact"/>
              <w:jc w:val="center"/>
              <w:rPr>
                <w:rFonts w:ascii="宋体" w:hAnsi="宋体" w:cs="宋体"/>
                <w:b/>
                <w:bCs/>
                <w:szCs w:val="21"/>
                <w:highlight w:val="none"/>
              </w:rPr>
            </w:pPr>
          </w:p>
        </w:tc>
        <w:tc>
          <w:tcPr>
            <w:tcW w:w="6183" w:type="dxa"/>
            <w:noWrap/>
            <w:vAlign w:val="top"/>
          </w:tcPr>
          <w:p w14:paraId="39A66262">
            <w:pPr>
              <w:spacing w:line="440" w:lineRule="exact"/>
              <w:rPr>
                <w:rFonts w:hint="eastAsia" w:ascii="宋体" w:hAnsi="宋体" w:cs="宋体"/>
                <w:szCs w:val="21"/>
                <w:highlight w:val="none"/>
              </w:rPr>
            </w:pPr>
            <w:r>
              <w:rPr>
                <w:rFonts w:hint="eastAsia" w:ascii="宋体" w:hAnsi="宋体" w:cs="宋体"/>
                <w:color w:val="000000"/>
                <w:szCs w:val="21"/>
                <w:highlight w:val="none"/>
              </w:rPr>
              <w:t>项目经理（建造师）有效身份证、注册证书以及安全生产考核合格证书（B证）</w:t>
            </w:r>
          </w:p>
        </w:tc>
        <w:tc>
          <w:tcPr>
            <w:tcW w:w="1860" w:type="dxa"/>
            <w:vMerge w:val="continue"/>
            <w:noWrap/>
            <w:vAlign w:val="center"/>
          </w:tcPr>
          <w:p w14:paraId="6D5619AD">
            <w:pPr>
              <w:spacing w:line="440" w:lineRule="exact"/>
              <w:rPr>
                <w:rFonts w:ascii="宋体" w:hAnsi="宋体" w:cs="宋体"/>
                <w:szCs w:val="21"/>
                <w:highlight w:val="none"/>
              </w:rPr>
            </w:pPr>
          </w:p>
        </w:tc>
      </w:tr>
      <w:tr w14:paraId="7DB1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8DED1D1">
            <w:pPr>
              <w:spacing w:line="440" w:lineRule="exact"/>
              <w:jc w:val="center"/>
              <w:rPr>
                <w:rFonts w:ascii="宋体" w:hAnsi="宋体" w:cs="宋体"/>
                <w:szCs w:val="21"/>
                <w:highlight w:val="none"/>
              </w:rPr>
            </w:pPr>
          </w:p>
        </w:tc>
        <w:tc>
          <w:tcPr>
            <w:tcW w:w="1258" w:type="dxa"/>
            <w:vMerge w:val="continue"/>
            <w:noWrap/>
            <w:vAlign w:val="center"/>
          </w:tcPr>
          <w:p w14:paraId="4F1354A2">
            <w:pPr>
              <w:spacing w:line="440" w:lineRule="exact"/>
              <w:jc w:val="center"/>
              <w:rPr>
                <w:rFonts w:ascii="宋体" w:hAnsi="宋体" w:cs="宋体"/>
                <w:b/>
                <w:bCs/>
                <w:szCs w:val="21"/>
                <w:highlight w:val="none"/>
              </w:rPr>
            </w:pPr>
          </w:p>
        </w:tc>
        <w:tc>
          <w:tcPr>
            <w:tcW w:w="6183" w:type="dxa"/>
            <w:noWrap/>
            <w:vAlign w:val="top"/>
          </w:tcPr>
          <w:p w14:paraId="16C90B83">
            <w:pPr>
              <w:spacing w:line="440" w:lineRule="exac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拟任项目经理（建造师）须持有社保部门出具的本单位为其缴纳的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7DE90B94">
            <w:pPr>
              <w:spacing w:line="440" w:lineRule="exact"/>
              <w:rPr>
                <w:rFonts w:ascii="宋体" w:hAnsi="宋体" w:cs="宋体"/>
                <w:szCs w:val="21"/>
                <w:highlight w:val="none"/>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tc>
        <w:tc>
          <w:tcPr>
            <w:tcW w:w="1860" w:type="dxa"/>
            <w:vMerge w:val="continue"/>
            <w:noWrap/>
            <w:vAlign w:val="center"/>
          </w:tcPr>
          <w:p w14:paraId="7F3427B0">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7D2EA3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w:t>
      </w:r>
      <w:r>
        <w:rPr>
          <w:rFonts w:hint="eastAsia" w:ascii="宋体" w:hAnsi="宋体" w:eastAsia="宋体" w:cs="宋体"/>
          <w:b/>
          <w:bCs/>
          <w:szCs w:val="21"/>
          <w:highlight w:val="none"/>
          <w:lang w:val="en-US" w:eastAsia="zh-CN"/>
        </w:rPr>
        <w:t>2）</w:t>
      </w:r>
      <w:r>
        <w:rPr>
          <w:rFonts w:hint="eastAsia" w:ascii="宋体" w:hAnsi="宋体" w:eastAsia="宋体" w:cs="宋体"/>
          <w:b/>
          <w:bCs/>
          <w:szCs w:val="21"/>
          <w:highlight w:val="none"/>
        </w:rPr>
        <w:t>投标人拟委任项目经理为注册建造师（含一级、二级）的，须提供在电子证书使用有效期内的纸质版电子证书。一级建造师打印电子证书后，应在个人签名处手写本人签名，未手写签名或与签名图像笔迹不一致的，该电子证书无效。</w:t>
      </w:r>
    </w:p>
    <w:p w14:paraId="5B4DF0B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2" w:firstLineChars="200"/>
        <w:jc w:val="left"/>
        <w:textAlignment w:val="auto"/>
        <w:rPr>
          <w:rFonts w:hint="eastAsia" w:ascii="宋体" w:hAnsi="宋体" w:eastAsia="宋体" w:cs="宋体"/>
          <w:b/>
          <w:bCs/>
          <w:szCs w:val="21"/>
          <w:highlight w:val="none"/>
        </w:rPr>
      </w:pPr>
      <w:r>
        <w:rPr>
          <w:rFonts w:hint="eastAsia" w:ascii="宋体" w:hAnsi="宋体" w:eastAsia="宋体" w:cs="宋体"/>
          <w:b/>
          <w:bCs/>
          <w:szCs w:val="21"/>
          <w:highlight w:val="none"/>
        </w:rPr>
        <w:t>投标人提供的安徽省新版二级建造师电子注册证书纸质版需在安徽省住房和城乡建设执业资格注册管理系统中打印，打印后应由二级建造师本人在证书的个人签名处手写本人签名，或在新版二级建造师电子注册证书纸质版后附其本人知情承诺（视为个人签名处的手写本人签名），格式自拟。未手写个人签名或未提供二级建造师本人知情承诺的，个人签名或知情承诺签字与签名图片笔迹不一致，此证书无效。其他省份按各省相关规定执行。</w:t>
      </w:r>
    </w:p>
    <w:p w14:paraId="4A8A3FCB">
      <w:pPr>
        <w:pStyle w:val="3"/>
        <w:spacing w:beforeLines="50" w:afterLines="50"/>
        <w:ind w:firstLine="422" w:firstLineChars="200"/>
        <w:rPr>
          <w:rFonts w:ascii="宋体" w:hAnsi="宋体" w:eastAsia="宋体" w:cs="宋体"/>
          <w:highlight w:val="none"/>
        </w:rPr>
      </w:pPr>
      <w:bookmarkStart w:id="744" w:name="_Toc324404866"/>
      <w:bookmarkStart w:id="745" w:name="_Toc78803376"/>
      <w:bookmarkStart w:id="746" w:name="_Toc35424941"/>
      <w:bookmarkStart w:id="747" w:name="_Toc15058904"/>
      <w:bookmarkStart w:id="748" w:name="_Toc27127"/>
      <w:bookmarkStart w:id="749" w:name="_Toc506107319"/>
      <w:bookmarkStart w:id="750" w:name="_Toc35425107"/>
      <w:r>
        <w:rPr>
          <w:rFonts w:hint="eastAsia" w:ascii="宋体" w:hAnsi="宋体" w:eastAsia="宋体" w:cs="宋体"/>
          <w:highlight w:val="none"/>
        </w:rPr>
        <w:t>1.审查资料</w:t>
      </w:r>
      <w:bookmarkEnd w:id="744"/>
      <w:bookmarkEnd w:id="745"/>
      <w:bookmarkEnd w:id="746"/>
      <w:bookmarkEnd w:id="747"/>
      <w:bookmarkEnd w:id="748"/>
      <w:bookmarkEnd w:id="749"/>
      <w:bookmarkEnd w:id="750"/>
    </w:p>
    <w:p w14:paraId="118C6000">
      <w:pPr>
        <w:spacing w:line="440" w:lineRule="exact"/>
        <w:ind w:right="-168" w:rightChars="-80" w:firstLine="420" w:firstLineChars="200"/>
        <w:jc w:val="left"/>
        <w:rPr>
          <w:rFonts w:hint="eastAsia" w:ascii="宋体" w:hAnsi="宋体" w:eastAsia="宋体" w:cs="宋体"/>
          <w:szCs w:val="21"/>
          <w:highlight w:val="none"/>
        </w:rPr>
      </w:pPr>
      <w:bookmarkStart w:id="751" w:name="_Toc324404867"/>
      <w:bookmarkStart w:id="752" w:name="_Toc35425108"/>
      <w:bookmarkStart w:id="753" w:name="_Toc506107320"/>
      <w:bookmarkStart w:id="754" w:name="_Toc12549"/>
      <w:bookmarkStart w:id="755" w:name="_Toc78803377"/>
      <w:bookmarkStart w:id="756" w:name="_Toc35424942"/>
      <w:bookmarkStart w:id="757" w:name="_Toc15058909"/>
      <w:r>
        <w:rPr>
          <w:rFonts w:hint="eastAsia" w:ascii="宋体" w:hAnsi="宋体" w:eastAsia="宋体" w:cs="宋体"/>
          <w:szCs w:val="21"/>
          <w:highlight w:val="none"/>
        </w:rPr>
        <w:t>①法定代表人身份证明和本人有效身份证(或法定代表人授权委托书和委托代理人有效身份证)；</w:t>
      </w:r>
    </w:p>
    <w:p w14:paraId="62445882">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②诚信投标承诺书；</w:t>
      </w:r>
    </w:p>
    <w:p w14:paraId="41DE15A7">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③企业法人营业执照；</w:t>
      </w:r>
    </w:p>
    <w:p w14:paraId="4FB16298">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szCs w:val="21"/>
          <w:highlight w:val="none"/>
        </w:rPr>
        <w:t>④</w:t>
      </w:r>
      <w:r>
        <w:rPr>
          <w:rFonts w:hint="eastAsia"/>
          <w:highlight w:val="none"/>
        </w:rPr>
        <w:t>企业资</w:t>
      </w:r>
      <w:r>
        <w:rPr>
          <w:rFonts w:hint="eastAsia" w:ascii="宋体" w:hAnsi="宋体" w:eastAsia="宋体" w:cs="宋体"/>
          <w:color w:val="000000"/>
          <w:szCs w:val="21"/>
          <w:highlight w:val="none"/>
        </w:rPr>
        <w:t>质证书</w:t>
      </w:r>
      <w:r>
        <w:rPr>
          <w:rFonts w:hint="eastAsia" w:ascii="宋体" w:hAnsi="宋体" w:eastAsia="宋体" w:cs="宋体"/>
          <w:color w:val="000000"/>
          <w:szCs w:val="21"/>
          <w:highlight w:val="none"/>
          <w:lang w:eastAsia="zh-CN"/>
        </w:rPr>
        <w:t>；</w:t>
      </w:r>
    </w:p>
    <w:p w14:paraId="5EA04DDC">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⑤企业安全生产许可证）</w:t>
      </w:r>
      <w:r>
        <w:rPr>
          <w:rFonts w:hint="eastAsia" w:ascii="宋体" w:hAnsi="宋体" w:eastAsia="宋体" w:cs="宋体"/>
          <w:color w:val="000000"/>
          <w:szCs w:val="21"/>
          <w:highlight w:val="none"/>
          <w:lang w:eastAsia="zh-CN"/>
        </w:rPr>
        <w:t>；</w:t>
      </w:r>
    </w:p>
    <w:p w14:paraId="3F05D33A">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⑥项目经理（建造师）有效身份证、注册证书以及安全生产考核合格证书（B证）</w:t>
      </w:r>
      <w:r>
        <w:rPr>
          <w:rFonts w:hint="eastAsia" w:ascii="宋体" w:hAnsi="宋体" w:eastAsia="宋体" w:cs="宋体"/>
          <w:color w:val="000000"/>
          <w:szCs w:val="21"/>
          <w:highlight w:val="none"/>
          <w:lang w:eastAsia="zh-CN"/>
        </w:rPr>
        <w:t>；</w:t>
      </w:r>
    </w:p>
    <w:p w14:paraId="325011DD">
      <w:pPr>
        <w:spacing w:line="440" w:lineRule="exact"/>
        <w:ind w:right="-168" w:rightChars="-80" w:firstLine="420" w:firstLineChars="200"/>
        <w:jc w:val="left"/>
        <w:rPr>
          <w:rFonts w:hint="eastAsia" w:ascii="宋体" w:hAnsi="宋体" w:eastAsia="宋体" w:cs="宋体"/>
          <w:color w:val="000000"/>
          <w:szCs w:val="21"/>
          <w:highlight w:val="none"/>
          <w:lang w:eastAsia="zh-CN"/>
        </w:rPr>
      </w:pPr>
      <w:r>
        <w:rPr>
          <w:rFonts w:hint="eastAsia" w:ascii="宋体" w:hAnsi="宋体" w:eastAsia="宋体" w:cs="宋体"/>
          <w:color w:val="000000"/>
          <w:szCs w:val="21"/>
          <w:highlight w:val="none"/>
        </w:rPr>
        <w:t>⑦拟任项目经理（建造师）须持有社保部门出具的本单位为其缴纳的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color w:val="000000"/>
          <w:szCs w:val="21"/>
          <w:highlight w:val="none"/>
          <w:lang w:eastAsia="zh-CN"/>
        </w:rPr>
        <w:t>。</w:t>
      </w:r>
    </w:p>
    <w:p w14:paraId="0927AB4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51"/>
      <w:bookmarkEnd w:id="752"/>
      <w:bookmarkEnd w:id="753"/>
      <w:bookmarkEnd w:id="754"/>
      <w:bookmarkEnd w:id="755"/>
      <w:bookmarkEnd w:id="756"/>
      <w:bookmarkEnd w:id="757"/>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58" w:name="_Toc506107321"/>
      <w:bookmarkStart w:id="759" w:name="_Toc15058910"/>
      <w:bookmarkStart w:id="760" w:name="_Toc324404868"/>
      <w:bookmarkStart w:id="761" w:name="_Toc78803378"/>
      <w:bookmarkStart w:id="762" w:name="_Toc35424943"/>
      <w:bookmarkStart w:id="763" w:name="_Toc35425109"/>
      <w:bookmarkStart w:id="764" w:name="_Toc15626"/>
      <w:r>
        <w:rPr>
          <w:rFonts w:hint="eastAsia" w:ascii="宋体" w:hAnsi="宋体" w:eastAsia="宋体" w:cs="宋体"/>
          <w:highlight w:val="none"/>
        </w:rPr>
        <w:t>3.资格审查委员会和审查标准</w:t>
      </w:r>
      <w:bookmarkEnd w:id="758"/>
      <w:bookmarkEnd w:id="759"/>
      <w:bookmarkEnd w:id="760"/>
      <w:bookmarkEnd w:id="761"/>
      <w:bookmarkEnd w:id="762"/>
      <w:bookmarkEnd w:id="763"/>
      <w:bookmarkEnd w:id="764"/>
    </w:p>
    <w:p w14:paraId="48F20776">
      <w:pPr>
        <w:spacing w:line="440" w:lineRule="exact"/>
        <w:ind w:firstLine="420" w:firstLineChars="200"/>
        <w:jc w:val="left"/>
        <w:rPr>
          <w:rFonts w:hint="eastAsia" w:ascii="宋体" w:hAnsi="宋体" w:eastAsia="宋体" w:cs="宋体"/>
          <w:szCs w:val="21"/>
          <w:highlight w:val="none"/>
        </w:rPr>
      </w:pPr>
      <w:bookmarkStart w:id="765" w:name="_Toc10330"/>
      <w:bookmarkStart w:id="766" w:name="_Toc78803379"/>
      <w:bookmarkStart w:id="767" w:name="_Toc35424944"/>
      <w:bookmarkStart w:id="768" w:name="_Toc35425110"/>
      <w:bookmarkStart w:id="769" w:name="_Toc324404869"/>
      <w:bookmarkStart w:id="770" w:name="_Toc506107322"/>
      <w:bookmarkStart w:id="771" w:name="_Toc15058911"/>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170CFBED">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2CFB6988">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（2）联合体投标人没有提交联合体协议书；</w:t>
      </w:r>
    </w:p>
    <w:p w14:paraId="7DB584AD">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（3）保证金不按</w:t>
      </w:r>
      <w:r>
        <w:rPr>
          <w:rFonts w:hint="eastAsia" w:ascii="宋体" w:hAnsi="宋体" w:eastAsia="宋体" w:cs="宋体"/>
          <w:szCs w:val="21"/>
          <w:highlight w:val="none"/>
          <w:lang w:val="en-US" w:eastAsia="zh-CN"/>
        </w:rPr>
        <w:t>招标公告</w:t>
      </w:r>
      <w:r>
        <w:rPr>
          <w:rFonts w:hint="eastAsia" w:ascii="宋体" w:hAnsi="宋体" w:eastAsia="宋体" w:cs="宋体"/>
          <w:szCs w:val="21"/>
          <w:highlight w:val="none"/>
        </w:rPr>
        <w:t xml:space="preserve">要求提交投标保证金的； </w:t>
      </w:r>
    </w:p>
    <w:p w14:paraId="5BD4972E">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）投标人申请开具电子保函 MAC 地址一致的；</w:t>
      </w:r>
    </w:p>
    <w:p w14:paraId="3ECC0E69">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）投标人投标文件制作机器码、文件创建标识码及造价软件加密锁号信息雷同的；</w:t>
      </w:r>
    </w:p>
    <w:p w14:paraId="1659A0FD">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4.审查结果</w:t>
      </w:r>
      <w:bookmarkEnd w:id="765"/>
      <w:bookmarkEnd w:id="766"/>
      <w:bookmarkEnd w:id="767"/>
      <w:bookmarkEnd w:id="768"/>
      <w:bookmarkEnd w:id="769"/>
      <w:bookmarkEnd w:id="770"/>
      <w:bookmarkEnd w:id="771"/>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72" w:name="_Toc506107323"/>
    </w:p>
    <w:p w14:paraId="500CB5F4">
      <w:pPr>
        <w:pStyle w:val="2"/>
        <w:numPr>
          <w:ilvl w:val="0"/>
          <w:numId w:val="2"/>
        </w:numPr>
        <w:spacing w:beforeLines="50" w:afterLines="50"/>
        <w:rPr>
          <w:rFonts w:hint="eastAsia" w:ascii="Arial" w:hAnsi="Arial"/>
          <w:kern w:val="0"/>
          <w:sz w:val="32"/>
          <w:szCs w:val="32"/>
          <w:highlight w:val="none"/>
        </w:rPr>
      </w:pPr>
      <w:bookmarkStart w:id="773" w:name="_Toc35424945"/>
      <w:bookmarkStart w:id="774" w:name="_Toc35425111"/>
      <w:bookmarkStart w:id="775" w:name="_Toc15058912"/>
      <w:r>
        <w:rPr>
          <w:rFonts w:hint="eastAsia"/>
          <w:highlight w:val="none"/>
        </w:rPr>
        <w:br w:type="page"/>
      </w:r>
      <w:bookmarkStart w:id="776" w:name="_Toc78803380"/>
      <w:r>
        <w:rPr>
          <w:rFonts w:hint="eastAsia" w:ascii="Arial" w:hAnsi="Arial"/>
          <w:kern w:val="0"/>
          <w:sz w:val="32"/>
          <w:szCs w:val="32"/>
          <w:highlight w:val="none"/>
        </w:rPr>
        <w:t>评标办法</w:t>
      </w:r>
      <w:bookmarkEnd w:id="625"/>
      <w:bookmarkEnd w:id="772"/>
      <w:bookmarkEnd w:id="773"/>
      <w:bookmarkEnd w:id="774"/>
      <w:bookmarkEnd w:id="775"/>
      <w:bookmarkEnd w:id="776"/>
    </w:p>
    <w:p w14:paraId="21C07B66">
      <w:pPr>
        <w:spacing w:line="560" w:lineRule="exact"/>
        <w:jc w:val="center"/>
        <w:rPr>
          <w:color w:val="000000"/>
          <w:highlight w:val="none"/>
        </w:rPr>
      </w:pPr>
      <w:bookmarkStart w:id="777" w:name="_Toc35424947"/>
      <w:bookmarkStart w:id="778" w:name="_Toc144974556"/>
      <w:bookmarkStart w:id="779" w:name="_Toc247085747"/>
      <w:bookmarkStart w:id="780" w:name="_Toc15058913"/>
      <w:bookmarkStart w:id="781" w:name="_Toc152045589"/>
      <w:bookmarkStart w:id="782" w:name="_Toc35425113"/>
      <w:bookmarkStart w:id="783" w:name="_Toc246996232"/>
      <w:bookmarkStart w:id="784" w:name="_Toc324404872"/>
      <w:bookmarkStart w:id="785" w:name="_Toc6491"/>
      <w:bookmarkStart w:id="786" w:name="_Toc152042366"/>
      <w:bookmarkStart w:id="787" w:name="_Toc506107324"/>
      <w:bookmarkStart w:id="788" w:name="_Toc179632607"/>
      <w:bookmarkStart w:id="789" w:name="_Toc246996975"/>
      <w:bookmarkStart w:id="790" w:name="_Toc78803381"/>
      <w:r>
        <w:rPr>
          <w:rFonts w:hint="eastAsia"/>
          <w:b/>
          <w:bCs/>
          <w:color w:val="000000"/>
          <w:sz w:val="28"/>
          <w:szCs w:val="28"/>
          <w:highlight w:val="none"/>
        </w:rPr>
        <w:t>（一）</w:t>
      </w:r>
      <w:r>
        <w:rPr>
          <w:rFonts w:hint="eastAsia"/>
          <w:b/>
          <w:color w:val="000000"/>
          <w:sz w:val="28"/>
          <w:szCs w:val="21"/>
          <w:highlight w:val="none"/>
        </w:rPr>
        <w:t>中标候选人的确定</w:t>
      </w:r>
    </w:p>
    <w:p w14:paraId="4F9C951D">
      <w:pPr>
        <w:pStyle w:val="14"/>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420" w:firstLineChars="200"/>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评标委员会对投标人依次进行资信、技术、商务文件审查，对均满足要求的投标人进行各项评审因素打分，合计的总得分按照从高到低进行排序，总得分第一的投标人为第一中标候选人。如总得分相等，以投标报价低的优先，投标报价仍相等，由评标委员会主任委员或招标人随机抽取确定排名。</w:t>
      </w:r>
    </w:p>
    <w:p w14:paraId="046F1085">
      <w:pPr>
        <w:pStyle w:val="14"/>
        <w:adjustRightInd w:val="0"/>
        <w:snapToGrid w:val="0"/>
        <w:spacing w:after="0" w:line="560" w:lineRule="exact"/>
        <w:ind w:left="0" w:leftChars="0" w:firstLine="0" w:firstLineChars="0"/>
        <w:jc w:val="center"/>
        <w:rPr>
          <w:rFonts w:hint="default" w:eastAsia="宋体"/>
          <w:b/>
          <w:color w:val="000000"/>
          <w:sz w:val="28"/>
          <w:szCs w:val="21"/>
          <w:highlight w:val="none"/>
          <w:lang w:val="en-US" w:eastAsia="zh-CN"/>
        </w:rPr>
      </w:pPr>
      <w:r>
        <w:rPr>
          <w:rFonts w:hint="eastAsia"/>
          <w:b/>
          <w:color w:val="000000"/>
          <w:sz w:val="28"/>
          <w:szCs w:val="21"/>
          <w:highlight w:val="none"/>
        </w:rPr>
        <w:t>（</w:t>
      </w:r>
      <w:r>
        <w:rPr>
          <w:rFonts w:hint="eastAsia"/>
          <w:b/>
          <w:color w:val="000000"/>
          <w:sz w:val="28"/>
          <w:szCs w:val="21"/>
          <w:highlight w:val="none"/>
          <w:lang w:val="en-US" w:eastAsia="zh-CN"/>
        </w:rPr>
        <w:t>二</w:t>
      </w:r>
      <w:r>
        <w:rPr>
          <w:rFonts w:hint="eastAsia"/>
          <w:b/>
          <w:color w:val="000000"/>
          <w:sz w:val="28"/>
          <w:szCs w:val="21"/>
          <w:highlight w:val="none"/>
        </w:rPr>
        <w:t>）技术标评审</w:t>
      </w:r>
      <w:r>
        <w:rPr>
          <w:rFonts w:hint="eastAsia"/>
          <w:b/>
          <w:color w:val="000000"/>
          <w:sz w:val="28"/>
          <w:szCs w:val="21"/>
          <w:highlight w:val="none"/>
          <w:lang w:eastAsia="zh-CN"/>
        </w:rPr>
        <w:t>（</w:t>
      </w:r>
      <w:r>
        <w:rPr>
          <w:rFonts w:hint="eastAsia"/>
          <w:b/>
          <w:color w:val="000000"/>
          <w:sz w:val="28"/>
          <w:szCs w:val="21"/>
          <w:highlight w:val="none"/>
          <w:lang w:val="en-US" w:eastAsia="zh-CN"/>
        </w:rPr>
        <w:t>满分40分）</w:t>
      </w:r>
    </w:p>
    <w:tbl>
      <w:tblPr>
        <w:tblStyle w:val="47"/>
        <w:tblW w:w="9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45"/>
        <w:gridCol w:w="1276"/>
        <w:gridCol w:w="859"/>
        <w:gridCol w:w="1260"/>
        <w:gridCol w:w="1236"/>
        <w:gridCol w:w="4452"/>
      </w:tblGrid>
      <w:tr w14:paraId="5491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184" w:type="dxa"/>
            <w:gridSpan w:val="3"/>
            <w:noWrap w:val="0"/>
            <w:vAlign w:val="center"/>
          </w:tcPr>
          <w:p w14:paraId="73123221">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条款号</w:t>
            </w:r>
          </w:p>
        </w:tc>
        <w:tc>
          <w:tcPr>
            <w:tcW w:w="3355" w:type="dxa"/>
            <w:gridSpan w:val="3"/>
            <w:noWrap w:val="0"/>
            <w:vAlign w:val="center"/>
          </w:tcPr>
          <w:p w14:paraId="47B70137">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评审因素</w:t>
            </w:r>
          </w:p>
        </w:tc>
        <w:tc>
          <w:tcPr>
            <w:tcW w:w="4452" w:type="dxa"/>
            <w:noWrap w:val="0"/>
            <w:vAlign w:val="center"/>
          </w:tcPr>
          <w:p w14:paraId="3D1DB27C">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评审标准</w:t>
            </w:r>
          </w:p>
        </w:tc>
      </w:tr>
      <w:tr w14:paraId="1E4B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noWrap w:val="0"/>
            <w:vAlign w:val="center"/>
          </w:tcPr>
          <w:p w14:paraId="437A8DE9">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4.1.1</w:t>
            </w:r>
          </w:p>
        </w:tc>
        <w:tc>
          <w:tcPr>
            <w:tcW w:w="1276" w:type="dxa"/>
            <w:noWrap w:val="0"/>
            <w:vAlign w:val="center"/>
          </w:tcPr>
          <w:p w14:paraId="036F485E">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形式评审标准</w:t>
            </w:r>
          </w:p>
        </w:tc>
        <w:tc>
          <w:tcPr>
            <w:tcW w:w="3355" w:type="dxa"/>
            <w:gridSpan w:val="3"/>
            <w:noWrap w:val="0"/>
            <w:vAlign w:val="center"/>
          </w:tcPr>
          <w:p w14:paraId="43347AD4">
            <w:pPr>
              <w:spacing w:line="560" w:lineRule="exact"/>
              <w:jc w:val="center"/>
              <w:rPr>
                <w:color w:val="000000"/>
                <w:highlight w:val="none"/>
              </w:rPr>
            </w:pPr>
            <w:r>
              <w:rPr>
                <w:rFonts w:hint="eastAsia"/>
                <w:color w:val="000000"/>
                <w:highlight w:val="none"/>
              </w:rPr>
              <w:t>投标文件格式</w:t>
            </w:r>
          </w:p>
        </w:tc>
        <w:tc>
          <w:tcPr>
            <w:tcW w:w="4452" w:type="dxa"/>
            <w:noWrap w:val="0"/>
            <w:vAlign w:val="center"/>
          </w:tcPr>
          <w:p w14:paraId="63A4C66E">
            <w:pPr>
              <w:spacing w:line="440" w:lineRule="exact"/>
              <w:jc w:val="left"/>
              <w:rPr>
                <w:color w:val="000000"/>
                <w:highlight w:val="none"/>
              </w:rPr>
            </w:pPr>
            <w:r>
              <w:rPr>
                <w:rFonts w:hint="eastAsia"/>
                <w:color w:val="000000"/>
                <w:highlight w:val="none"/>
              </w:rPr>
              <w:t>符合第</w:t>
            </w:r>
            <w:r>
              <w:rPr>
                <w:rFonts w:hint="eastAsia"/>
                <w:color w:val="000000"/>
                <w:highlight w:val="none"/>
                <w:lang w:val="en-US" w:eastAsia="zh-CN"/>
              </w:rPr>
              <w:t>九</w:t>
            </w:r>
            <w:r>
              <w:rPr>
                <w:rFonts w:hint="eastAsia"/>
                <w:color w:val="000000"/>
                <w:highlight w:val="none"/>
              </w:rPr>
              <w:t>章“投标文件格式”的要求，否则经评委会一致认定后</w:t>
            </w:r>
            <w:r>
              <w:rPr>
                <w:rFonts w:hint="eastAsia"/>
                <w:color w:val="000000"/>
                <w:highlight w:val="none"/>
                <w:lang w:eastAsia="zh-CN"/>
              </w:rPr>
              <w:t>，</w:t>
            </w:r>
            <w:r>
              <w:rPr>
                <w:rFonts w:hint="eastAsia"/>
                <w:color w:val="000000"/>
                <w:highlight w:val="none"/>
              </w:rPr>
              <w:t>按照无效投标处理。</w:t>
            </w:r>
          </w:p>
        </w:tc>
      </w:tr>
      <w:tr w14:paraId="27EB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vMerge w:val="restart"/>
            <w:noWrap w:val="0"/>
            <w:vAlign w:val="center"/>
          </w:tcPr>
          <w:p w14:paraId="6615C1DA">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4.1.2</w:t>
            </w:r>
          </w:p>
        </w:tc>
        <w:tc>
          <w:tcPr>
            <w:tcW w:w="1276" w:type="dxa"/>
            <w:vMerge w:val="restart"/>
            <w:noWrap w:val="0"/>
            <w:vAlign w:val="center"/>
          </w:tcPr>
          <w:p w14:paraId="040035F5">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响应性评审标准</w:t>
            </w:r>
          </w:p>
        </w:tc>
        <w:tc>
          <w:tcPr>
            <w:tcW w:w="3355" w:type="dxa"/>
            <w:gridSpan w:val="3"/>
            <w:noWrap w:val="0"/>
            <w:vAlign w:val="center"/>
          </w:tcPr>
          <w:p w14:paraId="028BC8BD">
            <w:pPr>
              <w:adjustRightInd w:val="0"/>
              <w:snapToGrid w:val="0"/>
              <w:spacing w:line="560" w:lineRule="exact"/>
              <w:jc w:val="center"/>
              <w:textAlignment w:val="baseline"/>
              <w:rPr>
                <w:color w:val="000000"/>
                <w:szCs w:val="21"/>
                <w:highlight w:val="none"/>
              </w:rPr>
            </w:pPr>
            <w:r>
              <w:rPr>
                <w:color w:val="000000"/>
                <w:szCs w:val="21"/>
                <w:highlight w:val="none"/>
              </w:rPr>
              <w:t>投标内容</w:t>
            </w:r>
          </w:p>
        </w:tc>
        <w:tc>
          <w:tcPr>
            <w:tcW w:w="4452" w:type="dxa"/>
            <w:noWrap w:val="0"/>
            <w:vAlign w:val="center"/>
          </w:tcPr>
          <w:p w14:paraId="205991DC">
            <w:pPr>
              <w:adjustRightInd w:val="0"/>
              <w:snapToGrid w:val="0"/>
              <w:spacing w:line="560" w:lineRule="exact"/>
              <w:rPr>
                <w:rFonts w:ascii="宋体" w:hAnsi="宋体" w:cs="宋体"/>
                <w:color w:val="000000"/>
                <w:szCs w:val="21"/>
                <w:highlight w:val="none"/>
              </w:rPr>
            </w:pPr>
            <w:r>
              <w:rPr>
                <w:rFonts w:hint="eastAsia" w:ascii="宋体" w:hAnsi="宋体" w:cs="宋体"/>
                <w:color w:val="000000"/>
                <w:szCs w:val="21"/>
                <w:highlight w:val="none"/>
              </w:rPr>
              <w:t>符合第二章“投标人须知”规定。</w:t>
            </w:r>
          </w:p>
        </w:tc>
      </w:tr>
      <w:tr w14:paraId="0CC8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8" w:type="dxa"/>
            <w:gridSpan w:val="2"/>
            <w:vMerge w:val="continue"/>
            <w:noWrap w:val="0"/>
            <w:vAlign w:val="top"/>
          </w:tcPr>
          <w:p w14:paraId="55AB51B4">
            <w:pPr>
              <w:adjustRightInd w:val="0"/>
              <w:snapToGrid w:val="0"/>
              <w:spacing w:line="560" w:lineRule="exact"/>
              <w:jc w:val="center"/>
              <w:rPr>
                <w:rFonts w:ascii="宋体" w:hAnsi="宋体" w:cs="宋体"/>
                <w:color w:val="000000"/>
                <w:szCs w:val="21"/>
                <w:highlight w:val="none"/>
              </w:rPr>
            </w:pPr>
          </w:p>
        </w:tc>
        <w:tc>
          <w:tcPr>
            <w:tcW w:w="1276" w:type="dxa"/>
            <w:vMerge w:val="continue"/>
            <w:noWrap w:val="0"/>
            <w:vAlign w:val="top"/>
          </w:tcPr>
          <w:p w14:paraId="446BD99D">
            <w:pPr>
              <w:adjustRightInd w:val="0"/>
              <w:snapToGrid w:val="0"/>
              <w:spacing w:line="560" w:lineRule="exact"/>
              <w:jc w:val="center"/>
              <w:rPr>
                <w:rFonts w:ascii="宋体" w:hAnsi="宋体" w:cs="宋体"/>
                <w:color w:val="000000"/>
                <w:szCs w:val="21"/>
                <w:highlight w:val="none"/>
              </w:rPr>
            </w:pPr>
          </w:p>
        </w:tc>
        <w:tc>
          <w:tcPr>
            <w:tcW w:w="3355" w:type="dxa"/>
            <w:gridSpan w:val="3"/>
            <w:noWrap w:val="0"/>
            <w:vAlign w:val="center"/>
          </w:tcPr>
          <w:p w14:paraId="0E2ADEC8">
            <w:pPr>
              <w:adjustRightInd w:val="0"/>
              <w:snapToGrid w:val="0"/>
              <w:spacing w:line="560" w:lineRule="exact"/>
              <w:jc w:val="center"/>
              <w:textAlignment w:val="baseline"/>
              <w:rPr>
                <w:color w:val="000000"/>
                <w:szCs w:val="21"/>
                <w:highlight w:val="none"/>
              </w:rPr>
            </w:pPr>
            <w:r>
              <w:rPr>
                <w:color w:val="000000"/>
                <w:szCs w:val="21"/>
                <w:highlight w:val="none"/>
              </w:rPr>
              <w:t>权利义务</w:t>
            </w:r>
          </w:p>
        </w:tc>
        <w:tc>
          <w:tcPr>
            <w:tcW w:w="4452" w:type="dxa"/>
            <w:noWrap w:val="0"/>
            <w:vAlign w:val="center"/>
          </w:tcPr>
          <w:p w14:paraId="5E53648D">
            <w:pPr>
              <w:adjustRightInd w:val="0"/>
              <w:snapToGrid w:val="0"/>
              <w:spacing w:line="560" w:lineRule="exact"/>
              <w:rPr>
                <w:rFonts w:ascii="宋体" w:hAnsi="宋体" w:cs="宋体"/>
                <w:color w:val="000000"/>
                <w:szCs w:val="21"/>
                <w:highlight w:val="none"/>
              </w:rPr>
            </w:pPr>
            <w:r>
              <w:rPr>
                <w:rFonts w:hint="eastAsia" w:ascii="宋体" w:hAnsi="宋体" w:cs="宋体"/>
                <w:color w:val="000000"/>
                <w:szCs w:val="21"/>
                <w:highlight w:val="none"/>
              </w:rPr>
              <w:t>符合第五章“合同条款及格式”规定。</w:t>
            </w:r>
          </w:p>
        </w:tc>
      </w:tr>
      <w:tr w14:paraId="03C2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08" w:type="dxa"/>
            <w:gridSpan w:val="2"/>
            <w:vMerge w:val="continue"/>
            <w:noWrap w:val="0"/>
            <w:vAlign w:val="top"/>
          </w:tcPr>
          <w:p w14:paraId="1EEA3D6F">
            <w:pPr>
              <w:adjustRightInd w:val="0"/>
              <w:snapToGrid w:val="0"/>
              <w:spacing w:line="560" w:lineRule="exact"/>
              <w:jc w:val="center"/>
              <w:rPr>
                <w:rFonts w:ascii="宋体" w:hAnsi="宋体" w:cs="宋体"/>
                <w:color w:val="000000"/>
                <w:szCs w:val="21"/>
                <w:highlight w:val="none"/>
              </w:rPr>
            </w:pPr>
          </w:p>
        </w:tc>
        <w:tc>
          <w:tcPr>
            <w:tcW w:w="1276" w:type="dxa"/>
            <w:vMerge w:val="continue"/>
            <w:noWrap w:val="0"/>
            <w:vAlign w:val="top"/>
          </w:tcPr>
          <w:p w14:paraId="0E1A5B93">
            <w:pPr>
              <w:adjustRightInd w:val="0"/>
              <w:snapToGrid w:val="0"/>
              <w:spacing w:line="560" w:lineRule="exact"/>
              <w:jc w:val="center"/>
              <w:rPr>
                <w:rFonts w:ascii="宋体" w:hAnsi="宋体" w:cs="宋体"/>
                <w:color w:val="000000"/>
                <w:szCs w:val="21"/>
                <w:highlight w:val="none"/>
              </w:rPr>
            </w:pPr>
          </w:p>
        </w:tc>
        <w:tc>
          <w:tcPr>
            <w:tcW w:w="3355" w:type="dxa"/>
            <w:gridSpan w:val="3"/>
            <w:noWrap w:val="0"/>
            <w:vAlign w:val="center"/>
          </w:tcPr>
          <w:p w14:paraId="4E0399FC">
            <w:pPr>
              <w:adjustRightInd w:val="0"/>
              <w:snapToGrid w:val="0"/>
              <w:spacing w:line="560" w:lineRule="exact"/>
              <w:jc w:val="center"/>
              <w:textAlignment w:val="baseline"/>
              <w:rPr>
                <w:color w:val="000000"/>
                <w:szCs w:val="21"/>
                <w:highlight w:val="none"/>
              </w:rPr>
            </w:pPr>
            <w:r>
              <w:rPr>
                <w:rFonts w:hint="eastAsia"/>
                <w:color w:val="000000"/>
                <w:szCs w:val="21"/>
                <w:highlight w:val="none"/>
              </w:rPr>
              <w:t>技术标准和要求</w:t>
            </w:r>
          </w:p>
        </w:tc>
        <w:tc>
          <w:tcPr>
            <w:tcW w:w="4452" w:type="dxa"/>
            <w:noWrap w:val="0"/>
            <w:vAlign w:val="center"/>
          </w:tcPr>
          <w:p w14:paraId="02F85B7E">
            <w:pPr>
              <w:adjustRightInd w:val="0"/>
              <w:snapToGrid w:val="0"/>
              <w:spacing w:line="560" w:lineRule="exact"/>
              <w:rPr>
                <w:rFonts w:ascii="宋体" w:hAnsi="宋体" w:cs="宋体"/>
                <w:color w:val="000000"/>
                <w:szCs w:val="21"/>
                <w:highlight w:val="none"/>
              </w:rPr>
            </w:pPr>
            <w:r>
              <w:rPr>
                <w:rFonts w:hint="eastAsia" w:ascii="宋体" w:hAnsi="宋体" w:cs="宋体"/>
                <w:color w:val="000000"/>
                <w:szCs w:val="21"/>
                <w:highlight w:val="none"/>
              </w:rPr>
              <w:t>符合第</w:t>
            </w:r>
            <w:r>
              <w:rPr>
                <w:rFonts w:hint="eastAsia" w:ascii="宋体" w:hAnsi="宋体" w:cs="宋体"/>
                <w:color w:val="000000"/>
                <w:szCs w:val="21"/>
                <w:highlight w:val="none"/>
                <w:lang w:val="en-US" w:eastAsia="zh-CN"/>
              </w:rPr>
              <w:t>七</w:t>
            </w:r>
            <w:r>
              <w:rPr>
                <w:rFonts w:hint="eastAsia" w:ascii="宋体" w:hAnsi="宋体" w:cs="宋体"/>
                <w:color w:val="000000"/>
                <w:szCs w:val="21"/>
                <w:highlight w:val="none"/>
              </w:rPr>
              <w:t>章“技术标准和要求”规定。</w:t>
            </w:r>
          </w:p>
        </w:tc>
      </w:tr>
      <w:tr w14:paraId="18D9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991" w:type="dxa"/>
            <w:gridSpan w:val="7"/>
            <w:noWrap w:val="0"/>
            <w:vAlign w:val="top"/>
          </w:tcPr>
          <w:p w14:paraId="74C6D241">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技术标评分细则</w:t>
            </w:r>
          </w:p>
        </w:tc>
      </w:tr>
      <w:tr w14:paraId="5E30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noWrap w:val="0"/>
            <w:vAlign w:val="top"/>
          </w:tcPr>
          <w:p w14:paraId="5349EADB">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序号</w:t>
            </w:r>
          </w:p>
        </w:tc>
        <w:tc>
          <w:tcPr>
            <w:tcW w:w="2280" w:type="dxa"/>
            <w:gridSpan w:val="3"/>
            <w:noWrap w:val="0"/>
            <w:vAlign w:val="top"/>
          </w:tcPr>
          <w:p w14:paraId="33C65AEB">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评审因素</w:t>
            </w:r>
          </w:p>
        </w:tc>
        <w:tc>
          <w:tcPr>
            <w:tcW w:w="1260" w:type="dxa"/>
            <w:noWrap w:val="0"/>
            <w:vAlign w:val="top"/>
          </w:tcPr>
          <w:p w14:paraId="070843E6">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分值设置</w:t>
            </w:r>
          </w:p>
        </w:tc>
        <w:tc>
          <w:tcPr>
            <w:tcW w:w="5688" w:type="dxa"/>
            <w:gridSpan w:val="2"/>
            <w:noWrap w:val="0"/>
            <w:vAlign w:val="top"/>
          </w:tcPr>
          <w:p w14:paraId="47D17536">
            <w:pPr>
              <w:adjustRightInd w:val="0"/>
              <w:snapToGrid w:val="0"/>
              <w:spacing w:line="560" w:lineRule="exact"/>
              <w:jc w:val="center"/>
              <w:rPr>
                <w:rFonts w:ascii="宋体" w:hAnsi="宋体" w:cs="宋体"/>
                <w:color w:val="000000"/>
                <w:szCs w:val="21"/>
                <w:highlight w:val="none"/>
              </w:rPr>
            </w:pPr>
            <w:r>
              <w:rPr>
                <w:rFonts w:hint="eastAsia" w:ascii="宋体" w:hAnsi="宋体" w:cs="宋体"/>
                <w:color w:val="000000"/>
                <w:szCs w:val="21"/>
                <w:highlight w:val="none"/>
              </w:rPr>
              <w:t>评审标准</w:t>
            </w:r>
          </w:p>
        </w:tc>
      </w:tr>
      <w:tr w14:paraId="6057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763" w:type="dxa"/>
            <w:noWrap w:val="0"/>
            <w:vAlign w:val="center"/>
          </w:tcPr>
          <w:p w14:paraId="59C88101">
            <w:pPr>
              <w:adjustRightInd w:val="0"/>
              <w:snapToGrid w:val="0"/>
              <w:spacing w:line="560" w:lineRule="exact"/>
              <w:jc w:val="center"/>
              <w:rPr>
                <w:rFonts w:hint="default"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w:t>
            </w:r>
          </w:p>
        </w:tc>
        <w:tc>
          <w:tcPr>
            <w:tcW w:w="2280" w:type="dxa"/>
            <w:gridSpan w:val="3"/>
            <w:noWrap w:val="0"/>
            <w:vAlign w:val="center"/>
          </w:tcPr>
          <w:p w14:paraId="3EB5126F">
            <w:pPr>
              <w:adjustRightInd w:val="0"/>
              <w:snapToGrid w:val="0"/>
              <w:spacing w:line="56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施工组织设计</w:t>
            </w:r>
          </w:p>
        </w:tc>
        <w:tc>
          <w:tcPr>
            <w:tcW w:w="1260" w:type="dxa"/>
            <w:noWrap w:val="0"/>
            <w:vAlign w:val="center"/>
          </w:tcPr>
          <w:p w14:paraId="4569932C">
            <w:pPr>
              <w:adjustRightInd w:val="0"/>
              <w:snapToGrid w:val="0"/>
              <w:spacing w:line="560" w:lineRule="exact"/>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40</w:t>
            </w:r>
            <w:r>
              <w:rPr>
                <w:rFonts w:hint="eastAsia" w:ascii="宋体" w:hAnsi="宋体" w:cs="宋体"/>
                <w:color w:val="000000"/>
                <w:szCs w:val="21"/>
                <w:highlight w:val="none"/>
              </w:rPr>
              <w:t>分</w:t>
            </w:r>
          </w:p>
        </w:tc>
        <w:tc>
          <w:tcPr>
            <w:tcW w:w="5688" w:type="dxa"/>
            <w:gridSpan w:val="2"/>
            <w:noWrap w:val="0"/>
            <w:vAlign w:val="top"/>
          </w:tcPr>
          <w:p w14:paraId="4BD0A756">
            <w:pPr>
              <w:adjustRightInd w:val="0"/>
              <w:snapToGrid w:val="0"/>
              <w:spacing w:line="560" w:lineRule="exact"/>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包括①主要施工方案与技术措施；②主要物资供应计划；③ 主要施工机械、设备进场计划；④劳动力安排计划；⑤确保工程质量的管理体系与措施；⑥确保安全生产的管理体系与措施；⑦工程进度计划与措施及施工图网络图；⑧确保文明施工的管理体系与措施；⑨总体筹划与总平面布置；⑩工程重难点及对应保证措施，危大工程安全管理等。</w:t>
            </w:r>
          </w:p>
          <w:p w14:paraId="79776E40">
            <w:pPr>
              <w:adjustRightInd w:val="0"/>
              <w:snapToGrid w:val="0"/>
              <w:spacing w:line="560" w:lineRule="exact"/>
              <w:jc w:val="left"/>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rPr>
              <w:t>评标委员会根据各投标人提供的施工组织设计进行综合对比评审，每小项优秀得</w:t>
            </w:r>
            <w:r>
              <w:rPr>
                <w:rFonts w:hint="eastAsia" w:ascii="宋体" w:hAnsi="宋体" w:cs="宋体"/>
                <w:color w:val="000000"/>
                <w:szCs w:val="21"/>
                <w:highlight w:val="none"/>
                <w:lang w:val="en-US" w:eastAsia="zh-CN"/>
              </w:rPr>
              <w:t>4</w:t>
            </w:r>
            <w:r>
              <w:rPr>
                <w:rFonts w:hint="eastAsia" w:ascii="宋体" w:hAnsi="宋体" w:eastAsia="宋体" w:cs="宋体"/>
                <w:color w:val="000000"/>
                <w:szCs w:val="21"/>
                <w:highlight w:val="none"/>
              </w:rPr>
              <w:t>分，良好得</w:t>
            </w:r>
            <w:r>
              <w:rPr>
                <w:rFonts w:hint="eastAsia" w:ascii="宋体" w:hAnsi="宋体" w:cs="宋体"/>
                <w:color w:val="000000"/>
                <w:szCs w:val="21"/>
                <w:highlight w:val="none"/>
                <w:lang w:val="en-US" w:eastAsia="zh-CN"/>
              </w:rPr>
              <w:t>3.6</w:t>
            </w:r>
            <w:r>
              <w:rPr>
                <w:rFonts w:hint="eastAsia" w:ascii="宋体" w:hAnsi="宋体" w:eastAsia="宋体" w:cs="宋体"/>
                <w:color w:val="000000"/>
                <w:szCs w:val="21"/>
                <w:highlight w:val="none"/>
              </w:rPr>
              <w:t>分，一般得</w:t>
            </w:r>
            <w:r>
              <w:rPr>
                <w:rFonts w:hint="eastAsia" w:ascii="宋体" w:hAnsi="宋体" w:cs="宋体"/>
                <w:color w:val="000000"/>
                <w:szCs w:val="21"/>
                <w:highlight w:val="none"/>
                <w:lang w:val="en-US" w:eastAsia="zh-CN"/>
              </w:rPr>
              <w:t>3.2</w:t>
            </w:r>
            <w:r>
              <w:rPr>
                <w:rFonts w:hint="eastAsia" w:ascii="宋体" w:hAnsi="宋体" w:eastAsia="宋体" w:cs="宋体"/>
                <w:color w:val="000000"/>
                <w:szCs w:val="21"/>
                <w:highlight w:val="none"/>
              </w:rPr>
              <w:t>分，合格得</w:t>
            </w:r>
            <w:r>
              <w:rPr>
                <w:rFonts w:hint="eastAsia" w:ascii="宋体" w:hAnsi="宋体" w:cs="宋体"/>
                <w:color w:val="000000"/>
                <w:szCs w:val="21"/>
                <w:highlight w:val="none"/>
                <w:lang w:val="en-US" w:eastAsia="zh-CN"/>
              </w:rPr>
              <w:t>2.8</w:t>
            </w:r>
            <w:r>
              <w:rPr>
                <w:rFonts w:hint="eastAsia" w:ascii="宋体" w:hAnsi="宋体" w:eastAsia="宋体" w:cs="宋体"/>
                <w:color w:val="000000"/>
                <w:szCs w:val="21"/>
                <w:highlight w:val="none"/>
              </w:rPr>
              <w:t>分</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较差或不提供的得0分，本项共计满分</w:t>
            </w:r>
            <w:r>
              <w:rPr>
                <w:rFonts w:hint="eastAsia" w:ascii="宋体" w:hAnsi="宋体" w:cs="宋体"/>
                <w:color w:val="000000"/>
                <w:szCs w:val="21"/>
                <w:highlight w:val="none"/>
                <w:lang w:val="en-US" w:eastAsia="zh-CN"/>
              </w:rPr>
              <w:t>40</w:t>
            </w:r>
            <w:r>
              <w:rPr>
                <w:rFonts w:hint="eastAsia" w:ascii="宋体" w:hAnsi="宋体" w:eastAsia="宋体" w:cs="宋体"/>
                <w:color w:val="000000"/>
                <w:szCs w:val="21"/>
                <w:highlight w:val="none"/>
              </w:rPr>
              <w:t>。</w:t>
            </w:r>
          </w:p>
        </w:tc>
      </w:tr>
    </w:tbl>
    <w:p w14:paraId="7E39AACF">
      <w:pPr>
        <w:pStyle w:val="14"/>
        <w:spacing w:after="0" w:line="560" w:lineRule="exact"/>
        <w:ind w:left="0" w:leftChars="0" w:firstLine="422"/>
        <w:jc w:val="left"/>
        <w:rPr>
          <w:rFonts w:hint="eastAsia" w:ascii="宋体" w:hAnsi="宋体" w:eastAsia="宋体" w:cs="宋体"/>
          <w:b/>
          <w:bCs/>
          <w:color w:val="000000"/>
          <w:highlight w:val="none"/>
          <w:lang w:eastAsia="zh-CN"/>
        </w:rPr>
      </w:pPr>
      <w:r>
        <w:rPr>
          <w:rFonts w:hint="eastAsia" w:ascii="宋体" w:hAnsi="宋体" w:cs="宋体"/>
          <w:b/>
          <w:bCs/>
          <w:color w:val="000000"/>
          <w:highlight w:val="none"/>
        </w:rPr>
        <w:t>注：1、该项由专家评委评审打分，取所有评委评分的平均值为最终得分，保留两位小数点，第三位四舍五入。</w:t>
      </w:r>
    </w:p>
    <w:p w14:paraId="79167DF2">
      <w:pPr>
        <w:spacing w:line="560" w:lineRule="exact"/>
        <w:ind w:firstLine="411" w:firstLineChars="196"/>
        <w:rPr>
          <w:rFonts w:ascii="宋体" w:hAnsi="宋体"/>
          <w:color w:val="000000"/>
          <w:szCs w:val="21"/>
          <w:highlight w:val="none"/>
        </w:rPr>
      </w:pPr>
      <w:r>
        <w:rPr>
          <w:rFonts w:hint="eastAsia" w:ascii="宋体" w:hAnsi="宋体"/>
          <w:color w:val="000000"/>
          <w:szCs w:val="21"/>
          <w:highlight w:val="none"/>
          <w:lang w:val="en-US" w:eastAsia="zh-CN"/>
        </w:rPr>
        <w:t>2、</w:t>
      </w:r>
      <w:r>
        <w:rPr>
          <w:rFonts w:hint="eastAsia" w:ascii="宋体" w:hAnsi="宋体"/>
          <w:color w:val="000000"/>
          <w:szCs w:val="21"/>
          <w:highlight w:val="none"/>
        </w:rPr>
        <w:t>具体篇幅(字数)要求及扣分标准（建议扣分值为0.2分）。偏离规定标准的，评标委员会应酌情扣分。</w:t>
      </w:r>
    </w:p>
    <w:p w14:paraId="69184B7A">
      <w:pPr>
        <w:spacing w:line="560" w:lineRule="exact"/>
        <w:ind w:firstLine="413" w:firstLineChars="196"/>
        <w:rPr>
          <w:rFonts w:hint="eastAsia" w:ascii="宋体" w:hAnsi="宋体" w:eastAsia="宋体" w:cs="宋体"/>
          <w:b/>
          <w:bCs/>
          <w:color w:val="000000"/>
          <w:highlight w:val="none"/>
          <w:lang w:val="en-US" w:eastAsia="zh-CN"/>
        </w:rPr>
      </w:pPr>
      <w:r>
        <w:rPr>
          <w:rFonts w:hint="eastAsia" w:ascii="宋体" w:hAnsi="宋体" w:cs="宋体"/>
          <w:b/>
          <w:bCs/>
          <w:color w:val="000000"/>
          <w:highlight w:val="none"/>
          <w:lang w:val="en-US" w:eastAsia="zh-CN"/>
        </w:rPr>
        <w:t>2.1</w:t>
      </w:r>
      <w:r>
        <w:rPr>
          <w:rFonts w:hint="eastAsia" w:ascii="宋体" w:hAnsi="宋体" w:eastAsia="宋体" w:cs="宋体"/>
          <w:b/>
          <w:bCs/>
          <w:color w:val="000000"/>
          <w:highlight w:val="none"/>
        </w:rPr>
        <w:t>施工组织设计</w:t>
      </w:r>
      <w:r>
        <w:rPr>
          <w:rFonts w:hint="eastAsia" w:ascii="宋体" w:hAnsi="宋体" w:eastAsia="宋体" w:cs="宋体"/>
          <w:b/>
          <w:bCs/>
          <w:color w:val="000000"/>
          <w:highlight w:val="none"/>
          <w:lang w:eastAsia="zh-CN"/>
        </w:rPr>
        <w:t>：</w:t>
      </w:r>
      <w:r>
        <w:rPr>
          <w:rFonts w:hint="eastAsia" w:ascii="宋体" w:hAnsi="宋体" w:eastAsia="宋体" w:cs="宋体"/>
          <w:b/>
          <w:bCs/>
          <w:color w:val="000000"/>
          <w:highlight w:val="none"/>
        </w:rPr>
        <w:t>根据评分细则设置各评分点</w:t>
      </w:r>
      <w:r>
        <w:rPr>
          <w:rFonts w:hint="eastAsia" w:ascii="宋体" w:hAnsi="宋体" w:eastAsia="宋体" w:cs="宋体"/>
          <w:b/>
          <w:bCs/>
          <w:color w:val="000000"/>
          <w:highlight w:val="none"/>
          <w:lang w:val="en-US" w:eastAsia="zh-CN"/>
        </w:rPr>
        <w:t>合计总</w:t>
      </w:r>
      <w:r>
        <w:rPr>
          <w:rFonts w:hint="eastAsia" w:ascii="宋体" w:hAnsi="宋体" w:eastAsia="宋体" w:cs="宋体"/>
          <w:b/>
          <w:bCs/>
          <w:color w:val="000000"/>
          <w:highlight w:val="none"/>
        </w:rPr>
        <w:t>页数不超过</w:t>
      </w:r>
      <w:r>
        <w:rPr>
          <w:rFonts w:hint="eastAsia" w:ascii="宋体" w:hAnsi="宋体" w:eastAsia="宋体" w:cs="宋体"/>
          <w:b/>
          <w:bCs/>
          <w:color w:val="000000"/>
          <w:highlight w:val="none"/>
          <w:lang w:val="en-US" w:eastAsia="zh-CN"/>
        </w:rPr>
        <w:t>55</w:t>
      </w:r>
      <w:r>
        <w:rPr>
          <w:rFonts w:hint="eastAsia" w:ascii="宋体" w:hAnsi="宋体" w:eastAsia="宋体" w:cs="宋体"/>
          <w:b/>
          <w:bCs/>
          <w:color w:val="000000"/>
          <w:highlight w:val="none"/>
        </w:rPr>
        <w:t>页。</w:t>
      </w:r>
    </w:p>
    <w:p w14:paraId="3F90F92F">
      <w:pPr>
        <w:adjustRightInd w:val="0"/>
        <w:snapToGrid w:val="0"/>
        <w:spacing w:line="560" w:lineRule="exact"/>
        <w:jc w:val="center"/>
        <w:rPr>
          <w:rFonts w:ascii="宋体" w:hAnsi="宋体"/>
          <w:color w:val="000000"/>
          <w:sz w:val="25"/>
          <w:highlight w:val="none"/>
        </w:rPr>
      </w:pPr>
      <w:r>
        <w:rPr>
          <w:rFonts w:hint="eastAsia" w:ascii="宋体" w:hAnsi="宋体"/>
          <w:color w:val="000000"/>
          <w:sz w:val="25"/>
          <w:highlight w:val="none"/>
        </w:rPr>
        <w:t>三、商务标评审</w:t>
      </w:r>
    </w:p>
    <w:tbl>
      <w:tblPr>
        <w:tblStyle w:val="47"/>
        <w:tblW w:w="10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780"/>
        <w:gridCol w:w="846"/>
        <w:gridCol w:w="1985"/>
        <w:gridCol w:w="5794"/>
      </w:tblGrid>
      <w:tr w14:paraId="1DE6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1" w:type="dxa"/>
            <w:gridSpan w:val="2"/>
            <w:noWrap w:val="0"/>
            <w:vAlign w:val="center"/>
          </w:tcPr>
          <w:p w14:paraId="38B50079">
            <w:pPr>
              <w:adjustRightInd w:val="0"/>
              <w:snapToGrid w:val="0"/>
              <w:spacing w:line="560" w:lineRule="exact"/>
              <w:jc w:val="center"/>
              <w:rPr>
                <w:rFonts w:ascii="宋体" w:hAnsi="宋体"/>
                <w:color w:val="000000"/>
                <w:szCs w:val="21"/>
              </w:rPr>
            </w:pPr>
            <w:r>
              <w:rPr>
                <w:rFonts w:hint="eastAsia" w:ascii="宋体" w:hAnsi="宋体"/>
                <w:color w:val="000000"/>
                <w:szCs w:val="21"/>
              </w:rPr>
              <w:t>条款号</w:t>
            </w:r>
          </w:p>
        </w:tc>
        <w:tc>
          <w:tcPr>
            <w:tcW w:w="2831" w:type="dxa"/>
            <w:gridSpan w:val="2"/>
            <w:noWrap w:val="0"/>
            <w:vAlign w:val="center"/>
          </w:tcPr>
          <w:p w14:paraId="2716B85D">
            <w:pPr>
              <w:adjustRightInd w:val="0"/>
              <w:snapToGrid w:val="0"/>
              <w:spacing w:line="560" w:lineRule="exact"/>
              <w:jc w:val="center"/>
              <w:rPr>
                <w:rFonts w:ascii="宋体" w:hAnsi="宋体"/>
                <w:color w:val="000000"/>
                <w:szCs w:val="21"/>
              </w:rPr>
            </w:pPr>
            <w:r>
              <w:rPr>
                <w:rFonts w:hint="eastAsia" w:ascii="宋体" w:hAnsi="宋体"/>
                <w:color w:val="000000"/>
                <w:szCs w:val="21"/>
              </w:rPr>
              <w:t>评审因素</w:t>
            </w:r>
          </w:p>
        </w:tc>
        <w:tc>
          <w:tcPr>
            <w:tcW w:w="5794" w:type="dxa"/>
            <w:noWrap w:val="0"/>
            <w:vAlign w:val="center"/>
          </w:tcPr>
          <w:p w14:paraId="56471F7B">
            <w:pPr>
              <w:adjustRightInd w:val="0"/>
              <w:snapToGrid w:val="0"/>
              <w:spacing w:line="560" w:lineRule="exact"/>
              <w:jc w:val="center"/>
              <w:rPr>
                <w:rFonts w:ascii="宋体" w:hAnsi="宋体"/>
                <w:color w:val="000000"/>
                <w:szCs w:val="21"/>
              </w:rPr>
            </w:pPr>
            <w:r>
              <w:rPr>
                <w:rFonts w:hint="eastAsia" w:ascii="宋体" w:hAnsi="宋体"/>
                <w:color w:val="000000"/>
                <w:szCs w:val="21"/>
              </w:rPr>
              <w:t>评审标准</w:t>
            </w:r>
          </w:p>
        </w:tc>
      </w:tr>
      <w:tr w14:paraId="4B52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81" w:type="dxa"/>
            <w:vMerge w:val="restart"/>
            <w:noWrap w:val="0"/>
            <w:vAlign w:val="center"/>
          </w:tcPr>
          <w:p w14:paraId="469A0E36">
            <w:pPr>
              <w:adjustRightInd w:val="0"/>
              <w:snapToGrid w:val="0"/>
              <w:spacing w:line="560" w:lineRule="exact"/>
              <w:jc w:val="center"/>
              <w:rPr>
                <w:rFonts w:ascii="宋体" w:hAnsi="宋体"/>
                <w:color w:val="000000"/>
                <w:szCs w:val="21"/>
              </w:rPr>
            </w:pPr>
            <w:r>
              <w:rPr>
                <w:rFonts w:ascii="宋体" w:hAnsi="宋体"/>
                <w:color w:val="000000"/>
                <w:szCs w:val="21"/>
              </w:rPr>
              <w:t>4.2.1</w:t>
            </w:r>
          </w:p>
        </w:tc>
        <w:tc>
          <w:tcPr>
            <w:tcW w:w="780" w:type="dxa"/>
            <w:vMerge w:val="restart"/>
            <w:noWrap w:val="0"/>
            <w:vAlign w:val="center"/>
          </w:tcPr>
          <w:p w14:paraId="285838C8">
            <w:pPr>
              <w:adjustRightInd w:val="0"/>
              <w:snapToGrid w:val="0"/>
              <w:spacing w:line="560" w:lineRule="exact"/>
              <w:jc w:val="center"/>
              <w:rPr>
                <w:rFonts w:ascii="宋体" w:hAnsi="宋体"/>
                <w:color w:val="000000"/>
                <w:szCs w:val="21"/>
              </w:rPr>
            </w:pPr>
            <w:r>
              <w:rPr>
                <w:rFonts w:hint="eastAsia" w:ascii="宋体" w:hAnsi="宋体"/>
                <w:color w:val="000000"/>
                <w:szCs w:val="21"/>
              </w:rPr>
              <w:t>形式评审标准</w:t>
            </w:r>
          </w:p>
        </w:tc>
        <w:tc>
          <w:tcPr>
            <w:tcW w:w="2831" w:type="dxa"/>
            <w:gridSpan w:val="2"/>
            <w:noWrap w:val="0"/>
            <w:vAlign w:val="center"/>
          </w:tcPr>
          <w:p w14:paraId="1D4C053A">
            <w:pPr>
              <w:adjustRightInd w:val="0"/>
              <w:snapToGrid w:val="0"/>
              <w:spacing w:line="560" w:lineRule="exact"/>
              <w:rPr>
                <w:rFonts w:ascii="宋体" w:hAnsi="宋体"/>
                <w:color w:val="000000"/>
                <w:szCs w:val="21"/>
              </w:rPr>
            </w:pPr>
            <w:r>
              <w:rPr>
                <w:rFonts w:hint="eastAsia" w:ascii="宋体" w:hAnsi="宋体"/>
                <w:color w:val="000000"/>
                <w:szCs w:val="21"/>
              </w:rPr>
              <w:t>投标函签字盖章</w:t>
            </w:r>
          </w:p>
        </w:tc>
        <w:tc>
          <w:tcPr>
            <w:tcW w:w="5794" w:type="dxa"/>
            <w:noWrap w:val="0"/>
            <w:vAlign w:val="center"/>
          </w:tcPr>
          <w:p w14:paraId="0CA55300">
            <w:pPr>
              <w:adjustRightInd w:val="0"/>
              <w:snapToGrid w:val="0"/>
              <w:spacing w:line="560" w:lineRule="exact"/>
              <w:jc w:val="left"/>
              <w:rPr>
                <w:rFonts w:ascii="宋体" w:hAnsi="宋体"/>
                <w:color w:val="000000"/>
                <w:szCs w:val="21"/>
              </w:rPr>
            </w:pPr>
            <w:r>
              <w:rPr>
                <w:rFonts w:hint="eastAsia" w:ascii="宋体" w:hAnsi="宋体"/>
                <w:color w:val="000000"/>
                <w:szCs w:val="21"/>
              </w:rPr>
              <w:t>有投标人及其法定代表人签章。</w:t>
            </w:r>
          </w:p>
        </w:tc>
      </w:tr>
      <w:tr w14:paraId="3877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noWrap w:val="0"/>
            <w:vAlign w:val="center"/>
          </w:tcPr>
          <w:p w14:paraId="554B4EC6">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72099F4B">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64E5C336">
            <w:pPr>
              <w:adjustRightInd w:val="0"/>
              <w:snapToGrid w:val="0"/>
              <w:spacing w:line="560" w:lineRule="exact"/>
              <w:rPr>
                <w:rFonts w:ascii="宋体" w:hAnsi="宋体"/>
                <w:color w:val="000000"/>
                <w:szCs w:val="21"/>
              </w:rPr>
            </w:pPr>
            <w:r>
              <w:rPr>
                <w:rFonts w:hint="eastAsia" w:ascii="宋体" w:hAnsi="宋体"/>
                <w:color w:val="000000"/>
                <w:szCs w:val="21"/>
              </w:rPr>
              <w:t>投标文件格式</w:t>
            </w:r>
          </w:p>
        </w:tc>
        <w:tc>
          <w:tcPr>
            <w:tcW w:w="5794" w:type="dxa"/>
            <w:noWrap w:val="0"/>
            <w:vAlign w:val="center"/>
          </w:tcPr>
          <w:p w14:paraId="52F99CA5">
            <w:pPr>
              <w:adjustRightInd w:val="0"/>
              <w:snapToGrid w:val="0"/>
              <w:spacing w:line="560" w:lineRule="exact"/>
              <w:jc w:val="left"/>
              <w:rPr>
                <w:rFonts w:ascii="宋体" w:hAnsi="宋体"/>
                <w:color w:val="000000"/>
                <w:szCs w:val="21"/>
              </w:rPr>
            </w:pPr>
            <w:r>
              <w:rPr>
                <w:rFonts w:hint="eastAsia" w:ascii="宋体" w:hAnsi="宋体"/>
                <w:color w:val="000000"/>
                <w:szCs w:val="21"/>
              </w:rPr>
              <w:t>符合第九章“投标文件格式”的要求。</w:t>
            </w:r>
          </w:p>
        </w:tc>
      </w:tr>
      <w:tr w14:paraId="4B1F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81" w:type="dxa"/>
            <w:vMerge w:val="continue"/>
            <w:noWrap w:val="0"/>
            <w:vAlign w:val="center"/>
          </w:tcPr>
          <w:p w14:paraId="04D1395F">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342FBF40">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5E14D9B4">
            <w:pPr>
              <w:adjustRightInd w:val="0"/>
              <w:snapToGrid w:val="0"/>
              <w:spacing w:line="560" w:lineRule="exact"/>
              <w:rPr>
                <w:rFonts w:ascii="宋体" w:hAnsi="宋体"/>
                <w:color w:val="000000"/>
                <w:szCs w:val="21"/>
              </w:rPr>
            </w:pPr>
            <w:r>
              <w:rPr>
                <w:rFonts w:hint="eastAsia" w:ascii="宋体" w:hAnsi="宋体"/>
                <w:color w:val="000000"/>
                <w:szCs w:val="21"/>
              </w:rPr>
              <w:t>商务标签字盖章</w:t>
            </w:r>
          </w:p>
        </w:tc>
        <w:tc>
          <w:tcPr>
            <w:tcW w:w="5794" w:type="dxa"/>
            <w:noWrap w:val="0"/>
            <w:vAlign w:val="center"/>
          </w:tcPr>
          <w:p w14:paraId="2AE0B018">
            <w:pPr>
              <w:adjustRightInd w:val="0"/>
              <w:snapToGrid w:val="0"/>
              <w:spacing w:line="560" w:lineRule="exact"/>
              <w:jc w:val="left"/>
              <w:rPr>
                <w:rFonts w:ascii="宋体" w:hAnsi="宋体"/>
                <w:color w:val="000000"/>
                <w:szCs w:val="21"/>
              </w:rPr>
            </w:pPr>
            <w:r>
              <w:rPr>
                <w:rFonts w:hint="eastAsia" w:ascii="宋体" w:hAnsi="宋体"/>
                <w:color w:val="000000"/>
                <w:szCs w:val="21"/>
              </w:rPr>
              <w:t>按投标文件格式要求签章。</w:t>
            </w:r>
          </w:p>
        </w:tc>
      </w:tr>
      <w:tr w14:paraId="568E5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81" w:type="dxa"/>
            <w:vMerge w:val="continue"/>
            <w:noWrap w:val="0"/>
            <w:vAlign w:val="center"/>
          </w:tcPr>
          <w:p w14:paraId="34F15FF7">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71E93531">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060AEB57">
            <w:pPr>
              <w:adjustRightInd w:val="0"/>
              <w:snapToGrid w:val="0"/>
              <w:spacing w:line="560" w:lineRule="exact"/>
              <w:rPr>
                <w:rFonts w:ascii="宋体" w:hAnsi="宋体"/>
                <w:color w:val="000000"/>
                <w:szCs w:val="21"/>
              </w:rPr>
            </w:pPr>
            <w:r>
              <w:rPr>
                <w:rFonts w:hint="eastAsia" w:ascii="宋体" w:hAnsi="宋体"/>
                <w:color w:val="000000"/>
                <w:szCs w:val="21"/>
              </w:rPr>
              <w:t>报价唯一</w:t>
            </w:r>
          </w:p>
        </w:tc>
        <w:tc>
          <w:tcPr>
            <w:tcW w:w="5794" w:type="dxa"/>
            <w:noWrap w:val="0"/>
            <w:vAlign w:val="center"/>
          </w:tcPr>
          <w:p w14:paraId="5BF02E57">
            <w:pPr>
              <w:adjustRightInd w:val="0"/>
              <w:snapToGrid w:val="0"/>
              <w:spacing w:line="560" w:lineRule="exact"/>
              <w:jc w:val="left"/>
              <w:rPr>
                <w:rFonts w:ascii="宋体" w:hAnsi="宋体"/>
                <w:color w:val="000000"/>
                <w:szCs w:val="21"/>
              </w:rPr>
            </w:pPr>
            <w:r>
              <w:rPr>
                <w:rFonts w:hint="eastAsia" w:ascii="宋体" w:hAnsi="宋体"/>
                <w:color w:val="000000"/>
                <w:szCs w:val="21"/>
              </w:rPr>
              <w:t>只能有一个报价。</w:t>
            </w:r>
          </w:p>
        </w:tc>
      </w:tr>
      <w:tr w14:paraId="726F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81" w:type="dxa"/>
            <w:vMerge w:val="restart"/>
            <w:noWrap w:val="0"/>
            <w:vAlign w:val="center"/>
          </w:tcPr>
          <w:p w14:paraId="095E0726">
            <w:pPr>
              <w:adjustRightInd w:val="0"/>
              <w:snapToGrid w:val="0"/>
              <w:spacing w:line="560" w:lineRule="exact"/>
              <w:jc w:val="center"/>
              <w:rPr>
                <w:rFonts w:ascii="宋体" w:hAnsi="宋体"/>
                <w:color w:val="000000"/>
                <w:szCs w:val="21"/>
              </w:rPr>
            </w:pPr>
            <w:r>
              <w:rPr>
                <w:rFonts w:ascii="宋体" w:hAnsi="宋体"/>
                <w:color w:val="000000"/>
                <w:szCs w:val="21"/>
              </w:rPr>
              <w:t>4.2.2</w:t>
            </w:r>
          </w:p>
        </w:tc>
        <w:tc>
          <w:tcPr>
            <w:tcW w:w="780" w:type="dxa"/>
            <w:vMerge w:val="restart"/>
            <w:noWrap w:val="0"/>
            <w:vAlign w:val="center"/>
          </w:tcPr>
          <w:p w14:paraId="799611DE">
            <w:pPr>
              <w:adjustRightInd w:val="0"/>
              <w:snapToGrid w:val="0"/>
              <w:spacing w:line="560" w:lineRule="exact"/>
              <w:rPr>
                <w:rFonts w:ascii="宋体" w:hAnsi="宋体"/>
                <w:color w:val="000000"/>
                <w:szCs w:val="21"/>
              </w:rPr>
            </w:pPr>
            <w:r>
              <w:rPr>
                <w:rFonts w:hint="eastAsia" w:ascii="宋体" w:hAnsi="宋体"/>
                <w:color w:val="000000"/>
                <w:szCs w:val="21"/>
              </w:rPr>
              <w:t>响应性评审标准</w:t>
            </w:r>
          </w:p>
          <w:p w14:paraId="73E66452">
            <w:pPr>
              <w:adjustRightInd w:val="0"/>
              <w:snapToGrid w:val="0"/>
              <w:spacing w:line="560" w:lineRule="exact"/>
              <w:jc w:val="center"/>
              <w:rPr>
                <w:rFonts w:ascii="宋体" w:hAnsi="宋体"/>
                <w:color w:val="000000"/>
                <w:szCs w:val="21"/>
              </w:rPr>
            </w:pPr>
          </w:p>
        </w:tc>
        <w:tc>
          <w:tcPr>
            <w:tcW w:w="2831" w:type="dxa"/>
            <w:gridSpan w:val="2"/>
            <w:noWrap w:val="0"/>
            <w:vAlign w:val="center"/>
          </w:tcPr>
          <w:p w14:paraId="0039CD7F">
            <w:pPr>
              <w:adjustRightInd w:val="0"/>
              <w:snapToGrid w:val="0"/>
              <w:spacing w:line="560" w:lineRule="exact"/>
              <w:jc w:val="left"/>
              <w:rPr>
                <w:rFonts w:ascii="宋体" w:hAnsi="宋体"/>
                <w:color w:val="000000"/>
                <w:szCs w:val="21"/>
              </w:rPr>
            </w:pPr>
            <w:r>
              <w:rPr>
                <w:rFonts w:hint="eastAsia" w:ascii="宋体" w:hAnsi="宋体"/>
                <w:color w:val="000000"/>
                <w:szCs w:val="21"/>
              </w:rPr>
              <w:t>工期</w:t>
            </w:r>
          </w:p>
        </w:tc>
        <w:tc>
          <w:tcPr>
            <w:tcW w:w="5794" w:type="dxa"/>
            <w:noWrap w:val="0"/>
            <w:vAlign w:val="center"/>
          </w:tcPr>
          <w:p w14:paraId="516A76EF">
            <w:pPr>
              <w:adjustRightInd w:val="0"/>
              <w:snapToGrid w:val="0"/>
              <w:spacing w:line="560" w:lineRule="exact"/>
              <w:rPr>
                <w:rFonts w:ascii="宋体" w:hAnsi="宋体"/>
                <w:color w:val="000000"/>
                <w:szCs w:val="21"/>
              </w:rPr>
            </w:pPr>
            <w:r>
              <w:rPr>
                <w:rFonts w:hint="eastAsia" w:ascii="宋体" w:hAnsi="宋体"/>
                <w:color w:val="000000"/>
                <w:szCs w:val="21"/>
              </w:rPr>
              <w:t>符合投标须知前附表规定。</w:t>
            </w:r>
          </w:p>
        </w:tc>
      </w:tr>
      <w:tr w14:paraId="4AD9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noWrap w:val="0"/>
            <w:vAlign w:val="center"/>
          </w:tcPr>
          <w:p w14:paraId="2CD8A891">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56C3000C">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06B0F4AC">
            <w:pPr>
              <w:adjustRightInd w:val="0"/>
              <w:snapToGrid w:val="0"/>
              <w:spacing w:line="560" w:lineRule="exact"/>
              <w:rPr>
                <w:rFonts w:ascii="宋体" w:hAnsi="宋体"/>
                <w:color w:val="000000"/>
                <w:szCs w:val="21"/>
              </w:rPr>
            </w:pPr>
            <w:r>
              <w:rPr>
                <w:rFonts w:hint="eastAsia" w:ascii="宋体" w:hAnsi="宋体"/>
                <w:color w:val="000000"/>
                <w:szCs w:val="21"/>
              </w:rPr>
              <w:t>工程质量</w:t>
            </w:r>
          </w:p>
        </w:tc>
        <w:tc>
          <w:tcPr>
            <w:tcW w:w="5794" w:type="dxa"/>
            <w:noWrap w:val="0"/>
            <w:vAlign w:val="center"/>
          </w:tcPr>
          <w:p w14:paraId="48F633F0">
            <w:pPr>
              <w:adjustRightInd w:val="0"/>
              <w:snapToGrid w:val="0"/>
              <w:spacing w:line="560" w:lineRule="exact"/>
              <w:rPr>
                <w:rFonts w:ascii="宋体" w:hAnsi="宋体"/>
                <w:color w:val="000000"/>
                <w:szCs w:val="21"/>
              </w:rPr>
            </w:pPr>
            <w:r>
              <w:rPr>
                <w:rFonts w:hint="eastAsia" w:ascii="宋体" w:hAnsi="宋体"/>
                <w:color w:val="000000"/>
                <w:szCs w:val="21"/>
              </w:rPr>
              <w:t>符合投标须知前附表规定。</w:t>
            </w:r>
          </w:p>
        </w:tc>
      </w:tr>
      <w:tr w14:paraId="2F9A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881" w:type="dxa"/>
            <w:vMerge w:val="continue"/>
            <w:noWrap w:val="0"/>
            <w:vAlign w:val="center"/>
          </w:tcPr>
          <w:p w14:paraId="2E17DB8F">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42850274">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556762C3">
            <w:pPr>
              <w:adjustRightInd w:val="0"/>
              <w:snapToGrid w:val="0"/>
              <w:spacing w:line="560" w:lineRule="exact"/>
              <w:rPr>
                <w:rFonts w:ascii="宋体" w:hAnsi="宋体"/>
                <w:color w:val="000000"/>
                <w:szCs w:val="21"/>
              </w:rPr>
            </w:pPr>
            <w:r>
              <w:rPr>
                <w:rFonts w:hint="eastAsia" w:ascii="宋体" w:hAnsi="宋体"/>
                <w:color w:val="000000"/>
                <w:szCs w:val="21"/>
              </w:rPr>
              <w:t>投标有效期</w:t>
            </w:r>
          </w:p>
        </w:tc>
        <w:tc>
          <w:tcPr>
            <w:tcW w:w="5794" w:type="dxa"/>
            <w:noWrap w:val="0"/>
            <w:vAlign w:val="center"/>
          </w:tcPr>
          <w:p w14:paraId="1BFD3B43">
            <w:pPr>
              <w:adjustRightInd w:val="0"/>
              <w:snapToGrid w:val="0"/>
              <w:spacing w:line="560" w:lineRule="exact"/>
              <w:rPr>
                <w:rFonts w:ascii="宋体" w:hAnsi="宋体"/>
                <w:color w:val="000000"/>
                <w:szCs w:val="21"/>
              </w:rPr>
            </w:pPr>
            <w:r>
              <w:rPr>
                <w:rFonts w:hint="eastAsia" w:ascii="宋体" w:hAnsi="宋体"/>
                <w:color w:val="000000"/>
                <w:szCs w:val="21"/>
              </w:rPr>
              <w:t>符合投标须知前附表规定。</w:t>
            </w:r>
          </w:p>
        </w:tc>
      </w:tr>
      <w:tr w14:paraId="5B8D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881" w:type="dxa"/>
            <w:vMerge w:val="continue"/>
            <w:noWrap w:val="0"/>
            <w:vAlign w:val="center"/>
          </w:tcPr>
          <w:p w14:paraId="40A2F1BE">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414363FB">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65297D36">
            <w:pPr>
              <w:adjustRightInd w:val="0"/>
              <w:snapToGrid w:val="0"/>
              <w:spacing w:line="560" w:lineRule="exact"/>
              <w:rPr>
                <w:rFonts w:ascii="宋体" w:hAnsi="宋体"/>
                <w:color w:val="000000"/>
                <w:szCs w:val="21"/>
              </w:rPr>
            </w:pPr>
            <w:r>
              <w:rPr>
                <w:rFonts w:hint="eastAsia" w:ascii="宋体" w:hAnsi="宋体"/>
                <w:color w:val="000000"/>
                <w:szCs w:val="21"/>
              </w:rPr>
              <w:t>已标价工程量清单</w:t>
            </w:r>
          </w:p>
        </w:tc>
        <w:tc>
          <w:tcPr>
            <w:tcW w:w="5794" w:type="dxa"/>
            <w:noWrap w:val="0"/>
            <w:vAlign w:val="center"/>
          </w:tcPr>
          <w:p w14:paraId="59C28EEA">
            <w:pPr>
              <w:adjustRightInd w:val="0"/>
              <w:snapToGrid w:val="0"/>
              <w:spacing w:line="560" w:lineRule="exact"/>
              <w:rPr>
                <w:rFonts w:ascii="宋体" w:hAnsi="宋体"/>
                <w:color w:val="000000"/>
                <w:szCs w:val="21"/>
              </w:rPr>
            </w:pPr>
            <w:r>
              <w:rPr>
                <w:rFonts w:hint="eastAsia" w:ascii="宋体" w:hAnsi="宋体"/>
                <w:color w:val="000000"/>
                <w:szCs w:val="21"/>
              </w:rPr>
              <w:t>与招标人发布的招标工程量清单（含需评审材料清单）排序一致。</w:t>
            </w:r>
          </w:p>
        </w:tc>
      </w:tr>
      <w:tr w14:paraId="163D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1" w:type="dxa"/>
            <w:vMerge w:val="continue"/>
            <w:noWrap w:val="0"/>
            <w:vAlign w:val="center"/>
          </w:tcPr>
          <w:p w14:paraId="346EA969">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5C143CE0">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39943431">
            <w:pPr>
              <w:adjustRightInd w:val="0"/>
              <w:snapToGrid w:val="0"/>
              <w:spacing w:line="560" w:lineRule="exact"/>
              <w:rPr>
                <w:rFonts w:ascii="宋体" w:hAnsi="宋体"/>
                <w:color w:val="000000"/>
                <w:szCs w:val="21"/>
              </w:rPr>
            </w:pPr>
            <w:r>
              <w:rPr>
                <w:rFonts w:hint="eastAsia" w:ascii="宋体" w:hAnsi="宋体"/>
                <w:color w:val="000000"/>
                <w:szCs w:val="21"/>
              </w:rPr>
              <w:t>投标总价评审</w:t>
            </w:r>
          </w:p>
        </w:tc>
        <w:tc>
          <w:tcPr>
            <w:tcW w:w="5794" w:type="dxa"/>
            <w:noWrap w:val="0"/>
            <w:vAlign w:val="center"/>
          </w:tcPr>
          <w:p w14:paraId="7DBF7E78">
            <w:pPr>
              <w:adjustRightInd w:val="0"/>
              <w:snapToGrid w:val="0"/>
              <w:spacing w:line="560" w:lineRule="exact"/>
              <w:rPr>
                <w:rFonts w:ascii="宋体" w:hAnsi="宋体"/>
                <w:color w:val="000000"/>
                <w:spacing w:val="-6"/>
                <w:szCs w:val="21"/>
              </w:rPr>
            </w:pPr>
            <w:r>
              <w:rPr>
                <w:rFonts w:hint="eastAsia" w:ascii="宋体" w:hAnsi="宋体"/>
                <w:color w:val="000000"/>
                <w:spacing w:val="-6"/>
                <w:szCs w:val="21"/>
              </w:rPr>
              <w:t>不得高于最高投标限价，也不得低于工程成本价。</w:t>
            </w:r>
          </w:p>
        </w:tc>
      </w:tr>
      <w:tr w14:paraId="7075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81" w:type="dxa"/>
            <w:vMerge w:val="continue"/>
            <w:noWrap w:val="0"/>
            <w:vAlign w:val="center"/>
          </w:tcPr>
          <w:p w14:paraId="7A629124">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5D4EB9D7">
            <w:pPr>
              <w:widowControl/>
              <w:adjustRightInd w:val="0"/>
              <w:snapToGrid w:val="0"/>
              <w:spacing w:line="560" w:lineRule="exact"/>
              <w:jc w:val="left"/>
              <w:rPr>
                <w:rFonts w:ascii="宋体" w:hAnsi="宋体"/>
                <w:color w:val="000000"/>
                <w:szCs w:val="21"/>
              </w:rPr>
            </w:pPr>
          </w:p>
        </w:tc>
        <w:tc>
          <w:tcPr>
            <w:tcW w:w="2831" w:type="dxa"/>
            <w:gridSpan w:val="2"/>
            <w:noWrap w:val="0"/>
            <w:vAlign w:val="center"/>
          </w:tcPr>
          <w:p w14:paraId="41D689D5">
            <w:pPr>
              <w:adjustRightInd w:val="0"/>
              <w:snapToGrid w:val="0"/>
              <w:spacing w:line="560" w:lineRule="exact"/>
              <w:rPr>
                <w:rFonts w:ascii="宋体" w:hAnsi="宋体"/>
                <w:color w:val="000000"/>
                <w:szCs w:val="21"/>
              </w:rPr>
            </w:pPr>
            <w:r>
              <w:rPr>
                <w:rFonts w:hint="eastAsia" w:ascii="宋体" w:hAnsi="宋体"/>
                <w:color w:val="000000"/>
                <w:szCs w:val="21"/>
              </w:rPr>
              <w:t>暂列金额、专业工程暂估价、分部分项工程材料及设备暂估价</w:t>
            </w:r>
          </w:p>
        </w:tc>
        <w:tc>
          <w:tcPr>
            <w:tcW w:w="5794" w:type="dxa"/>
            <w:noWrap w:val="0"/>
            <w:vAlign w:val="center"/>
          </w:tcPr>
          <w:p w14:paraId="4746D197">
            <w:pPr>
              <w:adjustRightInd w:val="0"/>
              <w:snapToGrid w:val="0"/>
              <w:spacing w:line="560" w:lineRule="exact"/>
              <w:rPr>
                <w:rFonts w:ascii="宋体" w:hAnsi="宋体"/>
                <w:color w:val="000000"/>
                <w:szCs w:val="21"/>
              </w:rPr>
            </w:pPr>
            <w:r>
              <w:rPr>
                <w:rFonts w:hint="eastAsia" w:ascii="宋体" w:hAnsi="宋体"/>
                <w:color w:val="000000"/>
                <w:szCs w:val="21"/>
              </w:rPr>
              <w:t>与招标人发布的招标工程量清单一致。</w:t>
            </w:r>
          </w:p>
        </w:tc>
      </w:tr>
      <w:tr w14:paraId="2E98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restart"/>
            <w:noWrap w:val="0"/>
            <w:vAlign w:val="center"/>
          </w:tcPr>
          <w:p w14:paraId="2460167D">
            <w:pPr>
              <w:adjustRightInd w:val="0"/>
              <w:snapToGrid w:val="0"/>
              <w:spacing w:line="560" w:lineRule="exact"/>
              <w:rPr>
                <w:rFonts w:ascii="宋体" w:hAnsi="宋体"/>
                <w:color w:val="000000"/>
                <w:szCs w:val="21"/>
              </w:rPr>
            </w:pPr>
            <w:r>
              <w:rPr>
                <w:rFonts w:ascii="宋体" w:hAnsi="宋体"/>
                <w:color w:val="000000"/>
                <w:szCs w:val="21"/>
              </w:rPr>
              <w:t>4.2.3</w:t>
            </w:r>
          </w:p>
        </w:tc>
        <w:tc>
          <w:tcPr>
            <w:tcW w:w="780" w:type="dxa"/>
            <w:vMerge w:val="restart"/>
            <w:noWrap w:val="0"/>
            <w:vAlign w:val="center"/>
          </w:tcPr>
          <w:p w14:paraId="14503F64">
            <w:pPr>
              <w:adjustRightInd w:val="0"/>
              <w:snapToGrid w:val="0"/>
              <w:spacing w:line="560" w:lineRule="exact"/>
              <w:rPr>
                <w:rFonts w:ascii="宋体" w:hAnsi="宋体"/>
                <w:color w:val="000000"/>
                <w:szCs w:val="21"/>
              </w:rPr>
            </w:pPr>
            <w:r>
              <w:rPr>
                <w:rFonts w:hint="eastAsia" w:ascii="宋体" w:hAnsi="宋体"/>
                <w:color w:val="000000"/>
                <w:szCs w:val="21"/>
              </w:rPr>
              <w:t>详细评审标准</w:t>
            </w:r>
          </w:p>
        </w:tc>
        <w:tc>
          <w:tcPr>
            <w:tcW w:w="846" w:type="dxa"/>
            <w:vMerge w:val="restart"/>
            <w:noWrap w:val="0"/>
            <w:vAlign w:val="center"/>
          </w:tcPr>
          <w:p w14:paraId="151B2DC3">
            <w:pPr>
              <w:adjustRightInd w:val="0"/>
              <w:snapToGrid w:val="0"/>
              <w:spacing w:line="560" w:lineRule="exact"/>
              <w:rPr>
                <w:rFonts w:ascii="宋体" w:hAnsi="宋体"/>
                <w:color w:val="000000"/>
                <w:szCs w:val="21"/>
              </w:rPr>
            </w:pPr>
            <w:r>
              <w:rPr>
                <w:rFonts w:hint="eastAsia" w:ascii="宋体" w:hAnsi="宋体"/>
                <w:color w:val="000000"/>
                <w:szCs w:val="21"/>
              </w:rPr>
              <w:t>工程成本评审</w:t>
            </w:r>
          </w:p>
        </w:tc>
        <w:tc>
          <w:tcPr>
            <w:tcW w:w="7779" w:type="dxa"/>
            <w:gridSpan w:val="2"/>
            <w:noWrap w:val="0"/>
            <w:vAlign w:val="center"/>
          </w:tcPr>
          <w:p w14:paraId="44533B7A">
            <w:pPr>
              <w:adjustRightInd w:val="0"/>
              <w:snapToGrid w:val="0"/>
              <w:spacing w:line="560" w:lineRule="exact"/>
              <w:rPr>
                <w:rFonts w:ascii="宋体" w:hAnsi="宋体"/>
                <w:color w:val="000000"/>
                <w:spacing w:val="-6"/>
                <w:szCs w:val="21"/>
              </w:rPr>
            </w:pPr>
            <w:r>
              <w:rPr>
                <w:rFonts w:hint="eastAsia" w:ascii="宋体" w:hAnsi="宋体"/>
                <w:color w:val="000000"/>
                <w:szCs w:val="21"/>
              </w:rPr>
              <w:t>投标报价出现下列情形之一的，由评标委员会重点评审后界定其报价是否低于工程成本：</w:t>
            </w:r>
          </w:p>
        </w:tc>
      </w:tr>
      <w:tr w14:paraId="54A9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1F2FE3B0">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5B47E5D1">
            <w:pPr>
              <w:widowControl/>
              <w:adjustRightInd w:val="0"/>
              <w:snapToGrid w:val="0"/>
              <w:spacing w:line="560" w:lineRule="exact"/>
              <w:jc w:val="left"/>
              <w:rPr>
                <w:rFonts w:ascii="宋体" w:hAnsi="宋体"/>
                <w:color w:val="000000"/>
                <w:szCs w:val="21"/>
              </w:rPr>
            </w:pPr>
          </w:p>
        </w:tc>
        <w:tc>
          <w:tcPr>
            <w:tcW w:w="846" w:type="dxa"/>
            <w:vMerge w:val="continue"/>
            <w:noWrap w:val="0"/>
            <w:vAlign w:val="center"/>
          </w:tcPr>
          <w:p w14:paraId="0424F296">
            <w:pPr>
              <w:adjustRightInd w:val="0"/>
              <w:snapToGrid w:val="0"/>
              <w:spacing w:line="560" w:lineRule="exact"/>
              <w:rPr>
                <w:rFonts w:ascii="宋体" w:hAnsi="宋体"/>
                <w:color w:val="000000"/>
                <w:szCs w:val="21"/>
              </w:rPr>
            </w:pPr>
          </w:p>
        </w:tc>
        <w:tc>
          <w:tcPr>
            <w:tcW w:w="1985" w:type="dxa"/>
            <w:noWrap w:val="0"/>
            <w:vAlign w:val="center"/>
          </w:tcPr>
          <w:p w14:paraId="4E2F49E9">
            <w:pPr>
              <w:adjustRightInd w:val="0"/>
              <w:snapToGrid w:val="0"/>
              <w:spacing w:line="560" w:lineRule="exact"/>
              <w:rPr>
                <w:rFonts w:hint="eastAsia" w:ascii="宋体" w:hAnsi="宋体"/>
                <w:color w:val="000000"/>
                <w:szCs w:val="21"/>
              </w:rPr>
            </w:pPr>
            <w:r>
              <w:rPr>
                <w:rFonts w:hint="eastAsia" w:ascii="宋体" w:hAnsi="宋体"/>
                <w:color w:val="000000"/>
                <w:szCs w:val="21"/>
              </w:rPr>
              <w:t>投标报价</w:t>
            </w:r>
          </w:p>
        </w:tc>
        <w:tc>
          <w:tcPr>
            <w:tcW w:w="5794" w:type="dxa"/>
            <w:noWrap w:val="0"/>
            <w:vAlign w:val="center"/>
          </w:tcPr>
          <w:p w14:paraId="2A93A2A2">
            <w:pPr>
              <w:adjustRightInd w:val="0"/>
              <w:snapToGrid w:val="0"/>
              <w:spacing w:line="560" w:lineRule="exact"/>
              <w:rPr>
                <w:rFonts w:hint="eastAsia" w:ascii="宋体" w:hAnsi="宋体"/>
                <w:color w:val="000000"/>
                <w:szCs w:val="21"/>
              </w:rPr>
            </w:pPr>
            <w:r>
              <w:rPr>
                <w:rFonts w:hint="eastAsia" w:ascii="宋体" w:hAnsi="宋体"/>
                <w:color w:val="000000"/>
                <w:szCs w:val="21"/>
              </w:rPr>
              <w:t>投标报价低于本项目通过资信、技术评审且商务标初步评审合格的有效投标报价平均值10%以上。</w:t>
            </w:r>
          </w:p>
        </w:tc>
      </w:tr>
      <w:tr w14:paraId="3763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2A95FFE3">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46BEEBE9">
            <w:pPr>
              <w:widowControl/>
              <w:adjustRightInd w:val="0"/>
              <w:snapToGrid w:val="0"/>
              <w:spacing w:line="560" w:lineRule="exact"/>
              <w:jc w:val="left"/>
              <w:rPr>
                <w:rFonts w:ascii="宋体" w:hAnsi="宋体"/>
                <w:color w:val="000000"/>
                <w:szCs w:val="21"/>
              </w:rPr>
            </w:pPr>
          </w:p>
        </w:tc>
        <w:tc>
          <w:tcPr>
            <w:tcW w:w="846" w:type="dxa"/>
            <w:vMerge w:val="continue"/>
            <w:noWrap w:val="0"/>
            <w:vAlign w:val="center"/>
          </w:tcPr>
          <w:p w14:paraId="2943415F">
            <w:pPr>
              <w:adjustRightInd w:val="0"/>
              <w:snapToGrid w:val="0"/>
              <w:spacing w:line="560" w:lineRule="exact"/>
              <w:rPr>
                <w:rFonts w:ascii="宋体" w:hAnsi="宋体"/>
                <w:color w:val="000000"/>
                <w:szCs w:val="21"/>
              </w:rPr>
            </w:pPr>
          </w:p>
        </w:tc>
        <w:tc>
          <w:tcPr>
            <w:tcW w:w="1985" w:type="dxa"/>
            <w:noWrap w:val="0"/>
            <w:vAlign w:val="center"/>
          </w:tcPr>
          <w:p w14:paraId="1EF1CCF4">
            <w:pPr>
              <w:adjustRightInd w:val="0"/>
              <w:snapToGrid w:val="0"/>
              <w:spacing w:line="560" w:lineRule="exact"/>
              <w:rPr>
                <w:rFonts w:ascii="宋体" w:hAnsi="宋体"/>
                <w:color w:val="000000"/>
                <w:szCs w:val="21"/>
              </w:rPr>
            </w:pPr>
            <w:r>
              <w:rPr>
                <w:rFonts w:hint="eastAsia" w:ascii="宋体" w:hAnsi="宋体"/>
                <w:color w:val="000000"/>
                <w:szCs w:val="21"/>
              </w:rPr>
              <w:t>报价内容完整性</w:t>
            </w:r>
          </w:p>
        </w:tc>
        <w:tc>
          <w:tcPr>
            <w:tcW w:w="5794" w:type="dxa"/>
            <w:noWrap w:val="0"/>
            <w:vAlign w:val="center"/>
          </w:tcPr>
          <w:p w14:paraId="1277F00D">
            <w:pPr>
              <w:adjustRightInd w:val="0"/>
              <w:snapToGrid w:val="0"/>
              <w:spacing w:line="560" w:lineRule="exact"/>
              <w:rPr>
                <w:rFonts w:ascii="宋体" w:hAnsi="宋体"/>
                <w:color w:val="000000"/>
                <w:szCs w:val="21"/>
              </w:rPr>
            </w:pPr>
            <w:r>
              <w:rPr>
                <w:rFonts w:hint="eastAsia" w:ascii="宋体" w:hAnsi="宋体"/>
                <w:color w:val="000000"/>
                <w:szCs w:val="21"/>
              </w:rPr>
              <w:t>因投标人原因造成投标报价清单缺漏，缺漏项总额（多算或多报总额不得抵消缺漏项目总额）累计占本项目通过资信、技术评审且商务标初步评审合格</w:t>
            </w:r>
            <w:r>
              <w:rPr>
                <w:rFonts w:hint="eastAsia" w:ascii="宋体" w:hAnsi="宋体"/>
                <w:color w:val="000000"/>
                <w:spacing w:val="-6"/>
                <w:szCs w:val="21"/>
              </w:rPr>
              <w:t>有效投标总报价平均值</w:t>
            </w:r>
            <w:r>
              <w:rPr>
                <w:rFonts w:ascii="宋体" w:hAnsi="宋体"/>
                <w:color w:val="000000"/>
                <w:spacing w:val="-6"/>
                <w:szCs w:val="21"/>
              </w:rPr>
              <w:t>5%</w:t>
            </w:r>
            <w:r>
              <w:rPr>
                <w:rFonts w:hint="eastAsia" w:ascii="宋体" w:hAnsi="宋体"/>
                <w:color w:val="000000"/>
                <w:spacing w:val="-6"/>
                <w:szCs w:val="21"/>
              </w:rPr>
              <w:t>以上。</w:t>
            </w:r>
          </w:p>
        </w:tc>
      </w:tr>
      <w:tr w14:paraId="3FC0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6A3AFEC0">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370E6A48">
            <w:pPr>
              <w:widowControl/>
              <w:adjustRightInd w:val="0"/>
              <w:snapToGrid w:val="0"/>
              <w:spacing w:line="560" w:lineRule="exact"/>
              <w:jc w:val="left"/>
              <w:rPr>
                <w:rFonts w:ascii="宋体" w:hAnsi="宋体"/>
                <w:color w:val="000000"/>
                <w:szCs w:val="21"/>
              </w:rPr>
            </w:pPr>
          </w:p>
        </w:tc>
        <w:tc>
          <w:tcPr>
            <w:tcW w:w="846" w:type="dxa"/>
            <w:vMerge w:val="continue"/>
            <w:noWrap w:val="0"/>
            <w:vAlign w:val="center"/>
          </w:tcPr>
          <w:p w14:paraId="6DF37E49">
            <w:pPr>
              <w:adjustRightInd w:val="0"/>
              <w:snapToGrid w:val="0"/>
              <w:spacing w:line="560" w:lineRule="exact"/>
              <w:rPr>
                <w:rFonts w:ascii="宋体" w:hAnsi="宋体"/>
                <w:color w:val="000000"/>
                <w:szCs w:val="21"/>
              </w:rPr>
            </w:pPr>
          </w:p>
        </w:tc>
        <w:tc>
          <w:tcPr>
            <w:tcW w:w="1985" w:type="dxa"/>
            <w:noWrap w:val="0"/>
            <w:vAlign w:val="center"/>
          </w:tcPr>
          <w:p w14:paraId="298260D8">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人工工日单价</w:t>
            </w:r>
          </w:p>
        </w:tc>
        <w:tc>
          <w:tcPr>
            <w:tcW w:w="5794" w:type="dxa"/>
            <w:noWrap w:val="0"/>
            <w:vAlign w:val="center"/>
          </w:tcPr>
          <w:p w14:paraId="43560B82">
            <w:pPr>
              <w:adjustRightInd w:val="0"/>
              <w:snapToGrid w:val="0"/>
              <w:spacing w:line="560" w:lineRule="exact"/>
              <w:rPr>
                <w:rFonts w:hint="eastAsia" w:ascii="宋体" w:hAnsi="宋体" w:eastAsia="宋体"/>
                <w:color w:val="000000"/>
                <w:szCs w:val="21"/>
                <w:highlight w:val="none"/>
                <w:lang w:val="en-US" w:eastAsia="zh-CN"/>
              </w:rPr>
            </w:pPr>
            <w:r>
              <w:rPr>
                <w:rFonts w:hint="eastAsia" w:ascii="宋体" w:hAnsi="宋体"/>
                <w:color w:val="000000"/>
                <w:szCs w:val="21"/>
                <w:highlight w:val="none"/>
              </w:rPr>
              <w:t>不得低于招标人发布的最高投标限价中的人工工日单价</w:t>
            </w:r>
            <w:r>
              <w:rPr>
                <w:rFonts w:hint="eastAsia" w:ascii="宋体" w:hAnsi="宋体"/>
                <w:color w:val="000000"/>
                <w:szCs w:val="21"/>
                <w:highlight w:val="none"/>
                <w:lang w:eastAsia="zh-CN"/>
              </w:rPr>
              <w:t>。</w:t>
            </w:r>
          </w:p>
        </w:tc>
      </w:tr>
      <w:tr w14:paraId="7DD4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19BFB5C1">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12A5BBA8">
            <w:pPr>
              <w:widowControl/>
              <w:adjustRightInd w:val="0"/>
              <w:snapToGrid w:val="0"/>
              <w:spacing w:line="560" w:lineRule="exact"/>
              <w:jc w:val="left"/>
              <w:rPr>
                <w:rFonts w:ascii="宋体" w:hAnsi="宋体"/>
                <w:color w:val="000000"/>
                <w:szCs w:val="21"/>
              </w:rPr>
            </w:pPr>
          </w:p>
        </w:tc>
        <w:tc>
          <w:tcPr>
            <w:tcW w:w="846" w:type="dxa"/>
            <w:vMerge w:val="continue"/>
            <w:noWrap w:val="0"/>
            <w:vAlign w:val="center"/>
          </w:tcPr>
          <w:p w14:paraId="44FBAE67">
            <w:pPr>
              <w:adjustRightInd w:val="0"/>
              <w:snapToGrid w:val="0"/>
              <w:spacing w:line="560" w:lineRule="exact"/>
              <w:rPr>
                <w:rFonts w:ascii="宋体" w:hAnsi="宋体"/>
                <w:color w:val="000000"/>
                <w:szCs w:val="21"/>
              </w:rPr>
            </w:pPr>
          </w:p>
        </w:tc>
        <w:tc>
          <w:tcPr>
            <w:tcW w:w="1985" w:type="dxa"/>
            <w:noWrap w:val="0"/>
            <w:vAlign w:val="center"/>
          </w:tcPr>
          <w:p w14:paraId="09F2CB93">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管理费和利润费率</w:t>
            </w:r>
          </w:p>
        </w:tc>
        <w:tc>
          <w:tcPr>
            <w:tcW w:w="5794" w:type="dxa"/>
            <w:noWrap w:val="0"/>
            <w:vAlign w:val="center"/>
          </w:tcPr>
          <w:p w14:paraId="6753C1F4">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管理费、利润投标费率低于</w:t>
            </w:r>
            <w:r>
              <w:rPr>
                <w:rFonts w:ascii="宋体" w:hAnsi="宋体"/>
                <w:color w:val="000000"/>
                <w:szCs w:val="21"/>
                <w:highlight w:val="none"/>
              </w:rPr>
              <w:t>0%</w:t>
            </w:r>
            <w:r>
              <w:rPr>
                <w:rFonts w:hint="eastAsia" w:ascii="宋体" w:hAnsi="宋体"/>
                <w:color w:val="000000"/>
                <w:szCs w:val="21"/>
                <w:highlight w:val="none"/>
              </w:rPr>
              <w:t>。</w:t>
            </w:r>
          </w:p>
        </w:tc>
      </w:tr>
      <w:tr w14:paraId="5D21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77CE3886">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004E3B24">
            <w:pPr>
              <w:widowControl/>
              <w:adjustRightInd w:val="0"/>
              <w:snapToGrid w:val="0"/>
              <w:spacing w:line="560" w:lineRule="exact"/>
              <w:jc w:val="left"/>
              <w:rPr>
                <w:rFonts w:ascii="宋体" w:hAnsi="宋体"/>
                <w:color w:val="000000"/>
                <w:szCs w:val="21"/>
              </w:rPr>
            </w:pPr>
          </w:p>
        </w:tc>
        <w:tc>
          <w:tcPr>
            <w:tcW w:w="846" w:type="dxa"/>
            <w:vMerge w:val="restart"/>
            <w:noWrap w:val="0"/>
            <w:vAlign w:val="center"/>
          </w:tcPr>
          <w:p w14:paraId="740B4FBB">
            <w:pPr>
              <w:adjustRightInd w:val="0"/>
              <w:snapToGrid w:val="0"/>
              <w:spacing w:line="560" w:lineRule="exact"/>
              <w:jc w:val="center"/>
              <w:rPr>
                <w:rFonts w:ascii="宋体" w:hAnsi="宋体"/>
                <w:color w:val="000000"/>
                <w:szCs w:val="21"/>
                <w:highlight w:val="yellow"/>
              </w:rPr>
            </w:pPr>
            <w:r>
              <w:rPr>
                <w:rFonts w:hint="eastAsia" w:ascii="宋体" w:hAnsi="宋体"/>
                <w:color w:val="000000"/>
                <w:szCs w:val="21"/>
                <w:highlight w:val="none"/>
              </w:rPr>
              <w:t>无效报价</w:t>
            </w:r>
          </w:p>
        </w:tc>
        <w:tc>
          <w:tcPr>
            <w:tcW w:w="1985" w:type="dxa"/>
            <w:noWrap w:val="0"/>
            <w:vAlign w:val="center"/>
          </w:tcPr>
          <w:p w14:paraId="697DE1D4">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暂估价材料、设备</w:t>
            </w:r>
          </w:p>
        </w:tc>
        <w:tc>
          <w:tcPr>
            <w:tcW w:w="5794" w:type="dxa"/>
            <w:noWrap w:val="0"/>
            <w:vAlign w:val="center"/>
          </w:tcPr>
          <w:p w14:paraId="118F9D8D">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材料、设备暂估价未按要求计入分部分项工程费。</w:t>
            </w:r>
          </w:p>
        </w:tc>
      </w:tr>
      <w:tr w14:paraId="1911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250DAC3E">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4335B79A">
            <w:pPr>
              <w:widowControl/>
              <w:adjustRightInd w:val="0"/>
              <w:snapToGrid w:val="0"/>
              <w:spacing w:line="560" w:lineRule="exact"/>
              <w:jc w:val="left"/>
              <w:rPr>
                <w:rFonts w:ascii="宋体" w:hAnsi="宋体"/>
                <w:color w:val="000000"/>
                <w:szCs w:val="21"/>
              </w:rPr>
            </w:pPr>
          </w:p>
        </w:tc>
        <w:tc>
          <w:tcPr>
            <w:tcW w:w="846" w:type="dxa"/>
            <w:vMerge w:val="continue"/>
            <w:noWrap w:val="0"/>
            <w:vAlign w:val="center"/>
          </w:tcPr>
          <w:p w14:paraId="2628F376">
            <w:pPr>
              <w:adjustRightInd w:val="0"/>
              <w:snapToGrid w:val="0"/>
              <w:spacing w:line="560" w:lineRule="exact"/>
              <w:rPr>
                <w:rFonts w:ascii="宋体" w:hAnsi="宋体"/>
                <w:color w:val="000000"/>
                <w:szCs w:val="21"/>
                <w:highlight w:val="yellow"/>
              </w:rPr>
            </w:pPr>
          </w:p>
        </w:tc>
        <w:tc>
          <w:tcPr>
            <w:tcW w:w="1985" w:type="dxa"/>
            <w:noWrap w:val="0"/>
            <w:vAlign w:val="center"/>
          </w:tcPr>
          <w:p w14:paraId="73CD51FB">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不可竞争项目费费率</w:t>
            </w:r>
          </w:p>
        </w:tc>
        <w:tc>
          <w:tcPr>
            <w:tcW w:w="5794" w:type="dxa"/>
            <w:noWrap w:val="0"/>
            <w:vAlign w:val="center"/>
          </w:tcPr>
          <w:p w14:paraId="741C5114">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低于建标〔2021〕42号文规定的费率。</w:t>
            </w:r>
          </w:p>
        </w:tc>
      </w:tr>
      <w:tr w14:paraId="052C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81" w:type="dxa"/>
            <w:vMerge w:val="continue"/>
            <w:noWrap w:val="0"/>
            <w:vAlign w:val="center"/>
          </w:tcPr>
          <w:p w14:paraId="03BCC897">
            <w:pPr>
              <w:widowControl/>
              <w:adjustRightInd w:val="0"/>
              <w:snapToGrid w:val="0"/>
              <w:spacing w:line="560" w:lineRule="exact"/>
              <w:jc w:val="left"/>
              <w:rPr>
                <w:rFonts w:ascii="宋体" w:hAnsi="宋体"/>
                <w:color w:val="000000"/>
                <w:szCs w:val="21"/>
              </w:rPr>
            </w:pPr>
          </w:p>
        </w:tc>
        <w:tc>
          <w:tcPr>
            <w:tcW w:w="780" w:type="dxa"/>
            <w:vMerge w:val="continue"/>
            <w:noWrap w:val="0"/>
            <w:vAlign w:val="center"/>
          </w:tcPr>
          <w:p w14:paraId="609FC19C">
            <w:pPr>
              <w:widowControl/>
              <w:adjustRightInd w:val="0"/>
              <w:snapToGrid w:val="0"/>
              <w:spacing w:line="560" w:lineRule="exact"/>
              <w:jc w:val="left"/>
              <w:rPr>
                <w:rFonts w:ascii="宋体" w:hAnsi="宋体"/>
                <w:color w:val="000000"/>
                <w:szCs w:val="21"/>
              </w:rPr>
            </w:pPr>
          </w:p>
        </w:tc>
        <w:tc>
          <w:tcPr>
            <w:tcW w:w="846" w:type="dxa"/>
            <w:vMerge w:val="continue"/>
            <w:noWrap w:val="0"/>
            <w:vAlign w:val="center"/>
          </w:tcPr>
          <w:p w14:paraId="1E531B51">
            <w:pPr>
              <w:adjustRightInd w:val="0"/>
              <w:snapToGrid w:val="0"/>
              <w:spacing w:line="560" w:lineRule="exact"/>
              <w:rPr>
                <w:rFonts w:ascii="宋体" w:hAnsi="宋体"/>
                <w:color w:val="000000"/>
                <w:szCs w:val="21"/>
                <w:highlight w:val="yellow"/>
              </w:rPr>
            </w:pPr>
          </w:p>
        </w:tc>
        <w:tc>
          <w:tcPr>
            <w:tcW w:w="1985" w:type="dxa"/>
            <w:noWrap w:val="0"/>
            <w:vAlign w:val="center"/>
          </w:tcPr>
          <w:p w14:paraId="3F425279">
            <w:pPr>
              <w:adjustRightInd w:val="0"/>
              <w:snapToGrid w:val="0"/>
              <w:spacing w:line="560" w:lineRule="exact"/>
              <w:jc w:val="center"/>
              <w:rPr>
                <w:rFonts w:hint="eastAsia" w:ascii="宋体" w:hAnsi="宋体"/>
                <w:color w:val="000000"/>
                <w:szCs w:val="21"/>
                <w:highlight w:val="none"/>
              </w:rPr>
            </w:pPr>
            <w:r>
              <w:rPr>
                <w:rFonts w:hint="eastAsia" w:ascii="宋体" w:hAnsi="宋体"/>
                <w:color w:val="000000"/>
                <w:szCs w:val="21"/>
                <w:highlight w:val="none"/>
              </w:rPr>
              <w:t>税率</w:t>
            </w:r>
          </w:p>
        </w:tc>
        <w:tc>
          <w:tcPr>
            <w:tcW w:w="5794" w:type="dxa"/>
            <w:noWrap w:val="0"/>
            <w:vAlign w:val="center"/>
          </w:tcPr>
          <w:p w14:paraId="6E2AF72D">
            <w:pPr>
              <w:adjustRightInd w:val="0"/>
              <w:snapToGrid w:val="0"/>
              <w:spacing w:line="560" w:lineRule="exact"/>
              <w:rPr>
                <w:rFonts w:hint="eastAsia" w:ascii="宋体" w:hAnsi="宋体"/>
                <w:color w:val="000000"/>
                <w:szCs w:val="21"/>
                <w:highlight w:val="none"/>
              </w:rPr>
            </w:pPr>
            <w:r>
              <w:rPr>
                <w:rFonts w:hint="eastAsia" w:ascii="宋体" w:hAnsi="宋体"/>
                <w:color w:val="000000"/>
                <w:szCs w:val="21"/>
                <w:highlight w:val="none"/>
              </w:rPr>
              <w:t>低于《关于调整我省现行建设工程计价依据增值税税率的通知》（皖造价〔2019〕7号）规定的费率。</w:t>
            </w:r>
          </w:p>
        </w:tc>
      </w:tr>
      <w:tr w14:paraId="5B1CA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1" w:type="dxa"/>
            <w:noWrap w:val="0"/>
            <w:vAlign w:val="center"/>
          </w:tcPr>
          <w:p w14:paraId="4F351CE9">
            <w:pPr>
              <w:adjustRightInd w:val="0"/>
              <w:snapToGrid w:val="0"/>
              <w:spacing w:line="560" w:lineRule="exact"/>
              <w:jc w:val="center"/>
              <w:rPr>
                <w:rFonts w:ascii="宋体" w:hAnsi="宋体"/>
                <w:color w:val="000000"/>
                <w:szCs w:val="21"/>
                <w:highlight w:val="none"/>
              </w:rPr>
            </w:pPr>
            <w:r>
              <w:rPr>
                <w:rFonts w:ascii="宋体" w:hAnsi="宋体"/>
                <w:color w:val="000000"/>
                <w:szCs w:val="21"/>
                <w:highlight w:val="none"/>
              </w:rPr>
              <w:t>7</w:t>
            </w:r>
            <w:r>
              <w:rPr>
                <w:rFonts w:hint="eastAsia" w:ascii="宋体" w:hAnsi="宋体"/>
                <w:color w:val="000000"/>
                <w:szCs w:val="21"/>
                <w:highlight w:val="none"/>
              </w:rPr>
              <w:t>.1</w:t>
            </w:r>
          </w:p>
        </w:tc>
        <w:tc>
          <w:tcPr>
            <w:tcW w:w="780" w:type="dxa"/>
            <w:noWrap w:val="0"/>
            <w:vAlign w:val="center"/>
          </w:tcPr>
          <w:p w14:paraId="449E4BA3">
            <w:pPr>
              <w:adjustRightInd w:val="0"/>
              <w:snapToGrid w:val="0"/>
              <w:spacing w:line="560" w:lineRule="exact"/>
              <w:jc w:val="center"/>
              <w:rPr>
                <w:rFonts w:ascii="宋体" w:hAnsi="宋体"/>
                <w:color w:val="000000"/>
                <w:szCs w:val="21"/>
                <w:highlight w:val="none"/>
              </w:rPr>
            </w:pPr>
            <w:r>
              <w:rPr>
                <w:rFonts w:ascii="宋体" w:hAnsi="宋体"/>
                <w:color w:val="000000"/>
                <w:szCs w:val="21"/>
                <w:highlight w:val="none"/>
              </w:rPr>
              <w:t>商务</w:t>
            </w:r>
          </w:p>
          <w:p w14:paraId="01693717">
            <w:pPr>
              <w:adjustRightInd w:val="0"/>
              <w:snapToGrid w:val="0"/>
              <w:spacing w:line="560" w:lineRule="exact"/>
              <w:jc w:val="center"/>
              <w:rPr>
                <w:rFonts w:ascii="宋体" w:hAnsi="宋体"/>
                <w:color w:val="000000"/>
                <w:szCs w:val="21"/>
                <w:highlight w:val="none"/>
              </w:rPr>
            </w:pPr>
            <w:r>
              <w:rPr>
                <w:rFonts w:ascii="宋体" w:hAnsi="宋体"/>
                <w:color w:val="000000"/>
                <w:szCs w:val="21"/>
                <w:highlight w:val="none"/>
              </w:rPr>
              <w:t>评分</w:t>
            </w:r>
          </w:p>
          <w:p w14:paraId="1CF03D7F">
            <w:pPr>
              <w:adjustRightInd w:val="0"/>
              <w:snapToGrid w:val="0"/>
              <w:spacing w:line="560" w:lineRule="exact"/>
              <w:jc w:val="center"/>
              <w:rPr>
                <w:rFonts w:ascii="宋体" w:hAnsi="宋体"/>
                <w:color w:val="000000"/>
                <w:szCs w:val="21"/>
                <w:highlight w:val="none"/>
              </w:rPr>
            </w:pPr>
            <w:r>
              <w:rPr>
                <w:rFonts w:ascii="宋体" w:hAnsi="宋体"/>
                <w:color w:val="000000"/>
                <w:szCs w:val="21"/>
                <w:highlight w:val="none"/>
              </w:rPr>
              <w:t>（</w:t>
            </w:r>
            <w:r>
              <w:rPr>
                <w:rFonts w:hint="eastAsia" w:ascii="宋体" w:hAnsi="宋体"/>
                <w:color w:val="000000"/>
                <w:szCs w:val="21"/>
                <w:highlight w:val="none"/>
                <w:lang w:val="en-US" w:eastAsia="zh-CN"/>
              </w:rPr>
              <w:t>60</w:t>
            </w:r>
            <w:r>
              <w:rPr>
                <w:rFonts w:ascii="宋体" w:hAnsi="宋体"/>
                <w:color w:val="000000"/>
                <w:szCs w:val="21"/>
                <w:highlight w:val="none"/>
              </w:rPr>
              <w:t>分）</w:t>
            </w:r>
          </w:p>
        </w:tc>
        <w:tc>
          <w:tcPr>
            <w:tcW w:w="8625" w:type="dxa"/>
            <w:gridSpan w:val="3"/>
            <w:noWrap w:val="0"/>
            <w:vAlign w:val="center"/>
          </w:tcPr>
          <w:p w14:paraId="0EEB6BD1">
            <w:pPr>
              <w:spacing w:line="560" w:lineRule="exact"/>
              <w:ind w:firstLine="420" w:firstLineChars="200"/>
              <w:rPr>
                <w:rFonts w:hint="eastAsia" w:ascii="宋体" w:hAnsi="宋体" w:cs="宋体"/>
                <w:color w:val="000000"/>
                <w:highlight w:val="none"/>
              </w:rPr>
            </w:pPr>
            <w:r>
              <w:rPr>
                <w:rFonts w:hint="eastAsia" w:ascii="宋体" w:hAnsi="宋体" w:cs="宋体"/>
                <w:color w:val="000000"/>
                <w:highlight w:val="none"/>
              </w:rPr>
              <w:t>商务标评分按下列步骤计算：</w:t>
            </w:r>
          </w:p>
          <w:p w14:paraId="0778FF90">
            <w:pPr>
              <w:spacing w:line="560" w:lineRule="exact"/>
              <w:ind w:firstLine="420" w:firstLineChars="200"/>
              <w:rPr>
                <w:rFonts w:hint="eastAsia" w:ascii="宋体" w:hAnsi="宋体" w:cs="宋体"/>
                <w:color w:val="000000"/>
                <w:highlight w:val="none"/>
              </w:rPr>
            </w:pPr>
            <w:r>
              <w:rPr>
                <w:rFonts w:hint="eastAsia" w:ascii="宋体" w:hAnsi="宋体" w:cs="宋体"/>
                <w:color w:val="000000"/>
                <w:highlight w:val="none"/>
              </w:rPr>
              <w:t>第一步：计算B值。</w:t>
            </w:r>
          </w:p>
          <w:p w14:paraId="57A1D035">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①B</w:t>
            </w:r>
            <w:r>
              <w:rPr>
                <w:rFonts w:hint="eastAsia" w:ascii="宋体" w:hAnsi="宋体" w:cs="宋体"/>
                <w:color w:val="000000"/>
                <w:kern w:val="0"/>
                <w:szCs w:val="21"/>
                <w:highlight w:val="none"/>
              </w:rPr>
              <w:t>值</w:t>
            </w:r>
            <w:r>
              <w:rPr>
                <w:rFonts w:hint="eastAsia" w:ascii="宋体" w:hAnsi="宋体" w:cs="宋体"/>
                <w:color w:val="000000"/>
                <w:szCs w:val="21"/>
                <w:highlight w:val="none"/>
              </w:rPr>
              <w:t>为计算范围内有效投标人报价的算术平均值。</w:t>
            </w:r>
          </w:p>
          <w:p w14:paraId="40753253">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第二步：计算评标基准价F值。</w:t>
            </w:r>
          </w:p>
          <w:p w14:paraId="5CD4DA6B">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①F=B×（1-K），其中K为调整系数，K的取值为-0.5%（1号），0%（2号），0.5%（3号），1.0%（4号），1.5%（5号）。</w:t>
            </w:r>
          </w:p>
          <w:p w14:paraId="4B46002F">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第三步：计算报价偏差率。</w:t>
            </w:r>
          </w:p>
          <w:p w14:paraId="252A26CB">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①偏差率=|（投标报价-评标基准价）/评标基准价|×100%</w:t>
            </w:r>
          </w:p>
          <w:p w14:paraId="15145459">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第四步：计算报价得分</w:t>
            </w:r>
          </w:p>
          <w:p w14:paraId="35518BC0">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①投标报价等于评标基准价的得满分。</w:t>
            </w:r>
          </w:p>
          <w:p w14:paraId="4B72C20F">
            <w:pPr>
              <w:spacing w:line="560" w:lineRule="exact"/>
              <w:ind w:firstLine="420" w:firstLineChars="200"/>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rPr>
              <w:t>②投标报价高于评标基准价的，投标报价得分=报价满分值-偏差率×100×</w:t>
            </w:r>
            <w:r>
              <w:rPr>
                <w:rFonts w:hint="eastAsia" w:ascii="宋体" w:hAnsi="宋体" w:cs="宋体"/>
                <w:color w:val="000000"/>
                <w:szCs w:val="21"/>
                <w:highlight w:val="none"/>
                <w:lang w:val="en-US" w:eastAsia="zh-CN"/>
              </w:rPr>
              <w:t>0.5</w:t>
            </w:r>
          </w:p>
          <w:p w14:paraId="45251F0D">
            <w:pPr>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③投标报价低于评标基准价的，投标报价得分=报价满分值-偏差率×100×0.</w:t>
            </w: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5</w:t>
            </w:r>
          </w:p>
          <w:p w14:paraId="00095112">
            <w:pPr>
              <w:pStyle w:val="14"/>
              <w:adjustRightInd w:val="0"/>
              <w:snapToGrid w:val="0"/>
              <w:spacing w:after="0" w:line="560" w:lineRule="exact"/>
              <w:ind w:left="0" w:leftChars="0" w:firstLine="422" w:firstLineChars="0"/>
              <w:jc w:val="left"/>
              <w:rPr>
                <w:rFonts w:ascii="宋体" w:hAnsi="宋体" w:cs="宋体"/>
                <w:color w:val="000000"/>
                <w:szCs w:val="21"/>
                <w:highlight w:val="none"/>
              </w:rPr>
            </w:pPr>
            <w:r>
              <w:rPr>
                <w:rFonts w:hint="eastAsia" w:ascii="宋体" w:hAnsi="宋体" w:cs="宋体"/>
                <w:b/>
                <w:color w:val="000000"/>
                <w:szCs w:val="21"/>
                <w:highlight w:val="none"/>
              </w:rPr>
              <w:t>注：计算过程中，B值、评标基准价F值、偏差率、报价得分均保留两位小数，小数点后第三位四舍五入。</w:t>
            </w:r>
          </w:p>
        </w:tc>
      </w:tr>
    </w:tbl>
    <w:p w14:paraId="59C6EB5A">
      <w:pPr>
        <w:adjustRightInd w:val="0"/>
        <w:snapToGrid w:val="0"/>
        <w:spacing w:line="560" w:lineRule="exact"/>
        <w:ind w:firstLine="422" w:firstLineChars="200"/>
        <w:rPr>
          <w:rFonts w:ascii="黑体" w:hAnsi="黑体" w:eastAsia="黑体" w:cs="黑体"/>
          <w:b/>
          <w:color w:val="000000"/>
          <w:szCs w:val="21"/>
          <w:highlight w:val="none"/>
        </w:rPr>
      </w:pPr>
      <w:r>
        <w:rPr>
          <w:rFonts w:hint="eastAsia" w:ascii="黑体" w:hAnsi="黑体" w:eastAsia="黑体" w:cs="黑体"/>
          <w:b/>
          <w:color w:val="000000"/>
          <w:szCs w:val="21"/>
          <w:highlight w:val="none"/>
        </w:rPr>
        <w:t>商务标评审表注：</w:t>
      </w:r>
    </w:p>
    <w:p w14:paraId="0CCA0481">
      <w:pPr>
        <w:adjustRightInd w:val="0"/>
        <w:snapToGrid w:val="0"/>
        <w:spacing w:line="560" w:lineRule="exact"/>
        <w:ind w:firstLine="422" w:firstLineChars="200"/>
        <w:rPr>
          <w:rFonts w:hint="eastAsia" w:ascii="黑体" w:hAnsi="黑体" w:eastAsia="黑体" w:cs="黑体"/>
          <w:b/>
          <w:bCs/>
          <w:color w:val="000000"/>
          <w:szCs w:val="21"/>
          <w:highlight w:val="none"/>
          <w:u w:val="single"/>
        </w:rPr>
      </w:pPr>
      <w:r>
        <w:rPr>
          <w:rFonts w:hint="eastAsia" w:ascii="黑体" w:hAnsi="黑体" w:eastAsia="黑体" w:cs="黑体"/>
          <w:b/>
          <w:color w:val="000000"/>
          <w:szCs w:val="21"/>
          <w:highlight w:val="none"/>
        </w:rPr>
        <w:t>1、</w:t>
      </w:r>
      <w:r>
        <w:rPr>
          <w:rFonts w:hint="eastAsia" w:ascii="黑体" w:hAnsi="黑体" w:eastAsia="黑体" w:cs="黑体"/>
          <w:b/>
          <w:bCs/>
          <w:color w:val="000000"/>
          <w:szCs w:val="21"/>
          <w:highlight w:val="none"/>
        </w:rPr>
        <w:t>投标人总报价如超过A值，A值=</w:t>
      </w:r>
      <w:r>
        <w:rPr>
          <w:rFonts w:hint="eastAsia" w:ascii="黑体" w:hAnsi="黑体" w:eastAsia="黑体" w:cs="黑体"/>
          <w:b/>
          <w:bCs/>
          <w:color w:val="000000"/>
          <w:szCs w:val="21"/>
          <w:highlight w:val="none"/>
          <w:u w:val="single"/>
        </w:rPr>
        <w:t>最高投标限价×（1-J）+（暂列金额+暂估价）×1</w:t>
      </w:r>
      <w:r>
        <w:rPr>
          <w:rFonts w:hint="eastAsia" w:ascii="黑体" w:hAnsi="黑体" w:eastAsia="黑体" w:cs="黑体"/>
          <w:b/>
          <w:bCs/>
          <w:strike w:val="0"/>
          <w:dstrike w:val="0"/>
          <w:color w:val="000000"/>
          <w:szCs w:val="21"/>
          <w:highlight w:val="none"/>
          <w:u w:val="single"/>
        </w:rPr>
        <w:t>.09</w:t>
      </w:r>
      <w:r>
        <w:rPr>
          <w:rFonts w:hint="eastAsia" w:ascii="黑体" w:hAnsi="黑体" w:eastAsia="黑体" w:cs="黑体"/>
          <w:b/>
          <w:bCs/>
          <w:color w:val="000000"/>
          <w:szCs w:val="21"/>
          <w:highlight w:val="none"/>
          <w:u w:val="single"/>
        </w:rPr>
        <w:t>×J（其中J=</w:t>
      </w:r>
      <w:r>
        <w:rPr>
          <w:rFonts w:hint="eastAsia" w:ascii="黑体" w:hAnsi="黑体" w:eastAsia="黑体" w:cs="黑体"/>
          <w:b/>
          <w:bCs/>
          <w:color w:val="000000"/>
          <w:szCs w:val="21"/>
          <w:highlight w:val="none"/>
          <w:u w:val="single"/>
          <w:lang w:val="en-US" w:eastAsia="zh-CN"/>
        </w:rPr>
        <w:t>13</w:t>
      </w:r>
      <w:r>
        <w:rPr>
          <w:rFonts w:hint="eastAsia" w:ascii="黑体" w:hAnsi="黑体" w:eastAsia="黑体" w:cs="黑体"/>
          <w:b/>
          <w:bCs/>
          <w:color w:val="000000"/>
          <w:szCs w:val="21"/>
          <w:highlight w:val="none"/>
          <w:u w:val="single"/>
        </w:rPr>
        <w:t xml:space="preserve">%，该值由招标人根据具体项目情况自行设定），则商务标不得分，且该投标报价不参与B值计算。 </w:t>
      </w:r>
    </w:p>
    <w:p w14:paraId="38B13108">
      <w:pPr>
        <w:adjustRightInd w:val="0"/>
        <w:snapToGrid w:val="0"/>
        <w:spacing w:line="560" w:lineRule="exact"/>
        <w:ind w:firstLine="420" w:firstLineChars="200"/>
        <w:rPr>
          <w:rFonts w:hint="eastAsia" w:ascii="宋体" w:hAnsi="宋体" w:cs="宋体"/>
          <w:color w:val="000000"/>
          <w:szCs w:val="21"/>
        </w:rPr>
      </w:pPr>
      <w:r>
        <w:rPr>
          <w:rFonts w:ascii="宋体" w:hAnsi="宋体" w:cs="宋体"/>
          <w:color w:val="000000"/>
          <w:szCs w:val="21"/>
        </w:rPr>
        <w:t>2</w:t>
      </w:r>
      <w:r>
        <w:rPr>
          <w:rFonts w:hint="eastAsia" w:ascii="宋体" w:hAnsi="宋体" w:cs="宋体"/>
          <w:color w:val="000000"/>
          <w:szCs w:val="21"/>
        </w:rPr>
        <w:t>、只有通过详细评审的投标人才能参加评分。</w:t>
      </w:r>
    </w:p>
    <w:p w14:paraId="243244E1">
      <w:pPr>
        <w:adjustRightInd w:val="0"/>
        <w:snapToGrid w:val="0"/>
        <w:spacing w:line="560" w:lineRule="exact"/>
        <w:ind w:firstLine="420" w:firstLineChars="200"/>
        <w:rPr>
          <w:rFonts w:hint="eastAsia" w:ascii="宋体" w:hAnsi="宋体" w:cs="宋体"/>
          <w:strike/>
          <w:dstrike w:val="0"/>
          <w:color w:val="000000"/>
          <w:szCs w:val="21"/>
        </w:rPr>
      </w:pPr>
      <w:r>
        <w:rPr>
          <w:rFonts w:ascii="宋体" w:hAnsi="宋体" w:cs="宋体"/>
          <w:color w:val="000000"/>
          <w:szCs w:val="21"/>
        </w:rPr>
        <w:t>3</w:t>
      </w:r>
      <w:r>
        <w:rPr>
          <w:rFonts w:hint="eastAsia" w:ascii="宋体" w:hAnsi="宋体" w:cs="宋体"/>
          <w:color w:val="000000"/>
          <w:szCs w:val="21"/>
        </w:rPr>
        <w:t>、本表所称投标报价是指按招标文件规定修正后的投标总报价（多算投标报价、多报费用不扣减），报价以元为单位，保留两位小数，小数点后第三位四舍五入。</w:t>
      </w:r>
    </w:p>
    <w:p w14:paraId="0C30E4D5">
      <w:pPr>
        <w:adjustRightInd w:val="0"/>
        <w:snapToGrid w:val="0"/>
        <w:spacing w:line="560" w:lineRule="exact"/>
        <w:ind w:firstLine="420" w:firstLineChars="200"/>
        <w:rPr>
          <w:rFonts w:ascii="宋体" w:hAnsi="宋体" w:cs="宋体"/>
          <w:color w:val="000000"/>
          <w:szCs w:val="21"/>
          <w:highlight w:val="none"/>
        </w:rPr>
      </w:pPr>
      <w:r>
        <w:rPr>
          <w:rFonts w:hint="eastAsia" w:ascii="宋体" w:hAnsi="宋体" w:cs="宋体"/>
          <w:color w:val="000000"/>
          <w:szCs w:val="21"/>
          <w:highlight w:val="none"/>
        </w:rPr>
        <w:t>4、B 值计算方法：</w:t>
      </w:r>
    </w:p>
    <w:p w14:paraId="5BDBC373">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（1）本项目T取值为</w:t>
      </w:r>
      <w:r>
        <w:rPr>
          <w:rFonts w:hint="eastAsia" w:ascii="宋体" w:hAnsi="宋体" w:cs="宋体"/>
          <w:color w:val="000000"/>
          <w:szCs w:val="21"/>
          <w:lang w:val="en-US" w:eastAsia="zh-CN"/>
        </w:rPr>
        <w:t>10</w:t>
      </w:r>
      <w:r>
        <w:rPr>
          <w:rFonts w:hint="eastAsia" w:ascii="宋体" w:hAnsi="宋体" w:cs="宋体"/>
          <w:color w:val="000000"/>
          <w:szCs w:val="21"/>
        </w:rPr>
        <w:t>。</w:t>
      </w:r>
    </w:p>
    <w:p w14:paraId="19EF60E1">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（2）投标报价不超过A值且资信技术合计分值大于等于所有通过（资信、技术、商务）详细评审有效投标人资信技术平均分值的投标人数量为M。</w:t>
      </w:r>
    </w:p>
    <w:p w14:paraId="1F2F2578">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（3）若M 未超过 T 时，B 值为符合上述条件的 M 个投标人投标报价的算术平均值。</w:t>
      </w:r>
    </w:p>
    <w:p w14:paraId="5A3CDA66">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（4）若M 超过 T 时，B 值为符合上述条件的 M 个投标人投标报价中去除(M-T)/2【M-T 为奇数时，则为(M-T+1)/2】个最高价和(M-T)/2【M-T 为奇数时，则为(M-T-1)/2】个最低价后，剩余有效投标报价的算术平均值（如去高去低的最后一名存在报价相同的，则通过随机抽取确定被去除的投标人。只保留T个投标人的投标报价）。</w:t>
      </w:r>
    </w:p>
    <w:p w14:paraId="2FBF4D71">
      <w:pPr>
        <w:adjustRightInd w:val="0"/>
        <w:snapToGrid w:val="0"/>
        <w:spacing w:line="560" w:lineRule="exact"/>
        <w:ind w:firstLine="420" w:firstLineChars="200"/>
        <w:rPr>
          <w:rFonts w:ascii="宋体" w:hAnsi="宋体" w:cs="宋体"/>
          <w:color w:val="000000"/>
          <w:szCs w:val="21"/>
          <w:highlight w:val="none"/>
        </w:rPr>
      </w:pPr>
      <w:r>
        <w:rPr>
          <w:rFonts w:hint="eastAsia" w:ascii="宋体" w:hAnsi="宋体" w:cs="宋体"/>
          <w:color w:val="000000"/>
          <w:szCs w:val="21"/>
          <w:highlight w:val="none"/>
        </w:rPr>
        <w:t>5</w:t>
      </w:r>
      <w:r>
        <w:rPr>
          <w:rFonts w:ascii="宋体" w:hAnsi="宋体" w:cs="宋体"/>
          <w:color w:val="000000"/>
          <w:szCs w:val="21"/>
          <w:highlight w:val="none"/>
        </w:rPr>
        <w:t>、K值（评标基准价系数）的抽取：资信标、技术标、商务标评审完成后，</w:t>
      </w:r>
      <w:r>
        <w:rPr>
          <w:rFonts w:hint="eastAsia" w:ascii="宋体" w:hAnsi="宋体" w:cs="宋体"/>
          <w:color w:val="000000"/>
          <w:szCs w:val="21"/>
          <w:highlight w:val="none"/>
        </w:rPr>
        <w:t>评标委员会主任委员</w:t>
      </w:r>
      <w:r>
        <w:rPr>
          <w:rFonts w:hint="eastAsia" w:ascii="宋体" w:hAnsi="宋体" w:cs="宋体"/>
          <w:color w:val="000000"/>
          <w:szCs w:val="21"/>
          <w:highlight w:val="none"/>
          <w:lang w:val="en-US" w:eastAsia="zh-CN"/>
        </w:rPr>
        <w:t>现场</w:t>
      </w:r>
      <w:r>
        <w:rPr>
          <w:rFonts w:ascii="宋体" w:hAnsi="宋体" w:cs="宋体"/>
          <w:color w:val="000000"/>
          <w:szCs w:val="21"/>
          <w:highlight w:val="none"/>
        </w:rPr>
        <w:t>抽取K值，并根据抽取的K值计算F值，评标办法中的评标基准价计算出来后，除数字计算错误外，其他情况均不再调整。</w:t>
      </w:r>
    </w:p>
    <w:p w14:paraId="344C1AF4">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6、其他</w:t>
      </w:r>
    </w:p>
    <w:p w14:paraId="243EB2D9">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6.1 缺漏项金额是指投标人漏计招标人发布的清单项目，按最高投标限价对应清单综合单价计算缺漏金额。</w:t>
      </w:r>
    </w:p>
    <w:p w14:paraId="32771FAC">
      <w:pPr>
        <w:adjustRightInd w:val="0"/>
        <w:snapToGrid w:val="0"/>
        <w:spacing w:line="560" w:lineRule="exact"/>
        <w:ind w:firstLine="420" w:firstLineChars="200"/>
        <w:rPr>
          <w:rFonts w:hint="eastAsia" w:ascii="宋体" w:hAnsi="宋体" w:eastAsia="宋体" w:cs="宋体"/>
          <w:color w:val="000000"/>
          <w:szCs w:val="21"/>
        </w:rPr>
      </w:pPr>
      <w:r>
        <w:rPr>
          <w:rFonts w:hint="eastAsia" w:ascii="宋体" w:hAnsi="宋体" w:cs="宋体"/>
          <w:color w:val="000000"/>
          <w:szCs w:val="21"/>
        </w:rPr>
        <w:t xml:space="preserve">6.2 </w:t>
      </w:r>
      <w:r>
        <w:rPr>
          <w:rFonts w:hint="eastAsia" w:ascii="宋体" w:hAnsi="宋体" w:eastAsia="宋体" w:cs="宋体"/>
          <w:color w:val="000000"/>
          <w:szCs w:val="21"/>
        </w:rPr>
        <w:t>本表所述累计投标报价缺漏错总额占原投标报价格 5%以下者，视为投标人主动让利或包含在其他项目中，不修正总价，工程结算时亦不予调整。</w:t>
      </w:r>
    </w:p>
    <w:p w14:paraId="19C921B3">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highlight w:val="none"/>
        </w:rPr>
        <w:t>7、</w:t>
      </w:r>
      <w:r>
        <w:rPr>
          <w:rFonts w:hint="eastAsia" w:ascii="宋体" w:hAnsi="宋体" w:cs="宋体"/>
          <w:color w:val="000000"/>
          <w:szCs w:val="21"/>
          <w:highlight w:val="none"/>
        </w:rPr>
        <w:t>投标人（如投标人为联合体，联合体各方均需提供）</w:t>
      </w:r>
      <w:r>
        <w:rPr>
          <w:rFonts w:hint="default" w:ascii="宋体" w:hAnsi="宋体" w:eastAsia="宋体" w:cs="宋体"/>
          <w:b w:val="0"/>
          <w:bCs w:val="0"/>
          <w:color w:val="000000"/>
          <w:sz w:val="21"/>
          <w:szCs w:val="21"/>
          <w:highlight w:val="none"/>
          <w:lang w:val="en-US" w:eastAsia="zh-CN"/>
        </w:rPr>
        <w:t>的注册建造师必须满足相应建筑业企业资质标准要求，评标委员会在评审时，将对此进行评审。投标单位（如投标人为联合体，</w:t>
      </w:r>
      <w:r>
        <w:rPr>
          <w:rFonts w:hint="eastAsia" w:ascii="宋体" w:hAnsi="宋体" w:cs="宋体"/>
          <w:color w:val="000000"/>
          <w:szCs w:val="21"/>
          <w:highlight w:val="none"/>
        </w:rPr>
        <w:t>联合体各方均需提供</w:t>
      </w:r>
      <w:r>
        <w:rPr>
          <w:rFonts w:hint="default" w:ascii="宋体" w:hAnsi="宋体" w:eastAsia="宋体" w:cs="宋体"/>
          <w:b w:val="0"/>
          <w:bCs w:val="0"/>
          <w:color w:val="000000"/>
          <w:sz w:val="21"/>
          <w:szCs w:val="21"/>
          <w:highlight w:val="none"/>
          <w:lang w:val="en-US" w:eastAsia="zh-CN"/>
        </w:rPr>
        <w:t>）应在商务标文件中提供全国建筑市场监管公共服务平台(四库一平台)企业注册人员网页截图，并在投标函中承诺，</w:t>
      </w:r>
      <w:r>
        <w:rPr>
          <w:rFonts w:hint="eastAsia" w:ascii="宋体" w:hAnsi="宋体" w:eastAsia="宋体" w:cs="宋体"/>
          <w:b w:val="0"/>
          <w:bCs w:val="0"/>
          <w:color w:val="000000"/>
          <w:sz w:val="21"/>
          <w:szCs w:val="21"/>
          <w:highlight w:val="none"/>
          <w:lang w:val="en-US" w:eastAsia="zh-CN"/>
        </w:rPr>
        <w:t>承诺本单位（如投标人为联合体，联合体各方）现有注册建造师专业、数量满足《建筑业企业资质标准》及有关文件中对应资质等级标准要求等内容。</w:t>
      </w:r>
      <w:r>
        <w:rPr>
          <w:rFonts w:hint="eastAsia" w:ascii="宋体" w:hAnsi="宋体" w:eastAsia="宋体" w:cs="宋体"/>
          <w:b/>
          <w:bCs/>
          <w:color w:val="000000"/>
          <w:sz w:val="21"/>
          <w:szCs w:val="21"/>
          <w:highlight w:val="none"/>
          <w:lang w:val="en-US" w:eastAsia="zh-CN"/>
        </w:rPr>
        <w:t>未提供相关截图或承诺的，提供的相关截图或承诺未体现注册建造师满足相应建筑业企业资质标准要求的，按无效标处理。</w:t>
      </w:r>
    </w:p>
    <w:p w14:paraId="59E5148A">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1.评标方法</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14:paraId="2AE84BFC">
      <w:pPr>
        <w:adjustRightInd w:val="0"/>
        <w:snapToGrid w:val="0"/>
        <w:spacing w:line="560" w:lineRule="exact"/>
        <w:ind w:firstLine="420" w:firstLineChars="200"/>
        <w:rPr>
          <w:rFonts w:hint="eastAsia" w:ascii="宋体" w:hAnsi="宋体" w:eastAsia="宋体" w:cs="宋体"/>
          <w:color w:val="000000"/>
          <w:szCs w:val="21"/>
        </w:rPr>
      </w:pPr>
      <w:bookmarkStart w:id="791" w:name="_Toc15058914"/>
      <w:bookmarkStart w:id="792" w:name="_Toc35425114"/>
      <w:bookmarkStart w:id="793" w:name="_Toc506107325"/>
      <w:bookmarkStart w:id="794" w:name="_Toc11945"/>
      <w:bookmarkStart w:id="795" w:name="_Toc35424948"/>
      <w:bookmarkStart w:id="796" w:name="_Toc324404873"/>
      <w:bookmarkStart w:id="797" w:name="_Toc78803382"/>
      <w:bookmarkStart w:id="798" w:name="_Toc152045590"/>
      <w:bookmarkStart w:id="799" w:name="_Toc246996976"/>
      <w:bookmarkStart w:id="800" w:name="_Toc247085748"/>
      <w:bookmarkStart w:id="801" w:name="_Toc246996233"/>
      <w:bookmarkStart w:id="802" w:name="_Toc296602478"/>
      <w:bookmarkStart w:id="803" w:name="_Toc152042367"/>
      <w:bookmarkStart w:id="804" w:name="_Toc144974557"/>
      <w:bookmarkStart w:id="805" w:name="_Toc179632608"/>
      <w:r>
        <w:rPr>
          <w:rFonts w:hint="eastAsia" w:ascii="宋体" w:hAnsi="宋体" w:eastAsia="宋体" w:cs="宋体"/>
          <w:color w:val="000000"/>
          <w:szCs w:val="21"/>
        </w:rPr>
        <w:t>本次评标采用综合评估法。评标委员会对满足招标文件实质性要求的投标文件，按照本章规定的评分标准计算得分，并按总得分由高到低顺序推荐中标候选人（3名），并标明排序，但投标报价低于其成本的除外。如总得分相等，以投标报价低的优先，投标报价仍相等，由评标委员会主任委员随机抽取确定排名。</w:t>
      </w:r>
    </w:p>
    <w:p w14:paraId="53F28D04">
      <w:pPr>
        <w:widowControl/>
        <w:adjustRightInd w:val="0"/>
        <w:snapToGrid w:val="0"/>
        <w:spacing w:line="560" w:lineRule="exact"/>
        <w:ind w:firstLine="420" w:firstLineChars="200"/>
        <w:jc w:val="left"/>
        <w:rPr>
          <w:rFonts w:hint="eastAsia" w:ascii="宋体" w:hAnsi="宋体" w:cs="宋体"/>
          <w:color w:val="000000"/>
          <w:szCs w:val="21"/>
        </w:rPr>
      </w:pPr>
      <w:r>
        <w:rPr>
          <w:rFonts w:hint="eastAsia" w:ascii="宋体" w:hAnsi="宋体" w:cs="宋体"/>
          <w:color w:val="000000"/>
          <w:szCs w:val="21"/>
        </w:rPr>
        <w:t>（1）根据评标委员会评审初步结论，项目单位（代理机构）对预中标候选人</w:t>
      </w:r>
      <w:r>
        <w:rPr>
          <w:rFonts w:hint="eastAsia" w:ascii="Times New Roman" w:hAnsi="Times New Roman"/>
          <w:smallCaps w:val="0"/>
        </w:rPr>
        <w:t>（包括联合体各成员）</w:t>
      </w:r>
      <w:r>
        <w:rPr>
          <w:rFonts w:hint="eastAsia" w:ascii="宋体" w:hAnsi="宋体" w:cs="宋体"/>
          <w:color w:val="000000"/>
          <w:szCs w:val="21"/>
        </w:rPr>
        <w:t>是否存在招标文件要求查询的失信行为进行网上核查后，提交网站截图等查询记录给评标委员会复核。若核查结果不符合招标文件规定的投标人资格条件信誉要求，由评标委员会取消其预中标候选人资格，并依次替补，再次对替补单位进行核查。如评标现场未发现问题但标后质疑（异议）、投诉发现中标候选人</w:t>
      </w:r>
      <w:r>
        <w:rPr>
          <w:rFonts w:hint="eastAsia" w:ascii="Times New Roman" w:hAnsi="Times New Roman"/>
          <w:smallCaps w:val="0"/>
        </w:rPr>
        <w:t>（包括联合体各成员）</w:t>
      </w:r>
      <w:r>
        <w:rPr>
          <w:rFonts w:hint="eastAsia" w:ascii="宋体" w:hAnsi="宋体" w:cs="宋体"/>
          <w:color w:val="000000"/>
          <w:szCs w:val="21"/>
        </w:rPr>
        <w:t>存在信誉问题，则组织评标委员会重新启动复核程序。核查结果不改变原评标基准价。</w:t>
      </w:r>
    </w:p>
    <w:p w14:paraId="4E3865BA">
      <w:pPr>
        <w:wordWrap w:val="0"/>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rPr>
        <w:t>（2）评标委员会登录全国建筑市场监管公共服务平台(四库</w:t>
      </w:r>
      <w:r>
        <w:rPr>
          <w:rFonts w:hint="eastAsia" w:ascii="宋体" w:hAnsi="宋体" w:cs="宋体"/>
          <w:color w:val="000000"/>
          <w:szCs w:val="21"/>
          <w:lang w:eastAsia="zh-CN"/>
        </w:rPr>
        <w:t>一</w:t>
      </w:r>
      <w:r>
        <w:rPr>
          <w:rFonts w:hint="eastAsia" w:ascii="宋体" w:hAnsi="宋体" w:cs="宋体"/>
          <w:color w:val="000000"/>
          <w:szCs w:val="21"/>
        </w:rPr>
        <w:t>平台)https://jzsc.mohurd.gov.cn/home 进行实时查询，并结合《住房城乡建设部关于进一步加强建设工程企业资质审批管理工作的通知》（建市规〔2023〕3号）、《住房和城乡建设部办公厅关于建设工程企业资质有关事项的通知》（建办市函〔2022〕361号）和安徽省住建厅《关于建设工程企业资质有关事宜的通知》（建市函〔2022〕748 号），</w:t>
      </w:r>
      <w:r>
        <w:rPr>
          <w:rFonts w:hint="eastAsia" w:ascii="宋体" w:hAnsi="宋体" w:cs="宋体"/>
          <w:color w:val="000000"/>
          <w:szCs w:val="21"/>
          <w:highlight w:val="none"/>
        </w:rPr>
        <w:t>对中标候选人的关系企业履约能力的建造师数量进行评审：</w:t>
      </w:r>
    </w:p>
    <w:p w14:paraId="4C369C38">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仿宋_GB2312" w:hAnsi="宋体" w:eastAsia="仿宋_GB2312" w:cs="宋体"/>
          <w:color w:val="000000"/>
          <w:szCs w:val="21"/>
          <w:highlight w:val="none"/>
        </w:rPr>
        <w:t>①</w:t>
      </w:r>
      <w:r>
        <w:rPr>
          <w:rFonts w:hint="eastAsia"/>
          <w:szCs w:val="21"/>
          <w:highlight w:val="none"/>
        </w:rPr>
        <w:t>市政公用工程</w:t>
      </w:r>
      <w:r>
        <w:rPr>
          <w:rFonts w:hint="eastAsia" w:ascii="宋体" w:hAnsi="宋体" w:cs="宋体"/>
          <w:color w:val="000000"/>
          <w:szCs w:val="21"/>
          <w:highlight w:val="none"/>
        </w:rPr>
        <w:t>施工总承包特级资质企业：注册一级建造师50人以上。</w:t>
      </w:r>
    </w:p>
    <w:p w14:paraId="54423EA9">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仿宋_GB2312" w:hAnsi="宋体" w:eastAsia="仿宋_GB2312" w:cs="宋体"/>
          <w:color w:val="000000"/>
          <w:szCs w:val="21"/>
          <w:highlight w:val="none"/>
        </w:rPr>
        <w:t>②</w:t>
      </w:r>
      <w:r>
        <w:rPr>
          <w:rFonts w:hint="eastAsia"/>
          <w:szCs w:val="21"/>
          <w:highlight w:val="none"/>
        </w:rPr>
        <w:t>市政公用工程</w:t>
      </w:r>
      <w:r>
        <w:rPr>
          <w:rFonts w:hint="eastAsia" w:ascii="宋体" w:hAnsi="宋体" w:cs="宋体"/>
          <w:color w:val="000000"/>
          <w:szCs w:val="21"/>
          <w:highlight w:val="none"/>
        </w:rPr>
        <w:t>施工总承包壹级资质企业：</w:t>
      </w:r>
      <w:r>
        <w:rPr>
          <w:rFonts w:hint="eastAsia"/>
          <w:szCs w:val="21"/>
          <w:highlight w:val="none"/>
        </w:rPr>
        <w:t>市政公用工程</w:t>
      </w:r>
      <w:r>
        <w:rPr>
          <w:rFonts w:hint="eastAsia" w:ascii="宋体" w:hAnsi="宋体" w:cs="宋体"/>
          <w:color w:val="000000"/>
          <w:szCs w:val="21"/>
          <w:highlight w:val="none"/>
        </w:rPr>
        <w:t>专业一级注册建造师合计不少于12人。</w:t>
      </w:r>
    </w:p>
    <w:p w14:paraId="6CEF63FF">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仿宋_GB2312" w:hAnsi="宋体" w:eastAsia="仿宋_GB2312" w:cs="宋体"/>
          <w:color w:val="000000"/>
          <w:szCs w:val="21"/>
          <w:highlight w:val="none"/>
        </w:rPr>
        <w:t>③</w:t>
      </w:r>
      <w:r>
        <w:rPr>
          <w:rFonts w:hint="eastAsia"/>
          <w:szCs w:val="21"/>
          <w:highlight w:val="none"/>
        </w:rPr>
        <w:t>市政公用工程</w:t>
      </w:r>
      <w:r>
        <w:rPr>
          <w:rFonts w:hint="eastAsia" w:ascii="宋体" w:hAnsi="宋体" w:cs="宋体"/>
          <w:color w:val="000000"/>
          <w:szCs w:val="21"/>
          <w:highlight w:val="none"/>
        </w:rPr>
        <w:t>施工总承包贰级、叁级资质企业：</w:t>
      </w:r>
      <w:r>
        <w:rPr>
          <w:rFonts w:hint="eastAsia"/>
          <w:szCs w:val="21"/>
          <w:highlight w:val="none"/>
        </w:rPr>
        <w:t>市政公用工程</w:t>
      </w:r>
      <w:r>
        <w:rPr>
          <w:rFonts w:hint="eastAsia" w:ascii="宋体" w:hAnsi="宋体" w:cs="宋体"/>
          <w:color w:val="000000"/>
          <w:szCs w:val="21"/>
          <w:highlight w:val="none"/>
        </w:rPr>
        <w:t>专业注册建造师不少于5人。</w:t>
      </w:r>
    </w:p>
    <w:p w14:paraId="6A161807">
      <w:pPr>
        <w:widowControl/>
        <w:adjustRightInd w:val="0"/>
        <w:snapToGrid w:val="0"/>
        <w:spacing w:line="560" w:lineRule="exact"/>
        <w:ind w:firstLine="420" w:firstLineChars="200"/>
        <w:jc w:val="left"/>
        <w:rPr>
          <w:rFonts w:hint="eastAsia" w:ascii="宋体" w:hAnsi="宋体" w:cs="宋体"/>
          <w:color w:val="000000"/>
          <w:szCs w:val="21"/>
          <w:highlight w:val="none"/>
        </w:rPr>
      </w:pPr>
      <w:r>
        <w:rPr>
          <w:rFonts w:hint="eastAsia" w:ascii="宋体" w:hAnsi="宋体" w:cs="宋体"/>
          <w:color w:val="000000"/>
          <w:szCs w:val="21"/>
        </w:rPr>
        <w:t>中标候选人的注册建造师不满足上述要求的，评标委员会对该投标不予认可，并将该情形报送相关行政主管部门。中标候选人依次替补，评标委员会再次对替补单位进行核查。</w:t>
      </w:r>
    </w:p>
    <w:p w14:paraId="3F12DD3B">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2.评标委员会的职责</w:t>
      </w:r>
      <w:bookmarkEnd w:id="791"/>
      <w:bookmarkEnd w:id="792"/>
      <w:bookmarkEnd w:id="793"/>
      <w:bookmarkEnd w:id="794"/>
      <w:bookmarkEnd w:id="795"/>
      <w:bookmarkEnd w:id="796"/>
      <w:bookmarkEnd w:id="797"/>
    </w:p>
    <w:p w14:paraId="5A7B7719">
      <w:pPr>
        <w:adjustRightInd w:val="0"/>
        <w:snapToGrid w:val="0"/>
        <w:spacing w:line="560" w:lineRule="exact"/>
        <w:ind w:firstLine="420" w:firstLineChars="200"/>
        <w:rPr>
          <w:rFonts w:hint="eastAsia" w:ascii="宋体" w:hAnsi="宋体" w:cs="宋体"/>
          <w:color w:val="000000"/>
          <w:szCs w:val="21"/>
        </w:rPr>
      </w:pPr>
      <w:bookmarkStart w:id="806" w:name="_Toc78803384"/>
      <w:bookmarkStart w:id="807" w:name="_Toc17377"/>
      <w:bookmarkStart w:id="808" w:name="_Toc324404874"/>
      <w:bookmarkStart w:id="809" w:name="_Toc506107326"/>
      <w:bookmarkStart w:id="810" w:name="_Toc35425115"/>
      <w:bookmarkStart w:id="811" w:name="_Toc35424949"/>
      <w:bookmarkStart w:id="812" w:name="_Toc15058915"/>
      <w:r>
        <w:rPr>
          <w:rFonts w:hint="eastAsia" w:ascii="宋体" w:hAnsi="宋体" w:cs="宋体"/>
          <w:color w:val="000000"/>
          <w:szCs w:val="21"/>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00585F0E">
      <w:pPr>
        <w:adjustRightInd w:val="0"/>
        <w:snapToGrid w:val="0"/>
        <w:spacing w:line="560" w:lineRule="exact"/>
        <w:ind w:firstLine="420" w:firstLineChars="200"/>
        <w:rPr>
          <w:rFonts w:hint="eastAsia" w:ascii="宋体" w:hAnsi="宋体" w:cs="宋体"/>
          <w:color w:val="000000"/>
          <w:szCs w:val="21"/>
        </w:rPr>
      </w:pPr>
      <w:r>
        <w:rPr>
          <w:rFonts w:hint="eastAsia" w:ascii="宋体" w:hAnsi="宋体" w:cs="宋体"/>
          <w:color w:val="000000"/>
          <w:szCs w:val="21"/>
        </w:rPr>
        <w:t>评标委员会应加强对报价合理性审查。评标评审委员会认为拟推荐的中标候选人的报价明显低于其他通过符合性审查投标人的报价，有可能影响项目质量或者不能诚信履约的，应当要求投标人在评标现场合理的时间内提供书面说明，必要时提交相关证明材料；投标人不能证明其报价合理性的，或评标委员会认定其存在履约及质量安全风险的，评标评审委员会应当将其作为无效投标处理。</w:t>
      </w:r>
    </w:p>
    <w:p w14:paraId="2EE942C7">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3.评标程序</w:t>
      </w:r>
      <w:bookmarkEnd w:id="806"/>
      <w:bookmarkEnd w:id="807"/>
      <w:bookmarkEnd w:id="808"/>
      <w:bookmarkEnd w:id="809"/>
      <w:bookmarkEnd w:id="810"/>
      <w:bookmarkEnd w:id="811"/>
      <w:bookmarkEnd w:id="812"/>
    </w:p>
    <w:p w14:paraId="74F4CF37">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bookmarkStart w:id="813" w:name="_Toc35424950"/>
      <w:bookmarkStart w:id="814" w:name="_Toc27389"/>
      <w:bookmarkStart w:id="815" w:name="_Toc15058916"/>
      <w:bookmarkStart w:id="816" w:name="_Toc78803385"/>
      <w:bookmarkStart w:id="817" w:name="_Toc35425116"/>
      <w:r>
        <w:rPr>
          <w:rFonts w:hint="eastAsia" w:ascii="宋体" w:hAnsi="宋体" w:eastAsia="宋体" w:cs="宋体"/>
          <w:color w:val="auto"/>
          <w:szCs w:val="21"/>
          <w:highlight w:val="none"/>
        </w:rPr>
        <w:t>评标先做准备工作，再进行资格、技术标评审，然后进行商务标评审。</w:t>
      </w:r>
    </w:p>
    <w:p w14:paraId="6E980930">
      <w:pPr>
        <w:pStyle w:val="3"/>
        <w:ind w:firstLine="422" w:firstLineChars="200"/>
        <w:rPr>
          <w:rFonts w:ascii="宋体" w:hAnsi="宋体" w:eastAsia="宋体" w:cs="宋体"/>
          <w:highlight w:val="none"/>
        </w:rPr>
      </w:pPr>
      <w:r>
        <w:rPr>
          <w:rFonts w:hint="eastAsia" w:ascii="宋体" w:hAnsi="宋体" w:eastAsia="宋体" w:cs="宋体"/>
          <w:highlight w:val="none"/>
        </w:rPr>
        <w:t>3.1评标准备工作</w:t>
      </w:r>
      <w:bookmarkEnd w:id="813"/>
      <w:bookmarkEnd w:id="814"/>
      <w:bookmarkEnd w:id="815"/>
      <w:bookmarkEnd w:id="816"/>
      <w:bookmarkEnd w:id="817"/>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1CF5DD7">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818" w:name="_Toc95223433"/>
      <w:bookmarkStart w:id="819" w:name="_Toc506107327"/>
      <w:bookmarkStart w:id="820" w:name="_Toc15058919"/>
      <w:bookmarkStart w:id="821" w:name="_Toc12200"/>
      <w:bookmarkStart w:id="822" w:name="_Toc324404875"/>
      <w:bookmarkStart w:id="823" w:name="_Toc78803389"/>
      <w:bookmarkStart w:id="824" w:name="_Toc35425120"/>
      <w:bookmarkStart w:id="825" w:name="_Toc35424954"/>
      <w:r>
        <w:rPr>
          <w:rFonts w:hint="eastAsia" w:ascii="黑体" w:hAnsi="黑体" w:cs="黑体"/>
          <w:color w:val="000000"/>
          <w:sz w:val="21"/>
          <w:szCs w:val="21"/>
          <w:highlight w:val="none"/>
        </w:rPr>
        <w:t>3.2技术标评审</w:t>
      </w:r>
      <w:bookmarkEnd w:id="818"/>
    </w:p>
    <w:p w14:paraId="0D2D6BD1">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详见技术标评审表。</w:t>
      </w:r>
    </w:p>
    <w:p w14:paraId="2DE8CA6E">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826" w:name="_Toc95223434"/>
      <w:r>
        <w:rPr>
          <w:rFonts w:hint="eastAsia" w:ascii="黑体" w:hAnsi="黑体" w:cs="黑体"/>
          <w:color w:val="000000"/>
          <w:sz w:val="21"/>
          <w:szCs w:val="21"/>
          <w:highlight w:val="none"/>
        </w:rPr>
        <w:t>3.3商务标评审</w:t>
      </w:r>
      <w:bookmarkEnd w:id="826"/>
    </w:p>
    <w:p w14:paraId="53463FF0">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详见商务标评审表。</w:t>
      </w:r>
    </w:p>
    <w:p w14:paraId="617E89B0">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r>
        <w:rPr>
          <w:rFonts w:hint="eastAsia" w:ascii="黑体" w:hAnsi="黑体" w:cs="黑体"/>
          <w:color w:val="000000"/>
          <w:sz w:val="21"/>
          <w:szCs w:val="21"/>
          <w:highlight w:val="none"/>
        </w:rPr>
        <w:t>3.4推荐中标候选人</w:t>
      </w:r>
    </w:p>
    <w:p w14:paraId="18371287">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资信评审、技术标评审、商务标评审后，推荐中标候选人，并标明排序。</w:t>
      </w:r>
    </w:p>
    <w:p w14:paraId="3113A55A">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4.评审内容</w:t>
      </w:r>
      <w:bookmarkEnd w:id="819"/>
      <w:bookmarkEnd w:id="820"/>
      <w:bookmarkEnd w:id="821"/>
      <w:bookmarkEnd w:id="822"/>
      <w:bookmarkEnd w:id="823"/>
      <w:bookmarkEnd w:id="824"/>
      <w:bookmarkEnd w:id="825"/>
    </w:p>
    <w:p w14:paraId="3980C2DF">
      <w:pPr>
        <w:pStyle w:val="3"/>
        <w:ind w:firstLine="422" w:firstLineChars="200"/>
        <w:rPr>
          <w:rFonts w:hint="eastAsia" w:ascii="宋体" w:hAnsi="宋体" w:eastAsia="宋体" w:cs="宋体"/>
          <w:highlight w:val="none"/>
        </w:rPr>
      </w:pPr>
      <w:bookmarkStart w:id="827" w:name="_Toc95223436"/>
      <w:bookmarkStart w:id="828" w:name="_Toc78803390"/>
      <w:bookmarkStart w:id="829" w:name="_Toc9630"/>
      <w:r>
        <w:rPr>
          <w:rFonts w:hint="eastAsia" w:ascii="宋体" w:hAnsi="宋体" w:eastAsia="宋体" w:cs="宋体"/>
          <w:highlight w:val="none"/>
        </w:rPr>
        <w:t>4.1技术标评审</w:t>
      </w:r>
      <w:bookmarkEnd w:id="827"/>
    </w:p>
    <w:p w14:paraId="4D238764">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4.1.1形式性评审标准：见技术标评审表。</w:t>
      </w:r>
    </w:p>
    <w:p w14:paraId="24C8A179">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4.1.2响应性评审标准：见技术标评审表。</w:t>
      </w:r>
    </w:p>
    <w:p w14:paraId="4B6D9D4A">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评标委员会依据上述标准对投标文件进行形式性评审和响应性评审。有一项不符合评审标准的，作无效投标处理。对否定的技术标，评标委员会要提出充足的否定理由，并填写在技术标评标记录上。</w:t>
      </w:r>
    </w:p>
    <w:bookmarkEnd w:id="828"/>
    <w:bookmarkEnd w:id="829"/>
    <w:p w14:paraId="55926CFF">
      <w:pPr>
        <w:pStyle w:val="3"/>
        <w:adjustRightInd w:val="0"/>
        <w:snapToGrid w:val="0"/>
        <w:spacing w:before="0" w:after="0" w:line="560" w:lineRule="exact"/>
        <w:ind w:firstLine="422" w:firstLineChars="200"/>
        <w:rPr>
          <w:rFonts w:hint="eastAsia" w:ascii="黑体" w:hAnsi="黑体" w:cs="黑体"/>
          <w:color w:val="000000"/>
          <w:sz w:val="21"/>
          <w:szCs w:val="21"/>
          <w:highlight w:val="none"/>
        </w:rPr>
      </w:pPr>
      <w:bookmarkStart w:id="830" w:name="_Toc95223437"/>
      <w:bookmarkStart w:id="831" w:name="_Toc13125"/>
      <w:bookmarkStart w:id="832" w:name="_Toc324404876"/>
      <w:bookmarkStart w:id="833" w:name="_Toc35425123"/>
      <w:bookmarkStart w:id="834" w:name="_Toc78803392"/>
      <w:bookmarkStart w:id="835" w:name="_Toc15058922"/>
      <w:bookmarkStart w:id="836" w:name="_Toc35424957"/>
      <w:bookmarkStart w:id="837" w:name="_Toc506107328"/>
      <w:r>
        <w:rPr>
          <w:rFonts w:hint="eastAsia" w:ascii="黑体" w:hAnsi="黑体" w:cs="黑体"/>
          <w:color w:val="000000"/>
          <w:sz w:val="21"/>
          <w:szCs w:val="21"/>
          <w:highlight w:val="none"/>
        </w:rPr>
        <w:t>4.2商务标评审</w:t>
      </w:r>
      <w:bookmarkEnd w:id="830"/>
    </w:p>
    <w:p w14:paraId="3A94F44D">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只有通过技术标评审的投标才能够进入本阶段评审。</w:t>
      </w:r>
    </w:p>
    <w:p w14:paraId="7793FEBA">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4.2.1形式性评审标准：见商务标评审表。</w:t>
      </w:r>
    </w:p>
    <w:p w14:paraId="655F15CC">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4.2.2响应性评审标准：见商务标评审表。</w:t>
      </w:r>
    </w:p>
    <w:p w14:paraId="079F1557">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评标委员会依据上述标准对投标文件进行初步评审。有一项不符合评审标准的，作无效投标处理。</w:t>
      </w:r>
    </w:p>
    <w:p w14:paraId="3D50DD69">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4.2.3详细评审标准：见商务标评审表。</w:t>
      </w:r>
    </w:p>
    <w:p w14:paraId="7DFCA053">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评标委员会审查投标文件，审核并确认清标结果，包括工程投标报价的校核、审查全部数据计算的正确性、分析各种费用构成的合理性和正确性等内容，看其是否有计算或表达上的错误，投标报价有错误的，评标委员会按以下原则对投标报价进行修正。</w:t>
      </w:r>
    </w:p>
    <w:p w14:paraId="1FF06586">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（1）投标文件中的大写金额与小写金额不一致的，以大写金额为准。</w:t>
      </w:r>
    </w:p>
    <w:p w14:paraId="5C529CE2">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（2）总价金额与依据单价计算出的结果不一致的，以单价金额为准修正总价，但单价金额小数点有明显错误的除外。</w:t>
      </w:r>
    </w:p>
    <w:p w14:paraId="7371A27A">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（3）工程量清单报价表中综合单价与工程量清单项目价格分析表相对应综合单价不一致时，以工程量清单项目价格分析表中标出的综合单价为准。</w:t>
      </w:r>
    </w:p>
    <w:p w14:paraId="255794AA">
      <w:pPr>
        <w:shd w:val="clea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5.无效投标条款</w:t>
      </w:r>
      <w:bookmarkEnd w:id="831"/>
      <w:bookmarkEnd w:id="832"/>
      <w:bookmarkEnd w:id="833"/>
      <w:bookmarkEnd w:id="834"/>
      <w:bookmarkEnd w:id="835"/>
      <w:bookmarkEnd w:id="836"/>
      <w:bookmarkEnd w:id="837"/>
    </w:p>
    <w:p w14:paraId="3E3E65E8">
      <w:pPr>
        <w:adjustRightInd w:val="0"/>
        <w:snapToGrid w:val="0"/>
        <w:spacing w:line="560" w:lineRule="exact"/>
        <w:ind w:firstLine="420" w:firstLineChars="200"/>
        <w:rPr>
          <w:rFonts w:hint="eastAsia" w:ascii="宋体" w:hAnsi="宋体" w:eastAsia="宋体" w:cs="宋体"/>
          <w:color w:val="000000"/>
          <w:szCs w:val="21"/>
          <w:highlight w:val="none"/>
        </w:rPr>
      </w:pPr>
      <w:bookmarkStart w:id="838" w:name="_Toc35425124"/>
      <w:bookmarkStart w:id="839" w:name="_Toc506107329"/>
      <w:bookmarkStart w:id="840" w:name="_Toc15058923"/>
      <w:bookmarkStart w:id="841" w:name="_Toc324404877"/>
      <w:bookmarkStart w:id="842" w:name="_Toc35424958"/>
      <w:bookmarkStart w:id="843" w:name="_Toc78803393"/>
      <w:bookmarkStart w:id="844" w:name="_Toc27846"/>
      <w:r>
        <w:rPr>
          <w:rFonts w:hint="eastAsia" w:ascii="宋体" w:hAnsi="宋体" w:eastAsia="宋体" w:cs="宋体"/>
          <w:color w:val="000000"/>
          <w:szCs w:val="21"/>
          <w:highlight w:val="none"/>
        </w:rPr>
        <w:t>5.1投标人存在下列情形的招标人将拒收投标文件：</w:t>
      </w:r>
    </w:p>
    <w:p w14:paraId="7C3A9FFB">
      <w:pPr>
        <w:adjustRightInd w:val="0"/>
        <w:snapToGrid w:val="0"/>
        <w:spacing w:line="560" w:lineRule="exact"/>
        <w:ind w:firstLine="420" w:firstLineChars="200"/>
        <w:rPr>
          <w:rFonts w:hint="eastAsia" w:ascii="宋体" w:hAnsi="宋体" w:eastAsia="宋体" w:cs="宋体"/>
          <w:color w:val="000000"/>
          <w:szCs w:val="21"/>
          <w:highlight w:val="none"/>
          <w:lang w:eastAsia="zh-CN"/>
        </w:rPr>
      </w:pPr>
      <w:bookmarkStart w:id="845" w:name="_Toc60061505"/>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）未在投标截止时</w:t>
      </w:r>
      <w:bookmarkEnd w:id="845"/>
      <w:r>
        <w:rPr>
          <w:rFonts w:hint="eastAsia" w:ascii="宋体" w:hAnsi="宋体" w:eastAsia="宋体" w:cs="宋体"/>
          <w:color w:val="000000"/>
          <w:szCs w:val="21"/>
          <w:highlight w:val="none"/>
        </w:rPr>
        <w:t>间前通过网上招标投标系统递交有效电子投标文件的，开标系统不予接收，投标将被拒绝</w:t>
      </w:r>
      <w:r>
        <w:rPr>
          <w:rFonts w:hint="eastAsia" w:ascii="宋体" w:hAnsi="宋体" w:eastAsia="宋体" w:cs="宋体"/>
          <w:color w:val="000000"/>
          <w:szCs w:val="21"/>
          <w:highlight w:val="none"/>
          <w:lang w:eastAsia="zh-CN"/>
        </w:rPr>
        <w:t>。</w:t>
      </w:r>
    </w:p>
    <w:p w14:paraId="0794123B">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所有投标人应在规定时间里完成投标文件的解密工作【投标企业接到远程解密指令后，须在规定时间内解密（以网上开评标系统解密倒计时为准）。因投标人自身原因导致投标文件在规定时间内未能解密、解密失败或解密超时，投标文件无效</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rPr>
        <w:t>】。</w:t>
      </w:r>
    </w:p>
    <w:p w14:paraId="66C9671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5.2投标人有下列情形的，经评审后其投标作无效投标处理：</w:t>
      </w:r>
    </w:p>
    <w:p w14:paraId="34DC536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5.2.1技术标评审</w:t>
      </w:r>
    </w:p>
    <w:p w14:paraId="039E0426">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评标委员会依据《技术标评审表》进行形式性评审和响应性评审。有一项不符合评审标准的，做无效投标处理；对否定的技术标，评标委员会要提出充足的否定理由，并填写在技术标评标记录上。</w:t>
      </w:r>
    </w:p>
    <w:p w14:paraId="7B09A123">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5.2.2商务标评审</w:t>
      </w:r>
    </w:p>
    <w:p w14:paraId="169EECD8">
      <w:pPr>
        <w:adjustRightInd w:val="0"/>
        <w:snapToGrid w:val="0"/>
        <w:spacing w:line="560" w:lineRule="exact"/>
        <w:ind w:firstLine="420" w:firstLineChars="200"/>
        <w:rPr>
          <w:rFonts w:hint="eastAsia" w:ascii="宋体" w:hAnsi="宋体" w:cs="宋体"/>
          <w:color w:val="000000"/>
          <w:szCs w:val="21"/>
          <w:highlight w:val="none"/>
        </w:rPr>
      </w:pPr>
      <w:r>
        <w:rPr>
          <w:rFonts w:hint="eastAsia" w:ascii="宋体" w:hAnsi="宋体" w:eastAsia="宋体" w:cs="宋体"/>
          <w:color w:val="000000"/>
          <w:szCs w:val="21"/>
          <w:highlight w:val="none"/>
        </w:rPr>
        <w:t>（</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w:t>
      </w:r>
      <w:r>
        <w:rPr>
          <w:rFonts w:hint="eastAsia" w:ascii="宋体" w:hAnsi="宋体" w:cs="宋体"/>
          <w:color w:val="000000"/>
          <w:szCs w:val="21"/>
          <w:highlight w:val="none"/>
        </w:rPr>
        <w:t>评标委员会依据《商务标评审表》进行形式性评审和响应性评审。有一项不符合评审标准的，做无效投标处理；</w:t>
      </w:r>
    </w:p>
    <w:p w14:paraId="520DB812">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（2）商务标详细评审标准中有任何一项不能通过评审的，作无效投标处理。</w:t>
      </w:r>
    </w:p>
    <w:p w14:paraId="11B68C2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5.3其他无效投标情况：</w:t>
      </w:r>
    </w:p>
    <w:p w14:paraId="5D501451">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214A4A8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（2）按第四章“评标方法”第4.2.</w:t>
      </w:r>
      <w:r>
        <w:rPr>
          <w:rFonts w:hint="eastAsia" w:ascii="宋体" w:hAnsi="宋体" w:eastAsia="宋体" w:cs="宋体"/>
          <w:color w:val="000000"/>
          <w:szCs w:val="21"/>
          <w:highlight w:val="none"/>
          <w:lang w:val="en-US" w:eastAsia="zh-CN"/>
        </w:rPr>
        <w:t>3</w:t>
      </w:r>
      <w:r>
        <w:rPr>
          <w:rFonts w:hint="eastAsia" w:ascii="宋体" w:hAnsi="宋体" w:eastAsia="宋体" w:cs="宋体"/>
          <w:color w:val="000000"/>
          <w:szCs w:val="21"/>
          <w:highlight w:val="none"/>
        </w:rPr>
        <w:t>项修正错误的原则及方法调整或修正投标文件的投标报价，调整或修正的价格经投标人书面确认后具有约束力。投标人不接受修正价格的，其投标将被拒绝。</w:t>
      </w:r>
    </w:p>
    <w:p w14:paraId="7C1D2B2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（3）第二章“投标人须知”第1.4.3项规定的任何一种情形的。</w:t>
      </w:r>
    </w:p>
    <w:p w14:paraId="48DD6505">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（4）投标人有串通投标、视为串通投标、弄虚作假、行贿等违法行为。</w:t>
      </w:r>
    </w:p>
    <w:p w14:paraId="7AE90BB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（5）投标文件没有对招标文件的实质性要求和条件作出响应。</w:t>
      </w:r>
    </w:p>
    <w:p w14:paraId="08A9016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（6）未按规定的格式填写导致实质性内容不全以及实质上不响应，或者关键字迹模糊、无法辨认。</w:t>
      </w:r>
    </w:p>
    <w:p w14:paraId="00808C1E">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（7）同一投标人提交两个以上不同的投标文件或者投标报价，但招标文件规定提交备选投标的除外。</w:t>
      </w:r>
    </w:p>
    <w:p w14:paraId="2533827A">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（8）投标文件中存在招标人不能接受的其他实质性条件。</w:t>
      </w:r>
    </w:p>
    <w:p w14:paraId="524D53D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（9）投标文件中填报的拟任项目经理（建造师）与资格审查通过的项目经理（建造师）前后不一致的。</w:t>
      </w:r>
    </w:p>
    <w:p w14:paraId="3D744B31">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（10）投标人拒不按照要求对投标文件进行澄清、说明、补正的，或评标委员会根据招标文件的规定对招标文件的计算错误进行修正后，投标人不接受修正的投标报价的。</w:t>
      </w:r>
    </w:p>
    <w:p w14:paraId="687CDF04">
      <w:pPr>
        <w:adjustRightInd w:val="0"/>
        <w:snapToGrid w:val="0"/>
        <w:spacing w:line="560" w:lineRule="exact"/>
        <w:ind w:firstLine="420" w:firstLineChars="200"/>
        <w:rPr>
          <w:rFonts w:hint="eastAsia" w:ascii="宋体" w:hAnsi="宋体" w:eastAsia="宋体" w:cs="宋体"/>
          <w:color w:val="000000"/>
          <w:szCs w:val="21"/>
          <w:highlight w:val="none"/>
        </w:rPr>
      </w:pPr>
      <w:bookmarkStart w:id="846" w:name="_Toc95223409"/>
      <w:r>
        <w:rPr>
          <w:rFonts w:hint="eastAsia" w:ascii="宋体" w:hAnsi="宋体" w:eastAsia="宋体" w:cs="宋体"/>
          <w:color w:val="000000"/>
          <w:szCs w:val="21"/>
          <w:highlight w:val="none"/>
        </w:rPr>
        <w:t>（11）投标人投标MAC地址一致。</w:t>
      </w:r>
    </w:p>
    <w:p w14:paraId="2C767D1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（12）投标人单方面出现其他投标人材料。</w:t>
      </w:r>
    </w:p>
    <w:p w14:paraId="76E1A2B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（13）评标时查询投标文件制作机器码、文件创建标识码及造价软件加密锁号。若存在投标文件制作机器码或创建标识码或造价软件加密锁号信息与其他投标人雷同的，投标无效。</w:t>
      </w:r>
    </w:p>
    <w:p w14:paraId="203ECAC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（14）投标人申请开具电子保函MAC地址一致。</w:t>
      </w:r>
    </w:p>
    <w:p w14:paraId="7C442CA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（15）投标人联系人或联系电话相同的。</w:t>
      </w:r>
    </w:p>
    <w:p w14:paraId="178C70F9">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）法律、法规规定的其他情形。</w:t>
      </w:r>
    </w:p>
    <w:p w14:paraId="5A018EF6">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6.投标文件的澄清和补正</w:t>
      </w:r>
      <w:bookmarkEnd w:id="846"/>
    </w:p>
    <w:p w14:paraId="4C9D7324">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6.1在评标过程中，评标委员会可以书面形式要求投标</w:t>
      </w:r>
      <w:bookmarkStart w:id="847" w:name="_Toc60061506"/>
      <w:r>
        <w:rPr>
          <w:rFonts w:hint="eastAsia" w:ascii="宋体" w:hAnsi="宋体" w:eastAsia="宋体" w:cs="宋体"/>
          <w:color w:val="000000"/>
          <w:szCs w:val="21"/>
          <w:highlight w:val="none"/>
        </w:rPr>
        <w:t>人对所提交的投标文件中含</w:t>
      </w:r>
      <w:bookmarkEnd w:id="847"/>
      <w:r>
        <w:rPr>
          <w:rFonts w:hint="eastAsia" w:ascii="宋体" w:hAnsi="宋体" w:eastAsia="宋体" w:cs="宋体"/>
          <w:color w:val="000000"/>
          <w:szCs w:val="21"/>
          <w:highlight w:val="none"/>
        </w:rPr>
        <w:t>义不明确、对同类问题表述不一致或者有明显文字和计算错误的内容进行书面澄清或说明，或者对细微偏差进行补正。评标委员会不接受投标人主动提出的澄清、说明或补正。</w:t>
      </w:r>
    </w:p>
    <w:p w14:paraId="4AF5F2BE">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6.2澄清、说明和补正不得改变投标文件的实质性内容（算术性错误修正的除外）。投标人的书面澄清、说明和补正属于投标文件的组成部分。</w:t>
      </w:r>
    </w:p>
    <w:p w14:paraId="5067B074">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6.3评标委员会对投标人提交的澄清、说明和补正有疑问的，可以要求投标人进一步澄清、说明或补正、直至满足评标委员会的要求。</w:t>
      </w:r>
    </w:p>
    <w:p w14:paraId="42BDF8A3">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按照投标文件规定进行澄清、补正后的投标报价经投标人的法定代表人或其委托代理人确认后即为该投标人的最终投标报价。投标人一旦中标，此报价即为中标价。</w:t>
      </w:r>
    </w:p>
    <w:bookmarkEnd w:id="798"/>
    <w:bookmarkEnd w:id="799"/>
    <w:bookmarkEnd w:id="800"/>
    <w:bookmarkEnd w:id="801"/>
    <w:bookmarkEnd w:id="802"/>
    <w:bookmarkEnd w:id="803"/>
    <w:bookmarkEnd w:id="804"/>
    <w:bookmarkEnd w:id="805"/>
    <w:bookmarkEnd w:id="838"/>
    <w:bookmarkEnd w:id="839"/>
    <w:bookmarkEnd w:id="840"/>
    <w:bookmarkEnd w:id="841"/>
    <w:bookmarkEnd w:id="842"/>
    <w:bookmarkEnd w:id="843"/>
    <w:bookmarkEnd w:id="844"/>
    <w:p w14:paraId="7BC20C8A">
      <w:pPr>
        <w:pStyle w:val="3"/>
        <w:spacing w:beforeLines="50" w:afterLines="50"/>
        <w:ind w:firstLine="422" w:firstLineChars="200"/>
        <w:rPr>
          <w:rFonts w:hint="eastAsia" w:ascii="宋体" w:hAnsi="宋体" w:eastAsia="宋体" w:cs="宋体"/>
          <w:highlight w:val="none"/>
        </w:rPr>
      </w:pPr>
      <w:bookmarkStart w:id="848" w:name="_Toc95223410"/>
      <w:bookmarkStart w:id="849" w:name="_Toc506107333"/>
      <w:bookmarkStart w:id="850" w:name="_Toc15058927"/>
      <w:bookmarkStart w:id="851" w:name="_Toc35425128"/>
      <w:bookmarkStart w:id="852" w:name="_Toc35424962"/>
      <w:bookmarkStart w:id="853" w:name="_Toc179632785"/>
      <w:bookmarkStart w:id="854" w:name="_Toc144974826"/>
      <w:bookmarkStart w:id="855" w:name="_Toc152045767"/>
      <w:bookmarkStart w:id="856" w:name="_Toc152042546"/>
      <w:r>
        <w:rPr>
          <w:rFonts w:hint="eastAsia" w:ascii="宋体" w:hAnsi="宋体" w:eastAsia="宋体" w:cs="宋体"/>
          <w:highlight w:val="none"/>
        </w:rPr>
        <w:t>7.评分标准</w:t>
      </w:r>
      <w:bookmarkEnd w:id="848"/>
    </w:p>
    <w:p w14:paraId="7412FA8E">
      <w:pPr>
        <w:adjustRightInd w:val="0"/>
        <w:snapToGrid w:val="0"/>
        <w:spacing w:line="560" w:lineRule="exact"/>
        <w:ind w:firstLine="420" w:firstLineChars="200"/>
        <w:rPr>
          <w:rFonts w:hint="eastAsia" w:ascii="宋体" w:hAnsi="宋体" w:eastAsia="宋体" w:cs="宋体"/>
          <w:color w:val="000000"/>
          <w:szCs w:val="21"/>
          <w:highlight w:val="none"/>
        </w:rPr>
      </w:pPr>
      <w:bookmarkStart w:id="857" w:name="_Toc95223411"/>
      <w:r>
        <w:rPr>
          <w:rFonts w:hint="eastAsia" w:ascii="宋体" w:hAnsi="宋体" w:eastAsia="宋体" w:cs="宋体"/>
          <w:color w:val="000000"/>
          <w:szCs w:val="21"/>
          <w:highlight w:val="none"/>
          <w:lang w:val="en-US" w:eastAsia="zh-CN"/>
        </w:rPr>
        <w:t>7.1</w:t>
      </w:r>
      <w:r>
        <w:rPr>
          <w:rFonts w:hint="eastAsia" w:ascii="宋体" w:hAnsi="宋体" w:eastAsia="宋体" w:cs="宋体"/>
          <w:color w:val="000000"/>
          <w:szCs w:val="21"/>
          <w:highlight w:val="none"/>
        </w:rPr>
        <w:t>评分标准：见资信、技术及商务评分表。</w:t>
      </w:r>
    </w:p>
    <w:p w14:paraId="1ED9F886">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8.评审结果</w:t>
      </w:r>
      <w:bookmarkEnd w:id="857"/>
    </w:p>
    <w:p w14:paraId="5A14873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8.1除第二章“投标人须知”及其前附表授权直接确定中标人外，评</w:t>
      </w:r>
      <w:bookmarkStart w:id="858" w:name="_Toc15058925"/>
      <w:bookmarkStart w:id="859" w:name="_Toc324404879"/>
      <w:bookmarkStart w:id="860" w:name="_Toc60061508"/>
      <w:bookmarkStart w:id="861" w:name="_Toc506107331"/>
      <w:r>
        <w:rPr>
          <w:rFonts w:hint="eastAsia" w:ascii="宋体" w:hAnsi="宋体" w:eastAsia="宋体" w:cs="宋体"/>
          <w:color w:val="000000"/>
          <w:szCs w:val="21"/>
          <w:highlight w:val="none"/>
        </w:rPr>
        <w:t>标委员会</w:t>
      </w:r>
      <w:bookmarkEnd w:id="858"/>
      <w:bookmarkEnd w:id="859"/>
      <w:bookmarkEnd w:id="860"/>
      <w:bookmarkEnd w:id="861"/>
      <w:r>
        <w:rPr>
          <w:rFonts w:hint="eastAsia" w:ascii="宋体" w:hAnsi="宋体" w:eastAsia="宋体" w:cs="宋体"/>
          <w:color w:val="000000"/>
          <w:szCs w:val="21"/>
          <w:highlight w:val="none"/>
        </w:rPr>
        <w:t>按有效报价由低到高的顺序推荐中标候选人）。</w:t>
      </w:r>
    </w:p>
    <w:p w14:paraId="0586443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8.2评标委员会完成评标后，应当向招标人提交书面评标报告。评标报告应当如实记载以下内容：</w:t>
      </w:r>
    </w:p>
    <w:p w14:paraId="60C496F3">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（1）基本情况和数据表。</w:t>
      </w:r>
    </w:p>
    <w:p w14:paraId="2FF3825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（2）评标委员会成员名单。</w:t>
      </w:r>
    </w:p>
    <w:p w14:paraId="3E8F5A8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（3）开标记录。</w:t>
      </w:r>
    </w:p>
    <w:p w14:paraId="77CE3783">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（4）符合要求的投标人一览表。</w:t>
      </w:r>
    </w:p>
    <w:p w14:paraId="1A0FCCD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（5）否决投标情况说明。</w:t>
      </w:r>
    </w:p>
    <w:p w14:paraId="18FE4A2D">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（6）评标标准、评标方法或者评标因素。</w:t>
      </w:r>
    </w:p>
    <w:p w14:paraId="4F8B3E86">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（7）经评审的价格比较一览表。</w:t>
      </w:r>
    </w:p>
    <w:p w14:paraId="4B89E24A">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（8）经评审的投标人排序。</w:t>
      </w:r>
    </w:p>
    <w:p w14:paraId="3C2A0C70">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（9）推荐的中标候选人名单与签订合同前要处理的事宜。</w:t>
      </w:r>
    </w:p>
    <w:p w14:paraId="03A977F1">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（10）澄清、说明、补正事项纪要。</w:t>
      </w:r>
    </w:p>
    <w:p w14:paraId="7CC0D938">
      <w:pPr>
        <w:adjustRightInd w:val="0"/>
        <w:snapToGrid w:val="0"/>
        <w:spacing w:line="560" w:lineRule="exact"/>
        <w:ind w:firstLine="420" w:firstLineChars="200"/>
        <w:rPr>
          <w:rFonts w:hint="eastAsia" w:ascii="宋体" w:hAnsi="宋体" w:eastAsia="宋体" w:cs="宋体"/>
          <w:color w:val="000000"/>
          <w:szCs w:val="21"/>
          <w:highlight w:val="none"/>
        </w:rPr>
      </w:pPr>
      <w:bookmarkStart w:id="862" w:name="_Toc95223412"/>
      <w:r>
        <w:rPr>
          <w:rFonts w:hint="eastAsia" w:ascii="宋体" w:hAnsi="宋体" w:eastAsia="宋体" w:cs="宋体"/>
          <w:color w:val="000000"/>
          <w:szCs w:val="21"/>
          <w:highlight w:val="none"/>
        </w:rPr>
        <w:t>8.3依法必须进行招标的项目，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15095E2F">
      <w:pPr>
        <w:adjustRightInd w:val="0"/>
        <w:snapToGrid w:val="0"/>
        <w:spacing w:line="560" w:lineRule="exact"/>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22FE37EA">
      <w:pPr>
        <w:pStyle w:val="3"/>
        <w:spacing w:beforeLines="50" w:afterLines="50"/>
        <w:ind w:firstLine="422" w:firstLineChars="200"/>
        <w:rPr>
          <w:rFonts w:hint="eastAsia" w:ascii="宋体" w:hAnsi="宋体" w:eastAsia="宋体" w:cs="宋体"/>
          <w:highlight w:val="none"/>
        </w:rPr>
      </w:pPr>
      <w:r>
        <w:rPr>
          <w:rFonts w:hint="eastAsia" w:ascii="宋体" w:hAnsi="宋体" w:eastAsia="宋体" w:cs="宋体"/>
          <w:highlight w:val="none"/>
        </w:rPr>
        <w:t>9.其他</w:t>
      </w:r>
      <w:bookmarkEnd w:id="862"/>
    </w:p>
    <w:p w14:paraId="754314B4">
      <w:pPr>
        <w:adjustRightInd w:val="0"/>
        <w:snapToGrid w:val="0"/>
        <w:spacing w:line="560" w:lineRule="exact"/>
        <w:ind w:firstLine="420" w:firstLineChars="200"/>
        <w:rPr>
          <w:rFonts w:hint="eastAsia" w:ascii="宋体" w:hAnsi="宋体" w:eastAsia="宋体" w:cs="宋体"/>
          <w:color w:val="000000"/>
          <w:szCs w:val="21"/>
          <w:highlight w:val="none"/>
        </w:rPr>
        <w:sectPr>
          <w:footerReference r:id="rId6" w:type="default"/>
          <w:footnotePr>
            <w:numFmt w:val="decimalEnclosedCircleChinese"/>
            <w:numRestart w:val="eachPage"/>
          </w:footnotePr>
          <w:pgSz w:w="11907" w:h="16840"/>
          <w:pgMar w:top="1474" w:right="1474" w:bottom="1474" w:left="1474" w:header="799" w:footer="907" w:gutter="0"/>
          <w:pgNumType w:start="1"/>
          <w:cols w:space="720" w:num="1"/>
          <w:docGrid w:linePitch="271" w:charSpace="0"/>
        </w:sectPr>
      </w:pPr>
      <w:r>
        <w:rPr>
          <w:rFonts w:hint="eastAsia" w:ascii="宋体" w:hAnsi="宋体" w:eastAsia="宋体" w:cs="宋体"/>
          <w:color w:val="000000"/>
          <w:szCs w:val="21"/>
          <w:highlight w:val="none"/>
        </w:rPr>
        <w:t>投标人提供的与投标文件有关的各类证书、证明、文件、资料等的真实性、合法性由投标人负全责。</w:t>
      </w:r>
    </w:p>
    <w:p w14:paraId="65923B12">
      <w:pPr>
        <w:rPr>
          <w:rFonts w:hint="eastAsia"/>
          <w:highlight w:val="none"/>
        </w:rPr>
      </w:pPr>
      <w:bookmarkStart w:id="863" w:name="_Toc78803397"/>
    </w:p>
    <w:bookmarkEnd w:id="849"/>
    <w:bookmarkEnd w:id="850"/>
    <w:bookmarkEnd w:id="851"/>
    <w:bookmarkEnd w:id="852"/>
    <w:bookmarkEnd w:id="863"/>
    <w:p w14:paraId="226BC7FC">
      <w:pPr>
        <w:pStyle w:val="44"/>
        <w:spacing w:beforeLines="50" w:afterLines="50" w:line="440" w:lineRule="exact"/>
        <w:jc w:val="center"/>
        <w:rPr>
          <w:rFonts w:hint="eastAsia" w:eastAsia="宋体" w:cs="Times New Roman"/>
          <w:bCs/>
          <w:szCs w:val="32"/>
          <w:highlight w:val="none"/>
          <w:lang w:val="en-US" w:eastAsia="zh-CN"/>
        </w:rPr>
      </w:pPr>
      <w:bookmarkStart w:id="864" w:name="_Toc16721"/>
      <w:r>
        <w:rPr>
          <w:rFonts w:hint="eastAsia" w:eastAsia="宋体" w:cs="Times New Roman"/>
          <w:bCs/>
          <w:szCs w:val="32"/>
          <w:highlight w:val="none"/>
          <w:lang w:val="en-US" w:eastAsia="zh-CN"/>
        </w:rPr>
        <w:t>第五章  合同条款及格式</w:t>
      </w:r>
      <w:bookmarkEnd w:id="864"/>
    </w:p>
    <w:p w14:paraId="4CE3F04B">
      <w:pPr>
        <w:spacing w:line="360" w:lineRule="auto"/>
        <w:jc w:val="center"/>
        <w:rPr>
          <w:rFonts w:ascii="仿宋_GB2312" w:eastAsia="仿宋_GB2312"/>
          <w:b/>
          <w:sz w:val="28"/>
          <w:szCs w:val="28"/>
        </w:rPr>
      </w:pPr>
    </w:p>
    <w:p w14:paraId="5957ECD4">
      <w:pPr>
        <w:jc w:val="center"/>
        <w:rPr>
          <w:rFonts w:hint="eastAsia" w:ascii="宋体" w:hAnsi="宋体" w:cs="宋体"/>
          <w:bCs/>
          <w:color w:val="auto"/>
          <w:sz w:val="32"/>
          <w:szCs w:val="32"/>
          <w:highlight w:val="none"/>
          <w:u w:val="single"/>
        </w:rPr>
      </w:pPr>
      <w:r>
        <w:rPr>
          <w:rFonts w:hint="eastAsia" w:ascii="宋体" w:hAnsi="宋体" w:cs="宋体"/>
          <w:bCs/>
          <w:color w:val="auto"/>
          <w:sz w:val="32"/>
          <w:szCs w:val="32"/>
          <w:highlight w:val="none"/>
        </w:rPr>
        <w:t>合同编号：</w:t>
      </w:r>
      <w:r>
        <w:rPr>
          <w:rFonts w:hint="eastAsia" w:ascii="宋体" w:hAnsi="宋体" w:cs="宋体"/>
          <w:bCs/>
          <w:color w:val="auto"/>
          <w:sz w:val="32"/>
          <w:szCs w:val="32"/>
          <w:highlight w:val="none"/>
          <w:u w:val="single"/>
        </w:rPr>
        <w:t>（HT-YL- ）</w:t>
      </w:r>
    </w:p>
    <w:p w14:paraId="00921190">
      <w:pPr>
        <w:ind w:firstLine="1771" w:firstLineChars="245"/>
        <w:rPr>
          <w:rFonts w:hint="eastAsia" w:ascii="宋体" w:hAnsi="宋体" w:cs="宋体"/>
          <w:b/>
          <w:sz w:val="72"/>
          <w:szCs w:val="52"/>
          <w:highlight w:val="none"/>
        </w:rPr>
      </w:pPr>
    </w:p>
    <w:p w14:paraId="01221F91">
      <w:pPr>
        <w:jc w:val="center"/>
        <w:rPr>
          <w:rFonts w:hint="eastAsia" w:ascii="宋体" w:hAnsi="宋体" w:cs="宋体"/>
          <w:b/>
          <w:sz w:val="52"/>
          <w:szCs w:val="52"/>
          <w:highlight w:val="none"/>
        </w:rPr>
      </w:pPr>
      <w:r>
        <w:rPr>
          <w:rFonts w:hint="eastAsia" w:ascii="宋体" w:hAnsi="宋体" w:cs="宋体"/>
          <w:b/>
          <w:sz w:val="48"/>
          <w:szCs w:val="36"/>
          <w:highlight w:val="none"/>
          <w:lang w:eastAsia="zh-CN"/>
        </w:rPr>
        <w:t>G36宁洛高速公路来安至明光段改扩建工程曹庄、嘉山服务区污水改造项目合同</w:t>
      </w:r>
      <w:r>
        <w:rPr>
          <w:rFonts w:hint="eastAsia" w:ascii="宋体" w:hAnsi="宋体" w:cs="宋体"/>
          <w:b/>
          <w:sz w:val="52"/>
          <w:szCs w:val="52"/>
          <w:highlight w:val="none"/>
        </w:rPr>
        <w:br w:type="textWrapping"/>
      </w:r>
    </w:p>
    <w:p w14:paraId="48820318">
      <w:pPr>
        <w:jc w:val="center"/>
        <w:rPr>
          <w:rFonts w:hint="eastAsia" w:ascii="宋体" w:hAnsi="宋体" w:cs="宋体"/>
          <w:b/>
          <w:sz w:val="52"/>
          <w:szCs w:val="52"/>
          <w:highlight w:val="none"/>
        </w:rPr>
      </w:pPr>
    </w:p>
    <w:p w14:paraId="2F116064">
      <w:pPr>
        <w:jc w:val="center"/>
        <w:rPr>
          <w:rFonts w:hint="eastAsia" w:ascii="宋体" w:hAnsi="宋体" w:cs="宋体"/>
          <w:b/>
          <w:sz w:val="72"/>
          <w:szCs w:val="72"/>
          <w:highlight w:val="none"/>
        </w:rPr>
      </w:pPr>
    </w:p>
    <w:p w14:paraId="57BFE166">
      <w:pPr>
        <w:jc w:val="center"/>
        <w:rPr>
          <w:rFonts w:hint="eastAsia" w:ascii="宋体" w:hAnsi="宋体" w:cs="宋体"/>
          <w:b/>
          <w:sz w:val="72"/>
          <w:szCs w:val="72"/>
          <w:highlight w:val="none"/>
        </w:rPr>
      </w:pPr>
    </w:p>
    <w:p w14:paraId="4ACEE727">
      <w:pPr>
        <w:jc w:val="center"/>
        <w:rPr>
          <w:rFonts w:hint="eastAsia" w:ascii="宋体" w:hAnsi="宋体" w:cs="宋体"/>
          <w:b/>
          <w:sz w:val="52"/>
          <w:szCs w:val="52"/>
          <w:highlight w:val="none"/>
        </w:rPr>
      </w:pPr>
    </w:p>
    <w:p w14:paraId="24241A9D">
      <w:pPr>
        <w:rPr>
          <w:rFonts w:hint="eastAsia" w:ascii="宋体" w:hAnsi="宋体" w:cs="宋体"/>
          <w:b/>
          <w:sz w:val="28"/>
          <w:szCs w:val="28"/>
          <w:highlight w:val="none"/>
        </w:rPr>
      </w:pPr>
    </w:p>
    <w:p w14:paraId="7E8F0CD5">
      <w:pPr>
        <w:pStyle w:val="14"/>
        <w:rPr>
          <w:rFonts w:hint="eastAsia" w:ascii="宋体" w:hAnsi="宋体" w:cs="宋体"/>
          <w:b/>
          <w:sz w:val="28"/>
          <w:szCs w:val="28"/>
          <w:highlight w:val="none"/>
        </w:rPr>
      </w:pPr>
    </w:p>
    <w:p w14:paraId="07304872">
      <w:pPr>
        <w:rPr>
          <w:rFonts w:hint="eastAsia" w:ascii="宋体" w:hAnsi="宋体" w:cs="宋体"/>
          <w:b/>
          <w:sz w:val="28"/>
          <w:szCs w:val="28"/>
          <w:highlight w:val="none"/>
        </w:rPr>
      </w:pPr>
    </w:p>
    <w:p w14:paraId="632E45DF">
      <w:pPr>
        <w:pStyle w:val="14"/>
        <w:rPr>
          <w:rFonts w:hint="eastAsia" w:ascii="宋体" w:hAnsi="宋体" w:cs="宋体"/>
          <w:b/>
          <w:sz w:val="28"/>
          <w:szCs w:val="28"/>
          <w:highlight w:val="none"/>
        </w:rPr>
      </w:pPr>
    </w:p>
    <w:p w14:paraId="2591F34C">
      <w:pPr>
        <w:rPr>
          <w:rFonts w:hint="eastAsia"/>
        </w:rPr>
      </w:pPr>
    </w:p>
    <w:p w14:paraId="6BF65F7C">
      <w:pPr>
        <w:pStyle w:val="27"/>
        <w:rPr>
          <w:rFonts w:hint="eastAsia" w:ascii="宋体" w:hAnsi="宋体" w:cs="宋体"/>
          <w:b/>
          <w:sz w:val="28"/>
          <w:szCs w:val="28"/>
          <w:highlight w:val="none"/>
        </w:rPr>
      </w:pPr>
    </w:p>
    <w:p w14:paraId="6A708499">
      <w:pPr>
        <w:rPr>
          <w:b/>
          <w:sz w:val="28"/>
          <w:szCs w:val="28"/>
          <w:highlight w:val="none"/>
        </w:rPr>
      </w:pPr>
    </w:p>
    <w:p w14:paraId="0EBB5AE7">
      <w:pPr>
        <w:jc w:val="center"/>
        <w:rPr>
          <w:b/>
          <w:sz w:val="28"/>
          <w:szCs w:val="28"/>
          <w:highlight w:val="none"/>
        </w:rPr>
      </w:pPr>
    </w:p>
    <w:p w14:paraId="2405A6FC">
      <w:pPr>
        <w:jc w:val="center"/>
        <w:rPr>
          <w:b/>
          <w:sz w:val="32"/>
          <w:szCs w:val="28"/>
          <w:highlight w:val="none"/>
        </w:rPr>
      </w:pPr>
      <w:r>
        <w:rPr>
          <w:szCs w:val="22"/>
          <w:highlight w:val="none"/>
        </w:rPr>
        <mc:AlternateContent>
          <mc:Choice Requires="wps">
            <w:drawing>
              <wp:anchor distT="0" distB="0" distL="114300" distR="114300" simplePos="0" relativeHeight="251659264" behindDoc="0" locked="0" layoutInCell="1" allowOverlap="1">
                <wp:simplePos x="0" y="0"/>
                <wp:positionH relativeFrom="column">
                  <wp:posOffset>4495800</wp:posOffset>
                </wp:positionH>
                <wp:positionV relativeFrom="paragraph">
                  <wp:posOffset>213360</wp:posOffset>
                </wp:positionV>
                <wp:extent cx="723900" cy="457200"/>
                <wp:effectExtent l="4445" t="4445" r="14605" b="14605"/>
                <wp:wrapNone/>
                <wp:docPr id="30" name="文本框 30"/>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0C2B60C3">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54pt;margin-top:16.8pt;height:36pt;width:57pt;z-index:251659264;mso-width-relative:page;mso-height-relative:page;" filled="f" stroked="t" coordsize="21600,21600" o:gfxdata="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cypq2QAAAAoBAAAPAAAAAAAAAAEAIAAA&#10;ACIAAABkcnMvZG93bnJldi54bWxQSwECFAAUAAAACACHTuJA/8oVsQsCAAAcBAAADgAAAAAAAAAB&#10;ACAAAAAoAQAAZHJzL2Uyb0RvYy54bWxQSwUGAAAAAAYABgBZAQAApQUAAAAA&#10;">
                <v:fill on="f" focussize="0,0"/>
                <v:stroke color="#FFFFFF" joinstyle="miter"/>
                <v:imagedata o:title=""/>
                <o:lock v:ext="edit" aspectratio="f"/>
                <v:textbox>
                  <w:txbxContent>
                    <w:p w14:paraId="0C2B60C3">
                      <w:pPr>
                        <w:rPr>
                          <w:b/>
                          <w:bCs/>
                          <w:sz w:val="32"/>
                        </w:rPr>
                      </w:pPr>
                      <w:r>
                        <w:rPr>
                          <w:rFonts w:hint="eastAsia"/>
                          <w:b/>
                          <w:bCs/>
                          <w:sz w:val="32"/>
                        </w:rPr>
                        <w:t>制定</w:t>
                      </w:r>
                    </w:p>
                  </w:txbxContent>
                </v:textbox>
              </v:shape>
            </w:pict>
          </mc:Fallback>
        </mc:AlternateContent>
      </w:r>
      <w:r>
        <w:rPr>
          <w:rFonts w:hint="eastAsia"/>
          <w:b/>
          <w:sz w:val="32"/>
          <w:szCs w:val="28"/>
          <w:highlight w:val="none"/>
        </w:rPr>
        <w:t>住房和城乡建设部</w:t>
      </w:r>
    </w:p>
    <w:p w14:paraId="7F94B3DC">
      <w:pPr>
        <w:jc w:val="center"/>
        <w:rPr>
          <w:rFonts w:hint="eastAsia" w:ascii="黑体" w:eastAsia="黑体" w:cs="黑体"/>
        </w:rPr>
      </w:pPr>
      <w:r>
        <w:rPr>
          <w:rFonts w:hint="eastAsia"/>
          <w:b/>
          <w:sz w:val="32"/>
          <w:szCs w:val="28"/>
          <w:highlight w:val="none"/>
        </w:rPr>
        <w:t>国家工商行政管理总局</w:t>
      </w:r>
    </w:p>
    <w:p w14:paraId="2758F104">
      <w:pPr>
        <w:rPr>
          <w:rFonts w:hint="eastAsia" w:ascii="黑体" w:eastAsia="黑体" w:cs="黑体"/>
        </w:rPr>
      </w:pPr>
      <w:r>
        <w:rPr>
          <w:rFonts w:hint="eastAsia" w:ascii="黑体" w:eastAsia="黑体" w:cs="黑体"/>
        </w:rPr>
        <w:br w:type="page"/>
      </w:r>
    </w:p>
    <w:p w14:paraId="5CFCB6A7">
      <w:pPr>
        <w:pStyle w:val="4"/>
        <w:jc w:val="center"/>
        <w:rPr>
          <w:rFonts w:ascii="黑体" w:eastAsia="黑体" w:cs="黑体"/>
          <w:b w:val="0"/>
        </w:rPr>
      </w:pPr>
      <w:r>
        <w:rPr>
          <w:rFonts w:hint="eastAsia" w:ascii="黑体" w:eastAsia="黑体" w:cs="黑体"/>
        </w:rPr>
        <w:t>第一节 合同协议书</w:t>
      </w:r>
    </w:p>
    <w:p w14:paraId="2A6C10D9">
      <w:pPr>
        <w:spacing w:line="440" w:lineRule="exact"/>
        <w:ind w:firstLine="420" w:firstLineChars="200"/>
        <w:rPr>
          <w:rFonts w:hint="eastAsia" w:ascii="宋体" w:cs="宋体"/>
          <w:szCs w:val="21"/>
          <w:u w:val="single"/>
        </w:rPr>
      </w:pPr>
      <w:r>
        <w:rPr>
          <w:rFonts w:hint="eastAsia" w:ascii="宋体" w:cs="宋体"/>
          <w:szCs w:val="21"/>
        </w:rPr>
        <w:t>发包人（全称）：</w:t>
      </w:r>
      <w:r>
        <w:rPr>
          <w:rFonts w:hint="eastAsia" w:ascii="宋体" w:cs="宋体"/>
          <w:szCs w:val="21"/>
          <w:u w:val="single"/>
        </w:rPr>
        <w:t xml:space="preserve">    </w:t>
      </w:r>
      <w:r>
        <w:rPr>
          <w:rFonts w:hint="eastAsia" w:ascii="宋体" w:cs="宋体"/>
          <w:szCs w:val="21"/>
          <w:u w:val="single"/>
          <w:lang w:eastAsia="zh-CN"/>
        </w:rPr>
        <w:t>安徽滁宁高速公路股份有限公司</w:t>
      </w:r>
      <w:r>
        <w:rPr>
          <w:rFonts w:hint="eastAsia" w:ascii="宋体" w:cs="宋体"/>
          <w:szCs w:val="21"/>
          <w:u w:val="single"/>
        </w:rPr>
        <w:t xml:space="preserve">     </w:t>
      </w:r>
    </w:p>
    <w:p w14:paraId="6B96C0CD">
      <w:pPr>
        <w:spacing w:line="440" w:lineRule="exact"/>
        <w:ind w:firstLine="420" w:firstLineChars="200"/>
        <w:rPr>
          <w:rFonts w:hint="eastAsia" w:ascii="宋体" w:cs="宋体"/>
          <w:szCs w:val="21"/>
          <w:u w:val="single"/>
        </w:rPr>
      </w:pPr>
      <w:r>
        <w:rPr>
          <w:rFonts w:hint="eastAsia" w:ascii="宋体" w:cs="宋体"/>
          <w:szCs w:val="21"/>
        </w:rPr>
        <w:t>承包人（全称）：</w:t>
      </w:r>
      <w:r>
        <w:rPr>
          <w:rFonts w:hint="eastAsia" w:ascii="宋体" w:cs="宋体"/>
          <w:szCs w:val="21"/>
          <w:u w:val="single"/>
        </w:rPr>
        <w:t xml:space="preserve">                                    </w:t>
      </w:r>
    </w:p>
    <w:p w14:paraId="3DCEDB6F">
      <w:pPr>
        <w:spacing w:line="440" w:lineRule="exact"/>
        <w:ind w:firstLine="420" w:firstLineChars="200"/>
        <w:rPr>
          <w:rFonts w:hint="eastAsia" w:ascii="宋体" w:cs="宋体"/>
          <w:szCs w:val="21"/>
        </w:rPr>
      </w:pPr>
      <w:r>
        <w:rPr>
          <w:rFonts w:hint="eastAsia" w:ascii="宋体" w:cs="宋体"/>
          <w:szCs w:val="21"/>
        </w:rPr>
        <w:t>根据《中华人民共和国民法典》、《中华人民共和国建筑法》及有关法律规定，遵循平等、自愿、公平和诚实信用的原则，双方就</w:t>
      </w:r>
      <w:r>
        <w:rPr>
          <w:rFonts w:hint="eastAsia" w:ascii="宋体" w:cs="宋体"/>
          <w:szCs w:val="21"/>
          <w:u w:val="single"/>
          <w:lang w:val="en-US" w:eastAsia="zh-CN"/>
        </w:rPr>
        <w:t>G36宁洛高速公路来安至明光段改扩建工程曹庄、嘉山服务区污水改造</w:t>
      </w:r>
      <w:r>
        <w:rPr>
          <w:rFonts w:hint="eastAsia" w:ascii="宋体" w:cs="宋体"/>
          <w:szCs w:val="21"/>
          <w:u w:val="single"/>
        </w:rPr>
        <w:t xml:space="preserve"> </w:t>
      </w:r>
      <w:r>
        <w:rPr>
          <w:rFonts w:hint="eastAsia" w:ascii="宋体" w:cs="宋体"/>
          <w:szCs w:val="21"/>
        </w:rPr>
        <w:t>施工及有关事项协商一致，共同达成如下协议：</w:t>
      </w:r>
    </w:p>
    <w:p w14:paraId="1300C206">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一、工程概况</w:t>
      </w:r>
    </w:p>
    <w:p w14:paraId="236F5668">
      <w:pPr>
        <w:spacing w:line="440" w:lineRule="exact"/>
        <w:ind w:firstLine="420" w:firstLineChars="200"/>
        <w:rPr>
          <w:rFonts w:hint="eastAsia" w:ascii="宋体" w:cs="宋体"/>
          <w:szCs w:val="21"/>
          <w:u w:val="single"/>
        </w:rPr>
      </w:pPr>
      <w:r>
        <w:rPr>
          <w:rFonts w:hint="eastAsia" w:ascii="宋体" w:cs="宋体"/>
          <w:bCs/>
          <w:szCs w:val="21"/>
        </w:rPr>
        <w:t>1.工程名称</w:t>
      </w:r>
      <w:r>
        <w:rPr>
          <w:rFonts w:hint="eastAsia" w:ascii="宋体" w:cs="宋体"/>
          <w:szCs w:val="21"/>
        </w:rPr>
        <w:t>：</w:t>
      </w:r>
      <w:r>
        <w:rPr>
          <w:rFonts w:hint="eastAsia" w:ascii="宋体" w:hAnsi="Times New Roman" w:eastAsia="宋体" w:cs="宋体"/>
          <w:szCs w:val="21"/>
          <w:u w:val="single"/>
          <w:lang w:val="en-US" w:eastAsia="zh-CN"/>
        </w:rPr>
        <w:t xml:space="preserve"> </w:t>
      </w:r>
      <w:r>
        <w:rPr>
          <w:rFonts w:hint="eastAsia" w:ascii="宋体" w:cs="宋体"/>
          <w:szCs w:val="21"/>
          <w:u w:val="single"/>
          <w:lang w:val="en-US" w:eastAsia="zh-CN"/>
        </w:rPr>
        <w:t>G36宁洛高速公路来安至明光段改扩建工程曹庄、嘉山服务区污水改造项目</w:t>
      </w:r>
      <w:r>
        <w:rPr>
          <w:rFonts w:hint="eastAsia" w:ascii="宋体" w:cs="宋体"/>
          <w:szCs w:val="21"/>
        </w:rPr>
        <w:t>。</w:t>
      </w:r>
    </w:p>
    <w:p w14:paraId="05EDF5A6">
      <w:pPr>
        <w:spacing w:line="440" w:lineRule="exact"/>
        <w:ind w:firstLine="420" w:firstLineChars="200"/>
        <w:rPr>
          <w:rFonts w:hint="eastAsia" w:ascii="宋体" w:cs="宋体"/>
          <w:bCs/>
          <w:szCs w:val="21"/>
        </w:rPr>
      </w:pPr>
      <w:r>
        <w:rPr>
          <w:rFonts w:hint="eastAsia" w:ascii="宋体" w:cs="宋体"/>
          <w:bCs/>
          <w:szCs w:val="21"/>
        </w:rPr>
        <w:t>2.工程地点：</w:t>
      </w:r>
      <w:r>
        <w:rPr>
          <w:rFonts w:hint="eastAsia" w:ascii="宋体" w:cs="宋体"/>
          <w:szCs w:val="21"/>
          <w:u w:val="single"/>
        </w:rPr>
        <w:t xml:space="preserve">  </w:t>
      </w:r>
      <w:r>
        <w:rPr>
          <w:rFonts w:hint="eastAsia" w:ascii="宋体" w:hAnsi="Times New Roman" w:eastAsia="宋体" w:cs="宋体"/>
          <w:szCs w:val="21"/>
          <w:u w:val="single"/>
          <w:lang w:val="en-US" w:eastAsia="zh-CN"/>
        </w:rPr>
        <w:t>招标人指定地点</w:t>
      </w:r>
      <w:r>
        <w:rPr>
          <w:rFonts w:hint="eastAsia" w:ascii="宋体" w:cs="宋体"/>
          <w:szCs w:val="21"/>
          <w:u w:val="single"/>
        </w:rPr>
        <w:t xml:space="preserve">  </w:t>
      </w:r>
      <w:r>
        <w:rPr>
          <w:rFonts w:hint="eastAsia" w:ascii="宋体" w:cs="宋体"/>
          <w:szCs w:val="21"/>
        </w:rPr>
        <w:t>。</w:t>
      </w:r>
    </w:p>
    <w:p w14:paraId="22B63F7C">
      <w:pPr>
        <w:spacing w:line="440" w:lineRule="exact"/>
        <w:ind w:firstLine="420" w:firstLineChars="200"/>
        <w:rPr>
          <w:rFonts w:hint="eastAsia" w:ascii="宋体" w:cs="宋体"/>
          <w:bCs/>
          <w:strike w:val="0"/>
          <w:dstrike w:val="0"/>
          <w:szCs w:val="21"/>
          <w:highlight w:val="none"/>
        </w:rPr>
      </w:pPr>
      <w:r>
        <w:rPr>
          <w:rFonts w:hint="eastAsia" w:ascii="宋体" w:cs="宋体"/>
          <w:bCs/>
          <w:strike w:val="0"/>
          <w:dstrike w:val="0"/>
          <w:szCs w:val="21"/>
          <w:highlight w:val="none"/>
        </w:rPr>
        <w:t>3.工程立项批准文号：</w:t>
      </w:r>
      <w:r>
        <w:rPr>
          <w:rFonts w:hint="eastAsia" w:ascii="宋体" w:cs="宋体"/>
          <w:bCs/>
          <w:strike w:val="0"/>
          <w:dstrike w:val="0"/>
          <w:szCs w:val="21"/>
          <w:highlight w:val="none"/>
          <w:u w:val="single"/>
          <w:lang w:val="en-US" w:eastAsia="zh-CN"/>
        </w:rPr>
        <w:t xml:space="preserve"> </w:t>
      </w:r>
      <w:r>
        <w:rPr>
          <w:rFonts w:hint="eastAsia" w:ascii="宋体" w:hAnsi="宋体"/>
          <w:strike w:val="0"/>
          <w:dstrike w:val="0"/>
          <w:szCs w:val="21"/>
          <w:highlight w:val="none"/>
          <w:u w:val="single"/>
          <w:lang w:val="en-US" w:eastAsia="zh-CN"/>
        </w:rPr>
        <w:t>/</w:t>
      </w:r>
      <w:r>
        <w:rPr>
          <w:rFonts w:hint="eastAsia" w:ascii="宋体" w:cs="宋体"/>
          <w:bCs/>
          <w:strike w:val="0"/>
          <w:dstrike w:val="0"/>
          <w:szCs w:val="21"/>
          <w:highlight w:val="none"/>
        </w:rPr>
        <w:t>。</w:t>
      </w:r>
    </w:p>
    <w:p w14:paraId="2A46B856">
      <w:pPr>
        <w:spacing w:line="440" w:lineRule="exact"/>
        <w:ind w:firstLine="420" w:firstLineChars="200"/>
        <w:rPr>
          <w:rFonts w:hint="eastAsia" w:ascii="宋体" w:cs="宋体"/>
          <w:bCs/>
          <w:szCs w:val="21"/>
        </w:rPr>
      </w:pPr>
      <w:r>
        <w:rPr>
          <w:rFonts w:hint="eastAsia" w:ascii="宋体" w:cs="宋体"/>
          <w:bCs/>
          <w:szCs w:val="21"/>
        </w:rPr>
        <w:t>4.资金来源：</w:t>
      </w:r>
      <w:r>
        <w:rPr>
          <w:rFonts w:hint="eastAsia" w:ascii="宋体" w:cs="宋体"/>
          <w:bCs/>
          <w:szCs w:val="21"/>
          <w:u w:val="single"/>
        </w:rPr>
        <w:t xml:space="preserve">         </w:t>
      </w:r>
      <w:r>
        <w:rPr>
          <w:rFonts w:hint="eastAsia" w:ascii="宋体" w:cs="宋体"/>
          <w:bCs/>
          <w:szCs w:val="21"/>
          <w:u w:val="single"/>
          <w:lang w:val="en-US" w:eastAsia="zh-CN"/>
        </w:rPr>
        <w:t>自筹资金</w:t>
      </w:r>
      <w:r>
        <w:rPr>
          <w:rFonts w:hint="eastAsia" w:ascii="宋体" w:cs="宋体"/>
          <w:bCs/>
          <w:szCs w:val="21"/>
          <w:u w:val="single"/>
        </w:rPr>
        <w:t xml:space="preserve">           </w:t>
      </w:r>
      <w:r>
        <w:rPr>
          <w:rFonts w:hint="eastAsia" w:ascii="宋体" w:cs="宋体"/>
          <w:szCs w:val="21"/>
          <w:u w:val="single"/>
        </w:rPr>
        <w:t xml:space="preserve">       </w:t>
      </w:r>
      <w:r>
        <w:rPr>
          <w:rFonts w:hint="eastAsia" w:ascii="宋体" w:cs="宋体"/>
          <w:bCs/>
          <w:szCs w:val="21"/>
        </w:rPr>
        <w:t>。</w:t>
      </w:r>
    </w:p>
    <w:p w14:paraId="2F00C2D8">
      <w:pPr>
        <w:spacing w:line="440" w:lineRule="exact"/>
        <w:ind w:firstLine="420" w:firstLineChars="200"/>
        <w:rPr>
          <w:rFonts w:hint="eastAsia" w:ascii="宋体" w:cs="宋体"/>
          <w:szCs w:val="21"/>
          <w:u w:val="single"/>
          <w:lang w:val="en-US" w:eastAsia="zh-CN"/>
        </w:rPr>
      </w:pPr>
      <w:r>
        <w:rPr>
          <w:rFonts w:hint="eastAsia" w:ascii="宋体" w:cs="宋体"/>
          <w:bCs/>
          <w:szCs w:val="21"/>
        </w:rPr>
        <w:t>5.工程内容：</w:t>
      </w:r>
      <w:r>
        <w:rPr>
          <w:rFonts w:hint="eastAsia" w:ascii="宋体" w:cs="宋体"/>
          <w:szCs w:val="21"/>
          <w:u w:val="single"/>
          <w:lang w:val="en-US" w:eastAsia="zh-CN"/>
        </w:rPr>
        <w:t>曹庄服务区污水改造工程：排水管道全长3848米；泵站设计规模21m³/h，泵站设计扬程14米。嘉山服务区污水改造工程：排水管道全长12074米；泵站设计规模34m³/h，泵站设计扬程33米。</w:t>
      </w:r>
    </w:p>
    <w:p w14:paraId="0B09708D">
      <w:pPr>
        <w:spacing w:line="440" w:lineRule="exact"/>
        <w:ind w:firstLine="420" w:firstLineChars="200"/>
        <w:rPr>
          <w:rFonts w:hint="eastAsia" w:ascii="宋体" w:cs="宋体"/>
          <w:bCs/>
          <w:szCs w:val="21"/>
          <w:highlight w:val="none"/>
        </w:rPr>
      </w:pPr>
      <w:r>
        <w:rPr>
          <w:rFonts w:hint="eastAsia" w:ascii="宋体" w:cs="宋体"/>
          <w:szCs w:val="21"/>
        </w:rPr>
        <w:t>群体工程应附《承</w:t>
      </w:r>
      <w:r>
        <w:rPr>
          <w:rFonts w:hint="eastAsia" w:ascii="宋体" w:cs="宋体"/>
          <w:szCs w:val="21"/>
          <w:highlight w:val="none"/>
        </w:rPr>
        <w:t>包人承揽工程项目一览表》（附件1）。</w:t>
      </w:r>
    </w:p>
    <w:p w14:paraId="3EA9822A">
      <w:pPr>
        <w:spacing w:line="440" w:lineRule="exact"/>
        <w:ind w:firstLine="420" w:firstLineChars="200"/>
        <w:rPr>
          <w:rFonts w:hint="eastAsia" w:ascii="宋体" w:cs="宋体"/>
          <w:szCs w:val="21"/>
          <w:highlight w:val="none"/>
        </w:rPr>
      </w:pPr>
      <w:r>
        <w:rPr>
          <w:rFonts w:hint="eastAsia" w:ascii="宋体" w:cs="宋体"/>
          <w:bCs/>
          <w:szCs w:val="21"/>
          <w:highlight w:val="none"/>
        </w:rPr>
        <w:t>6.工程承包范围：</w:t>
      </w:r>
      <w:r>
        <w:rPr>
          <w:rFonts w:hint="eastAsia" w:ascii="宋体" w:cs="宋体"/>
          <w:bCs/>
          <w:szCs w:val="21"/>
          <w:highlight w:val="none"/>
          <w:u w:val="single"/>
          <w:lang w:val="en-US" w:eastAsia="zh-CN"/>
        </w:rPr>
        <w:t>本工程分为两阶段实施，第一阶段为曹庄服务区污水改造图纸全部施工内容和嘉山服务区内污水改造施工内容；第二阶段为嘉山服务区从污水提升泵站引出的DN150PE实壁管至接入现状园区污水处理厂施工内容，详见本工程施工图纸和工程量清单中的所有内容。</w:t>
      </w:r>
      <w:r>
        <w:rPr>
          <w:rFonts w:hint="eastAsia" w:ascii="宋体" w:hAnsi="宋体" w:cs="宋体"/>
          <w:b/>
          <w:bCs/>
          <w:szCs w:val="21"/>
          <w:highlight w:val="none"/>
          <w:u w:val="single"/>
        </w:rPr>
        <w:t>施工图纸</w:t>
      </w:r>
      <w:r>
        <w:rPr>
          <w:rFonts w:hint="eastAsia" w:ascii="宋体" w:hAnsi="宋体" w:cs="宋体"/>
          <w:b/>
          <w:bCs/>
          <w:strike w:val="0"/>
          <w:dstrike w:val="0"/>
          <w:szCs w:val="21"/>
          <w:highlight w:val="none"/>
          <w:u w:val="single"/>
        </w:rPr>
        <w:t>和工程量清单</w:t>
      </w:r>
      <w:r>
        <w:rPr>
          <w:rFonts w:hint="eastAsia" w:ascii="宋体" w:hAnsi="宋体" w:cs="宋体"/>
          <w:b/>
          <w:bCs/>
          <w:szCs w:val="21"/>
          <w:highlight w:val="none"/>
          <w:u w:val="single"/>
        </w:rPr>
        <w:t>载明的施工内容及施工过程中的变更调整内容（如施工图纸和工程量清单不一致，由</w:t>
      </w:r>
      <w:r>
        <w:rPr>
          <w:rFonts w:hint="eastAsia" w:ascii="宋体" w:hAnsi="宋体" w:cs="宋体"/>
          <w:b/>
          <w:bCs/>
          <w:szCs w:val="21"/>
          <w:highlight w:val="none"/>
          <w:u w:val="single"/>
          <w:lang w:eastAsia="zh-CN"/>
        </w:rPr>
        <w:t>发包人</w:t>
      </w:r>
      <w:r>
        <w:rPr>
          <w:rFonts w:hint="eastAsia" w:ascii="宋体" w:hAnsi="宋体" w:cs="宋体"/>
          <w:b/>
          <w:bCs/>
          <w:szCs w:val="21"/>
          <w:highlight w:val="none"/>
          <w:u w:val="single"/>
        </w:rPr>
        <w:t>负责解释</w:t>
      </w:r>
      <w:r>
        <w:rPr>
          <w:rFonts w:hint="eastAsia" w:ascii="宋体" w:hAnsi="宋体" w:cs="宋体"/>
          <w:szCs w:val="21"/>
          <w:highlight w:val="none"/>
          <w:u w:val="single"/>
        </w:rPr>
        <w:t>）</w:t>
      </w:r>
      <w:r>
        <w:rPr>
          <w:rFonts w:hint="eastAsia" w:ascii="宋体" w:cs="宋体"/>
          <w:szCs w:val="21"/>
          <w:highlight w:val="none"/>
          <w:u w:val="single"/>
        </w:rPr>
        <w:t></w:t>
      </w:r>
      <w:r>
        <w:rPr>
          <w:rFonts w:hint="eastAsia" w:ascii="宋体" w:cs="宋体"/>
          <w:szCs w:val="21"/>
          <w:highlight w:val="none"/>
        </w:rPr>
        <w:t>。</w:t>
      </w:r>
    </w:p>
    <w:p w14:paraId="497ADE28">
      <w:pPr>
        <w:pStyle w:val="5"/>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二、合同工期</w:t>
      </w:r>
    </w:p>
    <w:p w14:paraId="73E52071">
      <w:pPr>
        <w:spacing w:line="440" w:lineRule="exact"/>
        <w:ind w:firstLine="420" w:firstLineChars="200"/>
        <w:rPr>
          <w:rFonts w:hint="eastAsia" w:ascii="宋体" w:cs="宋体"/>
          <w:szCs w:val="21"/>
        </w:rPr>
      </w:pPr>
      <w:r>
        <w:rPr>
          <w:rFonts w:hint="eastAsia" w:ascii="宋体" w:cs="宋体"/>
          <w:szCs w:val="21"/>
        </w:rPr>
        <w:t>计划开工日期：</w:t>
      </w:r>
      <w:r>
        <w:rPr>
          <w:rFonts w:hint="eastAsia" w:ascii="宋体" w:cs="宋体"/>
          <w:szCs w:val="21"/>
          <w:u w:val="single"/>
        </w:rPr>
        <w:t xml:space="preserve">       </w:t>
      </w:r>
      <w:r>
        <w:rPr>
          <w:rFonts w:hint="eastAsia" w:ascii="宋体" w:cs="宋体"/>
          <w:szCs w:val="21"/>
        </w:rPr>
        <w:t>年</w:t>
      </w:r>
      <w:r>
        <w:rPr>
          <w:rFonts w:hint="eastAsia" w:ascii="宋体" w:cs="宋体"/>
          <w:szCs w:val="21"/>
          <w:u w:val="single"/>
        </w:rPr>
        <w:t xml:space="preserve">          </w:t>
      </w:r>
      <w:r>
        <w:rPr>
          <w:rFonts w:hint="eastAsia" w:ascii="宋体" w:cs="宋体"/>
          <w:szCs w:val="21"/>
        </w:rPr>
        <w:t>月</w:t>
      </w:r>
      <w:r>
        <w:rPr>
          <w:rFonts w:hint="eastAsia" w:ascii="宋体" w:cs="宋体"/>
          <w:szCs w:val="21"/>
          <w:u w:val="single"/>
        </w:rPr>
        <w:t xml:space="preserve">       </w:t>
      </w:r>
      <w:r>
        <w:rPr>
          <w:rFonts w:hint="eastAsia" w:ascii="宋体" w:cs="宋体"/>
          <w:szCs w:val="21"/>
        </w:rPr>
        <w:t>日。</w:t>
      </w:r>
      <w:r>
        <w:rPr>
          <w:rFonts w:hint="eastAsia" w:ascii="宋体" w:cs="宋体"/>
          <w:szCs w:val="21"/>
          <w:lang w:eastAsia="zh-CN"/>
        </w:rPr>
        <w:t>（</w:t>
      </w:r>
      <w:r>
        <w:rPr>
          <w:rFonts w:hint="eastAsia" w:ascii="宋体" w:cs="宋体"/>
          <w:szCs w:val="21"/>
        </w:rPr>
        <w:t>以开工令为准</w:t>
      </w:r>
      <w:r>
        <w:rPr>
          <w:rFonts w:hint="eastAsia" w:ascii="宋体" w:cs="宋体"/>
          <w:szCs w:val="21"/>
          <w:lang w:eastAsia="zh-CN"/>
        </w:rPr>
        <w:t>）</w:t>
      </w:r>
    </w:p>
    <w:p w14:paraId="094895E8">
      <w:pPr>
        <w:spacing w:line="440" w:lineRule="exact"/>
        <w:ind w:firstLine="420" w:firstLineChars="200"/>
        <w:rPr>
          <w:rFonts w:hint="eastAsia" w:ascii="宋体" w:cs="宋体"/>
          <w:szCs w:val="21"/>
        </w:rPr>
      </w:pPr>
      <w:r>
        <w:rPr>
          <w:rFonts w:hint="eastAsia" w:ascii="宋体" w:cs="宋体"/>
          <w:szCs w:val="21"/>
        </w:rPr>
        <w:t>计划竣工日期：</w:t>
      </w:r>
      <w:r>
        <w:rPr>
          <w:rFonts w:hint="eastAsia" w:ascii="宋体" w:cs="宋体"/>
          <w:szCs w:val="21"/>
          <w:u w:val="single"/>
        </w:rPr>
        <w:t xml:space="preserve">       </w:t>
      </w:r>
      <w:r>
        <w:rPr>
          <w:rFonts w:hint="eastAsia" w:ascii="宋体" w:cs="宋体"/>
          <w:szCs w:val="21"/>
        </w:rPr>
        <w:t>年</w:t>
      </w:r>
      <w:r>
        <w:rPr>
          <w:rFonts w:hint="eastAsia" w:ascii="宋体" w:cs="宋体"/>
          <w:szCs w:val="21"/>
          <w:u w:val="single"/>
        </w:rPr>
        <w:t xml:space="preserve">          </w:t>
      </w:r>
      <w:r>
        <w:rPr>
          <w:rFonts w:hint="eastAsia" w:ascii="宋体" w:cs="宋体"/>
          <w:szCs w:val="21"/>
        </w:rPr>
        <w:t>月</w:t>
      </w:r>
      <w:r>
        <w:rPr>
          <w:rFonts w:hint="eastAsia" w:ascii="宋体" w:cs="宋体"/>
          <w:szCs w:val="21"/>
          <w:u w:val="single"/>
        </w:rPr>
        <w:t xml:space="preserve">       </w:t>
      </w:r>
      <w:r>
        <w:rPr>
          <w:rFonts w:hint="eastAsia" w:ascii="宋体" w:cs="宋体"/>
          <w:szCs w:val="21"/>
        </w:rPr>
        <w:t>日。</w:t>
      </w:r>
    </w:p>
    <w:p w14:paraId="5131FFEB">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三、质量标准</w:t>
      </w:r>
    </w:p>
    <w:p w14:paraId="6380E96E">
      <w:pPr>
        <w:spacing w:line="440" w:lineRule="exact"/>
        <w:ind w:firstLine="420" w:firstLineChars="200"/>
        <w:rPr>
          <w:rFonts w:hint="eastAsia"/>
          <w:szCs w:val="21"/>
        </w:rPr>
      </w:pPr>
      <w:r>
        <w:rPr>
          <w:rFonts w:hint="eastAsia"/>
          <w:szCs w:val="21"/>
        </w:rPr>
        <w:t>工程质量必须达到国家工程施工质量验收</w:t>
      </w:r>
      <w:r>
        <w:rPr>
          <w:rFonts w:hint="eastAsia"/>
          <w:b/>
          <w:szCs w:val="21"/>
          <w:u w:val="single"/>
        </w:rPr>
        <w:t xml:space="preserve">  合格  </w:t>
      </w:r>
      <w:r>
        <w:rPr>
          <w:rFonts w:hint="eastAsia"/>
          <w:szCs w:val="21"/>
        </w:rPr>
        <w:t>标准。</w:t>
      </w:r>
    </w:p>
    <w:p w14:paraId="1798E609">
      <w:pPr>
        <w:spacing w:line="440" w:lineRule="exact"/>
        <w:ind w:firstLine="420" w:firstLineChars="200"/>
        <w:rPr>
          <w:rFonts w:hint="eastAsia"/>
          <w:szCs w:val="21"/>
          <w:highlight w:val="none"/>
        </w:rPr>
      </w:pPr>
      <w:r>
        <w:rPr>
          <w:rFonts w:hint="eastAsia"/>
          <w:szCs w:val="21"/>
          <w:highlight w:val="none"/>
          <w:lang w:val="en-US" w:eastAsia="zh-CN"/>
        </w:rPr>
        <w:t>质量保证期及缺陷责任期：严格执行国家、省、市及本项目招标文件相关规定。</w:t>
      </w:r>
    </w:p>
    <w:p w14:paraId="5A41FA8D">
      <w:pPr>
        <w:pStyle w:val="5"/>
        <w:pageBreakBefore w:val="0"/>
        <w:widowControl w:val="0"/>
        <w:kinsoku/>
        <w:wordWrap/>
        <w:overflowPunct/>
        <w:topLinePunct w:val="0"/>
        <w:autoSpaceDE/>
        <w:autoSpaceDN/>
        <w:bidi w:val="0"/>
        <w:adjustRightInd/>
        <w:snapToGrid/>
        <w:spacing w:before="0" w:after="0" w:line="440" w:lineRule="exact"/>
        <w:ind w:firstLine="420" w:firstLineChars="200"/>
        <w:textAlignment w:val="auto"/>
        <w:rPr>
          <w:rFonts w:hint="eastAsia" w:ascii="宋体" w:eastAsia="宋体" w:cs="宋体"/>
          <w:bCs w:val="0"/>
          <w:sz w:val="21"/>
          <w:szCs w:val="21"/>
        </w:rPr>
      </w:pPr>
      <w:r>
        <w:rPr>
          <w:rFonts w:hint="eastAsia" w:ascii="宋体" w:eastAsia="宋体" w:cs="宋体"/>
          <w:b w:val="0"/>
          <w:sz w:val="21"/>
          <w:szCs w:val="21"/>
        </w:rPr>
        <w:t>四、签约合同价与合同价格形式</w:t>
      </w:r>
      <w:r>
        <w:rPr>
          <w:rFonts w:hint="eastAsia" w:ascii="宋体" w:eastAsia="宋体" w:cs="宋体"/>
          <w:b w:val="0"/>
          <w:sz w:val="21"/>
          <w:szCs w:val="21"/>
        </w:rPr>
        <w:tab/>
      </w:r>
    </w:p>
    <w:p w14:paraId="2A2832C0">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000000"/>
          <w:szCs w:val="21"/>
          <w:highlight w:val="none"/>
          <w:u w:val="single"/>
          <w:lang w:val="en-US" w:eastAsia="zh-CN"/>
        </w:rPr>
      </w:pPr>
      <w:r>
        <w:rPr>
          <w:rFonts w:hint="eastAsia" w:ascii="宋体" w:hAnsi="宋体" w:cs="宋体"/>
          <w:color w:val="000000"/>
          <w:szCs w:val="21"/>
          <w:highlight w:val="none"/>
          <w:u w:val="single"/>
        </w:rPr>
        <w:t>1. 签约合同价为：人民币（大写）                 (¥          元)；</w:t>
      </w:r>
      <w:r>
        <w:rPr>
          <w:rFonts w:hint="eastAsia" w:ascii="宋体" w:hAnsi="宋体" w:cs="宋体"/>
          <w:color w:val="000000"/>
          <w:szCs w:val="21"/>
          <w:highlight w:val="none"/>
          <w:u w:val="single"/>
          <w:lang w:eastAsia="zh-CN"/>
        </w:rPr>
        <w:t>其中不含税价为　　　元，税费　　　　元。</w:t>
      </w:r>
    </w:p>
    <w:p w14:paraId="2319A16F">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color w:val="000000"/>
          <w:szCs w:val="21"/>
          <w:highlight w:val="none"/>
        </w:rPr>
      </w:pPr>
      <w:r>
        <w:rPr>
          <w:rFonts w:hint="eastAsia" w:ascii="宋体" w:hAnsi="宋体" w:cs="宋体"/>
          <w:color w:val="000000"/>
          <w:szCs w:val="21"/>
          <w:highlight w:val="none"/>
        </w:rPr>
        <w:t>2. 合同价格形式：</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u w:val="single"/>
          <w:lang w:eastAsia="zh-CN"/>
        </w:rPr>
        <w:t>固定单价合同，单价为</w:t>
      </w:r>
      <w:r>
        <w:rPr>
          <w:rFonts w:hint="eastAsia" w:ascii="宋体" w:cs="宋体"/>
          <w:color w:val="auto"/>
          <w:szCs w:val="21"/>
          <w:highlight w:val="none"/>
          <w:u w:val="single"/>
          <w:lang w:val="en-US" w:eastAsia="zh-CN"/>
        </w:rPr>
        <w:t>全费用综合</w:t>
      </w:r>
      <w:r>
        <w:rPr>
          <w:rFonts w:hint="eastAsia" w:ascii="宋体" w:cs="宋体"/>
          <w:color w:val="auto"/>
          <w:szCs w:val="21"/>
          <w:highlight w:val="none"/>
          <w:u w:val="single"/>
        </w:rPr>
        <w:t>单价</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w:t>
      </w:r>
    </w:p>
    <w:p w14:paraId="6952254A">
      <w:pPr>
        <w:pStyle w:val="5"/>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五、项目</w:t>
      </w:r>
      <w:r>
        <w:rPr>
          <w:rFonts w:hint="eastAsia" w:ascii="宋体" w:eastAsia="宋体" w:cs="宋体"/>
          <w:b w:val="0"/>
          <w:sz w:val="21"/>
          <w:szCs w:val="21"/>
          <w:lang w:val="en-US" w:eastAsia="zh-CN"/>
        </w:rPr>
        <w:t>经理</w:t>
      </w:r>
    </w:p>
    <w:p w14:paraId="71CB4DD1">
      <w:pPr>
        <w:spacing w:line="440" w:lineRule="exact"/>
        <w:ind w:firstLine="420" w:firstLineChars="200"/>
        <w:rPr>
          <w:rFonts w:hint="eastAsia" w:ascii="宋体" w:cs="宋体"/>
          <w:szCs w:val="21"/>
        </w:rPr>
      </w:pPr>
      <w:r>
        <w:rPr>
          <w:rFonts w:hint="eastAsia" w:ascii="宋体" w:cs="宋体"/>
          <w:szCs w:val="21"/>
        </w:rPr>
        <w:t>承包人项目经理：</w:t>
      </w:r>
      <w:r>
        <w:rPr>
          <w:rFonts w:hint="eastAsia" w:ascii="宋体" w:cs="宋体"/>
          <w:szCs w:val="21"/>
          <w:u w:val="single"/>
        </w:rPr>
        <w:t xml:space="preserve">               </w:t>
      </w:r>
      <w:r>
        <w:rPr>
          <w:rFonts w:hint="eastAsia" w:ascii="宋体" w:cs="宋体"/>
          <w:szCs w:val="21"/>
        </w:rPr>
        <w:t>。</w:t>
      </w:r>
    </w:p>
    <w:p w14:paraId="32977BEF">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六、合同文件构成</w:t>
      </w:r>
    </w:p>
    <w:p w14:paraId="3F438B89">
      <w:pPr>
        <w:spacing w:line="440" w:lineRule="exact"/>
        <w:ind w:firstLine="420" w:firstLineChars="200"/>
        <w:rPr>
          <w:rFonts w:hint="eastAsia" w:ascii="宋体" w:cs="宋体"/>
          <w:bCs/>
          <w:szCs w:val="21"/>
        </w:rPr>
      </w:pPr>
      <w:r>
        <w:rPr>
          <w:rFonts w:hint="eastAsia" w:ascii="宋体" w:cs="宋体"/>
          <w:bCs/>
          <w:szCs w:val="21"/>
        </w:rPr>
        <w:t>本协议书与下列文件一起构成合同文件：</w:t>
      </w:r>
    </w:p>
    <w:p w14:paraId="45E7BAD1">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szCs w:val="21"/>
        </w:rPr>
        <w:t>（1）中</w:t>
      </w:r>
      <w:r>
        <w:rPr>
          <w:rFonts w:hint="eastAsia" w:ascii="宋体" w:cs="宋体"/>
          <w:szCs w:val="21"/>
          <w:lang w:val="en-US" w:eastAsia="zh-CN"/>
        </w:rPr>
        <w:t>标</w:t>
      </w:r>
      <w:r>
        <w:rPr>
          <w:rFonts w:hint="eastAsia" w:ascii="宋体" w:cs="宋体"/>
          <w:szCs w:val="21"/>
        </w:rPr>
        <w:t>通知书；</w:t>
      </w:r>
    </w:p>
    <w:p w14:paraId="53227739">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szCs w:val="21"/>
        </w:rPr>
        <w:t xml:space="preserve">（2）确认函及其附录； </w:t>
      </w:r>
    </w:p>
    <w:p w14:paraId="46087623">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szCs w:val="21"/>
        </w:rPr>
        <w:t>（3）专用合同条款及其附件；</w:t>
      </w:r>
    </w:p>
    <w:p w14:paraId="39FFA3B8">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szCs w:val="21"/>
        </w:rPr>
        <w:t>（4）通用合同条款；</w:t>
      </w:r>
    </w:p>
    <w:p w14:paraId="36334CD8">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szCs w:val="21"/>
        </w:rPr>
        <w:t>（5）技术标准和要求；</w:t>
      </w:r>
    </w:p>
    <w:p w14:paraId="30225A2D">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szCs w:val="21"/>
        </w:rPr>
        <w:t>（6）图纸；</w:t>
      </w:r>
    </w:p>
    <w:p w14:paraId="0F8AFA18">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szCs w:val="21"/>
        </w:rPr>
        <w:t>（7）已标价工程量清单或预算书；</w:t>
      </w:r>
    </w:p>
    <w:p w14:paraId="5EB9179B">
      <w:pPr>
        <w:spacing w:line="440" w:lineRule="exact"/>
        <w:ind w:firstLine="420" w:firstLineChars="200"/>
        <w:rPr>
          <w:rFonts w:hint="eastAsia" w:ascii="宋体" w:hAnsi="Times New Roman" w:eastAsia="宋体" w:cs="宋体"/>
          <w:szCs w:val="21"/>
        </w:rPr>
      </w:pPr>
      <w:r>
        <w:rPr>
          <w:rFonts w:hint="eastAsia" w:ascii="宋体" w:hAnsi="Times New Roman" w:eastAsia="宋体" w:cs="宋体"/>
          <w:szCs w:val="21"/>
        </w:rPr>
        <w:t>（8）其他合同文件。</w:t>
      </w:r>
    </w:p>
    <w:p w14:paraId="6BD3A458">
      <w:pPr>
        <w:spacing w:line="440" w:lineRule="exact"/>
        <w:ind w:firstLine="420" w:firstLineChars="200"/>
        <w:rPr>
          <w:rFonts w:hint="eastAsia" w:ascii="宋体" w:hAnsi="Times New Roman" w:eastAsia="宋体" w:cs="宋体"/>
          <w:szCs w:val="21"/>
        </w:rPr>
      </w:pPr>
      <w:r>
        <w:rPr>
          <w:rFonts w:hint="eastAsia" w:ascii="宋体" w:hAnsi="Times New Roman" w:eastAsia="宋体" w:cs="宋体"/>
          <w:szCs w:val="21"/>
        </w:rPr>
        <w:t>在合同订立及履行过程中形成的与合同有关的文件均构成合同文件组成部分。</w:t>
      </w:r>
    </w:p>
    <w:p w14:paraId="7E9714A5">
      <w:pPr>
        <w:spacing w:line="440" w:lineRule="exact"/>
        <w:ind w:firstLine="420" w:firstLineChars="200"/>
        <w:rPr>
          <w:rFonts w:hint="eastAsia" w:ascii="宋体" w:hAnsi="Times New Roman" w:eastAsia="宋体" w:cs="宋体"/>
          <w:szCs w:val="21"/>
        </w:rPr>
      </w:pPr>
      <w:r>
        <w:rPr>
          <w:rFonts w:hint="eastAsia" w:ascii="宋体" w:hAnsi="Times New Roman" w:eastAsia="宋体" w:cs="宋体"/>
          <w:szCs w:val="21"/>
        </w:rPr>
        <w:t>上述各项合同文件包括合同当事人就该项合同文件所作出的补充和修改，属于同一类内容的文件，应以最新签署的为准。专用合同条款及其附件须经合同当事人签字或盖章。</w:t>
      </w:r>
    </w:p>
    <w:p w14:paraId="16010B41">
      <w:pPr>
        <w:pStyle w:val="5"/>
        <w:spacing w:before="0" w:after="0" w:line="440" w:lineRule="exact"/>
        <w:ind w:firstLine="420" w:firstLineChars="200"/>
        <w:rPr>
          <w:rFonts w:hint="eastAsia" w:ascii="宋体" w:eastAsia="宋体" w:cs="宋体"/>
          <w:b w:val="0"/>
          <w:bCs w:val="0"/>
          <w:sz w:val="21"/>
          <w:szCs w:val="21"/>
        </w:rPr>
      </w:pPr>
      <w:r>
        <w:rPr>
          <w:rFonts w:hint="eastAsia" w:ascii="宋体" w:eastAsia="宋体" w:cs="宋体"/>
          <w:b w:val="0"/>
          <w:sz w:val="21"/>
          <w:szCs w:val="21"/>
        </w:rPr>
        <w:t>七、承诺</w:t>
      </w:r>
    </w:p>
    <w:p w14:paraId="4EB03A8A">
      <w:pPr>
        <w:spacing w:line="440" w:lineRule="exact"/>
        <w:ind w:firstLine="420" w:firstLineChars="200"/>
        <w:rPr>
          <w:rFonts w:hint="eastAsia" w:ascii="宋体" w:cs="宋体"/>
          <w:bCs/>
          <w:szCs w:val="21"/>
        </w:rPr>
      </w:pPr>
      <w:r>
        <w:rPr>
          <w:rFonts w:hint="eastAsia" w:ascii="宋体" w:cs="宋体"/>
          <w:bCs/>
          <w:szCs w:val="21"/>
        </w:rPr>
        <w:t>1.发包人承诺按照法律规定履行项目审批手续、筹集工程建设资金并按照合同约定的期限和方式支付合同价款。</w:t>
      </w:r>
    </w:p>
    <w:p w14:paraId="3C0F0D61">
      <w:pPr>
        <w:spacing w:line="440" w:lineRule="exact"/>
        <w:ind w:firstLine="420" w:firstLineChars="200"/>
        <w:rPr>
          <w:rFonts w:hint="eastAsia" w:ascii="宋体" w:cs="宋体"/>
          <w:bCs/>
          <w:szCs w:val="21"/>
        </w:rPr>
      </w:pPr>
      <w:r>
        <w:rPr>
          <w:rFonts w:hint="eastAsia" w:ascii="宋体" w:cs="宋体"/>
          <w:bCs/>
          <w:szCs w:val="21"/>
        </w:rPr>
        <w:t>2.承包人承诺按照法律规定及合同约定组织完成工程施工，确保工程质量和安全，不进行转包及违法分包，并在缺陷责任期及保修期内承担相应的工程维修责任。</w:t>
      </w:r>
    </w:p>
    <w:p w14:paraId="2928C31B">
      <w:pPr>
        <w:spacing w:line="440" w:lineRule="exact"/>
        <w:ind w:firstLine="420" w:firstLineChars="200"/>
        <w:rPr>
          <w:rFonts w:hint="eastAsia" w:ascii="宋体" w:cs="宋体"/>
          <w:bCs/>
          <w:szCs w:val="21"/>
        </w:rPr>
      </w:pPr>
      <w:r>
        <w:rPr>
          <w:rFonts w:hint="eastAsia" w:ascii="宋体" w:cs="宋体"/>
          <w:bCs/>
          <w:szCs w:val="21"/>
        </w:rPr>
        <w:t>3.发包人和承包人通过招投标形式签订合同的，双方理解并承诺不再就同一工程另行签订与合同实质性内容相背离的协议。</w:t>
      </w:r>
    </w:p>
    <w:p w14:paraId="08E1DCA2">
      <w:pPr>
        <w:spacing w:line="440" w:lineRule="exact"/>
        <w:ind w:firstLine="420" w:firstLineChars="200"/>
        <w:rPr>
          <w:rFonts w:hint="eastAsia" w:ascii="宋体" w:cs="宋体"/>
          <w:bCs/>
          <w:szCs w:val="21"/>
        </w:rPr>
      </w:pPr>
      <w:r>
        <w:rPr>
          <w:rFonts w:hint="eastAsia" w:ascii="宋体" w:cs="宋体"/>
          <w:szCs w:val="21"/>
        </w:rPr>
        <w:t>八、词语含义</w:t>
      </w:r>
    </w:p>
    <w:p w14:paraId="31689870">
      <w:pPr>
        <w:spacing w:line="440" w:lineRule="exact"/>
        <w:ind w:firstLine="420" w:firstLineChars="200"/>
        <w:rPr>
          <w:rFonts w:hint="eastAsia" w:ascii="宋体" w:cs="宋体"/>
          <w:bCs/>
          <w:szCs w:val="21"/>
        </w:rPr>
      </w:pPr>
      <w:r>
        <w:rPr>
          <w:rFonts w:hint="eastAsia" w:ascii="宋体" w:cs="宋体"/>
          <w:bCs/>
          <w:szCs w:val="21"/>
        </w:rPr>
        <w:t>本协议书中词语含义与第二部分通用合同条款中赋予的含义相同。</w:t>
      </w:r>
    </w:p>
    <w:p w14:paraId="31603E32">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九、签订时间</w:t>
      </w:r>
    </w:p>
    <w:p w14:paraId="168B7B41">
      <w:pPr>
        <w:spacing w:line="440" w:lineRule="exact"/>
        <w:ind w:firstLine="420" w:firstLineChars="200"/>
        <w:rPr>
          <w:rFonts w:hint="eastAsia" w:ascii="宋体" w:cs="宋体"/>
          <w:bCs/>
          <w:szCs w:val="21"/>
        </w:rPr>
      </w:pPr>
      <w:r>
        <w:rPr>
          <w:rFonts w:hint="eastAsia" w:ascii="宋体" w:cs="宋体"/>
          <w:bCs/>
          <w:szCs w:val="21"/>
        </w:rPr>
        <w:t>本合同于</w:t>
      </w:r>
      <w:r>
        <w:rPr>
          <w:rFonts w:hint="eastAsia" w:ascii="宋体" w:cs="宋体"/>
          <w:bCs/>
          <w:szCs w:val="21"/>
          <w:u w:val="single"/>
        </w:rPr>
        <w:t xml:space="preserve">         </w:t>
      </w:r>
      <w:r>
        <w:rPr>
          <w:rFonts w:hint="eastAsia" w:ascii="宋体" w:cs="宋体"/>
          <w:bCs/>
          <w:szCs w:val="21"/>
        </w:rPr>
        <w:t>年</w:t>
      </w:r>
      <w:r>
        <w:rPr>
          <w:rFonts w:hint="eastAsia" w:ascii="宋体" w:cs="宋体"/>
          <w:bCs/>
          <w:szCs w:val="21"/>
          <w:u w:val="single"/>
        </w:rPr>
        <w:t xml:space="preserve">       </w:t>
      </w:r>
      <w:r>
        <w:rPr>
          <w:rFonts w:hint="eastAsia" w:ascii="宋体" w:cs="宋体"/>
          <w:bCs/>
          <w:szCs w:val="21"/>
        </w:rPr>
        <w:t>月</w:t>
      </w:r>
      <w:r>
        <w:rPr>
          <w:rFonts w:hint="eastAsia" w:ascii="宋体" w:cs="宋体"/>
          <w:bCs/>
          <w:szCs w:val="21"/>
          <w:u w:val="single"/>
        </w:rPr>
        <w:t xml:space="preserve">        </w:t>
      </w:r>
      <w:r>
        <w:rPr>
          <w:rFonts w:hint="eastAsia" w:ascii="宋体" w:cs="宋体"/>
          <w:bCs/>
          <w:szCs w:val="21"/>
        </w:rPr>
        <w:t>日签订。</w:t>
      </w:r>
    </w:p>
    <w:p w14:paraId="6A42F258">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十、签订地点</w:t>
      </w:r>
    </w:p>
    <w:p w14:paraId="6BF73051">
      <w:pPr>
        <w:spacing w:line="440" w:lineRule="exact"/>
        <w:ind w:firstLine="420" w:firstLineChars="200"/>
        <w:rPr>
          <w:rFonts w:hint="eastAsia" w:ascii="宋体" w:cs="宋体"/>
          <w:bCs/>
          <w:szCs w:val="21"/>
          <w:highlight w:val="none"/>
        </w:rPr>
      </w:pPr>
      <w:r>
        <w:rPr>
          <w:rFonts w:hint="eastAsia" w:ascii="宋体" w:cs="宋体"/>
          <w:bCs/>
          <w:szCs w:val="21"/>
          <w:highlight w:val="none"/>
        </w:rPr>
        <w:t>本合同在</w:t>
      </w:r>
      <w:r>
        <w:rPr>
          <w:rFonts w:hint="eastAsia" w:ascii="宋体" w:cs="宋体"/>
          <w:bCs/>
          <w:szCs w:val="21"/>
          <w:highlight w:val="none"/>
          <w:u w:val="single"/>
        </w:rPr>
        <w:t xml:space="preserve">              </w:t>
      </w:r>
      <w:r>
        <w:rPr>
          <w:rFonts w:hint="eastAsia" w:ascii="宋体" w:cs="宋体"/>
          <w:bCs/>
          <w:szCs w:val="21"/>
          <w:highlight w:val="none"/>
        </w:rPr>
        <w:t>签订。</w:t>
      </w:r>
    </w:p>
    <w:p w14:paraId="12148FBD">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十一、补充协议</w:t>
      </w:r>
    </w:p>
    <w:p w14:paraId="55238B76">
      <w:pPr>
        <w:spacing w:line="440" w:lineRule="exact"/>
        <w:ind w:firstLine="420" w:firstLineChars="200"/>
        <w:rPr>
          <w:rFonts w:hint="eastAsia" w:ascii="宋体" w:cs="宋体"/>
          <w:b/>
          <w:bCs/>
          <w:szCs w:val="21"/>
        </w:rPr>
      </w:pPr>
      <w:r>
        <w:rPr>
          <w:rFonts w:hint="eastAsia" w:ascii="宋体" w:cs="宋体"/>
          <w:bCs/>
          <w:szCs w:val="21"/>
        </w:rPr>
        <w:t>合同未尽事宜，合同当事人另行签订补充协议，补充协议是合同的组成部分。</w:t>
      </w:r>
    </w:p>
    <w:p w14:paraId="0C8BEAE8">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十二、合同生效</w:t>
      </w:r>
    </w:p>
    <w:p w14:paraId="5BF34A4F">
      <w:pPr>
        <w:spacing w:line="440" w:lineRule="exact"/>
        <w:ind w:firstLine="420" w:firstLineChars="200"/>
        <w:rPr>
          <w:rFonts w:hint="eastAsia" w:ascii="宋体" w:cs="宋体"/>
          <w:bCs/>
          <w:szCs w:val="21"/>
        </w:rPr>
      </w:pPr>
      <w:r>
        <w:rPr>
          <w:rFonts w:hint="eastAsia" w:ascii="宋体" w:cs="宋体"/>
          <w:bCs/>
          <w:szCs w:val="21"/>
        </w:rPr>
        <w:t>本合同自</w:t>
      </w:r>
      <w:r>
        <w:rPr>
          <w:rFonts w:hint="eastAsia" w:ascii="宋体" w:cs="宋体"/>
          <w:bCs/>
          <w:szCs w:val="21"/>
          <w:u w:val="single"/>
        </w:rPr>
        <w:t xml:space="preserve">  </w:t>
      </w:r>
      <w:r>
        <w:rPr>
          <w:rFonts w:hint="eastAsia" w:ascii="宋体" w:hAnsi="宋体"/>
          <w:szCs w:val="21"/>
          <w:u w:val="single"/>
        </w:rPr>
        <w:t xml:space="preserve">  </w:t>
      </w:r>
      <w:r>
        <w:rPr>
          <w:rFonts w:hint="eastAsia" w:ascii="宋体" w:hAnsi="宋体" w:eastAsia="宋体" w:cs="宋体"/>
          <w:color w:val="auto"/>
          <w:sz w:val="21"/>
          <w:szCs w:val="21"/>
          <w:highlight w:val="none"/>
          <w:u w:val="single"/>
          <w:shd w:val="clear" w:color="auto" w:fill="auto"/>
        </w:rPr>
        <w:t>双方签字盖章后</w:t>
      </w:r>
      <w:r>
        <w:rPr>
          <w:rFonts w:hint="eastAsia" w:ascii="宋体" w:cs="宋体"/>
          <w:szCs w:val="21"/>
          <w:u w:val="single"/>
        </w:rPr>
        <w:t xml:space="preserve">   </w:t>
      </w:r>
      <w:r>
        <w:rPr>
          <w:rFonts w:hint="eastAsia" w:ascii="宋体" w:cs="宋体"/>
          <w:bCs/>
          <w:szCs w:val="21"/>
        </w:rPr>
        <w:t>生效。</w:t>
      </w:r>
    </w:p>
    <w:p w14:paraId="0CD88474">
      <w:pPr>
        <w:pStyle w:val="5"/>
        <w:spacing w:before="0" w:after="0" w:line="440" w:lineRule="exact"/>
        <w:ind w:firstLine="420" w:firstLineChars="200"/>
        <w:rPr>
          <w:rFonts w:hint="eastAsia" w:ascii="宋体" w:eastAsia="宋体" w:cs="宋体"/>
          <w:bCs w:val="0"/>
          <w:sz w:val="21"/>
          <w:szCs w:val="21"/>
        </w:rPr>
      </w:pPr>
      <w:r>
        <w:rPr>
          <w:rFonts w:hint="eastAsia" w:ascii="宋体" w:eastAsia="宋体" w:cs="宋体"/>
          <w:b w:val="0"/>
          <w:sz w:val="21"/>
          <w:szCs w:val="21"/>
        </w:rPr>
        <w:t>十三、合同份数</w:t>
      </w:r>
    </w:p>
    <w:p w14:paraId="5C5834D4">
      <w:pPr>
        <w:spacing w:line="440" w:lineRule="exact"/>
        <w:ind w:firstLine="420" w:firstLineChars="200"/>
        <w:rPr>
          <w:rFonts w:hint="eastAsia" w:ascii="宋体" w:cs="宋体"/>
          <w:bCs/>
          <w:szCs w:val="21"/>
        </w:rPr>
      </w:pPr>
      <w:r>
        <w:rPr>
          <w:rFonts w:hint="eastAsia" w:ascii="宋体" w:cs="宋体"/>
          <w:bCs/>
          <w:szCs w:val="21"/>
          <w:highlight w:val="none"/>
        </w:rPr>
        <w:t>本合同一式</w:t>
      </w:r>
      <w:r>
        <w:rPr>
          <w:rFonts w:hint="eastAsia" w:ascii="宋体" w:cs="宋体"/>
          <w:bCs/>
          <w:szCs w:val="21"/>
          <w:highlight w:val="none"/>
          <w:lang w:eastAsia="zh-CN"/>
        </w:rPr>
        <w:t>肆</w:t>
      </w:r>
      <w:r>
        <w:rPr>
          <w:rFonts w:hint="eastAsia" w:ascii="宋体" w:cs="宋体"/>
          <w:bCs/>
          <w:szCs w:val="21"/>
          <w:highlight w:val="none"/>
        </w:rPr>
        <w:t>份，正本贰份、副本贰份，</w:t>
      </w:r>
      <w:r>
        <w:rPr>
          <w:rFonts w:hint="eastAsia" w:ascii="宋体" w:cs="宋体"/>
          <w:bCs/>
          <w:szCs w:val="21"/>
        </w:rPr>
        <w:t>均具有同等法律效力，发包人执正本壹份、副本叁份，承包人执正本壹份、副本叁份。</w:t>
      </w:r>
    </w:p>
    <w:p w14:paraId="5622B22D">
      <w:pPr>
        <w:keepNext w:val="0"/>
        <w:keepLines w:val="0"/>
        <w:pageBreakBefore w:val="0"/>
        <w:widowControl w:val="0"/>
        <w:kinsoku/>
        <w:wordWrap/>
        <w:overflowPunct/>
        <w:topLinePunct w:val="0"/>
        <w:autoSpaceDE/>
        <w:autoSpaceDN/>
        <w:bidi w:val="0"/>
        <w:adjustRightInd/>
        <w:snapToGrid w:val="0"/>
        <w:spacing w:line="440" w:lineRule="exact"/>
        <w:ind w:firstLine="630" w:firstLineChars="300"/>
        <w:textAlignment w:val="auto"/>
        <w:rPr>
          <w:rFonts w:hint="eastAsia" w:ascii="宋体" w:cs="宋体"/>
          <w:szCs w:val="21"/>
        </w:rPr>
      </w:pPr>
      <w:r>
        <w:rPr>
          <w:rFonts w:hint="eastAsia" w:ascii="宋体" w:cs="宋体"/>
          <w:szCs w:val="21"/>
        </w:rPr>
        <w:t xml:space="preserve">发包人：  </w:t>
      </w:r>
      <w:r>
        <w:rPr>
          <w:rFonts w:hint="eastAsia" w:ascii="宋体" w:cs="宋体"/>
          <w:szCs w:val="21"/>
          <w:lang w:eastAsia="zh-CN"/>
        </w:rPr>
        <w:t>（</w:t>
      </w:r>
      <w:r>
        <w:rPr>
          <w:rFonts w:hint="eastAsia" w:ascii="宋体" w:cs="宋体"/>
          <w:szCs w:val="21"/>
        </w:rPr>
        <w:t>公章</w:t>
      </w:r>
      <w:r>
        <w:rPr>
          <w:rFonts w:hint="eastAsia" w:ascii="宋体" w:cs="宋体"/>
          <w:szCs w:val="21"/>
          <w:lang w:eastAsia="zh-CN"/>
        </w:rPr>
        <w:t>）</w:t>
      </w:r>
      <w:r>
        <w:rPr>
          <w:rFonts w:hint="eastAsia" w:ascii="宋体" w:cs="宋体"/>
          <w:szCs w:val="21"/>
        </w:rPr>
        <w:t xml:space="preserve">                   承包人：  </w:t>
      </w:r>
      <w:r>
        <w:rPr>
          <w:rFonts w:hint="eastAsia" w:ascii="宋体" w:cs="宋体"/>
          <w:szCs w:val="21"/>
          <w:lang w:eastAsia="zh-CN"/>
        </w:rPr>
        <w:t>（</w:t>
      </w:r>
      <w:r>
        <w:rPr>
          <w:rFonts w:hint="eastAsia" w:ascii="宋体" w:cs="宋体"/>
          <w:szCs w:val="21"/>
        </w:rPr>
        <w:t>公章</w:t>
      </w:r>
      <w:r>
        <w:rPr>
          <w:rFonts w:hint="eastAsia" w:ascii="宋体" w:cs="宋体"/>
          <w:szCs w:val="21"/>
          <w:lang w:eastAsia="zh-CN"/>
        </w:rPr>
        <w:t>）</w:t>
      </w:r>
    </w:p>
    <w:p w14:paraId="7D787211">
      <w:pPr>
        <w:snapToGrid w:val="0"/>
        <w:spacing w:line="440" w:lineRule="exact"/>
        <w:ind w:firstLine="420" w:firstLineChars="200"/>
        <w:rPr>
          <w:rFonts w:hint="eastAsia" w:ascii="宋体" w:cs="宋体"/>
          <w:szCs w:val="21"/>
        </w:rPr>
      </w:pPr>
      <w:r>
        <w:rPr>
          <w:rFonts w:hint="eastAsia" w:ascii="宋体" w:cs="宋体"/>
          <w:szCs w:val="21"/>
        </w:rPr>
        <w:t xml:space="preserve"> 法定代表人或其委托代理人：           法定代表人或其委托代理人：</w:t>
      </w:r>
    </w:p>
    <w:p w14:paraId="2A2E54F9">
      <w:pPr>
        <w:snapToGrid w:val="0"/>
        <w:spacing w:line="440" w:lineRule="exact"/>
        <w:ind w:firstLine="420" w:firstLineChars="200"/>
        <w:rPr>
          <w:rFonts w:hint="eastAsia" w:ascii="宋体" w:cs="宋体"/>
          <w:szCs w:val="21"/>
        </w:rPr>
      </w:pPr>
      <w:r>
        <w:rPr>
          <w:rFonts w:hint="eastAsia" w:ascii="宋体" w:cs="宋体"/>
          <w:szCs w:val="21"/>
        </w:rPr>
        <w:t xml:space="preserve">                  （签字）                             （签字）</w:t>
      </w:r>
    </w:p>
    <w:p w14:paraId="0B2CEB30">
      <w:pPr>
        <w:tabs>
          <w:tab w:val="left" w:pos="4410"/>
        </w:tabs>
        <w:snapToGrid w:val="0"/>
        <w:spacing w:line="440" w:lineRule="exact"/>
        <w:ind w:firstLine="420" w:firstLineChars="200"/>
        <w:rPr>
          <w:rFonts w:hint="eastAsia" w:ascii="宋体" w:cs="宋体"/>
          <w:szCs w:val="21"/>
        </w:rPr>
      </w:pPr>
      <w:r>
        <w:rPr>
          <w:rFonts w:hint="eastAsia" w:ascii="宋体" w:cs="宋体"/>
          <w:szCs w:val="21"/>
        </w:rPr>
        <w:t xml:space="preserve">组织机构代码：                        组织机构代码：                                   </w:t>
      </w:r>
    </w:p>
    <w:p w14:paraId="492F88C1">
      <w:pPr>
        <w:snapToGrid w:val="0"/>
        <w:spacing w:line="440" w:lineRule="exact"/>
        <w:ind w:firstLine="420" w:firstLineChars="200"/>
        <w:rPr>
          <w:rFonts w:hint="eastAsia" w:ascii="宋体" w:cs="宋体"/>
          <w:szCs w:val="21"/>
        </w:rPr>
      </w:pPr>
      <w:r>
        <w:rPr>
          <w:rFonts w:hint="eastAsia" w:ascii="宋体" w:cs="宋体"/>
          <w:szCs w:val="21"/>
        </w:rPr>
        <w:t xml:space="preserve">地  址：                           地  址：                                    </w:t>
      </w:r>
    </w:p>
    <w:p w14:paraId="18CB7EC5">
      <w:pPr>
        <w:snapToGrid w:val="0"/>
        <w:spacing w:line="440" w:lineRule="exact"/>
        <w:ind w:firstLine="420" w:firstLineChars="200"/>
        <w:rPr>
          <w:rFonts w:hint="eastAsia" w:ascii="宋体" w:cs="宋体"/>
          <w:szCs w:val="21"/>
        </w:rPr>
      </w:pPr>
      <w:r>
        <w:rPr>
          <w:rFonts w:hint="eastAsia" w:ascii="宋体" w:cs="宋体"/>
          <w:szCs w:val="21"/>
        </w:rPr>
        <w:t xml:space="preserve">邮政编码：                             邮政编码：                       </w:t>
      </w:r>
    </w:p>
    <w:p w14:paraId="4DF92D5C">
      <w:pPr>
        <w:tabs>
          <w:tab w:val="left" w:pos="180"/>
        </w:tabs>
        <w:snapToGrid w:val="0"/>
        <w:spacing w:line="440" w:lineRule="exact"/>
        <w:ind w:firstLine="420" w:firstLineChars="200"/>
        <w:rPr>
          <w:rFonts w:hint="eastAsia" w:ascii="宋体" w:cs="宋体"/>
          <w:szCs w:val="21"/>
        </w:rPr>
      </w:pPr>
      <w:r>
        <w:rPr>
          <w:rFonts w:hint="eastAsia" w:ascii="宋体" w:cs="宋体"/>
          <w:szCs w:val="21"/>
        </w:rPr>
        <w:t xml:space="preserve">法定代表人：                       法定代表人： </w:t>
      </w:r>
    </w:p>
    <w:p w14:paraId="395E339B">
      <w:pPr>
        <w:snapToGrid w:val="0"/>
        <w:spacing w:line="440" w:lineRule="exact"/>
        <w:ind w:firstLine="420" w:firstLineChars="200"/>
        <w:rPr>
          <w:rFonts w:hint="eastAsia" w:ascii="宋体" w:cs="宋体"/>
          <w:szCs w:val="21"/>
        </w:rPr>
      </w:pPr>
      <w:r>
        <w:rPr>
          <w:rFonts w:hint="eastAsia" w:ascii="宋体" w:cs="宋体"/>
          <w:szCs w:val="21"/>
        </w:rPr>
        <w:t xml:space="preserve">委托代理人：                           委托代理人：  </w:t>
      </w:r>
    </w:p>
    <w:p w14:paraId="7C85FBF7">
      <w:pPr>
        <w:snapToGrid w:val="0"/>
        <w:spacing w:line="440" w:lineRule="exact"/>
        <w:ind w:firstLine="420" w:firstLineChars="200"/>
        <w:rPr>
          <w:rFonts w:hint="eastAsia" w:ascii="宋体" w:cs="宋体"/>
          <w:szCs w:val="21"/>
        </w:rPr>
      </w:pPr>
      <w:r>
        <w:rPr>
          <w:rFonts w:hint="eastAsia" w:ascii="宋体" w:cs="宋体"/>
          <w:szCs w:val="21"/>
        </w:rPr>
        <w:t>电  话：                               电  话：</w:t>
      </w:r>
    </w:p>
    <w:p w14:paraId="51C1F911">
      <w:pPr>
        <w:snapToGrid w:val="0"/>
        <w:spacing w:line="440" w:lineRule="exact"/>
        <w:ind w:firstLine="420" w:firstLineChars="200"/>
        <w:rPr>
          <w:rFonts w:hint="eastAsia" w:ascii="宋体" w:cs="宋体"/>
          <w:szCs w:val="21"/>
        </w:rPr>
      </w:pPr>
      <w:r>
        <w:rPr>
          <w:rFonts w:hint="eastAsia" w:ascii="宋体" w:cs="宋体"/>
          <w:szCs w:val="21"/>
        </w:rPr>
        <w:t xml:space="preserve">传  真：                             传  真：    </w:t>
      </w:r>
    </w:p>
    <w:p w14:paraId="51053951">
      <w:pPr>
        <w:snapToGrid w:val="0"/>
        <w:spacing w:line="440" w:lineRule="exact"/>
        <w:ind w:firstLine="420" w:firstLineChars="200"/>
        <w:rPr>
          <w:rFonts w:hint="eastAsia" w:ascii="宋体" w:cs="宋体"/>
          <w:szCs w:val="21"/>
        </w:rPr>
      </w:pPr>
      <w:r>
        <w:rPr>
          <w:rFonts w:hint="eastAsia" w:ascii="宋体" w:cs="宋体"/>
          <w:szCs w:val="21"/>
        </w:rPr>
        <w:t xml:space="preserve">电子信箱：                             电子信箱：                       </w:t>
      </w:r>
    </w:p>
    <w:p w14:paraId="76F50840">
      <w:pPr>
        <w:snapToGrid w:val="0"/>
        <w:spacing w:line="440" w:lineRule="exact"/>
        <w:ind w:firstLine="420" w:firstLineChars="200"/>
        <w:rPr>
          <w:rFonts w:hint="eastAsia" w:ascii="宋体" w:cs="宋体"/>
          <w:szCs w:val="21"/>
        </w:rPr>
      </w:pPr>
      <w:r>
        <w:rPr>
          <w:rFonts w:hint="eastAsia" w:ascii="宋体" w:cs="宋体"/>
          <w:szCs w:val="21"/>
        </w:rPr>
        <w:t xml:space="preserve">开户银行：                             开户银行：                        </w:t>
      </w:r>
    </w:p>
    <w:p w14:paraId="2421115B">
      <w:pPr>
        <w:spacing w:line="440" w:lineRule="exact"/>
        <w:ind w:firstLine="420" w:firstLineChars="200"/>
        <w:rPr>
          <w:rFonts w:hint="eastAsia" w:ascii="宋体" w:cs="宋体"/>
          <w:szCs w:val="21"/>
        </w:rPr>
      </w:pPr>
      <w:r>
        <w:rPr>
          <w:rFonts w:hint="eastAsia" w:ascii="宋体" w:cs="宋体"/>
          <w:szCs w:val="21"/>
        </w:rPr>
        <w:t xml:space="preserve">账  号：                               账  号：                         </w:t>
      </w:r>
    </w:p>
    <w:p w14:paraId="47DE9D2C">
      <w:pPr>
        <w:spacing w:line="440" w:lineRule="exact"/>
        <w:ind w:firstLine="4410" w:firstLineChars="2100"/>
        <w:rPr>
          <w:rFonts w:hint="eastAsia" w:ascii="宋体" w:cs="宋体"/>
          <w:szCs w:val="21"/>
        </w:rPr>
      </w:pPr>
    </w:p>
    <w:p w14:paraId="73F4574A">
      <w:pPr>
        <w:spacing w:line="440" w:lineRule="exact"/>
        <w:ind w:firstLine="4410" w:firstLineChars="2100"/>
        <w:rPr>
          <w:rFonts w:hint="eastAsia" w:ascii="宋体" w:cs="宋体"/>
          <w:szCs w:val="21"/>
        </w:rPr>
      </w:pPr>
    </w:p>
    <w:p w14:paraId="3943C5F0">
      <w:pPr>
        <w:spacing w:line="440" w:lineRule="exact"/>
        <w:ind w:firstLine="4410" w:firstLineChars="2100"/>
        <w:rPr>
          <w:rFonts w:hint="eastAsia" w:ascii="宋体" w:cs="宋体"/>
          <w:szCs w:val="21"/>
        </w:rPr>
      </w:pPr>
    </w:p>
    <w:p w14:paraId="7FDB86E4">
      <w:pPr>
        <w:pStyle w:val="14"/>
        <w:rPr>
          <w:rFonts w:hint="eastAsia" w:ascii="宋体" w:cs="宋体"/>
          <w:szCs w:val="21"/>
        </w:rPr>
      </w:pPr>
    </w:p>
    <w:p w14:paraId="45D8C436">
      <w:pPr>
        <w:rPr>
          <w:rFonts w:hint="eastAsia" w:ascii="宋体" w:cs="宋体"/>
          <w:szCs w:val="21"/>
        </w:rPr>
      </w:pPr>
    </w:p>
    <w:p w14:paraId="68996332">
      <w:pPr>
        <w:spacing w:line="440" w:lineRule="exact"/>
        <w:rPr>
          <w:rFonts w:hint="eastAsia" w:ascii="宋体" w:cs="宋体"/>
          <w:szCs w:val="21"/>
        </w:rPr>
      </w:pPr>
      <w:r>
        <w:rPr>
          <w:rFonts w:hint="eastAsia" w:ascii="宋体" w:cs="宋体"/>
          <w:szCs w:val="21"/>
        </w:rPr>
        <w:t xml:space="preserve">           </w:t>
      </w:r>
    </w:p>
    <w:p w14:paraId="6E6FB372">
      <w:pPr>
        <w:rPr>
          <w:rFonts w:hint="eastAsia" w:ascii="黑体" w:eastAsia="黑体" w:cs="黑体"/>
        </w:rPr>
      </w:pPr>
      <w:r>
        <w:rPr>
          <w:rFonts w:hint="eastAsia" w:ascii="黑体" w:eastAsia="黑体" w:cs="黑体"/>
        </w:rPr>
        <w:br w:type="page"/>
      </w:r>
    </w:p>
    <w:p w14:paraId="5D951C3C">
      <w:pPr>
        <w:pStyle w:val="4"/>
        <w:jc w:val="center"/>
        <w:rPr>
          <w:rFonts w:hint="eastAsia" w:ascii="黑体" w:eastAsia="黑体" w:cs="黑体"/>
        </w:rPr>
      </w:pPr>
      <w:r>
        <w:rPr>
          <w:rFonts w:hint="eastAsia" w:ascii="黑体" w:eastAsia="黑体" w:cs="黑体"/>
        </w:rPr>
        <w:t>第二节 通用合同条款</w:t>
      </w:r>
    </w:p>
    <w:p w14:paraId="3BD1B480">
      <w:pPr>
        <w:adjustRightInd w:val="0"/>
        <w:snapToGrid w:val="0"/>
        <w:spacing w:line="480" w:lineRule="auto"/>
        <w:ind w:firstLine="562" w:firstLineChars="200"/>
        <w:rPr>
          <w:rFonts w:hint="eastAsia" w:ascii="宋体" w:hAnsi="宋体" w:cs="宋体"/>
          <w:b/>
          <w:bCs/>
          <w:snapToGrid w:val="0"/>
          <w:color w:val="000000"/>
          <w:kern w:val="0"/>
          <w:sz w:val="28"/>
        </w:rPr>
      </w:pPr>
      <w:r>
        <w:rPr>
          <w:rFonts w:hint="eastAsia" w:ascii="宋体" w:hAnsi="宋体" w:cs="宋体"/>
          <w:b/>
          <w:bCs/>
          <w:snapToGrid w:val="0"/>
          <w:color w:val="000000"/>
          <w:kern w:val="0"/>
          <w:sz w:val="28"/>
        </w:rPr>
        <w:t>采用《建设工程施工合同(示范文本)》（GF-2017-0201）中通用合同条款。上述资料由</w:t>
      </w:r>
      <w:r>
        <w:rPr>
          <w:rFonts w:hint="eastAsia" w:ascii="宋体" w:hAnsi="宋体" w:cs="宋体"/>
          <w:b/>
          <w:bCs/>
          <w:snapToGrid w:val="0"/>
          <w:color w:val="000000"/>
          <w:kern w:val="0"/>
          <w:sz w:val="28"/>
          <w:lang w:val="en-US" w:eastAsia="zh-CN"/>
        </w:rPr>
        <w:t>中</w:t>
      </w:r>
      <w:r>
        <w:rPr>
          <w:rFonts w:hint="eastAsia" w:ascii="宋体" w:hAnsi="宋体" w:cs="宋体"/>
          <w:b/>
          <w:bCs/>
          <w:snapToGrid w:val="0"/>
          <w:color w:val="000000"/>
          <w:kern w:val="0"/>
          <w:sz w:val="28"/>
        </w:rPr>
        <w:t>标人自行准备。</w:t>
      </w:r>
    </w:p>
    <w:p w14:paraId="48D17398">
      <w:pPr>
        <w:spacing w:line="440" w:lineRule="exact"/>
        <w:ind w:firstLine="420" w:firstLineChars="200"/>
        <w:rPr>
          <w:rFonts w:hint="eastAsia"/>
        </w:rPr>
      </w:pPr>
    </w:p>
    <w:p w14:paraId="20A9D62C">
      <w:pPr>
        <w:pStyle w:val="4"/>
        <w:jc w:val="center"/>
        <w:rPr>
          <w:rFonts w:hint="eastAsia" w:ascii="黑体" w:eastAsia="黑体" w:cs="黑体"/>
        </w:rPr>
      </w:pPr>
      <w:r>
        <w:rPr>
          <w:rFonts w:hint="eastAsia" w:ascii="黑体" w:eastAsia="黑体" w:cs="黑体"/>
        </w:rPr>
        <w:t>第三节 专用合同条款</w:t>
      </w:r>
    </w:p>
    <w:p w14:paraId="0E66893B">
      <w:pPr>
        <w:pStyle w:val="5"/>
        <w:snapToGrid w:val="0"/>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1. 一般约定</w:t>
      </w:r>
    </w:p>
    <w:p w14:paraId="564E7E8D">
      <w:pPr>
        <w:snapToGrid w:val="0"/>
        <w:spacing w:line="440" w:lineRule="exact"/>
        <w:ind w:firstLine="420" w:firstLineChars="200"/>
        <w:rPr>
          <w:rFonts w:hint="eastAsia" w:ascii="宋体" w:cs="宋体"/>
          <w:szCs w:val="21"/>
        </w:rPr>
      </w:pPr>
      <w:r>
        <w:rPr>
          <w:rFonts w:hint="eastAsia" w:ascii="宋体" w:cs="宋体"/>
          <w:szCs w:val="21"/>
        </w:rPr>
        <w:t>1.1 词语定义</w:t>
      </w:r>
    </w:p>
    <w:p w14:paraId="0352C5D3">
      <w:pPr>
        <w:snapToGrid w:val="0"/>
        <w:spacing w:line="440" w:lineRule="exact"/>
        <w:ind w:firstLine="420" w:firstLineChars="200"/>
        <w:rPr>
          <w:rFonts w:hint="eastAsia" w:ascii="宋体" w:cs="宋体"/>
          <w:kern w:val="0"/>
          <w:szCs w:val="21"/>
        </w:rPr>
      </w:pPr>
      <w:r>
        <w:rPr>
          <w:rFonts w:hint="eastAsia" w:ascii="宋体" w:cs="宋体"/>
          <w:kern w:val="0"/>
          <w:szCs w:val="21"/>
        </w:rPr>
        <w:t>1.1.1合同</w:t>
      </w:r>
    </w:p>
    <w:p w14:paraId="6EA12D57">
      <w:pPr>
        <w:snapToGrid w:val="0"/>
        <w:spacing w:line="440" w:lineRule="exact"/>
        <w:ind w:firstLine="420" w:firstLineChars="200"/>
        <w:rPr>
          <w:rFonts w:hint="eastAsia" w:ascii="宋体" w:cs="宋体"/>
          <w:kern w:val="0"/>
          <w:szCs w:val="21"/>
        </w:rPr>
      </w:pPr>
      <w:r>
        <w:rPr>
          <w:rFonts w:hint="eastAsia" w:ascii="宋体" w:cs="宋体"/>
          <w:kern w:val="0"/>
          <w:szCs w:val="21"/>
        </w:rPr>
        <w:t>1.1.1.1其他合同文件包括：</w:t>
      </w:r>
      <w:r>
        <w:rPr>
          <w:rFonts w:hint="eastAsia" w:ascii="宋体" w:cs="宋体"/>
          <w:szCs w:val="21"/>
          <w:u w:val="single"/>
        </w:rPr>
        <w:t xml:space="preserve">本项目招标文件、在合同订立及履行过程中形成的与合同有关的文件均构成合同文件组成部分。 </w:t>
      </w:r>
    </w:p>
    <w:p w14:paraId="3A8F2FC2">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lang w:eastAsia="zh-CN"/>
        </w:rPr>
      </w:pPr>
      <w:r>
        <w:rPr>
          <w:rFonts w:hint="eastAsia" w:ascii="宋体" w:cs="宋体"/>
          <w:szCs w:val="21"/>
        </w:rPr>
        <w:t>1.1.2 合同其他相关方</w:t>
      </w:r>
      <w:r>
        <w:rPr>
          <w:rFonts w:hint="eastAsia" w:ascii="宋体" w:cs="宋体"/>
          <w:szCs w:val="21"/>
          <w:lang w:eastAsia="zh-CN"/>
        </w:rPr>
        <w:t>：</w:t>
      </w:r>
    </w:p>
    <w:p w14:paraId="6FC2FD5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1.1.2.4 监理人：</w:t>
      </w:r>
    </w:p>
    <w:p w14:paraId="77E4271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名    称：</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1DF6448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资质类别和等级：</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w:t>
      </w:r>
      <w:r>
        <w:rPr>
          <w:rFonts w:hint="eastAsia" w:ascii="宋体" w:hAnsi="宋体" w:cs="宋体"/>
          <w:color w:val="000000"/>
          <w:highlight w:val="none"/>
        </w:rPr>
        <w:t>；</w:t>
      </w:r>
    </w:p>
    <w:p w14:paraId="05C8B7B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联系电话：</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281D6E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电子信箱：</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08AA596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通信地址：</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43B9DEF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1.1.2.5 设计人：</w:t>
      </w:r>
    </w:p>
    <w:p w14:paraId="18D24B2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名    称：</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08FA030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资质类别和等级：</w:t>
      </w:r>
      <w:r>
        <w:rPr>
          <w:rFonts w:hint="eastAsia" w:ascii="宋体" w:hAnsi="宋体" w:cs="宋体"/>
          <w:color w:val="000000"/>
          <w:highlight w:val="none"/>
          <w:u w:val="single"/>
        </w:rPr>
        <w:t></w:t>
      </w:r>
      <w:r>
        <w:rPr>
          <w:rFonts w:hint="eastAsia" w:ascii="宋体" w:hAnsi="宋体" w:cs="宋体"/>
          <w:color w:val="000000"/>
          <w:highlight w:val="none"/>
          <w:u w:val="single"/>
          <w:lang w:val="en-US" w:eastAsia="zh-CN"/>
        </w:rPr>
        <w:t xml:space="preserve">                                  </w:t>
      </w:r>
      <w:r>
        <w:rPr>
          <w:rFonts w:hint="eastAsia" w:ascii="宋体" w:hAnsi="宋体" w:cs="宋体"/>
          <w:color w:val="000000"/>
          <w:highlight w:val="none"/>
          <w:u w:val="single"/>
        </w:rPr>
        <w:t></w:t>
      </w:r>
      <w:r>
        <w:rPr>
          <w:rFonts w:hint="eastAsia" w:ascii="宋体" w:hAnsi="宋体" w:cs="宋体"/>
          <w:color w:val="000000"/>
          <w:highlight w:val="none"/>
        </w:rPr>
        <w:t>；</w:t>
      </w:r>
    </w:p>
    <w:p w14:paraId="30AB8948">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联系电话：</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1C7D3A0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电子信箱：</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0F3F02F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通信地址：</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72FB988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1.1.3 工程和设备</w:t>
      </w:r>
    </w:p>
    <w:p w14:paraId="3185AED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1.1.3.7 作为施工现场组成部分的其他场所包括：</w:t>
      </w:r>
      <w:r>
        <w:rPr>
          <w:rFonts w:hint="eastAsia" w:ascii="宋体" w:hAnsi="宋体" w:cs="宋体"/>
          <w:color w:val="000000"/>
          <w:u w:val="single"/>
        </w:rPr>
        <w:t xml:space="preserve">  </w:t>
      </w:r>
      <w:r>
        <w:rPr>
          <w:rFonts w:hint="eastAsia" w:ascii="宋体" w:hAnsi="宋体" w:eastAsia="宋体" w:cs="宋体"/>
          <w:color w:val="auto"/>
          <w:szCs w:val="21"/>
          <w:highlight w:val="none"/>
          <w:u w:val="single"/>
        </w:rPr>
        <w:t>见施工图纸并现场确定</w:t>
      </w:r>
      <w:r>
        <w:rPr>
          <w:rFonts w:hint="eastAsia" w:ascii="宋体" w:hAnsi="宋体" w:cs="宋体"/>
          <w:color w:val="000000"/>
          <w:u w:val="single"/>
        </w:rPr>
        <w:t xml:space="preserve">  </w:t>
      </w:r>
      <w:r>
        <w:rPr>
          <w:rFonts w:hint="eastAsia" w:ascii="宋体" w:hAnsi="宋体" w:cs="宋体"/>
          <w:color w:val="000000"/>
        </w:rPr>
        <w:t>。</w:t>
      </w:r>
    </w:p>
    <w:p w14:paraId="3AF81C8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kern w:val="0"/>
        </w:rPr>
      </w:pPr>
      <w:r>
        <w:rPr>
          <w:rFonts w:hint="eastAsia" w:ascii="宋体" w:hAnsi="宋体" w:cs="宋体"/>
          <w:color w:val="000000"/>
          <w:kern w:val="0"/>
        </w:rPr>
        <w:t>1.1.3.9 永久占地包括：</w:t>
      </w:r>
      <w:r>
        <w:rPr>
          <w:rFonts w:hint="eastAsia" w:ascii="宋体" w:hAnsi="宋体" w:cs="宋体"/>
          <w:color w:val="000000"/>
          <w:u w:val="single"/>
        </w:rPr>
        <w:t xml:space="preserve">     </w:t>
      </w:r>
      <w:r>
        <w:rPr>
          <w:rFonts w:hint="eastAsia" w:ascii="宋体" w:hAnsi="宋体" w:eastAsia="宋体" w:cs="宋体"/>
          <w:color w:val="auto"/>
          <w:szCs w:val="21"/>
          <w:highlight w:val="none"/>
          <w:u w:val="single"/>
        </w:rPr>
        <w:t>见施工图纸</w:t>
      </w:r>
      <w:r>
        <w:rPr>
          <w:rFonts w:hint="eastAsia" w:ascii="宋体" w:hAnsi="宋体" w:cs="宋体"/>
          <w:color w:val="000000"/>
          <w:u w:val="single"/>
        </w:rPr>
        <w:t xml:space="preserve">       </w:t>
      </w:r>
      <w:r>
        <w:rPr>
          <w:rFonts w:hint="eastAsia" w:ascii="宋体" w:hAnsi="宋体" w:cs="宋体"/>
          <w:color w:val="000000"/>
          <w:kern w:val="0"/>
        </w:rPr>
        <w:t>。</w:t>
      </w:r>
    </w:p>
    <w:p w14:paraId="02E584D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kern w:val="0"/>
        </w:rPr>
        <w:t>1.1.3.10 临时占地包括：</w:t>
      </w:r>
      <w:r>
        <w:rPr>
          <w:rFonts w:hint="eastAsia" w:ascii="宋体" w:hAnsi="宋体" w:cs="宋体"/>
          <w:color w:val="000000"/>
          <w:u w:val="single"/>
        </w:rPr>
        <w:t xml:space="preserve">     </w:t>
      </w:r>
      <w:r>
        <w:rPr>
          <w:rFonts w:hint="eastAsia" w:ascii="宋体" w:hAnsi="宋体" w:eastAsia="宋体" w:cs="宋体"/>
          <w:color w:val="auto"/>
          <w:szCs w:val="21"/>
          <w:highlight w:val="none"/>
          <w:u w:val="single"/>
          <w:lang w:val="en-US" w:eastAsia="zh-CN"/>
        </w:rPr>
        <w:t>自行解决</w:t>
      </w:r>
      <w:r>
        <w:rPr>
          <w:rFonts w:hint="eastAsia" w:ascii="宋体" w:hAnsi="宋体" w:cs="宋体"/>
          <w:color w:val="000000"/>
          <w:u w:val="single"/>
        </w:rPr>
        <w:t>  </w:t>
      </w:r>
      <w:r>
        <w:rPr>
          <w:rFonts w:hint="eastAsia" w:ascii="宋体" w:hAnsi="宋体" w:cs="宋体"/>
          <w:color w:val="000000"/>
          <w:kern w:val="0"/>
        </w:rPr>
        <w:t>。</w:t>
      </w:r>
    </w:p>
    <w:p w14:paraId="3C9BD105">
      <w:pPr>
        <w:snapToGrid w:val="0"/>
        <w:spacing w:line="440" w:lineRule="exact"/>
        <w:ind w:firstLine="420" w:firstLineChars="200"/>
        <w:rPr>
          <w:rFonts w:hint="eastAsia" w:ascii="宋体" w:cs="宋体"/>
          <w:szCs w:val="21"/>
        </w:rPr>
      </w:pPr>
      <w:r>
        <w:rPr>
          <w:rFonts w:hint="eastAsia" w:ascii="宋体" w:cs="宋体"/>
          <w:szCs w:val="21"/>
        </w:rPr>
        <w:t xml:space="preserve">1.3法律 </w:t>
      </w:r>
    </w:p>
    <w:p w14:paraId="606A4442">
      <w:pPr>
        <w:autoSpaceDE w:val="0"/>
        <w:autoSpaceDN w:val="0"/>
        <w:adjustRightInd w:val="0"/>
        <w:snapToGrid w:val="0"/>
        <w:spacing w:line="440" w:lineRule="exact"/>
        <w:ind w:firstLine="420" w:firstLineChars="200"/>
        <w:jc w:val="left"/>
        <w:rPr>
          <w:rFonts w:hint="eastAsia" w:ascii="宋体" w:eastAsia="宋体" w:cs="宋体"/>
          <w:szCs w:val="21"/>
          <w:highlight w:val="none"/>
          <w:u w:val="none"/>
          <w:lang w:eastAsia="zh-CN"/>
        </w:rPr>
      </w:pPr>
      <w:r>
        <w:rPr>
          <w:rFonts w:hint="eastAsia" w:ascii="宋体" w:cs="宋体"/>
          <w:szCs w:val="21"/>
          <w:highlight w:val="none"/>
        </w:rPr>
        <w:t>适用于合同的其他规范性文件：</w:t>
      </w:r>
      <w:r>
        <w:rPr>
          <w:rFonts w:hint="eastAsia" w:ascii="宋体" w:cs="宋体"/>
          <w:szCs w:val="21"/>
          <w:highlight w:val="none"/>
          <w:u w:val="single"/>
        </w:rPr>
        <w:t xml:space="preserve"> </w:t>
      </w:r>
      <w:r>
        <w:rPr>
          <w:rFonts w:hint="eastAsia" w:ascii="宋体" w:hAnsi="宋体" w:cs="宋体"/>
          <w:color w:val="000000"/>
          <w:szCs w:val="21"/>
          <w:highlight w:val="none"/>
          <w:u w:val="single"/>
        </w:rPr>
        <w:t>《中华人民共和国民法典》、《中华人民共和国建筑法》、《中华人民共和国招标投标法》、《建设工程质量管理条例》、《建设工程安全生产管理条例》等国家及工程所在地现行有效的法律法规和规章</w:t>
      </w:r>
      <w:r>
        <w:rPr>
          <w:rFonts w:hint="eastAsia" w:ascii="宋体" w:hAnsi="宋体" w:cs="宋体"/>
          <w:color w:val="000000"/>
          <w:szCs w:val="21"/>
          <w:highlight w:val="none"/>
          <w:u w:val="none"/>
          <w:lang w:eastAsia="zh-CN"/>
        </w:rPr>
        <w:t>。</w:t>
      </w:r>
    </w:p>
    <w:p w14:paraId="2E3CF4FF">
      <w:pPr>
        <w:snapToGrid w:val="0"/>
        <w:spacing w:line="440" w:lineRule="exact"/>
        <w:ind w:firstLine="420" w:firstLineChars="200"/>
        <w:rPr>
          <w:rFonts w:hint="eastAsia" w:ascii="宋体" w:cs="宋体"/>
          <w:szCs w:val="21"/>
        </w:rPr>
      </w:pPr>
      <w:r>
        <w:rPr>
          <w:rFonts w:hint="eastAsia" w:ascii="宋体" w:cs="宋体"/>
          <w:szCs w:val="21"/>
        </w:rPr>
        <w:t>1.4 标准和规范</w:t>
      </w:r>
    </w:p>
    <w:p w14:paraId="2A881762">
      <w:pPr>
        <w:snapToGrid w:val="0"/>
        <w:spacing w:line="440" w:lineRule="exact"/>
        <w:ind w:firstLine="420" w:firstLineChars="200"/>
        <w:rPr>
          <w:rFonts w:hint="eastAsia" w:ascii="宋体" w:cs="宋体"/>
          <w:szCs w:val="21"/>
        </w:rPr>
      </w:pPr>
      <w:r>
        <w:rPr>
          <w:rFonts w:hint="eastAsia" w:ascii="宋体" w:cs="宋体"/>
          <w:szCs w:val="21"/>
        </w:rPr>
        <w:t>1.4.1适用于工程的标准规范包括：</w:t>
      </w:r>
      <w:r>
        <w:rPr>
          <w:rFonts w:hint="eastAsia" w:ascii="宋体" w:cs="宋体"/>
          <w:szCs w:val="21"/>
          <w:u w:val="single"/>
        </w:rPr>
        <w:t>中华人民共和国住房和城乡建设部等部门及省、市发布的有关文件</w:t>
      </w:r>
      <w:r>
        <w:rPr>
          <w:rFonts w:hint="eastAsia" w:ascii="宋体" w:cs="宋体"/>
          <w:szCs w:val="21"/>
        </w:rPr>
        <w:t>。</w:t>
      </w:r>
    </w:p>
    <w:p w14:paraId="17E50D49">
      <w:pPr>
        <w:snapToGrid w:val="0"/>
        <w:spacing w:line="440" w:lineRule="exact"/>
        <w:ind w:firstLine="420" w:firstLineChars="200"/>
        <w:rPr>
          <w:rFonts w:hint="eastAsia" w:ascii="宋体" w:cs="宋体"/>
          <w:kern w:val="0"/>
          <w:szCs w:val="21"/>
        </w:rPr>
      </w:pPr>
      <w:r>
        <w:rPr>
          <w:rFonts w:hint="eastAsia" w:ascii="宋体" w:cs="宋体"/>
          <w:kern w:val="0"/>
          <w:szCs w:val="21"/>
        </w:rPr>
        <w:t>1.4.2 发包人提供国外标准、规范的名称：</w:t>
      </w:r>
      <w:r>
        <w:rPr>
          <w:rFonts w:hint="eastAsia" w:ascii="宋体" w:cs="宋体"/>
          <w:kern w:val="0"/>
          <w:szCs w:val="21"/>
          <w:u w:val="single"/>
        </w:rPr>
        <w:t xml:space="preserve"> </w:t>
      </w:r>
      <w:r>
        <w:rPr>
          <w:rFonts w:hint="eastAsia" w:ascii="宋体" w:cs="宋体"/>
          <w:szCs w:val="21"/>
          <w:u w:val="single"/>
        </w:rPr>
        <w:t>承包人自备国内现行适用的标准、规范</w:t>
      </w:r>
      <w:r>
        <w:rPr>
          <w:rFonts w:hint="eastAsia" w:ascii="宋体" w:cs="宋体"/>
          <w:kern w:val="0"/>
          <w:szCs w:val="21"/>
          <w:u w:val="single"/>
        </w:rPr>
        <w:t xml:space="preserve"> </w:t>
      </w:r>
      <w:r>
        <w:rPr>
          <w:rFonts w:hint="eastAsia" w:ascii="宋体" w:cs="宋体"/>
          <w:kern w:val="0"/>
          <w:szCs w:val="21"/>
        </w:rPr>
        <w:t>；</w:t>
      </w:r>
    </w:p>
    <w:p w14:paraId="5628EBE8">
      <w:pPr>
        <w:snapToGrid w:val="0"/>
        <w:spacing w:line="440" w:lineRule="exact"/>
        <w:ind w:firstLine="420" w:firstLineChars="200"/>
        <w:rPr>
          <w:rFonts w:hint="eastAsia" w:ascii="宋体" w:cs="宋体"/>
          <w:kern w:val="0"/>
          <w:szCs w:val="21"/>
        </w:rPr>
      </w:pPr>
      <w:r>
        <w:rPr>
          <w:rFonts w:hint="eastAsia" w:ascii="宋体" w:cs="宋体"/>
          <w:kern w:val="0"/>
          <w:szCs w:val="21"/>
        </w:rPr>
        <w:t>发包人提供国外标准、规范的份数：</w:t>
      </w:r>
      <w:r>
        <w:rPr>
          <w:rFonts w:hint="eastAsia" w:ascii="宋体" w:cs="宋体"/>
          <w:kern w:val="0"/>
          <w:szCs w:val="21"/>
          <w:u w:val="single"/>
        </w:rPr>
        <w:t xml:space="preserve">   无   </w:t>
      </w:r>
      <w:r>
        <w:rPr>
          <w:rFonts w:hint="eastAsia" w:ascii="宋体" w:cs="宋体"/>
          <w:kern w:val="0"/>
          <w:szCs w:val="21"/>
        </w:rPr>
        <w:t>；</w:t>
      </w:r>
    </w:p>
    <w:p w14:paraId="51E7E4F3">
      <w:pPr>
        <w:snapToGrid w:val="0"/>
        <w:spacing w:line="440" w:lineRule="exact"/>
        <w:ind w:firstLine="420" w:firstLineChars="200"/>
        <w:rPr>
          <w:rFonts w:hint="eastAsia" w:ascii="宋体" w:cs="宋体"/>
          <w:szCs w:val="21"/>
        </w:rPr>
      </w:pPr>
      <w:r>
        <w:rPr>
          <w:rFonts w:hint="eastAsia" w:ascii="宋体" w:cs="宋体"/>
          <w:kern w:val="0"/>
          <w:szCs w:val="21"/>
        </w:rPr>
        <w:t>发包人提供国外标准、规范的名称：</w:t>
      </w:r>
      <w:r>
        <w:rPr>
          <w:rFonts w:hint="eastAsia" w:ascii="宋体" w:cs="宋体"/>
          <w:kern w:val="0"/>
          <w:szCs w:val="21"/>
          <w:u w:val="single"/>
        </w:rPr>
        <w:t xml:space="preserve">   无   </w:t>
      </w:r>
      <w:r>
        <w:rPr>
          <w:rFonts w:hint="eastAsia" w:ascii="宋体" w:cs="宋体"/>
          <w:kern w:val="0"/>
          <w:szCs w:val="21"/>
        </w:rPr>
        <w:t>。</w:t>
      </w:r>
    </w:p>
    <w:p w14:paraId="111A04CD">
      <w:pPr>
        <w:snapToGrid w:val="0"/>
        <w:spacing w:line="440" w:lineRule="exact"/>
        <w:ind w:firstLine="420" w:firstLineChars="200"/>
        <w:rPr>
          <w:rFonts w:hint="eastAsia" w:ascii="宋体" w:cs="宋体"/>
          <w:szCs w:val="21"/>
        </w:rPr>
      </w:pPr>
      <w:r>
        <w:rPr>
          <w:rFonts w:hint="eastAsia" w:ascii="宋体" w:cs="宋体"/>
          <w:szCs w:val="21"/>
        </w:rPr>
        <w:t>1.4.3发包人对工程的技术标准和功能要求的特殊要求：</w:t>
      </w:r>
      <w:r>
        <w:rPr>
          <w:rFonts w:hint="eastAsia" w:ascii="宋体" w:cs="宋体"/>
          <w:szCs w:val="21"/>
          <w:u w:val="single"/>
        </w:rPr>
        <w:t xml:space="preserve">按现行规范执行  </w:t>
      </w:r>
      <w:r>
        <w:rPr>
          <w:rFonts w:hint="eastAsia" w:ascii="宋体" w:cs="宋体"/>
          <w:szCs w:val="21"/>
        </w:rPr>
        <w:t>。</w:t>
      </w:r>
    </w:p>
    <w:p w14:paraId="55F86147">
      <w:pPr>
        <w:snapToGrid w:val="0"/>
        <w:spacing w:line="440" w:lineRule="exact"/>
        <w:ind w:firstLine="420" w:firstLineChars="200"/>
        <w:rPr>
          <w:rFonts w:hint="eastAsia" w:ascii="宋体" w:cs="宋体"/>
          <w:szCs w:val="21"/>
        </w:rPr>
      </w:pPr>
      <w:r>
        <w:rPr>
          <w:rFonts w:hint="eastAsia" w:ascii="宋体" w:cs="宋体"/>
          <w:szCs w:val="21"/>
        </w:rPr>
        <w:t>1.5 合同文件的优先顺序</w:t>
      </w:r>
    </w:p>
    <w:p w14:paraId="07F18978">
      <w:pPr>
        <w:snapToGrid w:val="0"/>
        <w:spacing w:line="440" w:lineRule="exact"/>
        <w:ind w:firstLine="420" w:firstLineChars="200"/>
      </w:pPr>
      <w:r>
        <w:rPr>
          <w:rFonts w:hint="eastAsia" w:ascii="宋体" w:cs="宋体"/>
          <w:szCs w:val="21"/>
        </w:rPr>
        <w:t>合同文件组成及优先顺序为：</w:t>
      </w:r>
      <w:r>
        <w:rPr>
          <w:rFonts w:hint="eastAsia" w:ascii="宋体" w:cs="宋体"/>
          <w:szCs w:val="21"/>
          <w:u w:val="single"/>
        </w:rPr>
        <w:t>（1）合同协议书；（2）中</w:t>
      </w:r>
      <w:r>
        <w:rPr>
          <w:rFonts w:hint="eastAsia" w:ascii="宋体" w:cs="宋体"/>
          <w:szCs w:val="21"/>
          <w:u w:val="single"/>
          <w:lang w:val="en-US" w:eastAsia="zh-CN"/>
        </w:rPr>
        <w:t>标</w:t>
      </w:r>
      <w:r>
        <w:rPr>
          <w:rFonts w:hint="eastAsia" w:ascii="宋体" w:cs="宋体"/>
          <w:szCs w:val="21"/>
          <w:u w:val="single"/>
        </w:rPr>
        <w:t>通知书；（3）确认函及其附录；（4）招标文件；（5）专用合同条款及其附件；（6）通用合同条款；（7）技术标准和要求；（8）图纸；（9）已标价工程量清单或预算书；（10）其他合同文件。</w:t>
      </w:r>
    </w:p>
    <w:p w14:paraId="2514E7E6">
      <w:pPr>
        <w:pStyle w:val="14"/>
        <w:spacing w:after="0" w:line="440" w:lineRule="exact"/>
        <w:ind w:left="0" w:leftChars="0"/>
      </w:pPr>
      <w:r>
        <w:t>上述各项合同文件包括合同当事人就该项合同文件所作出的补充和修改，属于同一类内容的文件，应以最新签署的为准。</w:t>
      </w:r>
    </w:p>
    <w:p w14:paraId="3FF7D5E3">
      <w:pPr>
        <w:pStyle w:val="14"/>
        <w:spacing w:after="0" w:line="440" w:lineRule="exact"/>
        <w:ind w:left="0" w:leftChars="0"/>
      </w:pPr>
      <w:r>
        <w:t>在合同订立及履行过程中形成的与合同有关的文件均构成合同文件组成部分，并根据其性质确定优先解释顺序。</w:t>
      </w:r>
    </w:p>
    <w:p w14:paraId="6CE4F3DC">
      <w:pPr>
        <w:snapToGrid w:val="0"/>
        <w:spacing w:line="440" w:lineRule="exact"/>
        <w:ind w:firstLine="420" w:firstLineChars="200"/>
        <w:rPr>
          <w:rFonts w:hint="eastAsia" w:ascii="宋体" w:cs="宋体"/>
          <w:szCs w:val="21"/>
        </w:rPr>
      </w:pPr>
      <w:r>
        <w:rPr>
          <w:rFonts w:hint="eastAsia" w:ascii="宋体" w:cs="宋体"/>
          <w:szCs w:val="21"/>
        </w:rPr>
        <w:t>1.6 图纸和承包人文件</w:t>
      </w:r>
      <w:r>
        <w:rPr>
          <w:rFonts w:hint="eastAsia" w:ascii="宋体" w:cs="宋体"/>
          <w:szCs w:val="21"/>
        </w:rPr>
        <w:tab/>
      </w:r>
    </w:p>
    <w:p w14:paraId="49AE4B8A">
      <w:pPr>
        <w:snapToGrid w:val="0"/>
        <w:spacing w:line="440" w:lineRule="exact"/>
        <w:ind w:firstLine="420" w:firstLineChars="200"/>
        <w:rPr>
          <w:rFonts w:hint="eastAsia" w:ascii="宋体" w:cs="宋体"/>
          <w:szCs w:val="21"/>
        </w:rPr>
      </w:pPr>
      <w:r>
        <w:rPr>
          <w:rFonts w:hint="eastAsia" w:ascii="宋体" w:cs="宋体"/>
          <w:szCs w:val="21"/>
        </w:rPr>
        <w:t>1.6.1 图纸的提供</w:t>
      </w:r>
    </w:p>
    <w:p w14:paraId="4006C2E0">
      <w:pPr>
        <w:snapToGrid w:val="0"/>
        <w:spacing w:line="440" w:lineRule="exact"/>
        <w:ind w:firstLine="420" w:firstLineChars="200"/>
        <w:rPr>
          <w:rFonts w:hint="eastAsia" w:ascii="宋体" w:cs="宋体"/>
          <w:szCs w:val="21"/>
        </w:rPr>
      </w:pPr>
      <w:r>
        <w:rPr>
          <w:rFonts w:hint="eastAsia" w:ascii="宋体" w:cs="宋体"/>
          <w:szCs w:val="21"/>
        </w:rPr>
        <w:t>发包人向承包人提供图纸的期限：</w:t>
      </w:r>
      <w:r>
        <w:rPr>
          <w:rFonts w:hint="eastAsia" w:ascii="宋体" w:cs="宋体"/>
          <w:szCs w:val="21"/>
          <w:u w:val="single"/>
        </w:rPr>
        <w:t xml:space="preserve"> 开工前</w:t>
      </w:r>
      <w:r>
        <w:rPr>
          <w:rFonts w:hint="eastAsia" w:ascii="宋体" w:cs="宋体"/>
          <w:szCs w:val="21"/>
          <w:u w:val="single"/>
          <w:lang w:val="en-US" w:eastAsia="zh-CN"/>
        </w:rPr>
        <w:t>14</w:t>
      </w:r>
      <w:r>
        <w:rPr>
          <w:rFonts w:hint="eastAsia" w:ascii="宋体" w:cs="宋体"/>
          <w:szCs w:val="21"/>
          <w:u w:val="single"/>
        </w:rPr>
        <w:t>天</w:t>
      </w:r>
      <w:r>
        <w:rPr>
          <w:rFonts w:hint="eastAsia" w:ascii="宋体" w:cs="宋体"/>
          <w:szCs w:val="21"/>
        </w:rPr>
        <w:t>；</w:t>
      </w:r>
    </w:p>
    <w:p w14:paraId="0DB10BD2">
      <w:pPr>
        <w:snapToGrid w:val="0"/>
        <w:spacing w:line="440" w:lineRule="exact"/>
        <w:ind w:firstLine="420" w:firstLineChars="200"/>
        <w:rPr>
          <w:rFonts w:hint="eastAsia" w:ascii="宋体" w:cs="宋体"/>
          <w:szCs w:val="21"/>
        </w:rPr>
      </w:pPr>
      <w:r>
        <w:rPr>
          <w:rFonts w:hint="eastAsia" w:ascii="宋体" w:cs="宋体"/>
          <w:szCs w:val="21"/>
        </w:rPr>
        <w:t>发包人向承包人提供图纸的数量：</w:t>
      </w:r>
      <w:r>
        <w:rPr>
          <w:rFonts w:hint="eastAsia" w:ascii="宋体" w:cs="宋体"/>
          <w:szCs w:val="21"/>
          <w:u w:val="single"/>
        </w:rPr>
        <w:t>3份</w:t>
      </w:r>
      <w:r>
        <w:rPr>
          <w:rFonts w:hint="eastAsia" w:ascii="宋体" w:cs="宋体"/>
          <w:szCs w:val="21"/>
          <w:u w:val="single"/>
          <w:lang w:eastAsia="zh-CN"/>
        </w:rPr>
        <w:t>，</w:t>
      </w:r>
      <w:r>
        <w:rPr>
          <w:rFonts w:hint="eastAsia" w:ascii="宋体" w:hAnsi="宋体" w:cs="宋体"/>
          <w:color w:val="000000"/>
          <w:szCs w:val="21"/>
          <w:u w:val="single"/>
        </w:rPr>
        <w:t>不足的由承包人自行复制，费用自理</w:t>
      </w:r>
      <w:r>
        <w:rPr>
          <w:rFonts w:hint="eastAsia" w:ascii="宋体" w:cs="宋体"/>
          <w:szCs w:val="21"/>
          <w:u w:val="single"/>
        </w:rPr>
        <w:t xml:space="preserve"> </w:t>
      </w:r>
      <w:r>
        <w:rPr>
          <w:rFonts w:hint="eastAsia" w:ascii="宋体" w:cs="宋体"/>
          <w:szCs w:val="21"/>
        </w:rPr>
        <w:t>；</w:t>
      </w:r>
    </w:p>
    <w:p w14:paraId="6F027253">
      <w:pPr>
        <w:snapToGrid w:val="0"/>
        <w:spacing w:line="440" w:lineRule="exact"/>
        <w:ind w:firstLine="420" w:firstLineChars="200"/>
        <w:rPr>
          <w:rFonts w:hint="eastAsia" w:ascii="宋体" w:cs="宋体"/>
          <w:szCs w:val="21"/>
        </w:rPr>
      </w:pPr>
      <w:r>
        <w:rPr>
          <w:rFonts w:hint="eastAsia" w:ascii="宋体" w:cs="宋体"/>
          <w:szCs w:val="21"/>
        </w:rPr>
        <w:t>发包人向承包人提供图纸的内容：</w:t>
      </w:r>
      <w:r>
        <w:rPr>
          <w:rFonts w:hint="eastAsia" w:ascii="宋体" w:cs="宋体"/>
          <w:szCs w:val="21"/>
          <w:u w:val="single"/>
        </w:rPr>
        <w:t>全套施工图 </w:t>
      </w:r>
      <w:r>
        <w:rPr>
          <w:rFonts w:hint="eastAsia" w:ascii="宋体" w:cs="宋体"/>
          <w:szCs w:val="21"/>
        </w:rPr>
        <w:t>。</w:t>
      </w:r>
    </w:p>
    <w:p w14:paraId="0FFF32E7">
      <w:pPr>
        <w:snapToGrid w:val="0"/>
        <w:spacing w:line="440" w:lineRule="exact"/>
        <w:ind w:firstLine="420" w:firstLineChars="200"/>
        <w:rPr>
          <w:rFonts w:hint="eastAsia" w:ascii="宋体" w:cs="宋体"/>
          <w:szCs w:val="21"/>
        </w:rPr>
      </w:pPr>
      <w:r>
        <w:rPr>
          <w:rFonts w:hint="eastAsia" w:ascii="宋体" w:cs="宋体"/>
          <w:szCs w:val="21"/>
        </w:rPr>
        <w:t>1.6.4 承包人文件</w:t>
      </w:r>
    </w:p>
    <w:p w14:paraId="4D3450EB">
      <w:pPr>
        <w:snapToGrid w:val="0"/>
        <w:spacing w:line="440" w:lineRule="exact"/>
        <w:ind w:firstLine="420" w:firstLineChars="200"/>
        <w:jc w:val="left"/>
        <w:rPr>
          <w:rFonts w:hint="eastAsia" w:ascii="宋体" w:cs="宋体"/>
          <w:szCs w:val="21"/>
          <w:u w:val="single"/>
        </w:rPr>
      </w:pPr>
      <w:r>
        <w:rPr>
          <w:rFonts w:hint="eastAsia" w:ascii="宋体" w:cs="宋体"/>
          <w:szCs w:val="21"/>
        </w:rPr>
        <w:t>需要由承包人提供的文件，包括：</w:t>
      </w:r>
      <w:r>
        <w:rPr>
          <w:rFonts w:hint="eastAsia" w:ascii="宋体" w:cs="宋体"/>
          <w:szCs w:val="21"/>
          <w:u w:val="single"/>
        </w:rPr>
        <w:t></w:t>
      </w:r>
      <w:r>
        <w:rPr>
          <w:rFonts w:hint="eastAsia" w:ascii="宋体" w:hAnsi="宋体" w:eastAsia="宋体" w:cs="宋体"/>
          <w:color w:val="auto"/>
          <w:szCs w:val="21"/>
          <w:highlight w:val="none"/>
          <w:u w:val="single"/>
        </w:rPr>
        <w:t>按监理要求执行，包括但不限于项目部人员证书、项目部任命文、实施性施工组织设计等</w:t>
      </w:r>
      <w:r>
        <w:rPr>
          <w:rFonts w:hint="eastAsia" w:ascii="宋体" w:cs="宋体"/>
          <w:szCs w:val="21"/>
          <w:u w:val="single"/>
        </w:rPr>
        <w:t xml:space="preserve">  </w:t>
      </w:r>
      <w:r>
        <w:rPr>
          <w:rFonts w:hint="eastAsia" w:ascii="宋体" w:cs="宋体"/>
          <w:szCs w:val="21"/>
        </w:rPr>
        <w:t>；</w:t>
      </w:r>
    </w:p>
    <w:p w14:paraId="7F094FB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承包人提供的文件的期限为：</w:t>
      </w:r>
      <w:r>
        <w:rPr>
          <w:rFonts w:hint="eastAsia" w:ascii="宋体" w:cs="宋体"/>
          <w:szCs w:val="21"/>
          <w:highlight w:val="none"/>
          <w:u w:val="single"/>
        </w:rPr>
        <w:t xml:space="preserve">按监理要求执行    </w:t>
      </w:r>
      <w:r>
        <w:rPr>
          <w:rFonts w:hint="eastAsia" w:ascii="宋体" w:cs="宋体"/>
          <w:szCs w:val="21"/>
          <w:highlight w:val="none"/>
        </w:rPr>
        <w:t>；</w:t>
      </w:r>
    </w:p>
    <w:p w14:paraId="4FDFFB2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承包人提供的文件的数量为：</w:t>
      </w:r>
      <w:r>
        <w:rPr>
          <w:rFonts w:hint="eastAsia" w:ascii="宋体" w:cs="宋体"/>
          <w:szCs w:val="21"/>
          <w:highlight w:val="none"/>
          <w:u w:val="single"/>
        </w:rPr>
        <w:t>  按</w:t>
      </w:r>
      <w:r>
        <w:rPr>
          <w:rFonts w:hint="eastAsia" w:ascii="宋体" w:hAnsi="Times New Roman" w:eastAsia="宋体" w:cs="宋体"/>
          <w:szCs w:val="21"/>
          <w:highlight w:val="none"/>
          <w:u w:val="single"/>
        </w:rPr>
        <w:t>监理</w:t>
      </w:r>
      <w:r>
        <w:rPr>
          <w:rFonts w:hint="eastAsia" w:ascii="宋体" w:cs="宋体"/>
          <w:szCs w:val="21"/>
          <w:highlight w:val="none"/>
          <w:u w:val="single"/>
        </w:rPr>
        <w:t xml:space="preserve">要求执行    </w:t>
      </w:r>
      <w:r>
        <w:rPr>
          <w:rFonts w:hint="eastAsia" w:ascii="宋体" w:cs="宋体"/>
          <w:szCs w:val="21"/>
          <w:highlight w:val="none"/>
        </w:rPr>
        <w:t>；</w:t>
      </w:r>
    </w:p>
    <w:p w14:paraId="0D7ADC3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承包人提供的文件的形式为：</w:t>
      </w:r>
      <w:r>
        <w:rPr>
          <w:rFonts w:hint="eastAsia" w:ascii="宋体" w:cs="宋体"/>
          <w:szCs w:val="21"/>
          <w:highlight w:val="none"/>
          <w:u w:val="single"/>
        </w:rPr>
        <w:t>按</w:t>
      </w:r>
      <w:r>
        <w:rPr>
          <w:rFonts w:hint="eastAsia" w:ascii="宋体" w:hAnsi="Times New Roman" w:eastAsia="宋体" w:cs="宋体"/>
          <w:szCs w:val="21"/>
          <w:highlight w:val="none"/>
          <w:u w:val="single"/>
        </w:rPr>
        <w:t>监理</w:t>
      </w:r>
      <w:r>
        <w:rPr>
          <w:rFonts w:hint="eastAsia" w:ascii="宋体" w:cs="宋体"/>
          <w:szCs w:val="21"/>
          <w:highlight w:val="none"/>
          <w:u w:val="single"/>
        </w:rPr>
        <w:t>要求执行  </w:t>
      </w:r>
      <w:r>
        <w:rPr>
          <w:rFonts w:hint="eastAsia" w:ascii="宋体" w:cs="宋体"/>
          <w:szCs w:val="21"/>
          <w:highlight w:val="none"/>
        </w:rPr>
        <w:t>；</w:t>
      </w:r>
    </w:p>
    <w:p w14:paraId="46811BD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发包人审批承包人文件的期限：</w:t>
      </w:r>
      <w:r>
        <w:rPr>
          <w:rFonts w:hint="eastAsia" w:ascii="宋体" w:cs="宋体"/>
          <w:szCs w:val="21"/>
          <w:highlight w:val="none"/>
          <w:u w:val="single"/>
        </w:rPr>
        <w:t></w:t>
      </w:r>
      <w:r>
        <w:rPr>
          <w:rFonts w:ascii="宋体" w:hAnsi="宋体" w:eastAsia="宋体" w:cs="宋体"/>
          <w:spacing w:val="-1"/>
          <w:sz w:val="21"/>
          <w:szCs w:val="21"/>
          <w:highlight w:val="none"/>
          <w:u w:val="single" w:color="auto"/>
        </w:rPr>
        <w:t>收到文件后七日内</w:t>
      </w:r>
      <w:r>
        <w:rPr>
          <w:rFonts w:hint="eastAsia" w:ascii="宋体" w:cs="宋体"/>
          <w:szCs w:val="21"/>
          <w:highlight w:val="none"/>
          <w:u w:val="single"/>
        </w:rPr>
        <w:t xml:space="preserve"> </w:t>
      </w:r>
      <w:r>
        <w:rPr>
          <w:rFonts w:hint="eastAsia" w:ascii="宋体" w:cs="宋体"/>
          <w:szCs w:val="21"/>
          <w:highlight w:val="none"/>
        </w:rPr>
        <w:t>。</w:t>
      </w:r>
    </w:p>
    <w:p w14:paraId="459C45CB">
      <w:pPr>
        <w:snapToGrid w:val="0"/>
        <w:spacing w:line="440" w:lineRule="exact"/>
        <w:ind w:firstLine="420" w:firstLineChars="200"/>
        <w:rPr>
          <w:rFonts w:hint="eastAsia" w:ascii="宋体" w:cs="宋体"/>
          <w:szCs w:val="21"/>
        </w:rPr>
      </w:pPr>
      <w:r>
        <w:rPr>
          <w:rFonts w:hint="eastAsia" w:ascii="宋体" w:cs="宋体"/>
          <w:szCs w:val="21"/>
        </w:rPr>
        <w:t>1.6.5 图纸和承包人文件的保管</w:t>
      </w:r>
    </w:p>
    <w:p w14:paraId="31BDD3BA">
      <w:pPr>
        <w:snapToGrid w:val="0"/>
        <w:spacing w:line="440" w:lineRule="exact"/>
        <w:ind w:firstLine="420" w:firstLineChars="200"/>
        <w:rPr>
          <w:rFonts w:hint="eastAsia" w:ascii="宋体" w:cs="宋体"/>
          <w:szCs w:val="21"/>
          <w:highlight w:val="none"/>
        </w:rPr>
      </w:pPr>
      <w:r>
        <w:rPr>
          <w:rFonts w:hint="eastAsia" w:ascii="宋体" w:cs="宋体"/>
          <w:szCs w:val="21"/>
        </w:rPr>
        <w:t>关于图纸和承包人文件的保管的约定：</w:t>
      </w:r>
      <w:r>
        <w:rPr>
          <w:rFonts w:hint="eastAsia" w:ascii="宋体" w:cs="宋体"/>
          <w:szCs w:val="21"/>
          <w:u w:val="single"/>
        </w:rPr>
        <w:t>除专用合同条款另有约定外，承包人应在施工现场另外</w:t>
      </w:r>
      <w:r>
        <w:rPr>
          <w:rFonts w:hint="eastAsia" w:ascii="宋体" w:cs="宋体"/>
          <w:szCs w:val="21"/>
          <w:highlight w:val="none"/>
          <w:u w:val="single"/>
        </w:rPr>
        <w:t>保存一套完整的图纸和承包人文件，供发包人、</w:t>
      </w:r>
      <w:r>
        <w:rPr>
          <w:rFonts w:hint="eastAsia" w:ascii="宋体" w:hAnsi="Times New Roman" w:eastAsia="宋体" w:cs="宋体"/>
          <w:szCs w:val="21"/>
          <w:highlight w:val="none"/>
          <w:u w:val="single"/>
        </w:rPr>
        <w:t>监理人</w:t>
      </w:r>
      <w:r>
        <w:rPr>
          <w:rFonts w:hint="eastAsia" w:ascii="宋体" w:cs="宋体"/>
          <w:szCs w:val="21"/>
          <w:highlight w:val="none"/>
          <w:u w:val="single"/>
        </w:rPr>
        <w:t>及有关人员进行工程检查时使用</w:t>
      </w:r>
      <w:r>
        <w:rPr>
          <w:rFonts w:hint="eastAsia" w:ascii="宋体" w:cs="宋体"/>
          <w:szCs w:val="21"/>
          <w:highlight w:val="none"/>
        </w:rPr>
        <w:t>。</w:t>
      </w:r>
    </w:p>
    <w:p w14:paraId="1B98A67A">
      <w:pPr>
        <w:snapToGrid w:val="0"/>
        <w:spacing w:line="440" w:lineRule="exact"/>
        <w:ind w:firstLine="420" w:firstLineChars="200"/>
        <w:rPr>
          <w:rFonts w:hint="eastAsia" w:ascii="宋体" w:cs="宋体"/>
          <w:szCs w:val="21"/>
        </w:rPr>
      </w:pPr>
      <w:r>
        <w:rPr>
          <w:rFonts w:hint="eastAsia" w:ascii="宋体" w:cs="宋体"/>
          <w:szCs w:val="21"/>
        </w:rPr>
        <w:t>1.7 联络</w:t>
      </w:r>
    </w:p>
    <w:p w14:paraId="5082B600">
      <w:pPr>
        <w:snapToGrid w:val="0"/>
        <w:spacing w:line="440" w:lineRule="exact"/>
        <w:ind w:firstLine="420" w:firstLineChars="200"/>
        <w:jc w:val="left"/>
        <w:rPr>
          <w:rFonts w:hint="eastAsia" w:ascii="宋体" w:cs="宋体"/>
          <w:kern w:val="0"/>
          <w:szCs w:val="21"/>
        </w:rPr>
      </w:pPr>
      <w:r>
        <w:rPr>
          <w:rFonts w:hint="eastAsia" w:ascii="宋体" w:cs="宋体"/>
          <w:kern w:val="0"/>
          <w:szCs w:val="21"/>
        </w:rPr>
        <w:t>1.7.1发包人和承包人应当在</w:t>
      </w:r>
      <w:r>
        <w:rPr>
          <w:rFonts w:hint="eastAsia" w:ascii="宋体" w:cs="宋体"/>
          <w:szCs w:val="21"/>
          <w:u w:val="single"/>
        </w:rPr>
        <w:t xml:space="preserve">7  </w:t>
      </w:r>
      <w:r>
        <w:rPr>
          <w:rFonts w:hint="eastAsia" w:ascii="宋体" w:cs="宋体"/>
          <w:kern w:val="0"/>
          <w:szCs w:val="21"/>
        </w:rPr>
        <w:t>天内将与合同有关的通知、批准、证明、证书、指示、指令、要求、请求、同意、意见、确定和决定等书面函件送达对方当事人。</w:t>
      </w:r>
    </w:p>
    <w:p w14:paraId="49589ADB">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1.7.2 发包人接收文件的地点：</w:t>
      </w:r>
      <w:r>
        <w:rPr>
          <w:rFonts w:hint="eastAsia" w:ascii="宋体" w:cs="宋体"/>
          <w:szCs w:val="21"/>
          <w:highlight w:val="none"/>
          <w:u w:val="single"/>
        </w:rPr>
        <w:t></w:t>
      </w:r>
      <w:r>
        <w:rPr>
          <w:rFonts w:hint="eastAsia"/>
          <w:color w:val="auto"/>
          <w:highlight w:val="none"/>
          <w:u w:val="single"/>
        </w:rPr>
        <w:t>安徽省滁州市来安经济开发区裕安西路188号</w:t>
      </w:r>
      <w:r>
        <w:rPr>
          <w:rFonts w:hint="eastAsia" w:ascii="宋体" w:cs="宋体"/>
          <w:szCs w:val="21"/>
          <w:highlight w:val="none"/>
          <w:u w:val="single"/>
        </w:rPr>
        <w:t></w:t>
      </w:r>
      <w:r>
        <w:rPr>
          <w:rFonts w:hint="eastAsia" w:ascii="宋体" w:cs="宋体"/>
          <w:kern w:val="0"/>
          <w:szCs w:val="21"/>
          <w:highlight w:val="none"/>
        </w:rPr>
        <w:t>；</w:t>
      </w:r>
    </w:p>
    <w:p w14:paraId="7F9F8532">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发包人指定的接收人为：</w:t>
      </w:r>
      <w:r>
        <w:rPr>
          <w:rFonts w:hint="eastAsia" w:ascii="宋体" w:cs="宋体"/>
          <w:szCs w:val="21"/>
          <w:highlight w:val="none"/>
          <w:u w:val="single"/>
        </w:rPr>
        <w:t>发包人代表</w:t>
      </w:r>
      <w:r>
        <w:rPr>
          <w:rFonts w:hint="eastAsia" w:ascii="宋体" w:cs="宋体"/>
          <w:kern w:val="0"/>
          <w:szCs w:val="21"/>
          <w:highlight w:val="none"/>
        </w:rPr>
        <w:t>；</w:t>
      </w:r>
    </w:p>
    <w:p w14:paraId="1AB726B2">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承包人接收文件的地点：</w:t>
      </w:r>
      <w:r>
        <w:rPr>
          <w:rFonts w:hint="eastAsia" w:ascii="宋体" w:cs="宋体"/>
          <w:szCs w:val="21"/>
          <w:highlight w:val="none"/>
          <w:u w:val="single"/>
        </w:rPr>
        <w:t></w:t>
      </w:r>
      <w:r>
        <w:rPr>
          <w:rFonts w:hint="eastAsia"/>
          <w:color w:val="auto"/>
          <w:highlight w:val="none"/>
          <w:u w:val="single"/>
        </w:rPr>
        <w:t>项目所在地承包人项目部</w:t>
      </w:r>
      <w:r>
        <w:rPr>
          <w:rFonts w:hint="eastAsia" w:ascii="宋体" w:cs="宋体"/>
          <w:szCs w:val="21"/>
          <w:highlight w:val="none"/>
          <w:u w:val="single"/>
        </w:rPr>
        <w:t></w:t>
      </w:r>
      <w:r>
        <w:rPr>
          <w:rFonts w:hint="eastAsia" w:ascii="宋体" w:cs="宋体"/>
          <w:kern w:val="0"/>
          <w:szCs w:val="21"/>
          <w:highlight w:val="none"/>
        </w:rPr>
        <w:t>；</w:t>
      </w:r>
    </w:p>
    <w:p w14:paraId="07356DA8">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承包人指定的接收人为：</w:t>
      </w:r>
      <w:r>
        <w:rPr>
          <w:rFonts w:hint="eastAsia" w:ascii="宋体" w:cs="宋体"/>
          <w:szCs w:val="21"/>
          <w:highlight w:val="none"/>
          <w:u w:val="single"/>
        </w:rPr>
        <w:t>项目负责人</w:t>
      </w:r>
      <w:r>
        <w:rPr>
          <w:rFonts w:hint="eastAsia" w:ascii="宋体" w:cs="宋体"/>
          <w:kern w:val="0"/>
          <w:szCs w:val="21"/>
          <w:highlight w:val="none"/>
        </w:rPr>
        <w:t>。</w:t>
      </w:r>
    </w:p>
    <w:p w14:paraId="4C410AE1">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监理人接收文件的地点：</w:t>
      </w:r>
      <w:r>
        <w:rPr>
          <w:rFonts w:hint="eastAsia" w:ascii="宋体" w:cs="宋体"/>
          <w:szCs w:val="21"/>
          <w:highlight w:val="none"/>
          <w:u w:val="single"/>
        </w:rPr>
        <w:t xml:space="preserve"> </w:t>
      </w:r>
      <w:r>
        <w:rPr>
          <w:rFonts w:hint="eastAsia"/>
          <w:color w:val="auto"/>
          <w:highlight w:val="none"/>
          <w:u w:val="single"/>
        </w:rPr>
        <w:t>项目所在地监理人</w:t>
      </w:r>
      <w:r>
        <w:rPr>
          <w:rFonts w:hint="eastAsia"/>
          <w:color w:val="auto"/>
          <w:highlight w:val="none"/>
          <w:u w:val="single"/>
          <w:lang w:eastAsia="zh-CN"/>
        </w:rPr>
        <w:t>办公处</w:t>
      </w:r>
      <w:r>
        <w:rPr>
          <w:rFonts w:hint="eastAsia" w:ascii="宋体" w:cs="宋体"/>
          <w:szCs w:val="21"/>
          <w:highlight w:val="none"/>
          <w:u w:val="single"/>
        </w:rPr>
        <w:t></w:t>
      </w:r>
      <w:r>
        <w:rPr>
          <w:rFonts w:hint="eastAsia" w:ascii="宋体" w:cs="宋体"/>
          <w:kern w:val="0"/>
          <w:szCs w:val="21"/>
          <w:highlight w:val="none"/>
        </w:rPr>
        <w:t>；</w:t>
      </w:r>
    </w:p>
    <w:p w14:paraId="3E8F5999">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监理人指定的接收人为：</w:t>
      </w:r>
      <w:r>
        <w:rPr>
          <w:rFonts w:hint="eastAsia" w:ascii="宋体" w:cs="宋体"/>
          <w:szCs w:val="21"/>
          <w:highlight w:val="none"/>
          <w:u w:val="single"/>
        </w:rPr>
        <w:t></w:t>
      </w:r>
      <w:r>
        <w:rPr>
          <w:rFonts w:hint="eastAsia" w:ascii="宋体" w:hAnsi="Times New Roman" w:eastAsia="宋体" w:cs="宋体"/>
          <w:szCs w:val="21"/>
          <w:highlight w:val="none"/>
          <w:u w:val="single"/>
        </w:rPr>
        <w:t xml:space="preserve">总监理工程师或总监代表 </w:t>
      </w:r>
      <w:r>
        <w:rPr>
          <w:rFonts w:hint="eastAsia" w:ascii="宋体" w:cs="宋体"/>
          <w:szCs w:val="21"/>
          <w:highlight w:val="none"/>
          <w:u w:val="single"/>
        </w:rPr>
        <w:t></w:t>
      </w:r>
      <w:r>
        <w:rPr>
          <w:rFonts w:hint="eastAsia" w:ascii="宋体" w:cs="宋体"/>
          <w:kern w:val="0"/>
          <w:szCs w:val="21"/>
          <w:highlight w:val="none"/>
        </w:rPr>
        <w:t>。</w:t>
      </w:r>
    </w:p>
    <w:p w14:paraId="4F9B4DB7">
      <w:pPr>
        <w:snapToGrid w:val="0"/>
        <w:spacing w:line="440" w:lineRule="exact"/>
        <w:ind w:firstLine="420" w:firstLineChars="200"/>
        <w:rPr>
          <w:rFonts w:hint="eastAsia" w:ascii="宋体" w:cs="宋体"/>
          <w:szCs w:val="21"/>
        </w:rPr>
      </w:pPr>
      <w:r>
        <w:rPr>
          <w:rFonts w:hint="eastAsia" w:ascii="宋体" w:cs="宋体"/>
          <w:szCs w:val="21"/>
        </w:rPr>
        <w:t>1.10 交通运输</w:t>
      </w:r>
    </w:p>
    <w:p w14:paraId="617E6E39">
      <w:pPr>
        <w:snapToGrid w:val="0"/>
        <w:spacing w:line="440" w:lineRule="exact"/>
        <w:ind w:firstLine="420" w:firstLineChars="200"/>
        <w:rPr>
          <w:rFonts w:hint="eastAsia" w:ascii="宋体" w:cs="宋体"/>
          <w:szCs w:val="21"/>
        </w:rPr>
      </w:pPr>
      <w:r>
        <w:rPr>
          <w:rFonts w:hint="eastAsia" w:ascii="宋体" w:cs="宋体"/>
          <w:szCs w:val="21"/>
        </w:rPr>
        <w:t>1.10.1 出入现场的权利</w:t>
      </w:r>
    </w:p>
    <w:p w14:paraId="634FADF8">
      <w:pPr>
        <w:snapToGrid w:val="0"/>
        <w:spacing w:line="440" w:lineRule="exact"/>
        <w:ind w:firstLine="420" w:firstLineChars="200"/>
        <w:rPr>
          <w:rFonts w:hint="eastAsia" w:ascii="宋体" w:cs="宋体"/>
          <w:szCs w:val="21"/>
          <w:u w:val="single"/>
        </w:rPr>
      </w:pPr>
      <w:r>
        <w:rPr>
          <w:rFonts w:hint="eastAsia" w:ascii="宋体" w:cs="宋体"/>
          <w:szCs w:val="21"/>
        </w:rPr>
        <w:t>关于出入现场的权利的约定：</w:t>
      </w:r>
      <w:r>
        <w:rPr>
          <w:rFonts w:hint="eastAsia" w:ascii="宋体" w:hAnsi="宋体" w:cs="宋体"/>
          <w:color w:val="auto"/>
          <w:szCs w:val="21"/>
          <w:u w:val="single"/>
          <w:lang w:val="en-US" w:eastAsia="zh-CN"/>
        </w:rPr>
        <w:t>承包人</w:t>
      </w:r>
      <w:r>
        <w:rPr>
          <w:rFonts w:hint="eastAsia" w:ascii="宋体" w:hAnsi="宋体" w:eastAsia="宋体" w:cs="宋体"/>
          <w:color w:val="auto"/>
          <w:szCs w:val="21"/>
          <w:highlight w:val="none"/>
          <w:u w:val="single"/>
        </w:rPr>
        <w:t>应根据施工需要，</w:t>
      </w:r>
      <w:r>
        <w:rPr>
          <w:rFonts w:hint="eastAsia" w:ascii="宋体" w:hAnsi="宋体" w:eastAsia="宋体" w:cs="宋体"/>
          <w:color w:val="auto"/>
          <w:szCs w:val="21"/>
          <w:highlight w:val="none"/>
          <w:u w:val="single"/>
          <w:lang w:val="en-US" w:eastAsia="zh-CN"/>
        </w:rPr>
        <w:t>自行</w:t>
      </w:r>
      <w:r>
        <w:rPr>
          <w:rFonts w:hint="eastAsia" w:ascii="宋体" w:hAnsi="宋体" w:eastAsia="宋体" w:cs="宋体"/>
          <w:color w:val="auto"/>
          <w:szCs w:val="21"/>
          <w:highlight w:val="none"/>
          <w:u w:val="single"/>
        </w:rPr>
        <w:t>负责取得出入施工现场所需的批准手续，以及取得因施工所需修建道路、桥梁以及其他基础设施并承担相关手续费用和建设费用</w:t>
      </w:r>
      <w:r>
        <w:rPr>
          <w:rFonts w:hint="eastAsia" w:ascii="宋体" w:cs="宋体"/>
          <w:szCs w:val="21"/>
          <w:u w:val="single"/>
        </w:rPr>
        <w:t>。</w:t>
      </w:r>
    </w:p>
    <w:p w14:paraId="38163A1B">
      <w:pPr>
        <w:widowControl/>
        <w:snapToGrid w:val="0"/>
        <w:spacing w:line="440" w:lineRule="exact"/>
        <w:ind w:firstLine="420" w:firstLineChars="200"/>
        <w:rPr>
          <w:rFonts w:hint="eastAsia" w:ascii="宋体" w:cs="宋体"/>
          <w:szCs w:val="21"/>
        </w:rPr>
      </w:pPr>
      <w:r>
        <w:rPr>
          <w:rFonts w:hint="eastAsia" w:ascii="宋体" w:cs="宋体"/>
          <w:szCs w:val="21"/>
        </w:rPr>
        <w:t>1.10.3 场内交通</w:t>
      </w:r>
    </w:p>
    <w:p w14:paraId="77E56A02">
      <w:pPr>
        <w:snapToGrid w:val="0"/>
        <w:spacing w:line="440" w:lineRule="exact"/>
        <w:ind w:firstLine="420" w:firstLineChars="200"/>
        <w:jc w:val="left"/>
        <w:rPr>
          <w:rFonts w:hint="eastAsia" w:ascii="宋体" w:cs="宋体"/>
          <w:szCs w:val="21"/>
          <w:u w:val="single"/>
        </w:rPr>
      </w:pPr>
      <w:r>
        <w:rPr>
          <w:rFonts w:hint="eastAsia" w:ascii="宋体" w:cs="宋体"/>
          <w:kern w:val="0"/>
          <w:szCs w:val="21"/>
        </w:rPr>
        <w:t>关于场外交通和场内交通的边界的约定：</w:t>
      </w:r>
      <w:r>
        <w:rPr>
          <w:rFonts w:hint="eastAsia" w:ascii="宋体" w:hAnsi="宋体" w:eastAsia="宋体" w:cs="宋体"/>
          <w:color w:val="auto"/>
          <w:szCs w:val="21"/>
          <w:highlight w:val="none"/>
          <w:u w:val="single"/>
        </w:rPr>
        <w:t>场内交通设施和道路由承包人负责建设，发包人不另支付费用，场内交通边界现场确定</w:t>
      </w:r>
      <w:r>
        <w:rPr>
          <w:rFonts w:hint="eastAsia" w:ascii="宋体" w:cs="宋体"/>
          <w:szCs w:val="21"/>
        </w:rPr>
        <w:t>。</w:t>
      </w:r>
    </w:p>
    <w:p w14:paraId="214E44E9">
      <w:pPr>
        <w:snapToGrid w:val="0"/>
        <w:spacing w:line="440" w:lineRule="exact"/>
        <w:ind w:firstLine="420" w:firstLineChars="200"/>
        <w:jc w:val="left"/>
        <w:rPr>
          <w:rFonts w:hint="eastAsia" w:ascii="宋体" w:cs="宋体"/>
          <w:szCs w:val="21"/>
        </w:rPr>
      </w:pPr>
      <w:r>
        <w:rPr>
          <w:rFonts w:hint="eastAsia" w:ascii="宋体" w:cs="宋体"/>
          <w:szCs w:val="21"/>
        </w:rPr>
        <w:t>关于发包人向承包人免费提供满足工程施工需要的场内道路和交通设施的约定：</w:t>
      </w:r>
      <w:r>
        <w:rPr>
          <w:rFonts w:hint="eastAsia" w:ascii="宋体" w:cs="宋体"/>
          <w:szCs w:val="21"/>
          <w:u w:val="single"/>
        </w:rPr>
        <w:t xml:space="preserve">自行踏勘，自行解决 </w:t>
      </w:r>
      <w:r>
        <w:rPr>
          <w:rFonts w:hint="eastAsia" w:ascii="宋体" w:cs="宋体"/>
          <w:szCs w:val="21"/>
        </w:rPr>
        <w:t>。</w:t>
      </w:r>
    </w:p>
    <w:p w14:paraId="7078FB7B">
      <w:pPr>
        <w:snapToGrid w:val="0"/>
        <w:spacing w:line="440" w:lineRule="exact"/>
        <w:ind w:firstLine="420" w:firstLineChars="200"/>
        <w:jc w:val="left"/>
        <w:rPr>
          <w:rFonts w:hint="eastAsia" w:ascii="宋体" w:cs="宋体"/>
          <w:szCs w:val="21"/>
        </w:rPr>
      </w:pPr>
      <w:r>
        <w:rPr>
          <w:rFonts w:hint="eastAsia" w:ascii="宋体" w:cs="宋体"/>
          <w:szCs w:val="21"/>
        </w:rPr>
        <w:t>1.10.4超大件和超重件的运输</w:t>
      </w:r>
    </w:p>
    <w:p w14:paraId="6D788909">
      <w:pPr>
        <w:snapToGrid w:val="0"/>
        <w:spacing w:line="440" w:lineRule="exact"/>
        <w:ind w:firstLine="420" w:firstLineChars="200"/>
        <w:jc w:val="left"/>
        <w:rPr>
          <w:rFonts w:hint="eastAsia" w:ascii="宋体" w:cs="宋体"/>
          <w:szCs w:val="21"/>
        </w:rPr>
      </w:pPr>
      <w:r>
        <w:rPr>
          <w:rFonts w:hint="eastAsia" w:ascii="宋体" w:cs="宋体"/>
          <w:szCs w:val="21"/>
        </w:rPr>
        <w:t>运输超大件或超重件所需的道路和桥梁临时加固改造费用和其他有关费用由</w:t>
      </w:r>
      <w:r>
        <w:rPr>
          <w:rFonts w:hint="eastAsia" w:ascii="宋体" w:cs="宋体"/>
          <w:szCs w:val="21"/>
          <w:u w:val="single"/>
        </w:rPr>
        <w:t xml:space="preserve">  承包</w:t>
      </w:r>
      <w:r>
        <w:rPr>
          <w:rFonts w:hint="eastAsia" w:ascii="宋体" w:cs="宋体"/>
          <w:szCs w:val="21"/>
          <w:u w:val="single"/>
          <w:lang w:val="en-US" w:eastAsia="zh-CN"/>
        </w:rPr>
        <w:t>人</w:t>
      </w:r>
      <w:r>
        <w:rPr>
          <w:rFonts w:hint="eastAsia" w:ascii="宋体" w:cs="宋体"/>
          <w:szCs w:val="21"/>
          <w:u w:val="single"/>
        </w:rPr>
        <w:t xml:space="preserve"> </w:t>
      </w:r>
      <w:r>
        <w:rPr>
          <w:rFonts w:hint="eastAsia" w:ascii="宋体" w:cs="宋体"/>
          <w:szCs w:val="21"/>
        </w:rPr>
        <w:t>承担。</w:t>
      </w:r>
    </w:p>
    <w:p w14:paraId="35C87F96">
      <w:pPr>
        <w:snapToGrid w:val="0"/>
        <w:spacing w:line="440" w:lineRule="exact"/>
        <w:ind w:firstLine="420" w:firstLineChars="200"/>
        <w:rPr>
          <w:rFonts w:hint="eastAsia" w:ascii="宋体" w:cs="宋体"/>
          <w:szCs w:val="21"/>
        </w:rPr>
      </w:pPr>
      <w:r>
        <w:rPr>
          <w:rFonts w:hint="eastAsia" w:ascii="宋体" w:cs="宋体"/>
          <w:szCs w:val="21"/>
        </w:rPr>
        <w:t>1.11 知识产权</w:t>
      </w:r>
    </w:p>
    <w:p w14:paraId="544F09B6">
      <w:pPr>
        <w:snapToGrid w:val="0"/>
        <w:spacing w:line="440" w:lineRule="exact"/>
        <w:ind w:firstLine="420" w:firstLineChars="200"/>
        <w:rPr>
          <w:rFonts w:hint="eastAsia" w:ascii="宋体" w:cs="宋体"/>
          <w:szCs w:val="21"/>
          <w:u w:val="single"/>
        </w:rPr>
      </w:pPr>
      <w:r>
        <w:rPr>
          <w:rFonts w:hint="eastAsia" w:ascii="宋体" w:cs="宋体"/>
          <w:szCs w:val="21"/>
        </w:rPr>
        <w:t>1.11.1关于发包人提供给承包人的图纸、发包人为实施工程自行编制或委托编制的技术规范以及反映发包人关于合同要求或其他类似性质的文件的著作权的归属：</w:t>
      </w:r>
      <w:r>
        <w:rPr>
          <w:rFonts w:hint="eastAsia" w:ascii="宋体" w:cs="宋体"/>
          <w:szCs w:val="21"/>
          <w:u w:val="single"/>
        </w:rPr>
        <w:t xml:space="preserve">发包人 </w:t>
      </w:r>
      <w:r>
        <w:rPr>
          <w:rFonts w:hint="eastAsia" w:ascii="宋体" w:cs="宋体"/>
          <w:szCs w:val="21"/>
        </w:rPr>
        <w:t>。</w:t>
      </w:r>
    </w:p>
    <w:p w14:paraId="577765A7">
      <w:pPr>
        <w:snapToGrid w:val="0"/>
        <w:spacing w:line="440" w:lineRule="exact"/>
        <w:ind w:firstLine="420" w:firstLineChars="200"/>
        <w:rPr>
          <w:rFonts w:hint="eastAsia" w:ascii="宋体" w:cs="宋体"/>
          <w:szCs w:val="21"/>
        </w:rPr>
      </w:pPr>
      <w:r>
        <w:rPr>
          <w:rFonts w:hint="eastAsia" w:ascii="宋体" w:cs="宋体"/>
          <w:szCs w:val="21"/>
        </w:rPr>
        <w:t>关于发包人提供的上述文件的使用限制的要求：</w:t>
      </w:r>
      <w:r>
        <w:rPr>
          <w:rFonts w:hint="eastAsia" w:ascii="宋体" w:hAnsi="宋体" w:eastAsia="宋体" w:cs="宋体"/>
          <w:color w:val="auto"/>
          <w:szCs w:val="21"/>
          <w:highlight w:val="none"/>
          <w:u w:val="single"/>
        </w:rPr>
        <w:t>未经发包人书面同意，承包人不得为了合同以外的目的而复制、使用上述文件或将之提供给任何第三方</w:t>
      </w:r>
      <w:r>
        <w:rPr>
          <w:rFonts w:hint="eastAsia" w:ascii="宋体" w:cs="宋体"/>
          <w:szCs w:val="21"/>
          <w:u w:val="single"/>
        </w:rPr>
        <w:t>。</w:t>
      </w:r>
    </w:p>
    <w:p w14:paraId="0A5E29E5">
      <w:pPr>
        <w:snapToGrid w:val="0"/>
        <w:spacing w:line="440" w:lineRule="exact"/>
        <w:ind w:firstLine="420" w:firstLineChars="200"/>
        <w:rPr>
          <w:rFonts w:hint="eastAsia" w:ascii="宋体" w:cs="宋体"/>
          <w:szCs w:val="21"/>
        </w:rPr>
      </w:pPr>
      <w:r>
        <w:rPr>
          <w:rFonts w:hint="eastAsia" w:ascii="宋体" w:cs="宋体"/>
          <w:szCs w:val="21"/>
        </w:rPr>
        <w:t>1.11.2 关于承包人为实施工程所编制文件的著作权的归属：</w:t>
      </w:r>
      <w:r>
        <w:rPr>
          <w:rFonts w:hint="eastAsia" w:ascii="宋体" w:cs="宋体"/>
          <w:szCs w:val="21"/>
          <w:u w:val="single"/>
        </w:rPr>
        <w:t xml:space="preserve"> 发包人  </w:t>
      </w:r>
      <w:r>
        <w:rPr>
          <w:rFonts w:hint="eastAsia" w:ascii="宋体" w:cs="宋体"/>
          <w:szCs w:val="21"/>
        </w:rPr>
        <w:t>。</w:t>
      </w:r>
    </w:p>
    <w:p w14:paraId="0A376C87">
      <w:pPr>
        <w:snapToGrid w:val="0"/>
        <w:spacing w:line="440" w:lineRule="exact"/>
        <w:ind w:firstLine="420" w:firstLineChars="200"/>
        <w:rPr>
          <w:rFonts w:hint="eastAsia" w:ascii="宋体" w:cs="宋体"/>
          <w:szCs w:val="21"/>
          <w:u w:val="single"/>
        </w:rPr>
      </w:pPr>
      <w:r>
        <w:rPr>
          <w:rFonts w:hint="eastAsia" w:ascii="宋体" w:cs="宋体"/>
          <w:szCs w:val="21"/>
        </w:rPr>
        <w:t>关于承包人提供的上述文件的使用限制的要求：</w:t>
      </w:r>
      <w:r>
        <w:rPr>
          <w:rFonts w:hint="eastAsia" w:ascii="宋体" w:cs="宋体"/>
          <w:szCs w:val="21"/>
          <w:u w:val="single"/>
        </w:rPr>
        <w:t xml:space="preserve">承包人可因实施工程的运行、调试、维修、改造等目的而复制、使用此类文件，但不能用于与合同无关的其他事项。未经发包人书面同意，承包人不得为了合同以外的目的而复制、使用上述文件或将之提供给任何第三方。 </w:t>
      </w:r>
    </w:p>
    <w:p w14:paraId="595F448B">
      <w:pPr>
        <w:snapToGrid w:val="0"/>
        <w:spacing w:line="440" w:lineRule="exact"/>
        <w:ind w:firstLine="420" w:firstLineChars="200"/>
        <w:rPr>
          <w:rFonts w:hint="eastAsia" w:ascii="宋体" w:cs="宋体"/>
          <w:kern w:val="0"/>
          <w:szCs w:val="21"/>
        </w:rPr>
      </w:pPr>
      <w:r>
        <w:rPr>
          <w:rFonts w:hint="eastAsia" w:ascii="宋体" w:cs="宋体"/>
          <w:szCs w:val="21"/>
        </w:rPr>
        <w:t>1.11.4 承包人在施工过程中所采用的专利、专有技术、技术秘密的使用费的承担方式：</w:t>
      </w:r>
      <w:r>
        <w:rPr>
          <w:rFonts w:hint="eastAsia" w:ascii="宋体" w:cs="宋体"/>
          <w:szCs w:val="21"/>
          <w:u w:val="single"/>
        </w:rPr>
        <w:t>该费用已包含在签约合同价中。</w:t>
      </w:r>
    </w:p>
    <w:p w14:paraId="64136266">
      <w:pPr>
        <w:snapToGrid w:val="0"/>
        <w:spacing w:line="440" w:lineRule="exact"/>
        <w:ind w:firstLine="420" w:firstLineChars="200"/>
        <w:rPr>
          <w:rFonts w:hint="eastAsia" w:ascii="宋体" w:hAnsi="宋体" w:cs="宋体"/>
          <w:szCs w:val="21"/>
        </w:rPr>
      </w:pPr>
      <w:r>
        <w:rPr>
          <w:rFonts w:hint="eastAsia" w:ascii="宋体" w:hAnsi="宋体" w:cs="宋体"/>
          <w:szCs w:val="21"/>
        </w:rPr>
        <w:t>1.13工程量清单错误的修正</w:t>
      </w:r>
    </w:p>
    <w:p w14:paraId="092541A9">
      <w:pPr>
        <w:snapToGrid w:val="0"/>
        <w:spacing w:line="440" w:lineRule="exact"/>
        <w:ind w:firstLine="420" w:firstLineChars="200"/>
        <w:rPr>
          <w:rFonts w:hint="eastAsia" w:ascii="宋体" w:hAnsi="宋体" w:cs="宋体"/>
          <w:szCs w:val="21"/>
        </w:rPr>
      </w:pPr>
      <w:r>
        <w:rPr>
          <w:rFonts w:hint="eastAsia" w:ascii="宋体" w:hAnsi="宋体" w:cs="宋体"/>
          <w:szCs w:val="21"/>
        </w:rPr>
        <w:t>出现工程量清单错误时，是否调整合同价格：</w:t>
      </w:r>
      <w:r>
        <w:rPr>
          <w:rFonts w:hint="eastAsia" w:ascii="宋体" w:hAnsi="宋体" w:cs="宋体"/>
          <w:szCs w:val="21"/>
          <w:u w:val="single"/>
        </w:rPr>
        <w:t xml:space="preserve">  是，具体调整方式见下款  </w:t>
      </w:r>
      <w:r>
        <w:rPr>
          <w:rFonts w:hint="eastAsia" w:ascii="宋体" w:hAnsi="宋体" w:cs="宋体"/>
          <w:szCs w:val="21"/>
        </w:rPr>
        <w:t>。</w:t>
      </w:r>
    </w:p>
    <w:p w14:paraId="3BDB4DB3">
      <w:pPr>
        <w:snapToGrid w:val="0"/>
        <w:spacing w:line="440" w:lineRule="exact"/>
        <w:ind w:firstLine="420" w:firstLineChars="200"/>
        <w:rPr>
          <w:rFonts w:hint="eastAsia" w:ascii="宋体" w:hAnsi="宋体" w:cs="宋体"/>
          <w:color w:val="auto"/>
          <w:szCs w:val="21"/>
          <w:lang w:eastAsia="zh-CN"/>
        </w:rPr>
      </w:pPr>
      <w:r>
        <w:rPr>
          <w:rFonts w:hint="eastAsia" w:ascii="宋体" w:hAnsi="宋体" w:cs="宋体"/>
          <w:color w:val="auto"/>
          <w:szCs w:val="21"/>
        </w:rPr>
        <w:t>允许调整合同价格的工程量偏差范围：</w:t>
      </w:r>
      <w:r>
        <w:rPr>
          <w:rFonts w:hint="eastAsia" w:ascii="宋体" w:hAnsi="宋体" w:cs="宋体"/>
          <w:color w:val="auto"/>
          <w:szCs w:val="21"/>
          <w:lang w:eastAsia="zh-CN"/>
        </w:rPr>
        <w:t>招标发布的施工图纸以外的，在施工过程中工程量。</w:t>
      </w:r>
    </w:p>
    <w:p w14:paraId="4F56EEE7">
      <w:pPr>
        <w:spacing w:line="440" w:lineRule="exact"/>
        <w:ind w:firstLine="420" w:firstLineChars="200"/>
        <w:rPr>
          <w:rFonts w:hint="eastAsia"/>
          <w:highlight w:val="none"/>
          <w:lang w:eastAsia="zh-CN"/>
        </w:rPr>
      </w:pPr>
      <w:r>
        <w:rPr>
          <w:rFonts w:hint="eastAsia" w:ascii="宋体" w:hAnsi="Times New Roman" w:eastAsia="宋体" w:cs="宋体"/>
          <w:b w:val="0"/>
          <w:bCs w:val="0"/>
          <w:color w:val="auto"/>
          <w:kern w:val="2"/>
          <w:sz w:val="21"/>
          <w:szCs w:val="21"/>
          <w:highlight w:val="none"/>
          <w:u w:val="single"/>
          <w:lang w:val="en-US" w:eastAsia="zh-CN" w:bidi="ar-SA"/>
        </w:rPr>
        <w:t>施工过程出现招标发布的施工设计文件范围以外的项目，以及业主新增工作要求，通过变更方式计入暂列金进行结算。</w:t>
      </w:r>
    </w:p>
    <w:p w14:paraId="1265A23C">
      <w:pPr>
        <w:snapToGrid w:val="0"/>
        <w:spacing w:line="440" w:lineRule="exact"/>
        <w:ind w:firstLine="422" w:firstLineChars="2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u w:val="single"/>
        </w:rPr>
        <w:t>承包人拒绝实施因</w:t>
      </w:r>
      <w:r>
        <w:rPr>
          <w:rFonts w:hint="eastAsia" w:ascii="宋体" w:hAnsi="宋体" w:eastAsia="宋体" w:cs="宋体"/>
          <w:b/>
          <w:bCs/>
          <w:color w:val="auto"/>
          <w:spacing w:val="-6"/>
          <w:kern w:val="0"/>
          <w:szCs w:val="21"/>
          <w:highlight w:val="none"/>
          <w:u w:val="single"/>
        </w:rPr>
        <w:t>此产生变化的施工内容或范围</w:t>
      </w:r>
      <w:r>
        <w:rPr>
          <w:rFonts w:hint="eastAsia" w:ascii="宋体" w:hAnsi="宋体" w:eastAsia="宋体" w:cs="宋体"/>
          <w:b/>
          <w:bCs/>
          <w:color w:val="auto"/>
          <w:szCs w:val="21"/>
          <w:highlight w:val="none"/>
          <w:u w:val="single"/>
        </w:rPr>
        <w:t>，将被视为违约，发包人视情节轻重给予违约处罚。结算时，工程量按实计算。结算工程量减少或增加</w:t>
      </w:r>
      <w:r>
        <w:rPr>
          <w:rFonts w:hint="eastAsia" w:ascii="宋体" w:hAnsi="宋体" w:cs="宋体"/>
          <w:b/>
          <w:bCs/>
          <w:color w:val="auto"/>
          <w:szCs w:val="21"/>
          <w:highlight w:val="none"/>
          <w:u w:val="single"/>
          <w:lang w:val="en-US" w:eastAsia="zh-CN"/>
        </w:rPr>
        <w:t>的</w:t>
      </w:r>
      <w:r>
        <w:rPr>
          <w:rFonts w:hint="eastAsia" w:ascii="宋体" w:hAnsi="宋体" w:eastAsia="宋体" w:cs="宋体"/>
          <w:b/>
          <w:bCs/>
          <w:color w:val="auto"/>
          <w:szCs w:val="21"/>
          <w:highlight w:val="none"/>
          <w:u w:val="single"/>
        </w:rPr>
        <w:t>部分，</w:t>
      </w:r>
      <w:r>
        <w:rPr>
          <w:rFonts w:hint="eastAsia" w:ascii="宋体" w:hAnsi="宋体" w:eastAsia="宋体" w:cs="宋体"/>
          <w:b/>
          <w:bCs/>
          <w:color w:val="auto"/>
          <w:szCs w:val="21"/>
          <w:highlight w:val="none"/>
        </w:rPr>
        <w:t>执行</w:t>
      </w:r>
      <w:r>
        <w:rPr>
          <w:rFonts w:hint="eastAsia" w:ascii="宋体" w:hAnsi="宋体" w:cs="宋体"/>
          <w:b/>
          <w:bCs/>
          <w:color w:val="auto"/>
          <w:szCs w:val="21"/>
          <w:highlight w:val="none"/>
          <w:lang w:val="en-US" w:eastAsia="zh-CN"/>
        </w:rPr>
        <w:t>下列</w:t>
      </w:r>
      <w:r>
        <w:rPr>
          <w:rFonts w:hint="eastAsia" w:ascii="宋体" w:hAnsi="宋体" w:eastAsia="宋体" w:cs="宋体"/>
          <w:b/>
          <w:bCs/>
          <w:color w:val="auto"/>
          <w:szCs w:val="21"/>
          <w:highlight w:val="none"/>
        </w:rPr>
        <w:t>第（1）款或第（2）款</w:t>
      </w:r>
      <w:r>
        <w:rPr>
          <w:rFonts w:hint="eastAsia" w:ascii="宋体" w:hAnsi="宋体" w:cs="宋体"/>
          <w:b/>
          <w:bCs/>
          <w:color w:val="auto"/>
          <w:szCs w:val="21"/>
          <w:highlight w:val="none"/>
          <w:lang w:val="en-US" w:eastAsia="zh-CN"/>
        </w:rPr>
        <w:t>或第</w:t>
      </w:r>
      <w:r>
        <w:rPr>
          <w:rFonts w:hint="eastAsia" w:ascii="宋体" w:hAnsi="宋体" w:eastAsia="宋体" w:cs="宋体"/>
          <w:b/>
          <w:bCs/>
          <w:color w:val="auto"/>
          <w:szCs w:val="21"/>
          <w:highlight w:val="none"/>
        </w:rPr>
        <w:t>（</w:t>
      </w:r>
      <w:r>
        <w:rPr>
          <w:rFonts w:hint="eastAsia" w:ascii="宋体" w:hAnsi="宋体" w:cs="宋体"/>
          <w:b/>
          <w:bCs/>
          <w:color w:val="auto"/>
          <w:szCs w:val="21"/>
          <w:highlight w:val="none"/>
          <w:lang w:val="en-US" w:eastAsia="zh-CN"/>
        </w:rPr>
        <w:t>3</w:t>
      </w:r>
      <w:r>
        <w:rPr>
          <w:rFonts w:hint="eastAsia" w:ascii="宋体" w:hAnsi="宋体" w:eastAsia="宋体" w:cs="宋体"/>
          <w:b/>
          <w:bCs/>
          <w:color w:val="auto"/>
          <w:szCs w:val="21"/>
          <w:highlight w:val="none"/>
        </w:rPr>
        <w:t>）款确定的单价</w:t>
      </w:r>
      <w:r>
        <w:rPr>
          <w:rFonts w:hint="eastAsia" w:ascii="宋体" w:hAnsi="宋体" w:cs="宋体"/>
          <w:b/>
          <w:color w:val="auto"/>
          <w:highlight w:val="none"/>
          <w:u w:val="none"/>
          <w:lang w:eastAsia="zh-CN"/>
        </w:rPr>
        <w:t>。</w:t>
      </w:r>
    </w:p>
    <w:p w14:paraId="2D0E079E">
      <w:pPr>
        <w:snapToGrid w:val="0"/>
        <w:spacing w:line="440" w:lineRule="exact"/>
        <w:ind w:firstLine="422" w:firstLineChars="200"/>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1.13.1</w:t>
      </w:r>
    </w:p>
    <w:p w14:paraId="34D5324B">
      <w:pPr>
        <w:snapToGrid w:val="0"/>
        <w:spacing w:line="440" w:lineRule="exact"/>
        <w:ind w:firstLine="422" w:firstLineChars="200"/>
        <w:rPr>
          <w:rFonts w:hint="eastAsia" w:ascii="宋体" w:eastAsia="宋体" w:cs="宋体"/>
          <w:b w:val="0"/>
          <w:color w:val="auto"/>
          <w:sz w:val="21"/>
          <w:szCs w:val="21"/>
          <w:highlight w:val="none"/>
        </w:rPr>
      </w:pPr>
      <w:r>
        <w:rPr>
          <w:rFonts w:hint="eastAsia" w:ascii="宋体" w:hAnsi="宋体" w:eastAsia="宋体" w:cs="宋体"/>
          <w:b/>
          <w:color w:val="auto"/>
          <w:highlight w:val="none"/>
          <w:u w:val="none"/>
        </w:rPr>
        <w:t>（1）已标价工程量清单或预算书有相同项目的，按照相同项目单价认定；（2）已标价工程量清单或预算书中无相同项目，但有类似项目的，参照类似项目的单价认定</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类似项目的单价是指其采用的材料、施工工艺和方法基本相似的项目</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lang w:val="en-US" w:eastAsia="zh-CN"/>
        </w:rPr>
        <w:t>3</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已标价工程量清单或预算书</w:t>
      </w:r>
      <w:r>
        <w:rPr>
          <w:rFonts w:hint="eastAsia" w:ascii="宋体" w:hAnsi="宋体" w:eastAsia="宋体" w:cs="宋体"/>
          <w:b/>
          <w:color w:val="auto"/>
          <w:highlight w:val="none"/>
          <w:u w:val="none"/>
          <w:lang w:val="en-US" w:eastAsia="zh-CN"/>
        </w:rPr>
        <w:t>既无</w:t>
      </w:r>
      <w:r>
        <w:rPr>
          <w:rFonts w:hint="eastAsia" w:ascii="宋体" w:hAnsi="宋体" w:eastAsia="宋体" w:cs="宋体"/>
          <w:b/>
          <w:color w:val="auto"/>
          <w:highlight w:val="none"/>
          <w:u w:val="none"/>
        </w:rPr>
        <w:t>相同项目</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lang w:val="en-US" w:eastAsia="zh-CN"/>
        </w:rPr>
        <w:t>也无类似项目的单价</w:t>
      </w:r>
      <w:r>
        <w:rPr>
          <w:rFonts w:hint="eastAsia" w:ascii="宋体" w:hAnsi="宋体" w:eastAsia="宋体" w:cs="宋体"/>
          <w:b/>
          <w:color w:val="auto"/>
          <w:highlight w:val="none"/>
          <w:u w:val="none"/>
        </w:rPr>
        <w:t>按照最高投标限价的编制原则重新组价×投标让利幅度（上述投标让利幅度为中标价/最高投标限价，其中中标价和最高投标限价均扣除暂列金额、暂估价及相应税金</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材料</w:t>
      </w:r>
      <w:r>
        <w:rPr>
          <w:rFonts w:hint="eastAsia" w:ascii="宋体" w:hAnsi="宋体" w:eastAsia="宋体" w:cs="宋体"/>
          <w:b/>
          <w:color w:val="auto"/>
          <w:highlight w:val="none"/>
          <w:u w:val="none"/>
          <w:lang w:val="en-US" w:eastAsia="zh-CN"/>
        </w:rPr>
        <w:t>价</w:t>
      </w:r>
      <w:r>
        <w:rPr>
          <w:rFonts w:hint="eastAsia" w:ascii="宋体" w:hAnsi="宋体" w:eastAsia="宋体" w:cs="宋体"/>
          <w:b/>
          <w:color w:val="auto"/>
          <w:highlight w:val="none"/>
          <w:u w:val="none"/>
        </w:rPr>
        <w:t>按施工当期《</w:t>
      </w:r>
      <w:r>
        <w:rPr>
          <w:rFonts w:hint="eastAsia" w:ascii="宋体" w:hAnsi="宋体" w:eastAsia="宋体" w:cs="宋体"/>
          <w:b/>
          <w:color w:val="auto"/>
          <w:highlight w:val="none"/>
          <w:u w:val="none"/>
          <w:lang w:val="en-US" w:eastAsia="zh-CN"/>
        </w:rPr>
        <w:t>滁</w:t>
      </w:r>
      <w:r>
        <w:rPr>
          <w:rFonts w:hint="eastAsia" w:ascii="宋体" w:hAnsi="宋体" w:eastAsia="宋体" w:cs="宋体"/>
          <w:b/>
          <w:color w:val="auto"/>
          <w:highlight w:val="none"/>
          <w:u w:val="none"/>
        </w:rPr>
        <w:t>州</w:t>
      </w:r>
      <w:r>
        <w:rPr>
          <w:rFonts w:hint="eastAsia" w:ascii="宋体" w:hAnsi="宋体" w:eastAsia="宋体" w:cs="宋体"/>
          <w:b/>
          <w:color w:val="auto"/>
          <w:highlight w:val="none"/>
          <w:u w:val="none"/>
          <w:lang w:val="en-US" w:eastAsia="zh-CN"/>
        </w:rPr>
        <w:t>市</w:t>
      </w:r>
      <w:r>
        <w:rPr>
          <w:rFonts w:hint="eastAsia" w:ascii="宋体" w:hAnsi="宋体" w:eastAsia="宋体" w:cs="宋体"/>
          <w:b/>
          <w:color w:val="auto"/>
          <w:highlight w:val="none"/>
          <w:u w:val="none"/>
        </w:rPr>
        <w:t>建设工程</w:t>
      </w:r>
      <w:r>
        <w:rPr>
          <w:rFonts w:hint="eastAsia" w:ascii="宋体" w:hAnsi="宋体" w:eastAsia="宋体" w:cs="宋体"/>
          <w:b/>
          <w:color w:val="auto"/>
          <w:highlight w:val="none"/>
          <w:u w:val="none"/>
          <w:lang w:val="en-US" w:eastAsia="zh-CN"/>
        </w:rPr>
        <w:t>材料市场价格</w:t>
      </w:r>
      <w:r>
        <w:rPr>
          <w:rFonts w:hint="eastAsia" w:ascii="宋体" w:hAnsi="宋体" w:eastAsia="宋体" w:cs="宋体"/>
          <w:b/>
          <w:color w:val="auto"/>
          <w:highlight w:val="none"/>
          <w:u w:val="none"/>
        </w:rPr>
        <w:t>信息》确定：若信息价为区间价的，则按区间价的算术平均值计取；信息价中没有的材料，由业主、监理、施工三方核定后确定，认价材料不参与下浮</w:t>
      </w:r>
      <w:r>
        <w:rPr>
          <w:rFonts w:hint="eastAsia" w:ascii="宋体" w:hAnsi="宋体" w:cs="宋体"/>
          <w:b/>
          <w:color w:val="auto"/>
          <w:highlight w:val="none"/>
          <w:u w:val="none"/>
          <w:lang w:eastAsia="zh-CN"/>
        </w:rPr>
        <w:t>；</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lang w:val="en-US" w:eastAsia="zh-CN"/>
        </w:rPr>
        <w:t>4</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若取消某工程项目，则该项目的价款不予支付</w:t>
      </w:r>
      <w:r>
        <w:rPr>
          <w:rFonts w:hint="eastAsia" w:ascii="宋体" w:hAnsi="宋体" w:cs="宋体"/>
          <w:b/>
          <w:color w:val="auto"/>
          <w:highlight w:val="none"/>
          <w:u w:val="none"/>
          <w:lang w:eastAsia="zh-CN"/>
        </w:rPr>
        <w:t>。</w:t>
      </w:r>
    </w:p>
    <w:p w14:paraId="0E87E501">
      <w:pPr>
        <w:pStyle w:val="5"/>
        <w:pageBreakBefore w:val="0"/>
        <w:widowControl w:val="0"/>
        <w:kinsoku/>
        <w:wordWrap/>
        <w:overflowPunct/>
        <w:topLinePunct w:val="0"/>
        <w:autoSpaceDE/>
        <w:autoSpaceDN/>
        <w:bidi w:val="0"/>
        <w:snapToGrid w:val="0"/>
        <w:spacing w:before="0" w:after="0" w:line="440" w:lineRule="exact"/>
        <w:ind w:firstLine="420" w:firstLineChars="200"/>
        <w:textAlignment w:val="auto"/>
        <w:rPr>
          <w:rFonts w:hint="eastAsia" w:ascii="宋体" w:eastAsia="宋体" w:cs="宋体"/>
          <w:b w:val="0"/>
          <w:color w:val="auto"/>
          <w:sz w:val="21"/>
          <w:szCs w:val="21"/>
        </w:rPr>
      </w:pPr>
      <w:r>
        <w:rPr>
          <w:rFonts w:hint="eastAsia" w:ascii="宋体" w:eastAsia="宋体" w:cs="宋体"/>
          <w:b w:val="0"/>
          <w:color w:val="auto"/>
          <w:sz w:val="21"/>
          <w:szCs w:val="21"/>
        </w:rPr>
        <w:t>2. 发包人</w:t>
      </w:r>
    </w:p>
    <w:p w14:paraId="2B2D6BFC">
      <w:pPr>
        <w:keepNext/>
        <w:keepLines/>
        <w:pageBreakBefore w:val="0"/>
        <w:widowControl w:val="0"/>
        <w:kinsoku/>
        <w:wordWrap/>
        <w:overflowPunct/>
        <w:topLinePunct w:val="0"/>
        <w:autoSpaceDE/>
        <w:autoSpaceDN/>
        <w:bidi w:val="0"/>
        <w:adjustRightInd w:val="0"/>
        <w:snapToGrid w:val="0"/>
        <w:spacing w:line="440" w:lineRule="exact"/>
        <w:ind w:firstLine="420" w:firstLineChars="200"/>
        <w:textAlignment w:val="auto"/>
        <w:outlineLvl w:val="3"/>
        <w:rPr>
          <w:rFonts w:hint="eastAsia" w:ascii="宋体" w:hAnsi="宋体" w:cs="宋体"/>
          <w:bCs/>
          <w:color w:val="000000"/>
          <w:szCs w:val="28"/>
        </w:rPr>
      </w:pPr>
      <w:r>
        <w:rPr>
          <w:rFonts w:hint="eastAsia" w:ascii="宋体" w:hAnsi="宋体" w:cs="宋体"/>
          <w:bCs/>
          <w:color w:val="000000"/>
          <w:szCs w:val="28"/>
        </w:rPr>
        <w:t>2.2 发包人代表</w:t>
      </w:r>
    </w:p>
    <w:p w14:paraId="01AD4559">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发包人代表：</w:t>
      </w:r>
    </w:p>
    <w:p w14:paraId="410A721D">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姓    名：</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7F53E848">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身份证号：</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1D1A7BF2">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职    务：</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7DDD61B6">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联系电话：</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1124C25A">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电子信箱：</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0906ABFF">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通信地址：</w:t>
      </w:r>
      <w:r>
        <w:rPr>
          <w:rFonts w:hint="eastAsia" w:ascii="宋体" w:hAnsi="宋体" w:cs="宋体"/>
          <w:color w:val="000000"/>
          <w:highlight w:val="none"/>
          <w:u w:val="single"/>
        </w:rPr>
        <w:t xml:space="preserve">                                 </w:t>
      </w:r>
      <w:r>
        <w:rPr>
          <w:rFonts w:hint="eastAsia" w:ascii="宋体" w:hAnsi="宋体" w:cs="宋体"/>
          <w:color w:val="000000"/>
          <w:highlight w:val="none"/>
        </w:rPr>
        <w:t>。</w:t>
      </w:r>
    </w:p>
    <w:p w14:paraId="6137865A">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b/>
          <w:color w:val="000000"/>
          <w:highlight w:val="none"/>
        </w:rPr>
      </w:pPr>
      <w:r>
        <w:rPr>
          <w:rFonts w:hint="eastAsia" w:ascii="宋体" w:hAnsi="宋体" w:cs="宋体"/>
          <w:color w:val="000000"/>
          <w:highlight w:val="none"/>
        </w:rPr>
        <w:t>发包人对发包人代表的授权范围如下：</w:t>
      </w:r>
      <w:r>
        <w:rPr>
          <w:rFonts w:hint="eastAsia" w:ascii="宋体" w:hAnsi="宋体" w:cs="宋体"/>
          <w:color w:val="000000"/>
          <w:highlight w:val="none"/>
          <w:u w:val="single"/>
        </w:rPr>
        <w:t xml:space="preserve">             </w:t>
      </w:r>
      <w:r>
        <w:rPr>
          <w:rFonts w:hint="eastAsia" w:ascii="宋体" w:hAnsi="宋体" w:cs="宋体"/>
          <w:color w:val="000000"/>
          <w:highlight w:val="none"/>
        </w:rPr>
        <w:t>。</w:t>
      </w:r>
    </w:p>
    <w:p w14:paraId="31BD9F5C">
      <w:pPr>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rPr>
      </w:pPr>
      <w:r>
        <w:rPr>
          <w:rFonts w:hint="eastAsia" w:ascii="宋体" w:cs="宋体"/>
          <w:szCs w:val="21"/>
        </w:rPr>
        <w:t>2.4 施工现场、施工条件和基础资料的提供</w:t>
      </w:r>
    </w:p>
    <w:p w14:paraId="05BCD48F">
      <w:pPr>
        <w:snapToGrid w:val="0"/>
        <w:spacing w:line="440" w:lineRule="exact"/>
        <w:ind w:firstLine="420" w:firstLineChars="200"/>
        <w:rPr>
          <w:rFonts w:hint="eastAsia" w:ascii="宋体" w:cs="宋体"/>
          <w:szCs w:val="21"/>
        </w:rPr>
      </w:pPr>
      <w:r>
        <w:rPr>
          <w:rFonts w:hint="eastAsia" w:ascii="宋体" w:cs="宋体"/>
          <w:szCs w:val="21"/>
        </w:rPr>
        <w:t>2.4.1 提供施工现场</w:t>
      </w:r>
    </w:p>
    <w:p w14:paraId="11142D30">
      <w:pPr>
        <w:snapToGrid w:val="0"/>
        <w:spacing w:line="440" w:lineRule="exact"/>
        <w:ind w:firstLine="420" w:firstLineChars="200"/>
        <w:jc w:val="left"/>
        <w:rPr>
          <w:rFonts w:hint="eastAsia" w:ascii="宋体" w:cs="宋体"/>
          <w:szCs w:val="21"/>
        </w:rPr>
      </w:pPr>
      <w:r>
        <w:rPr>
          <w:rFonts w:hint="eastAsia" w:ascii="宋体" w:cs="宋体"/>
          <w:szCs w:val="21"/>
        </w:rPr>
        <w:t>关于发包人移交施工现场的期限要求：</w:t>
      </w:r>
      <w:r>
        <w:rPr>
          <w:rFonts w:hint="eastAsia" w:ascii="宋体" w:cs="宋体"/>
          <w:szCs w:val="21"/>
          <w:u w:val="single"/>
        </w:rPr>
        <w:t>发包人应最迟于开工日期7天前向承包人移交施工现场。</w:t>
      </w:r>
    </w:p>
    <w:p w14:paraId="586AEF0C">
      <w:pPr>
        <w:snapToGrid w:val="0"/>
        <w:spacing w:line="440" w:lineRule="exact"/>
        <w:ind w:firstLine="420" w:firstLineChars="200"/>
        <w:rPr>
          <w:rFonts w:hint="eastAsia" w:ascii="宋体" w:cs="宋体"/>
          <w:szCs w:val="21"/>
        </w:rPr>
      </w:pPr>
      <w:r>
        <w:rPr>
          <w:rFonts w:hint="eastAsia" w:ascii="宋体" w:cs="宋体"/>
          <w:szCs w:val="21"/>
        </w:rPr>
        <w:t>2.4.2 提供施工条件</w:t>
      </w:r>
    </w:p>
    <w:p w14:paraId="694C47BD">
      <w:pPr>
        <w:snapToGrid w:val="0"/>
        <w:spacing w:line="440" w:lineRule="exact"/>
        <w:ind w:firstLine="420" w:firstLineChars="200"/>
        <w:rPr>
          <w:rFonts w:hint="eastAsia" w:ascii="宋体" w:cs="宋体"/>
          <w:szCs w:val="21"/>
          <w:u w:val="single"/>
        </w:rPr>
      </w:pPr>
      <w:r>
        <w:rPr>
          <w:rFonts w:hint="eastAsia" w:ascii="宋体" w:cs="宋体"/>
          <w:szCs w:val="21"/>
        </w:rPr>
        <w:t>关于发包人应负责提供施工所需要的条件，包括：</w:t>
      </w:r>
      <w:r>
        <w:rPr>
          <w:rFonts w:hint="eastAsia" w:ascii="宋体" w:hAnsi="宋体" w:eastAsia="宋体" w:cs="宋体"/>
          <w:color w:val="auto"/>
          <w:szCs w:val="21"/>
          <w:highlight w:val="none"/>
          <w:u w:val="single"/>
          <w:lang w:val="en-US" w:eastAsia="zh-CN"/>
        </w:rPr>
        <w:t>现场所需所有施工条件均由承包人自行解决并承担相关费用。</w:t>
      </w:r>
    </w:p>
    <w:p w14:paraId="6143E00C">
      <w:pPr>
        <w:snapToGrid w:val="0"/>
        <w:spacing w:line="440" w:lineRule="exact"/>
        <w:ind w:firstLine="420" w:firstLineChars="200"/>
        <w:rPr>
          <w:rFonts w:hint="eastAsia" w:ascii="宋体" w:cs="宋体"/>
          <w:szCs w:val="21"/>
        </w:rPr>
      </w:pPr>
      <w:r>
        <w:rPr>
          <w:rFonts w:hint="eastAsia" w:ascii="宋体" w:cs="宋体"/>
          <w:szCs w:val="21"/>
        </w:rPr>
        <w:t>2.5 资金来源证明及支付担保</w:t>
      </w:r>
    </w:p>
    <w:p w14:paraId="7F5C1413">
      <w:pPr>
        <w:snapToGrid w:val="0"/>
        <w:spacing w:line="440" w:lineRule="exact"/>
        <w:ind w:firstLine="420" w:firstLineChars="200"/>
        <w:rPr>
          <w:rFonts w:hint="eastAsia" w:ascii="宋体" w:cs="宋体"/>
          <w:szCs w:val="21"/>
        </w:rPr>
      </w:pPr>
      <w:r>
        <w:rPr>
          <w:rFonts w:hint="eastAsia" w:ascii="宋体" w:cs="宋体"/>
          <w:szCs w:val="21"/>
        </w:rPr>
        <w:t>发包人提供资金来源证明的期限要求：</w:t>
      </w:r>
      <w:r>
        <w:rPr>
          <w:rFonts w:hint="eastAsia" w:ascii="宋体" w:cs="宋体"/>
          <w:szCs w:val="21"/>
          <w:u w:val="single"/>
        </w:rPr>
        <w:t></w:t>
      </w:r>
      <w:r>
        <w:rPr>
          <w:rFonts w:hint="eastAsia" w:ascii="宋体" w:cs="宋体"/>
          <w:szCs w:val="21"/>
          <w:u w:val="single"/>
          <w:lang w:val="en-US" w:eastAsia="zh-CN"/>
        </w:rPr>
        <w:t>自筹</w:t>
      </w:r>
      <w:r>
        <w:rPr>
          <w:rFonts w:hint="eastAsia" w:ascii="宋体" w:cs="宋体"/>
          <w:szCs w:val="21"/>
          <w:u w:val="single"/>
        </w:rPr>
        <w:t xml:space="preserve">资金   </w:t>
      </w:r>
      <w:r>
        <w:rPr>
          <w:rFonts w:hint="eastAsia" w:ascii="宋体" w:cs="宋体"/>
          <w:szCs w:val="21"/>
        </w:rPr>
        <w:t>。</w:t>
      </w:r>
    </w:p>
    <w:p w14:paraId="3FB71AC4">
      <w:pPr>
        <w:snapToGrid w:val="0"/>
        <w:spacing w:line="440" w:lineRule="exact"/>
        <w:ind w:firstLine="420" w:firstLineChars="200"/>
        <w:rPr>
          <w:rFonts w:hint="eastAsia" w:ascii="宋体" w:cs="宋体"/>
          <w:szCs w:val="21"/>
        </w:rPr>
      </w:pPr>
      <w:r>
        <w:rPr>
          <w:rFonts w:hint="eastAsia" w:ascii="宋体" w:cs="宋体"/>
          <w:szCs w:val="21"/>
        </w:rPr>
        <w:t>发包人是否提供支付担保：</w:t>
      </w:r>
      <w:r>
        <w:rPr>
          <w:rFonts w:hint="eastAsia" w:ascii="宋体" w:cs="宋体"/>
          <w:szCs w:val="21"/>
          <w:u w:val="single"/>
        </w:rPr>
        <w:t xml:space="preserve">不提供   </w:t>
      </w:r>
      <w:r>
        <w:rPr>
          <w:rFonts w:hint="eastAsia" w:ascii="宋体" w:cs="宋体"/>
          <w:szCs w:val="21"/>
        </w:rPr>
        <w:t>。</w:t>
      </w:r>
    </w:p>
    <w:p w14:paraId="3C6886CB">
      <w:pPr>
        <w:snapToGrid w:val="0"/>
        <w:spacing w:line="440" w:lineRule="exact"/>
        <w:ind w:firstLine="420" w:firstLineChars="200"/>
        <w:rPr>
          <w:rFonts w:hint="eastAsia" w:ascii="宋体" w:cs="宋体"/>
          <w:szCs w:val="21"/>
          <w:u w:val="single"/>
        </w:rPr>
      </w:pPr>
      <w:r>
        <w:rPr>
          <w:rFonts w:hint="eastAsia" w:ascii="宋体" w:cs="宋体"/>
          <w:szCs w:val="21"/>
        </w:rPr>
        <w:t>发包人提供支付担保的形式：</w:t>
      </w:r>
      <w:r>
        <w:rPr>
          <w:rFonts w:hint="eastAsia" w:ascii="宋体" w:cs="宋体"/>
          <w:szCs w:val="21"/>
          <w:u w:val="single"/>
        </w:rPr>
        <w:t>无  </w:t>
      </w:r>
      <w:r>
        <w:rPr>
          <w:rFonts w:hint="eastAsia" w:ascii="宋体" w:cs="宋体"/>
          <w:szCs w:val="21"/>
        </w:rPr>
        <w:t>。</w:t>
      </w:r>
    </w:p>
    <w:p w14:paraId="05ABEF29">
      <w:pPr>
        <w:pStyle w:val="5"/>
        <w:snapToGrid w:val="0"/>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3. 承包人</w:t>
      </w:r>
    </w:p>
    <w:p w14:paraId="4941BCD2">
      <w:pPr>
        <w:snapToGrid w:val="0"/>
        <w:spacing w:line="440" w:lineRule="exact"/>
        <w:ind w:firstLine="420" w:firstLineChars="200"/>
        <w:rPr>
          <w:rFonts w:hint="eastAsia" w:ascii="宋体" w:cs="宋体"/>
          <w:szCs w:val="21"/>
        </w:rPr>
      </w:pPr>
      <w:r>
        <w:rPr>
          <w:rFonts w:hint="eastAsia" w:ascii="宋体" w:cs="宋体"/>
          <w:szCs w:val="21"/>
        </w:rPr>
        <w:t>3.1 承包人的一般义务</w:t>
      </w:r>
    </w:p>
    <w:p w14:paraId="2240B1EC">
      <w:pPr>
        <w:snapToGrid w:val="0"/>
        <w:spacing w:line="440" w:lineRule="exact"/>
        <w:ind w:firstLine="420" w:firstLineChars="200"/>
        <w:jc w:val="left"/>
        <w:rPr>
          <w:rFonts w:hint="eastAsia" w:ascii="宋体" w:cs="宋体"/>
          <w:szCs w:val="21"/>
          <w:u w:val="single"/>
        </w:rPr>
      </w:pPr>
      <w:r>
        <w:rPr>
          <w:rFonts w:hint="eastAsia" w:ascii="宋体" w:cs="宋体"/>
          <w:kern w:val="0"/>
          <w:szCs w:val="21"/>
        </w:rPr>
        <w:t>（9）</w:t>
      </w:r>
      <w:r>
        <w:rPr>
          <w:rFonts w:hint="eastAsia" w:ascii="宋体" w:cs="宋体"/>
          <w:szCs w:val="21"/>
        </w:rPr>
        <w:t>承包人提交的竣工资料的内容：</w:t>
      </w:r>
      <w:r>
        <w:rPr>
          <w:rFonts w:hint="eastAsia" w:ascii="宋体" w:cs="宋体"/>
          <w:szCs w:val="21"/>
          <w:u w:val="single"/>
        </w:rPr>
        <w:t xml:space="preserve">   按相关要求执行，包括但不限于竣工图、竣工报告、项目质检资料、结算资料等  </w:t>
      </w:r>
      <w:r>
        <w:rPr>
          <w:rFonts w:hint="eastAsia" w:ascii="宋体" w:cs="宋体"/>
          <w:szCs w:val="21"/>
        </w:rPr>
        <w:t>。</w:t>
      </w:r>
    </w:p>
    <w:p w14:paraId="1CA1DB90">
      <w:pPr>
        <w:snapToGrid w:val="0"/>
        <w:spacing w:line="440" w:lineRule="exact"/>
        <w:ind w:firstLine="420" w:firstLineChars="200"/>
        <w:jc w:val="left"/>
        <w:rPr>
          <w:rFonts w:hint="eastAsia" w:ascii="宋体" w:cs="宋体"/>
          <w:szCs w:val="21"/>
        </w:rPr>
      </w:pPr>
      <w:r>
        <w:rPr>
          <w:rFonts w:hint="eastAsia" w:ascii="宋体" w:cs="宋体"/>
          <w:szCs w:val="21"/>
        </w:rPr>
        <w:t>承包人需要提交的竣工资料套数：</w:t>
      </w:r>
      <w:r>
        <w:rPr>
          <w:rFonts w:hint="eastAsia" w:ascii="宋体" w:cs="宋体"/>
          <w:szCs w:val="21"/>
          <w:u w:val="single"/>
        </w:rPr>
        <w:t xml:space="preserve">      按相关要求执行，且不少于3套    </w:t>
      </w:r>
      <w:r>
        <w:rPr>
          <w:rFonts w:hint="eastAsia" w:ascii="宋体" w:cs="宋体"/>
          <w:szCs w:val="21"/>
        </w:rPr>
        <w:t>。</w:t>
      </w:r>
    </w:p>
    <w:p w14:paraId="5FF31C14">
      <w:pPr>
        <w:snapToGrid w:val="0"/>
        <w:spacing w:line="440" w:lineRule="exact"/>
        <w:ind w:firstLine="420" w:firstLineChars="200"/>
        <w:jc w:val="left"/>
        <w:rPr>
          <w:rFonts w:hint="eastAsia" w:ascii="宋体" w:cs="宋体"/>
          <w:szCs w:val="21"/>
        </w:rPr>
      </w:pPr>
      <w:r>
        <w:rPr>
          <w:rFonts w:hint="eastAsia" w:ascii="宋体" w:cs="宋体"/>
          <w:szCs w:val="21"/>
        </w:rPr>
        <w:t>承包人提交的竣工资料的费用承担：</w:t>
      </w:r>
      <w:r>
        <w:rPr>
          <w:rFonts w:hint="eastAsia" w:ascii="宋体" w:cs="宋体"/>
          <w:szCs w:val="21"/>
          <w:u w:val="single"/>
        </w:rPr>
        <w:t xml:space="preserve">   承包人           </w:t>
      </w:r>
      <w:r>
        <w:rPr>
          <w:rFonts w:hint="eastAsia" w:ascii="宋体" w:cs="宋体"/>
          <w:szCs w:val="21"/>
        </w:rPr>
        <w:t>。</w:t>
      </w:r>
    </w:p>
    <w:p w14:paraId="3670ED4C">
      <w:pPr>
        <w:snapToGrid w:val="0"/>
        <w:spacing w:line="440" w:lineRule="exact"/>
        <w:ind w:firstLine="420" w:firstLineChars="200"/>
        <w:jc w:val="left"/>
        <w:rPr>
          <w:rFonts w:hint="eastAsia" w:ascii="宋体" w:cs="宋体"/>
          <w:szCs w:val="21"/>
        </w:rPr>
      </w:pPr>
      <w:r>
        <w:rPr>
          <w:rFonts w:hint="eastAsia" w:ascii="宋体" w:cs="宋体"/>
          <w:szCs w:val="21"/>
        </w:rPr>
        <w:t>承包人提交的竣工资料移交时间：</w:t>
      </w:r>
      <w:r>
        <w:rPr>
          <w:rFonts w:hint="eastAsia" w:ascii="宋体" w:cs="宋体"/>
          <w:szCs w:val="21"/>
          <w:u w:val="single"/>
        </w:rPr>
        <w:t xml:space="preserve">     竣工验收合格后</w:t>
      </w:r>
      <w:r>
        <w:rPr>
          <w:rFonts w:hint="eastAsia" w:ascii="宋体" w:cs="宋体"/>
          <w:szCs w:val="21"/>
          <w:u w:val="single"/>
          <w:lang w:val="en-US" w:eastAsia="zh-CN"/>
        </w:rPr>
        <w:t>30</w:t>
      </w:r>
      <w:r>
        <w:rPr>
          <w:rFonts w:hint="eastAsia" w:ascii="宋体" w:cs="宋体"/>
          <w:szCs w:val="21"/>
          <w:u w:val="single"/>
        </w:rPr>
        <w:t xml:space="preserve">日内   </w:t>
      </w:r>
      <w:r>
        <w:rPr>
          <w:rFonts w:hint="eastAsia" w:ascii="宋体" w:cs="宋体"/>
          <w:szCs w:val="21"/>
        </w:rPr>
        <w:t>。</w:t>
      </w:r>
    </w:p>
    <w:p w14:paraId="0DFB5EF9">
      <w:pPr>
        <w:snapToGrid w:val="0"/>
        <w:spacing w:line="440" w:lineRule="exact"/>
        <w:ind w:firstLine="420" w:firstLineChars="200"/>
        <w:jc w:val="left"/>
        <w:rPr>
          <w:rFonts w:hint="eastAsia" w:ascii="宋体" w:cs="宋体"/>
          <w:szCs w:val="21"/>
        </w:rPr>
      </w:pPr>
      <w:r>
        <w:rPr>
          <w:rFonts w:hint="eastAsia" w:ascii="宋体" w:cs="宋体"/>
          <w:szCs w:val="21"/>
        </w:rPr>
        <w:t>承包人提交的竣工资料形式要求：</w:t>
      </w:r>
      <w:r>
        <w:rPr>
          <w:rFonts w:hint="eastAsia" w:ascii="宋体" w:cs="宋体"/>
          <w:szCs w:val="21"/>
          <w:u w:val="single"/>
        </w:rPr>
        <w:t xml:space="preserve">     纸质及电子形式   </w:t>
      </w:r>
      <w:r>
        <w:rPr>
          <w:rFonts w:hint="eastAsia" w:ascii="宋体" w:cs="宋体"/>
          <w:szCs w:val="21"/>
        </w:rPr>
        <w:t>。</w:t>
      </w:r>
    </w:p>
    <w:p w14:paraId="57AC80D3">
      <w:pPr>
        <w:snapToGrid w:val="0"/>
        <w:spacing w:line="440" w:lineRule="exact"/>
        <w:ind w:firstLine="420" w:firstLineChars="200"/>
        <w:jc w:val="left"/>
        <w:rPr>
          <w:rFonts w:hint="eastAsia" w:ascii="宋体" w:cs="宋体"/>
          <w:szCs w:val="21"/>
        </w:rPr>
      </w:pPr>
      <w:r>
        <w:rPr>
          <w:rFonts w:hint="eastAsia" w:ascii="宋体" w:cs="宋体"/>
          <w:szCs w:val="21"/>
          <w:lang w:eastAsia="zh-CN"/>
        </w:rPr>
        <w:t>（</w:t>
      </w:r>
      <w:r>
        <w:rPr>
          <w:rFonts w:hint="eastAsia" w:ascii="宋体" w:cs="宋体"/>
          <w:szCs w:val="21"/>
          <w:lang w:val="en-US" w:eastAsia="zh-CN"/>
        </w:rPr>
        <w:t>10）</w:t>
      </w:r>
      <w:r>
        <w:rPr>
          <w:rFonts w:hint="eastAsia" w:ascii="宋体" w:cs="宋体"/>
          <w:kern w:val="0"/>
          <w:szCs w:val="21"/>
        </w:rPr>
        <w:t>承包人应履行的其他义务：</w:t>
      </w:r>
      <w:r>
        <w:rPr>
          <w:rFonts w:hint="eastAsia" w:ascii="宋体" w:cs="宋体"/>
          <w:strike w:val="0"/>
          <w:dstrike w:val="0"/>
          <w:szCs w:val="21"/>
          <w:highlight w:val="none"/>
          <w:u w:val="single"/>
        </w:rPr>
        <w:t>①工程竣工半年</w:t>
      </w:r>
      <w:r>
        <w:rPr>
          <w:rFonts w:hint="eastAsia" w:ascii="宋体" w:cs="宋体"/>
          <w:strike w:val="0"/>
          <w:dstrike w:val="0"/>
          <w:szCs w:val="21"/>
          <w:highlight w:val="none"/>
          <w:u w:val="single"/>
          <w:lang w:eastAsia="zh-CN"/>
        </w:rPr>
        <w:t>（</w:t>
      </w:r>
      <w:r>
        <w:rPr>
          <w:rFonts w:hint="eastAsia" w:ascii="宋体" w:cs="宋体"/>
          <w:strike w:val="0"/>
          <w:dstrike w:val="0"/>
          <w:szCs w:val="21"/>
          <w:highlight w:val="none"/>
          <w:u w:val="single"/>
        </w:rPr>
        <w:t>含</w:t>
      </w:r>
      <w:r>
        <w:rPr>
          <w:rFonts w:hint="eastAsia" w:ascii="宋体" w:cs="宋体"/>
          <w:strike w:val="0"/>
          <w:dstrike w:val="0"/>
          <w:szCs w:val="21"/>
          <w:highlight w:val="none"/>
          <w:u w:val="single"/>
          <w:lang w:eastAsia="zh-CN"/>
        </w:rPr>
        <w:t>）</w:t>
      </w:r>
      <w:r>
        <w:rPr>
          <w:rFonts w:hint="eastAsia" w:ascii="宋体" w:cs="宋体"/>
          <w:strike w:val="0"/>
          <w:dstrike w:val="0"/>
          <w:szCs w:val="21"/>
          <w:highlight w:val="none"/>
          <w:u w:val="single"/>
        </w:rPr>
        <w:t>内完成竣工结算；</w:t>
      </w:r>
      <w:r>
        <w:rPr>
          <w:rFonts w:hint="eastAsia" w:ascii="宋体" w:cs="宋体"/>
          <w:szCs w:val="21"/>
          <w:u w:val="single"/>
        </w:rPr>
        <w:t>②无合同纠纷等原因拖欠农民工工资、材料款，出现群访及时处理；③质量无缺陷，及时整改到位，处理及时；④施工现场服从调度或工程进度不超过合同工期或按合同期限按时移交的；⑤月工程量进度及时完成；⑥按规定提供工程资料并及时归档的；</w:t>
      </w:r>
    </w:p>
    <w:p w14:paraId="083F7B13">
      <w:pPr>
        <w:snapToGrid w:val="0"/>
        <w:spacing w:line="440" w:lineRule="exact"/>
        <w:ind w:firstLine="420" w:firstLineChars="200"/>
        <w:rPr>
          <w:rFonts w:hint="eastAsia" w:ascii="宋体" w:cs="宋体"/>
          <w:szCs w:val="21"/>
        </w:rPr>
      </w:pPr>
      <w:r>
        <w:rPr>
          <w:rFonts w:hint="eastAsia" w:ascii="宋体" w:cs="宋体"/>
          <w:szCs w:val="21"/>
        </w:rPr>
        <w:t>3.2 项目经理</w:t>
      </w:r>
    </w:p>
    <w:p w14:paraId="13611687">
      <w:pPr>
        <w:snapToGrid w:val="0"/>
        <w:spacing w:line="440" w:lineRule="exact"/>
        <w:ind w:firstLine="420" w:firstLineChars="200"/>
        <w:rPr>
          <w:rFonts w:hint="eastAsia" w:ascii="宋体" w:cs="宋体"/>
          <w:szCs w:val="21"/>
        </w:rPr>
      </w:pPr>
      <w:r>
        <w:rPr>
          <w:rFonts w:hint="eastAsia" w:ascii="宋体" w:cs="宋体"/>
          <w:kern w:val="0"/>
          <w:szCs w:val="21"/>
        </w:rPr>
        <w:t xml:space="preserve">3.2.1 </w:t>
      </w:r>
      <w:r>
        <w:rPr>
          <w:rFonts w:hint="eastAsia" w:ascii="宋体" w:cs="宋体"/>
          <w:szCs w:val="21"/>
        </w:rPr>
        <w:t>项目经理：</w:t>
      </w:r>
    </w:p>
    <w:p w14:paraId="14770DDB">
      <w:pPr>
        <w:snapToGrid w:val="0"/>
        <w:spacing w:line="440" w:lineRule="exact"/>
        <w:ind w:firstLine="420" w:firstLineChars="200"/>
        <w:rPr>
          <w:rFonts w:hint="eastAsia" w:ascii="宋体" w:cs="宋体"/>
          <w:szCs w:val="21"/>
        </w:rPr>
      </w:pPr>
      <w:r>
        <w:rPr>
          <w:rFonts w:hint="eastAsia" w:ascii="宋体" w:cs="宋体"/>
          <w:szCs w:val="21"/>
        </w:rPr>
        <w:t>姓    名：</w:t>
      </w:r>
      <w:r>
        <w:rPr>
          <w:rFonts w:hint="eastAsia" w:ascii="宋体" w:cs="宋体"/>
          <w:szCs w:val="21"/>
          <w:u w:val="single"/>
        </w:rPr>
        <w:t>         </w:t>
      </w:r>
      <w:r>
        <w:rPr>
          <w:rFonts w:hint="eastAsia" w:ascii="宋体" w:cs="宋体"/>
          <w:szCs w:val="21"/>
        </w:rPr>
        <w:t>；</w:t>
      </w:r>
    </w:p>
    <w:p w14:paraId="3BA17073">
      <w:pPr>
        <w:snapToGrid w:val="0"/>
        <w:spacing w:line="440" w:lineRule="exact"/>
        <w:ind w:firstLine="420" w:firstLineChars="200"/>
        <w:rPr>
          <w:rFonts w:hint="eastAsia" w:ascii="宋体" w:cs="宋体"/>
          <w:szCs w:val="21"/>
        </w:rPr>
      </w:pPr>
      <w:r>
        <w:rPr>
          <w:rFonts w:hint="eastAsia" w:ascii="宋体" w:cs="宋体"/>
          <w:szCs w:val="21"/>
        </w:rPr>
        <w:t>身份证号：</w:t>
      </w:r>
      <w:r>
        <w:rPr>
          <w:rFonts w:hint="eastAsia" w:ascii="宋体" w:cs="宋体"/>
          <w:szCs w:val="21"/>
          <w:u w:val="single"/>
        </w:rPr>
        <w:t>         </w:t>
      </w:r>
      <w:r>
        <w:rPr>
          <w:rFonts w:hint="eastAsia" w:ascii="宋体" w:cs="宋体"/>
          <w:szCs w:val="21"/>
        </w:rPr>
        <w:t>；</w:t>
      </w:r>
    </w:p>
    <w:p w14:paraId="47204064">
      <w:pPr>
        <w:snapToGrid w:val="0"/>
        <w:spacing w:line="440" w:lineRule="exact"/>
        <w:ind w:firstLine="420" w:firstLineChars="200"/>
        <w:rPr>
          <w:rFonts w:hint="eastAsia" w:ascii="宋体" w:cs="宋体"/>
          <w:szCs w:val="21"/>
        </w:rPr>
      </w:pPr>
      <w:r>
        <w:rPr>
          <w:rFonts w:hint="eastAsia" w:ascii="宋体" w:cs="宋体"/>
          <w:szCs w:val="21"/>
        </w:rPr>
        <w:t>建造师执业资格等级：</w:t>
      </w:r>
      <w:r>
        <w:rPr>
          <w:rFonts w:hint="eastAsia" w:ascii="宋体" w:cs="宋体"/>
          <w:szCs w:val="21"/>
          <w:u w:val="single"/>
        </w:rPr>
        <w:t>   </w:t>
      </w:r>
      <w:r>
        <w:rPr>
          <w:rFonts w:hint="eastAsia" w:ascii="宋体" w:cs="宋体"/>
          <w:szCs w:val="21"/>
        </w:rPr>
        <w:t>；</w:t>
      </w:r>
    </w:p>
    <w:p w14:paraId="60174993">
      <w:pPr>
        <w:snapToGrid w:val="0"/>
        <w:spacing w:line="440" w:lineRule="exact"/>
        <w:ind w:firstLine="420" w:firstLineChars="200"/>
        <w:rPr>
          <w:rFonts w:hint="eastAsia" w:ascii="宋体" w:cs="宋体"/>
          <w:szCs w:val="21"/>
        </w:rPr>
      </w:pPr>
      <w:r>
        <w:rPr>
          <w:rFonts w:hint="eastAsia" w:ascii="宋体" w:cs="宋体"/>
          <w:szCs w:val="21"/>
        </w:rPr>
        <w:t>建造师注册证书号：</w:t>
      </w:r>
      <w:r>
        <w:rPr>
          <w:rFonts w:hint="eastAsia" w:ascii="宋体" w:cs="宋体"/>
          <w:szCs w:val="21"/>
          <w:u w:val="single"/>
        </w:rPr>
        <w:t> </w:t>
      </w:r>
      <w:r>
        <w:rPr>
          <w:rFonts w:hint="eastAsia" w:ascii="宋体" w:cs="宋体"/>
          <w:szCs w:val="21"/>
        </w:rPr>
        <w:t>；</w:t>
      </w:r>
    </w:p>
    <w:p w14:paraId="433B24F4">
      <w:pPr>
        <w:snapToGrid w:val="0"/>
        <w:spacing w:line="440" w:lineRule="exact"/>
        <w:ind w:firstLine="420" w:firstLineChars="200"/>
        <w:rPr>
          <w:rFonts w:hint="eastAsia" w:ascii="宋体" w:cs="宋体"/>
          <w:szCs w:val="21"/>
        </w:rPr>
      </w:pPr>
      <w:r>
        <w:rPr>
          <w:rFonts w:hint="eastAsia" w:ascii="宋体" w:cs="宋体"/>
          <w:szCs w:val="21"/>
        </w:rPr>
        <w:t>建造师执业印章号：</w:t>
      </w:r>
      <w:r>
        <w:rPr>
          <w:rFonts w:hint="eastAsia" w:ascii="宋体" w:cs="宋体"/>
          <w:szCs w:val="21"/>
          <w:u w:val="single"/>
        </w:rPr>
        <w:t> </w:t>
      </w:r>
      <w:r>
        <w:rPr>
          <w:rFonts w:hint="eastAsia" w:ascii="宋体" w:cs="宋体"/>
          <w:szCs w:val="21"/>
        </w:rPr>
        <w:t>；</w:t>
      </w:r>
    </w:p>
    <w:p w14:paraId="61D36B67">
      <w:pPr>
        <w:snapToGrid w:val="0"/>
        <w:spacing w:line="440" w:lineRule="exact"/>
        <w:ind w:firstLine="420" w:firstLineChars="200"/>
        <w:rPr>
          <w:rFonts w:hint="eastAsia" w:ascii="宋体" w:cs="宋体"/>
          <w:szCs w:val="21"/>
        </w:rPr>
      </w:pPr>
      <w:r>
        <w:rPr>
          <w:rFonts w:hint="eastAsia" w:ascii="宋体" w:cs="宋体"/>
          <w:szCs w:val="21"/>
        </w:rPr>
        <w:t>安全生产考核合格证书号：</w:t>
      </w:r>
      <w:r>
        <w:rPr>
          <w:rFonts w:hint="eastAsia" w:ascii="宋体" w:cs="宋体"/>
          <w:szCs w:val="21"/>
          <w:u w:val="single"/>
        </w:rPr>
        <w:t> </w:t>
      </w:r>
      <w:r>
        <w:rPr>
          <w:rFonts w:hint="eastAsia" w:ascii="宋体" w:cs="宋体"/>
          <w:szCs w:val="21"/>
        </w:rPr>
        <w:t>；</w:t>
      </w:r>
    </w:p>
    <w:p w14:paraId="7E9E6C57">
      <w:pPr>
        <w:snapToGrid w:val="0"/>
        <w:spacing w:line="440" w:lineRule="exact"/>
        <w:ind w:firstLine="420" w:firstLineChars="200"/>
        <w:rPr>
          <w:rFonts w:hint="eastAsia" w:ascii="宋体" w:cs="宋体"/>
          <w:szCs w:val="21"/>
        </w:rPr>
      </w:pPr>
      <w:r>
        <w:rPr>
          <w:rFonts w:hint="eastAsia" w:ascii="宋体" w:cs="宋体"/>
          <w:szCs w:val="21"/>
        </w:rPr>
        <w:t>联系电话：</w:t>
      </w:r>
      <w:r>
        <w:rPr>
          <w:rFonts w:hint="eastAsia" w:ascii="宋体" w:cs="宋体"/>
          <w:szCs w:val="21"/>
          <w:u w:val="single"/>
        </w:rPr>
        <w:t>         </w:t>
      </w:r>
      <w:r>
        <w:rPr>
          <w:rFonts w:hint="eastAsia" w:ascii="宋体" w:cs="宋体"/>
          <w:szCs w:val="21"/>
        </w:rPr>
        <w:t>；</w:t>
      </w:r>
    </w:p>
    <w:p w14:paraId="3F583591">
      <w:pPr>
        <w:snapToGrid w:val="0"/>
        <w:spacing w:line="440" w:lineRule="exact"/>
        <w:ind w:firstLine="420" w:firstLineChars="200"/>
        <w:rPr>
          <w:rFonts w:hint="eastAsia" w:ascii="宋体" w:cs="宋体"/>
          <w:szCs w:val="21"/>
        </w:rPr>
      </w:pPr>
      <w:r>
        <w:rPr>
          <w:rFonts w:hint="eastAsia" w:ascii="宋体" w:cs="宋体"/>
          <w:szCs w:val="21"/>
        </w:rPr>
        <w:t>电子信箱：</w:t>
      </w:r>
      <w:r>
        <w:rPr>
          <w:rFonts w:hint="eastAsia" w:ascii="宋体" w:cs="宋体"/>
          <w:szCs w:val="21"/>
          <w:u w:val="single"/>
        </w:rPr>
        <w:t>         </w:t>
      </w:r>
      <w:r>
        <w:rPr>
          <w:rFonts w:hint="eastAsia" w:ascii="宋体" w:cs="宋体"/>
          <w:szCs w:val="21"/>
        </w:rPr>
        <w:t>；</w:t>
      </w:r>
    </w:p>
    <w:p w14:paraId="1099BF5D">
      <w:pPr>
        <w:snapToGrid w:val="0"/>
        <w:spacing w:line="440" w:lineRule="exact"/>
        <w:ind w:firstLine="420" w:firstLineChars="200"/>
        <w:rPr>
          <w:rFonts w:hint="eastAsia" w:ascii="宋体" w:cs="宋体"/>
          <w:szCs w:val="21"/>
        </w:rPr>
      </w:pPr>
      <w:r>
        <w:rPr>
          <w:rFonts w:hint="eastAsia" w:ascii="宋体" w:cs="宋体"/>
          <w:szCs w:val="21"/>
        </w:rPr>
        <w:t>通信地址：</w:t>
      </w:r>
      <w:r>
        <w:rPr>
          <w:rFonts w:hint="eastAsia" w:ascii="宋体" w:cs="宋体"/>
          <w:szCs w:val="21"/>
          <w:u w:val="single"/>
        </w:rPr>
        <w:t>         </w:t>
      </w:r>
      <w:r>
        <w:rPr>
          <w:rFonts w:hint="eastAsia" w:ascii="宋体" w:cs="宋体"/>
          <w:szCs w:val="21"/>
        </w:rPr>
        <w:t>；</w:t>
      </w:r>
    </w:p>
    <w:p w14:paraId="037BD6D9">
      <w:pPr>
        <w:snapToGrid w:val="0"/>
        <w:spacing w:line="440" w:lineRule="exact"/>
        <w:ind w:firstLine="420" w:firstLineChars="200"/>
        <w:rPr>
          <w:rFonts w:hint="eastAsia" w:ascii="宋体" w:cs="宋体"/>
          <w:szCs w:val="21"/>
        </w:rPr>
      </w:pPr>
      <w:r>
        <w:rPr>
          <w:rFonts w:hint="eastAsia" w:ascii="宋体" w:cs="宋体"/>
          <w:szCs w:val="21"/>
        </w:rPr>
        <w:t>承包人对项目负责人的授权范围如下：</w:t>
      </w:r>
      <w:r>
        <w:rPr>
          <w:rFonts w:hint="eastAsia" w:ascii="宋体" w:cs="宋体"/>
          <w:szCs w:val="21"/>
          <w:u w:val="single"/>
        </w:rPr>
        <w:t xml:space="preserve">由承包人明确授权范围  </w:t>
      </w:r>
      <w:r>
        <w:rPr>
          <w:rFonts w:hint="eastAsia" w:ascii="宋体" w:cs="宋体"/>
          <w:szCs w:val="21"/>
        </w:rPr>
        <w:t>。</w:t>
      </w:r>
    </w:p>
    <w:p w14:paraId="0B02DEDD">
      <w:pPr>
        <w:snapToGrid w:val="0"/>
        <w:spacing w:line="440" w:lineRule="exact"/>
        <w:ind w:firstLine="420" w:firstLineChars="200"/>
        <w:jc w:val="left"/>
        <w:rPr>
          <w:rFonts w:hint="eastAsia" w:ascii="宋体" w:cs="宋体"/>
          <w:color w:val="auto"/>
          <w:kern w:val="0"/>
          <w:szCs w:val="21"/>
          <w:highlight w:val="none"/>
        </w:rPr>
      </w:pPr>
      <w:r>
        <w:rPr>
          <w:rFonts w:hint="eastAsia" w:ascii="宋体" w:cs="宋体"/>
          <w:kern w:val="0"/>
          <w:szCs w:val="21"/>
        </w:rPr>
        <w:t>关于项目负责人每月在施工现场的时间</w:t>
      </w:r>
      <w:r>
        <w:rPr>
          <w:rFonts w:hint="eastAsia" w:ascii="宋体" w:cs="宋体"/>
          <w:kern w:val="0"/>
          <w:szCs w:val="21"/>
          <w:highlight w:val="none"/>
        </w:rPr>
        <w:t>要求：</w:t>
      </w:r>
      <w:r>
        <w:rPr>
          <w:rFonts w:hint="eastAsia" w:ascii="宋体" w:cs="宋体"/>
          <w:szCs w:val="21"/>
          <w:highlight w:val="none"/>
          <w:u w:val="single"/>
        </w:rPr>
        <w:t>项目经理每月在岗时间</w:t>
      </w:r>
      <w:r>
        <w:rPr>
          <w:rFonts w:hint="eastAsia" w:ascii="宋体" w:cs="宋体"/>
          <w:color w:val="auto"/>
          <w:szCs w:val="21"/>
          <w:highlight w:val="none"/>
          <w:u w:val="single"/>
        </w:rPr>
        <w:t>不得少于2</w:t>
      </w:r>
      <w:r>
        <w:rPr>
          <w:rFonts w:hint="eastAsia" w:ascii="宋体" w:cs="宋体"/>
          <w:color w:val="auto"/>
          <w:szCs w:val="21"/>
          <w:highlight w:val="none"/>
          <w:u w:val="single"/>
          <w:lang w:val="en-US" w:eastAsia="zh-CN"/>
        </w:rPr>
        <w:t>2</w:t>
      </w:r>
      <w:r>
        <w:rPr>
          <w:rFonts w:hint="eastAsia" w:ascii="宋体" w:cs="宋体"/>
          <w:color w:val="auto"/>
          <w:szCs w:val="21"/>
          <w:highlight w:val="none"/>
          <w:u w:val="single"/>
        </w:rPr>
        <w:t>天。</w:t>
      </w:r>
    </w:p>
    <w:p w14:paraId="5C830A13">
      <w:pPr>
        <w:snapToGrid w:val="0"/>
        <w:spacing w:line="440" w:lineRule="exact"/>
        <w:ind w:firstLine="420" w:firstLineChars="200"/>
        <w:rPr>
          <w:rFonts w:hint="eastAsia" w:ascii="宋体" w:cs="宋体"/>
          <w:kern w:val="0"/>
          <w:szCs w:val="21"/>
          <w:highlight w:val="none"/>
        </w:rPr>
      </w:pPr>
      <w:r>
        <w:rPr>
          <w:rFonts w:hint="eastAsia" w:ascii="宋体" w:cs="宋体"/>
          <w:kern w:val="0"/>
          <w:szCs w:val="21"/>
          <w:highlight w:val="none"/>
        </w:rPr>
        <w:t>承包人未提交劳动合同，以及没有为建造师缴纳社会保险证明的违约责任：</w:t>
      </w:r>
      <w:r>
        <w:rPr>
          <w:rFonts w:hint="eastAsia" w:ascii="宋体" w:cs="宋体"/>
          <w:kern w:val="0"/>
          <w:szCs w:val="21"/>
          <w:highlight w:val="none"/>
          <w:u w:val="single"/>
        </w:rPr>
        <w:t xml:space="preserve"> </w:t>
      </w:r>
      <w:r>
        <w:rPr>
          <w:rFonts w:hint="eastAsia" w:ascii="宋体" w:cs="宋体"/>
          <w:szCs w:val="21"/>
          <w:highlight w:val="none"/>
          <w:u w:val="single"/>
        </w:rPr>
        <w:t>签订本合同前提供，资格审查时已提供的，不再重复提供</w:t>
      </w:r>
      <w:r>
        <w:rPr>
          <w:rFonts w:hint="eastAsia" w:ascii="宋体" w:cs="宋体"/>
          <w:szCs w:val="21"/>
          <w:highlight w:val="none"/>
        </w:rPr>
        <w:t>。</w:t>
      </w:r>
    </w:p>
    <w:p w14:paraId="4B079E8B">
      <w:pPr>
        <w:snapToGrid w:val="0"/>
        <w:spacing w:line="440" w:lineRule="exact"/>
        <w:ind w:firstLine="420" w:firstLineChars="200"/>
        <w:rPr>
          <w:rFonts w:hint="eastAsia" w:ascii="宋体" w:hAnsi="宋体" w:eastAsia="宋体" w:cs="宋体"/>
          <w:color w:val="auto"/>
          <w:szCs w:val="21"/>
          <w:highlight w:val="none"/>
          <w:u w:val="single"/>
        </w:rPr>
      </w:pPr>
      <w:r>
        <w:rPr>
          <w:rFonts w:hint="eastAsia" w:ascii="宋体" w:cs="宋体"/>
          <w:kern w:val="0"/>
          <w:szCs w:val="21"/>
          <w:highlight w:val="none"/>
        </w:rPr>
        <w:t>项目负责人未经批准，擅自离开施工现场的违约责任：</w:t>
      </w:r>
      <w:r>
        <w:rPr>
          <w:rFonts w:hint="eastAsia" w:ascii="宋体" w:hAnsi="宋体" w:eastAsia="宋体" w:cs="宋体"/>
          <w:color w:val="auto"/>
          <w:szCs w:val="21"/>
          <w:highlight w:val="none"/>
          <w:u w:val="single"/>
        </w:rPr>
        <w:t>发包人、监理人将对项目经理、</w:t>
      </w:r>
      <w:r>
        <w:rPr>
          <w:rFonts w:hint="default" w:ascii="宋体" w:hAnsi="宋体" w:eastAsia="宋体" w:cs="宋体"/>
          <w:color w:val="auto"/>
          <w:szCs w:val="21"/>
          <w:highlight w:val="none"/>
          <w:u w:val="single"/>
          <w:lang w:val="en-US" w:eastAsia="zh-CN"/>
        </w:rPr>
        <w:t>其他管理和技术人员</w:t>
      </w:r>
      <w:r>
        <w:rPr>
          <w:rFonts w:hint="eastAsia" w:ascii="宋体" w:hAnsi="宋体" w:eastAsia="宋体" w:cs="宋体"/>
          <w:color w:val="auto"/>
          <w:szCs w:val="21"/>
          <w:highlight w:val="none"/>
          <w:u w:val="single"/>
        </w:rPr>
        <w:t>实行考勤制度，必须保证上述人员每月至少有22天在本项目工地现场，短期离开施工场地，应事先征得监理人、发包人书面同意，并委派代表代行其职责。在工程实施期间，项目经理未经批准离开工地的或月考勤不足22天的，按</w:t>
      </w:r>
      <w:r>
        <w:rPr>
          <w:rFonts w:hint="eastAsia" w:ascii="宋体" w:hAnsi="宋体" w:cs="宋体"/>
          <w:color w:val="auto"/>
          <w:szCs w:val="21"/>
          <w:highlight w:val="none"/>
          <w:u w:val="single"/>
          <w:lang w:val="en-US" w:eastAsia="zh-CN"/>
        </w:rPr>
        <w:t>2</w:t>
      </w:r>
      <w:r>
        <w:rPr>
          <w:rFonts w:hint="eastAsia" w:ascii="宋体" w:hAnsi="宋体" w:eastAsia="宋体" w:cs="宋体"/>
          <w:color w:val="auto"/>
          <w:szCs w:val="21"/>
          <w:highlight w:val="none"/>
          <w:u w:val="single"/>
        </w:rPr>
        <w:t>000元/人•天</w:t>
      </w:r>
      <w:r>
        <w:rPr>
          <w:rFonts w:hint="eastAsia" w:ascii="宋体" w:hAnsi="宋体" w:eastAsia="宋体" w:cs="宋体"/>
          <w:color w:val="auto"/>
          <w:szCs w:val="21"/>
          <w:highlight w:val="none"/>
          <w:u w:val="single"/>
          <w:lang w:val="en-US" w:eastAsia="zh-CN"/>
        </w:rPr>
        <w:t>处以</w:t>
      </w:r>
      <w:r>
        <w:rPr>
          <w:rFonts w:hint="eastAsia" w:ascii="宋体" w:hAnsi="宋体" w:eastAsia="宋体" w:cs="宋体"/>
          <w:color w:val="auto"/>
          <w:szCs w:val="21"/>
          <w:highlight w:val="none"/>
          <w:u w:val="single"/>
        </w:rPr>
        <w:t>违约金。</w:t>
      </w:r>
    </w:p>
    <w:p w14:paraId="5B2257F3">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3.2.3 承包人擅自更换项目负责人的违约责任：</w:t>
      </w:r>
      <w:r>
        <w:rPr>
          <w:rFonts w:hint="eastAsia" w:ascii="宋体" w:hAnsi="宋体" w:cs="宋体"/>
          <w:color w:val="000000"/>
          <w:szCs w:val="21"/>
          <w:highlight w:val="none"/>
          <w:u w:val="single"/>
        </w:rPr>
        <w:t>承包人不得擅自更换投标时所报项目经理,否则发包人有权解除合同，由此造成的损失由承包人自行承担，承包人还应赔偿由此造成发包人的全部损失。确需更换的须在签订合同后，报经发包人同意后按相关规定办理，</w:t>
      </w:r>
      <w:r>
        <w:rPr>
          <w:rFonts w:hint="eastAsia" w:ascii="宋体" w:hAnsi="宋体" w:cs="宋体"/>
          <w:b/>
          <w:bCs/>
          <w:color w:val="000000"/>
          <w:szCs w:val="21"/>
          <w:highlight w:val="none"/>
          <w:u w:val="single"/>
        </w:rPr>
        <w:t>并</w:t>
      </w:r>
      <w:r>
        <w:rPr>
          <w:rFonts w:hint="eastAsia" w:ascii="宋体" w:hAnsi="宋体" w:cs="宋体"/>
          <w:b/>
          <w:bCs/>
          <w:color w:val="auto"/>
          <w:szCs w:val="21"/>
          <w:highlight w:val="none"/>
          <w:u w:val="single"/>
        </w:rPr>
        <w:t>支付</w:t>
      </w:r>
      <w:r>
        <w:rPr>
          <w:rFonts w:hint="eastAsia" w:ascii="宋体" w:hAnsi="宋体" w:cs="宋体"/>
          <w:b/>
          <w:bCs/>
          <w:color w:val="auto"/>
          <w:szCs w:val="21"/>
          <w:highlight w:val="none"/>
          <w:u w:val="single"/>
          <w:lang w:val="en-US" w:eastAsia="zh-CN"/>
        </w:rPr>
        <w:t>10</w:t>
      </w:r>
      <w:r>
        <w:rPr>
          <w:rFonts w:hint="eastAsia" w:ascii="宋体" w:hAnsi="宋体" w:cs="宋体"/>
          <w:b/>
          <w:bCs/>
          <w:color w:val="auto"/>
          <w:szCs w:val="21"/>
          <w:highlight w:val="none"/>
          <w:u w:val="single"/>
        </w:rPr>
        <w:t>万元的</w:t>
      </w:r>
      <w:r>
        <w:rPr>
          <w:rFonts w:hint="eastAsia" w:ascii="宋体" w:hAnsi="宋体" w:cs="宋体"/>
          <w:b/>
          <w:bCs/>
          <w:color w:val="000000"/>
          <w:szCs w:val="21"/>
          <w:highlight w:val="none"/>
          <w:u w:val="single"/>
        </w:rPr>
        <w:t>违约金</w:t>
      </w:r>
      <w:r>
        <w:rPr>
          <w:rFonts w:hint="eastAsia" w:ascii="宋体" w:hAnsi="宋体" w:cs="宋体"/>
          <w:color w:val="000000"/>
          <w:szCs w:val="21"/>
          <w:highlight w:val="none"/>
          <w:u w:val="single"/>
        </w:rPr>
        <w:t>，更换后的人员不得低于承包人投标时所报人员资质和技术水平</w:t>
      </w:r>
      <w:r>
        <w:rPr>
          <w:rFonts w:hint="eastAsia" w:ascii="宋体" w:cs="宋体"/>
          <w:szCs w:val="21"/>
          <w:highlight w:val="none"/>
          <w:u w:val="single"/>
        </w:rPr>
        <w:t>。</w:t>
      </w:r>
    </w:p>
    <w:p w14:paraId="3B022719">
      <w:pPr>
        <w:snapToGrid w:val="0"/>
        <w:spacing w:line="440" w:lineRule="exact"/>
        <w:ind w:firstLine="420" w:firstLineChars="200"/>
        <w:rPr>
          <w:rFonts w:hint="eastAsia" w:ascii="宋体" w:eastAsia="宋体" w:cs="宋体"/>
          <w:szCs w:val="21"/>
          <w:highlight w:val="none"/>
          <w:u w:val="single"/>
          <w:lang w:eastAsia="zh-CN"/>
        </w:rPr>
      </w:pPr>
      <w:r>
        <w:rPr>
          <w:rFonts w:hint="eastAsia" w:ascii="宋体" w:cs="宋体"/>
          <w:szCs w:val="21"/>
          <w:highlight w:val="none"/>
        </w:rPr>
        <w:t>3.2.4 承包人无正当理由拒绝更换项目经理的违约责任：</w:t>
      </w:r>
      <w:r>
        <w:rPr>
          <w:rFonts w:hint="eastAsia" w:ascii="宋体" w:hAnsi="宋体" w:eastAsia="宋体" w:cs="宋体"/>
          <w:color w:val="auto"/>
          <w:szCs w:val="21"/>
          <w:highlight w:val="none"/>
          <w:u w:val="single"/>
        </w:rPr>
        <w:t>发包人将组织对项目经理进行业务能力考核，对未按投标文件配备或经考核不合格要求更换人员的，承包人7日内必须整改调整到位。否则，对于项目经理和技术负责人，按照</w:t>
      </w:r>
      <w:r>
        <w:rPr>
          <w:rFonts w:hint="eastAsia" w:ascii="宋体" w:hAnsi="宋体" w:cs="宋体"/>
          <w:color w:val="auto"/>
          <w:szCs w:val="21"/>
          <w:highlight w:val="none"/>
          <w:u w:val="single"/>
          <w:lang w:val="en-US" w:eastAsia="zh-CN"/>
        </w:rPr>
        <w:t>2</w:t>
      </w:r>
      <w:r>
        <w:rPr>
          <w:rFonts w:hint="eastAsia" w:ascii="宋体" w:hAnsi="宋体" w:eastAsia="宋体" w:cs="宋体"/>
          <w:color w:val="auto"/>
          <w:szCs w:val="21"/>
          <w:highlight w:val="none"/>
          <w:u w:val="single"/>
        </w:rPr>
        <w:t>000元/人·天</w:t>
      </w:r>
      <w:r>
        <w:rPr>
          <w:rFonts w:hint="eastAsia" w:ascii="宋体" w:hAnsi="宋体" w:eastAsia="宋体" w:cs="宋体"/>
          <w:color w:val="auto"/>
          <w:szCs w:val="21"/>
          <w:highlight w:val="none"/>
          <w:u w:val="single"/>
          <w:lang w:val="en-US" w:eastAsia="zh-CN"/>
        </w:rPr>
        <w:t>处以</w:t>
      </w:r>
      <w:r>
        <w:rPr>
          <w:rFonts w:hint="eastAsia" w:ascii="宋体" w:hAnsi="宋体" w:eastAsia="宋体" w:cs="宋体"/>
          <w:color w:val="auto"/>
          <w:szCs w:val="21"/>
          <w:highlight w:val="none"/>
          <w:u w:val="single"/>
        </w:rPr>
        <w:t>违约金，28日内未整改调整到位的，发包人有权终止合同，并提请相关行政主管部门对企业和人员进行“黑名单”处罚</w:t>
      </w:r>
      <w:r>
        <w:rPr>
          <w:rFonts w:hint="eastAsia" w:ascii="宋体" w:hAnsi="宋体" w:eastAsia="宋体" w:cs="宋体"/>
          <w:color w:val="000000"/>
          <w:highlight w:val="none"/>
          <w:u w:val="single"/>
          <w:lang w:eastAsia="zh-CN"/>
        </w:rPr>
        <w:t>。</w:t>
      </w:r>
    </w:p>
    <w:p w14:paraId="6E545C3E">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highlight w:val="none"/>
        </w:rPr>
      </w:pPr>
      <w:r>
        <w:rPr>
          <w:rFonts w:hint="eastAsia" w:ascii="宋体" w:cs="宋体"/>
          <w:szCs w:val="21"/>
          <w:highlight w:val="none"/>
        </w:rPr>
        <w:t>3.3 承包人人员</w:t>
      </w:r>
    </w:p>
    <w:p w14:paraId="255F90F6">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highlight w:val="none"/>
        </w:rPr>
      </w:pPr>
      <w:r>
        <w:rPr>
          <w:rFonts w:hint="eastAsia" w:ascii="宋体" w:cs="宋体"/>
          <w:szCs w:val="21"/>
          <w:highlight w:val="none"/>
        </w:rPr>
        <w:t>3.3.1 承包人提交项目管理机构及施工现场管理人员安排报告的期限：</w:t>
      </w:r>
      <w:r>
        <w:rPr>
          <w:rFonts w:hint="eastAsia" w:ascii="宋体" w:cs="宋体"/>
          <w:szCs w:val="21"/>
          <w:highlight w:val="none"/>
          <w:u w:val="single"/>
        </w:rPr>
        <w:t>承包人应在</w:t>
      </w:r>
      <w:r>
        <w:rPr>
          <w:rFonts w:hint="eastAsia"/>
          <w:highlight w:val="none"/>
          <w:u w:val="single"/>
        </w:rPr>
        <w:t>合同签订</w:t>
      </w:r>
      <w:r>
        <w:rPr>
          <w:rFonts w:hint="eastAsia" w:ascii="宋体" w:cs="宋体"/>
          <w:szCs w:val="21"/>
          <w:highlight w:val="none"/>
          <w:u w:val="single"/>
        </w:rPr>
        <w:t>后7日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0ABFF03D">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u w:val="single"/>
        </w:rPr>
      </w:pPr>
      <w:r>
        <w:rPr>
          <w:rFonts w:hint="eastAsia" w:ascii="宋体" w:cs="宋体"/>
          <w:szCs w:val="21"/>
          <w:highlight w:val="none"/>
        </w:rPr>
        <w:t>3.3.3 承包人无正当理由拒绝撤换主要施工管理人员的违约责任：</w:t>
      </w:r>
      <w:r>
        <w:rPr>
          <w:rFonts w:hint="eastAsia" w:ascii="宋体" w:cs="宋体"/>
          <w:szCs w:val="21"/>
          <w:highlight w:val="none"/>
          <w:u w:val="single"/>
        </w:rPr>
        <w:t xml:space="preserve"> </w:t>
      </w:r>
      <w:r>
        <w:rPr>
          <w:rFonts w:hint="eastAsia" w:ascii="宋体" w:hAnsi="宋体" w:eastAsia="宋体" w:cs="宋体"/>
          <w:color w:val="auto"/>
          <w:szCs w:val="21"/>
          <w:highlight w:val="none"/>
          <w:u w:val="single"/>
        </w:rPr>
        <w:t>发包人将组织对人员进行业务能力考核，对未按投标文件配备或经考核不合格要求更换人员的，承包人7日内必须整改调整到位。否则，对于施工现场其他管理人员按照1000元/人·天</w:t>
      </w:r>
      <w:r>
        <w:rPr>
          <w:rFonts w:hint="eastAsia" w:ascii="宋体" w:hAnsi="宋体" w:eastAsia="宋体" w:cs="宋体"/>
          <w:color w:val="auto"/>
          <w:szCs w:val="21"/>
          <w:highlight w:val="none"/>
          <w:u w:val="single"/>
          <w:lang w:val="en-US" w:eastAsia="zh-CN"/>
        </w:rPr>
        <w:t>处以</w:t>
      </w:r>
      <w:r>
        <w:rPr>
          <w:rFonts w:hint="eastAsia" w:ascii="宋体" w:hAnsi="宋体" w:eastAsia="宋体" w:cs="宋体"/>
          <w:color w:val="auto"/>
          <w:szCs w:val="21"/>
          <w:highlight w:val="none"/>
          <w:u w:val="single"/>
        </w:rPr>
        <w:t>违约金。28日内未整改调整到位的，发包人有权终止合同，并提请相关行政主管部门对企业和人员进行“黑名单”处罚</w:t>
      </w:r>
      <w:r>
        <w:rPr>
          <w:rFonts w:hint="eastAsia" w:ascii="宋体" w:cs="宋体"/>
          <w:szCs w:val="21"/>
          <w:u w:val="single"/>
        </w:rPr>
        <w:t>。</w:t>
      </w:r>
    </w:p>
    <w:p w14:paraId="0D17F701">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hAnsi="宋体" w:eastAsia="宋体" w:cs="宋体"/>
          <w:color w:val="auto"/>
          <w:szCs w:val="21"/>
          <w:u w:val="single"/>
        </w:rPr>
      </w:pPr>
      <w:r>
        <w:rPr>
          <w:rFonts w:hint="eastAsia" w:ascii="宋体" w:cs="宋体"/>
          <w:szCs w:val="21"/>
        </w:rPr>
        <w:t>3.3.4 承包人主要施工管理人员离开施工现场的批准要求：</w:t>
      </w:r>
      <w:r>
        <w:rPr>
          <w:rFonts w:hint="eastAsia" w:ascii="宋体" w:hAnsi="宋体" w:eastAsia="宋体" w:cs="宋体"/>
          <w:color w:val="auto"/>
          <w:szCs w:val="21"/>
          <w:u w:val="single"/>
        </w:rPr>
        <w:t>发包人、监理人将对项目经理、</w:t>
      </w:r>
      <w:r>
        <w:rPr>
          <w:rFonts w:hint="default" w:ascii="宋体" w:hAnsi="宋体" w:eastAsia="宋体" w:cs="宋体"/>
          <w:color w:val="auto"/>
          <w:szCs w:val="21"/>
          <w:u w:val="single"/>
          <w:lang w:val="en-US" w:eastAsia="zh-CN"/>
        </w:rPr>
        <w:t>其他管理和技术人员</w:t>
      </w:r>
      <w:r>
        <w:rPr>
          <w:rFonts w:hint="eastAsia" w:ascii="宋体" w:hAnsi="宋体" w:eastAsia="宋体" w:cs="宋体"/>
          <w:color w:val="auto"/>
          <w:szCs w:val="21"/>
          <w:u w:val="single"/>
        </w:rPr>
        <w:t>实行考勤制度，必须保证上述人员每月至少有22天在本项目工地现场，短期离开施工场地，应事先征得监理人、发包人书面同意，并委派代表代行其职责。在工程实施期间，项目经理、总工未经批准离开工地的或月考勤不足22天的，</w:t>
      </w:r>
      <w:r>
        <w:rPr>
          <w:rFonts w:hint="eastAsia" w:ascii="宋体" w:hAnsi="宋体" w:eastAsia="宋体" w:cs="宋体"/>
          <w:color w:val="auto"/>
          <w:szCs w:val="21"/>
          <w:highlight w:val="none"/>
          <w:u w:val="single"/>
        </w:rPr>
        <w:t>按</w:t>
      </w:r>
      <w:r>
        <w:rPr>
          <w:rFonts w:hint="eastAsia" w:ascii="宋体" w:hAnsi="宋体" w:cs="宋体"/>
          <w:color w:val="auto"/>
          <w:szCs w:val="21"/>
          <w:highlight w:val="none"/>
          <w:u w:val="single"/>
          <w:lang w:val="en-US" w:eastAsia="zh-CN"/>
        </w:rPr>
        <w:t>2</w:t>
      </w:r>
      <w:r>
        <w:rPr>
          <w:rFonts w:hint="eastAsia" w:ascii="宋体" w:hAnsi="宋体" w:eastAsia="宋体" w:cs="宋体"/>
          <w:color w:val="auto"/>
          <w:szCs w:val="21"/>
          <w:highlight w:val="none"/>
          <w:u w:val="single"/>
        </w:rPr>
        <w:t>000元/人•天</w:t>
      </w:r>
      <w:r>
        <w:rPr>
          <w:rFonts w:hint="eastAsia" w:ascii="宋体" w:hAnsi="宋体" w:eastAsia="宋体" w:cs="宋体"/>
          <w:color w:val="auto"/>
          <w:szCs w:val="21"/>
          <w:highlight w:val="none"/>
          <w:u w:val="single"/>
          <w:lang w:val="en-US" w:eastAsia="zh-CN"/>
        </w:rPr>
        <w:t>处以</w:t>
      </w:r>
      <w:r>
        <w:rPr>
          <w:rFonts w:hint="eastAsia" w:ascii="宋体" w:hAnsi="宋体" w:eastAsia="宋体" w:cs="宋体"/>
          <w:color w:val="auto"/>
          <w:szCs w:val="21"/>
          <w:highlight w:val="none"/>
          <w:u w:val="single"/>
        </w:rPr>
        <w:t>违约金</w:t>
      </w:r>
      <w:r>
        <w:rPr>
          <w:rFonts w:hint="eastAsia" w:ascii="宋体" w:hAnsi="宋体" w:eastAsia="宋体" w:cs="宋体"/>
          <w:color w:val="auto"/>
          <w:szCs w:val="21"/>
          <w:u w:val="single"/>
        </w:rPr>
        <w:t>，同时将作为承包人信誉评价的不良行为，上报</w:t>
      </w:r>
      <w:r>
        <w:rPr>
          <w:rFonts w:hint="eastAsia" w:ascii="宋体" w:hAnsi="宋体" w:eastAsia="宋体" w:cs="宋体"/>
          <w:color w:val="auto"/>
          <w:szCs w:val="21"/>
          <w:u w:val="single"/>
          <w:lang w:val="en-US" w:eastAsia="zh-CN"/>
        </w:rPr>
        <w:t>行政</w:t>
      </w:r>
      <w:r>
        <w:rPr>
          <w:rFonts w:hint="eastAsia" w:ascii="宋体" w:hAnsi="宋体" w:eastAsia="宋体" w:cs="宋体"/>
          <w:color w:val="auto"/>
          <w:szCs w:val="21"/>
          <w:u w:val="single"/>
        </w:rPr>
        <w:t>主管部门。</w:t>
      </w:r>
    </w:p>
    <w:p w14:paraId="4EEE0B3C">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u w:val="single"/>
        </w:rPr>
      </w:pPr>
      <w:r>
        <w:rPr>
          <w:rFonts w:hint="eastAsia" w:ascii="宋体" w:cs="宋体"/>
          <w:szCs w:val="21"/>
        </w:rPr>
        <w:t>3.3.5承包人擅自更换主要施工管理人员的违约责任：</w:t>
      </w:r>
      <w:r>
        <w:rPr>
          <w:rFonts w:hint="eastAsia" w:ascii="宋体" w:cs="宋体"/>
          <w:szCs w:val="21"/>
          <w:u w:val="single"/>
        </w:rPr>
        <w:t>按照未按规定在岗履责进行处罚。</w:t>
      </w:r>
    </w:p>
    <w:p w14:paraId="3A806AB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承包人主要施工管理人员擅自离开施工现场的违约责任：</w:t>
      </w:r>
      <w:r>
        <w:rPr>
          <w:rFonts w:hint="eastAsia" w:ascii="宋体" w:hAnsi="宋体" w:cs="宋体"/>
          <w:color w:val="000000"/>
          <w:u w:val="single"/>
        </w:rPr>
        <w:t xml:space="preserve"> </w:t>
      </w:r>
      <w:r>
        <w:rPr>
          <w:rFonts w:hint="eastAsia" w:ascii="宋体" w:hAnsi="宋体" w:cs="宋体"/>
          <w:color w:val="000000"/>
          <w:szCs w:val="21"/>
          <w:u w:val="single"/>
          <w:lang w:val="en-US" w:eastAsia="zh-CN"/>
        </w:rPr>
        <w:t>按照</w:t>
      </w:r>
      <w:r>
        <w:rPr>
          <w:rFonts w:hint="eastAsia" w:ascii="宋体" w:hAnsi="宋体" w:eastAsia="宋体" w:cs="宋体"/>
          <w:color w:val="auto"/>
          <w:szCs w:val="21"/>
          <w:highlight w:val="none"/>
          <w:u w:val="single"/>
        </w:rPr>
        <w:t>未按规定在岗履责进行处罚</w:t>
      </w:r>
      <w:r>
        <w:rPr>
          <w:rFonts w:hint="eastAsia" w:ascii="宋体" w:hAnsi="宋体" w:cs="宋体"/>
          <w:color w:val="000000"/>
          <w:u w:val="single"/>
        </w:rPr>
        <w:t xml:space="preserve"> </w:t>
      </w:r>
      <w:r>
        <w:rPr>
          <w:rFonts w:hint="eastAsia" w:ascii="宋体" w:hAnsi="宋体" w:cs="宋体"/>
          <w:color w:val="000000"/>
        </w:rPr>
        <w:t>。</w:t>
      </w:r>
    </w:p>
    <w:p w14:paraId="36036898">
      <w:pPr>
        <w:snapToGrid w:val="0"/>
        <w:spacing w:line="440" w:lineRule="exact"/>
        <w:ind w:firstLine="420" w:firstLineChars="200"/>
        <w:rPr>
          <w:rFonts w:hint="eastAsia" w:ascii="宋体" w:cs="宋体"/>
          <w:szCs w:val="21"/>
        </w:rPr>
      </w:pPr>
      <w:r>
        <w:rPr>
          <w:rFonts w:hint="eastAsia" w:ascii="宋体" w:cs="宋体"/>
          <w:szCs w:val="21"/>
        </w:rPr>
        <w:t>3.5 分包</w:t>
      </w:r>
    </w:p>
    <w:p w14:paraId="75D5498A">
      <w:pPr>
        <w:snapToGrid w:val="0"/>
        <w:spacing w:line="440" w:lineRule="exact"/>
        <w:ind w:firstLine="420" w:firstLineChars="200"/>
        <w:rPr>
          <w:rFonts w:hint="eastAsia" w:ascii="宋体" w:cs="宋体"/>
          <w:szCs w:val="21"/>
        </w:rPr>
      </w:pPr>
      <w:r>
        <w:rPr>
          <w:rFonts w:hint="eastAsia" w:ascii="宋体" w:cs="宋体"/>
          <w:szCs w:val="21"/>
        </w:rPr>
        <w:t>3.5.1 分包的一般约定</w:t>
      </w:r>
    </w:p>
    <w:p w14:paraId="179597DD">
      <w:pPr>
        <w:snapToGrid w:val="0"/>
        <w:spacing w:line="440" w:lineRule="exact"/>
        <w:ind w:firstLine="420" w:firstLineChars="200"/>
        <w:jc w:val="left"/>
        <w:rPr>
          <w:rFonts w:hint="eastAsia" w:ascii="宋体" w:cs="宋体"/>
          <w:szCs w:val="21"/>
          <w:u w:val="single"/>
        </w:rPr>
      </w:pPr>
      <w:r>
        <w:rPr>
          <w:rFonts w:hint="eastAsia" w:ascii="宋体" w:cs="宋体"/>
          <w:szCs w:val="21"/>
        </w:rPr>
        <w:t>禁止分包的工程包括：</w:t>
      </w:r>
      <w:r>
        <w:rPr>
          <w:rFonts w:hint="eastAsia" w:ascii="宋体" w:cs="宋体"/>
          <w:szCs w:val="21"/>
          <w:u w:val="single"/>
        </w:rPr>
        <w:t>承包人不得将其承包的全部工程转包给第三人，或将其承包的全部工程肢解后以分包的名义转包给第三人。承包人不得将工程主体结构、关键性工作及合同条款中禁止分包的专业工程分包给第三人，主体结构、关键性工作的范围由合同当事人按照法律规定在专用合同条款中予以明确。</w:t>
      </w:r>
    </w:p>
    <w:p w14:paraId="1BD0FF18">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主体结构、关键性工作的范围：</w:t>
      </w:r>
      <w:r>
        <w:rPr>
          <w:rFonts w:hint="eastAsia" w:ascii="宋体" w:cs="宋体"/>
          <w:szCs w:val="21"/>
          <w:highlight w:val="none"/>
          <w:u w:val="single"/>
        </w:rPr>
        <w:t>房建</w:t>
      </w:r>
      <w:r>
        <w:rPr>
          <w:rFonts w:hint="eastAsia" w:ascii="宋体" w:cs="宋体"/>
          <w:szCs w:val="21"/>
          <w:highlight w:val="none"/>
          <w:u w:val="single"/>
          <w:lang w:eastAsia="zh-CN"/>
        </w:rPr>
        <w:t>、</w:t>
      </w:r>
      <w:r>
        <w:rPr>
          <w:rFonts w:hint="eastAsia" w:ascii="宋体" w:cs="宋体"/>
          <w:szCs w:val="21"/>
          <w:highlight w:val="none"/>
          <w:u w:val="single"/>
        </w:rPr>
        <w:t>道路为主体结构</w:t>
      </w:r>
      <w:r>
        <w:rPr>
          <w:rFonts w:hint="eastAsia" w:ascii="宋体" w:cs="宋体"/>
          <w:szCs w:val="21"/>
          <w:highlight w:val="none"/>
        </w:rPr>
        <w:t>。</w:t>
      </w:r>
    </w:p>
    <w:p w14:paraId="604036A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3.5.2分包的确定</w:t>
      </w:r>
    </w:p>
    <w:p w14:paraId="61D1440D">
      <w:pPr>
        <w:snapToGrid w:val="0"/>
        <w:spacing w:line="440" w:lineRule="exact"/>
        <w:ind w:firstLine="420" w:firstLineChars="200"/>
        <w:rPr>
          <w:rFonts w:hint="eastAsia" w:ascii="宋体" w:cs="宋体"/>
          <w:szCs w:val="21"/>
          <w:highlight w:val="yellow"/>
          <w:u w:val="single"/>
        </w:rPr>
      </w:pPr>
      <w:r>
        <w:rPr>
          <w:rFonts w:hint="eastAsia" w:ascii="宋体" w:cs="宋体"/>
          <w:szCs w:val="21"/>
          <w:highlight w:val="none"/>
        </w:rPr>
        <w:t>允许分包的专业工程包括：</w:t>
      </w:r>
      <w:r>
        <w:rPr>
          <w:rFonts w:hint="eastAsia" w:ascii="宋体" w:cs="宋体"/>
          <w:szCs w:val="21"/>
          <w:highlight w:val="none"/>
          <w:u w:val="single"/>
        </w:rPr>
        <w:t>主体结构、关键性工作的范围以外的专业工程。 承包人应按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0F098825">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其他关于分包的约定：</w:t>
      </w:r>
      <w:r>
        <w:rPr>
          <w:rFonts w:hint="eastAsia" w:ascii="宋体" w:cs="宋体"/>
          <w:szCs w:val="21"/>
          <w:highlight w:val="none"/>
          <w:u w:val="single"/>
        </w:rPr>
        <w:t xml:space="preserve"> 承包人不得以劳务分包的名义转包或违法分包工程。</w:t>
      </w:r>
      <w:r>
        <w:rPr>
          <w:rFonts w:hint="eastAsia" w:ascii="宋体" w:hAnsi="宋体" w:cs="宋体"/>
          <w:b/>
          <w:bCs/>
          <w:szCs w:val="21"/>
          <w:highlight w:val="none"/>
          <w:u w:val="single"/>
        </w:rPr>
        <w:t>发包人在施工进场第一个月或施工过程中发现承包人转包、挂靠等行为的，发包人立即解除合同，清退出场，承包人已完合格工程量按合同价款60%进行结算。</w:t>
      </w:r>
    </w:p>
    <w:p w14:paraId="6D539E9D">
      <w:pPr>
        <w:snapToGrid w:val="0"/>
        <w:spacing w:line="440" w:lineRule="exact"/>
        <w:ind w:firstLine="420" w:firstLineChars="200"/>
        <w:rPr>
          <w:rFonts w:hint="eastAsia" w:ascii="宋体" w:cs="宋体"/>
          <w:szCs w:val="21"/>
        </w:rPr>
      </w:pPr>
      <w:r>
        <w:rPr>
          <w:rFonts w:hint="eastAsia" w:ascii="宋体" w:cs="宋体"/>
          <w:szCs w:val="21"/>
        </w:rPr>
        <w:t>3.5.4 分包合同价款</w:t>
      </w:r>
    </w:p>
    <w:p w14:paraId="2AB133F9">
      <w:pPr>
        <w:snapToGrid w:val="0"/>
        <w:spacing w:line="440" w:lineRule="exact"/>
        <w:ind w:firstLine="420" w:firstLineChars="200"/>
        <w:rPr>
          <w:rFonts w:hint="eastAsia" w:ascii="宋体" w:cs="宋体"/>
          <w:szCs w:val="21"/>
          <w:u w:val="single"/>
        </w:rPr>
      </w:pPr>
      <w:r>
        <w:rPr>
          <w:rFonts w:hint="eastAsia" w:ascii="宋体" w:cs="宋体"/>
          <w:szCs w:val="21"/>
        </w:rPr>
        <w:t>关于分包合同价款支付的约定：</w:t>
      </w:r>
      <w:r>
        <w:rPr>
          <w:rFonts w:hint="eastAsia" w:ascii="宋体" w:cs="宋体"/>
          <w:szCs w:val="21"/>
          <w:u w:val="single"/>
        </w:rPr>
        <w:t>（1）除本项第（2）目约定的情况外，分包合同价款由承包人与分包人结算，未经承包人同意，发包人不得向分包人支付分包工程价款；（2）生效法律文书要求发包人向分包人支付分包合同价款的，发包人有权从应付承包人工程款中扣除该部分款项</w:t>
      </w:r>
      <w:r>
        <w:rPr>
          <w:rFonts w:hint="eastAsia" w:ascii="宋体" w:cs="宋体"/>
          <w:szCs w:val="21"/>
        </w:rPr>
        <w:t>。</w:t>
      </w:r>
    </w:p>
    <w:p w14:paraId="3890FC7F">
      <w:pPr>
        <w:snapToGrid w:val="0"/>
        <w:spacing w:line="440" w:lineRule="exact"/>
        <w:ind w:firstLine="420" w:firstLineChars="200"/>
        <w:rPr>
          <w:rFonts w:hint="eastAsia" w:ascii="宋体" w:cs="宋体"/>
          <w:szCs w:val="21"/>
        </w:rPr>
      </w:pPr>
      <w:r>
        <w:rPr>
          <w:rFonts w:hint="eastAsia" w:ascii="宋体" w:cs="宋体"/>
          <w:szCs w:val="21"/>
        </w:rPr>
        <w:t>3.6 工程照管与成品、半成品保护</w:t>
      </w:r>
    </w:p>
    <w:p w14:paraId="2F3165FC">
      <w:pPr>
        <w:snapToGrid w:val="0"/>
        <w:spacing w:line="440" w:lineRule="exact"/>
        <w:ind w:firstLine="420" w:firstLineChars="200"/>
        <w:rPr>
          <w:rFonts w:hint="eastAsia" w:ascii="宋体" w:cs="宋体"/>
          <w:kern w:val="0"/>
          <w:szCs w:val="21"/>
          <w:u w:val="single"/>
        </w:rPr>
      </w:pPr>
      <w:r>
        <w:rPr>
          <w:rFonts w:hint="eastAsia" w:ascii="宋体" w:cs="宋体"/>
          <w:kern w:val="0"/>
          <w:szCs w:val="21"/>
        </w:rPr>
        <w:t>承包人负责照管工程及工程相关的材料、工程设备的起始时间：</w:t>
      </w:r>
      <w:r>
        <w:rPr>
          <w:rFonts w:hint="eastAsia" w:ascii="宋体" w:hAnsi="宋体" w:cs="宋体"/>
          <w:color w:val="000000"/>
          <w:szCs w:val="21"/>
          <w:u w:val="single"/>
        </w:rPr>
        <w:t>自发包人向承包人移交施工现场之日起，承包人应负责照管工程及工程相关的材料、工程设备，直到颁发工程</w:t>
      </w:r>
      <w:r>
        <w:rPr>
          <w:rFonts w:hint="eastAsia" w:ascii="宋体" w:hAnsi="宋体" w:cs="宋体"/>
          <w:color w:val="auto"/>
          <w:szCs w:val="21"/>
          <w:u w:val="single"/>
          <w:lang w:val="en-US" w:eastAsia="zh-CN"/>
        </w:rPr>
        <w:t>移交</w:t>
      </w:r>
      <w:r>
        <w:rPr>
          <w:rFonts w:hint="eastAsia" w:ascii="宋体" w:hAnsi="宋体" w:cs="宋体"/>
          <w:color w:val="auto"/>
          <w:szCs w:val="21"/>
          <w:u w:val="single"/>
        </w:rPr>
        <w:t>之</w:t>
      </w:r>
      <w:r>
        <w:rPr>
          <w:rFonts w:hint="eastAsia" w:ascii="宋体" w:hAnsi="宋体" w:cs="宋体"/>
          <w:color w:val="000000"/>
          <w:szCs w:val="21"/>
          <w:u w:val="single"/>
        </w:rPr>
        <w:t>日止</w:t>
      </w:r>
      <w:r>
        <w:rPr>
          <w:rFonts w:hint="eastAsia" w:ascii="宋体" w:cs="宋体"/>
          <w:kern w:val="0"/>
          <w:szCs w:val="21"/>
          <w:u w:val="single"/>
        </w:rPr>
        <w:t>。</w:t>
      </w:r>
    </w:p>
    <w:p w14:paraId="7F366C5E">
      <w:pPr>
        <w:tabs>
          <w:tab w:val="left" w:pos="7740"/>
        </w:tabs>
        <w:snapToGrid w:val="0"/>
        <w:spacing w:line="440" w:lineRule="exact"/>
        <w:ind w:firstLine="420" w:firstLineChars="200"/>
        <w:rPr>
          <w:rFonts w:hint="eastAsia" w:ascii="宋体" w:cs="宋体"/>
          <w:szCs w:val="21"/>
        </w:rPr>
      </w:pPr>
      <w:r>
        <w:rPr>
          <w:rFonts w:hint="eastAsia" w:ascii="宋体" w:cs="宋体"/>
          <w:szCs w:val="21"/>
        </w:rPr>
        <w:t>3.7 履约担保</w:t>
      </w:r>
    </w:p>
    <w:p w14:paraId="214B02E2">
      <w:pPr>
        <w:tabs>
          <w:tab w:val="left" w:pos="77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承包人是否提供履约担保：</w:t>
      </w:r>
      <w:r>
        <w:rPr>
          <w:rFonts w:hint="eastAsia" w:ascii="宋体" w:cs="宋体"/>
          <w:szCs w:val="21"/>
          <w:highlight w:val="none"/>
          <w:u w:val="single"/>
        </w:rPr>
        <w:t xml:space="preserve"> </w:t>
      </w:r>
      <w:r>
        <w:rPr>
          <w:rFonts w:hint="eastAsia" w:ascii="宋体" w:hAnsi="宋体" w:cs="宋体"/>
          <w:color w:val="000000"/>
          <w:szCs w:val="21"/>
          <w:highlight w:val="none"/>
          <w:u w:val="single"/>
        </w:rPr>
        <w:t>提供</w:t>
      </w:r>
      <w:r>
        <w:rPr>
          <w:rFonts w:hint="eastAsia" w:ascii="宋体" w:cs="宋体"/>
          <w:szCs w:val="21"/>
          <w:highlight w:val="none"/>
          <w:u w:val="single"/>
        </w:rPr>
        <w:t xml:space="preserve">  </w:t>
      </w:r>
      <w:r>
        <w:rPr>
          <w:rFonts w:hint="eastAsia" w:ascii="宋体" w:cs="宋体"/>
          <w:szCs w:val="21"/>
          <w:highlight w:val="none"/>
        </w:rPr>
        <w:t>。</w:t>
      </w:r>
    </w:p>
    <w:p w14:paraId="683A46A0">
      <w:pPr>
        <w:tabs>
          <w:tab w:val="left" w:pos="77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承包人提供履约担保的形式、金额及期限的：</w:t>
      </w:r>
      <w:r>
        <w:rPr>
          <w:rFonts w:hint="eastAsia" w:ascii="宋体" w:cs="宋体"/>
          <w:szCs w:val="21"/>
          <w:highlight w:val="none"/>
          <w:lang w:val="en-US" w:eastAsia="zh-CN"/>
        </w:rPr>
        <w:t>具体要求详见投标人须知前附表</w:t>
      </w:r>
      <w:r>
        <w:rPr>
          <w:rFonts w:hint="eastAsia" w:ascii="宋体" w:cs="宋体"/>
          <w:szCs w:val="21"/>
          <w:highlight w:val="none"/>
        </w:rPr>
        <w:t>。</w:t>
      </w:r>
    </w:p>
    <w:p w14:paraId="38296A20">
      <w:pPr>
        <w:tabs>
          <w:tab w:val="left" w:pos="77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4. 监理人</w:t>
      </w:r>
    </w:p>
    <w:p w14:paraId="007344C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4.1监理人的一般规定</w:t>
      </w:r>
    </w:p>
    <w:p w14:paraId="09044A47">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关于监理人的监理内容：</w:t>
      </w:r>
      <w:r>
        <w:rPr>
          <w:rFonts w:hint="eastAsia" w:ascii="宋体" w:cs="宋体"/>
          <w:szCs w:val="21"/>
          <w:highlight w:val="none"/>
          <w:u w:val="single"/>
        </w:rPr>
        <w:t xml:space="preserve">  详见监理合同 </w:t>
      </w:r>
      <w:r>
        <w:rPr>
          <w:rFonts w:hint="eastAsia" w:ascii="宋体" w:cs="宋体"/>
          <w:szCs w:val="21"/>
          <w:highlight w:val="none"/>
        </w:rPr>
        <w:t>。</w:t>
      </w:r>
    </w:p>
    <w:p w14:paraId="7F628324">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关于监理人的监理权限：</w:t>
      </w:r>
      <w:r>
        <w:rPr>
          <w:rFonts w:hint="eastAsia" w:ascii="宋体" w:cs="宋体"/>
          <w:szCs w:val="21"/>
          <w:highlight w:val="none"/>
          <w:u w:val="single"/>
        </w:rPr>
        <w:t xml:space="preserve"> 发布开工令、停工令、复工令权；工程质量的监督权；工程上使用的材料和施工质量检验权、确认权；工程施工进度、安全的检查、监督权、发包人授权的处罚权；工程款支付的审核权；向承包人提出施工组织设计和技术方案的建议权；发包人和承包人间的组织协调的主持权；撤换不合格的工程建设分包单位和项目负责人及有关人员的建议权；分包单位资质及能力的审查权；等等  </w:t>
      </w:r>
      <w:r>
        <w:rPr>
          <w:rFonts w:hint="eastAsia" w:ascii="宋体" w:cs="宋体"/>
          <w:szCs w:val="21"/>
          <w:highlight w:val="none"/>
        </w:rPr>
        <w:t xml:space="preserve">。 </w:t>
      </w:r>
    </w:p>
    <w:p w14:paraId="2993D52B">
      <w:pPr>
        <w:snapToGrid w:val="0"/>
        <w:spacing w:line="440" w:lineRule="exact"/>
        <w:ind w:firstLine="420" w:firstLineChars="200"/>
        <w:rPr>
          <w:rFonts w:hint="eastAsia" w:ascii="宋体" w:cs="宋体"/>
          <w:szCs w:val="21"/>
          <w:highlight w:val="none"/>
          <w:u w:val="single"/>
        </w:rPr>
      </w:pPr>
      <w:r>
        <w:rPr>
          <w:rFonts w:hint="eastAsia" w:ascii="宋体" w:cs="宋体"/>
          <w:szCs w:val="21"/>
          <w:highlight w:val="none"/>
        </w:rPr>
        <w:t>关于监理人在施工现场的办公场所、生活场所的提供和费用承担的约定：</w:t>
      </w:r>
      <w:r>
        <w:rPr>
          <w:rFonts w:hint="eastAsia" w:ascii="宋体" w:cs="宋体"/>
          <w:szCs w:val="21"/>
          <w:highlight w:val="none"/>
          <w:u w:val="single"/>
        </w:rPr>
        <w:t>办公场所由承包人提供和承担，生活场所由监理人自行解决和承担 。</w:t>
      </w:r>
    </w:p>
    <w:p w14:paraId="6874475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4.2 监理人员</w:t>
      </w:r>
    </w:p>
    <w:p w14:paraId="1A37E99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总监理工程师：</w:t>
      </w:r>
    </w:p>
    <w:p w14:paraId="4683FF8C">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姓    名：</w:t>
      </w:r>
      <w:r>
        <w:rPr>
          <w:rFonts w:hint="eastAsia" w:ascii="宋体" w:cs="宋体"/>
          <w:szCs w:val="21"/>
          <w:highlight w:val="none"/>
          <w:u w:val="single"/>
        </w:rPr>
        <w:t>   </w:t>
      </w:r>
      <w:r>
        <w:rPr>
          <w:rFonts w:hint="eastAsia" w:ascii="宋体" w:cs="宋体"/>
          <w:szCs w:val="21"/>
          <w:highlight w:val="none"/>
        </w:rPr>
        <w:t>；</w:t>
      </w:r>
    </w:p>
    <w:p w14:paraId="5904DAFE">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职    务：</w:t>
      </w:r>
      <w:r>
        <w:rPr>
          <w:rFonts w:hint="eastAsia" w:ascii="宋体" w:cs="宋体"/>
          <w:szCs w:val="21"/>
          <w:highlight w:val="none"/>
          <w:u w:val="single"/>
        </w:rPr>
        <w:t>   </w:t>
      </w:r>
      <w:r>
        <w:rPr>
          <w:rFonts w:hint="eastAsia" w:ascii="宋体" w:cs="宋体"/>
          <w:szCs w:val="21"/>
          <w:highlight w:val="none"/>
        </w:rPr>
        <w:t>；</w:t>
      </w:r>
    </w:p>
    <w:p w14:paraId="58C9F6F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监理工程师执业资格证书号：</w:t>
      </w:r>
      <w:r>
        <w:rPr>
          <w:rFonts w:hint="eastAsia" w:ascii="宋体" w:cs="宋体"/>
          <w:szCs w:val="21"/>
          <w:highlight w:val="none"/>
          <w:u w:val="single"/>
        </w:rPr>
        <w:t> </w:t>
      </w:r>
      <w:r>
        <w:rPr>
          <w:rFonts w:hint="eastAsia" w:ascii="宋体" w:cs="宋体"/>
          <w:szCs w:val="21"/>
          <w:highlight w:val="none"/>
        </w:rPr>
        <w:t>；</w:t>
      </w:r>
    </w:p>
    <w:p w14:paraId="56E09EDD">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联系电话：</w:t>
      </w:r>
      <w:r>
        <w:rPr>
          <w:rFonts w:hint="eastAsia" w:ascii="宋体" w:cs="宋体"/>
          <w:szCs w:val="21"/>
          <w:highlight w:val="none"/>
          <w:u w:val="single"/>
        </w:rPr>
        <w:t>   </w:t>
      </w:r>
      <w:r>
        <w:rPr>
          <w:rFonts w:hint="eastAsia" w:ascii="宋体" w:cs="宋体"/>
          <w:szCs w:val="21"/>
          <w:highlight w:val="none"/>
        </w:rPr>
        <w:t>；</w:t>
      </w:r>
    </w:p>
    <w:p w14:paraId="44319910">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电子信箱：</w:t>
      </w:r>
      <w:r>
        <w:rPr>
          <w:rFonts w:hint="eastAsia" w:ascii="宋体" w:cs="宋体"/>
          <w:szCs w:val="21"/>
          <w:highlight w:val="none"/>
          <w:u w:val="single"/>
        </w:rPr>
        <w:t>   </w:t>
      </w:r>
      <w:r>
        <w:rPr>
          <w:rFonts w:hint="eastAsia" w:ascii="宋体" w:cs="宋体"/>
          <w:szCs w:val="21"/>
          <w:highlight w:val="none"/>
        </w:rPr>
        <w:t>；</w:t>
      </w:r>
    </w:p>
    <w:p w14:paraId="7B91E098">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通信地址：</w:t>
      </w:r>
      <w:r>
        <w:rPr>
          <w:rFonts w:hint="eastAsia" w:ascii="宋体" w:cs="宋体"/>
          <w:szCs w:val="21"/>
          <w:highlight w:val="none"/>
          <w:u w:val="single"/>
        </w:rPr>
        <w:t>   </w:t>
      </w:r>
      <w:r>
        <w:rPr>
          <w:rFonts w:hint="eastAsia" w:ascii="宋体" w:cs="宋体"/>
          <w:szCs w:val="21"/>
          <w:highlight w:val="none"/>
        </w:rPr>
        <w:t>；</w:t>
      </w:r>
    </w:p>
    <w:p w14:paraId="7C3A346F">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关于监理人的其他约定：</w:t>
      </w:r>
      <w:r>
        <w:rPr>
          <w:rFonts w:hint="eastAsia" w:ascii="宋体" w:cs="宋体"/>
          <w:szCs w:val="21"/>
          <w:highlight w:val="none"/>
          <w:u w:val="single"/>
        </w:rPr>
        <w:t>   </w:t>
      </w:r>
      <w:r>
        <w:rPr>
          <w:rFonts w:hint="eastAsia" w:ascii="宋体" w:cs="宋体"/>
          <w:szCs w:val="21"/>
          <w:highlight w:val="none"/>
        </w:rPr>
        <w:t>。</w:t>
      </w:r>
    </w:p>
    <w:p w14:paraId="436AC60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4.4 商定或确定</w:t>
      </w:r>
    </w:p>
    <w:p w14:paraId="25D9F5A9">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在发包人和承包人不能通过协商达成一致意见时，发包人授权监理人对以下事项进行确定：</w:t>
      </w:r>
    </w:p>
    <w:p w14:paraId="5D80E276">
      <w:pPr>
        <w:autoSpaceDE w:val="0"/>
        <w:autoSpaceDN w:val="0"/>
        <w:adjustRightInd w:val="0"/>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（1）</w:t>
      </w:r>
      <w:r>
        <w:rPr>
          <w:rFonts w:hint="eastAsia" w:ascii="宋体" w:cs="宋体"/>
          <w:szCs w:val="21"/>
          <w:highlight w:val="none"/>
          <w:u w:val="single"/>
        </w:rPr>
        <w:t xml:space="preserve">   施工方案    </w:t>
      </w:r>
      <w:r>
        <w:rPr>
          <w:rFonts w:hint="eastAsia" w:ascii="宋体" w:cs="宋体"/>
          <w:szCs w:val="21"/>
          <w:highlight w:val="none"/>
        </w:rPr>
        <w:t>；</w:t>
      </w:r>
    </w:p>
    <w:p w14:paraId="47EE63B8">
      <w:pPr>
        <w:autoSpaceDE w:val="0"/>
        <w:autoSpaceDN w:val="0"/>
        <w:adjustRightInd w:val="0"/>
        <w:snapToGrid w:val="0"/>
        <w:spacing w:line="440" w:lineRule="exact"/>
        <w:ind w:firstLine="420" w:firstLineChars="200"/>
        <w:jc w:val="left"/>
        <w:rPr>
          <w:rFonts w:hint="eastAsia" w:ascii="宋体" w:cs="宋体"/>
          <w:kern w:val="0"/>
          <w:szCs w:val="21"/>
          <w:highlight w:val="none"/>
        </w:rPr>
      </w:pPr>
      <w:r>
        <w:rPr>
          <w:rFonts w:hint="eastAsia" w:ascii="宋体" w:cs="宋体"/>
          <w:kern w:val="0"/>
          <w:szCs w:val="21"/>
          <w:highlight w:val="none"/>
        </w:rPr>
        <w:t>（2）</w:t>
      </w:r>
      <w:r>
        <w:rPr>
          <w:rFonts w:hint="eastAsia" w:ascii="宋体" w:cs="宋体"/>
          <w:szCs w:val="21"/>
          <w:highlight w:val="none"/>
          <w:u w:val="single"/>
        </w:rPr>
        <w:t xml:space="preserve">   索赔事项等    </w:t>
      </w:r>
      <w:r>
        <w:rPr>
          <w:rFonts w:hint="eastAsia" w:ascii="宋体" w:cs="宋体"/>
          <w:szCs w:val="21"/>
          <w:highlight w:val="none"/>
        </w:rPr>
        <w:t>；</w:t>
      </w:r>
    </w:p>
    <w:p w14:paraId="0B4B73F6">
      <w:pPr>
        <w:pStyle w:val="5"/>
        <w:snapToGrid w:val="0"/>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5. 工程质量</w:t>
      </w:r>
    </w:p>
    <w:p w14:paraId="725B46FA">
      <w:pPr>
        <w:snapToGrid w:val="0"/>
        <w:spacing w:line="440" w:lineRule="exact"/>
        <w:ind w:firstLine="420" w:firstLineChars="200"/>
        <w:rPr>
          <w:rFonts w:hint="eastAsia" w:ascii="宋体" w:cs="宋体"/>
          <w:szCs w:val="21"/>
        </w:rPr>
      </w:pPr>
      <w:r>
        <w:rPr>
          <w:rFonts w:hint="eastAsia" w:ascii="宋体" w:cs="宋体"/>
          <w:szCs w:val="21"/>
        </w:rPr>
        <w:t>5.1 质量要求</w:t>
      </w:r>
    </w:p>
    <w:p w14:paraId="7F8BE9EA">
      <w:pPr>
        <w:snapToGrid w:val="0"/>
        <w:spacing w:line="440" w:lineRule="exact"/>
        <w:ind w:firstLine="420" w:firstLineChars="200"/>
        <w:jc w:val="left"/>
        <w:rPr>
          <w:rFonts w:hint="eastAsia" w:ascii="宋体" w:cs="宋体"/>
          <w:szCs w:val="21"/>
        </w:rPr>
      </w:pPr>
      <w:r>
        <w:rPr>
          <w:rFonts w:hint="eastAsia" w:ascii="宋体" w:cs="宋体"/>
          <w:szCs w:val="21"/>
        </w:rPr>
        <w:t>5.1.1 特殊质量标准和要求：</w:t>
      </w:r>
      <w:r>
        <w:rPr>
          <w:rFonts w:hint="eastAsia" w:ascii="宋体" w:cs="宋体"/>
          <w:szCs w:val="21"/>
          <w:u w:val="single"/>
        </w:rPr>
        <w:t xml:space="preserve"> 工程质量必须达到国家工程施工质量验收 合格 标准。 </w:t>
      </w:r>
    </w:p>
    <w:p w14:paraId="52928622">
      <w:pPr>
        <w:snapToGrid w:val="0"/>
        <w:spacing w:line="440" w:lineRule="exact"/>
        <w:ind w:firstLine="420" w:firstLineChars="200"/>
        <w:jc w:val="left"/>
        <w:rPr>
          <w:rFonts w:hint="eastAsia" w:ascii="宋体" w:cs="宋体"/>
          <w:szCs w:val="21"/>
          <w:u w:val="single"/>
        </w:rPr>
      </w:pPr>
      <w:r>
        <w:rPr>
          <w:rFonts w:hint="eastAsia" w:ascii="宋体" w:cs="宋体"/>
          <w:szCs w:val="21"/>
        </w:rPr>
        <w:t>关于工程奖项的约定：</w:t>
      </w:r>
      <w:r>
        <w:rPr>
          <w:rFonts w:hint="eastAsia" w:ascii="宋体" w:cs="宋体"/>
          <w:szCs w:val="21"/>
          <w:u w:val="single"/>
        </w:rPr>
        <w:t xml:space="preserve"> / </w:t>
      </w:r>
      <w:r>
        <w:rPr>
          <w:rFonts w:hint="eastAsia" w:ascii="宋体" w:cs="宋体"/>
          <w:szCs w:val="21"/>
        </w:rPr>
        <w:t>。</w:t>
      </w:r>
    </w:p>
    <w:p w14:paraId="36944099">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rPr>
      </w:pPr>
      <w:r>
        <w:rPr>
          <w:rFonts w:hint="eastAsia" w:ascii="宋体" w:cs="宋体"/>
          <w:szCs w:val="21"/>
        </w:rPr>
        <w:t>5.3 隐蔽工程检查</w:t>
      </w:r>
    </w:p>
    <w:p w14:paraId="749E1B7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Cs w:val="21"/>
          <w:highlight w:val="none"/>
          <w:u w:val="single"/>
          <w:lang w:eastAsia="zh-CN"/>
        </w:rPr>
      </w:pPr>
      <w:r>
        <w:rPr>
          <w:rFonts w:hint="eastAsia" w:ascii="宋体" w:hAnsi="宋体" w:cs="宋体"/>
          <w:color w:val="000000"/>
          <w:highlight w:val="none"/>
        </w:rPr>
        <w:t>5.3.2 承包人提前通知监理人隐蔽工程检查的期限的约定：</w:t>
      </w:r>
      <w:r>
        <w:rPr>
          <w:rFonts w:hint="eastAsia" w:ascii="宋体" w:hAnsi="宋体" w:cs="宋体"/>
          <w:color w:val="000000"/>
          <w:szCs w:val="21"/>
          <w:highlight w:val="none"/>
          <w:u w:val="single"/>
        </w:rPr>
        <w:t xml:space="preserve">  </w:t>
      </w:r>
      <w:r>
        <w:rPr>
          <w:rFonts w:hint="eastAsia" w:ascii="宋体" w:hAnsi="宋体" w:eastAsia="宋体" w:cs="宋体"/>
          <w:color w:val="auto"/>
          <w:szCs w:val="21"/>
          <w:highlight w:val="none"/>
          <w:u w:val="single"/>
        </w:rPr>
        <w:t>工程隐蔽部位经承包人自检确认具备覆盖条件的，承包人应在共同检查前6小时书面通知监理人检查，通知中应载明隐蔽检查的内容、时间和地点，并应附有自检记录和必要的检查资料</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包含不限于影像等相关资料</w:t>
      </w:r>
      <w:r>
        <w:rPr>
          <w:rFonts w:hint="eastAsia" w:ascii="宋体" w:hAnsi="宋体" w:eastAsia="宋体" w:cs="宋体"/>
          <w:color w:val="auto"/>
          <w:szCs w:val="21"/>
          <w:highlight w:val="none"/>
          <w:u w:val="single"/>
          <w:lang w:eastAsia="zh-CN"/>
        </w:rPr>
        <w:t>）。</w:t>
      </w:r>
    </w:p>
    <w:p w14:paraId="0C38704B">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4B4DE38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u w:val="single"/>
        </w:rPr>
      </w:pPr>
      <w:r>
        <w:rPr>
          <w:rFonts w:hint="eastAsia" w:ascii="宋体" w:hAnsi="宋体" w:eastAsia="宋体" w:cs="宋体"/>
          <w:color w:val="auto"/>
          <w:szCs w:val="21"/>
          <w:highlight w:val="none"/>
          <w:u w:val="single"/>
        </w:rPr>
        <w:t>监理人不能按时进行检查的，应在检查前3小时向承包人提交书面延期要求，但延期不能超过6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r>
        <w:rPr>
          <w:rFonts w:hint="eastAsia" w:ascii="宋体" w:hAnsi="宋体" w:cs="宋体"/>
          <w:color w:val="000000"/>
          <w:szCs w:val="21"/>
          <w:highlight w:val="none"/>
          <w:u w:val="single"/>
        </w:rPr>
        <w:t xml:space="preserve">  </w:t>
      </w:r>
      <w:r>
        <w:rPr>
          <w:rFonts w:hint="eastAsia" w:ascii="宋体" w:hAnsi="宋体" w:cs="宋体"/>
          <w:color w:val="000000"/>
          <w:highlight w:val="none"/>
        </w:rPr>
        <w:t>。</w:t>
      </w:r>
    </w:p>
    <w:p w14:paraId="63C243D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监理人不能按时进行检查时，应提前</w:t>
      </w:r>
      <w:r>
        <w:rPr>
          <w:rFonts w:hint="eastAsia" w:ascii="宋体" w:hAnsi="宋体" w:cs="宋体"/>
          <w:color w:val="000000"/>
          <w:szCs w:val="21"/>
          <w:u w:val="single"/>
        </w:rPr>
        <w:t xml:space="preserve"> </w:t>
      </w:r>
      <w:r>
        <w:rPr>
          <w:rFonts w:hint="eastAsia" w:ascii="宋体" w:hAnsi="宋体" w:cs="宋体"/>
          <w:color w:val="000000"/>
          <w:szCs w:val="21"/>
          <w:u w:val="single"/>
          <w:lang w:val="en-US" w:eastAsia="zh-CN"/>
        </w:rPr>
        <w:t>3</w:t>
      </w:r>
      <w:r>
        <w:rPr>
          <w:rFonts w:hint="eastAsia" w:ascii="宋体" w:hAnsi="宋体" w:cs="宋体"/>
          <w:color w:val="000000"/>
          <w:szCs w:val="21"/>
          <w:u w:val="single"/>
        </w:rPr>
        <w:t xml:space="preserve"> </w:t>
      </w:r>
      <w:r>
        <w:rPr>
          <w:rFonts w:hint="eastAsia" w:ascii="宋体" w:hAnsi="宋体" w:cs="宋体"/>
          <w:color w:val="000000"/>
        </w:rPr>
        <w:t>小时提交书面延期要求。</w:t>
      </w:r>
    </w:p>
    <w:p w14:paraId="1A5BDEE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关于延期最长不得超过：</w:t>
      </w:r>
      <w:r>
        <w:rPr>
          <w:rFonts w:hint="eastAsia" w:ascii="宋体" w:hAnsi="宋体" w:cs="宋体"/>
          <w:color w:val="000000"/>
          <w:szCs w:val="21"/>
          <w:u w:val="single"/>
        </w:rPr>
        <w:t xml:space="preserve"> </w:t>
      </w:r>
      <w:r>
        <w:rPr>
          <w:rFonts w:hint="eastAsia" w:ascii="宋体" w:hAnsi="宋体" w:cs="宋体"/>
          <w:color w:val="000000"/>
          <w:szCs w:val="21"/>
          <w:u w:val="single"/>
          <w:lang w:val="en-US" w:eastAsia="zh-CN"/>
        </w:rPr>
        <w:t>6</w:t>
      </w:r>
      <w:r>
        <w:rPr>
          <w:rFonts w:hint="eastAsia" w:ascii="宋体" w:hAnsi="宋体" w:cs="宋体"/>
          <w:color w:val="000000"/>
          <w:szCs w:val="21"/>
          <w:u w:val="single"/>
        </w:rPr>
        <w:t xml:space="preserve"> </w:t>
      </w:r>
      <w:r>
        <w:rPr>
          <w:rFonts w:hint="eastAsia" w:ascii="宋体" w:hAnsi="宋体" w:cs="宋体"/>
          <w:color w:val="000000"/>
        </w:rPr>
        <w:t>小时。</w:t>
      </w:r>
    </w:p>
    <w:p w14:paraId="1F4986B0">
      <w:pPr>
        <w:pStyle w:val="5"/>
        <w:tabs>
          <w:tab w:val="left" w:pos="3315"/>
        </w:tabs>
        <w:snapToGrid w:val="0"/>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6. 安全文明施工与环境保护</w:t>
      </w:r>
      <w:r>
        <w:rPr>
          <w:rFonts w:hint="eastAsia" w:ascii="宋体" w:eastAsia="宋体" w:cs="宋体"/>
          <w:b w:val="0"/>
          <w:sz w:val="21"/>
          <w:szCs w:val="21"/>
        </w:rPr>
        <w:tab/>
      </w:r>
    </w:p>
    <w:p w14:paraId="09FD88B5">
      <w:pPr>
        <w:snapToGrid w:val="0"/>
        <w:spacing w:line="440" w:lineRule="exact"/>
        <w:ind w:firstLine="420" w:firstLineChars="200"/>
        <w:rPr>
          <w:rFonts w:hint="eastAsia" w:ascii="宋体" w:cs="宋体"/>
          <w:szCs w:val="21"/>
        </w:rPr>
      </w:pPr>
      <w:r>
        <w:rPr>
          <w:rFonts w:hint="eastAsia" w:ascii="宋体" w:cs="宋体"/>
          <w:szCs w:val="21"/>
        </w:rPr>
        <w:t>6.1安全文明施工</w:t>
      </w:r>
    </w:p>
    <w:p w14:paraId="7B5AA553">
      <w:pPr>
        <w:snapToGrid w:val="0"/>
        <w:spacing w:line="440" w:lineRule="exact"/>
        <w:ind w:firstLine="420" w:firstLineChars="200"/>
        <w:jc w:val="left"/>
        <w:rPr>
          <w:rFonts w:hint="eastAsia" w:ascii="宋体" w:cs="宋体"/>
          <w:szCs w:val="21"/>
        </w:rPr>
      </w:pPr>
      <w:r>
        <w:rPr>
          <w:rFonts w:hint="eastAsia" w:ascii="宋体" w:cs="宋体"/>
          <w:szCs w:val="21"/>
        </w:rPr>
        <w:t>6.1.1 项目安全生产的达标目标及相应事项的约定</w:t>
      </w:r>
      <w:r>
        <w:rPr>
          <w:rFonts w:hint="eastAsia" w:ascii="宋体" w:cs="宋体"/>
          <w:szCs w:val="21"/>
          <w:u w:val="single"/>
        </w:rPr>
        <w:t xml:space="preserve">  </w:t>
      </w:r>
      <w:r>
        <w:rPr>
          <w:rFonts w:hint="eastAsia" w:ascii="宋体" w:cs="宋体"/>
          <w:szCs w:val="21"/>
          <w:u w:val="single"/>
          <w:lang w:val="en-US" w:eastAsia="zh-CN"/>
        </w:rPr>
        <w:t xml:space="preserve">  </w:t>
      </w:r>
      <w:r>
        <w:rPr>
          <w:rFonts w:hint="eastAsia" w:ascii="宋体" w:cs="宋体"/>
          <w:szCs w:val="21"/>
          <w:u w:val="single"/>
        </w:rPr>
        <w:t xml:space="preserve">    。</w:t>
      </w:r>
    </w:p>
    <w:p w14:paraId="4907B10C">
      <w:pPr>
        <w:snapToGrid w:val="0"/>
        <w:spacing w:line="440" w:lineRule="exact"/>
        <w:ind w:firstLine="420" w:firstLineChars="200"/>
        <w:jc w:val="left"/>
        <w:rPr>
          <w:rFonts w:hint="eastAsia" w:ascii="宋体" w:cs="宋体"/>
          <w:szCs w:val="21"/>
          <w:u w:val="single"/>
        </w:rPr>
      </w:pPr>
      <w:r>
        <w:rPr>
          <w:rFonts w:hint="eastAsia" w:ascii="宋体" w:cs="宋体"/>
          <w:szCs w:val="21"/>
        </w:rPr>
        <w:t>6.1.4 关于治安保卫的特别约定：</w:t>
      </w:r>
      <w:r>
        <w:rPr>
          <w:rFonts w:hint="eastAsia" w:ascii="宋体" w:cs="宋体"/>
          <w:szCs w:val="21"/>
          <w:u w:val="single"/>
        </w:rPr>
        <w:t xml:space="preserve"> </w:t>
      </w:r>
      <w:r>
        <w:rPr>
          <w:rFonts w:hint="eastAsia" w:ascii="宋体" w:cs="宋体"/>
          <w:szCs w:val="21"/>
          <w:u w:val="single"/>
          <w:lang w:val="en-US" w:eastAsia="zh-CN"/>
        </w:rPr>
        <w:t xml:space="preserve">     </w:t>
      </w:r>
      <w:r>
        <w:rPr>
          <w:rFonts w:hint="eastAsia" w:ascii="宋体" w:cs="宋体"/>
          <w:szCs w:val="21"/>
          <w:u w:val="single"/>
        </w:rPr>
        <w:t>。</w:t>
      </w:r>
    </w:p>
    <w:p w14:paraId="75767E2F">
      <w:pPr>
        <w:snapToGrid w:val="0"/>
        <w:spacing w:line="440" w:lineRule="exact"/>
        <w:ind w:firstLine="420" w:firstLineChars="200"/>
        <w:jc w:val="left"/>
        <w:rPr>
          <w:rFonts w:hint="eastAsia" w:ascii="宋体" w:cs="宋体"/>
          <w:szCs w:val="21"/>
        </w:rPr>
      </w:pPr>
      <w:r>
        <w:rPr>
          <w:rFonts w:hint="eastAsia" w:ascii="宋体" w:cs="宋体"/>
          <w:szCs w:val="21"/>
        </w:rPr>
        <w:t>关于编制施工场地治安管理计划的约定：</w:t>
      </w:r>
      <w:r>
        <w:rPr>
          <w:rFonts w:hint="eastAsia" w:ascii="宋体" w:cs="宋体"/>
          <w:szCs w:val="21"/>
          <w:u w:val="single"/>
        </w:rPr>
        <w:t xml:space="preserve">   由承包人负责       </w:t>
      </w:r>
      <w:r>
        <w:rPr>
          <w:rFonts w:hint="eastAsia" w:ascii="宋体" w:cs="宋体"/>
          <w:szCs w:val="21"/>
        </w:rPr>
        <w:t>。</w:t>
      </w:r>
    </w:p>
    <w:p w14:paraId="471254C5">
      <w:pPr>
        <w:snapToGrid w:val="0"/>
        <w:spacing w:line="440" w:lineRule="exact"/>
        <w:ind w:firstLine="420" w:firstLineChars="200"/>
        <w:jc w:val="left"/>
        <w:rPr>
          <w:rFonts w:hint="eastAsia" w:ascii="宋体" w:cs="宋体"/>
          <w:szCs w:val="21"/>
        </w:rPr>
      </w:pPr>
      <w:r>
        <w:rPr>
          <w:rFonts w:hint="eastAsia" w:ascii="宋体" w:cs="宋体"/>
          <w:szCs w:val="21"/>
        </w:rPr>
        <w:t>6.1.5 文明施工</w:t>
      </w:r>
    </w:p>
    <w:p w14:paraId="531A3B2F">
      <w:pPr>
        <w:snapToGrid w:val="0"/>
        <w:spacing w:line="440" w:lineRule="exact"/>
        <w:ind w:firstLine="420" w:firstLineChars="200"/>
        <w:jc w:val="left"/>
        <w:rPr>
          <w:rFonts w:hint="eastAsia" w:ascii="宋体" w:cs="宋体"/>
          <w:szCs w:val="21"/>
          <w:u w:val="single"/>
        </w:rPr>
      </w:pPr>
      <w:r>
        <w:rPr>
          <w:rFonts w:hint="eastAsia" w:ascii="宋体" w:cs="宋体"/>
          <w:szCs w:val="21"/>
        </w:rPr>
        <w:t>合同当事人对文明施工的要求：</w:t>
      </w:r>
      <w:r>
        <w:rPr>
          <w:rFonts w:hint="eastAsia" w:ascii="宋体" w:cs="宋体"/>
          <w:szCs w:val="21"/>
          <w:u w:val="single"/>
        </w:rPr>
        <w:t xml:space="preserve">   执行</w:t>
      </w:r>
      <w:r>
        <w:rPr>
          <w:rFonts w:hint="eastAsia" w:ascii="宋体" w:cs="宋体"/>
          <w:szCs w:val="21"/>
          <w:u w:val="single"/>
          <w:lang w:val="en-US" w:eastAsia="zh-CN"/>
        </w:rPr>
        <w:t>招标</w:t>
      </w:r>
      <w:r>
        <w:rPr>
          <w:rFonts w:hint="eastAsia" w:ascii="宋体" w:cs="宋体"/>
          <w:szCs w:val="21"/>
          <w:u w:val="single"/>
        </w:rPr>
        <w:t xml:space="preserve">文件   </w:t>
      </w:r>
      <w:r>
        <w:rPr>
          <w:rFonts w:hint="eastAsia" w:ascii="宋体" w:cs="宋体"/>
          <w:szCs w:val="21"/>
        </w:rPr>
        <w:t>。</w:t>
      </w:r>
    </w:p>
    <w:p w14:paraId="2873FDB8">
      <w:pPr>
        <w:snapToGrid w:val="0"/>
        <w:spacing w:line="440" w:lineRule="exact"/>
        <w:ind w:firstLine="420" w:firstLineChars="200"/>
        <w:jc w:val="left"/>
        <w:rPr>
          <w:rFonts w:hint="eastAsia" w:ascii="宋体" w:hAnsi="宋体" w:cs="宋体"/>
          <w:bCs/>
          <w:szCs w:val="21"/>
          <w:highlight w:val="none"/>
          <w:u w:val="single"/>
        </w:rPr>
      </w:pPr>
      <w:r>
        <w:rPr>
          <w:rFonts w:hint="eastAsia" w:ascii="宋体" w:hAnsi="宋体" w:cs="宋体"/>
          <w:bCs/>
          <w:szCs w:val="21"/>
        </w:rPr>
        <w:t>6.1.6 关于安全文明施工费支付比例和支付期限的约定：</w:t>
      </w:r>
      <w:r>
        <w:rPr>
          <w:rFonts w:hint="eastAsia" w:ascii="宋体" w:hAnsi="宋体" w:cs="宋体"/>
          <w:bCs/>
          <w:szCs w:val="21"/>
          <w:u w:val="single"/>
          <w:lang w:val="en-US" w:eastAsia="zh-CN"/>
        </w:rPr>
        <w:t xml:space="preserve">              </w:t>
      </w:r>
      <w:r>
        <w:rPr>
          <w:rFonts w:hint="eastAsia" w:ascii="宋体" w:hAnsi="宋体" w:cs="宋体"/>
          <w:bCs/>
          <w:szCs w:val="21"/>
          <w:highlight w:val="none"/>
          <w:u w:val="single"/>
        </w:rPr>
        <w:t>。</w:t>
      </w:r>
    </w:p>
    <w:p w14:paraId="7B42C225">
      <w:pPr>
        <w:pStyle w:val="5"/>
        <w:snapToGrid w:val="0"/>
        <w:spacing w:before="0" w:after="0" w:line="440" w:lineRule="exact"/>
        <w:ind w:firstLine="420" w:firstLineChars="200"/>
        <w:rPr>
          <w:rFonts w:hint="eastAsia" w:ascii="宋体" w:eastAsia="宋体" w:cs="宋体"/>
          <w:b w:val="0"/>
          <w:sz w:val="21"/>
          <w:szCs w:val="21"/>
          <w:highlight w:val="none"/>
        </w:rPr>
      </w:pPr>
      <w:r>
        <w:rPr>
          <w:rFonts w:hint="eastAsia" w:ascii="宋体" w:eastAsia="宋体" w:cs="宋体"/>
          <w:b w:val="0"/>
          <w:sz w:val="21"/>
          <w:szCs w:val="21"/>
          <w:highlight w:val="none"/>
        </w:rPr>
        <w:t>7. 工期和进度</w:t>
      </w:r>
    </w:p>
    <w:p w14:paraId="31B76BC6">
      <w:pPr>
        <w:tabs>
          <w:tab w:val="left" w:pos="3240"/>
        </w:tabs>
        <w:snapToGrid w:val="0"/>
        <w:spacing w:line="440" w:lineRule="exact"/>
        <w:ind w:firstLine="420" w:firstLineChars="200"/>
        <w:rPr>
          <w:rFonts w:hint="eastAsia" w:ascii="宋体" w:cs="宋体"/>
          <w:szCs w:val="21"/>
          <w:highlight w:val="none"/>
        </w:rPr>
      </w:pPr>
      <w:r>
        <w:rPr>
          <w:rFonts w:hint="eastAsia" w:ascii="宋体" w:cs="宋体"/>
          <w:szCs w:val="21"/>
          <w:highlight w:val="none"/>
        </w:rPr>
        <w:t>7.1 施工组织设计</w:t>
      </w:r>
      <w:r>
        <w:rPr>
          <w:rFonts w:hint="eastAsia" w:ascii="宋体" w:cs="宋体"/>
          <w:szCs w:val="21"/>
          <w:highlight w:val="none"/>
        </w:rPr>
        <w:tab/>
      </w:r>
    </w:p>
    <w:p w14:paraId="7C6BE0DC">
      <w:pPr>
        <w:autoSpaceDE w:val="0"/>
        <w:autoSpaceDN w:val="0"/>
        <w:adjustRightInd w:val="0"/>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7.1.1 （9）合</w:t>
      </w:r>
      <w:r>
        <w:rPr>
          <w:rFonts w:hint="eastAsia" w:ascii="宋体" w:cs="宋体"/>
          <w:kern w:val="0"/>
          <w:szCs w:val="21"/>
          <w:highlight w:val="none"/>
        </w:rPr>
        <w:t>同当事人约定的施工组织设计应包括的其他内容：</w:t>
      </w:r>
      <w:r>
        <w:rPr>
          <w:rFonts w:hint="eastAsia" w:ascii="宋体" w:cs="宋体"/>
          <w:szCs w:val="21"/>
          <w:highlight w:val="none"/>
          <w:u w:val="single"/>
        </w:rPr>
        <w:t xml:space="preserve"> </w:t>
      </w:r>
      <w:r>
        <w:rPr>
          <w:rFonts w:hint="eastAsia" w:ascii="宋体" w:hAnsi="宋体" w:cs="宋体"/>
          <w:color w:val="000000"/>
          <w:szCs w:val="21"/>
          <w:highlight w:val="none"/>
          <w:u w:val="single"/>
        </w:rPr>
        <w:t>总进度计划须含网络图、横道图</w:t>
      </w:r>
      <w:r>
        <w:rPr>
          <w:rFonts w:hint="eastAsia" w:ascii="宋体" w:cs="宋体"/>
          <w:szCs w:val="21"/>
          <w:highlight w:val="none"/>
          <w:u w:val="single"/>
        </w:rPr>
        <w:t xml:space="preserve">  </w:t>
      </w:r>
      <w:r>
        <w:rPr>
          <w:rFonts w:hint="eastAsia" w:ascii="宋体" w:cs="宋体"/>
          <w:szCs w:val="21"/>
          <w:highlight w:val="none"/>
        </w:rPr>
        <w:t>。</w:t>
      </w:r>
    </w:p>
    <w:p w14:paraId="447E4154">
      <w:pPr>
        <w:autoSpaceDE w:val="0"/>
        <w:autoSpaceDN w:val="0"/>
        <w:adjustRightInd w:val="0"/>
        <w:snapToGrid w:val="0"/>
        <w:spacing w:line="440" w:lineRule="exact"/>
        <w:ind w:firstLine="420" w:firstLineChars="200"/>
        <w:jc w:val="left"/>
        <w:rPr>
          <w:rFonts w:hint="eastAsia" w:ascii="宋体" w:cs="宋体"/>
          <w:kern w:val="0"/>
          <w:szCs w:val="21"/>
          <w:highlight w:val="none"/>
        </w:rPr>
      </w:pPr>
      <w:r>
        <w:rPr>
          <w:rFonts w:hint="eastAsia" w:ascii="宋体" w:cs="宋体"/>
          <w:szCs w:val="21"/>
          <w:highlight w:val="none"/>
        </w:rPr>
        <w:t xml:space="preserve">7.1.2 </w:t>
      </w:r>
      <w:r>
        <w:rPr>
          <w:rFonts w:hint="eastAsia" w:ascii="宋体" w:cs="宋体"/>
          <w:kern w:val="0"/>
          <w:szCs w:val="21"/>
          <w:highlight w:val="none"/>
        </w:rPr>
        <w:t>施工组织设计的提交和修改</w:t>
      </w:r>
    </w:p>
    <w:p w14:paraId="34820E1B">
      <w:pPr>
        <w:autoSpaceDE w:val="0"/>
        <w:autoSpaceDN w:val="0"/>
        <w:adjustRightInd w:val="0"/>
        <w:snapToGrid w:val="0"/>
        <w:spacing w:line="440" w:lineRule="exact"/>
        <w:ind w:firstLine="420" w:firstLineChars="200"/>
        <w:jc w:val="left"/>
        <w:rPr>
          <w:rFonts w:hint="eastAsia" w:ascii="宋体" w:cs="宋体"/>
          <w:szCs w:val="21"/>
        </w:rPr>
      </w:pPr>
      <w:r>
        <w:rPr>
          <w:rFonts w:hint="eastAsia" w:ascii="宋体" w:cs="宋体"/>
          <w:kern w:val="0"/>
          <w:szCs w:val="21"/>
        </w:rPr>
        <w:t>承包人提交详细施工组织设计的期限的约定：</w:t>
      </w:r>
      <w:r>
        <w:rPr>
          <w:rFonts w:hint="eastAsia" w:ascii="宋体" w:cs="宋体"/>
          <w:szCs w:val="21"/>
          <w:u w:val="single"/>
        </w:rPr>
        <w:t xml:space="preserve">图纸会审及设计交底后一周内提供标后实施性施工组织设计 </w:t>
      </w:r>
      <w:r>
        <w:rPr>
          <w:rFonts w:hint="eastAsia" w:ascii="宋体" w:cs="宋体"/>
          <w:szCs w:val="21"/>
        </w:rPr>
        <w:t>。</w:t>
      </w:r>
    </w:p>
    <w:p w14:paraId="1D955992">
      <w:pPr>
        <w:snapToGrid w:val="0"/>
        <w:spacing w:line="440" w:lineRule="exact"/>
        <w:ind w:firstLine="420" w:firstLineChars="200"/>
        <w:jc w:val="left"/>
        <w:rPr>
          <w:rFonts w:hint="eastAsia" w:ascii="宋体" w:cs="宋体"/>
          <w:szCs w:val="21"/>
        </w:rPr>
      </w:pPr>
      <w:r>
        <w:rPr>
          <w:rFonts w:hint="eastAsia" w:ascii="宋体" w:cs="宋体"/>
          <w:szCs w:val="21"/>
        </w:rPr>
        <w:t>发包人和监理人在收到详细的施工组织设计后确认或提出修改意见的期限：</w:t>
      </w:r>
      <w:r>
        <w:rPr>
          <w:rFonts w:hint="eastAsia" w:ascii="宋体" w:cs="宋体"/>
          <w:szCs w:val="21"/>
          <w:highlight w:val="none"/>
          <w:u w:val="single"/>
        </w:rPr>
        <w:t>发包人和监理人应在</w:t>
      </w:r>
      <w:r>
        <w:rPr>
          <w:rFonts w:hint="eastAsia" w:ascii="宋体" w:hAnsi="Times New Roman" w:eastAsia="宋体" w:cs="宋体"/>
          <w:szCs w:val="21"/>
          <w:highlight w:val="none"/>
          <w:u w:val="single"/>
        </w:rPr>
        <w:t>监理人</w:t>
      </w:r>
      <w:r>
        <w:rPr>
          <w:rFonts w:hint="eastAsia" w:ascii="宋体" w:cs="宋体"/>
          <w:szCs w:val="21"/>
          <w:highlight w:val="none"/>
          <w:u w:val="single"/>
        </w:rPr>
        <w:t>收到施工组织设计后7天内确认或提出修改意见。对发包人和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提出的合理意见和要求，承包人应自费修改完善。根据工程实际情况需要修改施工组织设计的，承包人应向发包人和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提交修改</w:t>
      </w:r>
      <w:r>
        <w:rPr>
          <w:rFonts w:hint="eastAsia" w:ascii="宋体" w:cs="宋体"/>
          <w:szCs w:val="21"/>
          <w:u w:val="single"/>
        </w:rPr>
        <w:t>后的施工组织设计。</w:t>
      </w:r>
    </w:p>
    <w:p w14:paraId="58C52619">
      <w:pPr>
        <w:snapToGrid w:val="0"/>
        <w:spacing w:line="440" w:lineRule="exact"/>
        <w:ind w:firstLine="420" w:firstLineChars="200"/>
        <w:rPr>
          <w:rFonts w:hint="eastAsia" w:ascii="宋体" w:cs="宋体"/>
          <w:szCs w:val="21"/>
        </w:rPr>
      </w:pPr>
      <w:r>
        <w:rPr>
          <w:rFonts w:hint="eastAsia" w:ascii="宋体" w:cs="宋体"/>
          <w:szCs w:val="21"/>
        </w:rPr>
        <w:t>7.2 施工进度计划</w:t>
      </w:r>
    </w:p>
    <w:p w14:paraId="2B31F985">
      <w:pPr>
        <w:snapToGrid w:val="0"/>
        <w:spacing w:line="440" w:lineRule="exact"/>
        <w:ind w:firstLine="420" w:firstLineChars="200"/>
        <w:jc w:val="left"/>
        <w:rPr>
          <w:rFonts w:hint="eastAsia" w:ascii="宋体" w:cs="宋体"/>
          <w:szCs w:val="21"/>
        </w:rPr>
      </w:pPr>
      <w:r>
        <w:rPr>
          <w:rFonts w:hint="eastAsia" w:ascii="宋体" w:cs="宋体"/>
          <w:szCs w:val="21"/>
        </w:rPr>
        <w:t>7.2.2 施工进度计划的修订</w:t>
      </w:r>
    </w:p>
    <w:p w14:paraId="670071B5">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rPr>
        <w:t>发包人</w:t>
      </w:r>
      <w:r>
        <w:rPr>
          <w:rFonts w:hint="eastAsia" w:ascii="宋体" w:cs="宋体"/>
          <w:szCs w:val="21"/>
          <w:highlight w:val="none"/>
        </w:rPr>
        <w:t>和</w:t>
      </w:r>
      <w:r>
        <w:rPr>
          <w:rFonts w:hint="eastAsia" w:ascii="宋体" w:hAnsi="Times New Roman" w:eastAsia="宋体" w:cs="宋体"/>
          <w:szCs w:val="21"/>
          <w:highlight w:val="none"/>
          <w:u w:val="single"/>
        </w:rPr>
        <w:t>监理人</w:t>
      </w:r>
      <w:r>
        <w:rPr>
          <w:rFonts w:hint="eastAsia" w:ascii="宋体" w:cs="宋体"/>
          <w:szCs w:val="21"/>
          <w:highlight w:val="none"/>
        </w:rPr>
        <w:t>在收到修订的施工进度计划后确认或提出修改意见的期限：</w:t>
      </w:r>
      <w:r>
        <w:rPr>
          <w:rFonts w:hint="eastAsia" w:ascii="宋体" w:cs="宋体"/>
          <w:szCs w:val="21"/>
          <w:highlight w:val="none"/>
          <w:u w:val="single"/>
        </w:rPr>
        <w:t>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应在收到修订的施工进度计划后7天内完成审核和批准或提出修改意见。发包人和</w:t>
      </w:r>
      <w:r>
        <w:rPr>
          <w:rFonts w:hint="eastAsia" w:ascii="宋体" w:hAnsi="Times New Roman" w:eastAsia="宋体" w:cs="宋体"/>
          <w:szCs w:val="21"/>
          <w:highlight w:val="none"/>
          <w:u w:val="single"/>
        </w:rPr>
        <w:t>监理人</w:t>
      </w:r>
      <w:r>
        <w:rPr>
          <w:rFonts w:hint="eastAsia" w:ascii="宋体" w:cs="宋体"/>
          <w:szCs w:val="21"/>
          <w:highlight w:val="none"/>
          <w:u w:val="single"/>
        </w:rPr>
        <w:t>对承包人提交的施工进度计划的确认，不能减轻或免除承包人根据法律规定和合同约定应承担的任何责任或义务。承包人必须按照批准的进度计划组织施工，接受发包人对进度的检查、监督，工程实际进展与进度计划不符时，应提供修改，调整后的进度计划及相应的措施报发包人批准后执行。</w:t>
      </w:r>
    </w:p>
    <w:p w14:paraId="62980897">
      <w:pPr>
        <w:snapToGrid w:val="0"/>
        <w:spacing w:line="440" w:lineRule="exact"/>
        <w:ind w:firstLine="420" w:firstLineChars="200"/>
        <w:rPr>
          <w:rFonts w:hint="eastAsia" w:ascii="宋体" w:cs="宋体"/>
          <w:szCs w:val="21"/>
        </w:rPr>
      </w:pPr>
      <w:r>
        <w:rPr>
          <w:rFonts w:hint="eastAsia" w:ascii="宋体" w:cs="宋体"/>
          <w:szCs w:val="21"/>
        </w:rPr>
        <w:t>7.3 开工</w:t>
      </w:r>
    </w:p>
    <w:p w14:paraId="2B2F126F">
      <w:pPr>
        <w:snapToGrid w:val="0"/>
        <w:spacing w:line="440" w:lineRule="exact"/>
        <w:ind w:firstLine="420" w:firstLineChars="200"/>
        <w:jc w:val="left"/>
        <w:rPr>
          <w:rFonts w:hint="eastAsia" w:ascii="宋体" w:cs="宋体"/>
          <w:szCs w:val="21"/>
        </w:rPr>
      </w:pPr>
      <w:r>
        <w:rPr>
          <w:rFonts w:hint="eastAsia" w:ascii="宋体" w:cs="宋体"/>
          <w:szCs w:val="21"/>
        </w:rPr>
        <w:t>7.3.1 开工准备</w:t>
      </w:r>
    </w:p>
    <w:p w14:paraId="7A11D914">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rPr>
        <w:t>关于承包人</w:t>
      </w:r>
      <w:r>
        <w:rPr>
          <w:rFonts w:hint="eastAsia" w:ascii="宋体" w:cs="宋体"/>
          <w:szCs w:val="21"/>
          <w:highlight w:val="none"/>
        </w:rPr>
        <w:t>提交</w:t>
      </w:r>
      <w:r>
        <w:rPr>
          <w:rFonts w:hint="eastAsia" w:ascii="宋体" w:cs="宋体"/>
          <w:kern w:val="0"/>
          <w:szCs w:val="21"/>
          <w:highlight w:val="none"/>
        </w:rPr>
        <w:t>工程开工报审表的期限：</w:t>
      </w:r>
      <w:r>
        <w:rPr>
          <w:rFonts w:hint="eastAsia" w:ascii="宋体" w:cs="宋体"/>
          <w:szCs w:val="21"/>
          <w:highlight w:val="none"/>
          <w:u w:val="single"/>
        </w:rPr>
        <w:t xml:space="preserve"> 承包人应按照第7.1款〔施工组织设计〕约定的期限，向</w:t>
      </w:r>
      <w:r>
        <w:rPr>
          <w:rFonts w:hint="eastAsia" w:ascii="宋体" w:hAnsi="Times New Roman" w:eastAsia="宋体" w:cs="宋体"/>
          <w:szCs w:val="21"/>
          <w:highlight w:val="none"/>
          <w:u w:val="single"/>
        </w:rPr>
        <w:t>监理人</w:t>
      </w:r>
      <w:r>
        <w:rPr>
          <w:rFonts w:hint="eastAsia" w:ascii="宋体" w:cs="宋体"/>
          <w:szCs w:val="21"/>
          <w:highlight w:val="none"/>
          <w:u w:val="single"/>
        </w:rPr>
        <w:t>提交工程开工报审表，经</w:t>
      </w:r>
      <w:r>
        <w:rPr>
          <w:rFonts w:hint="eastAsia" w:ascii="宋体" w:hAnsi="Times New Roman" w:eastAsia="宋体" w:cs="宋体"/>
          <w:szCs w:val="21"/>
          <w:highlight w:val="none"/>
          <w:u w:val="single"/>
        </w:rPr>
        <w:t>监理人</w:t>
      </w:r>
      <w:r>
        <w:rPr>
          <w:rFonts w:hint="eastAsia" w:ascii="宋体" w:cs="宋体"/>
          <w:szCs w:val="21"/>
          <w:highlight w:val="none"/>
          <w:u w:val="single"/>
        </w:rPr>
        <w:t>报发包人批准后执行。开工报审表应详细说明按施工进度计划正常施工所需的施工道路、临时设施、材料、工程设备、施工设备、施工人员等落实情况以及工程的进度安排。</w:t>
      </w:r>
    </w:p>
    <w:p w14:paraId="53B6030B">
      <w:pPr>
        <w:snapToGrid w:val="0"/>
        <w:spacing w:line="440" w:lineRule="exact"/>
        <w:ind w:firstLine="420" w:firstLineChars="200"/>
        <w:jc w:val="left"/>
        <w:rPr>
          <w:rFonts w:hint="eastAsia" w:ascii="宋体" w:cs="宋体"/>
          <w:szCs w:val="21"/>
          <w:highlight w:val="none"/>
          <w:u w:val="single"/>
        </w:rPr>
      </w:pPr>
      <w:r>
        <w:rPr>
          <w:rFonts w:hint="eastAsia" w:ascii="宋体" w:cs="宋体"/>
          <w:szCs w:val="21"/>
          <w:highlight w:val="none"/>
        </w:rPr>
        <w:t>关于承包人应完成的其他开工准备工作及期限：</w:t>
      </w:r>
      <w:r>
        <w:rPr>
          <w:rFonts w:hint="eastAsia" w:ascii="宋体" w:cs="宋体"/>
          <w:szCs w:val="21"/>
          <w:highlight w:val="none"/>
          <w:u w:val="single"/>
        </w:rPr>
        <w:t>合同当事人应按约定完成开工准备工作。</w:t>
      </w:r>
    </w:p>
    <w:p w14:paraId="58018775">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7.3.2开工通知</w:t>
      </w:r>
    </w:p>
    <w:p w14:paraId="1D19E8AF">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因发包人原因造成</w:t>
      </w:r>
      <w:r>
        <w:rPr>
          <w:rFonts w:hint="eastAsia" w:ascii="宋体" w:hAnsi="Times New Roman" w:eastAsia="宋体" w:cs="宋体"/>
          <w:szCs w:val="21"/>
          <w:highlight w:val="none"/>
          <w:u w:val="single"/>
        </w:rPr>
        <w:t>监理人</w:t>
      </w:r>
      <w:r>
        <w:rPr>
          <w:rFonts w:hint="eastAsia" w:ascii="宋体" w:cs="宋体"/>
          <w:szCs w:val="21"/>
          <w:highlight w:val="none"/>
        </w:rPr>
        <w:t>未能在计划开工日期之日起</w:t>
      </w:r>
      <w:r>
        <w:rPr>
          <w:rFonts w:hint="eastAsia" w:ascii="宋体" w:cs="宋体"/>
          <w:szCs w:val="21"/>
          <w:highlight w:val="none"/>
          <w:u w:val="single"/>
        </w:rPr>
        <w:t xml:space="preserve">  90  </w:t>
      </w:r>
      <w:r>
        <w:rPr>
          <w:rFonts w:hint="eastAsia" w:ascii="宋体" w:cs="宋体"/>
          <w:szCs w:val="21"/>
          <w:highlight w:val="none"/>
        </w:rPr>
        <w:t>天内发出开工通知的，承包人有权提出价格调整要求，或者解除合同。</w:t>
      </w:r>
    </w:p>
    <w:p w14:paraId="42564535">
      <w:pPr>
        <w:snapToGrid w:val="0"/>
        <w:spacing w:line="440" w:lineRule="exact"/>
        <w:ind w:firstLine="420" w:firstLineChars="200"/>
        <w:rPr>
          <w:rFonts w:hint="eastAsia" w:ascii="宋体" w:cs="宋体"/>
          <w:szCs w:val="21"/>
          <w:highlight w:val="none"/>
        </w:rPr>
      </w:pPr>
      <w:r>
        <w:rPr>
          <w:rFonts w:hint="eastAsia" w:ascii="宋体" w:cs="宋体"/>
          <w:szCs w:val="21"/>
          <w:highlight w:val="none"/>
        </w:rPr>
        <w:t>7.4 测量放线</w:t>
      </w:r>
    </w:p>
    <w:p w14:paraId="72BAFC92">
      <w:pPr>
        <w:snapToGrid w:val="0"/>
        <w:spacing w:line="440" w:lineRule="exact"/>
        <w:ind w:firstLine="420" w:firstLineChars="200"/>
        <w:jc w:val="left"/>
        <w:rPr>
          <w:rFonts w:hint="eastAsia" w:ascii="宋体" w:hAnsi="宋体" w:cs="宋体"/>
        </w:rPr>
      </w:pPr>
      <w:r>
        <w:rPr>
          <w:rFonts w:hint="eastAsia" w:ascii="宋体" w:cs="宋体"/>
          <w:szCs w:val="21"/>
          <w:highlight w:val="none"/>
        </w:rPr>
        <w:t>7.4.1发包人通过</w:t>
      </w:r>
      <w:r>
        <w:rPr>
          <w:rFonts w:hint="eastAsia" w:ascii="宋体" w:hAnsi="Times New Roman" w:eastAsia="宋体" w:cs="宋体"/>
          <w:szCs w:val="21"/>
          <w:highlight w:val="none"/>
          <w:u w:val="single"/>
        </w:rPr>
        <w:t>监理人</w:t>
      </w:r>
      <w:r>
        <w:rPr>
          <w:rFonts w:hint="eastAsia" w:ascii="宋体" w:cs="宋体"/>
          <w:szCs w:val="21"/>
          <w:highlight w:val="none"/>
        </w:rPr>
        <w:t>向承包人提供测量基准点、基准线和水准点及其书面资料的期限：</w:t>
      </w:r>
      <w:r>
        <w:rPr>
          <w:rFonts w:hint="eastAsia" w:ascii="宋体" w:cs="宋体"/>
          <w:szCs w:val="21"/>
          <w:highlight w:val="none"/>
          <w:u w:val="single"/>
        </w:rPr>
        <w:t xml:space="preserve"> </w:t>
      </w:r>
      <w:r>
        <w:rPr>
          <w:rFonts w:hint="eastAsia" w:ascii="宋体" w:hAnsi="宋体" w:cs="宋体"/>
          <w:highlight w:val="none"/>
          <w:u w:val="single"/>
        </w:rPr>
        <w:t>发包人应在至迟不得晚于第7.3.2项〔开工通知〕载明的开工日期前7天通过</w:t>
      </w:r>
      <w:r>
        <w:rPr>
          <w:rFonts w:hint="eastAsia" w:ascii="宋体" w:hAnsi="Times New Roman" w:eastAsia="宋体" w:cs="宋体"/>
          <w:szCs w:val="21"/>
          <w:highlight w:val="none"/>
          <w:u w:val="single"/>
        </w:rPr>
        <w:t>监理人</w:t>
      </w:r>
      <w:r>
        <w:rPr>
          <w:rFonts w:hint="eastAsia" w:ascii="宋体" w:hAnsi="宋体" w:cs="宋体"/>
          <w:highlight w:val="none"/>
          <w:u w:val="single"/>
        </w:rPr>
        <w:t>向承包人提供测量基</w:t>
      </w:r>
      <w:r>
        <w:rPr>
          <w:rFonts w:hint="eastAsia" w:ascii="宋体" w:hAnsi="宋体" w:cs="宋体"/>
          <w:u w:val="single"/>
        </w:rPr>
        <w:t>准点、基准线和水准点及其书面资料。</w:t>
      </w:r>
    </w:p>
    <w:p w14:paraId="32B2DD48">
      <w:pPr>
        <w:snapToGrid w:val="0"/>
        <w:spacing w:line="440" w:lineRule="exact"/>
        <w:ind w:firstLine="420" w:firstLineChars="200"/>
        <w:rPr>
          <w:rFonts w:hint="eastAsia" w:ascii="宋体" w:cs="宋体"/>
          <w:szCs w:val="21"/>
        </w:rPr>
      </w:pPr>
      <w:r>
        <w:rPr>
          <w:rFonts w:hint="eastAsia" w:ascii="宋体" w:cs="宋体"/>
          <w:szCs w:val="21"/>
        </w:rPr>
        <w:t>7.5 工期延误</w:t>
      </w:r>
    </w:p>
    <w:p w14:paraId="11A63017">
      <w:pPr>
        <w:snapToGrid w:val="0"/>
        <w:spacing w:line="440" w:lineRule="exact"/>
        <w:ind w:firstLine="420" w:firstLineChars="200"/>
        <w:jc w:val="left"/>
        <w:rPr>
          <w:rFonts w:hint="eastAsia" w:ascii="宋体" w:cs="宋体"/>
          <w:szCs w:val="21"/>
        </w:rPr>
      </w:pPr>
      <w:r>
        <w:rPr>
          <w:rFonts w:hint="eastAsia" w:ascii="宋体" w:cs="宋体"/>
          <w:szCs w:val="21"/>
        </w:rPr>
        <w:t>7.5.1 因发包人原因导致工期延误</w:t>
      </w:r>
    </w:p>
    <w:p w14:paraId="16126CC6">
      <w:pPr>
        <w:snapToGrid w:val="0"/>
        <w:spacing w:line="440" w:lineRule="exact"/>
        <w:ind w:firstLine="420" w:firstLineChars="200"/>
        <w:jc w:val="left"/>
        <w:rPr>
          <w:rFonts w:hint="eastAsia" w:ascii="宋体" w:cs="宋体"/>
          <w:szCs w:val="21"/>
        </w:rPr>
      </w:pPr>
      <w:r>
        <w:rPr>
          <w:rFonts w:hint="eastAsia" w:ascii="宋体" w:cs="宋体"/>
          <w:szCs w:val="21"/>
        </w:rPr>
        <w:t>（7）因发包人原因导致工期延误的其他情形：</w:t>
      </w:r>
      <w:r>
        <w:rPr>
          <w:rFonts w:hint="eastAsia" w:ascii="宋体" w:cs="宋体"/>
          <w:szCs w:val="21"/>
          <w:u w:val="single"/>
        </w:rPr>
        <w:t xml:space="preserve"> 无     。</w:t>
      </w:r>
      <w:r>
        <w:rPr>
          <w:rFonts w:hint="eastAsia" w:ascii="宋体" w:cs="宋体"/>
          <w:szCs w:val="21"/>
        </w:rPr>
        <w:t xml:space="preserve">        </w:t>
      </w:r>
    </w:p>
    <w:p w14:paraId="1D361BB2">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jc w:val="left"/>
        <w:textAlignment w:val="auto"/>
        <w:rPr>
          <w:rFonts w:hint="eastAsia" w:ascii="宋体" w:cs="宋体"/>
          <w:color w:val="auto"/>
          <w:szCs w:val="21"/>
        </w:rPr>
      </w:pPr>
      <w:r>
        <w:rPr>
          <w:rFonts w:hint="eastAsia" w:ascii="宋体" w:cs="宋体"/>
          <w:szCs w:val="21"/>
        </w:rPr>
        <w:t>7.5.2 因</w:t>
      </w:r>
      <w:r>
        <w:rPr>
          <w:rFonts w:hint="eastAsia" w:ascii="宋体" w:cs="宋体"/>
          <w:color w:val="auto"/>
          <w:szCs w:val="21"/>
        </w:rPr>
        <w:t>承包人原因导致工期延误</w:t>
      </w:r>
    </w:p>
    <w:p w14:paraId="1DCB6A77">
      <w:pPr>
        <w:spacing w:line="560" w:lineRule="exact"/>
        <w:ind w:firstLine="420" w:firstLineChars="200"/>
        <w:rPr>
          <w:rFonts w:hint="eastAsia" w:ascii="宋体" w:hAnsi="宋体" w:eastAsia="宋体" w:cs="宋体"/>
          <w:color w:val="auto"/>
          <w:highlight w:val="magenta"/>
          <w:u w:val="single"/>
          <w:lang w:val="en-US" w:eastAsia="zh-CN"/>
        </w:rPr>
      </w:pPr>
      <w:r>
        <w:rPr>
          <w:rFonts w:hint="eastAsia"/>
          <w:color w:val="auto"/>
        </w:rPr>
        <w:t>因承包人原因造成工期延误，逾期竣工违约金的计算方法为：</w:t>
      </w:r>
      <w:r>
        <w:rPr>
          <w:rFonts w:hint="eastAsia"/>
          <w:color w:val="auto"/>
          <w:u w:val="single"/>
        </w:rPr>
        <w:t xml:space="preserve"> </w:t>
      </w:r>
      <w:r>
        <w:rPr>
          <w:rFonts w:hint="eastAsia" w:ascii="宋体" w:hAnsi="宋体" w:cs="宋体"/>
          <w:color w:val="000000"/>
          <w:szCs w:val="21"/>
          <w:u w:val="single"/>
        </w:rPr>
        <w:t xml:space="preserve"> </w:t>
      </w:r>
      <w:r>
        <w:rPr>
          <w:rFonts w:hint="eastAsia" w:ascii="宋体" w:hAnsi="宋体" w:eastAsia="宋体" w:cs="宋体"/>
          <w:color w:val="auto"/>
          <w:highlight w:val="none"/>
          <w:u w:val="single"/>
        </w:rPr>
        <w:t>因承包</w:t>
      </w:r>
      <w:r>
        <w:rPr>
          <w:rFonts w:hint="eastAsia" w:ascii="宋体" w:hAnsi="宋体" w:eastAsia="宋体" w:cs="宋体"/>
          <w:color w:val="auto"/>
          <w:highlight w:val="none"/>
          <w:u w:val="single"/>
          <w:lang w:val="en-US" w:eastAsia="zh-CN"/>
        </w:rPr>
        <w:t>人</w:t>
      </w:r>
      <w:r>
        <w:rPr>
          <w:rFonts w:hint="eastAsia" w:ascii="宋体" w:hAnsi="宋体" w:eastAsia="宋体" w:cs="宋体"/>
          <w:color w:val="auto"/>
          <w:highlight w:val="none"/>
          <w:u w:val="single"/>
        </w:rPr>
        <w:t>原因造成的工期延误，</w:t>
      </w:r>
      <w:r>
        <w:rPr>
          <w:rFonts w:hint="eastAsia" w:ascii="宋体" w:hAnsi="宋体" w:eastAsia="宋体" w:cs="宋体"/>
          <w:color w:val="auto"/>
          <w:sz w:val="21"/>
          <w:szCs w:val="21"/>
          <w:highlight w:val="none"/>
          <w:u w:val="single"/>
          <w:lang w:eastAsia="zh-CN"/>
        </w:rPr>
        <w:t>工期每推迟一天，按</w:t>
      </w:r>
      <w:r>
        <w:rPr>
          <w:rFonts w:hint="eastAsia" w:hAnsi="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元/天处以违</w:t>
      </w:r>
      <w:r>
        <w:rPr>
          <w:rFonts w:hint="eastAsia" w:ascii="宋体" w:hAnsi="宋体" w:eastAsia="宋体" w:cs="宋体"/>
          <w:color w:val="auto"/>
          <w:highlight w:val="none"/>
          <w:u w:val="single"/>
        </w:rPr>
        <w:t>约金</w:t>
      </w:r>
      <w:r>
        <w:rPr>
          <w:rFonts w:hint="eastAsia" w:ascii="宋体" w:hAnsi="宋体" w:eastAsia="宋体" w:cs="宋体"/>
          <w:color w:val="auto"/>
          <w:highlight w:val="none"/>
          <w:u w:val="single"/>
          <w:lang w:eastAsia="zh-CN"/>
        </w:rPr>
        <w:t>，</w:t>
      </w:r>
      <w:r>
        <w:rPr>
          <w:rFonts w:hint="eastAsia" w:ascii="宋体" w:hAnsi="宋体" w:eastAsia="宋体" w:cs="宋体"/>
          <w:color w:val="auto"/>
          <w:highlight w:val="none"/>
          <w:u w:val="single"/>
          <w:lang w:val="en-US" w:eastAsia="zh-CN"/>
        </w:rPr>
        <w:t>累计最高赔偿金额为</w:t>
      </w:r>
      <w:r>
        <w:rPr>
          <w:rFonts w:hint="eastAsia" w:ascii="宋体" w:hAnsi="宋体" w:cs="宋体"/>
          <w:color w:val="auto"/>
          <w:highlight w:val="none"/>
          <w:u w:val="single"/>
          <w:lang w:val="en-US" w:eastAsia="zh-CN"/>
        </w:rPr>
        <w:t>5</w:t>
      </w:r>
      <w:r>
        <w:rPr>
          <w:rFonts w:hint="eastAsia" w:ascii="宋体" w:hAnsi="宋体" w:eastAsia="宋体" w:cs="宋体"/>
          <w:color w:val="auto"/>
          <w:highlight w:val="none"/>
          <w:u w:val="single"/>
          <w:lang w:val="en-US" w:eastAsia="zh-CN"/>
        </w:rPr>
        <w:t>万元。</w:t>
      </w:r>
    </w:p>
    <w:p w14:paraId="6D2F809F">
      <w:pPr>
        <w:pStyle w:val="14"/>
        <w:keepNext w:val="0"/>
        <w:keepLines w:val="0"/>
        <w:pageBreakBefore w:val="0"/>
        <w:widowControl w:val="0"/>
        <w:kinsoku/>
        <w:wordWrap/>
        <w:overflowPunct/>
        <w:topLinePunct w:val="0"/>
        <w:autoSpaceDE/>
        <w:autoSpaceDN/>
        <w:bidi w:val="0"/>
        <w:adjustRightInd/>
        <w:spacing w:after="0" w:line="440" w:lineRule="exact"/>
        <w:ind w:left="0" w:leftChars="0"/>
        <w:textAlignment w:val="auto"/>
        <w:rPr>
          <w:rFonts w:hint="eastAsia"/>
        </w:rPr>
      </w:pPr>
      <w:r>
        <w:rPr>
          <w:rFonts w:hint="eastAsia"/>
        </w:rPr>
        <w:t>因承包人原因造成工期延误，逾期竣工违约金的上限：</w:t>
      </w:r>
      <w:r>
        <w:rPr>
          <w:rFonts w:hint="eastAsia"/>
          <w:u w:val="single"/>
        </w:rPr>
        <w:t xml:space="preserve"> 全额履约保证金 </w:t>
      </w:r>
      <w:r>
        <w:rPr>
          <w:rFonts w:hint="eastAsia"/>
        </w:rPr>
        <w:t>。</w:t>
      </w:r>
    </w:p>
    <w:p w14:paraId="18128484">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hint="eastAsia" w:ascii="宋体" w:hAnsi="宋体" w:eastAsia="宋体" w:cs="宋体"/>
          <w:color w:val="000000"/>
          <w:szCs w:val="21"/>
          <w:u w:val="single"/>
          <w:lang w:eastAsia="zh-CN"/>
        </w:rPr>
      </w:pPr>
      <w:r>
        <w:rPr>
          <w:rFonts w:hint="eastAsia" w:ascii="宋体" w:hAnsi="宋体" w:eastAsia="宋体" w:cs="宋体"/>
          <w:bCs/>
          <w:strike w:val="0"/>
          <w:dstrike w:val="0"/>
          <w:color w:val="auto"/>
          <w:szCs w:val="21"/>
          <w:highlight w:val="none"/>
          <w:u w:val="single"/>
          <w:lang w:val="en-US" w:eastAsia="zh-CN"/>
        </w:rPr>
        <w:t>发包人</w:t>
      </w:r>
      <w:r>
        <w:rPr>
          <w:rFonts w:hint="eastAsia" w:ascii="宋体" w:hAnsi="宋体" w:eastAsia="宋体" w:cs="宋体"/>
          <w:bCs/>
          <w:strike w:val="0"/>
          <w:dstrike w:val="0"/>
          <w:color w:val="auto"/>
          <w:szCs w:val="21"/>
          <w:highlight w:val="none"/>
          <w:u w:val="single"/>
        </w:rPr>
        <w:t>根据拖延工期的严重程度采用以下方法处理</w:t>
      </w:r>
      <w:r>
        <w:rPr>
          <w:rFonts w:hint="eastAsia" w:ascii="宋体" w:hAnsi="宋体" w:eastAsia="宋体" w:cs="宋体"/>
          <w:bCs/>
          <w:strike w:val="0"/>
          <w:dstrike w:val="0"/>
          <w:color w:val="auto"/>
          <w:szCs w:val="21"/>
          <w:highlight w:val="none"/>
          <w:u w:val="single"/>
          <w:lang w:eastAsia="zh-CN"/>
        </w:rPr>
        <w:t>：（</w:t>
      </w:r>
      <w:r>
        <w:rPr>
          <w:rFonts w:hint="eastAsia" w:ascii="宋体" w:hAnsi="宋体" w:eastAsia="宋体" w:cs="宋体"/>
          <w:bCs/>
          <w:strike w:val="0"/>
          <w:dstrike w:val="0"/>
          <w:color w:val="auto"/>
          <w:szCs w:val="21"/>
          <w:highlight w:val="none"/>
          <w:u w:val="single"/>
          <w:lang w:val="en-US" w:eastAsia="zh-CN"/>
        </w:rPr>
        <w:t>1</w:t>
      </w:r>
      <w:r>
        <w:rPr>
          <w:rFonts w:hint="eastAsia" w:ascii="宋体" w:hAnsi="宋体" w:eastAsia="宋体" w:cs="宋体"/>
          <w:bCs/>
          <w:strike w:val="0"/>
          <w:dstrike w:val="0"/>
          <w:color w:val="auto"/>
          <w:szCs w:val="21"/>
          <w:highlight w:val="none"/>
          <w:u w:val="single"/>
          <w:lang w:eastAsia="zh-CN"/>
        </w:rPr>
        <w:t>）</w:t>
      </w:r>
      <w:r>
        <w:rPr>
          <w:rFonts w:hint="eastAsia" w:ascii="宋体" w:hAnsi="宋体" w:eastAsia="宋体" w:cs="宋体"/>
          <w:bCs/>
          <w:strike w:val="0"/>
          <w:dstrike w:val="0"/>
          <w:color w:val="auto"/>
          <w:szCs w:val="21"/>
          <w:highlight w:val="none"/>
          <w:u w:val="single"/>
        </w:rPr>
        <w:t>督促承包人采取有效的赶工措施（费用自理）；</w:t>
      </w:r>
      <w:r>
        <w:rPr>
          <w:rFonts w:hint="eastAsia" w:ascii="宋体" w:hAnsi="宋体" w:eastAsia="宋体" w:cs="宋体"/>
          <w:strike w:val="0"/>
          <w:dstrike w:val="0"/>
          <w:color w:val="auto"/>
          <w:szCs w:val="21"/>
          <w:highlight w:val="none"/>
          <w:u w:val="single"/>
        </w:rPr>
        <w:t>（</w:t>
      </w:r>
      <w:r>
        <w:rPr>
          <w:rFonts w:hint="eastAsia" w:ascii="宋体" w:hAnsi="宋体" w:eastAsia="宋体" w:cs="宋体"/>
          <w:strike w:val="0"/>
          <w:dstrike w:val="0"/>
          <w:color w:val="auto"/>
          <w:szCs w:val="21"/>
          <w:highlight w:val="none"/>
          <w:u w:val="single"/>
          <w:lang w:val="en-US" w:eastAsia="zh-CN"/>
        </w:rPr>
        <w:t>2</w:t>
      </w:r>
      <w:r>
        <w:rPr>
          <w:rFonts w:hint="eastAsia" w:ascii="宋体" w:hAnsi="宋体" w:eastAsia="宋体" w:cs="宋体"/>
          <w:strike w:val="0"/>
          <w:dstrike w:val="0"/>
          <w:color w:val="auto"/>
          <w:szCs w:val="21"/>
          <w:highlight w:val="none"/>
          <w:u w:val="single"/>
        </w:rPr>
        <w:t>）</w:t>
      </w:r>
      <w:r>
        <w:rPr>
          <w:rFonts w:hint="eastAsia" w:ascii="宋体" w:hAnsi="宋体" w:eastAsia="宋体" w:cs="宋体"/>
          <w:bCs/>
          <w:strike w:val="0"/>
          <w:dstrike w:val="0"/>
          <w:color w:val="auto"/>
          <w:szCs w:val="21"/>
          <w:highlight w:val="none"/>
          <w:u w:val="single"/>
        </w:rPr>
        <w:t>对严重拖延工期，经发包人多次督促，承包人拒不执行的，发包人可</w:t>
      </w:r>
      <w:r>
        <w:rPr>
          <w:rFonts w:hint="eastAsia" w:ascii="宋体" w:hAnsi="宋体" w:eastAsia="宋体" w:cs="宋体"/>
          <w:strike w:val="0"/>
          <w:dstrike w:val="0"/>
          <w:color w:val="auto"/>
          <w:szCs w:val="21"/>
          <w:highlight w:val="none"/>
          <w:u w:val="single"/>
        </w:rPr>
        <w:t>终止</w:t>
      </w:r>
      <w:r>
        <w:rPr>
          <w:rFonts w:hint="eastAsia" w:ascii="宋体" w:hAnsi="宋体" w:eastAsia="宋体" w:cs="宋体"/>
          <w:bCs/>
          <w:strike w:val="0"/>
          <w:dstrike w:val="0"/>
          <w:color w:val="auto"/>
          <w:szCs w:val="21"/>
          <w:highlight w:val="none"/>
          <w:u w:val="single"/>
        </w:rPr>
        <w:t>施工合同，并和承包人进行清算。同时按原中标价格另选同样资质的施工队伍进场施工，原承包人须无条件配合，不得以任何借口阻挠另选的施工队伍施工，不得向发包人提出任何索赔要求</w:t>
      </w:r>
      <w:r>
        <w:rPr>
          <w:rFonts w:hint="eastAsia" w:ascii="宋体" w:hAnsi="宋体" w:cs="宋体"/>
          <w:color w:val="000000"/>
          <w:szCs w:val="21"/>
          <w:u w:val="single"/>
        </w:rPr>
        <w:t xml:space="preserve"> </w:t>
      </w:r>
      <w:r>
        <w:rPr>
          <w:rFonts w:hint="eastAsia" w:ascii="宋体" w:hAnsi="宋体" w:cs="宋体"/>
          <w:color w:val="000000"/>
          <w:szCs w:val="21"/>
          <w:u w:val="single"/>
          <w:lang w:eastAsia="zh-CN"/>
        </w:rPr>
        <w:t>。</w:t>
      </w:r>
    </w:p>
    <w:p w14:paraId="7BD0E645">
      <w:pPr>
        <w:snapToGrid w:val="0"/>
        <w:spacing w:line="440" w:lineRule="exact"/>
        <w:ind w:firstLine="420" w:firstLineChars="200"/>
        <w:rPr>
          <w:rFonts w:hint="eastAsia" w:ascii="宋体" w:cs="宋体"/>
          <w:szCs w:val="21"/>
        </w:rPr>
      </w:pPr>
      <w:r>
        <w:rPr>
          <w:rFonts w:hint="eastAsia" w:ascii="宋体" w:cs="宋体"/>
          <w:szCs w:val="21"/>
        </w:rPr>
        <w:t>7.6 不利物质条件</w:t>
      </w:r>
    </w:p>
    <w:p w14:paraId="2645C99D">
      <w:pPr>
        <w:snapToGrid w:val="0"/>
        <w:spacing w:line="440" w:lineRule="exact"/>
        <w:ind w:firstLine="420" w:firstLineChars="200"/>
        <w:jc w:val="left"/>
        <w:rPr>
          <w:rFonts w:ascii="宋体" w:cs="宋体"/>
          <w:szCs w:val="21"/>
          <w:u w:val="single"/>
        </w:rPr>
      </w:pPr>
      <w:r>
        <w:rPr>
          <w:rFonts w:hint="eastAsia" w:ascii="宋体" w:cs="宋体"/>
          <w:szCs w:val="21"/>
        </w:rPr>
        <w:t>不利物质条件的其他情形和有关约定：</w:t>
      </w:r>
      <w:r>
        <w:rPr>
          <w:rFonts w:hint="eastAsia" w:ascii="宋体" w:cs="宋体"/>
          <w:szCs w:val="21"/>
          <w:u w:val="single"/>
        </w:rPr>
        <w:t xml:space="preserve"> 无  。</w:t>
      </w:r>
    </w:p>
    <w:p w14:paraId="049DF00A">
      <w:pPr>
        <w:snapToGrid w:val="0"/>
        <w:spacing w:line="440" w:lineRule="exact"/>
        <w:ind w:firstLine="420" w:firstLineChars="200"/>
        <w:rPr>
          <w:rFonts w:hint="eastAsia" w:ascii="宋体" w:cs="宋体"/>
          <w:szCs w:val="21"/>
        </w:rPr>
      </w:pPr>
      <w:r>
        <w:rPr>
          <w:rFonts w:hint="eastAsia" w:ascii="宋体" w:cs="宋体"/>
          <w:szCs w:val="21"/>
        </w:rPr>
        <w:t>7.7异常恶劣的气候条件</w:t>
      </w:r>
    </w:p>
    <w:p w14:paraId="1EEDCDCF">
      <w:pPr>
        <w:snapToGrid w:val="0"/>
        <w:spacing w:line="440" w:lineRule="exact"/>
        <w:ind w:firstLine="420" w:firstLineChars="200"/>
        <w:jc w:val="left"/>
        <w:rPr>
          <w:rFonts w:hint="eastAsia" w:ascii="宋体" w:cs="宋体"/>
          <w:szCs w:val="21"/>
        </w:rPr>
      </w:pPr>
      <w:r>
        <w:rPr>
          <w:rFonts w:hint="eastAsia" w:ascii="宋体" w:cs="宋体"/>
          <w:szCs w:val="21"/>
        </w:rPr>
        <w:t>发包人和承包人同意以下情形视为异常恶劣的气候条件：</w:t>
      </w:r>
    </w:p>
    <w:p w14:paraId="06996BDA">
      <w:pPr>
        <w:numPr>
          <w:ilvl w:val="0"/>
          <w:numId w:val="3"/>
        </w:numPr>
        <w:snapToGrid w:val="0"/>
        <w:spacing w:line="440" w:lineRule="exact"/>
        <w:ind w:firstLine="420" w:firstLineChars="200"/>
        <w:jc w:val="left"/>
        <w:rPr>
          <w:rFonts w:hint="eastAsia"/>
        </w:rPr>
      </w:pPr>
      <w:r>
        <w:rPr>
          <w:rFonts w:hint="eastAsia" w:ascii="宋体" w:cs="宋体"/>
          <w:szCs w:val="21"/>
          <w:u w:val="single"/>
        </w:rPr>
        <w:t xml:space="preserve"> 无   </w:t>
      </w:r>
      <w:r>
        <w:rPr>
          <w:rFonts w:hint="eastAsia" w:ascii="宋体" w:cs="宋体"/>
          <w:szCs w:val="21"/>
        </w:rPr>
        <w:t>；</w:t>
      </w:r>
    </w:p>
    <w:p w14:paraId="419186D3">
      <w:pPr>
        <w:numPr>
          <w:ilvl w:val="0"/>
          <w:numId w:val="3"/>
        </w:numPr>
        <w:snapToGrid w:val="0"/>
        <w:spacing w:line="440" w:lineRule="exact"/>
        <w:ind w:firstLine="420" w:firstLineChars="200"/>
        <w:jc w:val="left"/>
        <w:rPr>
          <w:rFonts w:hint="eastAsia"/>
        </w:rPr>
      </w:pPr>
      <w:r>
        <w:rPr>
          <w:rFonts w:hint="eastAsia" w:ascii="宋体" w:cs="宋体"/>
          <w:szCs w:val="21"/>
          <w:u w:val="single"/>
        </w:rPr>
        <w:t xml:space="preserve"> 无   </w:t>
      </w:r>
      <w:r>
        <w:rPr>
          <w:rFonts w:hint="eastAsia" w:ascii="宋体" w:cs="宋体"/>
          <w:szCs w:val="21"/>
        </w:rPr>
        <w:t>；</w:t>
      </w:r>
    </w:p>
    <w:p w14:paraId="5A5BAC38">
      <w:pPr>
        <w:numPr>
          <w:ilvl w:val="0"/>
          <w:numId w:val="3"/>
        </w:numPr>
        <w:snapToGrid w:val="0"/>
        <w:spacing w:line="440" w:lineRule="exact"/>
        <w:ind w:firstLine="420" w:firstLineChars="200"/>
        <w:jc w:val="left"/>
        <w:rPr>
          <w:rFonts w:hint="eastAsia"/>
        </w:rPr>
      </w:pPr>
      <w:r>
        <w:rPr>
          <w:rFonts w:hint="eastAsia" w:ascii="宋体" w:cs="宋体"/>
          <w:szCs w:val="21"/>
          <w:u w:val="single"/>
        </w:rPr>
        <w:t xml:space="preserve"> 无   </w:t>
      </w:r>
      <w:r>
        <w:rPr>
          <w:rFonts w:hint="eastAsia" w:ascii="宋体" w:cs="宋体"/>
          <w:szCs w:val="21"/>
        </w:rPr>
        <w:t>；</w:t>
      </w:r>
    </w:p>
    <w:p w14:paraId="72D8DA8A">
      <w:pPr>
        <w:snapToGrid w:val="0"/>
        <w:spacing w:line="440" w:lineRule="exact"/>
        <w:ind w:firstLine="420" w:firstLineChars="200"/>
        <w:jc w:val="left"/>
        <w:rPr>
          <w:rFonts w:hint="eastAsia" w:ascii="宋体" w:hAnsi="宋体" w:cs="宋体"/>
        </w:rPr>
      </w:pPr>
      <w:r>
        <w:rPr>
          <w:rFonts w:hint="eastAsia" w:ascii="宋体" w:hAnsi="宋体" w:cs="宋体"/>
        </w:rPr>
        <w:t>7.9 提前竣工的奖励</w:t>
      </w:r>
    </w:p>
    <w:p w14:paraId="6C6ED465">
      <w:pPr>
        <w:pStyle w:val="14"/>
        <w:spacing w:after="0" w:line="440" w:lineRule="exact"/>
        <w:ind w:left="0" w:leftChars="0"/>
        <w:rPr>
          <w:rFonts w:hint="eastAsia"/>
        </w:rPr>
      </w:pPr>
      <w:r>
        <w:rPr>
          <w:rFonts w:hint="eastAsia"/>
        </w:rPr>
        <w:t>7.9.2提前竣工的奖励：</w:t>
      </w:r>
      <w:r>
        <w:rPr>
          <w:rFonts w:hint="eastAsia"/>
          <w:u w:val="single"/>
        </w:rPr>
        <w:t xml:space="preserve"> </w:t>
      </w:r>
      <w:r>
        <w:rPr>
          <w:rFonts w:hint="eastAsia" w:ascii="宋体" w:hAnsi="宋体" w:cs="宋体"/>
          <w:color w:val="auto"/>
          <w:highlight w:val="none"/>
          <w:u w:val="single"/>
          <w:lang w:val="en-US" w:eastAsia="zh-CN"/>
        </w:rPr>
        <w:t>此条不执行</w:t>
      </w:r>
      <w:r>
        <w:rPr>
          <w:rFonts w:hint="eastAsia"/>
          <w:u w:val="single"/>
        </w:rPr>
        <w:t xml:space="preserve">   </w:t>
      </w:r>
      <w:r>
        <w:rPr>
          <w:rFonts w:hint="eastAsia"/>
        </w:rPr>
        <w:t>。</w:t>
      </w:r>
    </w:p>
    <w:p w14:paraId="394DFA65">
      <w:pPr>
        <w:pStyle w:val="5"/>
        <w:snapToGrid w:val="0"/>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8. 材料与设备</w:t>
      </w:r>
    </w:p>
    <w:p w14:paraId="2A8390C2">
      <w:pPr>
        <w:snapToGrid w:val="0"/>
        <w:spacing w:line="440" w:lineRule="exact"/>
        <w:ind w:firstLine="420" w:firstLineChars="200"/>
        <w:rPr>
          <w:rFonts w:hint="eastAsia" w:ascii="宋体" w:cs="宋体"/>
          <w:szCs w:val="21"/>
        </w:rPr>
      </w:pPr>
      <w:r>
        <w:rPr>
          <w:rFonts w:hint="eastAsia" w:ascii="宋体" w:cs="宋体"/>
          <w:szCs w:val="21"/>
        </w:rPr>
        <w:t>8.4材料与工程设备的保管与使用</w:t>
      </w:r>
    </w:p>
    <w:p w14:paraId="7406874C">
      <w:pPr>
        <w:snapToGrid w:val="0"/>
        <w:spacing w:line="440" w:lineRule="exact"/>
        <w:ind w:firstLine="420" w:firstLineChars="200"/>
        <w:jc w:val="left"/>
        <w:rPr>
          <w:rFonts w:hint="eastAsia" w:ascii="宋体" w:cs="宋体"/>
          <w:color w:val="auto"/>
          <w:szCs w:val="21"/>
          <w:u w:val="single"/>
        </w:rPr>
      </w:pPr>
      <w:r>
        <w:rPr>
          <w:rFonts w:hint="eastAsia" w:ascii="宋体" w:cs="宋体"/>
          <w:color w:val="auto"/>
          <w:szCs w:val="21"/>
        </w:rPr>
        <w:t>8.4.1发包人供应的材料设备的保管费用的承担：</w:t>
      </w:r>
      <w:r>
        <w:rPr>
          <w:rFonts w:hint="eastAsia" w:ascii="宋体" w:hAnsi="宋体" w:cs="宋体"/>
          <w:color w:val="auto"/>
          <w:highlight w:val="none"/>
          <w:u w:val="single"/>
          <w:lang w:val="en-US" w:eastAsia="zh-CN"/>
        </w:rPr>
        <w:t>此条不执行</w:t>
      </w:r>
      <w:r>
        <w:rPr>
          <w:rFonts w:hint="eastAsia" w:ascii="宋体" w:cs="宋体"/>
          <w:color w:val="auto"/>
          <w:szCs w:val="21"/>
          <w:u w:val="single"/>
        </w:rPr>
        <w:t>。</w:t>
      </w:r>
    </w:p>
    <w:p w14:paraId="44B60519">
      <w:pPr>
        <w:snapToGrid w:val="0"/>
        <w:spacing w:line="440" w:lineRule="exact"/>
        <w:ind w:firstLine="420" w:firstLineChars="200"/>
        <w:rPr>
          <w:rFonts w:hint="eastAsia" w:ascii="宋体" w:cs="宋体"/>
          <w:color w:val="auto"/>
          <w:szCs w:val="21"/>
        </w:rPr>
      </w:pPr>
      <w:r>
        <w:rPr>
          <w:rFonts w:hint="eastAsia" w:ascii="宋体" w:cs="宋体"/>
          <w:color w:val="auto"/>
          <w:szCs w:val="21"/>
        </w:rPr>
        <w:t>8.6 样品</w:t>
      </w:r>
    </w:p>
    <w:p w14:paraId="53B79BFB">
      <w:pPr>
        <w:autoSpaceDE w:val="0"/>
        <w:autoSpaceDN w:val="0"/>
        <w:adjustRightInd w:val="0"/>
        <w:snapToGrid w:val="0"/>
        <w:spacing w:line="440" w:lineRule="exact"/>
        <w:ind w:firstLine="420" w:firstLineChars="200"/>
        <w:jc w:val="left"/>
        <w:rPr>
          <w:rFonts w:hint="eastAsia" w:ascii="宋体" w:cs="宋体"/>
          <w:color w:val="auto"/>
          <w:kern w:val="0"/>
          <w:szCs w:val="21"/>
        </w:rPr>
      </w:pPr>
      <w:r>
        <w:rPr>
          <w:rFonts w:hint="eastAsia" w:ascii="宋体" w:cs="宋体"/>
          <w:color w:val="auto"/>
          <w:kern w:val="0"/>
          <w:szCs w:val="21"/>
        </w:rPr>
        <w:t>8.6.1样品的报送与封存</w:t>
      </w:r>
    </w:p>
    <w:p w14:paraId="1C7AD2DF">
      <w:pPr>
        <w:snapToGrid w:val="0"/>
        <w:spacing w:line="440" w:lineRule="exact"/>
        <w:ind w:firstLine="420" w:firstLineChars="200"/>
        <w:rPr>
          <w:rFonts w:hint="eastAsia" w:ascii="宋体" w:cs="宋体"/>
          <w:color w:val="auto"/>
          <w:szCs w:val="21"/>
          <w:u w:val="single"/>
        </w:rPr>
      </w:pPr>
      <w:r>
        <w:rPr>
          <w:rFonts w:hint="eastAsia" w:ascii="宋体" w:cs="宋体"/>
          <w:color w:val="auto"/>
          <w:szCs w:val="21"/>
        </w:rPr>
        <w:t>需要承包人报送样品的材料或工程设备，样品的种类、名称、规格、数量要求：</w:t>
      </w:r>
      <w:r>
        <w:rPr>
          <w:rFonts w:hint="eastAsia" w:ascii="宋体" w:cs="宋体"/>
          <w:color w:val="auto"/>
          <w:szCs w:val="21"/>
          <w:u w:val="single"/>
        </w:rPr>
        <w:t xml:space="preserve"> 执行</w:t>
      </w:r>
      <w:r>
        <w:rPr>
          <w:rFonts w:hint="eastAsia" w:ascii="宋体" w:cs="宋体"/>
          <w:color w:val="auto"/>
          <w:szCs w:val="21"/>
          <w:u w:val="single"/>
          <w:lang w:val="en-US" w:eastAsia="zh-CN"/>
        </w:rPr>
        <w:t>招标</w:t>
      </w:r>
      <w:r>
        <w:rPr>
          <w:rFonts w:hint="eastAsia" w:ascii="宋体" w:cs="宋体"/>
          <w:color w:val="auto"/>
          <w:szCs w:val="21"/>
          <w:u w:val="single"/>
        </w:rPr>
        <w:t xml:space="preserve">文件。 </w:t>
      </w:r>
    </w:p>
    <w:p w14:paraId="15D5C90B">
      <w:pPr>
        <w:snapToGrid w:val="0"/>
        <w:spacing w:line="440" w:lineRule="exact"/>
        <w:ind w:firstLine="420" w:firstLineChars="200"/>
        <w:rPr>
          <w:rFonts w:hint="eastAsia" w:ascii="宋体" w:cs="宋体"/>
          <w:color w:val="auto"/>
          <w:szCs w:val="21"/>
        </w:rPr>
      </w:pPr>
      <w:r>
        <w:rPr>
          <w:rFonts w:hint="eastAsia" w:ascii="宋体" w:cs="宋体"/>
          <w:color w:val="auto"/>
          <w:szCs w:val="21"/>
        </w:rPr>
        <w:t>8.8 施工设备和临时设施</w:t>
      </w:r>
    </w:p>
    <w:p w14:paraId="7E2E2EF1">
      <w:pPr>
        <w:autoSpaceDE w:val="0"/>
        <w:autoSpaceDN w:val="0"/>
        <w:adjustRightInd w:val="0"/>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8.8.1 承包人提供的施工设备和临时设施</w:t>
      </w:r>
    </w:p>
    <w:p w14:paraId="52BEE37C">
      <w:pPr>
        <w:autoSpaceDE w:val="0"/>
        <w:autoSpaceDN w:val="0"/>
        <w:adjustRightInd w:val="0"/>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关于修建临时设施费用承担的约定：</w:t>
      </w:r>
      <w:r>
        <w:rPr>
          <w:rFonts w:hint="eastAsia" w:ascii="宋体" w:cs="宋体"/>
          <w:color w:val="auto"/>
          <w:szCs w:val="21"/>
          <w:u w:val="single"/>
        </w:rPr>
        <w:t xml:space="preserve">  由承包人自行承担费用   </w:t>
      </w:r>
      <w:r>
        <w:rPr>
          <w:rFonts w:hint="eastAsia" w:ascii="宋体" w:cs="宋体"/>
          <w:color w:val="auto"/>
          <w:szCs w:val="21"/>
        </w:rPr>
        <w:t>。</w:t>
      </w:r>
    </w:p>
    <w:p w14:paraId="348BE2C6">
      <w:pPr>
        <w:pStyle w:val="5"/>
        <w:snapToGrid w:val="0"/>
        <w:spacing w:before="0" w:after="0" w:line="440" w:lineRule="exact"/>
        <w:ind w:firstLine="420" w:firstLineChars="200"/>
        <w:rPr>
          <w:rFonts w:hint="eastAsia" w:ascii="宋体" w:eastAsia="宋体" w:cs="宋体"/>
          <w:b w:val="0"/>
          <w:color w:val="auto"/>
          <w:sz w:val="21"/>
          <w:szCs w:val="21"/>
        </w:rPr>
      </w:pPr>
      <w:r>
        <w:rPr>
          <w:rFonts w:hint="eastAsia" w:ascii="宋体" w:eastAsia="宋体" w:cs="宋体"/>
          <w:b w:val="0"/>
          <w:color w:val="auto"/>
          <w:sz w:val="21"/>
          <w:szCs w:val="21"/>
        </w:rPr>
        <w:t>9. 试验与检验</w:t>
      </w:r>
    </w:p>
    <w:p w14:paraId="63F8F678">
      <w:pPr>
        <w:snapToGrid w:val="0"/>
        <w:spacing w:line="440" w:lineRule="exact"/>
        <w:ind w:firstLine="420" w:firstLineChars="200"/>
        <w:rPr>
          <w:rFonts w:hint="eastAsia" w:ascii="宋体" w:cs="宋体"/>
          <w:color w:val="auto"/>
          <w:szCs w:val="21"/>
        </w:rPr>
      </w:pPr>
      <w:r>
        <w:rPr>
          <w:rFonts w:hint="eastAsia" w:ascii="宋体" w:cs="宋体"/>
          <w:color w:val="auto"/>
          <w:szCs w:val="21"/>
        </w:rPr>
        <w:t>9.1试验设备与试验人员</w:t>
      </w:r>
    </w:p>
    <w:p w14:paraId="590F90A0">
      <w:pPr>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9.1.2 试验设备</w:t>
      </w:r>
    </w:p>
    <w:p w14:paraId="7E98BA7C">
      <w:pPr>
        <w:snapToGrid w:val="0"/>
        <w:spacing w:line="440" w:lineRule="exact"/>
        <w:ind w:firstLine="420" w:firstLineChars="200"/>
        <w:jc w:val="left"/>
        <w:rPr>
          <w:rFonts w:hint="eastAsia" w:ascii="宋体" w:cs="宋体"/>
          <w:color w:val="auto"/>
          <w:szCs w:val="21"/>
          <w:u w:val="single"/>
        </w:rPr>
      </w:pPr>
      <w:r>
        <w:rPr>
          <w:rFonts w:hint="eastAsia" w:ascii="宋体" w:cs="宋体"/>
          <w:color w:val="auto"/>
          <w:szCs w:val="21"/>
        </w:rPr>
        <w:t>施工现场需要配置的试验场所：</w:t>
      </w:r>
      <w:r>
        <w:rPr>
          <w:rFonts w:hint="eastAsia" w:ascii="宋体" w:cs="宋体"/>
          <w:color w:val="auto"/>
          <w:szCs w:val="21"/>
          <w:u w:val="single"/>
        </w:rPr>
        <w:t xml:space="preserve">   执行</w:t>
      </w:r>
      <w:r>
        <w:rPr>
          <w:rFonts w:hint="eastAsia" w:ascii="宋体" w:cs="宋体"/>
          <w:color w:val="auto"/>
          <w:szCs w:val="21"/>
          <w:u w:val="single"/>
          <w:lang w:val="en-US" w:eastAsia="zh-CN"/>
        </w:rPr>
        <w:t>招标</w:t>
      </w:r>
      <w:r>
        <w:rPr>
          <w:rFonts w:hint="eastAsia" w:ascii="宋体" w:cs="宋体"/>
          <w:color w:val="auto"/>
          <w:szCs w:val="21"/>
          <w:u w:val="single"/>
        </w:rPr>
        <w:t xml:space="preserve">文件   </w:t>
      </w:r>
      <w:r>
        <w:rPr>
          <w:rFonts w:hint="eastAsia" w:ascii="宋体" w:cs="宋体"/>
          <w:color w:val="auto"/>
          <w:szCs w:val="21"/>
        </w:rPr>
        <w:t xml:space="preserve">。 </w:t>
      </w:r>
    </w:p>
    <w:p w14:paraId="30C3CD2D">
      <w:pPr>
        <w:snapToGrid w:val="0"/>
        <w:spacing w:line="440" w:lineRule="exact"/>
        <w:ind w:firstLine="420" w:firstLineChars="200"/>
        <w:jc w:val="left"/>
        <w:rPr>
          <w:rFonts w:hint="eastAsia" w:ascii="宋体" w:cs="宋体"/>
          <w:color w:val="auto"/>
          <w:szCs w:val="21"/>
          <w:u w:val="single"/>
        </w:rPr>
      </w:pPr>
      <w:r>
        <w:rPr>
          <w:rFonts w:hint="eastAsia" w:ascii="宋体" w:cs="宋体"/>
          <w:color w:val="auto"/>
          <w:szCs w:val="21"/>
        </w:rPr>
        <w:t>施工现场需要配备的试验设备：</w:t>
      </w:r>
      <w:r>
        <w:rPr>
          <w:rFonts w:hint="eastAsia" w:ascii="宋体" w:cs="宋体"/>
          <w:color w:val="auto"/>
          <w:szCs w:val="21"/>
          <w:u w:val="single"/>
        </w:rPr>
        <w:t xml:space="preserve">   执行</w:t>
      </w:r>
      <w:r>
        <w:rPr>
          <w:rFonts w:hint="eastAsia" w:ascii="宋体" w:cs="宋体"/>
          <w:color w:val="auto"/>
          <w:szCs w:val="21"/>
          <w:u w:val="single"/>
          <w:lang w:val="en-US" w:eastAsia="zh-CN"/>
        </w:rPr>
        <w:t>招标</w:t>
      </w:r>
      <w:r>
        <w:rPr>
          <w:rFonts w:hint="eastAsia" w:ascii="宋体" w:cs="宋体"/>
          <w:color w:val="auto"/>
          <w:szCs w:val="21"/>
          <w:u w:val="single"/>
        </w:rPr>
        <w:t xml:space="preserve">文件    </w:t>
      </w:r>
      <w:r>
        <w:rPr>
          <w:rFonts w:hint="eastAsia" w:ascii="宋体" w:cs="宋体"/>
          <w:color w:val="auto"/>
          <w:szCs w:val="21"/>
        </w:rPr>
        <w:t>。</w:t>
      </w:r>
    </w:p>
    <w:p w14:paraId="49322D05">
      <w:pPr>
        <w:snapToGrid w:val="0"/>
        <w:spacing w:line="440" w:lineRule="exact"/>
        <w:ind w:firstLine="420" w:firstLineChars="200"/>
        <w:jc w:val="left"/>
        <w:rPr>
          <w:rFonts w:hint="eastAsia" w:ascii="宋体" w:cs="宋体"/>
          <w:color w:val="auto"/>
          <w:szCs w:val="21"/>
          <w:u w:val="single"/>
        </w:rPr>
      </w:pPr>
      <w:r>
        <w:rPr>
          <w:rFonts w:hint="eastAsia" w:ascii="宋体" w:cs="宋体"/>
          <w:color w:val="auto"/>
          <w:szCs w:val="21"/>
        </w:rPr>
        <w:t>施工现场需要具备的其他试验条件：</w:t>
      </w:r>
      <w:r>
        <w:rPr>
          <w:rFonts w:hint="eastAsia" w:ascii="宋体" w:cs="宋体"/>
          <w:color w:val="auto"/>
          <w:szCs w:val="21"/>
          <w:u w:val="single"/>
        </w:rPr>
        <w:t xml:space="preserve">   执行</w:t>
      </w:r>
      <w:r>
        <w:rPr>
          <w:rFonts w:hint="eastAsia" w:ascii="宋体" w:cs="宋体"/>
          <w:color w:val="auto"/>
          <w:szCs w:val="21"/>
          <w:u w:val="single"/>
          <w:lang w:val="en-US" w:eastAsia="zh-CN"/>
        </w:rPr>
        <w:t>招标</w:t>
      </w:r>
      <w:r>
        <w:rPr>
          <w:rFonts w:hint="eastAsia" w:ascii="宋体" w:cs="宋体"/>
          <w:color w:val="auto"/>
          <w:szCs w:val="21"/>
          <w:u w:val="single"/>
        </w:rPr>
        <w:t xml:space="preserve">文件   </w:t>
      </w:r>
      <w:r>
        <w:rPr>
          <w:rFonts w:hint="eastAsia" w:ascii="宋体" w:cs="宋体"/>
          <w:color w:val="auto"/>
          <w:szCs w:val="21"/>
        </w:rPr>
        <w:t>。</w:t>
      </w:r>
    </w:p>
    <w:p w14:paraId="3106D772">
      <w:pPr>
        <w:snapToGrid w:val="0"/>
        <w:spacing w:line="440" w:lineRule="exact"/>
        <w:ind w:firstLine="420" w:firstLineChars="200"/>
        <w:rPr>
          <w:rFonts w:hint="eastAsia" w:ascii="宋体" w:cs="宋体"/>
          <w:color w:val="auto"/>
          <w:szCs w:val="21"/>
        </w:rPr>
      </w:pPr>
      <w:r>
        <w:rPr>
          <w:rFonts w:hint="eastAsia" w:ascii="宋体" w:cs="宋体"/>
          <w:color w:val="auto"/>
          <w:szCs w:val="21"/>
        </w:rPr>
        <w:t xml:space="preserve">9.4 现场工艺试验 </w:t>
      </w:r>
    </w:p>
    <w:p w14:paraId="57E8BD73">
      <w:pPr>
        <w:snapToGrid w:val="0"/>
        <w:spacing w:line="440" w:lineRule="exact"/>
        <w:ind w:firstLine="420" w:firstLineChars="200"/>
        <w:jc w:val="left"/>
        <w:rPr>
          <w:rFonts w:hint="eastAsia" w:ascii="宋体" w:cs="宋体"/>
          <w:color w:val="auto"/>
          <w:szCs w:val="21"/>
          <w:u w:val="single"/>
        </w:rPr>
      </w:pPr>
      <w:r>
        <w:rPr>
          <w:rFonts w:hint="eastAsia" w:ascii="宋体" w:cs="宋体"/>
          <w:color w:val="auto"/>
          <w:szCs w:val="21"/>
        </w:rPr>
        <w:t>现场工艺试验的有关约定：</w:t>
      </w:r>
      <w:r>
        <w:rPr>
          <w:rFonts w:hint="eastAsia" w:ascii="宋体" w:cs="宋体"/>
          <w:color w:val="auto"/>
          <w:szCs w:val="21"/>
          <w:u w:val="single"/>
        </w:rPr>
        <w:t xml:space="preserve">   按监理人指示    </w:t>
      </w:r>
      <w:r>
        <w:rPr>
          <w:rFonts w:hint="eastAsia" w:ascii="宋体" w:cs="宋体"/>
          <w:color w:val="auto"/>
          <w:szCs w:val="21"/>
        </w:rPr>
        <w:t>。</w:t>
      </w:r>
    </w:p>
    <w:p w14:paraId="0BF396F9">
      <w:pPr>
        <w:pStyle w:val="5"/>
        <w:snapToGrid w:val="0"/>
        <w:spacing w:before="0" w:after="0" w:line="440" w:lineRule="exact"/>
        <w:ind w:firstLine="420" w:firstLineChars="200"/>
        <w:rPr>
          <w:rFonts w:hint="eastAsia" w:ascii="宋体" w:hAnsi="宋体" w:eastAsia="宋体" w:cs="宋体"/>
          <w:b w:val="0"/>
          <w:color w:val="auto"/>
          <w:sz w:val="21"/>
          <w:szCs w:val="21"/>
        </w:rPr>
      </w:pPr>
      <w:r>
        <w:rPr>
          <w:rFonts w:hint="eastAsia" w:ascii="宋体" w:hAnsi="宋体" w:eastAsia="宋体" w:cs="宋体"/>
          <w:b w:val="0"/>
          <w:color w:val="auto"/>
          <w:sz w:val="21"/>
          <w:szCs w:val="21"/>
        </w:rPr>
        <w:t>10. 变更</w:t>
      </w:r>
    </w:p>
    <w:p w14:paraId="36E56CDB">
      <w:pPr>
        <w:snapToGrid w:val="0"/>
        <w:spacing w:line="440" w:lineRule="exact"/>
        <w:ind w:firstLine="420" w:firstLineChars="200"/>
        <w:rPr>
          <w:rFonts w:hint="eastAsia" w:ascii="宋体" w:hAnsi="宋体" w:cs="宋体"/>
          <w:color w:val="auto"/>
          <w:szCs w:val="21"/>
        </w:rPr>
      </w:pPr>
      <w:r>
        <w:rPr>
          <w:rFonts w:hint="eastAsia" w:ascii="宋体" w:hAnsi="宋体" w:cs="宋体"/>
          <w:color w:val="auto"/>
          <w:szCs w:val="21"/>
        </w:rPr>
        <w:t>10.1变更的范围</w:t>
      </w:r>
    </w:p>
    <w:p w14:paraId="234E064E">
      <w:pPr>
        <w:snapToGrid w:val="0"/>
        <w:spacing w:line="440" w:lineRule="exact"/>
        <w:ind w:firstLine="420" w:firstLineChars="200"/>
        <w:jc w:val="left"/>
        <w:rPr>
          <w:rFonts w:hint="eastAsia" w:ascii="宋体" w:hAnsi="宋体" w:cs="宋体"/>
          <w:color w:val="auto"/>
          <w:szCs w:val="21"/>
          <w:u w:val="single"/>
        </w:rPr>
      </w:pPr>
      <w:r>
        <w:rPr>
          <w:rFonts w:hint="eastAsia" w:ascii="宋体" w:hAnsi="宋体" w:cs="宋体"/>
          <w:color w:val="auto"/>
          <w:szCs w:val="21"/>
        </w:rPr>
        <w:t>关于变更范围的约定：</w:t>
      </w:r>
      <w:r>
        <w:rPr>
          <w:rFonts w:hint="eastAsia" w:ascii="宋体" w:hAnsi="宋体" w:cs="宋体"/>
          <w:b/>
          <w:color w:val="auto"/>
          <w:szCs w:val="21"/>
          <w:u w:val="single"/>
        </w:rPr>
        <w:t>执行合同通用条款</w:t>
      </w:r>
      <w:r>
        <w:rPr>
          <w:rFonts w:hint="eastAsia" w:ascii="宋体" w:hAnsi="宋体" w:cs="宋体"/>
          <w:b/>
          <w:bCs/>
          <w:color w:val="auto"/>
          <w:szCs w:val="21"/>
          <w:u w:val="single"/>
        </w:rPr>
        <w:t>。</w:t>
      </w:r>
    </w:p>
    <w:p w14:paraId="7CC01665">
      <w:pPr>
        <w:snapToGrid w:val="0"/>
        <w:spacing w:line="440" w:lineRule="exact"/>
        <w:ind w:firstLine="420" w:firstLineChars="200"/>
        <w:jc w:val="left"/>
        <w:rPr>
          <w:rFonts w:hint="eastAsia" w:ascii="宋体" w:hAnsi="宋体" w:cs="宋体"/>
          <w:color w:val="auto"/>
          <w:szCs w:val="21"/>
        </w:rPr>
      </w:pPr>
      <w:r>
        <w:rPr>
          <w:rFonts w:hint="eastAsia" w:ascii="宋体" w:hAnsi="宋体" w:cs="宋体"/>
          <w:color w:val="auto"/>
          <w:szCs w:val="21"/>
        </w:rPr>
        <w:t>10.4 变更估价</w:t>
      </w:r>
    </w:p>
    <w:p w14:paraId="363C3F7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b/>
          <w:strike/>
          <w:dstrike w:val="0"/>
          <w:color w:val="000000"/>
          <w:highlight w:val="magenta"/>
          <w:lang w:eastAsia="zh-CN"/>
        </w:rPr>
      </w:pPr>
      <w:r>
        <w:rPr>
          <w:rFonts w:hint="eastAsia" w:ascii="宋体" w:hAnsi="宋体" w:cs="宋体"/>
          <w:color w:val="auto"/>
          <w:szCs w:val="21"/>
        </w:rPr>
        <w:t>10.4.1变更估价原则</w:t>
      </w:r>
      <w:r>
        <w:rPr>
          <w:rFonts w:hint="eastAsia" w:ascii="宋体" w:hAnsi="宋体" w:cs="宋体"/>
          <w:color w:val="auto"/>
          <w:kern w:val="0"/>
          <w:szCs w:val="21"/>
        </w:rPr>
        <w:br w:type="textWrapping"/>
      </w:r>
      <w:r>
        <w:rPr>
          <w:rFonts w:hint="eastAsia" w:ascii="宋体" w:hAnsi="宋体" w:cs="宋体"/>
          <w:color w:val="auto"/>
          <w:kern w:val="0"/>
          <w:szCs w:val="21"/>
        </w:rPr>
        <w:t xml:space="preserve">   </w:t>
      </w:r>
      <w:r>
        <w:rPr>
          <w:rFonts w:hint="eastAsia" w:ascii="宋体" w:hAnsi="宋体" w:cs="宋体"/>
          <w:color w:val="auto"/>
          <w:kern w:val="0"/>
          <w:szCs w:val="21"/>
          <w:lang w:val="en-US" w:eastAsia="zh-CN"/>
        </w:rPr>
        <w:t xml:space="preserve"> </w:t>
      </w:r>
      <w:r>
        <w:rPr>
          <w:rFonts w:hint="eastAsia" w:ascii="宋体" w:hAnsi="宋体" w:cs="宋体"/>
          <w:color w:val="auto"/>
          <w:szCs w:val="21"/>
        </w:rPr>
        <w:t>关于变更估价的约定</w:t>
      </w:r>
      <w:r>
        <w:rPr>
          <w:rFonts w:hint="eastAsia" w:ascii="宋体" w:hAnsi="宋体" w:cs="宋体"/>
          <w:color w:val="auto"/>
          <w:szCs w:val="21"/>
          <w:lang w:eastAsia="zh-CN"/>
        </w:rPr>
        <w:t>：</w:t>
      </w:r>
    </w:p>
    <w:p w14:paraId="7BFAC980">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color w:val="auto"/>
          <w:kern w:val="0"/>
          <w:highlight w:val="none"/>
          <w:lang w:eastAsia="zh-CN"/>
        </w:rPr>
      </w:pPr>
      <w:r>
        <w:rPr>
          <w:rFonts w:hint="eastAsia" w:ascii="宋体" w:hAnsi="宋体" w:eastAsia="宋体" w:cs="宋体"/>
          <w:b/>
          <w:bCs/>
          <w:color w:val="auto"/>
          <w:szCs w:val="21"/>
          <w:highlight w:val="none"/>
        </w:rPr>
        <w:t>变更导致结算工程量（含1.13清单工程量错误产生的工程量）减少或增加</w:t>
      </w:r>
      <w:r>
        <w:rPr>
          <w:rFonts w:hint="eastAsia" w:ascii="宋体" w:hAnsi="宋体" w:cs="宋体"/>
          <w:b/>
          <w:bCs/>
          <w:color w:val="auto"/>
          <w:szCs w:val="21"/>
          <w:highlight w:val="none"/>
          <w:lang w:val="en-US" w:eastAsia="zh-CN"/>
        </w:rPr>
        <w:t>的</w:t>
      </w:r>
      <w:r>
        <w:rPr>
          <w:rFonts w:hint="eastAsia" w:ascii="宋体" w:hAnsi="宋体" w:eastAsia="宋体" w:cs="宋体"/>
          <w:b/>
          <w:bCs/>
          <w:color w:val="auto"/>
          <w:szCs w:val="21"/>
          <w:highlight w:val="none"/>
        </w:rPr>
        <w:t>部分，执行下列第（1）款或第（2）款</w:t>
      </w:r>
      <w:r>
        <w:rPr>
          <w:rFonts w:hint="eastAsia" w:ascii="宋体" w:hAnsi="宋体" w:cs="宋体"/>
          <w:b/>
          <w:bCs/>
          <w:color w:val="auto"/>
          <w:szCs w:val="21"/>
          <w:highlight w:val="none"/>
          <w:lang w:val="en-US" w:eastAsia="zh-CN"/>
        </w:rPr>
        <w:t>或第</w:t>
      </w:r>
      <w:r>
        <w:rPr>
          <w:rFonts w:hint="eastAsia" w:ascii="宋体" w:hAnsi="宋体" w:eastAsia="宋体" w:cs="宋体"/>
          <w:b/>
          <w:bCs/>
          <w:color w:val="auto"/>
          <w:szCs w:val="21"/>
          <w:highlight w:val="none"/>
        </w:rPr>
        <w:t>（</w:t>
      </w:r>
      <w:r>
        <w:rPr>
          <w:rFonts w:hint="eastAsia" w:ascii="宋体" w:hAnsi="宋体" w:cs="宋体"/>
          <w:b/>
          <w:bCs/>
          <w:color w:val="auto"/>
          <w:szCs w:val="21"/>
          <w:highlight w:val="none"/>
          <w:lang w:val="en-US" w:eastAsia="zh-CN"/>
        </w:rPr>
        <w:t>3</w:t>
      </w:r>
      <w:r>
        <w:rPr>
          <w:rFonts w:hint="eastAsia" w:ascii="宋体" w:hAnsi="宋体" w:eastAsia="宋体" w:cs="宋体"/>
          <w:b/>
          <w:bCs/>
          <w:color w:val="auto"/>
          <w:szCs w:val="21"/>
          <w:highlight w:val="none"/>
        </w:rPr>
        <w:t>）款确定的单价</w:t>
      </w:r>
      <w:r>
        <w:rPr>
          <w:rFonts w:hint="eastAsia" w:ascii="宋体" w:hAnsi="宋体" w:cs="宋体"/>
          <w:b/>
          <w:bCs/>
          <w:color w:val="auto"/>
          <w:szCs w:val="21"/>
          <w:highlight w:val="none"/>
          <w:lang w:eastAsia="zh-CN"/>
        </w:rPr>
        <w:t>。</w:t>
      </w:r>
    </w:p>
    <w:p w14:paraId="2513A76F">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eastAsia="宋体" w:cs="宋体"/>
          <w:b/>
          <w:color w:val="auto"/>
          <w:highlight w:val="none"/>
          <w:u w:val="none"/>
          <w:lang w:val="en-US" w:eastAsia="zh-CN"/>
        </w:rPr>
      </w:pPr>
      <w:r>
        <w:rPr>
          <w:rFonts w:hint="eastAsia" w:ascii="宋体" w:hAnsi="宋体" w:cs="宋体"/>
          <w:b/>
          <w:color w:val="auto"/>
          <w:kern w:val="0"/>
          <w:highlight w:val="none"/>
        </w:rPr>
        <w:t>10.4.1.1 因工程变更引起已标价工程量清单项目或其工程数量发生变化时，按下列规定调整：</w:t>
      </w:r>
      <w:r>
        <w:rPr>
          <w:rFonts w:hint="eastAsia" w:ascii="宋体" w:hAnsi="宋体" w:eastAsia="宋体" w:cs="宋体"/>
          <w:b/>
          <w:color w:val="auto"/>
          <w:highlight w:val="none"/>
          <w:u w:val="none"/>
        </w:rPr>
        <w:t>（1）已标价工程量清单或预算书有相同项目的，按照相同项目单价认定；（2）已标价工程量清单或预算书中无相同项目，但有类似项目的，参照类似项目的单价认定</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类似项目的单价是指其采用的材料、施工工艺和方法基本相似的项目</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lang w:val="en-US" w:eastAsia="zh-CN"/>
        </w:rPr>
        <w:t>3</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已标价工程量清单或预算书</w:t>
      </w:r>
      <w:r>
        <w:rPr>
          <w:rFonts w:hint="eastAsia" w:ascii="宋体" w:hAnsi="宋体" w:eastAsia="宋体" w:cs="宋体"/>
          <w:b/>
          <w:color w:val="auto"/>
          <w:highlight w:val="none"/>
          <w:u w:val="none"/>
          <w:lang w:val="en-US" w:eastAsia="zh-CN"/>
        </w:rPr>
        <w:t>既无</w:t>
      </w:r>
      <w:r>
        <w:rPr>
          <w:rFonts w:hint="eastAsia" w:ascii="宋体" w:hAnsi="宋体" w:eastAsia="宋体" w:cs="宋体"/>
          <w:b/>
          <w:color w:val="auto"/>
          <w:highlight w:val="none"/>
          <w:u w:val="none"/>
        </w:rPr>
        <w:t>相同项目</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lang w:val="en-US" w:eastAsia="zh-CN"/>
        </w:rPr>
        <w:t>也无类似项目的单价</w:t>
      </w:r>
      <w:r>
        <w:rPr>
          <w:rFonts w:hint="eastAsia" w:ascii="宋体" w:hAnsi="宋体" w:eastAsia="宋体" w:cs="宋体"/>
          <w:b/>
          <w:color w:val="auto"/>
          <w:highlight w:val="none"/>
          <w:u w:val="none"/>
        </w:rPr>
        <w:t>按照最高投标限价的编制原则重新组价×投标让利幅度（上述投标让利幅度为中标价/最高投标限价，其中中标价和最高投标限价均扣除暂列金额、暂估价及相应税金</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材料</w:t>
      </w:r>
      <w:r>
        <w:rPr>
          <w:rFonts w:hint="eastAsia" w:ascii="宋体" w:hAnsi="宋体" w:eastAsia="宋体" w:cs="宋体"/>
          <w:b/>
          <w:color w:val="auto"/>
          <w:highlight w:val="none"/>
          <w:u w:val="none"/>
          <w:lang w:val="en-US" w:eastAsia="zh-CN"/>
        </w:rPr>
        <w:t>价</w:t>
      </w:r>
      <w:r>
        <w:rPr>
          <w:rFonts w:hint="eastAsia" w:ascii="宋体" w:hAnsi="宋体" w:eastAsia="宋体" w:cs="宋体"/>
          <w:b/>
          <w:color w:val="auto"/>
          <w:highlight w:val="none"/>
          <w:u w:val="none"/>
        </w:rPr>
        <w:t>按施工当期《</w:t>
      </w:r>
      <w:r>
        <w:rPr>
          <w:rFonts w:hint="eastAsia" w:ascii="宋体" w:hAnsi="宋体" w:eastAsia="宋体" w:cs="宋体"/>
          <w:b/>
          <w:color w:val="auto"/>
          <w:highlight w:val="none"/>
          <w:u w:val="none"/>
          <w:lang w:val="en-US" w:eastAsia="zh-CN"/>
        </w:rPr>
        <w:t>滁</w:t>
      </w:r>
      <w:r>
        <w:rPr>
          <w:rFonts w:hint="eastAsia" w:ascii="宋体" w:hAnsi="宋体" w:eastAsia="宋体" w:cs="宋体"/>
          <w:b/>
          <w:color w:val="auto"/>
          <w:highlight w:val="none"/>
          <w:u w:val="none"/>
        </w:rPr>
        <w:t>州</w:t>
      </w:r>
      <w:r>
        <w:rPr>
          <w:rFonts w:hint="eastAsia" w:ascii="宋体" w:hAnsi="宋体" w:eastAsia="宋体" w:cs="宋体"/>
          <w:b/>
          <w:color w:val="auto"/>
          <w:highlight w:val="none"/>
          <w:u w:val="none"/>
          <w:lang w:val="en-US" w:eastAsia="zh-CN"/>
        </w:rPr>
        <w:t>市</w:t>
      </w:r>
      <w:r>
        <w:rPr>
          <w:rFonts w:hint="eastAsia" w:ascii="宋体" w:hAnsi="宋体" w:eastAsia="宋体" w:cs="宋体"/>
          <w:b/>
          <w:color w:val="auto"/>
          <w:highlight w:val="none"/>
          <w:u w:val="none"/>
        </w:rPr>
        <w:t>建设工程</w:t>
      </w:r>
      <w:r>
        <w:rPr>
          <w:rFonts w:hint="eastAsia" w:ascii="宋体" w:hAnsi="宋体" w:eastAsia="宋体" w:cs="宋体"/>
          <w:b/>
          <w:color w:val="auto"/>
          <w:highlight w:val="none"/>
          <w:u w:val="none"/>
          <w:lang w:val="en-US" w:eastAsia="zh-CN"/>
        </w:rPr>
        <w:t>材料市场价格</w:t>
      </w:r>
      <w:r>
        <w:rPr>
          <w:rFonts w:hint="eastAsia" w:ascii="宋体" w:hAnsi="宋体" w:eastAsia="宋体" w:cs="宋体"/>
          <w:b/>
          <w:color w:val="auto"/>
          <w:highlight w:val="none"/>
          <w:u w:val="none"/>
        </w:rPr>
        <w:t>信息》确定：若信息价为区间价的，则按区间价的算术平均值计取；信息价中没有的材料，由业主、监理、施工三方核定后确定，认价材料不参与下浮</w:t>
      </w:r>
      <w:r>
        <w:rPr>
          <w:rFonts w:hint="eastAsia" w:ascii="宋体" w:hAnsi="宋体" w:cs="宋体"/>
          <w:b/>
          <w:color w:val="auto"/>
          <w:highlight w:val="none"/>
          <w:u w:val="none"/>
          <w:lang w:eastAsia="zh-CN"/>
        </w:rPr>
        <w:t>；</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lang w:val="en-US" w:eastAsia="zh-CN"/>
        </w:rPr>
        <w:t>4</w:t>
      </w:r>
      <w:r>
        <w:rPr>
          <w:rFonts w:hint="eastAsia" w:ascii="宋体" w:hAnsi="宋体" w:eastAsia="宋体" w:cs="宋体"/>
          <w:b/>
          <w:color w:val="auto"/>
          <w:highlight w:val="none"/>
          <w:u w:val="none"/>
          <w:lang w:eastAsia="zh-CN"/>
        </w:rPr>
        <w:t>）</w:t>
      </w:r>
      <w:r>
        <w:rPr>
          <w:rFonts w:hint="eastAsia" w:ascii="宋体" w:hAnsi="宋体" w:eastAsia="宋体" w:cs="宋体"/>
          <w:b/>
          <w:color w:val="auto"/>
          <w:highlight w:val="none"/>
          <w:u w:val="none"/>
        </w:rPr>
        <w:t>若取消某工程项目，则该项目的价款不予支付</w:t>
      </w:r>
      <w:r>
        <w:rPr>
          <w:rFonts w:hint="eastAsia" w:ascii="宋体" w:hAnsi="宋体" w:cs="宋体"/>
          <w:b/>
          <w:color w:val="auto"/>
          <w:highlight w:val="none"/>
          <w:u w:val="none"/>
          <w:lang w:eastAsia="zh-CN"/>
        </w:rPr>
        <w:t>。</w:t>
      </w:r>
    </w:p>
    <w:p w14:paraId="51FEC2A5">
      <w:pPr>
        <w:snapToGrid w:val="0"/>
        <w:spacing w:line="440" w:lineRule="exact"/>
        <w:ind w:firstLine="420" w:firstLineChars="200"/>
        <w:rPr>
          <w:rFonts w:hint="eastAsia" w:ascii="宋体" w:cs="宋体"/>
          <w:color w:val="auto"/>
          <w:szCs w:val="21"/>
        </w:rPr>
      </w:pPr>
      <w:r>
        <w:rPr>
          <w:rFonts w:hint="eastAsia" w:ascii="宋体" w:cs="宋体"/>
          <w:color w:val="auto"/>
          <w:szCs w:val="21"/>
        </w:rPr>
        <w:t>10.5承包人的合理化建议</w:t>
      </w:r>
    </w:p>
    <w:p w14:paraId="04E7A660">
      <w:pPr>
        <w:snapToGrid w:val="0"/>
        <w:spacing w:line="440" w:lineRule="exact"/>
        <w:ind w:firstLine="420" w:firstLineChars="200"/>
        <w:jc w:val="left"/>
        <w:rPr>
          <w:rFonts w:hint="eastAsia" w:ascii="宋体" w:cs="宋体"/>
          <w:szCs w:val="21"/>
          <w:highlight w:val="none"/>
        </w:rPr>
      </w:pPr>
      <w:r>
        <w:rPr>
          <w:rFonts w:hint="eastAsia" w:ascii="宋体" w:cs="宋体"/>
          <w:szCs w:val="21"/>
        </w:rPr>
        <w:t>监理人审查承包人合理化建议的期限</w:t>
      </w:r>
      <w:r>
        <w:rPr>
          <w:rFonts w:hint="eastAsia" w:ascii="宋体" w:cs="宋体"/>
          <w:szCs w:val="21"/>
          <w:highlight w:val="none"/>
        </w:rPr>
        <w:t>：</w:t>
      </w:r>
      <w:r>
        <w:rPr>
          <w:rFonts w:hint="eastAsia" w:ascii="宋体" w:cs="宋体"/>
          <w:szCs w:val="21"/>
          <w:highlight w:val="none"/>
          <w:u w:val="single"/>
        </w:rPr>
        <w:t xml:space="preserve"> </w:t>
      </w:r>
      <w:r>
        <w:rPr>
          <w:rFonts w:hint="eastAsia" w:ascii="宋体" w:hAnsi="Times New Roman" w:eastAsia="宋体" w:cs="宋体"/>
          <w:szCs w:val="21"/>
          <w:highlight w:val="none"/>
          <w:u w:val="single"/>
        </w:rPr>
        <w:t>监理人</w:t>
      </w:r>
      <w:r>
        <w:rPr>
          <w:rFonts w:hint="eastAsia" w:ascii="宋体" w:cs="宋体"/>
          <w:szCs w:val="21"/>
          <w:highlight w:val="none"/>
          <w:u w:val="single"/>
        </w:rPr>
        <w:t>应在收到承包人提交的合理化建议后7天内审查完毕并报送发包人，发现其中存在技术上的缺陷，应通知承包人修改。</w:t>
      </w:r>
    </w:p>
    <w:p w14:paraId="4C7FF324">
      <w:pPr>
        <w:snapToGrid w:val="0"/>
        <w:spacing w:line="440" w:lineRule="exact"/>
        <w:ind w:firstLine="420" w:firstLineChars="200"/>
        <w:jc w:val="left"/>
        <w:rPr>
          <w:rFonts w:hint="eastAsia" w:ascii="宋体" w:cs="宋体"/>
          <w:szCs w:val="21"/>
        </w:rPr>
      </w:pPr>
      <w:r>
        <w:rPr>
          <w:rFonts w:hint="eastAsia" w:ascii="宋体" w:cs="宋体"/>
          <w:szCs w:val="21"/>
          <w:highlight w:val="none"/>
        </w:rPr>
        <w:t>发包人审批承包人合理化建议的期限：</w:t>
      </w:r>
      <w:r>
        <w:rPr>
          <w:rFonts w:hint="eastAsia" w:ascii="宋体" w:cs="宋体"/>
          <w:szCs w:val="21"/>
          <w:highlight w:val="none"/>
          <w:u w:val="single"/>
        </w:rPr>
        <w:t xml:space="preserve"> 发包人应在收到</w:t>
      </w:r>
      <w:r>
        <w:rPr>
          <w:rFonts w:hint="eastAsia" w:ascii="宋体" w:hAnsi="Times New Roman" w:eastAsia="宋体" w:cs="宋体"/>
          <w:szCs w:val="21"/>
          <w:highlight w:val="none"/>
          <w:u w:val="single"/>
        </w:rPr>
        <w:t>监理人</w:t>
      </w:r>
      <w:r>
        <w:rPr>
          <w:rFonts w:hint="eastAsia" w:ascii="宋体" w:cs="宋体"/>
          <w:szCs w:val="21"/>
          <w:highlight w:val="none"/>
          <w:u w:val="single"/>
        </w:rPr>
        <w:t>报送的合理化建议后7天内审批完毕。合理化建议经发包人批准的，</w:t>
      </w:r>
      <w:r>
        <w:rPr>
          <w:rFonts w:hint="eastAsia" w:ascii="宋体" w:hAnsi="Times New Roman" w:eastAsia="宋体" w:cs="宋体"/>
          <w:szCs w:val="21"/>
          <w:highlight w:val="none"/>
          <w:u w:val="single"/>
        </w:rPr>
        <w:t>监理人</w:t>
      </w:r>
      <w:r>
        <w:rPr>
          <w:rFonts w:hint="eastAsia" w:ascii="宋体" w:cs="宋体"/>
          <w:szCs w:val="21"/>
          <w:highlight w:val="none"/>
          <w:u w:val="single"/>
        </w:rPr>
        <w:t>应及时发出变更指示，由此引起的合同价格调整按照第10.4款〔变更估价〕约定执行。发包人不同意变更的，</w:t>
      </w:r>
      <w:r>
        <w:rPr>
          <w:rFonts w:hint="eastAsia" w:ascii="宋体" w:hAnsi="Times New Roman" w:eastAsia="宋体" w:cs="宋体"/>
          <w:szCs w:val="21"/>
          <w:highlight w:val="none"/>
          <w:u w:val="single"/>
        </w:rPr>
        <w:t>监理人</w:t>
      </w:r>
      <w:r>
        <w:rPr>
          <w:rFonts w:hint="eastAsia" w:ascii="宋体" w:cs="宋体"/>
          <w:szCs w:val="21"/>
          <w:highlight w:val="none"/>
          <w:u w:val="single"/>
        </w:rPr>
        <w:t>应书面通知承包人。</w:t>
      </w:r>
    </w:p>
    <w:p w14:paraId="4F4C2DC1">
      <w:pPr>
        <w:snapToGrid w:val="0"/>
        <w:spacing w:line="440" w:lineRule="exact"/>
        <w:ind w:firstLine="420" w:firstLineChars="200"/>
        <w:jc w:val="left"/>
        <w:rPr>
          <w:rFonts w:hint="eastAsia" w:ascii="宋体" w:cs="宋体"/>
          <w:szCs w:val="21"/>
          <w:u w:val="single"/>
        </w:rPr>
      </w:pPr>
      <w:r>
        <w:rPr>
          <w:rFonts w:hint="eastAsia" w:ascii="宋体" w:cs="宋体"/>
          <w:szCs w:val="21"/>
        </w:rPr>
        <w:t>承包人提出的合理化建议降低了合同价格或者提高了工程经济效益的奖励的方法和金额为：</w:t>
      </w:r>
      <w:r>
        <w:rPr>
          <w:rFonts w:ascii="宋体" w:hAnsi="宋体" w:eastAsia="宋体" w:cs="宋体"/>
          <w:spacing w:val="-1"/>
          <w:sz w:val="21"/>
          <w:szCs w:val="21"/>
          <w:u w:val="single" w:color="auto"/>
        </w:rPr>
        <w:t>此条不执行</w:t>
      </w:r>
      <w:r>
        <w:rPr>
          <w:rFonts w:hint="eastAsia"/>
        </w:rPr>
        <w:t>。</w:t>
      </w:r>
    </w:p>
    <w:p w14:paraId="4D201892">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hint="eastAsia" w:ascii="宋体" w:cs="宋体"/>
          <w:szCs w:val="21"/>
          <w:highlight w:val="none"/>
        </w:rPr>
      </w:pPr>
      <w:r>
        <w:rPr>
          <w:rFonts w:hint="eastAsia" w:ascii="宋体" w:cs="宋体"/>
          <w:szCs w:val="21"/>
        </w:rPr>
        <w:t>10.8 暂列金额</w:t>
      </w:r>
    </w:p>
    <w:p w14:paraId="41EF1A4D">
      <w:pPr>
        <w:keepNext w:val="0"/>
        <w:keepLines w:val="0"/>
        <w:pageBreakBefore w:val="0"/>
        <w:widowControl/>
        <w:suppressLineNumbers w:val="0"/>
        <w:kinsoku/>
        <w:wordWrap/>
        <w:overflowPunct/>
        <w:topLinePunct w:val="0"/>
        <w:autoSpaceDE/>
        <w:autoSpaceDN/>
        <w:bidi w:val="0"/>
        <w:adjustRightInd/>
        <w:spacing w:line="440" w:lineRule="exact"/>
        <w:jc w:val="left"/>
        <w:textAlignment w:val="auto"/>
        <w:rPr>
          <w:highlight w:val="none"/>
          <w:u w:val="single"/>
        </w:rPr>
      </w:pPr>
      <w:r>
        <w:rPr>
          <w:rFonts w:hint="eastAsia" w:ascii="宋体" w:hAnsi="宋体" w:cs="宋体"/>
          <w:color w:val="000000"/>
          <w:kern w:val="0"/>
          <w:highlight w:val="none"/>
          <w:lang w:eastAsia="zh-CN"/>
        </w:rPr>
        <w:t>　　</w:t>
      </w:r>
      <w:r>
        <w:rPr>
          <w:rFonts w:hint="eastAsia" w:ascii="宋体" w:hAnsi="宋体" w:cs="宋体"/>
          <w:color w:val="000000"/>
          <w:kern w:val="0"/>
          <w:highlight w:val="none"/>
        </w:rPr>
        <w:t>合同当事人关于暂列金额使用的约定：</w:t>
      </w:r>
      <w:r>
        <w:rPr>
          <w:rFonts w:hint="eastAsia" w:ascii="宋体" w:hAnsi="宋体" w:eastAsia="宋体" w:cs="宋体"/>
          <w:color w:val="000000"/>
          <w:kern w:val="0"/>
          <w:sz w:val="22"/>
          <w:szCs w:val="22"/>
          <w:highlight w:val="none"/>
          <w:u w:val="single"/>
          <w:lang w:val="en-US" w:eastAsia="zh-CN" w:bidi="ar"/>
        </w:rPr>
        <w:t>合同中标明的暂列金额一般不予动用，其使用由发包人核准批复。</w:t>
      </w:r>
    </w:p>
    <w:p w14:paraId="510AEE20">
      <w:pPr>
        <w:pStyle w:val="5"/>
        <w:pageBreakBefore w:val="0"/>
        <w:kinsoku/>
        <w:wordWrap/>
        <w:overflowPunct/>
        <w:topLinePunct w:val="0"/>
        <w:autoSpaceDE/>
        <w:autoSpaceDN/>
        <w:bidi w:val="0"/>
        <w:adjustRightInd/>
        <w:snapToGrid w:val="0"/>
        <w:spacing w:before="0" w:after="0" w:line="440" w:lineRule="exact"/>
        <w:ind w:firstLine="420" w:firstLineChars="200"/>
        <w:textAlignment w:val="auto"/>
        <w:rPr>
          <w:rFonts w:hint="eastAsia" w:ascii="宋体" w:eastAsia="宋体" w:cs="宋体"/>
          <w:b w:val="0"/>
          <w:sz w:val="21"/>
          <w:szCs w:val="21"/>
          <w:highlight w:val="none"/>
        </w:rPr>
      </w:pPr>
      <w:r>
        <w:rPr>
          <w:rFonts w:hint="eastAsia" w:ascii="宋体" w:eastAsia="宋体" w:cs="宋体"/>
          <w:b w:val="0"/>
          <w:sz w:val="21"/>
          <w:szCs w:val="21"/>
          <w:highlight w:val="none"/>
        </w:rPr>
        <w:t>11. 价格调整</w:t>
      </w:r>
    </w:p>
    <w:p w14:paraId="47D887AB">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hint="eastAsia" w:ascii="宋体" w:cs="宋体"/>
          <w:szCs w:val="21"/>
          <w:highlight w:val="none"/>
        </w:rPr>
      </w:pPr>
      <w:r>
        <w:rPr>
          <w:rFonts w:hint="eastAsia" w:ascii="宋体" w:cs="宋体"/>
          <w:szCs w:val="21"/>
          <w:highlight w:val="none"/>
        </w:rPr>
        <w:t>11.1 市场价格波动引起的调整</w:t>
      </w:r>
    </w:p>
    <w:p w14:paraId="0EA5983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kern w:val="0"/>
          <w:highlight w:val="none"/>
        </w:rPr>
        <w:t>市场价格波动是否调整合同价格的约定：</w:t>
      </w:r>
      <w:r>
        <w:rPr>
          <w:rFonts w:hint="eastAsia" w:ascii="宋体" w:hAnsi="宋体" w:cs="宋体"/>
          <w:b/>
          <w:color w:val="000000"/>
          <w:highlight w:val="none"/>
          <w:u w:val="single"/>
        </w:rPr>
        <w:t xml:space="preserve"> </w:t>
      </w:r>
      <w:r>
        <w:rPr>
          <w:rFonts w:hint="eastAsia" w:ascii="宋体" w:hAnsi="宋体" w:eastAsia="宋体" w:cs="宋体"/>
          <w:color w:val="auto"/>
          <w:szCs w:val="21"/>
          <w:highlight w:val="none"/>
          <w:u w:val="single"/>
          <w:lang w:val="en-US" w:eastAsia="zh-CN"/>
        </w:rPr>
        <w:t>不调整</w:t>
      </w:r>
      <w:r>
        <w:rPr>
          <w:rFonts w:hint="eastAsia" w:ascii="宋体" w:hAnsi="宋体" w:cs="宋体"/>
          <w:b/>
          <w:color w:val="000000"/>
          <w:highlight w:val="none"/>
          <w:u w:val="single"/>
        </w:rPr>
        <w:t xml:space="preserve"> </w:t>
      </w:r>
      <w:r>
        <w:rPr>
          <w:rFonts w:hint="eastAsia" w:ascii="宋体" w:hAnsi="宋体" w:cs="宋体"/>
          <w:color w:val="000000"/>
          <w:highlight w:val="none"/>
        </w:rPr>
        <w:t>。</w:t>
      </w:r>
    </w:p>
    <w:p w14:paraId="46DA032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因市场价格波动调整合同价格，采用以下第</w:t>
      </w:r>
      <w:r>
        <w:rPr>
          <w:rFonts w:hint="eastAsia" w:ascii="宋体" w:hAnsi="宋体" w:cs="宋体"/>
          <w:color w:val="000000"/>
          <w:u w:val="single"/>
        </w:rPr>
        <w:t xml:space="preserve"> </w:t>
      </w:r>
      <w:r>
        <w:rPr>
          <w:rFonts w:hint="eastAsia" w:ascii="宋体" w:hAnsi="宋体" w:cs="宋体"/>
          <w:color w:val="000000"/>
          <w:u w:val="single"/>
          <w:lang w:val="en-US" w:eastAsia="zh-CN"/>
        </w:rPr>
        <w:t>/</w:t>
      </w:r>
      <w:r>
        <w:rPr>
          <w:rFonts w:hint="eastAsia" w:ascii="宋体" w:hAnsi="宋体" w:cs="宋体"/>
          <w:color w:val="000000"/>
          <w:u w:val="single"/>
        </w:rPr>
        <w:t xml:space="preserve">   </w:t>
      </w:r>
      <w:r>
        <w:rPr>
          <w:rFonts w:hint="eastAsia" w:ascii="宋体" w:hAnsi="宋体" w:cs="宋体"/>
          <w:color w:val="000000"/>
        </w:rPr>
        <w:t>种方式对合同价格进行调整：</w:t>
      </w:r>
    </w:p>
    <w:p w14:paraId="16EAEE2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第1种方式：采用价格指数进行价格调整。</w:t>
      </w:r>
    </w:p>
    <w:p w14:paraId="120DC03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u w:val="single"/>
        </w:rPr>
      </w:pPr>
      <w:r>
        <w:rPr>
          <w:rFonts w:hint="eastAsia" w:ascii="宋体" w:hAnsi="宋体" w:cs="宋体"/>
          <w:color w:val="000000"/>
        </w:rPr>
        <w:t>关于各可调因子、定值和变值权重，以及基本价格指数及其来源的约定：</w:t>
      </w:r>
      <w:r>
        <w:rPr>
          <w:rFonts w:hint="eastAsia" w:ascii="宋体" w:hAnsi="宋体" w:cs="宋体"/>
          <w:color w:val="000000"/>
          <w:u w:val="single"/>
        </w:rPr>
        <w:t xml:space="preserve">  </w:t>
      </w:r>
      <w:r>
        <w:rPr>
          <w:rFonts w:hint="eastAsia" w:ascii="宋体" w:hAnsi="宋体" w:cs="宋体"/>
          <w:color w:val="000000"/>
          <w:u w:val="single"/>
          <w:lang w:val="en-US" w:eastAsia="zh-CN"/>
        </w:rPr>
        <w:t>/</w:t>
      </w:r>
      <w:r>
        <w:rPr>
          <w:rFonts w:hint="eastAsia" w:ascii="宋体" w:hAnsi="宋体" w:cs="宋体"/>
          <w:color w:val="000000"/>
          <w:u w:val="single"/>
        </w:rPr>
        <w:t xml:space="preserve">   </w:t>
      </w:r>
      <w:r>
        <w:rPr>
          <w:rFonts w:hint="eastAsia" w:ascii="宋体" w:hAnsi="宋体" w:cs="宋体"/>
          <w:color w:val="000000"/>
        </w:rPr>
        <w:t xml:space="preserve">； </w:t>
      </w:r>
    </w:p>
    <w:p w14:paraId="60D3AF7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第2种方式：采用造价信息进行价格调整。</w:t>
      </w:r>
    </w:p>
    <w:p w14:paraId="3E132DD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（1）价格的调整：</w:t>
      </w:r>
    </w:p>
    <w:p w14:paraId="6CAF00A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①可调整价格的主要材料范围的约定:</w:t>
      </w:r>
      <w:r>
        <w:rPr>
          <w:rFonts w:hint="eastAsia" w:ascii="宋体" w:hAnsi="宋体" w:cs="宋体"/>
          <w:color w:val="000000"/>
          <w:u w:val="single"/>
        </w:rPr>
        <w:t xml:space="preserve">        </w:t>
      </w:r>
      <w:r>
        <w:rPr>
          <w:rFonts w:hint="eastAsia" w:ascii="宋体" w:hAnsi="宋体" w:cs="宋体"/>
          <w:color w:val="000000"/>
        </w:rPr>
        <w:t>；</w:t>
      </w:r>
    </w:p>
    <w:p w14:paraId="723B5D1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②主要材料价差调整周期的约定:</w:t>
      </w:r>
      <w:r>
        <w:rPr>
          <w:rFonts w:hint="eastAsia" w:ascii="宋体" w:hAnsi="宋体" w:cs="宋体"/>
          <w:color w:val="000000"/>
          <w:u w:val="single"/>
        </w:rPr>
        <w:t xml:space="preserve">            </w:t>
      </w:r>
      <w:r>
        <w:rPr>
          <w:rFonts w:hint="eastAsia" w:ascii="宋体" w:hAnsi="宋体" w:cs="宋体"/>
          <w:color w:val="000000"/>
        </w:rPr>
        <w:t>；</w:t>
      </w:r>
    </w:p>
    <w:p w14:paraId="1B9B210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sz w:val="24"/>
          <w:szCs w:val="32"/>
        </w:rPr>
      </w:pPr>
      <w:r>
        <w:rPr>
          <w:rFonts w:hint="eastAsia" w:ascii="宋体" w:hAnsi="宋体" w:cs="宋体"/>
          <w:color w:val="000000"/>
        </w:rPr>
        <w:t>③主要材料价差调整计算方法的约定:</w:t>
      </w:r>
      <w:r>
        <w:rPr>
          <w:rFonts w:hint="eastAsia" w:ascii="宋体" w:hAnsi="宋体" w:cs="宋体"/>
          <w:color w:val="000000"/>
          <w:u w:val="single"/>
        </w:rPr>
        <w:t xml:space="preserve">        </w:t>
      </w:r>
      <w:r>
        <w:rPr>
          <w:rFonts w:hint="eastAsia" w:ascii="宋体" w:hAnsi="宋体" w:cs="宋体"/>
          <w:color w:val="000000"/>
        </w:rPr>
        <w:t>；</w:t>
      </w:r>
    </w:p>
    <w:p w14:paraId="6E1C4C2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④主要材料价差调整时间的约定:</w:t>
      </w:r>
      <w:r>
        <w:rPr>
          <w:rFonts w:hint="eastAsia" w:ascii="宋体" w:hAnsi="宋体" w:cs="宋体"/>
          <w:color w:val="000000"/>
          <w:u w:val="single"/>
        </w:rPr>
        <w:t xml:space="preserve">            </w:t>
      </w:r>
      <w:r>
        <w:rPr>
          <w:rFonts w:hint="eastAsia" w:ascii="宋体" w:hAnsi="宋体" w:cs="宋体"/>
          <w:color w:val="000000"/>
        </w:rPr>
        <w:t>。</w:t>
      </w:r>
    </w:p>
    <w:p w14:paraId="64DDB168">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（2）关于基准价格的约定：</w:t>
      </w:r>
      <w:r>
        <w:rPr>
          <w:rFonts w:hint="eastAsia" w:ascii="宋体" w:hAnsi="宋体" w:cs="宋体"/>
          <w:color w:val="000000"/>
          <w:u w:val="single"/>
        </w:rPr>
        <w:t xml:space="preserve">         </w:t>
      </w:r>
      <w:r>
        <w:rPr>
          <w:rFonts w:hint="eastAsia" w:ascii="宋体" w:hAnsi="宋体" w:cs="宋体"/>
          <w:color w:val="000000"/>
          <w:u w:val="single"/>
          <w:lang w:val="en-US" w:eastAsia="zh-CN"/>
        </w:rPr>
        <w:t>/</w:t>
      </w:r>
      <w:r>
        <w:rPr>
          <w:rFonts w:hint="eastAsia" w:ascii="宋体" w:hAnsi="宋体" w:cs="宋体"/>
          <w:color w:val="000000"/>
          <w:u w:val="single"/>
        </w:rPr>
        <w:t xml:space="preserve">           </w:t>
      </w:r>
      <w:r>
        <w:rPr>
          <w:rFonts w:hint="eastAsia" w:ascii="宋体" w:hAnsi="宋体" w:cs="宋体"/>
          <w:color w:val="000000"/>
        </w:rPr>
        <w:t>。</w:t>
      </w:r>
    </w:p>
    <w:p w14:paraId="1F2C269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000000"/>
        </w:rPr>
      </w:pPr>
      <w:r>
        <w:rPr>
          <w:rFonts w:hint="eastAsia" w:ascii="宋体" w:hAnsi="宋体" w:eastAsia="宋体" w:cs="宋体"/>
          <w:color w:val="000000"/>
        </w:rPr>
        <w:t>①承包人在已标价工程量清单或预算书中载明的材料单价低于基准价格的：专用合同条款合同履行期间材料单价涨幅以基准价格为基础超过</w:t>
      </w:r>
      <w:r>
        <w:rPr>
          <w:rFonts w:hint="eastAsia" w:ascii="宋体" w:hAnsi="宋体" w:cs="宋体"/>
          <w:color w:val="000000"/>
          <w:u w:val="single"/>
          <w:lang w:val="en-US" w:eastAsia="zh-CN"/>
        </w:rPr>
        <w:t>/</w:t>
      </w:r>
      <w:r>
        <w:rPr>
          <w:rFonts w:hint="eastAsia" w:ascii="宋体" w:hAnsi="宋体" w:eastAsia="宋体" w:cs="宋体"/>
          <w:color w:val="000000"/>
        </w:rPr>
        <w:t>时，或材料单价跌幅以已标价工程量清单或预算书中载明材料单价为基础超过</w:t>
      </w:r>
      <w:r>
        <w:rPr>
          <w:rFonts w:hint="eastAsia" w:ascii="宋体" w:hAnsi="宋体" w:cs="宋体"/>
          <w:color w:val="000000"/>
          <w:u w:val="single"/>
          <w:lang w:val="en-US" w:eastAsia="zh-CN"/>
        </w:rPr>
        <w:t>/</w:t>
      </w:r>
      <w:r>
        <w:rPr>
          <w:rFonts w:hint="eastAsia" w:ascii="宋体" w:hAnsi="宋体" w:eastAsia="宋体" w:cs="宋体"/>
          <w:color w:val="000000"/>
        </w:rPr>
        <w:t>时，其超过部分据实调整。</w:t>
      </w:r>
    </w:p>
    <w:p w14:paraId="2D6B540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②承包人在已标价工程量清单或预算书中载明的材料单价高于基准价格的：专用合同条款合同履行期间材料单价跌幅以基准价格为基础超过</w:t>
      </w:r>
      <w:r>
        <w:rPr>
          <w:rFonts w:hint="eastAsia" w:ascii="宋体" w:hAnsi="宋体" w:cs="宋体"/>
          <w:color w:val="000000"/>
          <w:u w:val="single"/>
        </w:rPr>
        <w:t xml:space="preserve"> </w:t>
      </w:r>
      <w:r>
        <w:rPr>
          <w:rFonts w:hint="eastAsia" w:ascii="宋体" w:hAnsi="宋体" w:cs="宋体"/>
          <w:color w:val="000000"/>
          <w:u w:val="single"/>
          <w:lang w:val="en-US" w:eastAsia="zh-CN"/>
        </w:rPr>
        <w:t>/</w:t>
      </w:r>
      <w:r>
        <w:rPr>
          <w:rFonts w:hint="eastAsia" w:ascii="宋体" w:hAnsi="宋体" w:cs="宋体"/>
          <w:color w:val="000000"/>
        </w:rPr>
        <w:t>时，材料单价涨幅以已标价工程量清单或预算书中载明材料单价为基础超过</w:t>
      </w:r>
      <w:r>
        <w:rPr>
          <w:rFonts w:hint="eastAsia" w:ascii="宋体" w:hAnsi="宋体" w:cs="宋体"/>
          <w:color w:val="000000"/>
          <w:u w:val="single"/>
          <w:lang w:val="en-US" w:eastAsia="zh-CN"/>
        </w:rPr>
        <w:t>/</w:t>
      </w:r>
      <w:r>
        <w:rPr>
          <w:rFonts w:hint="eastAsia" w:ascii="宋体" w:hAnsi="宋体" w:cs="宋体"/>
          <w:color w:val="000000"/>
        </w:rPr>
        <w:t>时，其超过部分据实调整。</w:t>
      </w:r>
    </w:p>
    <w:p w14:paraId="652D941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③承包人在已标价工程量清单或预算书中载明的材料单价等于基准单价的：专用合同条款合同履行期间材料单价涨跌幅以基准单价为基础超过±</w:t>
      </w:r>
      <w:r>
        <w:rPr>
          <w:rFonts w:hint="eastAsia" w:ascii="宋体" w:hAnsi="宋体" w:cs="宋体"/>
          <w:color w:val="000000"/>
          <w:u w:val="single"/>
          <w:lang w:val="en-US" w:eastAsia="zh-CN"/>
        </w:rPr>
        <w:t>/</w:t>
      </w:r>
      <w:r>
        <w:rPr>
          <w:rFonts w:hint="eastAsia" w:ascii="宋体" w:hAnsi="宋体" w:cs="宋体"/>
          <w:color w:val="000000"/>
        </w:rPr>
        <w:t>时，其超过部分据实调整。</w:t>
      </w:r>
    </w:p>
    <w:p w14:paraId="682FE3EB">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u w:val="single"/>
        </w:rPr>
      </w:pPr>
      <w:r>
        <w:rPr>
          <w:rFonts w:hint="eastAsia" w:ascii="宋体" w:hAnsi="宋体" w:cs="宋体"/>
          <w:color w:val="000000"/>
        </w:rPr>
        <w:t>第3种方式：其他价格调整方式：</w:t>
      </w:r>
      <w:r>
        <w:rPr>
          <w:rFonts w:hint="eastAsia" w:ascii="宋体" w:hAnsi="宋体" w:cs="宋体"/>
          <w:color w:val="000000"/>
          <w:u w:val="single"/>
        </w:rPr>
        <w:t xml:space="preserve">   </w:t>
      </w:r>
      <w:r>
        <w:rPr>
          <w:rFonts w:hint="eastAsia" w:ascii="宋体" w:hAnsi="宋体" w:cs="宋体"/>
          <w:color w:val="000000"/>
          <w:u w:val="single"/>
          <w:lang w:val="en-US" w:eastAsia="zh-CN"/>
        </w:rPr>
        <w:t>无</w:t>
      </w:r>
      <w:r>
        <w:rPr>
          <w:rFonts w:hint="eastAsia" w:ascii="宋体" w:hAnsi="宋体" w:cs="宋体"/>
          <w:color w:val="000000"/>
          <w:u w:val="single"/>
        </w:rPr>
        <w:t xml:space="preserve">     </w:t>
      </w:r>
      <w:r>
        <w:rPr>
          <w:rFonts w:hint="eastAsia" w:ascii="宋体" w:hAnsi="宋体" w:cs="宋体"/>
          <w:color w:val="000000"/>
        </w:rPr>
        <w:t>。</w:t>
      </w:r>
    </w:p>
    <w:p w14:paraId="23DE31B2">
      <w:pPr>
        <w:pStyle w:val="5"/>
        <w:snapToGrid w:val="0"/>
        <w:spacing w:before="0" w:after="0" w:line="440" w:lineRule="exact"/>
        <w:ind w:firstLine="420" w:firstLineChars="200"/>
        <w:rPr>
          <w:rFonts w:hint="eastAsia" w:ascii="宋体" w:eastAsia="宋体" w:cs="宋体"/>
          <w:b w:val="0"/>
          <w:color w:val="auto"/>
          <w:sz w:val="21"/>
          <w:szCs w:val="21"/>
          <w:highlight w:val="none"/>
        </w:rPr>
      </w:pPr>
      <w:r>
        <w:rPr>
          <w:rFonts w:hint="eastAsia" w:ascii="宋体" w:eastAsia="宋体" w:cs="宋体"/>
          <w:b w:val="0"/>
          <w:color w:val="auto"/>
          <w:sz w:val="21"/>
          <w:szCs w:val="21"/>
          <w:highlight w:val="none"/>
        </w:rPr>
        <w:t>12. 合同价格、计量与支付</w:t>
      </w:r>
    </w:p>
    <w:p w14:paraId="78AAEEA6">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12.1 合同价格形式</w:t>
      </w:r>
    </w:p>
    <w:p w14:paraId="0EDC4618">
      <w:pPr>
        <w:snapToGrid w:val="0"/>
        <w:spacing w:line="440" w:lineRule="exact"/>
        <w:ind w:firstLine="420" w:firstLineChars="200"/>
        <w:jc w:val="left"/>
        <w:rPr>
          <w:rFonts w:hint="eastAsia" w:ascii="宋体" w:cs="宋体"/>
          <w:color w:val="auto"/>
          <w:szCs w:val="21"/>
          <w:highlight w:val="none"/>
        </w:rPr>
      </w:pPr>
      <w:r>
        <w:rPr>
          <w:rFonts w:hint="eastAsia" w:ascii="宋体" w:cs="宋体"/>
          <w:color w:val="auto"/>
          <w:szCs w:val="21"/>
          <w:highlight w:val="none"/>
        </w:rPr>
        <w:t>1、</w:t>
      </w:r>
      <w:r>
        <w:rPr>
          <w:rFonts w:hint="eastAsia" w:ascii="宋体" w:cs="宋体"/>
          <w:color w:val="auto"/>
          <w:szCs w:val="21"/>
          <w:highlight w:val="none"/>
          <w:lang w:val="en-US" w:eastAsia="zh-CN"/>
        </w:rPr>
        <w:t>固定</w:t>
      </w:r>
      <w:r>
        <w:rPr>
          <w:rFonts w:hint="eastAsia" w:ascii="宋体" w:cs="宋体"/>
          <w:color w:val="auto"/>
          <w:szCs w:val="21"/>
          <w:highlight w:val="none"/>
        </w:rPr>
        <w:t>单价合同</w:t>
      </w:r>
      <w:r>
        <w:rPr>
          <w:rFonts w:hint="eastAsia" w:ascii="宋体" w:cs="宋体"/>
          <w:color w:val="auto"/>
          <w:szCs w:val="21"/>
          <w:highlight w:val="none"/>
          <w:lang w:eastAsia="zh-CN"/>
        </w:rPr>
        <w:t>，单价采用全费用综合单价</w:t>
      </w:r>
      <w:r>
        <w:rPr>
          <w:rFonts w:hint="eastAsia" w:ascii="宋体" w:cs="宋体"/>
          <w:color w:val="auto"/>
          <w:szCs w:val="21"/>
          <w:highlight w:val="none"/>
        </w:rPr>
        <w:t>。</w:t>
      </w:r>
    </w:p>
    <w:p w14:paraId="34278DE4">
      <w:pPr>
        <w:snapToGrid w:val="0"/>
        <w:spacing w:line="440" w:lineRule="exact"/>
        <w:ind w:firstLine="420" w:firstLineChars="200"/>
        <w:jc w:val="left"/>
        <w:rPr>
          <w:rFonts w:hint="eastAsia" w:ascii="宋体" w:cs="宋体"/>
          <w:b/>
          <w:szCs w:val="21"/>
          <w:highlight w:val="none"/>
          <w:u w:val="single"/>
        </w:rPr>
      </w:pPr>
      <w:r>
        <w:rPr>
          <w:rFonts w:hint="eastAsia" w:ascii="宋体" w:cs="宋体"/>
          <w:color w:val="auto"/>
          <w:szCs w:val="21"/>
          <w:highlight w:val="none"/>
          <w:lang w:val="en-US" w:eastAsia="zh-CN"/>
        </w:rPr>
        <w:t>全费用综合</w:t>
      </w:r>
      <w:r>
        <w:rPr>
          <w:rFonts w:hint="eastAsia" w:ascii="宋体" w:cs="宋体"/>
          <w:color w:val="auto"/>
          <w:szCs w:val="21"/>
          <w:highlight w:val="none"/>
        </w:rPr>
        <w:t>单价包含的风险范围：</w:t>
      </w:r>
      <w:r>
        <w:rPr>
          <w:rFonts w:hint="eastAsia" w:ascii="宋体" w:hAnsi="宋体" w:eastAsia="宋体" w:cs="宋体"/>
          <w:b/>
          <w:bCs/>
          <w:color w:val="auto"/>
          <w:szCs w:val="21"/>
          <w:highlight w:val="none"/>
          <w:u w:val="single"/>
        </w:rPr>
        <w:t>各种因素引起的材料价格、机械使用费、管理费、利润</w:t>
      </w:r>
      <w:r>
        <w:rPr>
          <w:rFonts w:hint="eastAsia" w:ascii="宋体" w:hAnsi="宋体" w:cs="宋体"/>
          <w:b/>
          <w:bCs/>
          <w:color w:val="auto"/>
          <w:szCs w:val="21"/>
          <w:highlight w:val="none"/>
          <w:u w:val="single"/>
          <w:lang w:eastAsia="zh-CN"/>
        </w:rPr>
        <w:t>、</w:t>
      </w:r>
      <w:r>
        <w:rPr>
          <w:rFonts w:hint="eastAsia" w:ascii="宋体" w:hAnsi="宋体" w:cs="宋体"/>
          <w:b/>
          <w:bCs/>
          <w:color w:val="auto"/>
          <w:szCs w:val="21"/>
          <w:highlight w:val="none"/>
          <w:u w:val="single"/>
          <w:lang w:val="en-US" w:eastAsia="zh-CN"/>
        </w:rPr>
        <w:t>规费、税金</w:t>
      </w:r>
      <w:r>
        <w:rPr>
          <w:rFonts w:hint="eastAsia" w:ascii="宋体" w:hAnsi="宋体" w:eastAsia="宋体" w:cs="宋体"/>
          <w:b/>
          <w:bCs/>
          <w:color w:val="auto"/>
          <w:szCs w:val="21"/>
          <w:highlight w:val="none"/>
          <w:u w:val="single"/>
        </w:rPr>
        <w:t>等</w:t>
      </w:r>
      <w:r>
        <w:rPr>
          <w:rFonts w:hint="eastAsia" w:ascii="宋体" w:cs="宋体"/>
          <w:b/>
          <w:szCs w:val="21"/>
          <w:highlight w:val="none"/>
          <w:u w:val="single"/>
        </w:rPr>
        <w:t>。</w:t>
      </w:r>
    </w:p>
    <w:p w14:paraId="17D27D45">
      <w:pPr>
        <w:snapToGrid w:val="0"/>
        <w:spacing w:line="440" w:lineRule="exact"/>
        <w:ind w:firstLine="420" w:firstLineChars="200"/>
        <w:jc w:val="left"/>
        <w:rPr>
          <w:rFonts w:hint="eastAsia" w:ascii="宋体" w:hAnsi="Times New Roman" w:eastAsia="宋体" w:cs="宋体"/>
          <w:szCs w:val="21"/>
          <w:highlight w:val="none"/>
        </w:rPr>
      </w:pPr>
      <w:r>
        <w:rPr>
          <w:rFonts w:hint="eastAsia" w:ascii="宋体" w:hAnsi="Times New Roman" w:eastAsia="宋体" w:cs="宋体"/>
          <w:szCs w:val="21"/>
          <w:highlight w:val="none"/>
        </w:rPr>
        <w:t>风险费用的计算方法：</w:t>
      </w:r>
      <w:r>
        <w:rPr>
          <w:rFonts w:hint="eastAsia" w:ascii="宋体" w:hAnsi="Times New Roman" w:eastAsia="宋体" w:cs="宋体"/>
          <w:szCs w:val="21"/>
          <w:highlight w:val="none"/>
          <w:u w:val="single"/>
        </w:rPr>
        <w:t xml:space="preserve">       </w:t>
      </w:r>
      <w:r>
        <w:rPr>
          <w:rFonts w:hint="eastAsia" w:ascii="宋体" w:hAnsi="Times New Roman" w:eastAsia="宋体" w:cs="宋体"/>
          <w:b/>
          <w:bCs/>
          <w:szCs w:val="21"/>
          <w:highlight w:val="none"/>
          <w:u w:val="single"/>
        </w:rPr>
        <w:t>不考虑</w:t>
      </w:r>
      <w:r>
        <w:rPr>
          <w:rFonts w:hint="eastAsia" w:ascii="宋体" w:hAnsi="Times New Roman" w:eastAsia="宋体" w:cs="宋体"/>
          <w:szCs w:val="21"/>
          <w:highlight w:val="none"/>
          <w:u w:val="single"/>
        </w:rPr>
        <w:t xml:space="preserve">     </w:t>
      </w:r>
      <w:r>
        <w:rPr>
          <w:rFonts w:hint="eastAsia" w:ascii="宋体" w:hAnsi="Times New Roman" w:eastAsia="宋体" w:cs="宋体"/>
          <w:szCs w:val="21"/>
          <w:highlight w:val="none"/>
        </w:rPr>
        <w:t>。</w:t>
      </w:r>
    </w:p>
    <w:p w14:paraId="0AF457ED">
      <w:pPr>
        <w:snapToGrid w:val="0"/>
        <w:spacing w:line="440" w:lineRule="exact"/>
        <w:ind w:firstLine="420" w:firstLineChars="200"/>
        <w:jc w:val="left"/>
        <w:rPr>
          <w:rFonts w:hint="eastAsia" w:ascii="宋体" w:hAnsi="Times New Roman" w:eastAsia="宋体" w:cs="宋体"/>
          <w:szCs w:val="21"/>
          <w:highlight w:val="none"/>
        </w:rPr>
      </w:pPr>
      <w:r>
        <w:rPr>
          <w:rFonts w:hint="eastAsia" w:ascii="宋体" w:hAnsi="Times New Roman" w:eastAsia="宋体" w:cs="宋体"/>
          <w:szCs w:val="21"/>
          <w:highlight w:val="none"/>
        </w:rPr>
        <w:t>风险范围以外合同价格的调整方法：</w:t>
      </w:r>
      <w:r>
        <w:rPr>
          <w:rFonts w:hint="eastAsia" w:ascii="宋体" w:cs="宋体"/>
          <w:b/>
          <w:bCs/>
          <w:szCs w:val="21"/>
          <w:highlight w:val="none"/>
          <w:u w:val="single"/>
          <w:lang w:val="en-US" w:eastAsia="zh-CN"/>
        </w:rPr>
        <w:t>/</w:t>
      </w:r>
      <w:r>
        <w:rPr>
          <w:rFonts w:hint="eastAsia" w:ascii="宋体" w:hAnsi="Times New Roman" w:eastAsia="宋体" w:cs="宋体"/>
          <w:szCs w:val="21"/>
          <w:highlight w:val="none"/>
        </w:rPr>
        <w:t>。</w:t>
      </w:r>
    </w:p>
    <w:p w14:paraId="0D98921D">
      <w:pPr>
        <w:snapToGrid w:val="0"/>
        <w:spacing w:line="440" w:lineRule="exact"/>
        <w:ind w:firstLine="420" w:firstLineChars="200"/>
        <w:rPr>
          <w:rFonts w:hint="eastAsia" w:ascii="宋体" w:cs="宋体"/>
          <w:color w:val="auto"/>
          <w:szCs w:val="21"/>
          <w:highlight w:val="none"/>
        </w:rPr>
      </w:pPr>
      <w:r>
        <w:rPr>
          <w:rFonts w:hint="eastAsia" w:ascii="宋体" w:cs="宋体"/>
          <w:color w:val="auto"/>
          <w:szCs w:val="21"/>
          <w:highlight w:val="none"/>
        </w:rPr>
        <w:t>12.2 预付款</w:t>
      </w:r>
    </w:p>
    <w:p w14:paraId="19F1B615">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12.2.1 预付款的支付</w:t>
      </w:r>
    </w:p>
    <w:p w14:paraId="6DD4723E">
      <w:pPr>
        <w:snapToGrid w:val="0"/>
        <w:spacing w:line="440" w:lineRule="exact"/>
        <w:ind w:firstLine="420" w:firstLineChars="200"/>
        <w:jc w:val="left"/>
        <w:rPr>
          <w:rFonts w:hint="eastAsia" w:ascii="宋体" w:cs="宋体"/>
          <w:b w:val="0"/>
          <w:bCs w:val="0"/>
          <w:szCs w:val="21"/>
          <w:highlight w:val="none"/>
        </w:rPr>
      </w:pPr>
      <w:r>
        <w:rPr>
          <w:rFonts w:hint="eastAsia" w:ascii="宋体" w:cs="宋体"/>
          <w:b w:val="0"/>
          <w:bCs w:val="0"/>
          <w:szCs w:val="21"/>
          <w:highlight w:val="none"/>
        </w:rPr>
        <w:t>预付款支付比例或金额：</w:t>
      </w:r>
      <w:r>
        <w:rPr>
          <w:rFonts w:hint="eastAsia" w:ascii="宋体" w:cs="宋体"/>
          <w:b w:val="0"/>
          <w:bCs w:val="0"/>
          <w:szCs w:val="21"/>
          <w:highlight w:val="none"/>
          <w:u w:val="single"/>
          <w:lang w:val="en-US" w:eastAsia="zh-CN"/>
        </w:rPr>
        <w:t>无</w:t>
      </w:r>
      <w:r>
        <w:rPr>
          <w:rFonts w:hint="eastAsia" w:ascii="宋体" w:cs="宋体"/>
          <w:b w:val="0"/>
          <w:bCs w:val="0"/>
          <w:szCs w:val="21"/>
          <w:highlight w:val="none"/>
        </w:rPr>
        <w:t>。</w:t>
      </w:r>
    </w:p>
    <w:p w14:paraId="1F98206A">
      <w:pPr>
        <w:snapToGrid w:val="0"/>
        <w:spacing w:line="440" w:lineRule="exact"/>
        <w:ind w:firstLine="420" w:firstLineChars="200"/>
        <w:jc w:val="left"/>
        <w:rPr>
          <w:rFonts w:hint="eastAsia" w:ascii="宋体" w:cs="宋体"/>
          <w:b w:val="0"/>
          <w:bCs w:val="0"/>
          <w:szCs w:val="21"/>
          <w:highlight w:val="none"/>
        </w:rPr>
      </w:pPr>
      <w:r>
        <w:rPr>
          <w:rFonts w:hint="eastAsia" w:ascii="宋体" w:cs="宋体"/>
          <w:b w:val="0"/>
          <w:bCs w:val="0"/>
          <w:szCs w:val="21"/>
          <w:highlight w:val="none"/>
        </w:rPr>
        <w:t>预付款支付期限：</w:t>
      </w:r>
      <w:r>
        <w:rPr>
          <w:rFonts w:hint="eastAsia" w:ascii="宋体" w:cs="宋体"/>
          <w:b w:val="0"/>
          <w:bCs w:val="0"/>
          <w:szCs w:val="21"/>
          <w:highlight w:val="none"/>
          <w:u w:val="single"/>
        </w:rPr>
        <w:t xml:space="preserve"> </w:t>
      </w:r>
      <w:r>
        <w:rPr>
          <w:rFonts w:hint="eastAsia" w:ascii="宋体" w:hAnsi="宋体" w:cs="宋体"/>
          <w:b w:val="0"/>
          <w:bCs w:val="0"/>
          <w:color w:val="000000"/>
          <w:highlight w:val="none"/>
          <w:u w:val="single"/>
          <w:lang w:val="en-US" w:eastAsia="zh-CN"/>
        </w:rPr>
        <w:t>无</w:t>
      </w:r>
      <w:r>
        <w:rPr>
          <w:rFonts w:hint="eastAsia" w:ascii="宋体" w:cs="宋体"/>
          <w:b w:val="0"/>
          <w:bCs w:val="0"/>
          <w:szCs w:val="21"/>
          <w:highlight w:val="none"/>
          <w:u w:val="single"/>
        </w:rPr>
        <w:t xml:space="preserve"> </w:t>
      </w:r>
      <w:r>
        <w:rPr>
          <w:rFonts w:hint="eastAsia" w:ascii="宋体" w:cs="宋体"/>
          <w:b w:val="0"/>
          <w:bCs w:val="0"/>
          <w:szCs w:val="21"/>
          <w:highlight w:val="none"/>
        </w:rPr>
        <w:t>。</w:t>
      </w:r>
    </w:p>
    <w:p w14:paraId="654B2BD8">
      <w:pPr>
        <w:snapToGrid w:val="0"/>
        <w:spacing w:line="440" w:lineRule="exact"/>
        <w:ind w:firstLine="420" w:firstLineChars="200"/>
        <w:jc w:val="left"/>
        <w:rPr>
          <w:rFonts w:hint="eastAsia" w:ascii="宋体" w:cs="宋体"/>
          <w:b w:val="0"/>
          <w:bCs w:val="0"/>
          <w:szCs w:val="21"/>
          <w:highlight w:val="none"/>
        </w:rPr>
      </w:pPr>
      <w:r>
        <w:rPr>
          <w:rFonts w:hint="eastAsia" w:ascii="宋体" w:cs="宋体"/>
          <w:b w:val="0"/>
          <w:bCs w:val="0"/>
          <w:szCs w:val="21"/>
          <w:highlight w:val="none"/>
        </w:rPr>
        <w:t>预付款扣回的方式：</w:t>
      </w:r>
      <w:r>
        <w:rPr>
          <w:rFonts w:hint="eastAsia" w:ascii="宋体" w:hAnsi="宋体" w:cs="宋体"/>
          <w:b w:val="0"/>
          <w:bCs w:val="0"/>
          <w:color w:val="auto"/>
          <w:highlight w:val="none"/>
          <w:u w:val="single"/>
          <w:lang w:val="en-US" w:eastAsia="zh-CN"/>
        </w:rPr>
        <w:t>无</w:t>
      </w:r>
      <w:r>
        <w:rPr>
          <w:rFonts w:hint="eastAsia" w:ascii="宋体" w:cs="宋体"/>
          <w:b w:val="0"/>
          <w:bCs w:val="0"/>
          <w:szCs w:val="21"/>
          <w:highlight w:val="none"/>
          <w:u w:val="single"/>
        </w:rPr>
        <w:t xml:space="preserve"> </w:t>
      </w:r>
      <w:r>
        <w:rPr>
          <w:rFonts w:hint="eastAsia" w:ascii="宋体" w:cs="宋体"/>
          <w:b w:val="0"/>
          <w:bCs w:val="0"/>
          <w:szCs w:val="21"/>
          <w:highlight w:val="none"/>
        </w:rPr>
        <w:t>。</w:t>
      </w:r>
    </w:p>
    <w:p w14:paraId="5D08159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12.2.2 预付款担保</w:t>
      </w:r>
    </w:p>
    <w:p w14:paraId="0A3512B6">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承包人提交预付款担保的期限：</w:t>
      </w:r>
      <w:r>
        <w:rPr>
          <w:rFonts w:hint="eastAsia" w:ascii="宋体" w:cs="宋体"/>
          <w:szCs w:val="21"/>
          <w:highlight w:val="none"/>
          <w:u w:val="single"/>
          <w:lang w:val="en-US" w:eastAsia="zh-CN"/>
        </w:rPr>
        <w:t>/</w:t>
      </w:r>
      <w:r>
        <w:rPr>
          <w:rFonts w:hint="eastAsia" w:ascii="宋体" w:cs="宋体"/>
          <w:szCs w:val="21"/>
          <w:highlight w:val="none"/>
        </w:rPr>
        <w:t>。</w:t>
      </w:r>
    </w:p>
    <w:p w14:paraId="527EB018">
      <w:pPr>
        <w:snapToGrid w:val="0"/>
        <w:spacing w:line="440" w:lineRule="exact"/>
        <w:ind w:firstLine="420" w:firstLineChars="200"/>
        <w:jc w:val="left"/>
        <w:rPr>
          <w:rFonts w:hint="eastAsia" w:ascii="宋体" w:cs="宋体"/>
          <w:szCs w:val="21"/>
          <w:highlight w:val="none"/>
        </w:rPr>
      </w:pPr>
      <w:r>
        <w:rPr>
          <w:rFonts w:hint="eastAsia" w:ascii="宋体" w:cs="宋体"/>
          <w:szCs w:val="21"/>
          <w:highlight w:val="none"/>
        </w:rPr>
        <w:t>预付款担保的形式为：</w:t>
      </w:r>
      <w:r>
        <w:rPr>
          <w:rFonts w:hint="eastAsia" w:ascii="宋体" w:cs="宋体"/>
          <w:szCs w:val="21"/>
          <w:highlight w:val="none"/>
          <w:u w:val="single"/>
          <w:lang w:val="en-US" w:eastAsia="zh-CN"/>
        </w:rPr>
        <w:t>/</w:t>
      </w:r>
      <w:r>
        <w:rPr>
          <w:rFonts w:hint="eastAsia" w:ascii="宋体" w:cs="宋体"/>
          <w:szCs w:val="21"/>
          <w:highlight w:val="none"/>
        </w:rPr>
        <w:t>。</w:t>
      </w:r>
    </w:p>
    <w:p w14:paraId="6B8B988D">
      <w:pPr>
        <w:snapToGrid w:val="0"/>
        <w:spacing w:line="440" w:lineRule="exact"/>
        <w:ind w:firstLine="420" w:firstLineChars="200"/>
        <w:rPr>
          <w:rFonts w:hint="eastAsia" w:ascii="宋体" w:cs="宋体"/>
          <w:szCs w:val="21"/>
        </w:rPr>
      </w:pPr>
      <w:r>
        <w:rPr>
          <w:rFonts w:hint="eastAsia" w:ascii="宋体" w:cs="宋体"/>
          <w:szCs w:val="21"/>
        </w:rPr>
        <w:t>12.3 计量</w:t>
      </w:r>
    </w:p>
    <w:p w14:paraId="07AC1EDC">
      <w:pPr>
        <w:snapToGrid w:val="0"/>
        <w:spacing w:line="440" w:lineRule="exact"/>
        <w:ind w:firstLine="420" w:firstLineChars="200"/>
        <w:jc w:val="left"/>
        <w:rPr>
          <w:rFonts w:hint="eastAsia" w:ascii="宋体" w:cs="宋体"/>
          <w:szCs w:val="21"/>
        </w:rPr>
      </w:pPr>
      <w:r>
        <w:rPr>
          <w:rFonts w:hint="eastAsia" w:ascii="宋体" w:cs="宋体"/>
          <w:szCs w:val="21"/>
        </w:rPr>
        <w:t>12.3.1 计量原则</w:t>
      </w:r>
    </w:p>
    <w:p w14:paraId="4044A6EA">
      <w:pPr>
        <w:spacing w:line="440" w:lineRule="exact"/>
        <w:ind w:firstLine="420" w:firstLineChars="200"/>
        <w:rPr>
          <w:rFonts w:hint="eastAsia" w:ascii="宋体" w:cs="宋体"/>
          <w:szCs w:val="21"/>
        </w:rPr>
      </w:pPr>
      <w:r>
        <w:rPr>
          <w:rFonts w:hint="eastAsia" w:ascii="宋体" w:cs="宋体"/>
          <w:szCs w:val="21"/>
        </w:rPr>
        <w:t>工程量计算规则：</w:t>
      </w:r>
      <w:r>
        <w:rPr>
          <w:rFonts w:hint="eastAsia" w:ascii="宋体" w:hAnsi="宋体" w:cs="宋体"/>
          <w:color w:val="000000"/>
          <w:szCs w:val="21"/>
          <w:u w:val="single"/>
        </w:rPr>
        <w:t>按招标工程量清单及最高投标限价所采用的工程量清单计价规范及配套文件等</w:t>
      </w:r>
      <w:r>
        <w:rPr>
          <w:rFonts w:hint="eastAsia" w:ascii="宋体" w:cs="宋体"/>
          <w:szCs w:val="21"/>
          <w:u w:val="single"/>
        </w:rPr>
        <w:t>。</w:t>
      </w:r>
    </w:p>
    <w:p w14:paraId="462C41C7">
      <w:pPr>
        <w:spacing w:line="440" w:lineRule="exact"/>
        <w:ind w:firstLine="420" w:firstLineChars="200"/>
        <w:rPr>
          <w:rFonts w:hint="eastAsia" w:ascii="宋体" w:cs="宋体"/>
          <w:szCs w:val="21"/>
        </w:rPr>
      </w:pPr>
      <w:r>
        <w:rPr>
          <w:rFonts w:hint="eastAsia" w:ascii="宋体" w:cs="宋体"/>
          <w:szCs w:val="21"/>
        </w:rPr>
        <w:t>12.3.2 计量周期</w:t>
      </w:r>
    </w:p>
    <w:p w14:paraId="3CE77272">
      <w:pPr>
        <w:spacing w:line="440" w:lineRule="exact"/>
        <w:ind w:firstLine="420" w:firstLineChars="200"/>
        <w:rPr>
          <w:rFonts w:hint="eastAsia" w:ascii="宋体" w:cs="宋体"/>
          <w:szCs w:val="21"/>
        </w:rPr>
      </w:pPr>
      <w:r>
        <w:rPr>
          <w:rFonts w:hint="eastAsia" w:ascii="宋体" w:cs="宋体"/>
          <w:szCs w:val="21"/>
        </w:rPr>
        <w:t>关于计量周期的约定</w:t>
      </w:r>
      <w:r>
        <w:rPr>
          <w:rFonts w:hint="eastAsia" w:ascii="宋体" w:cs="宋体"/>
          <w:szCs w:val="21"/>
          <w:highlight w:val="none"/>
        </w:rPr>
        <w:t>：</w:t>
      </w:r>
      <w:r>
        <w:rPr>
          <w:rFonts w:hint="eastAsia" w:ascii="宋体" w:cs="宋体"/>
          <w:szCs w:val="21"/>
          <w:highlight w:val="none"/>
          <w:u w:val="single"/>
        </w:rPr>
        <w:t xml:space="preserve"> </w:t>
      </w:r>
      <w:r>
        <w:rPr>
          <w:rFonts w:hint="eastAsia" w:ascii="宋体" w:cs="宋体"/>
          <w:szCs w:val="21"/>
          <w:highlight w:val="none"/>
          <w:u w:val="single"/>
          <w:lang w:eastAsia="zh-CN"/>
        </w:rPr>
        <w:t>按</w:t>
      </w:r>
      <w:r>
        <w:rPr>
          <w:rFonts w:hint="eastAsia" w:ascii="宋体" w:cs="宋体"/>
          <w:szCs w:val="21"/>
          <w:highlight w:val="none"/>
          <w:u w:val="single"/>
          <w:lang w:val="en-US" w:eastAsia="zh-CN"/>
        </w:rPr>
        <w:t>12.4条约定执行</w:t>
      </w:r>
      <w:r>
        <w:rPr>
          <w:rFonts w:hint="eastAsia" w:ascii="宋体" w:cs="宋体"/>
          <w:szCs w:val="21"/>
          <w:highlight w:val="none"/>
          <w:u w:val="single"/>
        </w:rPr>
        <w:t xml:space="preserve"> </w:t>
      </w:r>
      <w:r>
        <w:rPr>
          <w:rFonts w:hint="eastAsia" w:ascii="宋体" w:cs="宋体"/>
          <w:szCs w:val="21"/>
          <w:u w:val="single"/>
        </w:rPr>
        <w:t xml:space="preserve"> </w:t>
      </w:r>
      <w:r>
        <w:rPr>
          <w:rFonts w:hint="eastAsia" w:ascii="宋体" w:cs="宋体"/>
          <w:szCs w:val="21"/>
        </w:rPr>
        <w:t>。</w:t>
      </w:r>
    </w:p>
    <w:p w14:paraId="0F3A8815">
      <w:pPr>
        <w:snapToGrid w:val="0"/>
        <w:spacing w:line="440" w:lineRule="exact"/>
        <w:ind w:firstLine="420" w:firstLineChars="200"/>
        <w:jc w:val="left"/>
        <w:rPr>
          <w:rFonts w:hint="eastAsia" w:ascii="宋体" w:cs="宋体"/>
          <w:szCs w:val="21"/>
        </w:rPr>
      </w:pPr>
      <w:r>
        <w:rPr>
          <w:rFonts w:hint="eastAsia" w:ascii="宋体" w:cs="宋体"/>
          <w:szCs w:val="21"/>
        </w:rPr>
        <w:t>12.3.3 单价合同的计量</w:t>
      </w:r>
    </w:p>
    <w:p w14:paraId="315641B2">
      <w:pPr>
        <w:snapToGrid w:val="0"/>
        <w:spacing w:line="440" w:lineRule="exact"/>
        <w:ind w:firstLine="420" w:firstLineChars="200"/>
        <w:jc w:val="left"/>
        <w:rPr>
          <w:rFonts w:hint="eastAsia" w:ascii="宋体" w:cs="宋体"/>
          <w:color w:val="auto"/>
          <w:szCs w:val="21"/>
          <w:highlight w:val="none"/>
          <w:u w:val="single"/>
        </w:rPr>
      </w:pPr>
      <w:r>
        <w:rPr>
          <w:rFonts w:hint="eastAsia" w:ascii="宋体" w:cs="宋体"/>
          <w:szCs w:val="21"/>
          <w:highlight w:val="none"/>
        </w:rPr>
        <w:t>关于单价合同计量的约定：</w:t>
      </w:r>
      <w:r>
        <w:rPr>
          <w:rFonts w:hint="eastAsia" w:ascii="宋体" w:cs="宋体"/>
          <w:szCs w:val="21"/>
          <w:highlight w:val="none"/>
          <w:u w:val="single"/>
        </w:rPr>
        <w:t>（1）承包人应</w:t>
      </w:r>
      <w:r>
        <w:rPr>
          <w:rFonts w:hint="eastAsia" w:ascii="宋体" w:cs="宋体"/>
          <w:szCs w:val="21"/>
          <w:highlight w:val="none"/>
          <w:u w:val="single"/>
          <w:lang w:eastAsia="zh-CN"/>
        </w:rPr>
        <w:t>提供</w:t>
      </w:r>
      <w:r>
        <w:rPr>
          <w:rFonts w:hint="eastAsia" w:ascii="宋体" w:cs="宋体"/>
          <w:szCs w:val="21"/>
          <w:highlight w:val="none"/>
          <w:u w:val="single"/>
        </w:rPr>
        <w:t>已完成的工程量报告，并附具进度付款申请单、已完成工程量报表和有关资料。（2）监理人应在收到承包人提交的工程量报告后7天内完成对承包人提交的工程量报表的审核并报送发包人，以确定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3）监理人未在收到承包人提交的工程量</w:t>
      </w:r>
      <w:r>
        <w:rPr>
          <w:rFonts w:hint="eastAsia" w:ascii="宋体" w:cs="宋体"/>
          <w:color w:val="auto"/>
          <w:szCs w:val="21"/>
          <w:highlight w:val="none"/>
          <w:u w:val="single"/>
        </w:rPr>
        <w:t>报表后的7天内完成审核的，承包人</w:t>
      </w:r>
      <w:r>
        <w:rPr>
          <w:rFonts w:hint="eastAsia" w:ascii="宋体" w:cs="宋体"/>
          <w:color w:val="auto"/>
          <w:szCs w:val="21"/>
          <w:highlight w:val="none"/>
          <w:u w:val="single"/>
          <w:lang w:eastAsia="zh-CN"/>
        </w:rPr>
        <w:t>应通知发包人审核，发包人既不审核也不督促监理人复核，超过承包人报送时间</w:t>
      </w:r>
      <w:r>
        <w:rPr>
          <w:rFonts w:hint="eastAsia" w:ascii="宋体" w:cs="宋体"/>
          <w:color w:val="auto"/>
          <w:szCs w:val="21"/>
          <w:highlight w:val="none"/>
          <w:u w:val="single"/>
          <w:lang w:val="en-US" w:eastAsia="zh-CN"/>
        </w:rPr>
        <w:t>14日的，以</w:t>
      </w:r>
      <w:r>
        <w:rPr>
          <w:rFonts w:hint="eastAsia" w:ascii="宋体" w:cs="宋体"/>
          <w:color w:val="auto"/>
          <w:szCs w:val="21"/>
          <w:highlight w:val="none"/>
          <w:u w:val="single"/>
        </w:rPr>
        <w:t>承包人</w:t>
      </w:r>
      <w:r>
        <w:rPr>
          <w:rFonts w:hint="eastAsia" w:ascii="宋体" w:cs="宋体"/>
          <w:color w:val="auto"/>
          <w:szCs w:val="21"/>
          <w:highlight w:val="none"/>
          <w:u w:val="single"/>
          <w:lang w:eastAsia="zh-CN"/>
        </w:rPr>
        <w:t>报送</w:t>
      </w:r>
      <w:r>
        <w:rPr>
          <w:rFonts w:hint="eastAsia" w:ascii="宋体" w:cs="宋体"/>
          <w:color w:val="auto"/>
          <w:szCs w:val="21"/>
          <w:highlight w:val="none"/>
          <w:u w:val="single"/>
        </w:rPr>
        <w:t>的工程量，据此计算工程价款。</w:t>
      </w:r>
    </w:p>
    <w:p w14:paraId="3A0299AB">
      <w:pPr>
        <w:snapToGrid w:val="0"/>
        <w:spacing w:line="440" w:lineRule="exact"/>
        <w:ind w:firstLine="422" w:firstLineChars="200"/>
        <w:jc w:val="left"/>
        <w:rPr>
          <w:rFonts w:hint="eastAsia" w:ascii="宋体" w:eastAsia="宋体" w:cs="宋体"/>
          <w:b/>
          <w:bCs/>
          <w:color w:val="auto"/>
          <w:szCs w:val="21"/>
          <w:highlight w:val="none"/>
          <w:lang w:eastAsia="zh-CN"/>
        </w:rPr>
      </w:pPr>
      <w:r>
        <w:rPr>
          <w:rFonts w:hint="eastAsia" w:ascii="宋体" w:cs="宋体"/>
          <w:b/>
          <w:bCs/>
          <w:color w:val="auto"/>
          <w:szCs w:val="21"/>
          <w:highlight w:val="none"/>
          <w:lang w:eastAsia="zh-CN"/>
        </w:rPr>
        <w:t>施工单位提交计量申请时，应同时提供经项目办及监理单位对安全生产及环境保护工作实际投入费用审批及验收相关资料</w:t>
      </w:r>
      <w:r>
        <w:rPr>
          <w:rFonts w:hint="eastAsia" w:ascii="宋体" w:cs="宋体"/>
          <w:b/>
          <w:bCs/>
          <w:color w:val="auto"/>
          <w:szCs w:val="21"/>
          <w:highlight w:val="none"/>
          <w:lang w:val="en-US" w:eastAsia="zh-CN"/>
        </w:rPr>
        <w:t>(包括相关发票）</w:t>
      </w:r>
      <w:r>
        <w:rPr>
          <w:rFonts w:hint="eastAsia" w:ascii="宋体" w:cs="宋体"/>
          <w:b/>
          <w:bCs/>
          <w:color w:val="auto"/>
          <w:szCs w:val="21"/>
          <w:highlight w:val="none"/>
          <w:lang w:eastAsia="zh-CN"/>
        </w:rPr>
        <w:t>。</w:t>
      </w:r>
    </w:p>
    <w:p w14:paraId="34C8A998">
      <w:pPr>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12.3.4 总价合同的计量</w:t>
      </w:r>
    </w:p>
    <w:p w14:paraId="72E9ACAB">
      <w:pPr>
        <w:snapToGrid w:val="0"/>
        <w:spacing w:line="440" w:lineRule="exact"/>
        <w:ind w:firstLine="420" w:firstLineChars="200"/>
        <w:jc w:val="left"/>
        <w:rPr>
          <w:rFonts w:hint="eastAsia" w:ascii="宋体" w:cs="宋体"/>
          <w:szCs w:val="21"/>
        </w:rPr>
      </w:pPr>
      <w:r>
        <w:rPr>
          <w:rFonts w:hint="eastAsia" w:ascii="宋体" w:cs="宋体"/>
          <w:szCs w:val="21"/>
        </w:rPr>
        <w:t>关于总价合同计量的约定：</w:t>
      </w:r>
      <w:r>
        <w:rPr>
          <w:rFonts w:hint="eastAsia" w:ascii="宋体" w:cs="宋体"/>
          <w:szCs w:val="21"/>
          <w:u w:val="single"/>
        </w:rPr>
        <w:t xml:space="preserve"> 不采用 </w:t>
      </w:r>
      <w:r>
        <w:rPr>
          <w:rFonts w:hint="eastAsia" w:ascii="宋体" w:cs="宋体"/>
          <w:szCs w:val="21"/>
        </w:rPr>
        <w:t>。</w:t>
      </w:r>
    </w:p>
    <w:p w14:paraId="1969EA1D">
      <w:pPr>
        <w:snapToGrid w:val="0"/>
        <w:spacing w:line="440" w:lineRule="exact"/>
        <w:ind w:firstLine="420" w:firstLineChars="200"/>
        <w:jc w:val="left"/>
        <w:rPr>
          <w:rFonts w:hint="eastAsia" w:ascii="宋体" w:cs="宋体"/>
          <w:szCs w:val="21"/>
        </w:rPr>
      </w:pPr>
      <w:r>
        <w:rPr>
          <w:rFonts w:hint="eastAsia" w:ascii="宋体" w:cs="宋体"/>
          <w:szCs w:val="21"/>
        </w:rPr>
        <w:t>12.3.5总价合同采用支付分解表计量支付的，是否适用第</w:t>
      </w:r>
      <w:r>
        <w:rPr>
          <w:rFonts w:hint="eastAsia" w:ascii="宋体" w:cs="宋体"/>
          <w:kern w:val="0"/>
          <w:szCs w:val="21"/>
        </w:rPr>
        <w:t xml:space="preserve">12.3.4 </w:t>
      </w:r>
      <w:r>
        <w:rPr>
          <w:rFonts w:hint="eastAsia" w:ascii="宋体" w:cs="宋体"/>
          <w:szCs w:val="21"/>
        </w:rPr>
        <w:t>项</w:t>
      </w:r>
      <w:r>
        <w:rPr>
          <w:rFonts w:hint="eastAsia" w:ascii="宋体" w:cs="宋体"/>
          <w:kern w:val="0"/>
          <w:szCs w:val="21"/>
        </w:rPr>
        <w:t>〔总价合同的计量〕</w:t>
      </w:r>
      <w:r>
        <w:rPr>
          <w:rFonts w:hint="eastAsia" w:ascii="宋体" w:cs="宋体"/>
          <w:szCs w:val="21"/>
        </w:rPr>
        <w:t>约定进行计量：</w:t>
      </w:r>
      <w:r>
        <w:rPr>
          <w:rFonts w:hint="eastAsia" w:ascii="宋体" w:cs="宋体"/>
          <w:szCs w:val="21"/>
          <w:u w:val="single"/>
        </w:rPr>
        <w:t xml:space="preserve">   不采用   </w:t>
      </w:r>
      <w:r>
        <w:rPr>
          <w:rFonts w:hint="eastAsia" w:ascii="宋体" w:cs="宋体"/>
          <w:szCs w:val="21"/>
        </w:rPr>
        <w:t>。</w:t>
      </w:r>
    </w:p>
    <w:p w14:paraId="3AB7FCAC">
      <w:pPr>
        <w:snapToGrid w:val="0"/>
        <w:spacing w:line="440" w:lineRule="exact"/>
        <w:ind w:firstLine="420" w:firstLineChars="200"/>
        <w:jc w:val="left"/>
        <w:rPr>
          <w:rFonts w:hint="eastAsia" w:ascii="宋体" w:cs="宋体"/>
          <w:szCs w:val="21"/>
        </w:rPr>
      </w:pPr>
      <w:r>
        <w:rPr>
          <w:rFonts w:hint="eastAsia" w:ascii="宋体" w:cs="宋体"/>
          <w:szCs w:val="21"/>
        </w:rPr>
        <w:t>12.3.6 其他价格形式合同的计量</w:t>
      </w:r>
    </w:p>
    <w:p w14:paraId="08ED57F0">
      <w:pPr>
        <w:snapToGrid w:val="0"/>
        <w:spacing w:line="440" w:lineRule="exact"/>
        <w:ind w:firstLine="420" w:firstLineChars="200"/>
        <w:jc w:val="left"/>
        <w:rPr>
          <w:rFonts w:hint="eastAsia" w:ascii="宋体" w:cs="宋体"/>
          <w:szCs w:val="21"/>
        </w:rPr>
      </w:pPr>
      <w:r>
        <w:rPr>
          <w:rFonts w:hint="eastAsia" w:ascii="宋体" w:cs="宋体"/>
          <w:szCs w:val="21"/>
        </w:rPr>
        <w:t>其他价格形式的计量方式和程序：</w:t>
      </w:r>
      <w:r>
        <w:rPr>
          <w:rFonts w:hint="eastAsia" w:ascii="宋体" w:cs="宋体"/>
          <w:szCs w:val="21"/>
          <w:u w:val="single"/>
        </w:rPr>
        <w:t xml:space="preserve">   不采用   </w:t>
      </w:r>
      <w:r>
        <w:rPr>
          <w:rFonts w:hint="eastAsia" w:ascii="宋体" w:cs="宋体"/>
          <w:szCs w:val="21"/>
        </w:rPr>
        <w:t>。</w:t>
      </w:r>
    </w:p>
    <w:p w14:paraId="3ACD67C3">
      <w:pPr>
        <w:snapToGrid w:val="0"/>
        <w:spacing w:line="440" w:lineRule="exact"/>
        <w:ind w:firstLine="420" w:firstLineChars="200"/>
        <w:rPr>
          <w:rFonts w:hint="eastAsia" w:ascii="宋体" w:cs="宋体"/>
          <w:szCs w:val="21"/>
        </w:rPr>
      </w:pPr>
      <w:r>
        <w:rPr>
          <w:rFonts w:hint="eastAsia" w:ascii="宋体" w:cs="宋体"/>
          <w:szCs w:val="21"/>
        </w:rPr>
        <w:t>12.4 工程进度款支付</w:t>
      </w:r>
    </w:p>
    <w:p w14:paraId="0FFCEC2D">
      <w:pPr>
        <w:snapToGrid w:val="0"/>
        <w:spacing w:line="440" w:lineRule="exact"/>
        <w:ind w:firstLine="420" w:firstLineChars="200"/>
        <w:jc w:val="left"/>
        <w:rPr>
          <w:rFonts w:hint="eastAsia" w:ascii="宋体" w:cs="宋体"/>
          <w:szCs w:val="21"/>
        </w:rPr>
      </w:pPr>
      <w:r>
        <w:rPr>
          <w:rFonts w:hint="eastAsia" w:ascii="宋体" w:cs="宋体"/>
          <w:szCs w:val="21"/>
        </w:rPr>
        <w:t>12.4.1 付款周期</w:t>
      </w:r>
    </w:p>
    <w:p w14:paraId="684D21C7">
      <w:pPr>
        <w:snapToGrid w:val="0"/>
        <w:spacing w:line="440" w:lineRule="exact"/>
        <w:ind w:firstLine="420" w:firstLineChars="200"/>
        <w:jc w:val="left"/>
        <w:rPr>
          <w:rFonts w:hint="eastAsia" w:ascii="宋体" w:hAnsi="宋体" w:cs="宋体"/>
          <w:color w:val="000000"/>
          <w:highlight w:val="none"/>
        </w:rPr>
      </w:pPr>
      <w:r>
        <w:rPr>
          <w:rFonts w:hint="eastAsia" w:ascii="宋体" w:cs="宋体"/>
          <w:szCs w:val="21"/>
          <w:highlight w:val="none"/>
        </w:rPr>
        <w:t>关于付款周期的约定：</w:t>
      </w:r>
    </w:p>
    <w:p w14:paraId="2507875F">
      <w:pPr>
        <w:keepNext w:val="0"/>
        <w:keepLines w:val="0"/>
        <w:pageBreakBefore w:val="0"/>
        <w:widowControl/>
        <w:suppressLineNumbers w:val="0"/>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本工程无预付款，</w:t>
      </w:r>
      <w:r>
        <w:rPr>
          <w:rFonts w:hint="default" w:ascii="宋体" w:hAnsi="宋体" w:eastAsia="宋体" w:cs="宋体"/>
          <w:color w:val="auto"/>
          <w:sz w:val="21"/>
          <w:szCs w:val="21"/>
          <w:highlight w:val="none"/>
          <w:lang w:val="en-US" w:eastAsia="zh-CN"/>
        </w:rPr>
        <w:t>分两阶段施工</w:t>
      </w:r>
      <w:r>
        <w:rPr>
          <w:rFonts w:hint="eastAsia" w:ascii="宋体" w:hAnsi="宋体" w:cs="宋体"/>
          <w:color w:val="auto"/>
          <w:sz w:val="21"/>
          <w:szCs w:val="21"/>
          <w:highlight w:val="none"/>
          <w:lang w:val="en-US" w:eastAsia="zh-CN"/>
        </w:rPr>
        <w:t>和</w:t>
      </w:r>
      <w:r>
        <w:rPr>
          <w:rFonts w:hint="default" w:ascii="宋体" w:hAnsi="宋体" w:eastAsia="宋体" w:cs="宋体"/>
          <w:color w:val="auto"/>
          <w:sz w:val="21"/>
          <w:szCs w:val="21"/>
          <w:highlight w:val="none"/>
          <w:lang w:val="en-US" w:eastAsia="zh-CN"/>
        </w:rPr>
        <w:t>竣工验收</w:t>
      </w:r>
      <w:r>
        <w:rPr>
          <w:rFonts w:hint="eastAsia" w:ascii="宋体" w:hAnsi="宋体" w:cs="宋体"/>
          <w:color w:val="auto"/>
          <w:sz w:val="21"/>
          <w:szCs w:val="21"/>
          <w:highlight w:val="none"/>
          <w:lang w:val="en-US" w:eastAsia="zh-CN"/>
        </w:rPr>
        <w:t>；工程竣工验收合格、</w:t>
      </w:r>
      <w:r>
        <w:rPr>
          <w:rFonts w:hint="eastAsia" w:ascii="宋体" w:hAnsi="宋体" w:eastAsia="宋体" w:cs="宋体"/>
          <w:color w:val="auto"/>
          <w:sz w:val="21"/>
          <w:szCs w:val="21"/>
          <w:highlight w:val="none"/>
          <w:lang w:val="en-US" w:eastAsia="zh-CN"/>
        </w:rPr>
        <w:t>结算审核完成后付至结算价款的98%，剩余2%作为质量保证金，工程缺陷责任期（自竣工验收合格之日起满两年）满后付清余款。</w:t>
      </w:r>
    </w:p>
    <w:p w14:paraId="73EBFE99">
      <w:pPr>
        <w:keepNext w:val="0"/>
        <w:keepLines w:val="0"/>
        <w:pageBreakBefore w:val="0"/>
        <w:widowControl/>
        <w:suppressLineNumbers w:val="0"/>
        <w:kinsoku/>
        <w:wordWrap/>
        <w:overflowPunct/>
        <w:topLinePunct w:val="0"/>
        <w:autoSpaceDE/>
        <w:autoSpaceDN/>
        <w:bidi w:val="0"/>
        <w:adjustRightInd/>
        <w:snapToGrid/>
        <w:spacing w:line="500" w:lineRule="exact"/>
        <w:ind w:firstLine="420" w:firstLineChars="200"/>
        <w:jc w:val="left"/>
        <w:textAlignment w:val="auto"/>
        <w:rPr>
          <w:rFonts w:hint="eastAsia" w:ascii="宋体" w:cs="宋体"/>
          <w:szCs w:val="21"/>
          <w:highlight w:val="none"/>
        </w:rPr>
      </w:pPr>
      <w:r>
        <w:rPr>
          <w:rFonts w:hint="eastAsia" w:ascii="宋体" w:hAnsi="宋体" w:cs="宋体"/>
          <w:color w:val="000000"/>
          <w:highlight w:val="none"/>
        </w:rPr>
        <w:t>关于付款周期的其他约定：</w:t>
      </w:r>
      <w:r>
        <w:rPr>
          <w:rFonts w:hint="eastAsia" w:ascii="宋体" w:hAnsi="宋体" w:cs="宋体"/>
          <w:color w:val="auto"/>
          <w:sz w:val="21"/>
          <w:szCs w:val="21"/>
          <w:highlight w:val="none"/>
          <w:lang w:val="en-US" w:eastAsia="zh-CN"/>
        </w:rPr>
        <w:t>每次付款承包人需提供出具的增值税税率为增值税专用发票；竣工结算审核后，承包人开具审定金额剩余部分的全额增值税专用发票</w:t>
      </w:r>
      <w:r>
        <w:rPr>
          <w:rFonts w:hint="eastAsia" w:ascii="宋体" w:hAnsi="宋体" w:cs="宋体"/>
          <w:color w:val="000000"/>
          <w:highlight w:val="none"/>
        </w:rPr>
        <w:t>。</w:t>
      </w:r>
    </w:p>
    <w:p w14:paraId="0454091C">
      <w:pPr>
        <w:snapToGrid w:val="0"/>
        <w:spacing w:line="440" w:lineRule="exact"/>
        <w:ind w:firstLine="420" w:firstLineChars="200"/>
        <w:jc w:val="left"/>
        <w:rPr>
          <w:rFonts w:hint="eastAsia" w:ascii="宋体" w:cs="宋体"/>
          <w:szCs w:val="21"/>
        </w:rPr>
      </w:pPr>
      <w:r>
        <w:rPr>
          <w:rFonts w:hint="eastAsia" w:ascii="宋体" w:cs="宋体"/>
          <w:szCs w:val="21"/>
        </w:rPr>
        <w:t>12.4.2 进度付款申请单的编制</w:t>
      </w:r>
    </w:p>
    <w:p w14:paraId="1A2C3AE0">
      <w:pPr>
        <w:snapToGrid w:val="0"/>
        <w:spacing w:line="440" w:lineRule="exact"/>
        <w:ind w:firstLine="420" w:firstLineChars="200"/>
        <w:jc w:val="left"/>
        <w:rPr>
          <w:rFonts w:hint="eastAsia" w:ascii="宋体" w:cs="宋体"/>
          <w:szCs w:val="21"/>
          <w:u w:val="single"/>
        </w:rPr>
      </w:pPr>
      <w:r>
        <w:rPr>
          <w:rFonts w:hint="eastAsia" w:ascii="宋体" w:cs="宋体"/>
          <w:szCs w:val="21"/>
        </w:rPr>
        <w:t>关于进度付款申请单编制的约定：</w:t>
      </w:r>
      <w:r>
        <w:rPr>
          <w:rFonts w:hint="eastAsia" w:ascii="宋体" w:cs="宋体"/>
          <w:szCs w:val="21"/>
          <w:u w:val="single"/>
        </w:rPr>
        <w:t>执行发包人统一内容格式。</w:t>
      </w:r>
    </w:p>
    <w:p w14:paraId="67596A3B">
      <w:pPr>
        <w:snapToGrid w:val="0"/>
        <w:spacing w:line="440" w:lineRule="exact"/>
        <w:ind w:firstLine="420" w:firstLineChars="200"/>
        <w:jc w:val="left"/>
        <w:rPr>
          <w:rFonts w:hint="eastAsia" w:ascii="宋体" w:cs="宋体"/>
          <w:szCs w:val="21"/>
        </w:rPr>
      </w:pPr>
      <w:r>
        <w:rPr>
          <w:rFonts w:hint="eastAsia" w:ascii="宋体" w:cs="宋体"/>
          <w:szCs w:val="21"/>
        </w:rPr>
        <w:t>12.4.3 进度付款申请单的提交</w:t>
      </w:r>
    </w:p>
    <w:p w14:paraId="31BB1BD4">
      <w:pPr>
        <w:snapToGrid w:val="0"/>
        <w:spacing w:line="440" w:lineRule="exact"/>
        <w:ind w:firstLine="420" w:firstLineChars="200"/>
        <w:jc w:val="left"/>
        <w:rPr>
          <w:rFonts w:hint="eastAsia" w:ascii="宋体" w:cs="宋体"/>
          <w:szCs w:val="21"/>
        </w:rPr>
      </w:pPr>
      <w:r>
        <w:rPr>
          <w:rFonts w:hint="eastAsia" w:ascii="宋体" w:cs="宋体"/>
          <w:szCs w:val="21"/>
        </w:rPr>
        <w:t>（1）单价合同进度付款申请单提交的约定：</w:t>
      </w:r>
      <w:r>
        <w:rPr>
          <w:rFonts w:hint="eastAsia" w:ascii="宋体" w:cs="宋体"/>
          <w:szCs w:val="21"/>
          <w:u w:val="single"/>
        </w:rPr>
        <w:t xml:space="preserve"> </w:t>
      </w:r>
      <w:r>
        <w:rPr>
          <w:rFonts w:hint="eastAsia" w:ascii="宋体" w:hAnsi="宋体" w:eastAsia="宋体" w:cs="宋体"/>
          <w:color w:val="auto"/>
          <w:szCs w:val="21"/>
          <w:highlight w:val="none"/>
          <w:u w:val="single"/>
        </w:rPr>
        <w:t>按施工进度付款，承包人</w:t>
      </w:r>
      <w:r>
        <w:rPr>
          <w:rFonts w:hint="eastAsia" w:ascii="宋体" w:hAnsi="宋体" w:eastAsia="宋体" w:cs="宋体"/>
          <w:color w:val="auto"/>
          <w:szCs w:val="21"/>
          <w:highlight w:val="none"/>
          <w:u w:val="single"/>
          <w:lang w:val="en-US" w:eastAsia="zh-CN"/>
        </w:rPr>
        <w:t>按发包人要求</w:t>
      </w:r>
      <w:r>
        <w:rPr>
          <w:rFonts w:hint="eastAsia" w:ascii="宋体" w:hAnsi="宋体" w:eastAsia="宋体" w:cs="宋体"/>
          <w:color w:val="auto"/>
          <w:szCs w:val="21"/>
          <w:highlight w:val="none"/>
          <w:u w:val="single"/>
        </w:rPr>
        <w:t>向发包人报送请款资料</w:t>
      </w:r>
      <w:r>
        <w:rPr>
          <w:rFonts w:hint="eastAsia" w:ascii="黑体" w:eastAsia="黑体" w:cs="宋体"/>
          <w:b/>
          <w:bCs/>
          <w:szCs w:val="21"/>
          <w:u w:val="single"/>
        </w:rPr>
        <w:t>。</w:t>
      </w:r>
    </w:p>
    <w:p w14:paraId="08FBBFD9">
      <w:pPr>
        <w:snapToGrid w:val="0"/>
        <w:spacing w:line="440" w:lineRule="exact"/>
        <w:ind w:firstLine="420" w:firstLineChars="200"/>
        <w:jc w:val="left"/>
        <w:rPr>
          <w:rFonts w:hint="eastAsia" w:ascii="宋体" w:cs="宋体"/>
          <w:szCs w:val="21"/>
        </w:rPr>
      </w:pPr>
      <w:r>
        <w:rPr>
          <w:rFonts w:hint="eastAsia" w:ascii="宋体" w:cs="宋体"/>
          <w:szCs w:val="21"/>
        </w:rPr>
        <w:t>（2）总价合同进度付款申请单提交的约定：</w:t>
      </w:r>
      <w:r>
        <w:rPr>
          <w:rFonts w:hint="eastAsia" w:ascii="宋体" w:cs="宋体"/>
          <w:szCs w:val="21"/>
          <w:u w:val="single"/>
        </w:rPr>
        <w:t xml:space="preserve">   不采用   </w:t>
      </w:r>
      <w:r>
        <w:rPr>
          <w:rFonts w:hint="eastAsia" w:ascii="宋体" w:cs="宋体"/>
          <w:szCs w:val="21"/>
        </w:rPr>
        <w:t>。</w:t>
      </w:r>
    </w:p>
    <w:p w14:paraId="5A498097">
      <w:pPr>
        <w:snapToGrid w:val="0"/>
        <w:spacing w:line="440" w:lineRule="exact"/>
        <w:ind w:firstLine="420" w:firstLineChars="200"/>
        <w:jc w:val="left"/>
        <w:rPr>
          <w:rFonts w:hint="eastAsia" w:ascii="宋体" w:cs="宋体"/>
          <w:szCs w:val="21"/>
          <w:u w:val="single"/>
        </w:rPr>
      </w:pPr>
      <w:r>
        <w:rPr>
          <w:rFonts w:hint="eastAsia" w:ascii="宋体" w:cs="宋体"/>
          <w:szCs w:val="21"/>
        </w:rPr>
        <w:t>（3）其他价格形式合同进度付款申请单提交的约定：</w:t>
      </w:r>
      <w:r>
        <w:rPr>
          <w:rFonts w:hint="eastAsia" w:ascii="宋体" w:cs="宋体"/>
          <w:szCs w:val="21"/>
          <w:u w:val="single"/>
        </w:rPr>
        <w:t xml:space="preserve">  不采用  </w:t>
      </w:r>
      <w:r>
        <w:rPr>
          <w:rFonts w:hint="eastAsia" w:ascii="宋体" w:cs="宋体"/>
          <w:szCs w:val="21"/>
        </w:rPr>
        <w:t>。</w:t>
      </w:r>
    </w:p>
    <w:p w14:paraId="65633967">
      <w:pPr>
        <w:snapToGrid w:val="0"/>
        <w:spacing w:line="440" w:lineRule="exact"/>
        <w:ind w:firstLine="420" w:firstLineChars="200"/>
        <w:jc w:val="left"/>
        <w:rPr>
          <w:rFonts w:hint="eastAsia" w:ascii="宋体" w:cs="宋体"/>
          <w:szCs w:val="21"/>
        </w:rPr>
      </w:pPr>
      <w:r>
        <w:rPr>
          <w:rFonts w:hint="eastAsia" w:ascii="宋体" w:cs="宋体"/>
          <w:szCs w:val="21"/>
        </w:rPr>
        <w:t>12.4.4 进度款审核和支付</w:t>
      </w:r>
    </w:p>
    <w:p w14:paraId="7322FDC7">
      <w:pPr>
        <w:snapToGrid w:val="0"/>
        <w:spacing w:line="440" w:lineRule="exact"/>
        <w:ind w:firstLine="420" w:firstLineChars="200"/>
        <w:jc w:val="left"/>
        <w:rPr>
          <w:rFonts w:hint="eastAsia"/>
        </w:rPr>
      </w:pPr>
      <w:r>
        <w:rPr>
          <w:rFonts w:hint="eastAsia" w:ascii="宋体" w:cs="宋体"/>
          <w:szCs w:val="21"/>
        </w:rPr>
        <w:t>（1）监理人审查并报送发包人的期限：</w:t>
      </w:r>
      <w:r>
        <w:rPr>
          <w:rFonts w:hint="eastAsia" w:ascii="宋体" w:cs="宋体"/>
          <w:szCs w:val="21"/>
          <w:u w:val="single"/>
        </w:rPr>
        <w:t xml:space="preserve"> 监理人应在收到承包人进度付款申请单以及相关资料后7天内完成审查并报送发包人。</w:t>
      </w:r>
    </w:p>
    <w:p w14:paraId="43F584F5">
      <w:pPr>
        <w:snapToGrid w:val="0"/>
        <w:spacing w:line="440" w:lineRule="exact"/>
        <w:ind w:firstLine="420" w:firstLineChars="200"/>
        <w:jc w:val="left"/>
        <w:rPr>
          <w:rFonts w:hint="eastAsia" w:ascii="宋体" w:cs="宋体"/>
          <w:szCs w:val="21"/>
          <w:u w:val="single"/>
        </w:rPr>
      </w:pPr>
      <w:r>
        <w:rPr>
          <w:rFonts w:hint="eastAsia" w:ascii="宋体" w:cs="宋体"/>
          <w:szCs w:val="21"/>
        </w:rPr>
        <w:t>发包人完成审批并签发进度款支付证书的期限：</w:t>
      </w:r>
      <w:r>
        <w:rPr>
          <w:rFonts w:hint="eastAsia" w:ascii="宋体" w:cs="宋体"/>
          <w:szCs w:val="21"/>
          <w:u w:val="single"/>
        </w:rPr>
        <w:t>发包人应在收到后7天内完成审批并签发进度款支付证书，跟踪审计人员审核时间除外</w:t>
      </w:r>
      <w:r>
        <w:rPr>
          <w:rFonts w:hint="eastAsia" w:ascii="宋体" w:cs="宋体"/>
          <w:szCs w:val="21"/>
        </w:rPr>
        <w:t>。</w:t>
      </w:r>
    </w:p>
    <w:p w14:paraId="6FC3DBBE">
      <w:pPr>
        <w:tabs>
          <w:tab w:val="left" w:pos="0"/>
        </w:tabs>
        <w:snapToGrid w:val="0"/>
        <w:spacing w:line="440" w:lineRule="exact"/>
        <w:ind w:firstLine="420" w:firstLineChars="200"/>
        <w:rPr>
          <w:rFonts w:hint="eastAsia" w:ascii="宋体" w:cs="宋体"/>
          <w:b/>
          <w:szCs w:val="21"/>
          <w:u w:val="single"/>
        </w:rPr>
      </w:pPr>
      <w:r>
        <w:rPr>
          <w:rFonts w:hint="eastAsia" w:ascii="宋体" w:cs="宋体"/>
          <w:szCs w:val="21"/>
        </w:rPr>
        <w:t>（2）发包人支付进度款的期限：</w:t>
      </w:r>
      <w:r>
        <w:rPr>
          <w:rFonts w:hint="eastAsia" w:ascii="宋体" w:hAnsi="宋体" w:eastAsia="宋体" w:cs="宋体"/>
          <w:color w:val="auto"/>
          <w:szCs w:val="21"/>
          <w:highlight w:val="none"/>
          <w:u w:val="single"/>
        </w:rPr>
        <w:t>发票送达</w:t>
      </w:r>
      <w:r>
        <w:rPr>
          <w:rFonts w:hint="eastAsia" w:ascii="宋体" w:hAnsi="宋体" w:eastAsia="宋体" w:cs="宋体"/>
          <w:color w:val="auto"/>
          <w:szCs w:val="21"/>
          <w:highlight w:val="none"/>
          <w:u w:val="single"/>
          <w:lang w:val="en-US" w:eastAsia="zh-CN"/>
        </w:rPr>
        <w:t>30日</w:t>
      </w:r>
      <w:r>
        <w:rPr>
          <w:rFonts w:hint="eastAsia" w:ascii="宋体" w:hAnsi="宋体" w:eastAsia="宋体" w:cs="宋体"/>
          <w:color w:val="auto"/>
          <w:szCs w:val="21"/>
          <w:highlight w:val="none"/>
          <w:u w:val="single"/>
        </w:rPr>
        <w:t>内完成支付</w:t>
      </w:r>
      <w:r>
        <w:rPr>
          <w:rFonts w:hint="eastAsia" w:ascii="宋体" w:cs="宋体"/>
          <w:szCs w:val="21"/>
        </w:rPr>
        <w:t>。</w:t>
      </w:r>
    </w:p>
    <w:p w14:paraId="497FE8DB">
      <w:pPr>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发包人逾期支付进度款的违约金的计算方式：</w:t>
      </w:r>
      <w:r>
        <w:rPr>
          <w:rFonts w:hint="eastAsia" w:ascii="宋体" w:cs="宋体"/>
          <w:color w:val="auto"/>
          <w:szCs w:val="21"/>
          <w:u w:val="single"/>
        </w:rPr>
        <w:t xml:space="preserve">   不采用   </w:t>
      </w:r>
      <w:r>
        <w:rPr>
          <w:rFonts w:hint="eastAsia" w:ascii="宋体" w:cs="宋体"/>
          <w:color w:val="auto"/>
          <w:szCs w:val="21"/>
        </w:rPr>
        <w:t>。</w:t>
      </w:r>
    </w:p>
    <w:p w14:paraId="3BEA80C7">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color w:val="auto"/>
          <w:szCs w:val="21"/>
          <w:highlight w:val="none"/>
        </w:rPr>
      </w:pPr>
      <w:r>
        <w:rPr>
          <w:rFonts w:hint="eastAsia" w:ascii="宋体" w:cs="宋体"/>
          <w:color w:val="auto"/>
          <w:szCs w:val="21"/>
          <w:highlight w:val="none"/>
        </w:rPr>
        <w:t>12.4.6 支付分解表的编制</w:t>
      </w:r>
    </w:p>
    <w:p w14:paraId="6CC2411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u w:val="single"/>
        </w:rPr>
      </w:pPr>
      <w:r>
        <w:rPr>
          <w:rFonts w:hint="eastAsia" w:ascii="宋体" w:hAnsi="宋体" w:cs="宋体"/>
          <w:color w:val="000000"/>
        </w:rPr>
        <w:t>(2)总价合同支付分解表的编制与审批：</w:t>
      </w:r>
      <w:r>
        <w:rPr>
          <w:rFonts w:hint="eastAsia" w:ascii="宋体" w:hAnsi="宋体" w:cs="宋体"/>
          <w:color w:val="000000"/>
          <w:u w:val="single"/>
        </w:rPr>
        <w:t xml:space="preserve">  /  </w:t>
      </w:r>
      <w:r>
        <w:rPr>
          <w:rFonts w:hint="eastAsia" w:ascii="宋体" w:hAnsi="宋体" w:cs="宋体"/>
          <w:color w:val="000000"/>
        </w:rPr>
        <w:t>。</w:t>
      </w:r>
    </w:p>
    <w:p w14:paraId="027D82E8">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szCs w:val="21"/>
          <w:u w:val="single"/>
        </w:rPr>
      </w:pPr>
      <w:r>
        <w:rPr>
          <w:rFonts w:hint="eastAsia" w:ascii="宋体" w:hAnsi="宋体" w:cs="宋体"/>
          <w:color w:val="000000"/>
        </w:rPr>
        <w:t>(3)单价合同的总价项目支付分解表的编制与审批：</w:t>
      </w:r>
      <w:r>
        <w:rPr>
          <w:rFonts w:hint="eastAsia" w:ascii="宋体" w:hAnsi="宋体" w:cs="宋体"/>
          <w:color w:val="000000"/>
          <w:u w:val="single"/>
        </w:rPr>
        <w:t xml:space="preserve">  /  </w:t>
      </w:r>
      <w:r>
        <w:rPr>
          <w:rFonts w:hint="eastAsia" w:ascii="宋体" w:hAnsi="宋体" w:cs="宋体"/>
          <w:color w:val="000000"/>
        </w:rPr>
        <w:t>。</w:t>
      </w:r>
    </w:p>
    <w:p w14:paraId="40F5896D">
      <w:pPr>
        <w:keepNext w:val="0"/>
        <w:keepLines w:val="0"/>
        <w:pageBreakBefore w:val="0"/>
        <w:widowControl w:val="0"/>
        <w:kinsoku/>
        <w:wordWrap/>
        <w:overflowPunct/>
        <w:topLinePunct w:val="0"/>
        <w:autoSpaceDE/>
        <w:autoSpaceDN/>
        <w:bidi w:val="0"/>
        <w:adjustRightInd w:val="0"/>
        <w:snapToGrid w:val="0"/>
        <w:spacing w:line="440" w:lineRule="exact"/>
        <w:ind w:firstLine="422" w:firstLineChars="200"/>
        <w:textAlignment w:val="auto"/>
        <w:rPr>
          <w:rFonts w:hint="eastAsia" w:ascii="宋体" w:hAnsi="宋体" w:cs="宋体"/>
          <w:b/>
          <w:color w:val="000000"/>
          <w:highlight w:val="none"/>
        </w:rPr>
      </w:pPr>
      <w:r>
        <w:rPr>
          <w:rFonts w:hint="eastAsia" w:ascii="宋体" w:hAnsi="宋体" w:cs="宋体"/>
          <w:b/>
          <w:color w:val="000000"/>
          <w:highlight w:val="none"/>
        </w:rPr>
        <w:t>12.4.7 农民工工资管理（</w:t>
      </w:r>
      <w:r>
        <w:rPr>
          <w:rFonts w:hint="eastAsia" w:ascii="宋体" w:hAnsi="宋体" w:cs="宋体"/>
          <w:b/>
          <w:color w:val="000000"/>
          <w:highlight w:val="none"/>
          <w:lang w:val="en-US" w:eastAsia="zh-CN"/>
        </w:rPr>
        <w:t>不采用</w:t>
      </w:r>
      <w:r>
        <w:rPr>
          <w:rFonts w:hint="eastAsia" w:ascii="宋体" w:hAnsi="宋体" w:cs="宋体"/>
          <w:b/>
          <w:color w:val="000000"/>
          <w:highlight w:val="none"/>
        </w:rPr>
        <w:t>）</w:t>
      </w:r>
    </w:p>
    <w:p w14:paraId="7031B0A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bCs/>
          <w:color w:val="000000"/>
          <w:highlight w:val="none"/>
          <w:lang w:eastAsia="zh-CN"/>
        </w:rPr>
      </w:pPr>
      <w:r>
        <w:rPr>
          <w:rFonts w:hint="eastAsia" w:ascii="宋体" w:hAnsi="宋体" w:cs="宋体"/>
          <w:bCs/>
          <w:color w:val="000000"/>
          <w:highlight w:val="none"/>
        </w:rPr>
        <w:t>(1)本工程农民工工资实行专用账户管理，承包人设立的专用账户开户行为</w:t>
      </w:r>
      <w:r>
        <w:rPr>
          <w:rFonts w:hint="eastAsia" w:ascii="宋体" w:hAnsi="宋体" w:cs="宋体"/>
          <w:bCs/>
          <w:color w:val="000000"/>
          <w:highlight w:val="none"/>
          <w:u w:val="single"/>
        </w:rPr>
        <w:t>：</w:t>
      </w:r>
      <w:r>
        <w:rPr>
          <w:rFonts w:hint="eastAsia" w:ascii="宋体" w:hAnsi="宋体" w:cs="宋体"/>
          <w:bCs/>
          <w:color w:val="000000"/>
          <w:highlight w:val="none"/>
          <w:u w:val="single"/>
          <w:lang w:val="en-US" w:eastAsia="zh-CN"/>
        </w:rPr>
        <w:t>/</w:t>
      </w:r>
      <w:r>
        <w:rPr>
          <w:rFonts w:hint="eastAsia" w:ascii="宋体" w:hAnsi="宋体" w:cs="宋体"/>
          <w:bCs/>
          <w:color w:val="000000"/>
          <w:highlight w:val="none"/>
        </w:rPr>
        <w:t>，账号：</w:t>
      </w:r>
      <w:r>
        <w:rPr>
          <w:rFonts w:hint="eastAsia" w:ascii="宋体" w:hAnsi="宋体" w:cs="宋体"/>
          <w:bCs/>
          <w:color w:val="000000"/>
          <w:highlight w:val="none"/>
          <w:u w:val="single"/>
          <w:lang w:val="en-US" w:eastAsia="zh-CN"/>
        </w:rPr>
        <w:t>/</w:t>
      </w:r>
      <w:r>
        <w:rPr>
          <w:rFonts w:hint="eastAsia" w:ascii="宋体" w:hAnsi="宋体" w:cs="宋体"/>
          <w:bCs/>
          <w:color w:val="000000"/>
          <w:highlight w:val="none"/>
          <w:lang w:eastAsia="zh-CN"/>
        </w:rPr>
        <w:t>；</w:t>
      </w:r>
    </w:p>
    <w:p w14:paraId="7102B37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bCs/>
          <w:strike/>
          <w:dstrike w:val="0"/>
          <w:color w:val="000000"/>
          <w:highlight w:val="none"/>
        </w:rPr>
      </w:pPr>
      <w:r>
        <w:rPr>
          <w:rFonts w:hint="eastAsia" w:ascii="宋体" w:hAnsi="宋体" w:cs="宋体"/>
          <w:bCs/>
          <w:strike w:val="0"/>
          <w:dstrike w:val="0"/>
          <w:color w:val="000000"/>
          <w:highlight w:val="none"/>
        </w:rPr>
        <w:t>(</w:t>
      </w:r>
      <w:r>
        <w:rPr>
          <w:rFonts w:hint="eastAsia" w:ascii="宋体" w:hAnsi="宋体" w:cs="宋体"/>
          <w:bCs/>
          <w:strike w:val="0"/>
          <w:dstrike w:val="0"/>
          <w:color w:val="000000"/>
          <w:highlight w:val="none"/>
          <w:lang w:val="en-US" w:eastAsia="zh-CN"/>
        </w:rPr>
        <w:t>2</w:t>
      </w:r>
      <w:r>
        <w:rPr>
          <w:rFonts w:hint="eastAsia" w:ascii="宋体" w:hAnsi="宋体" w:cs="宋体"/>
          <w:bCs/>
          <w:strike w:val="0"/>
          <w:dstrike w:val="0"/>
          <w:color w:val="000000"/>
          <w:highlight w:val="none"/>
        </w:rPr>
        <w:t>)发包人</w:t>
      </w:r>
      <w:r>
        <w:rPr>
          <w:rFonts w:hint="eastAsia" w:ascii="宋体" w:hAnsi="宋体" w:cs="宋体"/>
          <w:bCs/>
          <w:strike w:val="0"/>
          <w:dstrike w:val="0"/>
          <w:color w:val="000000"/>
          <w:highlight w:val="none"/>
          <w:lang w:eastAsia="zh-CN"/>
        </w:rPr>
        <w:t>将按当期计量支付一定比例（一般情况下不低于</w:t>
      </w:r>
      <w:r>
        <w:rPr>
          <w:rFonts w:hint="eastAsia" w:ascii="宋体" w:hAnsi="宋体" w:cs="宋体"/>
          <w:bCs/>
          <w:strike w:val="0"/>
          <w:dstrike w:val="0"/>
          <w:color w:val="000000"/>
          <w:highlight w:val="none"/>
          <w:lang w:val="en-US" w:eastAsia="zh-CN"/>
        </w:rPr>
        <w:t>12%</w:t>
      </w:r>
      <w:r>
        <w:rPr>
          <w:rFonts w:hint="eastAsia" w:ascii="宋体" w:hAnsi="宋体" w:cs="宋体"/>
          <w:bCs/>
          <w:strike w:val="0"/>
          <w:dstrike w:val="0"/>
          <w:color w:val="000000"/>
          <w:highlight w:val="none"/>
          <w:lang w:eastAsia="zh-CN"/>
        </w:rPr>
        <w:t>）的</w:t>
      </w:r>
      <w:r>
        <w:rPr>
          <w:rFonts w:hint="eastAsia" w:ascii="宋体" w:hAnsi="宋体" w:cs="宋体"/>
          <w:bCs/>
          <w:strike w:val="0"/>
          <w:dstrike w:val="0"/>
          <w:color w:val="000000"/>
          <w:highlight w:val="none"/>
        </w:rPr>
        <w:t>进度款转入农民工工资专用账户。</w:t>
      </w:r>
    </w:p>
    <w:p w14:paraId="0629DC3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bCs/>
          <w:color w:val="000000"/>
          <w:highlight w:val="none"/>
        </w:rPr>
      </w:pPr>
      <w:r>
        <w:rPr>
          <w:rFonts w:hint="eastAsia" w:ascii="宋体" w:hAnsi="宋体" w:cs="宋体"/>
          <w:bCs/>
          <w:color w:val="000000"/>
          <w:highlight w:val="none"/>
        </w:rPr>
        <w:t>(</w:t>
      </w:r>
      <w:r>
        <w:rPr>
          <w:rFonts w:hint="eastAsia" w:ascii="宋体" w:hAnsi="宋体" w:cs="宋体"/>
          <w:bCs/>
          <w:color w:val="000000"/>
          <w:highlight w:val="none"/>
          <w:lang w:val="en-US" w:eastAsia="zh-CN"/>
        </w:rPr>
        <w:t>3</w:t>
      </w:r>
      <w:r>
        <w:rPr>
          <w:rFonts w:hint="eastAsia" w:ascii="宋体" w:hAnsi="宋体" w:cs="宋体"/>
          <w:bCs/>
          <w:color w:val="000000"/>
          <w:highlight w:val="none"/>
        </w:rPr>
        <w:t>)承包人每月25日前上报本工程农民工工资清单，每月10日前委托开设农民工工资专用账户的银行支付农民工工资。</w:t>
      </w:r>
    </w:p>
    <w:p w14:paraId="61B132BB">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bCs/>
          <w:color w:val="000000"/>
          <w:highlight w:val="none"/>
        </w:rPr>
      </w:pPr>
      <w:r>
        <w:rPr>
          <w:rFonts w:hint="eastAsia" w:ascii="宋体" w:hAnsi="宋体" w:cs="宋体"/>
          <w:bCs/>
          <w:color w:val="000000"/>
          <w:highlight w:val="none"/>
        </w:rPr>
        <w:t>(</w:t>
      </w:r>
      <w:r>
        <w:rPr>
          <w:rFonts w:hint="eastAsia" w:ascii="宋体" w:hAnsi="宋体" w:cs="宋体"/>
          <w:bCs/>
          <w:color w:val="000000"/>
          <w:highlight w:val="none"/>
          <w:lang w:val="en-US" w:eastAsia="zh-CN"/>
        </w:rPr>
        <w:t>4</w:t>
      </w:r>
      <w:r>
        <w:rPr>
          <w:rFonts w:hint="eastAsia" w:ascii="宋体" w:hAnsi="宋体" w:cs="宋体"/>
          <w:bCs/>
          <w:color w:val="000000"/>
          <w:highlight w:val="none"/>
        </w:rPr>
        <w:t>)工程竣工后，经项目部农民工维权组确认无农民工工资拖欠后，发、承双方办理农民工工资专用账户撤销手续，农民工工资专用账户余额划至本合同约定的承包人账户。</w:t>
      </w:r>
    </w:p>
    <w:p w14:paraId="57B68465">
      <w:pPr>
        <w:pStyle w:val="5"/>
        <w:snapToGrid w:val="0"/>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13. 验收和工程试车</w:t>
      </w:r>
    </w:p>
    <w:p w14:paraId="0E25E4A7">
      <w:pPr>
        <w:snapToGrid w:val="0"/>
        <w:spacing w:line="440" w:lineRule="exact"/>
        <w:ind w:firstLine="420" w:firstLineChars="200"/>
        <w:rPr>
          <w:rFonts w:hint="eastAsia" w:ascii="宋体" w:cs="宋体"/>
          <w:szCs w:val="21"/>
        </w:rPr>
      </w:pPr>
      <w:r>
        <w:rPr>
          <w:rFonts w:hint="eastAsia" w:ascii="宋体" w:cs="宋体"/>
          <w:szCs w:val="21"/>
        </w:rPr>
        <w:t>13.1 分部分项工程验收</w:t>
      </w:r>
    </w:p>
    <w:p w14:paraId="074CAD8F">
      <w:pPr>
        <w:snapToGrid w:val="0"/>
        <w:spacing w:line="440" w:lineRule="exact"/>
        <w:ind w:firstLine="420" w:firstLineChars="200"/>
        <w:jc w:val="left"/>
        <w:rPr>
          <w:rFonts w:hint="eastAsia" w:ascii="宋体" w:cs="宋体"/>
          <w:szCs w:val="21"/>
        </w:rPr>
      </w:pPr>
      <w:r>
        <w:rPr>
          <w:rFonts w:hint="eastAsia" w:ascii="宋体" w:cs="宋体"/>
          <w:szCs w:val="21"/>
        </w:rPr>
        <w:t>13.1.2监理人不能按时进行验收时，应提前</w:t>
      </w:r>
      <w:r>
        <w:rPr>
          <w:rFonts w:hint="eastAsia" w:ascii="宋体" w:cs="宋体"/>
          <w:szCs w:val="21"/>
          <w:u w:val="single"/>
        </w:rPr>
        <w:t xml:space="preserve"> </w:t>
      </w:r>
      <w:r>
        <w:rPr>
          <w:rFonts w:hint="eastAsia" w:ascii="宋体" w:cs="宋体"/>
          <w:szCs w:val="21"/>
          <w:u w:val="single"/>
          <w:lang w:val="en-US" w:eastAsia="zh-CN"/>
        </w:rPr>
        <w:t>24</w:t>
      </w:r>
      <w:r>
        <w:rPr>
          <w:rFonts w:hint="eastAsia" w:ascii="宋体" w:cs="宋体"/>
          <w:szCs w:val="21"/>
          <w:u w:val="single"/>
        </w:rPr>
        <w:t xml:space="preserve"> </w:t>
      </w:r>
      <w:r>
        <w:rPr>
          <w:rFonts w:hint="eastAsia" w:ascii="宋体" w:cs="宋体"/>
          <w:szCs w:val="21"/>
        </w:rPr>
        <w:t>小时提交书面延期要求。</w:t>
      </w:r>
    </w:p>
    <w:p w14:paraId="08571564">
      <w:pPr>
        <w:snapToGrid w:val="0"/>
        <w:spacing w:line="440" w:lineRule="exact"/>
        <w:ind w:firstLine="420" w:firstLineChars="200"/>
        <w:jc w:val="left"/>
        <w:rPr>
          <w:rFonts w:hint="eastAsia" w:ascii="宋体" w:cs="宋体"/>
          <w:szCs w:val="21"/>
        </w:rPr>
      </w:pPr>
      <w:r>
        <w:rPr>
          <w:rFonts w:hint="eastAsia" w:ascii="宋体" w:cs="宋体"/>
          <w:szCs w:val="21"/>
        </w:rPr>
        <w:t>关于延期最长不得超过：</w:t>
      </w:r>
      <w:r>
        <w:rPr>
          <w:rFonts w:hint="eastAsia" w:ascii="宋体" w:cs="宋体"/>
          <w:szCs w:val="21"/>
          <w:u w:val="single"/>
        </w:rPr>
        <w:t xml:space="preserve"> </w:t>
      </w:r>
      <w:r>
        <w:rPr>
          <w:rFonts w:hint="eastAsia" w:ascii="宋体" w:cs="宋体"/>
          <w:szCs w:val="21"/>
          <w:u w:val="single"/>
          <w:lang w:val="en-US" w:eastAsia="zh-CN"/>
        </w:rPr>
        <w:t>48</w:t>
      </w:r>
      <w:r>
        <w:rPr>
          <w:rFonts w:hint="eastAsia" w:ascii="宋体" w:cs="宋体"/>
          <w:szCs w:val="21"/>
          <w:u w:val="single"/>
        </w:rPr>
        <w:t xml:space="preserve">  </w:t>
      </w:r>
      <w:r>
        <w:rPr>
          <w:rFonts w:hint="eastAsia" w:ascii="宋体" w:cs="宋体"/>
          <w:szCs w:val="21"/>
        </w:rPr>
        <w:t>小时。</w:t>
      </w:r>
    </w:p>
    <w:p w14:paraId="4311906F">
      <w:pPr>
        <w:wordWrap w:val="0"/>
        <w:snapToGrid w:val="0"/>
        <w:spacing w:line="440" w:lineRule="exact"/>
        <w:ind w:firstLine="420" w:firstLineChars="200"/>
        <w:textAlignment w:val="bottom"/>
        <w:rPr>
          <w:rFonts w:hint="eastAsia" w:ascii="宋体" w:cs="宋体"/>
          <w:szCs w:val="21"/>
        </w:rPr>
      </w:pPr>
      <w:r>
        <w:rPr>
          <w:rFonts w:hint="eastAsia" w:ascii="宋体" w:cs="宋体"/>
          <w:szCs w:val="21"/>
        </w:rPr>
        <w:t>13.2 竣工验收</w:t>
      </w:r>
    </w:p>
    <w:p w14:paraId="60A871A1">
      <w:pPr>
        <w:snapToGrid w:val="0"/>
        <w:spacing w:line="440" w:lineRule="exact"/>
        <w:ind w:firstLine="420" w:firstLineChars="200"/>
        <w:jc w:val="left"/>
        <w:rPr>
          <w:rFonts w:hint="eastAsia" w:ascii="宋体" w:cs="宋体"/>
          <w:szCs w:val="21"/>
        </w:rPr>
      </w:pPr>
      <w:r>
        <w:rPr>
          <w:rFonts w:hint="eastAsia" w:ascii="宋体" w:cs="宋体"/>
          <w:szCs w:val="21"/>
        </w:rPr>
        <w:t>13.2.2竣工验收程序</w:t>
      </w:r>
    </w:p>
    <w:p w14:paraId="168ACE07">
      <w:pPr>
        <w:wordWrap w:val="0"/>
        <w:snapToGrid w:val="0"/>
        <w:spacing w:line="440" w:lineRule="exact"/>
        <w:ind w:firstLine="420" w:firstLineChars="200"/>
        <w:jc w:val="left"/>
        <w:rPr>
          <w:rFonts w:hint="eastAsia" w:ascii="宋体" w:cs="宋体"/>
          <w:szCs w:val="21"/>
        </w:rPr>
      </w:pPr>
      <w:r>
        <w:rPr>
          <w:rFonts w:hint="eastAsia" w:ascii="宋体" w:cs="宋体"/>
          <w:szCs w:val="21"/>
        </w:rPr>
        <w:t>关于竣工验收程序的约定：</w:t>
      </w:r>
      <w:r>
        <w:rPr>
          <w:rFonts w:hint="eastAsia" w:ascii="宋体" w:hAnsi="宋体" w:cs="宋体"/>
          <w:color w:val="auto"/>
          <w:szCs w:val="21"/>
          <w:highlight w:val="none"/>
          <w:u w:val="single"/>
        </w:rPr>
        <w:t>执行通用条款</w:t>
      </w:r>
      <w:r>
        <w:rPr>
          <w:rFonts w:ascii="宋体" w:hAnsi="宋体" w:cs="宋体"/>
          <w:color w:val="auto"/>
          <w:szCs w:val="21"/>
          <w:highlight w:val="none"/>
          <w:u w:val="single"/>
        </w:rPr>
        <w:t xml:space="preserve">  </w:t>
      </w:r>
      <w:r>
        <w:rPr>
          <w:rFonts w:hint="eastAsia" w:ascii="宋体" w:cs="宋体"/>
          <w:szCs w:val="21"/>
          <w:u w:val="single"/>
        </w:rPr>
        <w:t>。</w:t>
      </w:r>
    </w:p>
    <w:p w14:paraId="609E1968">
      <w:pPr>
        <w:wordWrap w:val="0"/>
        <w:snapToGrid w:val="0"/>
        <w:spacing w:line="440" w:lineRule="exact"/>
        <w:ind w:firstLine="420" w:firstLineChars="200"/>
        <w:jc w:val="left"/>
        <w:rPr>
          <w:rFonts w:hint="eastAsia" w:ascii="宋体" w:cs="宋体"/>
          <w:szCs w:val="21"/>
          <w:u w:val="single"/>
        </w:rPr>
      </w:pPr>
      <w:r>
        <w:rPr>
          <w:rFonts w:hint="eastAsia" w:ascii="宋体" w:cs="宋体"/>
          <w:kern w:val="0"/>
          <w:szCs w:val="21"/>
        </w:rPr>
        <w:t>发包人不按照本项约定组织竣工验收、颁发工程接收证书的违约金的计算方法：</w:t>
      </w:r>
      <w:r>
        <w:rPr>
          <w:rFonts w:hint="eastAsia" w:ascii="宋体" w:cs="宋体"/>
          <w:szCs w:val="21"/>
          <w:u w:val="single"/>
        </w:rPr>
        <w:t xml:space="preserve">  不考虑 </w:t>
      </w:r>
      <w:r>
        <w:rPr>
          <w:rFonts w:hint="eastAsia" w:ascii="宋体" w:cs="宋体"/>
          <w:szCs w:val="21"/>
        </w:rPr>
        <w:t>。</w:t>
      </w:r>
    </w:p>
    <w:p w14:paraId="63B9CDA6">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szCs w:val="21"/>
        </w:rPr>
      </w:pPr>
      <w:r>
        <w:rPr>
          <w:rFonts w:hint="eastAsia" w:ascii="宋体" w:cs="宋体"/>
          <w:szCs w:val="21"/>
        </w:rPr>
        <w:t>13.2.5移交、接收全部与部分工程</w:t>
      </w:r>
    </w:p>
    <w:p w14:paraId="2FE239F5">
      <w:pPr>
        <w:keepNext w:val="0"/>
        <w:keepLines w:val="0"/>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kern w:val="0"/>
          <w:szCs w:val="21"/>
        </w:rPr>
      </w:pPr>
      <w:r>
        <w:rPr>
          <w:rFonts w:hint="eastAsia" w:ascii="宋体" w:cs="宋体"/>
          <w:kern w:val="0"/>
          <w:szCs w:val="21"/>
        </w:rPr>
        <w:t>承包人向发包人移交工程的期限：</w:t>
      </w:r>
      <w:r>
        <w:rPr>
          <w:rFonts w:hint="eastAsia" w:ascii="宋体" w:cs="宋体"/>
          <w:szCs w:val="21"/>
          <w:u w:val="single"/>
        </w:rPr>
        <w:t xml:space="preserve"> </w:t>
      </w:r>
      <w:r>
        <w:rPr>
          <w:rFonts w:hint="eastAsia" w:ascii="宋体" w:hAnsi="宋体" w:cs="宋体"/>
          <w:color w:val="000000"/>
          <w:szCs w:val="21"/>
          <w:u w:val="single"/>
          <w:lang w:val="en-US" w:eastAsia="zh-CN"/>
        </w:rPr>
        <w:t>工程竣工验收合格</w:t>
      </w:r>
      <w:r>
        <w:rPr>
          <w:rFonts w:hint="eastAsia" w:ascii="宋体" w:hAnsi="宋体" w:cs="宋体"/>
          <w:color w:val="auto"/>
          <w:szCs w:val="21"/>
          <w:u w:val="single"/>
        </w:rPr>
        <w:t>后</w:t>
      </w:r>
      <w:r>
        <w:rPr>
          <w:rFonts w:hint="eastAsia" w:ascii="宋体" w:hAnsi="宋体" w:cs="宋体"/>
          <w:color w:val="auto"/>
          <w:szCs w:val="21"/>
          <w:u w:val="single"/>
          <w:lang w:val="en-US" w:eastAsia="zh-CN"/>
        </w:rPr>
        <w:t>根据发包人要求的时间内</w:t>
      </w:r>
      <w:r>
        <w:rPr>
          <w:rFonts w:hint="eastAsia" w:ascii="宋体" w:hAnsi="宋体" w:cs="宋体"/>
          <w:color w:val="000000"/>
          <w:szCs w:val="21"/>
          <w:u w:val="single"/>
        </w:rPr>
        <w:t>完成工程的移交</w:t>
      </w:r>
      <w:r>
        <w:rPr>
          <w:rFonts w:hint="eastAsia" w:ascii="宋体" w:cs="宋体"/>
          <w:szCs w:val="21"/>
          <w:u w:val="single"/>
        </w:rPr>
        <w:t>。</w:t>
      </w:r>
    </w:p>
    <w:p w14:paraId="61F5445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u w:val="single"/>
        </w:rPr>
      </w:pPr>
      <w:r>
        <w:rPr>
          <w:rFonts w:hint="eastAsia" w:ascii="宋体" w:hAnsi="宋体" w:cs="宋体"/>
          <w:color w:val="000000"/>
          <w:kern w:val="0"/>
        </w:rPr>
        <w:t>发包人未按本合同约定接收全部或部分工程的，违约金的计算方法为：</w:t>
      </w:r>
      <w:r>
        <w:rPr>
          <w:rFonts w:hint="eastAsia" w:ascii="宋体" w:hAnsi="宋体" w:cs="宋体"/>
          <w:color w:val="000000"/>
          <w:szCs w:val="21"/>
          <w:u w:val="single"/>
        </w:rPr>
        <w:t>发包人自应当接收工程之日起，承担工程照管、成品保护、保管等与工程有关的各项费用</w:t>
      </w:r>
      <w:r>
        <w:rPr>
          <w:rFonts w:hint="eastAsia" w:ascii="宋体" w:hAnsi="宋体" w:cs="宋体"/>
          <w:color w:val="000000"/>
        </w:rPr>
        <w:t>。</w:t>
      </w:r>
    </w:p>
    <w:p w14:paraId="7B23BE0E">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u w:val="single"/>
        </w:rPr>
      </w:pPr>
      <w:r>
        <w:rPr>
          <w:rFonts w:hint="eastAsia" w:ascii="宋体" w:hAnsi="宋体" w:cs="宋体"/>
          <w:color w:val="000000"/>
        </w:rPr>
        <w:t>承包人未按时移交工程的，违约金的计算方法为：</w:t>
      </w:r>
      <w:r>
        <w:rPr>
          <w:rFonts w:hint="eastAsia" w:ascii="宋体" w:hAnsi="宋体" w:cs="宋体"/>
          <w:color w:val="000000"/>
          <w:szCs w:val="21"/>
          <w:u w:val="single"/>
        </w:rPr>
        <w:t>承包人应承担工程照管、成品保护、保管等与工程有关的各项费用</w:t>
      </w:r>
      <w:r>
        <w:rPr>
          <w:rFonts w:hint="eastAsia" w:ascii="宋体" w:hAnsi="宋体" w:cs="宋体"/>
          <w:color w:val="000000"/>
        </w:rPr>
        <w:t>。</w:t>
      </w:r>
    </w:p>
    <w:p w14:paraId="69750784">
      <w:pPr>
        <w:snapToGrid w:val="0"/>
        <w:spacing w:line="440" w:lineRule="exact"/>
        <w:ind w:firstLine="420" w:firstLineChars="200"/>
        <w:rPr>
          <w:rFonts w:hint="eastAsia" w:ascii="宋体" w:cs="宋体"/>
          <w:color w:val="auto"/>
          <w:szCs w:val="21"/>
        </w:rPr>
      </w:pPr>
      <w:r>
        <w:rPr>
          <w:rFonts w:hint="eastAsia" w:ascii="宋体" w:cs="宋体"/>
          <w:color w:val="auto"/>
          <w:szCs w:val="21"/>
        </w:rPr>
        <w:t>13.3 工程试车</w:t>
      </w:r>
    </w:p>
    <w:p w14:paraId="77C2EB8B">
      <w:pPr>
        <w:snapToGrid w:val="0"/>
        <w:spacing w:line="440" w:lineRule="exact"/>
        <w:ind w:firstLine="420" w:firstLineChars="200"/>
        <w:jc w:val="left"/>
        <w:rPr>
          <w:rFonts w:hint="eastAsia" w:ascii="宋体" w:cs="宋体"/>
          <w:kern w:val="0"/>
          <w:szCs w:val="21"/>
        </w:rPr>
      </w:pPr>
      <w:r>
        <w:rPr>
          <w:rFonts w:hint="eastAsia" w:ascii="宋体" w:cs="宋体"/>
          <w:kern w:val="0"/>
          <w:szCs w:val="21"/>
        </w:rPr>
        <w:t>13.3.1 试车程序</w:t>
      </w:r>
    </w:p>
    <w:p w14:paraId="7C418FC2">
      <w:pPr>
        <w:snapToGrid w:val="0"/>
        <w:spacing w:line="440" w:lineRule="exact"/>
        <w:ind w:firstLine="420" w:firstLineChars="200"/>
        <w:jc w:val="left"/>
        <w:rPr>
          <w:rFonts w:hint="eastAsia" w:ascii="宋体" w:cs="宋体"/>
          <w:szCs w:val="21"/>
          <w:u w:val="single"/>
        </w:rPr>
      </w:pPr>
      <w:r>
        <w:rPr>
          <w:rFonts w:hint="eastAsia" w:ascii="宋体" w:cs="宋体"/>
          <w:kern w:val="0"/>
          <w:szCs w:val="21"/>
        </w:rPr>
        <w:t>工程试车内容：</w:t>
      </w:r>
      <w:r>
        <w:rPr>
          <w:rFonts w:hint="eastAsia" w:ascii="宋体" w:cs="宋体"/>
          <w:szCs w:val="21"/>
          <w:u w:val="single"/>
        </w:rPr>
        <w:t>工程需要试车的，试车内容应与承包人承包范围相一致，试车费用由承包人承担。</w:t>
      </w:r>
    </w:p>
    <w:p w14:paraId="140554A2">
      <w:pPr>
        <w:snapToGrid w:val="0"/>
        <w:spacing w:line="440" w:lineRule="exact"/>
        <w:ind w:firstLine="420" w:firstLineChars="200"/>
        <w:jc w:val="left"/>
        <w:rPr>
          <w:rFonts w:hint="eastAsia" w:ascii="宋体" w:cs="宋体"/>
          <w:kern w:val="0"/>
          <w:szCs w:val="21"/>
        </w:rPr>
      </w:pPr>
      <w:r>
        <w:rPr>
          <w:rFonts w:hint="eastAsia" w:ascii="宋体" w:cs="宋体"/>
          <w:kern w:val="0"/>
          <w:szCs w:val="21"/>
        </w:rPr>
        <w:t>（1）单机无负荷试车费用由</w:t>
      </w:r>
      <w:r>
        <w:rPr>
          <w:rFonts w:hint="eastAsia" w:ascii="宋体" w:cs="宋体"/>
          <w:szCs w:val="21"/>
          <w:u w:val="single"/>
        </w:rPr>
        <w:t xml:space="preserve">  承包人  </w:t>
      </w:r>
      <w:r>
        <w:rPr>
          <w:rFonts w:hint="eastAsia" w:ascii="宋体" w:cs="宋体"/>
          <w:kern w:val="0"/>
          <w:szCs w:val="21"/>
        </w:rPr>
        <w:t>承担；</w:t>
      </w:r>
    </w:p>
    <w:p w14:paraId="3B6AD9C6">
      <w:pPr>
        <w:snapToGrid w:val="0"/>
        <w:spacing w:line="440" w:lineRule="exact"/>
        <w:ind w:firstLine="420" w:firstLineChars="200"/>
        <w:jc w:val="left"/>
        <w:rPr>
          <w:rFonts w:hint="eastAsia" w:ascii="宋体" w:cs="宋体"/>
          <w:kern w:val="0"/>
          <w:szCs w:val="21"/>
        </w:rPr>
      </w:pPr>
      <w:r>
        <w:rPr>
          <w:rFonts w:hint="eastAsia" w:ascii="宋体" w:cs="宋体"/>
          <w:kern w:val="0"/>
          <w:szCs w:val="21"/>
        </w:rPr>
        <w:t>（2）无负荷联动试车费用由</w:t>
      </w:r>
      <w:r>
        <w:rPr>
          <w:rFonts w:hint="eastAsia" w:ascii="宋体" w:cs="宋体"/>
          <w:szCs w:val="21"/>
          <w:u w:val="single"/>
        </w:rPr>
        <w:t xml:space="preserve">  承包人  </w:t>
      </w:r>
      <w:r>
        <w:rPr>
          <w:rFonts w:hint="eastAsia" w:ascii="宋体" w:cs="宋体"/>
          <w:kern w:val="0"/>
          <w:szCs w:val="21"/>
        </w:rPr>
        <w:t>承担。</w:t>
      </w:r>
    </w:p>
    <w:p w14:paraId="1B5B61A8">
      <w:pPr>
        <w:snapToGrid w:val="0"/>
        <w:spacing w:line="440" w:lineRule="exact"/>
        <w:ind w:firstLine="420" w:firstLineChars="200"/>
        <w:jc w:val="left"/>
        <w:rPr>
          <w:rFonts w:hint="eastAsia" w:ascii="宋体" w:cs="宋体"/>
          <w:kern w:val="0"/>
          <w:szCs w:val="21"/>
        </w:rPr>
      </w:pPr>
      <w:r>
        <w:rPr>
          <w:rFonts w:hint="eastAsia" w:ascii="宋体" w:cs="宋体"/>
          <w:kern w:val="0"/>
          <w:szCs w:val="21"/>
        </w:rPr>
        <w:t>13.3.3 投料试车</w:t>
      </w:r>
    </w:p>
    <w:p w14:paraId="0ABBF0D2">
      <w:pPr>
        <w:snapToGrid w:val="0"/>
        <w:spacing w:line="440" w:lineRule="exact"/>
        <w:ind w:firstLine="420" w:firstLineChars="200"/>
        <w:jc w:val="left"/>
        <w:rPr>
          <w:rFonts w:hint="eastAsia" w:ascii="宋体" w:cs="宋体"/>
          <w:szCs w:val="21"/>
          <w:u w:val="single"/>
        </w:rPr>
      </w:pPr>
      <w:r>
        <w:rPr>
          <w:rFonts w:hint="eastAsia" w:ascii="宋体" w:cs="宋体"/>
          <w:kern w:val="0"/>
          <w:szCs w:val="21"/>
        </w:rPr>
        <w:t>关于投料试车相关事项的约定：</w:t>
      </w:r>
      <w:r>
        <w:rPr>
          <w:rFonts w:hint="eastAsia" w:ascii="宋体" w:hAnsi="宋体" w:cs="宋体"/>
          <w:color w:val="000000"/>
          <w:szCs w:val="21"/>
          <w:u w:val="single"/>
        </w:rPr>
        <w:t>执行通用条款</w:t>
      </w:r>
      <w:r>
        <w:rPr>
          <w:rFonts w:hint="eastAsia" w:ascii="宋体" w:cs="宋体"/>
          <w:kern w:val="0"/>
          <w:szCs w:val="21"/>
          <w:u w:val="single"/>
        </w:rPr>
        <w:t>。</w:t>
      </w:r>
    </w:p>
    <w:p w14:paraId="0C3FBF2D">
      <w:pPr>
        <w:snapToGrid w:val="0"/>
        <w:spacing w:line="440" w:lineRule="exact"/>
        <w:ind w:firstLine="420" w:firstLineChars="200"/>
        <w:rPr>
          <w:rFonts w:hint="eastAsia" w:ascii="宋体" w:cs="宋体"/>
          <w:szCs w:val="21"/>
        </w:rPr>
      </w:pPr>
      <w:r>
        <w:rPr>
          <w:rFonts w:hint="eastAsia" w:ascii="宋体" w:cs="宋体"/>
          <w:szCs w:val="21"/>
        </w:rPr>
        <w:t>13.6 竣工退场</w:t>
      </w:r>
    </w:p>
    <w:p w14:paraId="21984A5F">
      <w:pPr>
        <w:snapToGrid w:val="0"/>
        <w:spacing w:line="440" w:lineRule="exact"/>
        <w:ind w:firstLine="420" w:firstLineChars="200"/>
        <w:jc w:val="left"/>
        <w:rPr>
          <w:rFonts w:hint="eastAsia" w:ascii="宋体" w:cs="宋体"/>
          <w:kern w:val="0"/>
          <w:szCs w:val="21"/>
        </w:rPr>
      </w:pPr>
      <w:r>
        <w:rPr>
          <w:rFonts w:hint="eastAsia" w:ascii="宋体" w:cs="宋体"/>
          <w:kern w:val="0"/>
          <w:szCs w:val="21"/>
        </w:rPr>
        <w:t>13.6.1 竣工退场</w:t>
      </w:r>
    </w:p>
    <w:p w14:paraId="721C3CF1">
      <w:pPr>
        <w:snapToGrid w:val="0"/>
        <w:spacing w:line="440" w:lineRule="exact"/>
        <w:ind w:firstLine="420" w:firstLineChars="200"/>
        <w:jc w:val="left"/>
        <w:rPr>
          <w:rFonts w:hint="eastAsia" w:ascii="宋体" w:cs="宋体"/>
          <w:kern w:val="0"/>
          <w:szCs w:val="21"/>
        </w:rPr>
      </w:pPr>
      <w:r>
        <w:rPr>
          <w:rFonts w:hint="eastAsia" w:ascii="宋体" w:cs="宋体"/>
          <w:kern w:val="0"/>
          <w:szCs w:val="21"/>
        </w:rPr>
        <w:t>承包人完成竣工退场的期限：</w:t>
      </w:r>
      <w:r>
        <w:rPr>
          <w:rFonts w:hint="eastAsia" w:ascii="宋体" w:cs="宋体"/>
          <w:szCs w:val="21"/>
          <w:u w:val="single"/>
        </w:rPr>
        <w:t>工程竣工合格后，7天内退场。</w:t>
      </w:r>
    </w:p>
    <w:p w14:paraId="4ACF087A">
      <w:pPr>
        <w:pStyle w:val="5"/>
        <w:pageBreakBefore w:val="0"/>
        <w:widowControl w:val="0"/>
        <w:kinsoku/>
        <w:wordWrap/>
        <w:overflowPunct/>
        <w:topLinePunct w:val="0"/>
        <w:autoSpaceDE/>
        <w:autoSpaceDN/>
        <w:bidi w:val="0"/>
        <w:snapToGrid w:val="0"/>
        <w:spacing w:before="0" w:after="0" w:line="440" w:lineRule="exact"/>
        <w:ind w:firstLine="420" w:firstLineChars="200"/>
        <w:textAlignment w:val="auto"/>
        <w:rPr>
          <w:rFonts w:hint="eastAsia" w:ascii="宋体" w:eastAsia="宋体" w:cs="宋体"/>
          <w:b w:val="0"/>
          <w:sz w:val="21"/>
          <w:szCs w:val="21"/>
        </w:rPr>
      </w:pPr>
      <w:r>
        <w:rPr>
          <w:rFonts w:hint="eastAsia" w:ascii="宋体" w:eastAsia="宋体" w:cs="宋体"/>
          <w:b w:val="0"/>
          <w:sz w:val="21"/>
          <w:szCs w:val="21"/>
        </w:rPr>
        <w:t>14. 竣工结算</w:t>
      </w:r>
    </w:p>
    <w:p w14:paraId="48FCCD8B">
      <w:pPr>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rPr>
      </w:pPr>
      <w:r>
        <w:rPr>
          <w:rFonts w:hint="eastAsia" w:ascii="宋体" w:cs="宋体"/>
          <w:szCs w:val="21"/>
        </w:rPr>
        <w:t>14.1 竣工付款申请</w:t>
      </w:r>
    </w:p>
    <w:p w14:paraId="1040422F">
      <w:pPr>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szCs w:val="21"/>
        </w:rPr>
      </w:pPr>
      <w:r>
        <w:rPr>
          <w:rFonts w:hint="eastAsia" w:ascii="宋体" w:cs="宋体"/>
          <w:szCs w:val="21"/>
        </w:rPr>
        <w:t>承包人提交竣工付款申请单的期限：</w:t>
      </w:r>
      <w:r>
        <w:rPr>
          <w:rFonts w:hint="eastAsia" w:ascii="宋体" w:hAnsi="宋体" w:cs="宋体"/>
          <w:color w:val="000000"/>
          <w:szCs w:val="21"/>
          <w:u w:val="single"/>
        </w:rPr>
        <w:t>承包人应在工程竣工验收合格后28天内</w:t>
      </w:r>
      <w:r>
        <w:rPr>
          <w:rFonts w:hint="eastAsia" w:ascii="宋体" w:cs="宋体"/>
          <w:szCs w:val="21"/>
          <w:u w:val="single"/>
        </w:rPr>
        <w:t>。</w:t>
      </w:r>
    </w:p>
    <w:p w14:paraId="54CFBA26">
      <w:pPr>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szCs w:val="21"/>
          <w:u w:val="single"/>
        </w:rPr>
      </w:pPr>
      <w:r>
        <w:rPr>
          <w:rFonts w:hint="eastAsia" w:ascii="宋体" w:cs="宋体"/>
          <w:szCs w:val="21"/>
        </w:rPr>
        <w:t>竣工结算申请单应包括的内容：</w:t>
      </w:r>
      <w:r>
        <w:rPr>
          <w:rFonts w:hint="eastAsia" w:ascii="宋体" w:hAnsi="宋体" w:cs="宋体"/>
          <w:color w:val="000000"/>
          <w:szCs w:val="21"/>
          <w:u w:val="single"/>
        </w:rPr>
        <w:t>执行通用条款</w:t>
      </w:r>
      <w:r>
        <w:rPr>
          <w:rFonts w:hint="eastAsia" w:ascii="宋体" w:cs="宋体"/>
          <w:szCs w:val="21"/>
          <w:u w:val="single"/>
        </w:rPr>
        <w:t>。</w:t>
      </w:r>
    </w:p>
    <w:p w14:paraId="0FF1F596">
      <w:pPr>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szCs w:val="21"/>
        </w:rPr>
      </w:pPr>
      <w:r>
        <w:rPr>
          <w:rFonts w:hint="eastAsia" w:ascii="宋体" w:cs="宋体"/>
          <w:szCs w:val="21"/>
        </w:rPr>
        <w:t>14.2 竣工结算审核</w:t>
      </w:r>
    </w:p>
    <w:p w14:paraId="45532D5D">
      <w:pPr>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eastAsia="宋体" w:cs="宋体"/>
          <w:szCs w:val="21"/>
          <w:lang w:val="en-US" w:eastAsia="zh-CN"/>
        </w:rPr>
      </w:pPr>
      <w:r>
        <w:rPr>
          <w:rFonts w:hint="eastAsia" w:ascii="宋体" w:hAnsi="Times New Roman" w:eastAsia="宋体" w:cs="宋体"/>
          <w:szCs w:val="21"/>
        </w:rPr>
        <w:t>发包人审批竣工付款申请单的期限：发包人应在收到监理人提交的经审核的竣工结算申请单后</w:t>
      </w:r>
      <w:r>
        <w:rPr>
          <w:rFonts w:hint="eastAsia" w:ascii="宋体" w:hAnsi="Times New Roman" w:eastAsia="宋体" w:cs="宋体"/>
          <w:szCs w:val="21"/>
          <w:lang w:val="en-US" w:eastAsia="zh-CN"/>
        </w:rPr>
        <w:t>30</w:t>
      </w:r>
      <w:r>
        <w:rPr>
          <w:rFonts w:hint="eastAsia" w:ascii="宋体" w:hAnsi="Times New Roman" w:eastAsia="宋体" w:cs="宋体"/>
          <w:szCs w:val="21"/>
        </w:rPr>
        <w:t>天内完成审批</w:t>
      </w:r>
      <w:r>
        <w:rPr>
          <w:rFonts w:hint="eastAsia" w:ascii="宋体" w:hAnsi="Times New Roman" w:eastAsia="宋体" w:cs="宋体"/>
          <w:szCs w:val="21"/>
          <w:lang w:eastAsia="zh-CN"/>
        </w:rPr>
        <w:t>。</w:t>
      </w:r>
    </w:p>
    <w:p w14:paraId="25182441">
      <w:pPr>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cs="宋体"/>
          <w:szCs w:val="21"/>
        </w:rPr>
      </w:pPr>
      <w:r>
        <w:rPr>
          <w:rFonts w:hint="eastAsia" w:ascii="宋体" w:cs="宋体"/>
          <w:szCs w:val="21"/>
        </w:rPr>
        <w:t>发包人完成竣工付款的期限：</w:t>
      </w:r>
      <w:r>
        <w:rPr>
          <w:rFonts w:hint="eastAsia" w:ascii="宋体" w:hAnsi="宋体" w:cs="宋体"/>
          <w:color w:val="000000"/>
          <w:szCs w:val="21"/>
        </w:rPr>
        <w:t>发包人应在签发竣工付款证书后的</w:t>
      </w:r>
      <w:r>
        <w:rPr>
          <w:rFonts w:hint="eastAsia" w:ascii="宋体" w:hAnsi="宋体" w:cs="宋体"/>
          <w:color w:val="000000"/>
          <w:szCs w:val="21"/>
          <w:u w:val="single"/>
        </w:rPr>
        <w:t xml:space="preserve"> </w:t>
      </w:r>
      <w:r>
        <w:rPr>
          <w:rFonts w:hint="eastAsia" w:ascii="宋体" w:hAnsi="宋体" w:cs="宋体"/>
          <w:color w:val="000000"/>
          <w:szCs w:val="21"/>
          <w:u w:val="single"/>
          <w:lang w:val="en-US" w:eastAsia="zh-CN"/>
        </w:rPr>
        <w:t>30</w:t>
      </w:r>
      <w:r>
        <w:rPr>
          <w:rFonts w:hint="eastAsia" w:ascii="宋体" w:hAnsi="宋体" w:cs="宋体"/>
          <w:color w:val="000000"/>
          <w:szCs w:val="21"/>
          <w:u w:val="single"/>
        </w:rPr>
        <w:t xml:space="preserve">  </w:t>
      </w:r>
      <w:r>
        <w:rPr>
          <w:rFonts w:hint="eastAsia" w:ascii="宋体" w:hAnsi="宋体" w:cs="宋体"/>
          <w:color w:val="000000"/>
          <w:szCs w:val="21"/>
        </w:rPr>
        <w:t>天内，完成对承包人的竣工付款。</w:t>
      </w:r>
    </w:p>
    <w:p w14:paraId="0F251D9F">
      <w:pPr>
        <w:pageBreakBefore w:val="0"/>
        <w:widowControl w:val="0"/>
        <w:kinsoku/>
        <w:wordWrap/>
        <w:overflowPunct/>
        <w:topLinePunct w:val="0"/>
        <w:autoSpaceDE/>
        <w:autoSpaceDN/>
        <w:bidi w:val="0"/>
        <w:snapToGrid w:val="0"/>
        <w:spacing w:line="440" w:lineRule="exact"/>
        <w:ind w:firstLine="420" w:firstLineChars="200"/>
        <w:jc w:val="left"/>
        <w:textAlignment w:val="auto"/>
        <w:rPr>
          <w:rFonts w:hint="eastAsia" w:ascii="宋体" w:cs="宋体"/>
          <w:color w:val="auto"/>
          <w:szCs w:val="21"/>
        </w:rPr>
      </w:pPr>
      <w:r>
        <w:rPr>
          <w:rFonts w:hint="eastAsia" w:ascii="宋体" w:cs="宋体"/>
          <w:color w:val="auto"/>
          <w:szCs w:val="21"/>
        </w:rPr>
        <w:t>关于竣工付款证书异议部分复核的方式和程序：</w:t>
      </w:r>
      <w:r>
        <w:rPr>
          <w:rFonts w:hint="eastAsia" w:ascii="宋体" w:hAnsi="宋体" w:cs="宋体"/>
          <w:color w:val="000000"/>
          <w:szCs w:val="21"/>
          <w:u w:val="single"/>
        </w:rPr>
        <w:t>执行通用条款</w:t>
      </w:r>
      <w:r>
        <w:rPr>
          <w:rFonts w:hint="eastAsia" w:ascii="宋体" w:cs="宋体"/>
          <w:color w:val="auto"/>
          <w:szCs w:val="21"/>
          <w:u w:val="single"/>
        </w:rPr>
        <w:t>。</w:t>
      </w:r>
    </w:p>
    <w:p w14:paraId="39A10FA1">
      <w:pPr>
        <w:snapToGrid w:val="0"/>
        <w:spacing w:line="440" w:lineRule="exact"/>
        <w:ind w:firstLine="420" w:firstLineChars="200"/>
        <w:rPr>
          <w:rFonts w:hint="eastAsia" w:ascii="宋体" w:cs="宋体"/>
          <w:color w:val="auto"/>
          <w:szCs w:val="21"/>
        </w:rPr>
      </w:pPr>
      <w:r>
        <w:rPr>
          <w:rFonts w:hint="eastAsia" w:ascii="宋体" w:cs="宋体"/>
          <w:color w:val="auto"/>
          <w:szCs w:val="21"/>
        </w:rPr>
        <w:t>14.4 最终结清</w:t>
      </w:r>
    </w:p>
    <w:p w14:paraId="2E1B441A">
      <w:pPr>
        <w:snapToGrid w:val="0"/>
        <w:spacing w:line="440" w:lineRule="exact"/>
        <w:ind w:firstLine="420" w:firstLineChars="200"/>
        <w:jc w:val="left"/>
        <w:rPr>
          <w:rFonts w:hint="eastAsia" w:ascii="宋体" w:cs="宋体"/>
          <w:color w:val="auto"/>
          <w:kern w:val="0"/>
          <w:szCs w:val="21"/>
        </w:rPr>
      </w:pPr>
      <w:r>
        <w:rPr>
          <w:rFonts w:hint="eastAsia" w:ascii="宋体" w:cs="宋体"/>
          <w:color w:val="auto"/>
          <w:kern w:val="0"/>
          <w:szCs w:val="21"/>
        </w:rPr>
        <w:t>14.4.1 最终结清申请单</w:t>
      </w:r>
    </w:p>
    <w:p w14:paraId="15B31B73">
      <w:pPr>
        <w:snapToGrid w:val="0"/>
        <w:spacing w:line="440" w:lineRule="exact"/>
        <w:ind w:firstLine="420" w:firstLineChars="200"/>
        <w:jc w:val="left"/>
        <w:rPr>
          <w:rFonts w:hint="eastAsia" w:ascii="宋体" w:cs="宋体"/>
          <w:color w:val="auto"/>
          <w:kern w:val="0"/>
          <w:szCs w:val="21"/>
        </w:rPr>
      </w:pPr>
      <w:r>
        <w:rPr>
          <w:rFonts w:hint="eastAsia" w:ascii="宋体" w:cs="宋体"/>
          <w:color w:val="auto"/>
          <w:kern w:val="0"/>
          <w:szCs w:val="21"/>
        </w:rPr>
        <w:t>承包人提交最终结清申请单的份数：</w:t>
      </w:r>
      <w:r>
        <w:rPr>
          <w:rFonts w:hint="eastAsia" w:ascii="宋体" w:cs="宋体"/>
          <w:color w:val="auto"/>
          <w:szCs w:val="21"/>
          <w:u w:val="single"/>
        </w:rPr>
        <w:t xml:space="preserve"> 4份  </w:t>
      </w:r>
      <w:r>
        <w:rPr>
          <w:rFonts w:hint="eastAsia" w:ascii="宋体" w:cs="宋体"/>
          <w:color w:val="auto"/>
          <w:szCs w:val="21"/>
        </w:rPr>
        <w:t>。</w:t>
      </w:r>
    </w:p>
    <w:p w14:paraId="75312F00">
      <w:pPr>
        <w:snapToGrid w:val="0"/>
        <w:spacing w:line="440" w:lineRule="exact"/>
        <w:ind w:firstLine="420" w:firstLineChars="200"/>
        <w:jc w:val="left"/>
        <w:rPr>
          <w:rFonts w:hint="eastAsia" w:ascii="宋体" w:cs="宋体"/>
          <w:color w:val="auto"/>
          <w:szCs w:val="21"/>
        </w:rPr>
      </w:pPr>
      <w:r>
        <w:rPr>
          <w:rFonts w:hint="eastAsia" w:ascii="宋体" w:cs="宋体"/>
          <w:color w:val="auto"/>
          <w:kern w:val="0"/>
          <w:szCs w:val="21"/>
        </w:rPr>
        <w:t>承包人提交最终结算申请单的期限：</w:t>
      </w:r>
      <w:r>
        <w:rPr>
          <w:rFonts w:hint="eastAsia" w:ascii="宋体" w:cs="宋体"/>
          <w:color w:val="auto"/>
          <w:szCs w:val="21"/>
          <w:u w:val="single"/>
        </w:rPr>
        <w:t xml:space="preserve"> 缺陷责任期满经复查合格后7天内。</w:t>
      </w:r>
    </w:p>
    <w:p w14:paraId="1F0AD7A1">
      <w:pPr>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14.4.2 最终结清证书和支付</w:t>
      </w:r>
    </w:p>
    <w:p w14:paraId="543B6DBD">
      <w:pPr>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（1）发包人完成最终结清申请单的审批并颁发最终结清证书的期限：</w:t>
      </w:r>
      <w:r>
        <w:rPr>
          <w:rFonts w:hint="eastAsia" w:ascii="宋体" w:cs="宋体"/>
          <w:color w:val="auto"/>
          <w:szCs w:val="21"/>
          <w:u w:val="single"/>
        </w:rPr>
        <w:t xml:space="preserve"> 缺陷责任期满经复查合格后14天内。</w:t>
      </w:r>
    </w:p>
    <w:p w14:paraId="7D1CF9E9">
      <w:pPr>
        <w:snapToGrid w:val="0"/>
        <w:spacing w:line="440" w:lineRule="exact"/>
        <w:ind w:firstLine="420" w:firstLineChars="200"/>
        <w:jc w:val="left"/>
        <w:rPr>
          <w:rFonts w:hint="eastAsia" w:ascii="宋体" w:cs="宋体"/>
          <w:color w:val="auto"/>
          <w:szCs w:val="21"/>
        </w:rPr>
      </w:pPr>
      <w:r>
        <w:rPr>
          <w:rFonts w:hint="eastAsia" w:ascii="宋体" w:cs="宋体"/>
          <w:color w:val="auto"/>
          <w:szCs w:val="21"/>
        </w:rPr>
        <w:t>（2）发包人完成支付的期限：</w:t>
      </w:r>
      <w:r>
        <w:rPr>
          <w:rFonts w:hint="eastAsia" w:ascii="宋体" w:cs="宋体"/>
          <w:color w:val="auto"/>
          <w:szCs w:val="21"/>
          <w:u w:val="single"/>
          <w:lang w:val="en-US" w:eastAsia="zh-CN"/>
        </w:rPr>
        <w:t>/</w:t>
      </w:r>
      <w:r>
        <w:rPr>
          <w:rFonts w:hint="eastAsia" w:ascii="宋体" w:cs="宋体"/>
          <w:color w:val="auto"/>
          <w:szCs w:val="21"/>
        </w:rPr>
        <w:t>。</w:t>
      </w:r>
    </w:p>
    <w:p w14:paraId="19EDB972">
      <w:pPr>
        <w:pStyle w:val="5"/>
        <w:snapToGrid w:val="0"/>
        <w:spacing w:before="0" w:after="0" w:line="440" w:lineRule="exact"/>
        <w:ind w:firstLine="420" w:firstLineChars="200"/>
        <w:rPr>
          <w:rFonts w:hint="eastAsia" w:ascii="宋体" w:eastAsia="宋体" w:cs="宋体"/>
          <w:b w:val="0"/>
          <w:color w:val="auto"/>
          <w:sz w:val="21"/>
          <w:szCs w:val="21"/>
        </w:rPr>
      </w:pPr>
      <w:r>
        <w:rPr>
          <w:rFonts w:hint="eastAsia" w:ascii="宋体" w:eastAsia="宋体" w:cs="宋体"/>
          <w:b w:val="0"/>
          <w:color w:val="auto"/>
          <w:sz w:val="21"/>
          <w:szCs w:val="21"/>
        </w:rPr>
        <w:t>15. 缺陷责任期与保修</w:t>
      </w:r>
    </w:p>
    <w:p w14:paraId="4739C256">
      <w:pPr>
        <w:snapToGrid w:val="0"/>
        <w:spacing w:line="440" w:lineRule="exact"/>
        <w:ind w:firstLine="420" w:firstLineChars="200"/>
        <w:rPr>
          <w:rFonts w:hint="eastAsia" w:ascii="宋体" w:cs="宋体"/>
          <w:color w:val="auto"/>
          <w:szCs w:val="21"/>
        </w:rPr>
      </w:pPr>
      <w:r>
        <w:rPr>
          <w:rFonts w:hint="eastAsia" w:ascii="宋体" w:cs="宋体"/>
          <w:color w:val="auto"/>
          <w:szCs w:val="21"/>
        </w:rPr>
        <w:t>15.2缺陷责任期</w:t>
      </w:r>
    </w:p>
    <w:p w14:paraId="3A7930FF">
      <w:pPr>
        <w:snapToGrid w:val="0"/>
        <w:spacing w:line="440" w:lineRule="exact"/>
        <w:ind w:firstLine="420" w:firstLineChars="200"/>
        <w:jc w:val="left"/>
        <w:rPr>
          <w:rFonts w:hint="eastAsia" w:ascii="宋体" w:hAnsi="宋体" w:cs="宋体"/>
          <w:color w:val="000000"/>
          <w:szCs w:val="21"/>
          <w:u w:val="single"/>
        </w:rPr>
      </w:pPr>
      <w:r>
        <w:rPr>
          <w:rFonts w:hint="eastAsia" w:ascii="宋体" w:cs="宋体"/>
          <w:color w:val="auto"/>
          <w:szCs w:val="21"/>
          <w:highlight w:val="none"/>
        </w:rPr>
        <w:t>缺陷责任期的具体期限：</w:t>
      </w:r>
      <w:r>
        <w:rPr>
          <w:rFonts w:hint="eastAsia" w:ascii="宋体" w:hAnsi="宋体" w:cs="宋体"/>
          <w:color w:val="000000"/>
          <w:szCs w:val="21"/>
          <w:u w:val="single"/>
          <w:lang w:val="en-US" w:eastAsia="zh-CN"/>
        </w:rPr>
        <w:t>本项目缺陷责任期2年（其中机电设备免费质保期5年）（自项目验收合格之日起算）</w:t>
      </w:r>
      <w:r>
        <w:rPr>
          <w:rFonts w:hint="eastAsia" w:ascii="宋体" w:hAnsi="宋体" w:cs="宋体"/>
          <w:color w:val="000000"/>
          <w:szCs w:val="21"/>
          <w:u w:val="single"/>
        </w:rPr>
        <w:t>。</w:t>
      </w:r>
    </w:p>
    <w:p w14:paraId="3CF0815E">
      <w:pPr>
        <w:keepNext w:val="0"/>
        <w:keepLines w:val="0"/>
        <w:pageBreakBefore w:val="0"/>
        <w:widowControl w:val="0"/>
        <w:kinsoku/>
        <w:wordWrap/>
        <w:overflowPunct/>
        <w:topLinePunct w:val="0"/>
        <w:autoSpaceDE/>
        <w:autoSpaceDN/>
        <w:bidi w:val="0"/>
        <w:snapToGrid w:val="0"/>
        <w:spacing w:line="440" w:lineRule="exact"/>
        <w:ind w:firstLine="420" w:firstLineChars="200"/>
        <w:textAlignment w:val="auto"/>
        <w:rPr>
          <w:rFonts w:hint="eastAsia" w:ascii="宋体" w:cs="宋体"/>
          <w:szCs w:val="21"/>
        </w:rPr>
      </w:pPr>
      <w:r>
        <w:rPr>
          <w:rFonts w:hint="eastAsia" w:ascii="宋体" w:cs="宋体"/>
          <w:szCs w:val="21"/>
        </w:rPr>
        <w:t>15.3 质量保证金</w:t>
      </w:r>
    </w:p>
    <w:p w14:paraId="4CA46FC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关于是否扣留质量保证金的约定：</w:t>
      </w:r>
      <w:r>
        <w:rPr>
          <w:rFonts w:hint="eastAsia" w:ascii="宋体" w:hAnsi="宋体" w:cs="宋体"/>
          <w:color w:val="000000"/>
          <w:szCs w:val="21"/>
          <w:u w:val="single"/>
        </w:rPr>
        <w:t xml:space="preserve">  </w:t>
      </w:r>
      <w:r>
        <w:rPr>
          <w:rFonts w:hint="eastAsia" w:ascii="宋体" w:hAnsi="宋体" w:cs="宋体"/>
          <w:color w:val="000000"/>
          <w:szCs w:val="21"/>
          <w:u w:val="single"/>
          <w:lang w:val="en-US" w:eastAsia="zh-CN"/>
        </w:rPr>
        <w:t>是</w:t>
      </w:r>
      <w:r>
        <w:rPr>
          <w:rFonts w:hint="eastAsia" w:ascii="宋体" w:hAnsi="宋体" w:cs="宋体"/>
          <w:color w:val="000000"/>
          <w:szCs w:val="21"/>
          <w:u w:val="single"/>
        </w:rPr>
        <w:t xml:space="preserve">  </w:t>
      </w:r>
      <w:r>
        <w:rPr>
          <w:rFonts w:hint="eastAsia" w:ascii="宋体" w:hAnsi="宋体" w:cs="宋体"/>
          <w:color w:val="000000"/>
        </w:rPr>
        <w:t>。在工程项目竣工前，承包人按专用合同条款第3.7款提供履约保证金的，发包人不得同时预留工程质量保证金。</w:t>
      </w:r>
    </w:p>
    <w:p w14:paraId="561CBF7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15.3.1 承包人提供质量保证金的方式</w:t>
      </w:r>
    </w:p>
    <w:p w14:paraId="29092FC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质量保证金采用</w:t>
      </w:r>
      <w:r>
        <w:rPr>
          <w:rFonts w:hint="eastAsia" w:ascii="宋体" w:hAnsi="宋体" w:cs="宋体"/>
          <w:color w:val="000000"/>
          <w:highlight w:val="none"/>
          <w:lang w:eastAsia="zh-CN"/>
        </w:rPr>
        <w:t>第</w:t>
      </w:r>
      <w:r>
        <w:rPr>
          <w:rFonts w:hint="eastAsia" w:ascii="宋体" w:hAnsi="宋体" w:cs="宋体"/>
          <w:color w:val="000000"/>
          <w:highlight w:val="none"/>
          <w:lang w:val="en-US" w:eastAsia="zh-CN"/>
        </w:rPr>
        <w:t>2种</w:t>
      </w:r>
      <w:r>
        <w:rPr>
          <w:rFonts w:hint="eastAsia" w:ascii="宋体" w:hAnsi="宋体" w:cs="宋体"/>
          <w:color w:val="000000"/>
          <w:highlight w:val="none"/>
        </w:rPr>
        <w:t>方式：</w:t>
      </w:r>
    </w:p>
    <w:p w14:paraId="404EED3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kern w:val="0"/>
          <w:highlight w:val="none"/>
        </w:rPr>
      </w:pPr>
      <w:r>
        <w:rPr>
          <w:rFonts w:hint="eastAsia" w:ascii="宋体" w:hAnsi="宋体" w:cs="宋体"/>
          <w:color w:val="000000"/>
          <w:kern w:val="0"/>
          <w:highlight w:val="none"/>
        </w:rPr>
        <w:t>（1）质量保证金保函，保证金额为：</w:t>
      </w:r>
      <w:r>
        <w:rPr>
          <w:rFonts w:hint="eastAsia" w:ascii="宋体" w:hAnsi="宋体" w:cs="宋体"/>
          <w:color w:val="000000"/>
          <w:kern w:val="0"/>
          <w:highlight w:val="none"/>
          <w:u w:val="single"/>
          <w:lang w:val="en-US" w:eastAsia="zh-CN"/>
        </w:rPr>
        <w:t>/</w:t>
      </w:r>
      <w:r>
        <w:rPr>
          <w:rFonts w:hint="eastAsia" w:ascii="宋体" w:hAnsi="宋体" w:cs="宋体"/>
          <w:color w:val="000000"/>
          <w:kern w:val="0"/>
          <w:highlight w:val="none"/>
        </w:rPr>
        <w:t xml:space="preserve">； </w:t>
      </w:r>
    </w:p>
    <w:p w14:paraId="77BF3C08">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kern w:val="0"/>
          <w:highlight w:val="none"/>
        </w:rPr>
      </w:pPr>
      <w:r>
        <w:rPr>
          <w:rFonts w:hint="eastAsia" w:ascii="宋体" w:hAnsi="宋体" w:cs="宋体"/>
          <w:color w:val="000000"/>
          <w:kern w:val="0"/>
          <w:highlight w:val="none"/>
        </w:rPr>
        <w:t>（2）</w:t>
      </w:r>
      <w:r>
        <w:rPr>
          <w:rFonts w:hint="eastAsia" w:ascii="宋体" w:hAnsi="宋体" w:cs="宋体"/>
          <w:color w:val="000000"/>
          <w:kern w:val="0"/>
          <w:highlight w:val="none"/>
          <w:u w:val="single"/>
        </w:rPr>
        <w:t>2</w:t>
      </w:r>
      <w:r>
        <w:rPr>
          <w:rFonts w:hint="eastAsia" w:ascii="宋体" w:hAnsi="宋体" w:cs="宋体"/>
          <w:color w:val="000000"/>
          <w:kern w:val="0"/>
          <w:highlight w:val="none"/>
        </w:rPr>
        <w:t>%的工程款；</w:t>
      </w:r>
    </w:p>
    <w:p w14:paraId="23EA9768">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kern w:val="0"/>
          <w:highlight w:val="none"/>
        </w:rPr>
      </w:pPr>
      <w:r>
        <w:rPr>
          <w:rFonts w:hint="eastAsia" w:ascii="宋体" w:hAnsi="宋体" w:cs="宋体"/>
          <w:color w:val="000000"/>
          <w:kern w:val="0"/>
          <w:highlight w:val="none"/>
        </w:rPr>
        <w:t>（3）其他方式:</w:t>
      </w:r>
      <w:r>
        <w:rPr>
          <w:rFonts w:hint="eastAsia" w:ascii="宋体" w:hAnsi="宋体" w:cs="宋体"/>
          <w:color w:val="000000"/>
          <w:kern w:val="0"/>
          <w:highlight w:val="none"/>
          <w:u w:val="single"/>
        </w:rPr>
        <w:t xml:space="preserve"> </w:t>
      </w:r>
      <w:r>
        <w:rPr>
          <w:rFonts w:hint="eastAsia" w:ascii="宋体" w:hAnsi="宋体" w:cs="宋体"/>
          <w:color w:val="000000"/>
          <w:kern w:val="0"/>
          <w:highlight w:val="none"/>
          <w:u w:val="single"/>
          <w:lang w:val="en-US" w:eastAsia="zh-CN"/>
        </w:rPr>
        <w:t>/</w:t>
      </w:r>
      <w:r>
        <w:rPr>
          <w:rFonts w:hint="eastAsia" w:ascii="宋体" w:hAnsi="宋体" w:cs="宋体"/>
          <w:color w:val="000000"/>
          <w:kern w:val="0"/>
          <w:highlight w:val="none"/>
          <w:u w:val="single"/>
        </w:rPr>
        <w:t xml:space="preserve"> </w:t>
      </w:r>
      <w:r>
        <w:rPr>
          <w:rFonts w:hint="eastAsia" w:ascii="宋体" w:hAnsi="宋体" w:cs="宋体"/>
          <w:color w:val="000000"/>
          <w:kern w:val="0"/>
          <w:highlight w:val="none"/>
        </w:rPr>
        <w:t>。</w:t>
      </w:r>
    </w:p>
    <w:p w14:paraId="616B450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 xml:space="preserve">15.3.2 质量保证金的扣留 </w:t>
      </w:r>
    </w:p>
    <w:p w14:paraId="53ADB37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highlight w:val="none"/>
        </w:rPr>
      </w:pPr>
      <w:r>
        <w:rPr>
          <w:rFonts w:hint="eastAsia" w:ascii="宋体" w:hAnsi="宋体" w:cs="宋体"/>
          <w:color w:val="000000"/>
          <w:highlight w:val="none"/>
        </w:rPr>
        <w:t>质量保证金的扣留采取以下</w:t>
      </w:r>
      <w:r>
        <w:rPr>
          <w:rFonts w:hint="eastAsia" w:ascii="宋体" w:hAnsi="宋体" w:cs="宋体"/>
          <w:color w:val="000000"/>
          <w:highlight w:val="none"/>
          <w:lang w:eastAsia="zh-CN"/>
        </w:rPr>
        <w:t>第</w:t>
      </w:r>
      <w:r>
        <w:rPr>
          <w:rFonts w:hint="eastAsia" w:ascii="宋体" w:hAnsi="宋体" w:cs="宋体"/>
          <w:color w:val="000000"/>
          <w:highlight w:val="none"/>
          <w:lang w:val="en-US" w:eastAsia="zh-CN"/>
        </w:rPr>
        <w:t>2种</w:t>
      </w:r>
      <w:r>
        <w:rPr>
          <w:rFonts w:hint="eastAsia" w:ascii="宋体" w:hAnsi="宋体" w:cs="宋体"/>
          <w:color w:val="000000"/>
          <w:highlight w:val="none"/>
        </w:rPr>
        <w:t>方式：</w:t>
      </w:r>
    </w:p>
    <w:p w14:paraId="7296B1E7">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kern w:val="0"/>
          <w:highlight w:val="none"/>
        </w:rPr>
      </w:pPr>
      <w:r>
        <w:rPr>
          <w:rFonts w:hint="eastAsia" w:ascii="宋体" w:hAnsi="宋体" w:cs="宋体"/>
          <w:color w:val="000000"/>
          <w:kern w:val="0"/>
          <w:highlight w:val="none"/>
        </w:rPr>
        <w:t>（1）在支付工程进度款时逐次扣留，在此情形下，质量保证金的计算基数不包括预付款的支付、扣回以及价格调整的金额；</w:t>
      </w:r>
    </w:p>
    <w:p w14:paraId="2872C37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kern w:val="0"/>
        </w:rPr>
      </w:pPr>
      <w:r>
        <w:rPr>
          <w:rFonts w:hint="eastAsia" w:ascii="宋体" w:hAnsi="宋体" w:cs="宋体"/>
          <w:color w:val="000000"/>
          <w:kern w:val="0"/>
        </w:rPr>
        <w:t>（2）工程竣工结算时一次性扣留质量保证金；</w:t>
      </w:r>
    </w:p>
    <w:p w14:paraId="0DC737C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kern w:val="0"/>
        </w:rPr>
      </w:pPr>
      <w:r>
        <w:rPr>
          <w:rFonts w:hint="eastAsia" w:ascii="宋体" w:hAnsi="宋体" w:cs="宋体"/>
          <w:color w:val="000000"/>
          <w:kern w:val="0"/>
        </w:rPr>
        <w:t>（3）其他扣留方式:</w:t>
      </w:r>
      <w:r>
        <w:rPr>
          <w:rFonts w:hint="eastAsia" w:ascii="宋体" w:hAnsi="宋体" w:cs="宋体"/>
          <w:color w:val="000000"/>
          <w:kern w:val="0"/>
          <w:u w:val="single"/>
        </w:rPr>
        <w:t xml:space="preserve">      </w:t>
      </w:r>
      <w:r>
        <w:rPr>
          <w:rFonts w:hint="eastAsia" w:ascii="宋体" w:hAnsi="宋体" w:cs="宋体"/>
          <w:color w:val="000000"/>
          <w:kern w:val="0"/>
        </w:rPr>
        <w:t>。</w:t>
      </w:r>
    </w:p>
    <w:p w14:paraId="4BEF53B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s="宋体"/>
          <w:color w:val="000000"/>
        </w:rPr>
      </w:pPr>
      <w:r>
        <w:rPr>
          <w:rFonts w:hint="eastAsia" w:ascii="宋体" w:hAnsi="宋体" w:cs="宋体"/>
          <w:color w:val="000000"/>
        </w:rPr>
        <w:t>关于质量保证金的补充约定：</w:t>
      </w:r>
      <w:r>
        <w:rPr>
          <w:rFonts w:hint="eastAsia" w:ascii="宋体" w:hAnsi="宋体" w:cs="宋体"/>
          <w:color w:val="000000"/>
          <w:kern w:val="0"/>
          <w:u w:val="single"/>
        </w:rPr>
        <w:t xml:space="preserve">      </w:t>
      </w:r>
      <w:r>
        <w:rPr>
          <w:rFonts w:hint="eastAsia" w:ascii="宋体" w:hAnsi="宋体" w:cs="宋体"/>
          <w:color w:val="000000"/>
          <w:kern w:val="0"/>
        </w:rPr>
        <w:t>。</w:t>
      </w:r>
    </w:p>
    <w:p w14:paraId="643D31C8">
      <w:pPr>
        <w:snapToGrid w:val="0"/>
        <w:spacing w:line="440" w:lineRule="exact"/>
        <w:ind w:firstLine="420" w:firstLineChars="200"/>
        <w:rPr>
          <w:rFonts w:hint="eastAsia" w:ascii="宋体" w:cs="宋体"/>
          <w:szCs w:val="21"/>
        </w:rPr>
      </w:pPr>
      <w:r>
        <w:rPr>
          <w:rFonts w:hint="eastAsia" w:ascii="宋体" w:cs="宋体"/>
          <w:szCs w:val="21"/>
        </w:rPr>
        <w:t>15.4保修</w:t>
      </w:r>
    </w:p>
    <w:p w14:paraId="2CEB8E23">
      <w:pPr>
        <w:snapToGrid w:val="0"/>
        <w:spacing w:line="440" w:lineRule="exact"/>
        <w:ind w:firstLine="420" w:firstLineChars="200"/>
        <w:jc w:val="left"/>
        <w:rPr>
          <w:rFonts w:hint="eastAsia" w:ascii="宋体" w:cs="宋体"/>
          <w:szCs w:val="21"/>
        </w:rPr>
      </w:pPr>
      <w:r>
        <w:rPr>
          <w:rFonts w:hint="eastAsia" w:ascii="宋体" w:cs="宋体"/>
          <w:szCs w:val="21"/>
        </w:rPr>
        <w:t>15.4.1 保修责任</w:t>
      </w:r>
    </w:p>
    <w:p w14:paraId="2156CD60">
      <w:pPr>
        <w:snapToGrid w:val="0"/>
        <w:spacing w:line="440" w:lineRule="exact"/>
        <w:ind w:firstLine="420" w:firstLineChars="200"/>
        <w:jc w:val="left"/>
        <w:rPr>
          <w:rFonts w:hint="eastAsia" w:ascii="宋体" w:cs="宋体"/>
          <w:kern w:val="0"/>
          <w:szCs w:val="21"/>
          <w:u w:val="single"/>
        </w:rPr>
      </w:pPr>
      <w:r>
        <w:rPr>
          <w:rFonts w:hint="eastAsia" w:ascii="宋体" w:cs="宋体"/>
          <w:szCs w:val="21"/>
        </w:rPr>
        <w:t>工程保修期为：</w:t>
      </w:r>
      <w:r>
        <w:rPr>
          <w:rFonts w:hint="eastAsia" w:ascii="宋体" w:cs="宋体"/>
          <w:kern w:val="0"/>
          <w:szCs w:val="21"/>
          <w:u w:val="single"/>
        </w:rPr>
        <w:t xml:space="preserve">   </w:t>
      </w:r>
      <w:r>
        <w:rPr>
          <w:rFonts w:hint="eastAsia" w:ascii="宋体" w:hAnsi="宋体" w:cs="宋体"/>
          <w:color w:val="000000"/>
          <w:szCs w:val="21"/>
          <w:u w:val="single"/>
        </w:rPr>
        <w:t>执行《工程质量保修书》规定</w:t>
      </w:r>
      <w:r>
        <w:rPr>
          <w:rFonts w:hint="eastAsia" w:ascii="宋体" w:cs="宋体"/>
          <w:kern w:val="0"/>
          <w:szCs w:val="21"/>
          <w:u w:val="single"/>
        </w:rPr>
        <w:t xml:space="preserve">。     </w:t>
      </w:r>
    </w:p>
    <w:p w14:paraId="33035DF3">
      <w:pPr>
        <w:snapToGrid w:val="0"/>
        <w:spacing w:line="440" w:lineRule="exact"/>
        <w:ind w:firstLine="420" w:firstLineChars="200"/>
        <w:jc w:val="left"/>
        <w:rPr>
          <w:rFonts w:hint="eastAsia" w:ascii="宋体" w:cs="宋体"/>
          <w:kern w:val="0"/>
          <w:szCs w:val="21"/>
          <w:u w:val="single"/>
        </w:rPr>
      </w:pPr>
      <w:r>
        <w:rPr>
          <w:rFonts w:hint="eastAsia" w:ascii="宋体" w:cs="宋体"/>
          <w:kern w:val="0"/>
          <w:szCs w:val="21"/>
        </w:rPr>
        <w:t>承包人收到保修通知并到达工程现场的合理时间：</w:t>
      </w:r>
      <w:r>
        <w:rPr>
          <w:rFonts w:hint="eastAsia" w:ascii="宋体" w:cs="宋体"/>
          <w:kern w:val="0"/>
          <w:szCs w:val="21"/>
          <w:u w:val="single"/>
        </w:rPr>
        <w:t>自承包人收到保修通知起</w:t>
      </w:r>
      <w:r>
        <w:rPr>
          <w:rFonts w:hint="eastAsia" w:ascii="宋体" w:cs="宋体"/>
          <w:kern w:val="0"/>
          <w:szCs w:val="21"/>
          <w:u w:val="single"/>
          <w:lang w:val="en-US" w:eastAsia="zh-CN"/>
        </w:rPr>
        <w:t>48</w:t>
      </w:r>
      <w:r>
        <w:rPr>
          <w:rFonts w:hint="eastAsia" w:ascii="宋体" w:cs="宋体"/>
          <w:kern w:val="0"/>
          <w:szCs w:val="21"/>
          <w:u w:val="single"/>
        </w:rPr>
        <w:t xml:space="preserve">小时内到达工程现场。  </w:t>
      </w:r>
    </w:p>
    <w:p w14:paraId="15CF42AB">
      <w:pPr>
        <w:pStyle w:val="5"/>
        <w:snapToGrid w:val="0"/>
        <w:spacing w:before="0" w:after="0" w:line="440" w:lineRule="exact"/>
        <w:ind w:firstLine="420" w:firstLineChars="200"/>
        <w:rPr>
          <w:rFonts w:hint="eastAsia" w:ascii="宋体" w:eastAsia="宋体" w:cs="宋体"/>
          <w:b w:val="0"/>
          <w:sz w:val="21"/>
          <w:szCs w:val="21"/>
        </w:rPr>
      </w:pPr>
      <w:r>
        <w:rPr>
          <w:rFonts w:hint="eastAsia" w:ascii="宋体" w:eastAsia="宋体" w:cs="宋体"/>
          <w:b w:val="0"/>
          <w:sz w:val="21"/>
          <w:szCs w:val="21"/>
        </w:rPr>
        <w:t>16. 违约</w:t>
      </w:r>
    </w:p>
    <w:p w14:paraId="21A2DA49">
      <w:pPr>
        <w:snapToGrid w:val="0"/>
        <w:spacing w:line="440" w:lineRule="exact"/>
        <w:ind w:firstLine="420" w:firstLineChars="200"/>
        <w:rPr>
          <w:rFonts w:hint="eastAsia" w:ascii="宋体" w:cs="宋体"/>
          <w:szCs w:val="21"/>
        </w:rPr>
      </w:pPr>
      <w:r>
        <w:rPr>
          <w:rFonts w:hint="eastAsia" w:ascii="宋体" w:cs="宋体"/>
          <w:szCs w:val="21"/>
        </w:rPr>
        <w:t>16.1 发包人违约</w:t>
      </w:r>
    </w:p>
    <w:p w14:paraId="320C463F">
      <w:pPr>
        <w:snapToGrid w:val="0"/>
        <w:spacing w:line="440" w:lineRule="exact"/>
        <w:ind w:firstLine="420" w:firstLineChars="200"/>
        <w:jc w:val="left"/>
        <w:rPr>
          <w:rFonts w:hint="eastAsia" w:ascii="宋体" w:cs="宋体"/>
          <w:szCs w:val="21"/>
        </w:rPr>
      </w:pPr>
      <w:r>
        <w:rPr>
          <w:rFonts w:hint="eastAsia" w:ascii="宋体" w:cs="宋体"/>
          <w:szCs w:val="21"/>
        </w:rPr>
        <w:t>16.1.1发包人违约的情形</w:t>
      </w:r>
    </w:p>
    <w:p w14:paraId="2353DD21">
      <w:pPr>
        <w:snapToGrid w:val="0"/>
        <w:spacing w:line="440" w:lineRule="exact"/>
        <w:ind w:firstLine="420" w:firstLineChars="200"/>
        <w:jc w:val="left"/>
        <w:rPr>
          <w:rFonts w:hint="eastAsia" w:ascii="宋体" w:cs="宋体"/>
          <w:kern w:val="0"/>
          <w:szCs w:val="21"/>
          <w:u w:val="single"/>
        </w:rPr>
      </w:pPr>
      <w:r>
        <w:rPr>
          <w:rFonts w:hint="eastAsia" w:ascii="宋体" w:cs="宋体"/>
          <w:kern w:val="0"/>
          <w:szCs w:val="21"/>
        </w:rPr>
        <w:t>发包人违约的其他情形：</w:t>
      </w:r>
      <w:r>
        <w:rPr>
          <w:rFonts w:hint="eastAsia" w:ascii="宋体" w:cs="宋体"/>
          <w:kern w:val="0"/>
          <w:szCs w:val="21"/>
          <w:u w:val="single"/>
        </w:rPr>
        <w:t xml:space="preserve">   无    </w:t>
      </w:r>
      <w:r>
        <w:rPr>
          <w:rFonts w:hint="eastAsia" w:ascii="宋体" w:cs="宋体"/>
          <w:kern w:val="0"/>
          <w:szCs w:val="21"/>
        </w:rPr>
        <w:t>。</w:t>
      </w:r>
    </w:p>
    <w:p w14:paraId="290C3EEB">
      <w:pPr>
        <w:snapToGrid w:val="0"/>
        <w:spacing w:line="440" w:lineRule="exact"/>
        <w:ind w:firstLine="420" w:firstLineChars="200"/>
        <w:jc w:val="left"/>
        <w:rPr>
          <w:rFonts w:hint="eastAsia" w:ascii="宋体" w:cs="宋体"/>
          <w:kern w:val="0"/>
          <w:szCs w:val="21"/>
        </w:rPr>
      </w:pPr>
      <w:r>
        <w:rPr>
          <w:rFonts w:hint="eastAsia" w:ascii="宋体" w:cs="宋体"/>
          <w:kern w:val="0"/>
          <w:szCs w:val="21"/>
        </w:rPr>
        <w:t>16.1.2 发包人违约的责任</w:t>
      </w:r>
    </w:p>
    <w:p w14:paraId="1DCFBA53">
      <w:pPr>
        <w:snapToGrid w:val="0"/>
        <w:spacing w:line="440" w:lineRule="exact"/>
        <w:ind w:firstLine="420" w:firstLineChars="200"/>
        <w:jc w:val="left"/>
        <w:rPr>
          <w:rFonts w:hint="eastAsia" w:ascii="宋体" w:cs="宋体"/>
          <w:kern w:val="0"/>
          <w:szCs w:val="21"/>
        </w:rPr>
      </w:pPr>
      <w:r>
        <w:rPr>
          <w:rFonts w:hint="eastAsia" w:ascii="宋体" w:cs="宋体"/>
          <w:kern w:val="0"/>
          <w:szCs w:val="21"/>
        </w:rPr>
        <w:t>发包人违约责任的承担方式和计算方法：</w:t>
      </w:r>
    </w:p>
    <w:p w14:paraId="6356C663">
      <w:pPr>
        <w:snapToGrid w:val="0"/>
        <w:spacing w:line="440" w:lineRule="exact"/>
        <w:ind w:firstLine="420" w:firstLineChars="200"/>
        <w:jc w:val="left"/>
        <w:rPr>
          <w:rFonts w:hint="eastAsia" w:ascii="宋体" w:cs="宋体"/>
          <w:kern w:val="0"/>
          <w:szCs w:val="21"/>
          <w:u w:val="single"/>
        </w:rPr>
      </w:pPr>
      <w:r>
        <w:rPr>
          <w:rFonts w:hint="eastAsia" w:ascii="宋体" w:cs="宋体"/>
          <w:kern w:val="0"/>
          <w:szCs w:val="21"/>
        </w:rPr>
        <w:t>（1）因发包人原因未能在计划开工日期前7天内下达开工通知的违约责任：</w:t>
      </w:r>
      <w:r>
        <w:rPr>
          <w:rFonts w:hint="eastAsia" w:ascii="宋体" w:cs="宋体"/>
          <w:kern w:val="0"/>
          <w:szCs w:val="21"/>
          <w:u w:val="single"/>
        </w:rPr>
        <w:t xml:space="preserve">  对工期造成影响的可顺延工期  </w:t>
      </w:r>
      <w:r>
        <w:rPr>
          <w:rFonts w:hint="eastAsia" w:ascii="宋体" w:cs="宋体"/>
          <w:kern w:val="0"/>
          <w:szCs w:val="21"/>
        </w:rPr>
        <w:t>。</w:t>
      </w:r>
    </w:p>
    <w:p w14:paraId="1779894E">
      <w:pPr>
        <w:snapToGrid w:val="0"/>
        <w:spacing w:line="440" w:lineRule="exact"/>
        <w:ind w:firstLine="420" w:firstLineChars="200"/>
        <w:jc w:val="left"/>
        <w:rPr>
          <w:rFonts w:hint="eastAsia" w:ascii="宋体" w:cs="宋体"/>
          <w:kern w:val="0"/>
          <w:szCs w:val="21"/>
        </w:rPr>
      </w:pPr>
      <w:r>
        <w:rPr>
          <w:rFonts w:hint="eastAsia" w:ascii="宋体" w:cs="宋体"/>
          <w:kern w:val="0"/>
          <w:szCs w:val="21"/>
        </w:rPr>
        <w:t>（2）因发包人原因未能按合同约定支付合同价款的违约责任：</w:t>
      </w:r>
      <w:r>
        <w:rPr>
          <w:rFonts w:hint="eastAsia" w:ascii="宋体" w:cs="宋体"/>
          <w:kern w:val="0"/>
          <w:szCs w:val="21"/>
          <w:u w:val="single"/>
        </w:rPr>
        <w:t xml:space="preserve">  可按照中国人民银行发布的同期同类贷款基准利率支付违约金</w:t>
      </w:r>
      <w:r>
        <w:rPr>
          <w:rFonts w:hint="eastAsia" w:ascii="宋体" w:cs="宋体"/>
          <w:kern w:val="0"/>
          <w:szCs w:val="21"/>
        </w:rPr>
        <w:t>。</w:t>
      </w:r>
    </w:p>
    <w:p w14:paraId="011B4F5C">
      <w:pPr>
        <w:snapToGrid w:val="0"/>
        <w:spacing w:line="440" w:lineRule="exact"/>
        <w:ind w:firstLine="420" w:firstLineChars="200"/>
        <w:jc w:val="left"/>
        <w:rPr>
          <w:rFonts w:hint="eastAsia" w:ascii="宋体" w:cs="宋体"/>
          <w:kern w:val="0"/>
          <w:szCs w:val="21"/>
          <w:u w:val="single"/>
        </w:rPr>
      </w:pPr>
      <w:r>
        <w:rPr>
          <w:rFonts w:hint="eastAsia" w:ascii="宋体" w:cs="宋体"/>
          <w:kern w:val="0"/>
          <w:szCs w:val="21"/>
        </w:rPr>
        <w:t>（3）发包人违反第10.1款〔变更的范围〕第（2）项约定，自行实施被取消的工作或转由他人实施的违约责任：</w:t>
      </w:r>
      <w:r>
        <w:rPr>
          <w:rFonts w:hint="eastAsia" w:ascii="宋体" w:cs="宋体"/>
          <w:kern w:val="0"/>
          <w:szCs w:val="21"/>
          <w:u w:val="single"/>
        </w:rPr>
        <w:t xml:space="preserve">   </w:t>
      </w:r>
      <w:r>
        <w:rPr>
          <w:rFonts w:hint="eastAsia" w:ascii="宋体" w:cs="宋体"/>
          <w:kern w:val="0"/>
          <w:szCs w:val="21"/>
          <w:u w:val="single"/>
          <w:lang w:val="en-US" w:eastAsia="zh-CN"/>
        </w:rPr>
        <w:t>/</w:t>
      </w:r>
      <w:r>
        <w:rPr>
          <w:rFonts w:hint="eastAsia" w:ascii="宋体" w:cs="宋体"/>
          <w:kern w:val="0"/>
          <w:szCs w:val="21"/>
          <w:u w:val="single"/>
        </w:rPr>
        <w:t xml:space="preserve">   </w:t>
      </w:r>
      <w:r>
        <w:rPr>
          <w:rFonts w:hint="eastAsia" w:ascii="宋体" w:cs="宋体"/>
          <w:kern w:val="0"/>
          <w:szCs w:val="21"/>
        </w:rPr>
        <w:t>。</w:t>
      </w:r>
    </w:p>
    <w:p w14:paraId="3D77050F">
      <w:pPr>
        <w:snapToGrid w:val="0"/>
        <w:spacing w:line="440" w:lineRule="exact"/>
        <w:ind w:firstLine="420" w:firstLineChars="200"/>
        <w:jc w:val="left"/>
        <w:rPr>
          <w:rFonts w:hint="eastAsia" w:ascii="宋体" w:cs="宋体"/>
          <w:kern w:val="0"/>
          <w:szCs w:val="21"/>
        </w:rPr>
      </w:pPr>
      <w:r>
        <w:rPr>
          <w:rFonts w:hint="eastAsia" w:ascii="宋体" w:cs="宋体"/>
          <w:kern w:val="0"/>
          <w:szCs w:val="21"/>
        </w:rPr>
        <w:t>（4）发包人提供的材料、工程设备的规格、数量或质量不符合合同约定，或因发包人原因导致交货日期延误或交货地点变更等情况的违约责任：</w:t>
      </w:r>
      <w:r>
        <w:rPr>
          <w:rFonts w:hint="eastAsia" w:ascii="宋体" w:cs="宋体"/>
          <w:kern w:val="0"/>
          <w:szCs w:val="21"/>
          <w:u w:val="single"/>
        </w:rPr>
        <w:t xml:space="preserve">   </w:t>
      </w:r>
      <w:r>
        <w:rPr>
          <w:rFonts w:hint="eastAsia" w:ascii="宋体" w:cs="宋体"/>
          <w:kern w:val="0"/>
          <w:szCs w:val="21"/>
          <w:u w:val="single"/>
          <w:lang w:val="en-US" w:eastAsia="zh-CN"/>
        </w:rPr>
        <w:t>/</w:t>
      </w:r>
      <w:r>
        <w:rPr>
          <w:rFonts w:hint="eastAsia" w:ascii="宋体" w:cs="宋体"/>
          <w:kern w:val="0"/>
          <w:szCs w:val="21"/>
          <w:u w:val="single"/>
        </w:rPr>
        <w:t xml:space="preserve">  </w:t>
      </w:r>
      <w:r>
        <w:rPr>
          <w:rFonts w:hint="eastAsia" w:ascii="宋体" w:cs="宋体"/>
          <w:kern w:val="0"/>
          <w:szCs w:val="21"/>
        </w:rPr>
        <w:t>。</w:t>
      </w:r>
    </w:p>
    <w:p w14:paraId="38C7ED0D">
      <w:pPr>
        <w:snapToGrid w:val="0"/>
        <w:spacing w:line="440" w:lineRule="exact"/>
        <w:ind w:firstLine="420" w:firstLineChars="200"/>
        <w:jc w:val="left"/>
        <w:rPr>
          <w:rFonts w:hint="eastAsia" w:ascii="宋体" w:cs="宋体"/>
          <w:kern w:val="0"/>
          <w:szCs w:val="21"/>
          <w:u w:val="single"/>
        </w:rPr>
      </w:pPr>
      <w:r>
        <w:rPr>
          <w:rFonts w:hint="eastAsia" w:ascii="宋体" w:cs="宋体"/>
          <w:kern w:val="0"/>
          <w:szCs w:val="21"/>
        </w:rPr>
        <w:t>（5）因发包人违反合同约定造成暂停施工的违约责任：</w:t>
      </w:r>
      <w:r>
        <w:rPr>
          <w:rFonts w:hint="eastAsia" w:ascii="宋体" w:cs="宋体"/>
          <w:kern w:val="0"/>
          <w:szCs w:val="21"/>
          <w:u w:val="single"/>
        </w:rPr>
        <w:t xml:space="preserve">  可顺延工期  </w:t>
      </w:r>
      <w:r>
        <w:rPr>
          <w:rFonts w:hint="eastAsia" w:ascii="宋体" w:cs="宋体"/>
          <w:kern w:val="0"/>
          <w:szCs w:val="21"/>
        </w:rPr>
        <w:t>。</w:t>
      </w:r>
    </w:p>
    <w:p w14:paraId="4FB25F50">
      <w:pPr>
        <w:snapToGrid w:val="0"/>
        <w:spacing w:line="440" w:lineRule="exact"/>
        <w:ind w:firstLine="420" w:firstLineChars="200"/>
        <w:jc w:val="left"/>
        <w:rPr>
          <w:rFonts w:hint="eastAsia" w:ascii="宋体" w:cs="宋体"/>
          <w:kern w:val="0"/>
          <w:szCs w:val="21"/>
        </w:rPr>
      </w:pPr>
      <w:r>
        <w:rPr>
          <w:rFonts w:hint="eastAsia" w:ascii="宋体" w:cs="宋体"/>
          <w:kern w:val="0"/>
          <w:szCs w:val="21"/>
        </w:rPr>
        <w:t>（6）发包人无正当理由没有在约定期限内发出复工指示，导致承包人无法复工的违约责任：</w:t>
      </w:r>
      <w:r>
        <w:rPr>
          <w:rFonts w:hint="eastAsia" w:ascii="宋体" w:cs="宋体"/>
          <w:kern w:val="0"/>
          <w:szCs w:val="21"/>
          <w:u w:val="single"/>
        </w:rPr>
        <w:t xml:space="preserve"> 对工期造成影响的可顺延工期  </w:t>
      </w:r>
      <w:r>
        <w:rPr>
          <w:rFonts w:hint="eastAsia" w:ascii="宋体" w:cs="宋体"/>
          <w:kern w:val="0"/>
          <w:szCs w:val="21"/>
        </w:rPr>
        <w:t>。</w:t>
      </w:r>
    </w:p>
    <w:p w14:paraId="07E5A5A7">
      <w:pPr>
        <w:snapToGrid w:val="0"/>
        <w:spacing w:line="440" w:lineRule="exact"/>
        <w:ind w:firstLine="420" w:firstLineChars="200"/>
        <w:jc w:val="left"/>
        <w:rPr>
          <w:rFonts w:hint="eastAsia" w:ascii="宋体" w:cs="宋体"/>
          <w:kern w:val="0"/>
          <w:szCs w:val="21"/>
        </w:rPr>
      </w:pPr>
      <w:r>
        <w:rPr>
          <w:rFonts w:hint="eastAsia" w:ascii="宋体" w:cs="宋体"/>
          <w:kern w:val="0"/>
          <w:szCs w:val="21"/>
        </w:rPr>
        <w:t>（7）其他：</w:t>
      </w:r>
      <w:r>
        <w:rPr>
          <w:rFonts w:hint="eastAsia" w:ascii="宋体" w:cs="宋体"/>
          <w:kern w:val="0"/>
          <w:szCs w:val="21"/>
          <w:u w:val="single"/>
        </w:rPr>
        <w:t xml:space="preserve">  无  </w:t>
      </w:r>
      <w:r>
        <w:rPr>
          <w:rFonts w:hint="eastAsia" w:ascii="宋体" w:cs="宋体"/>
          <w:kern w:val="0"/>
          <w:szCs w:val="21"/>
        </w:rPr>
        <w:t>。</w:t>
      </w:r>
    </w:p>
    <w:p w14:paraId="78D1480D">
      <w:pPr>
        <w:snapToGrid w:val="0"/>
        <w:spacing w:line="440" w:lineRule="exact"/>
        <w:ind w:firstLine="420" w:firstLineChars="200"/>
        <w:jc w:val="left"/>
        <w:rPr>
          <w:rFonts w:hint="eastAsia" w:ascii="宋体" w:cs="宋体"/>
          <w:szCs w:val="21"/>
        </w:rPr>
      </w:pPr>
      <w:r>
        <w:rPr>
          <w:rFonts w:hint="eastAsia" w:ascii="宋体" w:cs="宋体"/>
          <w:szCs w:val="21"/>
        </w:rPr>
        <w:t>16.1.3 因发包人违约解除合同</w:t>
      </w:r>
    </w:p>
    <w:p w14:paraId="71B4528B">
      <w:pPr>
        <w:autoSpaceDE w:val="0"/>
        <w:autoSpaceDN w:val="0"/>
        <w:adjustRightInd w:val="0"/>
        <w:snapToGrid w:val="0"/>
        <w:spacing w:line="440" w:lineRule="exact"/>
        <w:ind w:firstLine="420" w:firstLineChars="200"/>
        <w:jc w:val="left"/>
        <w:rPr>
          <w:rFonts w:hint="eastAsia" w:ascii="宋体" w:cs="宋体"/>
          <w:kern w:val="0"/>
          <w:szCs w:val="21"/>
        </w:rPr>
      </w:pPr>
      <w:r>
        <w:rPr>
          <w:rFonts w:hint="eastAsia" w:ascii="宋体" w:cs="宋体"/>
          <w:kern w:val="0"/>
          <w:szCs w:val="21"/>
        </w:rPr>
        <w:t>承包人按16.1.1项〔发包人违约的情形〕约定暂停施工满</w:t>
      </w:r>
      <w:r>
        <w:rPr>
          <w:rFonts w:hint="eastAsia" w:ascii="宋体" w:cs="宋体"/>
          <w:kern w:val="0"/>
          <w:szCs w:val="21"/>
          <w:u w:val="single"/>
        </w:rPr>
        <w:t xml:space="preserve">  28  </w:t>
      </w:r>
      <w:r>
        <w:rPr>
          <w:rFonts w:hint="eastAsia" w:ascii="宋体" w:cs="宋体"/>
          <w:kern w:val="0"/>
          <w:szCs w:val="21"/>
        </w:rPr>
        <w:t>天后发包人仍不纠正其违约行为并致使合同目的不能实现的，承包人有权解除合同。</w:t>
      </w:r>
    </w:p>
    <w:p w14:paraId="344FEAC9">
      <w:pPr>
        <w:autoSpaceDE w:val="0"/>
        <w:autoSpaceDN w:val="0"/>
        <w:adjustRightInd w:val="0"/>
        <w:snapToGrid w:val="0"/>
        <w:spacing w:line="440" w:lineRule="exact"/>
        <w:ind w:firstLine="420" w:firstLineChars="200"/>
        <w:jc w:val="left"/>
        <w:rPr>
          <w:rFonts w:hint="eastAsia" w:ascii="宋体" w:hAnsi="Times New Roman" w:eastAsia="宋体" w:cs="宋体"/>
          <w:kern w:val="0"/>
          <w:szCs w:val="21"/>
          <w:highlight w:val="none"/>
          <w:lang w:val="en-US" w:eastAsia="zh-CN"/>
        </w:rPr>
      </w:pPr>
      <w:r>
        <w:rPr>
          <w:rFonts w:hint="eastAsia" w:ascii="宋体" w:hAnsi="Times New Roman" w:eastAsia="宋体" w:cs="宋体"/>
          <w:kern w:val="0"/>
          <w:szCs w:val="21"/>
          <w:highlight w:val="none"/>
          <w:lang w:val="en-US" w:eastAsia="zh-CN"/>
        </w:rPr>
        <w:t>合同签订后，承包人在规定时间内不组织人员进场开工，或不履行供货安装义务并经招标人催办，仍未实施等情况，招标人有权单方面解除合同，自解除合同通知书到达承包人时解除。（通知书到达方式可以采用文件邮寄或电子邮件等，文件邮寄地址及电子邮件以合同文件上载明为准）</w:t>
      </w:r>
    </w:p>
    <w:p w14:paraId="4BB35D5E">
      <w:pPr>
        <w:autoSpaceDE w:val="0"/>
        <w:autoSpaceDN w:val="0"/>
        <w:adjustRightInd w:val="0"/>
        <w:snapToGrid w:val="0"/>
        <w:spacing w:line="440" w:lineRule="exact"/>
        <w:ind w:firstLine="420" w:firstLineChars="200"/>
        <w:jc w:val="left"/>
        <w:rPr>
          <w:rFonts w:hint="eastAsia" w:ascii="宋体" w:hAnsi="Times New Roman" w:eastAsia="宋体" w:cs="宋体"/>
          <w:kern w:val="0"/>
          <w:szCs w:val="21"/>
          <w:highlight w:val="none"/>
        </w:rPr>
      </w:pPr>
      <w:r>
        <w:rPr>
          <w:rFonts w:hint="eastAsia" w:ascii="宋体" w:hAnsi="Times New Roman" w:eastAsia="宋体" w:cs="宋体"/>
          <w:kern w:val="0"/>
          <w:szCs w:val="21"/>
          <w:highlight w:val="none"/>
          <w:lang w:val="en-US" w:eastAsia="zh-CN"/>
        </w:rPr>
        <w:t>因上述承包人违约解除合同，发包人有权追究其违约责任。包括但不限于：①甲方有权扣除履约保证金（投标保证金）；②甲方有权要求乙方赔偿损失；③甲方可要求乙方承担违约损失。</w:t>
      </w:r>
    </w:p>
    <w:p w14:paraId="73DCC081">
      <w:pPr>
        <w:snapToGrid w:val="0"/>
        <w:spacing w:line="440" w:lineRule="exact"/>
        <w:ind w:firstLine="420" w:firstLineChars="200"/>
        <w:rPr>
          <w:rFonts w:hint="eastAsia" w:ascii="宋体" w:cs="宋体"/>
          <w:szCs w:val="21"/>
        </w:rPr>
      </w:pPr>
      <w:r>
        <w:rPr>
          <w:rFonts w:hint="eastAsia" w:ascii="宋体" w:cs="宋体"/>
          <w:szCs w:val="21"/>
        </w:rPr>
        <w:t>16.2 承包人违约</w:t>
      </w:r>
    </w:p>
    <w:p w14:paraId="7CB9B8CD">
      <w:pPr>
        <w:snapToGrid w:val="0"/>
        <w:spacing w:line="440" w:lineRule="exact"/>
        <w:ind w:firstLine="420" w:firstLineChars="200"/>
        <w:jc w:val="left"/>
        <w:rPr>
          <w:rFonts w:hint="eastAsia" w:ascii="宋体" w:cs="宋体"/>
          <w:kern w:val="0"/>
          <w:szCs w:val="21"/>
        </w:rPr>
      </w:pPr>
      <w:r>
        <w:rPr>
          <w:rFonts w:hint="eastAsia" w:ascii="宋体" w:cs="宋体"/>
          <w:kern w:val="0"/>
          <w:szCs w:val="21"/>
        </w:rPr>
        <w:t>16.2.1 承包人违约的情形</w:t>
      </w:r>
    </w:p>
    <w:p w14:paraId="2CE802B8">
      <w:pPr>
        <w:snapToGrid w:val="0"/>
        <w:spacing w:line="440" w:lineRule="exact"/>
        <w:ind w:firstLine="420" w:firstLineChars="200"/>
        <w:jc w:val="left"/>
        <w:rPr>
          <w:rFonts w:hint="eastAsia" w:ascii="宋体" w:cs="宋体"/>
          <w:kern w:val="0"/>
          <w:szCs w:val="21"/>
          <w:u w:val="single"/>
        </w:rPr>
      </w:pPr>
      <w:r>
        <w:rPr>
          <w:rFonts w:hint="eastAsia" w:ascii="宋体" w:cs="宋体"/>
          <w:kern w:val="0"/>
          <w:szCs w:val="21"/>
        </w:rPr>
        <w:t>承包人违约的其他情形：</w:t>
      </w:r>
      <w:r>
        <w:rPr>
          <w:rFonts w:hint="eastAsia" w:ascii="宋体" w:cs="宋体"/>
          <w:kern w:val="0"/>
          <w:szCs w:val="21"/>
          <w:u w:val="single"/>
        </w:rPr>
        <w:t xml:space="preserve">   执行补充条款   </w:t>
      </w:r>
      <w:r>
        <w:rPr>
          <w:rFonts w:hint="eastAsia" w:ascii="宋体" w:cs="宋体"/>
          <w:kern w:val="0"/>
          <w:szCs w:val="21"/>
        </w:rPr>
        <w:t>。</w:t>
      </w:r>
    </w:p>
    <w:p w14:paraId="20D51133">
      <w:pPr>
        <w:snapToGrid w:val="0"/>
        <w:spacing w:line="440" w:lineRule="exact"/>
        <w:ind w:firstLine="420" w:firstLineChars="200"/>
        <w:jc w:val="left"/>
        <w:rPr>
          <w:rFonts w:hint="eastAsia" w:ascii="宋体" w:cs="宋体"/>
          <w:kern w:val="0"/>
          <w:szCs w:val="21"/>
        </w:rPr>
      </w:pPr>
      <w:r>
        <w:rPr>
          <w:rFonts w:hint="eastAsia" w:ascii="宋体" w:cs="宋体"/>
          <w:kern w:val="0"/>
          <w:szCs w:val="21"/>
        </w:rPr>
        <w:t>16.2.2承包人违约的责任</w:t>
      </w:r>
    </w:p>
    <w:p w14:paraId="2B5523EB">
      <w:pPr>
        <w:snapToGrid w:val="0"/>
        <w:spacing w:line="440" w:lineRule="exact"/>
        <w:ind w:firstLine="420" w:firstLineChars="200"/>
        <w:jc w:val="left"/>
        <w:rPr>
          <w:rFonts w:hint="eastAsia" w:ascii="宋体" w:cs="宋体"/>
          <w:kern w:val="0"/>
          <w:szCs w:val="21"/>
          <w:u w:val="single"/>
        </w:rPr>
      </w:pPr>
      <w:r>
        <w:rPr>
          <w:rFonts w:hint="eastAsia" w:ascii="宋体" w:cs="宋体"/>
          <w:kern w:val="0"/>
          <w:szCs w:val="21"/>
        </w:rPr>
        <w:t>承包人违约责任的承担方式和计算方法：</w:t>
      </w:r>
      <w:r>
        <w:rPr>
          <w:rFonts w:hint="eastAsia" w:ascii="宋体" w:cs="宋体"/>
          <w:kern w:val="0"/>
          <w:szCs w:val="21"/>
          <w:u w:val="single"/>
        </w:rPr>
        <w:t xml:space="preserve"> 执行补充条款   </w:t>
      </w:r>
      <w:r>
        <w:rPr>
          <w:rFonts w:hint="eastAsia" w:ascii="宋体" w:cs="宋体"/>
          <w:kern w:val="0"/>
          <w:szCs w:val="21"/>
        </w:rPr>
        <w:t>。</w:t>
      </w:r>
      <w:r>
        <w:rPr>
          <w:rFonts w:hint="eastAsia" w:ascii="宋体" w:cs="宋体"/>
          <w:szCs w:val="21"/>
        </w:rPr>
        <w:t xml:space="preserve">    </w:t>
      </w:r>
    </w:p>
    <w:p w14:paraId="0AD59456">
      <w:pPr>
        <w:snapToGrid w:val="0"/>
        <w:spacing w:line="440" w:lineRule="exact"/>
        <w:ind w:firstLine="420" w:firstLineChars="200"/>
        <w:jc w:val="left"/>
        <w:rPr>
          <w:rFonts w:hint="eastAsia" w:ascii="宋体" w:cs="宋体"/>
          <w:szCs w:val="21"/>
        </w:rPr>
      </w:pPr>
      <w:r>
        <w:rPr>
          <w:rFonts w:hint="eastAsia" w:ascii="宋体" w:cs="宋体"/>
          <w:szCs w:val="21"/>
        </w:rPr>
        <w:t>16.2.3 因承包人违约解除合同</w:t>
      </w:r>
    </w:p>
    <w:p w14:paraId="75F03C63">
      <w:pPr>
        <w:snapToGrid w:val="0"/>
        <w:spacing w:line="440" w:lineRule="exact"/>
        <w:ind w:firstLine="420" w:firstLineChars="200"/>
        <w:rPr>
          <w:rFonts w:hint="eastAsia" w:ascii="宋体" w:cs="宋体"/>
          <w:kern w:val="0"/>
          <w:szCs w:val="21"/>
        </w:rPr>
      </w:pPr>
      <w:r>
        <w:rPr>
          <w:rFonts w:hint="eastAsia" w:ascii="宋体" w:cs="宋体"/>
          <w:kern w:val="0"/>
          <w:szCs w:val="21"/>
        </w:rPr>
        <w:t>关于承包人违约解除合同的特别约定：</w:t>
      </w:r>
      <w:r>
        <w:rPr>
          <w:rFonts w:hint="eastAsia" w:ascii="宋体" w:cs="宋体"/>
          <w:kern w:val="0"/>
          <w:szCs w:val="21"/>
          <w:u w:val="single"/>
        </w:rPr>
        <w:t>执行</w:t>
      </w:r>
      <w:r>
        <w:rPr>
          <w:rFonts w:hint="eastAsia" w:ascii="宋体" w:cs="宋体"/>
          <w:szCs w:val="21"/>
          <w:u w:val="single"/>
        </w:rPr>
        <w:t>补充条款。</w:t>
      </w:r>
    </w:p>
    <w:p w14:paraId="0F0F2C80">
      <w:pPr>
        <w:snapToGrid w:val="0"/>
        <w:spacing w:line="420" w:lineRule="exact"/>
        <w:ind w:firstLine="420" w:firstLineChars="200"/>
        <w:rPr>
          <w:rFonts w:hint="eastAsia" w:ascii="宋体" w:cs="宋体"/>
          <w:kern w:val="0"/>
          <w:szCs w:val="21"/>
        </w:rPr>
      </w:pPr>
      <w:r>
        <w:rPr>
          <w:rFonts w:hint="eastAsia" w:ascii="宋体" w:cs="宋体"/>
          <w:kern w:val="0"/>
          <w:szCs w:val="21"/>
        </w:rPr>
        <w:t>发包人继续使用承包人在施工现场的材料、设备、临时工程、承包人文件和由承包人或以其名义编制的其他文件的费用承担方式：</w:t>
      </w:r>
      <w:r>
        <w:rPr>
          <w:rFonts w:hint="eastAsia" w:ascii="宋体" w:cs="宋体"/>
          <w:kern w:val="0"/>
          <w:szCs w:val="21"/>
          <w:u w:val="single"/>
        </w:rPr>
        <w:t xml:space="preserve">   发包人不承担费用   </w:t>
      </w:r>
      <w:r>
        <w:rPr>
          <w:rFonts w:hint="eastAsia" w:ascii="宋体" w:cs="宋体"/>
          <w:kern w:val="0"/>
          <w:szCs w:val="21"/>
        </w:rPr>
        <w:t>。</w:t>
      </w:r>
    </w:p>
    <w:p w14:paraId="57D87209">
      <w:pPr>
        <w:pStyle w:val="5"/>
        <w:snapToGrid w:val="0"/>
        <w:spacing w:before="0" w:after="0" w:line="420" w:lineRule="exact"/>
        <w:ind w:firstLine="420" w:firstLineChars="200"/>
        <w:rPr>
          <w:rFonts w:hint="eastAsia" w:ascii="宋体" w:eastAsia="宋体" w:cs="宋体"/>
          <w:b w:val="0"/>
          <w:sz w:val="21"/>
          <w:szCs w:val="21"/>
        </w:rPr>
      </w:pPr>
      <w:r>
        <w:rPr>
          <w:rFonts w:hint="eastAsia" w:ascii="宋体" w:eastAsia="宋体" w:cs="宋体"/>
          <w:b w:val="0"/>
          <w:sz w:val="21"/>
          <w:szCs w:val="21"/>
        </w:rPr>
        <w:t xml:space="preserve">17. 不可抗力 </w:t>
      </w:r>
    </w:p>
    <w:p w14:paraId="0D008BF2">
      <w:pPr>
        <w:snapToGrid w:val="0"/>
        <w:spacing w:line="420" w:lineRule="exact"/>
        <w:ind w:firstLine="420" w:firstLineChars="200"/>
        <w:rPr>
          <w:rFonts w:hint="eastAsia" w:ascii="宋体" w:cs="宋体"/>
          <w:szCs w:val="21"/>
        </w:rPr>
      </w:pPr>
      <w:r>
        <w:rPr>
          <w:rFonts w:hint="eastAsia" w:ascii="宋体" w:cs="宋体"/>
          <w:szCs w:val="21"/>
        </w:rPr>
        <w:t>17.1 不可抗力的确认</w:t>
      </w:r>
    </w:p>
    <w:p w14:paraId="64D5803F">
      <w:pPr>
        <w:snapToGrid w:val="0"/>
        <w:spacing w:line="420" w:lineRule="exact"/>
        <w:ind w:firstLine="420" w:firstLineChars="200"/>
        <w:jc w:val="left"/>
        <w:rPr>
          <w:rFonts w:hint="eastAsia" w:ascii="宋体" w:cs="宋体"/>
          <w:kern w:val="0"/>
          <w:szCs w:val="21"/>
          <w:u w:val="single"/>
        </w:rPr>
      </w:pPr>
      <w:r>
        <w:rPr>
          <w:rFonts w:hint="eastAsia" w:ascii="宋体" w:cs="宋体"/>
          <w:szCs w:val="21"/>
        </w:rPr>
        <w:t>除通用合同条款约定的不可抗力事件之外，视为不可抗力的其他情形：</w:t>
      </w:r>
      <w:r>
        <w:rPr>
          <w:rFonts w:hint="eastAsia" w:ascii="宋体" w:cs="宋体"/>
          <w:kern w:val="0"/>
          <w:szCs w:val="21"/>
          <w:u w:val="single"/>
        </w:rPr>
        <w:t xml:space="preserve">  </w:t>
      </w:r>
      <w:r>
        <w:rPr>
          <w:rFonts w:hint="eastAsia" w:ascii="宋体" w:hAnsi="宋体" w:cs="宋体"/>
          <w:color w:val="000000"/>
          <w:szCs w:val="21"/>
          <w:u w:val="single"/>
        </w:rPr>
        <w:t>执行通用条款</w:t>
      </w:r>
      <w:r>
        <w:rPr>
          <w:rFonts w:hint="eastAsia" w:ascii="宋体" w:cs="宋体"/>
          <w:kern w:val="0"/>
          <w:szCs w:val="21"/>
          <w:u w:val="single"/>
        </w:rPr>
        <w:t xml:space="preserve"> </w:t>
      </w:r>
      <w:r>
        <w:rPr>
          <w:rFonts w:hint="eastAsia" w:ascii="宋体" w:cs="宋体"/>
          <w:kern w:val="0"/>
          <w:szCs w:val="21"/>
        </w:rPr>
        <w:t>。</w:t>
      </w:r>
    </w:p>
    <w:p w14:paraId="7ABBF228">
      <w:pPr>
        <w:snapToGrid w:val="0"/>
        <w:spacing w:line="420" w:lineRule="exact"/>
        <w:ind w:firstLine="420" w:firstLineChars="200"/>
        <w:rPr>
          <w:rFonts w:hint="eastAsia" w:ascii="宋体" w:cs="宋体"/>
          <w:szCs w:val="21"/>
        </w:rPr>
      </w:pPr>
      <w:r>
        <w:rPr>
          <w:rFonts w:hint="eastAsia" w:ascii="宋体" w:cs="宋体"/>
          <w:szCs w:val="21"/>
        </w:rPr>
        <w:t>17.4 因不可抗力解除合同</w:t>
      </w:r>
    </w:p>
    <w:p w14:paraId="6BEBA983">
      <w:pPr>
        <w:snapToGrid w:val="0"/>
        <w:spacing w:line="420" w:lineRule="exact"/>
        <w:ind w:firstLine="420" w:firstLineChars="200"/>
        <w:jc w:val="left"/>
        <w:rPr>
          <w:rFonts w:hint="eastAsia" w:ascii="宋体" w:hAnsi="Times New Roman" w:eastAsia="宋体" w:cs="宋体"/>
          <w:szCs w:val="21"/>
          <w:lang w:eastAsia="zh-CN"/>
        </w:rPr>
      </w:pPr>
      <w:r>
        <w:rPr>
          <w:rFonts w:hint="eastAsia" w:ascii="宋体" w:hAnsi="Times New Roman" w:eastAsia="宋体" w:cs="宋体"/>
          <w:szCs w:val="21"/>
          <w:lang w:eastAsia="zh-CN"/>
        </w:rPr>
        <w:t>合同解除后，发包人应在发票送达一周内完成款项的支付。</w:t>
      </w:r>
    </w:p>
    <w:p w14:paraId="1B91FF85">
      <w:pPr>
        <w:pStyle w:val="5"/>
        <w:snapToGrid w:val="0"/>
        <w:spacing w:before="0" w:after="0" w:line="420" w:lineRule="exact"/>
        <w:ind w:firstLine="420" w:firstLineChars="200"/>
        <w:rPr>
          <w:rFonts w:hint="eastAsia" w:ascii="宋体" w:eastAsia="宋体" w:cs="宋体"/>
          <w:b w:val="0"/>
          <w:sz w:val="21"/>
          <w:szCs w:val="21"/>
        </w:rPr>
      </w:pPr>
      <w:r>
        <w:rPr>
          <w:rFonts w:hint="eastAsia" w:ascii="宋体" w:eastAsia="宋体" w:cs="宋体"/>
          <w:b w:val="0"/>
          <w:sz w:val="21"/>
          <w:szCs w:val="21"/>
        </w:rPr>
        <w:t>18. 保险</w:t>
      </w:r>
    </w:p>
    <w:p w14:paraId="4A9CD8E6">
      <w:pPr>
        <w:snapToGrid w:val="0"/>
        <w:spacing w:line="420" w:lineRule="exact"/>
        <w:ind w:firstLine="420" w:firstLineChars="200"/>
        <w:rPr>
          <w:rFonts w:hint="eastAsia" w:ascii="宋体" w:cs="宋体"/>
          <w:szCs w:val="21"/>
        </w:rPr>
      </w:pPr>
      <w:r>
        <w:rPr>
          <w:rFonts w:hint="eastAsia" w:ascii="宋体" w:cs="宋体"/>
          <w:szCs w:val="21"/>
        </w:rPr>
        <w:t>18.1 工程保险</w:t>
      </w:r>
    </w:p>
    <w:p w14:paraId="41CACA33">
      <w:pPr>
        <w:snapToGrid w:val="0"/>
        <w:spacing w:line="420" w:lineRule="exact"/>
        <w:ind w:firstLine="420" w:firstLineChars="200"/>
        <w:rPr>
          <w:rFonts w:hint="eastAsia"/>
        </w:rPr>
      </w:pPr>
      <w:r>
        <w:rPr>
          <w:rFonts w:hint="eastAsia"/>
        </w:rPr>
        <w:t>关于工程保险的特别约定：</w:t>
      </w:r>
      <w:r>
        <w:rPr>
          <w:rFonts w:hint="eastAsia" w:ascii="宋体" w:hAnsi="宋体" w:eastAsia="宋体" w:cs="宋体"/>
          <w:color w:val="000000"/>
          <w:szCs w:val="21"/>
          <w:u w:val="single"/>
          <w:lang w:val="en-US" w:eastAsia="zh-CN"/>
        </w:rPr>
        <w:t>承包人根据通用条款规定自行购买并承担费用</w:t>
      </w:r>
      <w:r>
        <w:rPr>
          <w:rFonts w:hint="eastAsia"/>
          <w:u w:val="single"/>
        </w:rPr>
        <w:t xml:space="preserve"> </w:t>
      </w:r>
      <w:r>
        <w:rPr>
          <w:rFonts w:hint="eastAsia"/>
        </w:rPr>
        <w:t>。</w:t>
      </w:r>
    </w:p>
    <w:p w14:paraId="4DC9B5E5">
      <w:pPr>
        <w:snapToGrid w:val="0"/>
        <w:spacing w:line="420" w:lineRule="exact"/>
        <w:ind w:firstLine="420" w:firstLineChars="200"/>
        <w:rPr>
          <w:rFonts w:hint="eastAsia" w:ascii="宋体" w:cs="宋体"/>
          <w:szCs w:val="21"/>
        </w:rPr>
      </w:pPr>
      <w:r>
        <w:rPr>
          <w:rFonts w:hint="eastAsia" w:ascii="宋体" w:cs="宋体"/>
          <w:szCs w:val="21"/>
        </w:rPr>
        <w:t>18.3 其他保险</w:t>
      </w:r>
    </w:p>
    <w:p w14:paraId="3C2CC8F0">
      <w:pPr>
        <w:snapToGrid w:val="0"/>
        <w:spacing w:line="420" w:lineRule="exact"/>
        <w:ind w:firstLine="420" w:firstLineChars="200"/>
        <w:jc w:val="left"/>
        <w:rPr>
          <w:rFonts w:hint="eastAsia" w:ascii="宋体" w:cs="宋体"/>
          <w:kern w:val="0"/>
          <w:szCs w:val="21"/>
        </w:rPr>
      </w:pPr>
      <w:r>
        <w:rPr>
          <w:rFonts w:hint="eastAsia" w:ascii="宋体" w:cs="宋体"/>
          <w:szCs w:val="21"/>
        </w:rPr>
        <w:t>关于其他保险的约定：</w:t>
      </w:r>
      <w:r>
        <w:rPr>
          <w:rFonts w:hint="eastAsia" w:ascii="宋体" w:cs="宋体"/>
          <w:kern w:val="0"/>
          <w:szCs w:val="21"/>
          <w:u w:val="single"/>
        </w:rPr>
        <w:t xml:space="preserve"> </w:t>
      </w:r>
      <w:r>
        <w:rPr>
          <w:rFonts w:hint="eastAsia" w:ascii="宋体" w:hAnsi="宋体" w:cs="宋体"/>
          <w:color w:val="000000"/>
          <w:szCs w:val="21"/>
          <w:u w:val="single"/>
        </w:rPr>
        <w:t>承包人须为其施工现场的全部人员办理意外伤害保险并支付保险费，包括其员工及为履行合同聘请的第三方的人员</w:t>
      </w:r>
    </w:p>
    <w:p w14:paraId="0C9C511F">
      <w:pPr>
        <w:snapToGrid w:val="0"/>
        <w:spacing w:line="420" w:lineRule="exact"/>
        <w:ind w:firstLine="420" w:firstLineChars="200"/>
        <w:jc w:val="left"/>
        <w:rPr>
          <w:rFonts w:hint="eastAsia" w:ascii="宋体" w:cs="宋体"/>
          <w:szCs w:val="21"/>
          <w:u w:val="single"/>
        </w:rPr>
      </w:pPr>
      <w:r>
        <w:rPr>
          <w:rFonts w:hint="eastAsia" w:ascii="宋体" w:cs="宋体"/>
          <w:szCs w:val="21"/>
        </w:rPr>
        <w:t>承包人是否应为其施工设备等办理财产保险：</w:t>
      </w:r>
      <w:r>
        <w:rPr>
          <w:rFonts w:hint="eastAsia" w:ascii="宋体" w:hAnsi="宋体" w:cs="宋体"/>
          <w:color w:val="000000"/>
          <w:szCs w:val="21"/>
          <w:u w:val="single"/>
        </w:rPr>
        <w:t>执行通用条款</w:t>
      </w:r>
      <w:r>
        <w:rPr>
          <w:rFonts w:hint="eastAsia" w:ascii="宋体" w:cs="宋体"/>
          <w:szCs w:val="21"/>
          <w:u w:val="single"/>
        </w:rPr>
        <w:t>。</w:t>
      </w:r>
    </w:p>
    <w:p w14:paraId="5C3AB220">
      <w:pPr>
        <w:snapToGrid w:val="0"/>
        <w:spacing w:line="420" w:lineRule="exact"/>
        <w:ind w:firstLine="420" w:firstLineChars="200"/>
        <w:rPr>
          <w:rFonts w:hint="eastAsia" w:ascii="宋体" w:cs="宋体"/>
          <w:szCs w:val="21"/>
        </w:rPr>
      </w:pPr>
      <w:r>
        <w:rPr>
          <w:rFonts w:hint="eastAsia" w:ascii="宋体" w:cs="宋体"/>
          <w:szCs w:val="21"/>
        </w:rPr>
        <w:t>18.7 通知义务</w:t>
      </w:r>
    </w:p>
    <w:p w14:paraId="2F3CC148">
      <w:pPr>
        <w:snapToGrid w:val="0"/>
        <w:spacing w:line="420" w:lineRule="exact"/>
        <w:ind w:firstLine="420" w:firstLineChars="200"/>
        <w:jc w:val="left"/>
        <w:rPr>
          <w:rFonts w:hint="eastAsia" w:ascii="宋体" w:cs="宋体"/>
          <w:kern w:val="0"/>
          <w:szCs w:val="21"/>
          <w:u w:val="single"/>
        </w:rPr>
      </w:pPr>
      <w:r>
        <w:rPr>
          <w:rFonts w:hint="eastAsia" w:ascii="宋体" w:cs="宋体"/>
          <w:kern w:val="0"/>
          <w:szCs w:val="21"/>
        </w:rPr>
        <w:t>关于变更保险合同时的通知义务的约定：</w:t>
      </w:r>
      <w:r>
        <w:rPr>
          <w:rFonts w:hint="eastAsia" w:ascii="宋体" w:hAnsi="宋体" w:cs="宋体"/>
          <w:color w:val="000000"/>
          <w:szCs w:val="21"/>
          <w:u w:val="single"/>
        </w:rPr>
        <w:t>执行通用条款</w:t>
      </w:r>
      <w:r>
        <w:rPr>
          <w:rFonts w:hint="eastAsia" w:ascii="宋体" w:cs="宋体"/>
          <w:kern w:val="0"/>
          <w:szCs w:val="21"/>
          <w:u w:val="single"/>
        </w:rPr>
        <w:t>。</w:t>
      </w:r>
    </w:p>
    <w:p w14:paraId="22CAF1C3">
      <w:pPr>
        <w:snapToGrid w:val="0"/>
        <w:spacing w:line="420" w:lineRule="exact"/>
        <w:ind w:firstLine="420" w:firstLineChars="200"/>
        <w:jc w:val="left"/>
        <w:rPr>
          <w:rFonts w:hint="eastAsia" w:ascii="宋体" w:cs="宋体"/>
          <w:kern w:val="0"/>
          <w:szCs w:val="21"/>
          <w:u w:val="single"/>
        </w:rPr>
      </w:pPr>
      <w:r>
        <w:rPr>
          <w:rFonts w:hint="eastAsia" w:ascii="宋体" w:cs="宋体"/>
          <w:kern w:val="0"/>
          <w:szCs w:val="21"/>
          <w:u w:val="single"/>
        </w:rPr>
        <w:t>保险事故发生时，投保人应按照保险合同规定的条件和期限及时向保险人报告。发包人和承包人应当在知道保险事故发生后及时通知对方。</w:t>
      </w:r>
    </w:p>
    <w:p w14:paraId="5500005C">
      <w:pPr>
        <w:pStyle w:val="5"/>
        <w:snapToGrid w:val="0"/>
        <w:spacing w:before="0" w:after="0" w:line="420" w:lineRule="exact"/>
        <w:ind w:firstLine="420" w:firstLineChars="200"/>
        <w:rPr>
          <w:rFonts w:hint="eastAsia" w:ascii="宋体" w:eastAsia="宋体" w:cs="宋体"/>
          <w:b w:val="0"/>
          <w:sz w:val="21"/>
          <w:szCs w:val="21"/>
        </w:rPr>
      </w:pPr>
      <w:r>
        <w:rPr>
          <w:rFonts w:hint="eastAsia" w:ascii="宋体" w:eastAsia="宋体" w:cs="宋体"/>
          <w:b w:val="0"/>
          <w:sz w:val="21"/>
          <w:szCs w:val="21"/>
        </w:rPr>
        <w:t>20. 争议解决</w:t>
      </w:r>
    </w:p>
    <w:p w14:paraId="5E40BD8B">
      <w:pPr>
        <w:snapToGrid w:val="0"/>
        <w:spacing w:line="420" w:lineRule="exact"/>
        <w:ind w:firstLine="420" w:firstLineChars="200"/>
        <w:rPr>
          <w:rFonts w:hint="eastAsia" w:ascii="宋体" w:cs="宋体"/>
          <w:szCs w:val="21"/>
        </w:rPr>
      </w:pPr>
      <w:r>
        <w:rPr>
          <w:rFonts w:hint="eastAsia" w:ascii="宋体" w:cs="宋体"/>
          <w:szCs w:val="21"/>
        </w:rPr>
        <w:t>20.3 争议评审</w:t>
      </w:r>
    </w:p>
    <w:p w14:paraId="122C7CB9">
      <w:pPr>
        <w:snapToGrid w:val="0"/>
        <w:spacing w:line="420" w:lineRule="exact"/>
        <w:ind w:firstLine="420" w:firstLineChars="200"/>
        <w:jc w:val="left"/>
        <w:rPr>
          <w:rFonts w:hint="eastAsia" w:ascii="宋体" w:cs="宋体"/>
          <w:szCs w:val="21"/>
          <w:u w:val="single"/>
        </w:rPr>
      </w:pPr>
      <w:r>
        <w:rPr>
          <w:rFonts w:hint="eastAsia" w:ascii="宋体" w:cs="宋体"/>
          <w:szCs w:val="21"/>
        </w:rPr>
        <w:t>合同当事人是否同意将工程争议提交争议评审小组决定：</w:t>
      </w:r>
      <w:r>
        <w:rPr>
          <w:rFonts w:hint="eastAsia" w:ascii="宋体" w:cs="宋体"/>
          <w:szCs w:val="21"/>
          <w:u w:val="single"/>
        </w:rPr>
        <w:t xml:space="preserve">  不同意   </w:t>
      </w:r>
      <w:r>
        <w:rPr>
          <w:rFonts w:hint="eastAsia" w:ascii="宋体" w:cs="宋体"/>
          <w:szCs w:val="21"/>
        </w:rPr>
        <w:t xml:space="preserve">。  </w:t>
      </w:r>
    </w:p>
    <w:p w14:paraId="1FDAB0C3">
      <w:pPr>
        <w:snapToGrid w:val="0"/>
        <w:spacing w:line="420" w:lineRule="exact"/>
        <w:ind w:firstLine="420" w:firstLineChars="200"/>
        <w:jc w:val="left"/>
        <w:rPr>
          <w:rFonts w:hint="eastAsia" w:ascii="宋体" w:cs="宋体"/>
          <w:szCs w:val="21"/>
        </w:rPr>
      </w:pPr>
      <w:r>
        <w:rPr>
          <w:rFonts w:hint="eastAsia" w:ascii="宋体" w:cs="宋体"/>
          <w:szCs w:val="21"/>
        </w:rPr>
        <w:t>20.3.1 争议评审小组的确定</w:t>
      </w:r>
    </w:p>
    <w:p w14:paraId="5E4513A0">
      <w:pPr>
        <w:snapToGrid w:val="0"/>
        <w:spacing w:line="420" w:lineRule="exact"/>
        <w:ind w:firstLine="420" w:firstLineChars="200"/>
        <w:jc w:val="left"/>
        <w:rPr>
          <w:rFonts w:hint="eastAsia" w:ascii="宋体" w:cs="宋体"/>
          <w:szCs w:val="21"/>
          <w:u w:val="single"/>
        </w:rPr>
      </w:pPr>
      <w:r>
        <w:rPr>
          <w:rFonts w:hint="eastAsia" w:ascii="宋体" w:cs="宋体"/>
          <w:szCs w:val="21"/>
        </w:rPr>
        <w:t>争议评审小组成员的确定：</w:t>
      </w:r>
      <w:r>
        <w:rPr>
          <w:rFonts w:hint="eastAsia" w:ascii="宋体" w:cs="宋体"/>
          <w:szCs w:val="21"/>
          <w:u w:val="single"/>
        </w:rPr>
        <w:t xml:space="preserve">  无   </w:t>
      </w:r>
      <w:r>
        <w:rPr>
          <w:rFonts w:hint="eastAsia" w:ascii="宋体" w:cs="宋体"/>
          <w:szCs w:val="21"/>
        </w:rPr>
        <w:t>。</w:t>
      </w:r>
    </w:p>
    <w:p w14:paraId="56137968">
      <w:pPr>
        <w:snapToGrid w:val="0"/>
        <w:spacing w:line="420" w:lineRule="exact"/>
        <w:ind w:firstLine="420" w:firstLineChars="200"/>
        <w:jc w:val="left"/>
        <w:rPr>
          <w:rFonts w:hint="eastAsia" w:ascii="宋体" w:cs="宋体"/>
          <w:szCs w:val="21"/>
        </w:rPr>
      </w:pPr>
      <w:r>
        <w:rPr>
          <w:rFonts w:hint="eastAsia" w:ascii="宋体" w:cs="宋体"/>
          <w:szCs w:val="21"/>
        </w:rPr>
        <w:t>选定争议评审员的期限：</w:t>
      </w:r>
      <w:r>
        <w:rPr>
          <w:rFonts w:hint="eastAsia" w:ascii="宋体" w:cs="宋体"/>
          <w:szCs w:val="21"/>
          <w:u w:val="single"/>
        </w:rPr>
        <w:t xml:space="preserve">  无   </w:t>
      </w:r>
      <w:r>
        <w:rPr>
          <w:rFonts w:hint="eastAsia" w:ascii="宋体" w:cs="宋体"/>
          <w:szCs w:val="21"/>
        </w:rPr>
        <w:t>。</w:t>
      </w:r>
    </w:p>
    <w:p w14:paraId="4ECD594C">
      <w:pPr>
        <w:snapToGrid w:val="0"/>
        <w:spacing w:line="420" w:lineRule="exact"/>
        <w:ind w:firstLine="420" w:firstLineChars="200"/>
        <w:jc w:val="left"/>
        <w:rPr>
          <w:rFonts w:hint="eastAsia" w:ascii="宋体" w:cs="宋体"/>
          <w:szCs w:val="21"/>
        </w:rPr>
      </w:pPr>
      <w:r>
        <w:rPr>
          <w:rFonts w:hint="eastAsia" w:ascii="宋体" w:cs="宋体"/>
          <w:szCs w:val="21"/>
        </w:rPr>
        <w:t>争议评审小组成员的报酬承担方式：</w:t>
      </w:r>
      <w:r>
        <w:rPr>
          <w:rFonts w:hint="eastAsia" w:ascii="宋体" w:cs="宋体"/>
          <w:szCs w:val="21"/>
          <w:u w:val="single"/>
        </w:rPr>
        <w:t xml:space="preserve">  无   </w:t>
      </w:r>
      <w:r>
        <w:rPr>
          <w:rFonts w:hint="eastAsia" w:ascii="宋体" w:cs="宋体"/>
          <w:szCs w:val="21"/>
        </w:rPr>
        <w:t>。</w:t>
      </w:r>
    </w:p>
    <w:p w14:paraId="65008D3D">
      <w:pPr>
        <w:snapToGrid w:val="0"/>
        <w:spacing w:line="420" w:lineRule="exact"/>
        <w:ind w:firstLine="420" w:firstLineChars="200"/>
        <w:jc w:val="left"/>
        <w:rPr>
          <w:rFonts w:hint="eastAsia" w:ascii="宋体" w:cs="宋体"/>
          <w:szCs w:val="21"/>
        </w:rPr>
      </w:pPr>
      <w:r>
        <w:rPr>
          <w:rFonts w:hint="eastAsia" w:ascii="宋体" w:cs="宋体"/>
          <w:szCs w:val="21"/>
        </w:rPr>
        <w:t>其他事项的约定：</w:t>
      </w:r>
      <w:r>
        <w:rPr>
          <w:rFonts w:hint="eastAsia" w:ascii="宋体" w:cs="宋体"/>
          <w:szCs w:val="21"/>
          <w:u w:val="single"/>
        </w:rPr>
        <w:t xml:space="preserve">  无   </w:t>
      </w:r>
      <w:r>
        <w:rPr>
          <w:rFonts w:hint="eastAsia" w:ascii="宋体" w:cs="宋体"/>
          <w:szCs w:val="21"/>
        </w:rPr>
        <w:t>。</w:t>
      </w:r>
    </w:p>
    <w:p w14:paraId="03B06A94">
      <w:pPr>
        <w:autoSpaceDE w:val="0"/>
        <w:autoSpaceDN w:val="0"/>
        <w:adjustRightInd w:val="0"/>
        <w:snapToGrid w:val="0"/>
        <w:spacing w:line="420" w:lineRule="exact"/>
        <w:ind w:firstLine="420" w:firstLineChars="200"/>
        <w:jc w:val="left"/>
        <w:rPr>
          <w:rFonts w:hint="eastAsia" w:ascii="宋体" w:cs="宋体"/>
          <w:kern w:val="0"/>
          <w:szCs w:val="21"/>
        </w:rPr>
      </w:pPr>
      <w:r>
        <w:rPr>
          <w:rFonts w:hint="eastAsia" w:ascii="宋体" w:cs="宋体"/>
          <w:kern w:val="0"/>
          <w:szCs w:val="21"/>
        </w:rPr>
        <w:t>20.3.2 争议评审小组的决定</w:t>
      </w:r>
    </w:p>
    <w:p w14:paraId="1784E084">
      <w:pPr>
        <w:snapToGrid w:val="0"/>
        <w:spacing w:line="420" w:lineRule="exact"/>
        <w:ind w:firstLine="420" w:firstLineChars="200"/>
        <w:jc w:val="left"/>
        <w:rPr>
          <w:rFonts w:hint="eastAsia" w:ascii="宋体" w:cs="宋体"/>
          <w:szCs w:val="21"/>
        </w:rPr>
      </w:pPr>
      <w:r>
        <w:rPr>
          <w:rFonts w:hint="eastAsia" w:ascii="宋体" w:cs="宋体"/>
          <w:szCs w:val="21"/>
        </w:rPr>
        <w:t>合同当事人关于本项的约定：</w:t>
      </w:r>
      <w:r>
        <w:rPr>
          <w:rFonts w:hint="eastAsia" w:ascii="宋体" w:cs="宋体"/>
          <w:szCs w:val="21"/>
          <w:u w:val="single"/>
        </w:rPr>
        <w:t xml:space="preserve">  无   </w:t>
      </w:r>
      <w:r>
        <w:rPr>
          <w:rFonts w:hint="eastAsia" w:ascii="宋体" w:cs="宋体"/>
          <w:szCs w:val="21"/>
        </w:rPr>
        <w:t>。</w:t>
      </w:r>
    </w:p>
    <w:p w14:paraId="3A893488">
      <w:pPr>
        <w:autoSpaceDE w:val="0"/>
        <w:autoSpaceDN w:val="0"/>
        <w:adjustRightInd w:val="0"/>
        <w:snapToGrid w:val="0"/>
        <w:spacing w:line="420" w:lineRule="exact"/>
        <w:ind w:firstLine="420" w:firstLineChars="200"/>
        <w:jc w:val="left"/>
        <w:rPr>
          <w:rFonts w:hint="eastAsia" w:ascii="宋体" w:cs="宋体"/>
          <w:kern w:val="0"/>
          <w:szCs w:val="21"/>
        </w:rPr>
      </w:pPr>
      <w:r>
        <w:rPr>
          <w:rFonts w:hint="eastAsia" w:ascii="宋体" w:cs="宋体"/>
          <w:kern w:val="0"/>
          <w:szCs w:val="21"/>
        </w:rPr>
        <w:t>20.4仲裁或诉讼</w:t>
      </w:r>
    </w:p>
    <w:p w14:paraId="1647000D">
      <w:pPr>
        <w:autoSpaceDE w:val="0"/>
        <w:autoSpaceDN w:val="0"/>
        <w:adjustRightInd w:val="0"/>
        <w:snapToGrid w:val="0"/>
        <w:spacing w:line="420" w:lineRule="exact"/>
        <w:ind w:firstLine="420" w:firstLineChars="200"/>
        <w:jc w:val="left"/>
        <w:rPr>
          <w:rFonts w:hint="eastAsia" w:ascii="宋体" w:cs="宋体"/>
          <w:kern w:val="0"/>
          <w:szCs w:val="21"/>
        </w:rPr>
      </w:pPr>
      <w:r>
        <w:rPr>
          <w:rFonts w:hint="eastAsia" w:ascii="宋体" w:cs="宋体"/>
          <w:kern w:val="0"/>
          <w:szCs w:val="21"/>
        </w:rPr>
        <w:t>因合同及合同有关事项发生的争议，按下列第</w:t>
      </w:r>
      <w:r>
        <w:rPr>
          <w:rFonts w:hint="eastAsia" w:ascii="宋体" w:cs="宋体"/>
          <w:color w:val="auto"/>
          <w:kern w:val="0"/>
          <w:szCs w:val="21"/>
          <w:u w:val="single"/>
        </w:rPr>
        <w:t xml:space="preserve">  （</w:t>
      </w:r>
      <w:r>
        <w:rPr>
          <w:rFonts w:hint="eastAsia" w:ascii="宋体" w:cs="宋体"/>
          <w:color w:val="auto"/>
          <w:kern w:val="0"/>
          <w:szCs w:val="21"/>
          <w:u w:val="single"/>
          <w:lang w:val="en-US" w:eastAsia="zh-CN"/>
        </w:rPr>
        <w:t>2</w:t>
      </w:r>
      <w:r>
        <w:rPr>
          <w:rFonts w:hint="eastAsia" w:ascii="宋体" w:cs="宋体"/>
          <w:color w:val="auto"/>
          <w:kern w:val="0"/>
          <w:szCs w:val="21"/>
          <w:u w:val="single"/>
        </w:rPr>
        <w:t xml:space="preserve">）   </w:t>
      </w:r>
      <w:r>
        <w:rPr>
          <w:rFonts w:hint="eastAsia" w:ascii="宋体" w:cs="宋体"/>
          <w:kern w:val="0"/>
          <w:szCs w:val="21"/>
        </w:rPr>
        <w:t>种方式解决：</w:t>
      </w:r>
    </w:p>
    <w:p w14:paraId="3AE41BB3">
      <w:pPr>
        <w:numPr>
          <w:ilvl w:val="0"/>
          <w:numId w:val="4"/>
        </w:numPr>
        <w:autoSpaceDE w:val="0"/>
        <w:autoSpaceDN w:val="0"/>
        <w:adjustRightInd w:val="0"/>
        <w:snapToGrid w:val="0"/>
        <w:spacing w:line="420" w:lineRule="exact"/>
        <w:ind w:left="315" w:firstLine="420" w:firstLineChars="200"/>
        <w:jc w:val="left"/>
        <w:rPr>
          <w:rFonts w:hint="eastAsia" w:ascii="宋体" w:cs="宋体"/>
          <w:kern w:val="0"/>
          <w:szCs w:val="21"/>
        </w:rPr>
      </w:pPr>
      <w:r>
        <w:rPr>
          <w:rFonts w:hint="eastAsia" w:ascii="宋体" w:cs="宋体"/>
          <w:kern w:val="0"/>
          <w:szCs w:val="21"/>
        </w:rPr>
        <w:t>向</w:t>
      </w:r>
      <w:r>
        <w:rPr>
          <w:rFonts w:hint="eastAsia" w:ascii="宋体" w:cs="宋体"/>
          <w:kern w:val="0"/>
          <w:szCs w:val="21"/>
          <w:u w:val="single"/>
        </w:rPr>
        <w:t xml:space="preserve">        滁州     </w:t>
      </w:r>
      <w:r>
        <w:rPr>
          <w:rFonts w:hint="eastAsia" w:ascii="宋体" w:cs="宋体"/>
          <w:kern w:val="0"/>
          <w:szCs w:val="21"/>
        </w:rPr>
        <w:t>仲裁委员会申请仲裁；</w:t>
      </w:r>
    </w:p>
    <w:p w14:paraId="12A8A368">
      <w:pPr>
        <w:numPr>
          <w:ilvl w:val="0"/>
          <w:numId w:val="4"/>
        </w:numPr>
        <w:autoSpaceDE w:val="0"/>
        <w:autoSpaceDN w:val="0"/>
        <w:adjustRightInd w:val="0"/>
        <w:snapToGrid w:val="0"/>
        <w:spacing w:line="420" w:lineRule="exact"/>
        <w:ind w:left="315" w:firstLine="420" w:firstLineChars="200"/>
        <w:jc w:val="left"/>
        <w:rPr>
          <w:rFonts w:hint="eastAsia" w:ascii="宋体" w:cs="宋体"/>
          <w:kern w:val="0"/>
          <w:szCs w:val="21"/>
        </w:rPr>
      </w:pPr>
      <w:r>
        <w:rPr>
          <w:rFonts w:hint="eastAsia" w:ascii="宋体" w:cs="宋体"/>
          <w:kern w:val="0"/>
          <w:szCs w:val="21"/>
        </w:rPr>
        <w:t>向</w:t>
      </w:r>
      <w:r>
        <w:rPr>
          <w:rFonts w:hint="eastAsia" w:ascii="宋体" w:cs="宋体"/>
          <w:kern w:val="0"/>
          <w:szCs w:val="21"/>
          <w:u w:val="single"/>
        </w:rPr>
        <w:t xml:space="preserve">     </w:t>
      </w:r>
      <w:r>
        <w:rPr>
          <w:rFonts w:hint="eastAsia" w:ascii="宋体" w:cs="宋体"/>
          <w:szCs w:val="21"/>
          <w:u w:val="single"/>
          <w:lang w:val="en-US" w:eastAsia="zh-CN"/>
        </w:rPr>
        <w:t>招标人所在地</w:t>
      </w:r>
      <w:r>
        <w:rPr>
          <w:rFonts w:hint="eastAsia" w:ascii="宋体" w:cs="宋体"/>
          <w:kern w:val="0"/>
          <w:szCs w:val="21"/>
          <w:u w:val="single"/>
        </w:rPr>
        <w:t xml:space="preserve">   </w:t>
      </w:r>
      <w:r>
        <w:rPr>
          <w:rFonts w:hint="eastAsia" w:ascii="宋体" w:cs="宋体"/>
          <w:kern w:val="0"/>
          <w:szCs w:val="21"/>
        </w:rPr>
        <w:t>人民法院起诉。</w:t>
      </w:r>
    </w:p>
    <w:p w14:paraId="4E542DB0">
      <w:pPr>
        <w:keepNext/>
        <w:keepLines/>
        <w:adjustRightInd w:val="0"/>
        <w:snapToGrid w:val="0"/>
        <w:spacing w:line="384" w:lineRule="auto"/>
        <w:jc w:val="left"/>
        <w:outlineLvl w:val="2"/>
        <w:rPr>
          <w:rFonts w:hint="eastAsia" w:ascii="宋体" w:hAnsi="宋体" w:cs="宋体"/>
          <w:color w:val="000000"/>
        </w:rPr>
      </w:pPr>
      <w:bookmarkStart w:id="865" w:name="_Toc95223485"/>
      <w:r>
        <w:rPr>
          <w:rFonts w:hint="eastAsia" w:ascii="宋体" w:hAnsi="宋体" w:cs="宋体"/>
          <w:color w:val="000000"/>
        </w:rPr>
        <w:t>21. 补充条款</w:t>
      </w:r>
      <w:bookmarkEnd w:id="865"/>
      <w:r>
        <w:rPr>
          <w:rFonts w:hint="eastAsia" w:ascii="宋体" w:hAnsi="宋体" w:cs="宋体"/>
          <w:color w:val="000000"/>
        </w:rPr>
        <w:t xml:space="preserve"> </w:t>
      </w:r>
    </w:p>
    <w:p w14:paraId="5B8AE915">
      <w:pPr>
        <w:adjustRightInd w:val="0"/>
        <w:snapToGrid w:val="0"/>
        <w:spacing w:line="384" w:lineRule="auto"/>
        <w:ind w:firstLine="420" w:firstLineChars="200"/>
        <w:rPr>
          <w:rFonts w:hint="eastAsia" w:ascii="宋体" w:hAnsi="宋体" w:cs="宋体"/>
          <w:color w:val="000000"/>
        </w:rPr>
      </w:pPr>
      <w:r>
        <w:rPr>
          <w:rFonts w:hint="eastAsia" w:ascii="宋体" w:hAnsi="宋体" w:cs="宋体"/>
          <w:color w:val="000000"/>
        </w:rPr>
        <w:t>本补充条款是专用条款的一部分，其解释顺序优先于专用条款内的其他条款。</w:t>
      </w:r>
    </w:p>
    <w:p w14:paraId="14AE0E0C">
      <w:pPr>
        <w:keepNext/>
        <w:keepLines/>
        <w:adjustRightInd w:val="0"/>
        <w:snapToGrid w:val="0"/>
        <w:spacing w:line="384" w:lineRule="auto"/>
        <w:ind w:firstLine="420" w:firstLineChars="200"/>
        <w:outlineLvl w:val="3"/>
        <w:rPr>
          <w:rFonts w:hint="eastAsia" w:ascii="宋体" w:hAnsi="宋体" w:cs="宋体"/>
          <w:bCs/>
          <w:color w:val="000000"/>
          <w:szCs w:val="28"/>
        </w:rPr>
      </w:pPr>
      <w:r>
        <w:rPr>
          <w:rFonts w:hint="eastAsia" w:ascii="宋体" w:hAnsi="宋体" w:cs="宋体"/>
          <w:bCs/>
          <w:color w:val="000000"/>
          <w:szCs w:val="28"/>
        </w:rPr>
        <w:t>21.1 人员及职责</w:t>
      </w:r>
    </w:p>
    <w:p w14:paraId="2CFABEE9">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21.1.1 发包人委派的发包人代表或监理工程师（以下简称“工程师”）无权更改合同，也无权解除发包人和承包人的义务和责任。</w:t>
      </w:r>
    </w:p>
    <w:p w14:paraId="3E44F6EB">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21.1.2 发包人代表的任何批准、检查、证书、同意、通知、建议、检验、指令和要求等不解除承包人在合同中的责任。</w:t>
      </w:r>
    </w:p>
    <w:p w14:paraId="0B2D5A24">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21.1.3 承包人只能从发包人代表或其授权代表处接受指令。</w:t>
      </w:r>
    </w:p>
    <w:p w14:paraId="4B813459">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21.1.4 发包人如需更换发包人代表须提前7天通知承包人。</w:t>
      </w:r>
    </w:p>
    <w:p w14:paraId="1C69E9EA">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21.1.5 投标人委任的项目经理、项目技术负责人、各专业负责人（其他主要管理人员和技术人员）及施工机械等在整个项目施工期内必须在位。</w:t>
      </w:r>
    </w:p>
    <w:p w14:paraId="54C76CB8">
      <w:pPr>
        <w:adjustRightInd w:val="0"/>
        <w:snapToGrid w:val="0"/>
        <w:spacing w:line="384" w:lineRule="auto"/>
        <w:ind w:firstLine="420" w:firstLineChars="200"/>
        <w:rPr>
          <w:rFonts w:hint="eastAsia" w:ascii="宋体" w:hAnsi="宋体" w:cs="宋体"/>
          <w:color w:val="000000"/>
          <w:kern w:val="0"/>
          <w:highlight w:val="none"/>
        </w:rPr>
      </w:pPr>
      <w:r>
        <w:rPr>
          <w:rFonts w:hint="eastAsia" w:ascii="宋体" w:hAnsi="宋体" w:cs="宋体"/>
          <w:color w:val="000000"/>
          <w:kern w:val="0"/>
        </w:rPr>
        <w:t>承包人的项目经理离开现场的，须经发包人代表同意，并书面指定临时代表，代为行使项目经理的权力；该临时代表的一切行为，甲方均认为是项目经理</w:t>
      </w:r>
      <w:r>
        <w:rPr>
          <w:rFonts w:hint="eastAsia" w:ascii="宋体" w:hAnsi="宋体" w:cs="宋体"/>
          <w:color w:val="000000"/>
          <w:kern w:val="0"/>
          <w:highlight w:val="none"/>
        </w:rPr>
        <w:t>的行为。</w:t>
      </w:r>
    </w:p>
    <w:p w14:paraId="7B2B46C3">
      <w:pPr>
        <w:snapToGrid w:val="0"/>
        <w:spacing w:line="440" w:lineRule="exact"/>
        <w:ind w:firstLine="420" w:firstLineChars="200"/>
        <w:rPr>
          <w:rFonts w:hint="eastAsia" w:ascii="宋体" w:hAnsi="宋体" w:cs="宋体"/>
          <w:color w:val="000000"/>
          <w:highlight w:val="none"/>
        </w:rPr>
      </w:pPr>
      <w:r>
        <w:rPr>
          <w:rFonts w:hint="eastAsia" w:ascii="宋体" w:hAnsi="Times New Roman" w:eastAsia="宋体" w:cs="宋体"/>
          <w:szCs w:val="21"/>
          <w:highlight w:val="none"/>
          <w:lang w:val="en-US" w:eastAsia="zh-CN"/>
        </w:rPr>
        <w:t>由于承包人自身原因造成机械设备未能及时到位而影响工程施工的，在发包人提出确切要求到位日期后，仍未到位的视为违约，承包人向发包人支付</w:t>
      </w:r>
      <w:r>
        <w:rPr>
          <w:rFonts w:hint="eastAsia" w:ascii="宋体" w:cs="宋体"/>
          <w:szCs w:val="21"/>
          <w:highlight w:val="none"/>
          <w:lang w:val="en-US" w:eastAsia="zh-CN"/>
        </w:rPr>
        <w:t>10</w:t>
      </w:r>
      <w:r>
        <w:rPr>
          <w:rFonts w:hint="eastAsia" w:ascii="宋体" w:hAnsi="Times New Roman" w:eastAsia="宋体" w:cs="宋体"/>
          <w:szCs w:val="21"/>
          <w:highlight w:val="none"/>
          <w:lang w:val="en-US" w:eastAsia="zh-CN"/>
        </w:rPr>
        <w:t>万元违约金。</w:t>
      </w:r>
    </w:p>
    <w:p w14:paraId="00BE78F0">
      <w:pPr>
        <w:adjustRightInd w:val="0"/>
        <w:snapToGrid w:val="0"/>
        <w:spacing w:line="384" w:lineRule="auto"/>
        <w:ind w:firstLine="420" w:firstLineChars="200"/>
        <w:rPr>
          <w:rFonts w:hint="eastAsia" w:ascii="宋体" w:hAnsi="宋体" w:cs="宋体"/>
          <w:color w:val="000000"/>
          <w:highlight w:val="none"/>
        </w:rPr>
      </w:pPr>
      <w:r>
        <w:rPr>
          <w:rFonts w:hint="eastAsia" w:ascii="宋体" w:hAnsi="宋体" w:cs="宋体"/>
          <w:color w:val="000000"/>
          <w:highlight w:val="none"/>
        </w:rPr>
        <w:t>21.1.6 承包人提交发包人的任何文件，发包人都认为该文件已经承包人内部程序批准；承包人提交的文件发生修改的，应及时将最新版本提交发包人代表。</w:t>
      </w:r>
    </w:p>
    <w:p w14:paraId="7E4392EE">
      <w:pPr>
        <w:adjustRightInd w:val="0"/>
        <w:snapToGrid w:val="0"/>
        <w:spacing w:line="384" w:lineRule="auto"/>
        <w:ind w:firstLine="420" w:firstLineChars="200"/>
        <w:rPr>
          <w:rFonts w:hint="eastAsia" w:ascii="宋体" w:hAnsi="宋体" w:cs="宋体"/>
          <w:color w:val="000000"/>
          <w:highlight w:val="none"/>
        </w:rPr>
      </w:pPr>
      <w:r>
        <w:rPr>
          <w:rFonts w:hint="eastAsia" w:ascii="宋体" w:hAnsi="宋体" w:cs="宋体"/>
          <w:color w:val="000000"/>
          <w:highlight w:val="none"/>
        </w:rPr>
        <w:t>21.1.7 承包人应始终采取一切合理防范措施来避免在项目人员内部发生违法、动乱或妨碍治安的行为，保持项目的安定；并保护好现场和周围的人员和财产安全。</w:t>
      </w:r>
    </w:p>
    <w:p w14:paraId="4DAC4F44">
      <w:pPr>
        <w:adjustRightInd w:val="0"/>
        <w:snapToGrid w:val="0"/>
        <w:spacing w:line="384" w:lineRule="auto"/>
        <w:ind w:firstLine="420" w:firstLineChars="200"/>
        <w:rPr>
          <w:rFonts w:hint="eastAsia" w:ascii="宋体" w:hAnsi="宋体" w:cs="宋体"/>
          <w:color w:val="000000"/>
          <w:highlight w:val="none"/>
        </w:rPr>
      </w:pPr>
      <w:r>
        <w:rPr>
          <w:rFonts w:hint="eastAsia" w:ascii="宋体" w:hAnsi="宋体" w:cs="宋体"/>
          <w:color w:val="000000"/>
          <w:highlight w:val="none"/>
        </w:rPr>
        <w:t>21.1.8 承包人雇佣职员或工人应遵守相关法律法规的规定。</w:t>
      </w:r>
    </w:p>
    <w:p w14:paraId="7FC64190">
      <w:pPr>
        <w:adjustRightInd w:val="0"/>
        <w:snapToGrid w:val="0"/>
        <w:spacing w:line="384" w:lineRule="auto"/>
        <w:ind w:firstLine="420" w:firstLineChars="200"/>
        <w:rPr>
          <w:rFonts w:hint="eastAsia" w:ascii="宋体" w:hAnsi="宋体" w:cs="宋体"/>
          <w:color w:val="000000"/>
          <w:highlight w:val="none"/>
        </w:rPr>
      </w:pPr>
      <w:r>
        <w:rPr>
          <w:rFonts w:hint="eastAsia" w:ascii="宋体" w:hAnsi="宋体" w:cs="宋体"/>
          <w:color w:val="000000"/>
          <w:highlight w:val="none"/>
        </w:rPr>
        <w:t>21.1.9 参与本项目的承包人代表或其雇员不遵守合同规定或一贯行为不轨或或不能胜任工作或危害安全，发包人代表有权要求更换；原人选未经发包人许可不得再进入本项目（包括项目经理在内）。</w:t>
      </w:r>
    </w:p>
    <w:p w14:paraId="55EA44CF">
      <w:pPr>
        <w:adjustRightInd w:val="0"/>
        <w:snapToGrid w:val="0"/>
        <w:spacing w:line="384" w:lineRule="auto"/>
        <w:ind w:firstLine="420" w:firstLineChars="200"/>
        <w:rPr>
          <w:rFonts w:hint="eastAsia" w:ascii="宋体" w:hAnsi="宋体" w:cs="宋体"/>
          <w:color w:val="000000"/>
          <w:highlight w:val="none"/>
        </w:rPr>
      </w:pPr>
      <w:r>
        <w:rPr>
          <w:rFonts w:hint="eastAsia" w:ascii="宋体" w:hAnsi="宋体" w:cs="宋体"/>
          <w:color w:val="000000"/>
          <w:highlight w:val="none"/>
        </w:rPr>
        <w:t>21.1.10 承包人更换项目经理的，须提前14天通知发包人，并征得发包人同意；该行为视为违约，承包人须支付发包人</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val="en-US" w:eastAsia="zh-CN"/>
        </w:rPr>
        <w:t>10</w:t>
      </w:r>
      <w:r>
        <w:rPr>
          <w:rFonts w:hint="eastAsia" w:ascii="宋体" w:hAnsi="宋体" w:cs="宋体"/>
          <w:color w:val="000000"/>
          <w:highlight w:val="none"/>
          <w:u w:val="single"/>
        </w:rPr>
        <w:t xml:space="preserve">  </w:t>
      </w:r>
      <w:r>
        <w:rPr>
          <w:rFonts w:hint="eastAsia" w:ascii="宋体" w:hAnsi="宋体" w:cs="宋体"/>
          <w:color w:val="000000"/>
          <w:highlight w:val="none"/>
        </w:rPr>
        <w:t>万元违约金。更换后的项目经理资历、水平不得降低。</w:t>
      </w:r>
    </w:p>
    <w:p w14:paraId="71241253">
      <w:pPr>
        <w:keepNext/>
        <w:keepLines/>
        <w:adjustRightInd w:val="0"/>
        <w:snapToGrid w:val="0"/>
        <w:spacing w:line="384" w:lineRule="auto"/>
        <w:ind w:firstLine="420" w:firstLineChars="200"/>
        <w:outlineLvl w:val="3"/>
        <w:rPr>
          <w:rFonts w:hint="eastAsia" w:ascii="宋体" w:hAnsi="宋体" w:cs="宋体"/>
          <w:bCs/>
          <w:color w:val="000000"/>
          <w:szCs w:val="28"/>
        </w:rPr>
      </w:pPr>
      <w:r>
        <w:rPr>
          <w:rFonts w:hint="eastAsia" w:ascii="宋体" w:hAnsi="宋体" w:cs="宋体"/>
          <w:bCs/>
          <w:color w:val="000000"/>
          <w:szCs w:val="28"/>
        </w:rPr>
        <w:t>21.2 变更与调整</w:t>
      </w:r>
    </w:p>
    <w:p w14:paraId="77CEA2CE">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21.2.1 在工程移交前，发包人代表有权签发变更指令，承包人应按照指令来实施变更，并进行工期和费用的估算，提交发包人代表。</w:t>
      </w:r>
    </w:p>
    <w:p w14:paraId="02A9FCB7">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21.2.2 发包人代表收到承包人的估算后，可以决定撤销、修改或确认实施该项变更。</w:t>
      </w:r>
    </w:p>
    <w:p w14:paraId="2BBE2093">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21.2.3 如果承包人认为自己的建议能缩短工期、降低工程实施或运营成本，或对业主产生其他利益，可以向发包人代表提交建议书；建议书的编制费用自理。</w:t>
      </w:r>
    </w:p>
    <w:p w14:paraId="2A9E72AC">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21.2.4 如果发包人采纳承包人的建议节省了工程费用，将给予承包人节约费用适当比例的奖励。</w:t>
      </w:r>
    </w:p>
    <w:p w14:paraId="43776F88">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21.2.5 上一款中节省费用的计算方法为：降低的合同额度减去因变更而引起在工程质量、寿命、以及运营效率等方面为发包人带来的潜在损失。</w:t>
      </w:r>
    </w:p>
    <w:p w14:paraId="7D7E7B3C">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21.2.6 任何变更指令都应由发包人代表签发给承包人，承包人收到后应回函说明；涉及到费用调整的，按照相关条款执行。</w:t>
      </w:r>
    </w:p>
    <w:p w14:paraId="0439841F">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21.2.7 设计文件示意内容的尺寸做法、要求等标注有错误、有遗漏，或理解不一致，发包人或其委托的勘查设计单位根据工程施工需要而对其进行更正和补充的，称为技术核定；技术核定不调整合同价款，也不调整工期。</w:t>
      </w:r>
    </w:p>
    <w:p w14:paraId="26674B62">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21.2.8 未经发包人代表批准，承包人不得对工程进行任何变更。</w:t>
      </w:r>
    </w:p>
    <w:p w14:paraId="50CEEF06">
      <w:pPr>
        <w:keepNext/>
        <w:keepLines/>
        <w:adjustRightInd w:val="0"/>
        <w:snapToGrid w:val="0"/>
        <w:spacing w:line="384" w:lineRule="auto"/>
        <w:ind w:firstLine="420" w:firstLineChars="200"/>
        <w:outlineLvl w:val="3"/>
        <w:rPr>
          <w:rFonts w:hint="eastAsia" w:ascii="宋体" w:hAnsi="宋体" w:cs="宋体"/>
          <w:bCs/>
          <w:color w:val="000000"/>
          <w:szCs w:val="28"/>
        </w:rPr>
      </w:pPr>
      <w:r>
        <w:rPr>
          <w:rFonts w:hint="eastAsia" w:ascii="宋体" w:hAnsi="宋体" w:cs="宋体"/>
          <w:bCs/>
          <w:color w:val="000000"/>
          <w:szCs w:val="28"/>
        </w:rPr>
        <w:t>21.3 分包与配合</w:t>
      </w:r>
    </w:p>
    <w:p w14:paraId="0F5D53A3">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21.3.1 承包人进行工程分包的，应遵守通用条款相关规定，发包人视其为承包人自行施工的工程；发包人代表对分包的同意或批准并不解除承包人的任何责任，也不代表发包人对此承担任何责任。</w:t>
      </w:r>
    </w:p>
    <w:p w14:paraId="77319BAC">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21.3.7 凡在与已交工工程有关联的部位施工时，必须提前向甲方提出书面联系单，经甲方同意，并签字后方可施工。</w:t>
      </w:r>
    </w:p>
    <w:p w14:paraId="3A22224C">
      <w:pPr>
        <w:keepNext/>
        <w:keepLines/>
        <w:adjustRightInd w:val="0"/>
        <w:snapToGrid w:val="0"/>
        <w:spacing w:line="384" w:lineRule="auto"/>
        <w:ind w:firstLine="420" w:firstLineChars="200"/>
        <w:outlineLvl w:val="3"/>
        <w:rPr>
          <w:rFonts w:hint="eastAsia" w:ascii="宋体" w:hAnsi="宋体" w:cs="宋体"/>
          <w:bCs/>
          <w:color w:val="000000"/>
          <w:szCs w:val="28"/>
        </w:rPr>
      </w:pPr>
      <w:r>
        <w:rPr>
          <w:rFonts w:hint="eastAsia" w:ascii="宋体" w:hAnsi="宋体" w:cs="宋体"/>
          <w:bCs/>
          <w:color w:val="000000"/>
          <w:szCs w:val="28"/>
        </w:rPr>
        <w:t>21.4 结算</w:t>
      </w:r>
    </w:p>
    <w:p w14:paraId="44D9DF34">
      <w:pPr>
        <w:adjustRightInd w:val="0"/>
        <w:snapToGrid w:val="0"/>
        <w:spacing w:line="384" w:lineRule="auto"/>
        <w:ind w:firstLine="420" w:firstLineChars="200"/>
        <w:rPr>
          <w:rFonts w:hint="eastAsia" w:ascii="宋体" w:hAnsi="宋体" w:cs="宋体"/>
          <w:color w:val="000000"/>
          <w:kern w:val="0"/>
        </w:rPr>
      </w:pPr>
      <w:r>
        <w:rPr>
          <w:rFonts w:hint="eastAsia" w:ascii="宋体" w:hAnsi="宋体" w:cs="宋体"/>
          <w:color w:val="000000"/>
          <w:kern w:val="0"/>
        </w:rPr>
        <w:t>21.4.1 承包人的投标报价（合同价款）是承包人基于业主提供的资料和现场数据及承包人的解释和现场考察计算出来的，覆盖了完成合同义务所包括的一切工作，不得以漏项或考虑不周提出索赔。</w:t>
      </w:r>
    </w:p>
    <w:p w14:paraId="556EC024">
      <w:pPr>
        <w:adjustRightInd w:val="0"/>
        <w:snapToGrid w:val="0"/>
        <w:spacing w:line="384" w:lineRule="auto"/>
        <w:ind w:firstLine="420" w:firstLineChars="200"/>
        <w:rPr>
          <w:rFonts w:hint="eastAsia" w:ascii="宋体" w:hAnsi="宋体" w:eastAsia="宋体" w:cs="宋体"/>
          <w:color w:val="000000"/>
          <w:kern w:val="0"/>
        </w:rPr>
      </w:pPr>
      <w:r>
        <w:rPr>
          <w:rFonts w:hint="eastAsia" w:ascii="宋体" w:hAnsi="宋体" w:eastAsia="宋体" w:cs="宋体"/>
          <w:color w:val="000000"/>
          <w:kern w:val="0"/>
        </w:rPr>
        <w:t>21.4.3 发包人供应材料设备的结算：材料按照总价的</w:t>
      </w:r>
      <w:r>
        <w:rPr>
          <w:rFonts w:hint="eastAsia" w:ascii="宋体" w:hAnsi="宋体" w:eastAsia="宋体" w:cs="宋体"/>
          <w:color w:val="000000"/>
          <w:kern w:val="0"/>
          <w:u w:val="single"/>
        </w:rPr>
        <w:t xml:space="preserve">     </w:t>
      </w:r>
      <w:r>
        <w:rPr>
          <w:rFonts w:hint="eastAsia" w:ascii="宋体" w:hAnsi="宋体" w:eastAsia="宋体" w:cs="宋体"/>
          <w:color w:val="000000"/>
          <w:kern w:val="0"/>
        </w:rPr>
        <w:t>%计取保管费（材料数量最多不超过设计文件的用量（可以计算定额损耗））；设备按照总价的</w:t>
      </w:r>
      <w:r>
        <w:rPr>
          <w:rFonts w:hint="eastAsia" w:ascii="宋体" w:hAnsi="宋体" w:eastAsia="宋体" w:cs="宋体"/>
          <w:color w:val="000000"/>
          <w:kern w:val="0"/>
          <w:u w:val="single"/>
        </w:rPr>
        <w:t xml:space="preserve">     </w:t>
      </w:r>
      <w:r>
        <w:rPr>
          <w:rFonts w:hint="eastAsia" w:ascii="宋体" w:hAnsi="宋体" w:eastAsia="宋体" w:cs="宋体"/>
          <w:color w:val="000000"/>
          <w:kern w:val="0"/>
        </w:rPr>
        <w:t>%计取保管费；此费用仅计取税金。</w:t>
      </w:r>
    </w:p>
    <w:p w14:paraId="3C72B768">
      <w:pPr>
        <w:adjustRightInd w:val="0"/>
        <w:snapToGrid w:val="0"/>
        <w:spacing w:line="384" w:lineRule="auto"/>
        <w:ind w:firstLine="420" w:firstLineChars="200"/>
        <w:rPr>
          <w:rFonts w:hint="eastAsia" w:ascii="宋体" w:hAnsi="宋体" w:eastAsia="宋体" w:cs="宋体"/>
          <w:color w:val="000000"/>
          <w:kern w:val="0"/>
        </w:rPr>
      </w:pPr>
      <w:r>
        <w:rPr>
          <w:rFonts w:hint="eastAsia" w:ascii="宋体" w:hAnsi="宋体" w:eastAsia="宋体" w:cs="宋体"/>
          <w:color w:val="000000"/>
          <w:kern w:val="0"/>
        </w:rPr>
        <w:t>21.4.4 分包工程的总承包配合费和配合工程的配合费：分包工程的总承包配合费按照分包工程价格确定，一次包死，不随分包工程结算价款的调整而调整；配合工程的配合费也一次包死；该两项费用仅计取税金。</w:t>
      </w:r>
    </w:p>
    <w:p w14:paraId="656FD8B1">
      <w:pPr>
        <w:adjustRightInd w:val="0"/>
        <w:snapToGrid w:val="0"/>
        <w:spacing w:line="384" w:lineRule="auto"/>
        <w:ind w:firstLine="420" w:firstLineChars="200"/>
        <w:rPr>
          <w:rFonts w:hint="eastAsia" w:ascii="宋体" w:hAnsi="宋体" w:eastAsia="宋体" w:cs="宋体"/>
          <w:color w:val="000000"/>
          <w:kern w:val="0"/>
        </w:rPr>
      </w:pPr>
      <w:r>
        <w:rPr>
          <w:rFonts w:hint="eastAsia" w:ascii="宋体" w:hAnsi="宋体" w:eastAsia="宋体" w:cs="宋体"/>
          <w:color w:val="000000"/>
          <w:kern w:val="0"/>
        </w:rPr>
        <w:t>21.4.5对于发包人提供的工程量清单中的单项子目，承包人没有报价的，发包人认为视同该项价格已经包括在其他项目中。</w:t>
      </w:r>
    </w:p>
    <w:p w14:paraId="1385CF6D">
      <w:pPr>
        <w:adjustRightInd w:val="0"/>
        <w:snapToGrid w:val="0"/>
        <w:spacing w:line="384" w:lineRule="auto"/>
        <w:ind w:firstLine="420" w:firstLineChars="200"/>
        <w:rPr>
          <w:rFonts w:hint="eastAsia" w:ascii="宋体" w:hAnsi="宋体" w:eastAsia="宋体" w:cs="宋体"/>
          <w:color w:val="000000"/>
          <w:kern w:val="0"/>
          <w:lang w:val="en-US" w:eastAsia="zh-CN"/>
        </w:rPr>
      </w:pPr>
      <w:r>
        <w:rPr>
          <w:rFonts w:hint="eastAsia" w:ascii="宋体" w:hAnsi="宋体" w:eastAsia="宋体" w:cs="宋体"/>
          <w:color w:val="000000"/>
          <w:kern w:val="0"/>
          <w:lang w:val="en-US" w:eastAsia="zh-CN"/>
        </w:rPr>
        <w:t>21.5承包人施工场地与服务区运营有交叉、干扰的地段，承包人应在不干扰服务区正常运营的前提下合理安排生产，如有争议应服从发包方协调。如因承包人采取的措施不当干扰服务区正常安全运营；或给服务区经营方、发包人或司乘人员造成损失；或造成本合同供货、服务期拖延或、费用增加等，均由承包人自行承担，发包人不另行支付。如第三方就此对发包人提起任何索赔，由承包人负责处理并赔偿对发包人造成的一切损失。</w:t>
      </w:r>
    </w:p>
    <w:p w14:paraId="1F7DE0BA">
      <w:pPr>
        <w:adjustRightInd w:val="0"/>
        <w:snapToGrid w:val="0"/>
        <w:spacing w:line="384" w:lineRule="auto"/>
        <w:ind w:firstLine="420" w:firstLineChars="200"/>
        <w:rPr>
          <w:rFonts w:hint="eastAsia" w:ascii="宋体" w:hAnsi="宋体" w:eastAsia="宋体" w:cs="宋体"/>
          <w:color w:val="000000"/>
          <w:kern w:val="0"/>
          <w:lang w:val="en-US" w:eastAsia="zh-CN"/>
        </w:rPr>
      </w:pPr>
      <w:r>
        <w:rPr>
          <w:rFonts w:hint="eastAsia" w:ascii="宋体" w:hAnsi="宋体" w:eastAsia="宋体" w:cs="宋体"/>
          <w:color w:val="000000"/>
          <w:kern w:val="0"/>
          <w:lang w:val="en-US" w:eastAsia="zh-CN"/>
        </w:rPr>
        <w:t>21.6承包人应按国家、省及市相关文件以及业主要求做好安全生产和环境保护相关工作。安全生产费用和环境保护费用已包括在合同价中，根据承包人安全生产和环境保护实际投入情况，由发包人审批后进行计量与支付；超出总额报价或发包人批复的预算范围内的，超出费用视为承包人报价已包含在其它单价之中，不再另外计量与支付。</w:t>
      </w:r>
    </w:p>
    <w:p w14:paraId="76B3E75A">
      <w:pPr>
        <w:adjustRightInd w:val="0"/>
        <w:snapToGrid w:val="0"/>
        <w:spacing w:line="384" w:lineRule="auto"/>
        <w:ind w:firstLine="420" w:firstLineChars="200"/>
        <w:rPr>
          <w:rFonts w:hint="default" w:ascii="宋体" w:hAnsi="宋体" w:eastAsia="宋体" w:cs="宋体"/>
          <w:color w:val="000000"/>
          <w:kern w:val="0"/>
          <w:lang w:val="en-US" w:eastAsia="zh-CN"/>
        </w:rPr>
      </w:pPr>
      <w:r>
        <w:rPr>
          <w:rFonts w:hint="eastAsia" w:ascii="宋体" w:hAnsi="宋体" w:eastAsia="宋体" w:cs="宋体"/>
          <w:color w:val="000000"/>
          <w:kern w:val="0"/>
          <w:lang w:val="en-US" w:eastAsia="zh-CN"/>
        </w:rPr>
        <w:t>21.7因施工安全措施不到位造成交通组织混乱，收到相关主管部门通报或社会投诉，处以违约金1万元/次。</w:t>
      </w:r>
    </w:p>
    <w:p w14:paraId="69AA44D9">
      <w:pPr>
        <w:adjustRightInd w:val="0"/>
        <w:snapToGrid w:val="0"/>
        <w:spacing w:line="384" w:lineRule="auto"/>
        <w:ind w:firstLine="420" w:firstLineChars="200"/>
        <w:rPr>
          <w:rFonts w:hint="default" w:ascii="宋体" w:hAnsi="宋体" w:eastAsia="宋体" w:cs="宋体"/>
          <w:color w:val="000000"/>
          <w:kern w:val="0"/>
          <w:lang w:val="en-US" w:eastAsia="zh-CN"/>
        </w:rPr>
      </w:pPr>
      <w:r>
        <w:rPr>
          <w:rFonts w:hint="eastAsia" w:ascii="宋体" w:hAnsi="宋体" w:cs="宋体"/>
          <w:color w:val="000000"/>
          <w:kern w:val="0"/>
          <w:lang w:val="en-US" w:eastAsia="zh-CN"/>
        </w:rPr>
        <w:t>21.8</w:t>
      </w:r>
      <w:r>
        <w:rPr>
          <w:rFonts w:hint="eastAsia" w:ascii="宋体" w:hAnsi="宋体" w:eastAsia="宋体" w:cs="宋体"/>
          <w:color w:val="000000"/>
          <w:kern w:val="0"/>
          <w:lang w:val="en-US" w:eastAsia="zh-CN"/>
        </w:rPr>
        <w:t>因污水临时处理措施不到位导致环境污染，收到相关主管部门通报或社会投诉，处以违约金2万元/次。</w:t>
      </w:r>
    </w:p>
    <w:p w14:paraId="6DA99E0C"/>
    <w:p w14:paraId="461A6CA7">
      <w:pPr>
        <w:adjustRightInd w:val="0"/>
        <w:snapToGrid w:val="0"/>
        <w:spacing w:line="360" w:lineRule="auto"/>
        <w:rPr>
          <w:rFonts w:hint="eastAsia" w:ascii="宋体" w:hAnsi="宋体" w:cs="宋体"/>
          <w:color w:val="000000"/>
        </w:rPr>
      </w:pPr>
      <w:r>
        <w:rPr>
          <w:rFonts w:hint="eastAsia" w:ascii="宋体" w:hAnsi="宋体" w:cs="宋体"/>
          <w:color w:val="000000"/>
        </w:rPr>
        <w:t>发包人：  (公章)                           承包人：  (公章)</w:t>
      </w:r>
    </w:p>
    <w:p w14:paraId="75AFBB71">
      <w:pPr>
        <w:adjustRightInd w:val="0"/>
        <w:snapToGrid w:val="0"/>
        <w:spacing w:line="360" w:lineRule="auto"/>
        <w:rPr>
          <w:rFonts w:hint="eastAsia" w:ascii="宋体" w:hAnsi="宋体" w:cs="宋体"/>
          <w:color w:val="000000"/>
        </w:rPr>
      </w:pPr>
      <w:r>
        <w:rPr>
          <w:rFonts w:hint="eastAsia" w:ascii="宋体" w:hAnsi="宋体" w:cs="宋体"/>
          <w:color w:val="000000"/>
        </w:rPr>
        <w:t>法定代表人或其委托代理人：                 法定代表人或其委托代理人：</w:t>
      </w:r>
    </w:p>
    <w:p w14:paraId="2082B6C9">
      <w:pPr>
        <w:adjustRightInd w:val="0"/>
        <w:snapToGrid w:val="0"/>
        <w:spacing w:line="360" w:lineRule="auto"/>
        <w:rPr>
          <w:rFonts w:hint="eastAsia" w:ascii="宋体" w:hAnsi="宋体" w:cs="宋体"/>
          <w:color w:val="000000"/>
        </w:rPr>
      </w:pPr>
      <w:r>
        <w:rPr>
          <w:rFonts w:hint="eastAsia" w:ascii="宋体" w:hAnsi="宋体" w:cs="宋体"/>
          <w:color w:val="000000"/>
        </w:rPr>
        <w:t>（签字）                                  （签字）</w:t>
      </w:r>
    </w:p>
    <w:p w14:paraId="4F72921B">
      <w:pPr>
        <w:adjustRightInd w:val="0"/>
        <w:snapToGrid w:val="0"/>
        <w:spacing w:line="360" w:lineRule="auto"/>
        <w:rPr>
          <w:rFonts w:hint="eastAsia" w:ascii="宋体" w:hAnsi="宋体" w:cs="宋体"/>
          <w:color w:val="000000"/>
          <w:u w:val="single"/>
        </w:rPr>
      </w:pPr>
      <w:r>
        <w:rPr>
          <w:rFonts w:hint="eastAsia" w:ascii="宋体" w:hAnsi="宋体" w:cs="宋体"/>
          <w:color w:val="000000"/>
        </w:rPr>
        <w:t>组织机构代码：</w:t>
      </w:r>
      <w:r>
        <w:rPr>
          <w:rFonts w:hint="eastAsia" w:ascii="宋体" w:hAnsi="宋体" w:cs="宋体"/>
          <w:color w:val="000000"/>
          <w:u w:val="single"/>
        </w:rPr>
        <w:t xml:space="preserve">            </w:t>
      </w:r>
      <w:r>
        <w:rPr>
          <w:rFonts w:hint="eastAsia" w:ascii="宋体" w:hAnsi="宋体" w:cs="宋体"/>
          <w:color w:val="000000"/>
        </w:rPr>
        <w:t xml:space="preserve">                组织机构代码：</w:t>
      </w:r>
      <w:r>
        <w:rPr>
          <w:rFonts w:hint="eastAsia" w:ascii="宋体" w:hAnsi="宋体" w:cs="宋体"/>
          <w:color w:val="000000"/>
          <w:u w:val="single"/>
        </w:rPr>
        <w:t xml:space="preserve">          </w:t>
      </w:r>
    </w:p>
    <w:p w14:paraId="510A5AAC">
      <w:pPr>
        <w:adjustRightInd w:val="0"/>
        <w:snapToGrid w:val="0"/>
        <w:spacing w:line="360" w:lineRule="auto"/>
        <w:rPr>
          <w:rFonts w:hint="eastAsia" w:ascii="宋体" w:hAnsi="宋体" w:cs="宋体"/>
          <w:color w:val="000000"/>
        </w:rPr>
      </w:pPr>
      <w:r>
        <w:rPr>
          <w:rFonts w:hint="eastAsia" w:ascii="宋体" w:hAnsi="宋体" w:cs="宋体"/>
          <w:color w:val="000000"/>
        </w:rPr>
        <w:t>地  址：</w:t>
      </w:r>
      <w:r>
        <w:rPr>
          <w:rFonts w:hint="eastAsia" w:ascii="宋体" w:hAnsi="宋体" w:cs="宋体"/>
          <w:color w:val="000000"/>
          <w:u w:val="single"/>
        </w:rPr>
        <w:t xml:space="preserve">                    </w:t>
      </w:r>
      <w:r>
        <w:rPr>
          <w:rFonts w:hint="eastAsia" w:ascii="宋体" w:hAnsi="宋体" w:cs="宋体"/>
          <w:color w:val="000000"/>
        </w:rPr>
        <w:t xml:space="preserve">                地  址：</w:t>
      </w:r>
      <w:r>
        <w:rPr>
          <w:rFonts w:hint="eastAsia" w:ascii="宋体" w:hAnsi="宋体" w:cs="宋体"/>
          <w:color w:val="000000"/>
          <w:u w:val="single"/>
        </w:rPr>
        <w:t xml:space="preserve">                  </w:t>
      </w:r>
    </w:p>
    <w:p w14:paraId="00262A33">
      <w:pPr>
        <w:adjustRightInd w:val="0"/>
        <w:snapToGrid w:val="0"/>
        <w:spacing w:line="360" w:lineRule="auto"/>
        <w:rPr>
          <w:rFonts w:hint="eastAsia" w:ascii="宋体" w:hAnsi="宋体" w:cs="宋体"/>
          <w:color w:val="000000"/>
        </w:rPr>
      </w:pPr>
      <w:r>
        <w:rPr>
          <w:rFonts w:hint="eastAsia" w:ascii="宋体" w:hAnsi="宋体" w:cs="宋体"/>
          <w:color w:val="000000"/>
        </w:rPr>
        <w:t>邮政编码：</w:t>
      </w:r>
      <w:r>
        <w:rPr>
          <w:rFonts w:hint="eastAsia" w:ascii="宋体" w:hAnsi="宋体" w:cs="宋体"/>
          <w:color w:val="000000"/>
          <w:u w:val="single"/>
        </w:rPr>
        <w:t xml:space="preserve">                </w:t>
      </w:r>
      <w:r>
        <w:rPr>
          <w:rFonts w:hint="eastAsia" w:ascii="宋体" w:hAnsi="宋体" w:cs="宋体"/>
          <w:color w:val="000000"/>
        </w:rPr>
        <w:t xml:space="preserve">               邮政编码：</w:t>
      </w:r>
      <w:r>
        <w:rPr>
          <w:rFonts w:hint="eastAsia" w:ascii="宋体" w:hAnsi="宋体" w:cs="宋体"/>
          <w:color w:val="000000"/>
          <w:u w:val="single"/>
        </w:rPr>
        <w:t xml:space="preserve">                   </w:t>
      </w:r>
    </w:p>
    <w:p w14:paraId="636C657E">
      <w:pPr>
        <w:adjustRightInd w:val="0"/>
        <w:snapToGrid w:val="0"/>
        <w:spacing w:line="360" w:lineRule="auto"/>
        <w:rPr>
          <w:rFonts w:hint="eastAsia" w:ascii="宋体" w:hAnsi="宋体" w:cs="宋体"/>
          <w:color w:val="000000"/>
        </w:rPr>
      </w:pPr>
      <w:r>
        <w:rPr>
          <w:rFonts w:hint="eastAsia" w:ascii="宋体" w:hAnsi="宋体" w:cs="宋体"/>
          <w:color w:val="000000"/>
        </w:rPr>
        <w:t>法定代表人：</w:t>
      </w:r>
      <w:r>
        <w:rPr>
          <w:rFonts w:hint="eastAsia" w:ascii="宋体" w:hAnsi="宋体" w:cs="宋体"/>
          <w:color w:val="000000"/>
          <w:u w:val="single"/>
        </w:rPr>
        <w:t xml:space="preserve">            </w:t>
      </w:r>
      <w:r>
        <w:rPr>
          <w:rFonts w:hint="eastAsia" w:ascii="宋体" w:hAnsi="宋体" w:cs="宋体"/>
          <w:color w:val="000000"/>
        </w:rPr>
        <w:t xml:space="preserve">                法定代表人：</w:t>
      </w:r>
      <w:r>
        <w:rPr>
          <w:rFonts w:hint="eastAsia" w:ascii="宋体" w:hAnsi="宋体" w:cs="宋体"/>
          <w:color w:val="000000"/>
          <w:u w:val="single"/>
        </w:rPr>
        <w:t xml:space="preserve">            </w:t>
      </w:r>
    </w:p>
    <w:p w14:paraId="0D000CD5">
      <w:pPr>
        <w:adjustRightInd w:val="0"/>
        <w:snapToGrid w:val="0"/>
        <w:spacing w:line="360" w:lineRule="auto"/>
        <w:rPr>
          <w:rFonts w:hint="eastAsia" w:ascii="宋体" w:hAnsi="宋体" w:cs="宋体"/>
          <w:color w:val="000000"/>
        </w:rPr>
      </w:pPr>
      <w:r>
        <w:rPr>
          <w:rFonts w:hint="eastAsia" w:ascii="宋体" w:hAnsi="宋体" w:cs="宋体"/>
          <w:color w:val="000000"/>
        </w:rPr>
        <w:t>委托代理人：</w:t>
      </w:r>
      <w:r>
        <w:rPr>
          <w:rFonts w:hint="eastAsia" w:ascii="宋体" w:hAnsi="宋体" w:cs="宋体"/>
          <w:color w:val="000000"/>
          <w:u w:val="single"/>
        </w:rPr>
        <w:t xml:space="preserve">                </w:t>
      </w:r>
      <w:r>
        <w:rPr>
          <w:rFonts w:hint="eastAsia" w:ascii="宋体" w:hAnsi="宋体" w:cs="宋体"/>
          <w:color w:val="000000"/>
        </w:rPr>
        <w:t xml:space="preserve">                委托代理人：</w:t>
      </w:r>
      <w:r>
        <w:rPr>
          <w:rFonts w:hint="eastAsia" w:ascii="宋体" w:hAnsi="宋体" w:cs="宋体"/>
          <w:color w:val="000000"/>
          <w:u w:val="single"/>
        </w:rPr>
        <w:t xml:space="preserve">                </w:t>
      </w:r>
    </w:p>
    <w:p w14:paraId="74C80206">
      <w:pPr>
        <w:adjustRightInd w:val="0"/>
        <w:snapToGrid w:val="0"/>
        <w:spacing w:line="360" w:lineRule="auto"/>
        <w:rPr>
          <w:rFonts w:hint="eastAsia" w:ascii="宋体" w:hAnsi="宋体" w:cs="宋体"/>
          <w:color w:val="000000"/>
        </w:rPr>
      </w:pPr>
      <w:r>
        <w:rPr>
          <w:rFonts w:hint="eastAsia" w:ascii="宋体" w:hAnsi="宋体" w:cs="宋体"/>
          <w:color w:val="000000"/>
        </w:rPr>
        <w:t>电  话：</w:t>
      </w:r>
      <w:r>
        <w:rPr>
          <w:rFonts w:hint="eastAsia" w:ascii="宋体" w:hAnsi="宋体" w:cs="宋体"/>
          <w:color w:val="000000"/>
          <w:u w:val="single"/>
        </w:rPr>
        <w:t xml:space="preserve">                   </w:t>
      </w:r>
      <w:r>
        <w:rPr>
          <w:rFonts w:hint="eastAsia" w:ascii="宋体" w:hAnsi="宋体" w:cs="宋体"/>
          <w:color w:val="000000"/>
        </w:rPr>
        <w:t xml:space="preserve">                电  话：</w:t>
      </w:r>
      <w:r>
        <w:rPr>
          <w:rFonts w:hint="eastAsia" w:ascii="宋体" w:hAnsi="宋体" w:cs="宋体"/>
          <w:color w:val="000000"/>
          <w:u w:val="single"/>
        </w:rPr>
        <w:t xml:space="preserve">                     </w:t>
      </w:r>
    </w:p>
    <w:p w14:paraId="6A8BE3C8">
      <w:pPr>
        <w:adjustRightInd w:val="0"/>
        <w:snapToGrid w:val="0"/>
        <w:spacing w:line="360" w:lineRule="auto"/>
        <w:rPr>
          <w:rFonts w:hint="eastAsia" w:ascii="宋体" w:hAnsi="宋体" w:cs="宋体"/>
          <w:color w:val="000000"/>
        </w:rPr>
      </w:pPr>
      <w:r>
        <w:rPr>
          <w:rFonts w:hint="eastAsia" w:ascii="宋体" w:hAnsi="宋体" w:cs="宋体"/>
          <w:color w:val="000000"/>
        </w:rPr>
        <w:t>传  真：</w:t>
      </w:r>
      <w:r>
        <w:rPr>
          <w:rFonts w:hint="eastAsia" w:ascii="宋体" w:hAnsi="宋体" w:cs="宋体"/>
          <w:color w:val="000000"/>
          <w:u w:val="single"/>
        </w:rPr>
        <w:t xml:space="preserve">                   </w:t>
      </w:r>
      <w:r>
        <w:rPr>
          <w:rFonts w:hint="eastAsia" w:ascii="宋体" w:hAnsi="宋体" w:cs="宋体"/>
          <w:color w:val="000000"/>
        </w:rPr>
        <w:t xml:space="preserve">                传  真：</w:t>
      </w:r>
      <w:r>
        <w:rPr>
          <w:rFonts w:hint="eastAsia" w:ascii="宋体" w:hAnsi="宋体" w:cs="宋体"/>
          <w:color w:val="000000"/>
          <w:u w:val="single"/>
        </w:rPr>
        <w:t xml:space="preserve">                   </w:t>
      </w:r>
    </w:p>
    <w:p w14:paraId="15720D2F">
      <w:pPr>
        <w:adjustRightInd w:val="0"/>
        <w:snapToGrid w:val="0"/>
        <w:spacing w:line="360" w:lineRule="auto"/>
        <w:rPr>
          <w:rFonts w:hint="eastAsia" w:ascii="宋体" w:hAnsi="宋体" w:cs="宋体"/>
          <w:color w:val="000000"/>
        </w:rPr>
      </w:pPr>
      <w:r>
        <w:rPr>
          <w:rFonts w:hint="eastAsia" w:ascii="宋体" w:hAnsi="宋体" w:cs="宋体"/>
          <w:color w:val="000000"/>
        </w:rPr>
        <w:t>电子信箱：</w:t>
      </w:r>
      <w:r>
        <w:rPr>
          <w:rFonts w:hint="eastAsia" w:ascii="宋体" w:hAnsi="宋体" w:cs="宋体"/>
          <w:color w:val="000000"/>
          <w:u w:val="single"/>
        </w:rPr>
        <w:t xml:space="preserve">                 </w:t>
      </w:r>
      <w:r>
        <w:rPr>
          <w:rFonts w:hint="eastAsia" w:ascii="宋体" w:hAnsi="宋体" w:cs="宋体"/>
          <w:color w:val="000000"/>
        </w:rPr>
        <w:t xml:space="preserve">                电子信箱：</w:t>
      </w:r>
      <w:r>
        <w:rPr>
          <w:rFonts w:hint="eastAsia" w:ascii="宋体" w:hAnsi="宋体" w:cs="宋体"/>
          <w:color w:val="000000"/>
          <w:u w:val="single"/>
        </w:rPr>
        <w:t xml:space="preserve">                   </w:t>
      </w:r>
    </w:p>
    <w:p w14:paraId="35DB4CDB">
      <w:pPr>
        <w:adjustRightInd w:val="0"/>
        <w:snapToGrid w:val="0"/>
        <w:spacing w:line="360" w:lineRule="auto"/>
        <w:rPr>
          <w:rFonts w:hint="eastAsia" w:ascii="宋体" w:hAnsi="宋体" w:cs="宋体"/>
          <w:color w:val="000000"/>
        </w:rPr>
      </w:pPr>
      <w:r>
        <w:rPr>
          <w:rFonts w:hint="eastAsia" w:ascii="宋体" w:hAnsi="宋体" w:cs="宋体"/>
          <w:color w:val="000000"/>
        </w:rPr>
        <w:t>开户银行：</w:t>
      </w:r>
      <w:r>
        <w:rPr>
          <w:rFonts w:hint="eastAsia" w:ascii="宋体" w:hAnsi="宋体" w:cs="宋体"/>
          <w:color w:val="000000"/>
          <w:u w:val="single"/>
        </w:rPr>
        <w:t xml:space="preserve">                 </w:t>
      </w:r>
      <w:r>
        <w:rPr>
          <w:rFonts w:hint="eastAsia" w:ascii="宋体" w:hAnsi="宋体" w:cs="宋体"/>
          <w:color w:val="000000"/>
        </w:rPr>
        <w:t xml:space="preserve">                开户银行：</w:t>
      </w:r>
      <w:r>
        <w:rPr>
          <w:rFonts w:hint="eastAsia" w:ascii="宋体" w:hAnsi="宋体" w:cs="宋体"/>
          <w:color w:val="000000"/>
          <w:u w:val="single"/>
        </w:rPr>
        <w:t xml:space="preserve">                   </w:t>
      </w:r>
    </w:p>
    <w:p w14:paraId="14E0EC43">
      <w:pPr>
        <w:adjustRightInd w:val="0"/>
        <w:snapToGrid w:val="0"/>
        <w:spacing w:line="360" w:lineRule="auto"/>
        <w:rPr>
          <w:rFonts w:hint="eastAsia" w:ascii="宋体" w:hAnsi="宋体" w:cs="宋体"/>
          <w:color w:val="000000"/>
        </w:rPr>
      </w:pPr>
      <w:r>
        <w:rPr>
          <w:rFonts w:hint="eastAsia" w:ascii="宋体" w:hAnsi="宋体" w:cs="宋体"/>
          <w:color w:val="000000"/>
        </w:rPr>
        <w:t>账  号：</w:t>
      </w:r>
      <w:r>
        <w:rPr>
          <w:rFonts w:hint="eastAsia" w:ascii="宋体" w:hAnsi="宋体" w:cs="宋体"/>
          <w:color w:val="000000"/>
          <w:u w:val="single"/>
        </w:rPr>
        <w:t xml:space="preserve">                 </w:t>
      </w:r>
      <w:r>
        <w:rPr>
          <w:rFonts w:hint="eastAsia" w:ascii="宋体" w:hAnsi="宋体" w:cs="宋体"/>
          <w:color w:val="000000"/>
        </w:rPr>
        <w:t xml:space="preserve">                账  号：</w:t>
      </w:r>
      <w:r>
        <w:rPr>
          <w:rFonts w:hint="eastAsia" w:ascii="宋体" w:hAnsi="宋体" w:cs="宋体"/>
          <w:color w:val="000000"/>
          <w:u w:val="single"/>
        </w:rPr>
        <w:t xml:space="preserve">                     </w:t>
      </w:r>
    </w:p>
    <w:p w14:paraId="157F105B">
      <w:pPr>
        <w:pStyle w:val="14"/>
        <w:ind w:left="0" w:leftChars="0" w:firstLine="0" w:firstLineChars="0"/>
        <w:rPr>
          <w:rFonts w:hint="eastAsia" w:ascii="黑体" w:eastAsia="黑体"/>
          <w:b/>
          <w:sz w:val="32"/>
          <w:szCs w:val="32"/>
          <w:lang w:val="en-US" w:eastAsia="zh-CN"/>
        </w:rPr>
      </w:pPr>
    </w:p>
    <w:p w14:paraId="17B4B52B">
      <w:pPr>
        <w:spacing w:line="360" w:lineRule="auto"/>
        <w:rPr>
          <w:rFonts w:hint="eastAsia" w:ascii="宋体" w:hAnsi="宋体" w:cs="宋体"/>
          <w:color w:val="000000"/>
        </w:rPr>
      </w:pPr>
      <w:r>
        <w:rPr>
          <w:rFonts w:hint="eastAsia" w:ascii="宋体" w:hAnsi="宋体" w:cs="宋体"/>
          <w:color w:val="000000"/>
        </w:rPr>
        <w:t>协议书附件：</w:t>
      </w:r>
    </w:p>
    <w:p w14:paraId="4A82D73A">
      <w:pPr>
        <w:spacing w:line="360" w:lineRule="auto"/>
        <w:rPr>
          <w:rFonts w:hint="eastAsia" w:ascii="宋体" w:hAnsi="宋体" w:cs="宋体"/>
          <w:color w:val="000000"/>
        </w:rPr>
      </w:pPr>
      <w:r>
        <w:rPr>
          <w:rFonts w:hint="eastAsia" w:ascii="宋体" w:hAnsi="宋体" w:cs="宋体"/>
          <w:color w:val="000000"/>
        </w:rPr>
        <w:t>附件1：承包人承揽工程项目一览表</w:t>
      </w:r>
    </w:p>
    <w:p w14:paraId="1C493AD2">
      <w:pPr>
        <w:spacing w:line="360" w:lineRule="auto"/>
        <w:rPr>
          <w:rFonts w:hint="eastAsia" w:ascii="宋体" w:hAnsi="宋体" w:cs="宋体"/>
          <w:color w:val="000000"/>
        </w:rPr>
      </w:pPr>
      <w:r>
        <w:rPr>
          <w:rFonts w:hint="eastAsia" w:ascii="宋体" w:hAnsi="宋体" w:cs="宋体"/>
          <w:color w:val="000000"/>
        </w:rPr>
        <w:t>专用合同条款附件：</w:t>
      </w:r>
    </w:p>
    <w:p w14:paraId="58F6F30A">
      <w:pPr>
        <w:spacing w:line="360" w:lineRule="auto"/>
        <w:rPr>
          <w:rFonts w:hint="eastAsia" w:ascii="宋体" w:hAnsi="宋体" w:cs="宋体"/>
          <w:color w:val="000000"/>
        </w:rPr>
      </w:pPr>
      <w:r>
        <w:rPr>
          <w:rFonts w:hint="eastAsia" w:ascii="宋体" w:hAnsi="宋体" w:cs="宋体"/>
          <w:color w:val="000000"/>
        </w:rPr>
        <w:t>附件2：发包人供应材料设备一览表</w:t>
      </w:r>
    </w:p>
    <w:p w14:paraId="50B75960">
      <w:pPr>
        <w:spacing w:line="360" w:lineRule="auto"/>
        <w:rPr>
          <w:rFonts w:hint="eastAsia" w:ascii="宋体" w:hAnsi="宋体" w:cs="宋体"/>
          <w:color w:val="000000"/>
        </w:rPr>
      </w:pPr>
      <w:r>
        <w:rPr>
          <w:rFonts w:hint="eastAsia" w:ascii="宋体" w:hAnsi="宋体" w:cs="宋体"/>
          <w:color w:val="000000"/>
        </w:rPr>
        <w:t>附件3：工程质量保修书</w:t>
      </w:r>
    </w:p>
    <w:p w14:paraId="5B4ECA48">
      <w:pPr>
        <w:spacing w:line="360" w:lineRule="auto"/>
        <w:rPr>
          <w:rFonts w:hint="eastAsia" w:ascii="宋体" w:hAnsi="宋体" w:cs="宋体"/>
          <w:color w:val="000000"/>
        </w:rPr>
      </w:pPr>
      <w:r>
        <w:rPr>
          <w:rFonts w:hint="eastAsia" w:ascii="宋体" w:hAnsi="宋体" w:cs="宋体"/>
          <w:color w:val="000000"/>
        </w:rPr>
        <w:t>附件4：主要建设工程文件目录</w:t>
      </w:r>
    </w:p>
    <w:p w14:paraId="31BC4752">
      <w:pPr>
        <w:spacing w:line="360" w:lineRule="auto"/>
        <w:rPr>
          <w:rFonts w:hint="eastAsia" w:ascii="宋体" w:hAnsi="宋体" w:cs="宋体"/>
          <w:color w:val="000000"/>
        </w:rPr>
      </w:pPr>
      <w:r>
        <w:rPr>
          <w:rFonts w:hint="eastAsia" w:ascii="宋体" w:hAnsi="宋体" w:cs="宋体"/>
          <w:color w:val="000000"/>
        </w:rPr>
        <w:t>附件5：承包人用于本工程施工的机械设备表</w:t>
      </w:r>
    </w:p>
    <w:p w14:paraId="59D4DC4D">
      <w:pPr>
        <w:spacing w:line="360" w:lineRule="auto"/>
        <w:rPr>
          <w:rFonts w:hint="eastAsia" w:ascii="宋体" w:hAnsi="宋体" w:cs="宋体"/>
          <w:color w:val="000000"/>
        </w:rPr>
      </w:pPr>
      <w:r>
        <w:rPr>
          <w:rFonts w:hint="eastAsia" w:ascii="宋体" w:hAnsi="宋体" w:cs="宋体"/>
          <w:color w:val="000000"/>
        </w:rPr>
        <w:t>附件6：承包人主要施工管理人员表</w:t>
      </w:r>
    </w:p>
    <w:p w14:paraId="6FAFF13F">
      <w:pPr>
        <w:spacing w:line="360" w:lineRule="auto"/>
        <w:rPr>
          <w:rFonts w:hint="eastAsia" w:ascii="宋体" w:hAnsi="宋体" w:cs="宋体"/>
          <w:color w:val="000000"/>
        </w:rPr>
      </w:pPr>
      <w:r>
        <w:rPr>
          <w:rFonts w:hint="eastAsia" w:ascii="宋体" w:hAnsi="宋体" w:cs="宋体"/>
          <w:color w:val="000000"/>
        </w:rPr>
        <w:t>附件7：分包人主要施工管理人员表</w:t>
      </w:r>
    </w:p>
    <w:p w14:paraId="6D0B1B97">
      <w:pPr>
        <w:spacing w:line="360" w:lineRule="auto"/>
        <w:rPr>
          <w:rFonts w:hint="eastAsia" w:ascii="宋体" w:hAnsi="宋体" w:cs="宋体"/>
          <w:color w:val="000000"/>
        </w:rPr>
      </w:pPr>
      <w:r>
        <w:rPr>
          <w:rFonts w:hint="eastAsia" w:ascii="宋体" w:hAnsi="宋体" w:cs="宋体"/>
          <w:color w:val="000000"/>
        </w:rPr>
        <w:t>附件8：廉政协议</w:t>
      </w:r>
    </w:p>
    <w:p w14:paraId="25918CB0">
      <w:pPr>
        <w:spacing w:line="360" w:lineRule="auto"/>
        <w:rPr>
          <w:rFonts w:hint="eastAsia" w:ascii="宋体" w:hAnsi="宋体" w:cs="宋体"/>
          <w:color w:val="000000"/>
        </w:rPr>
      </w:pPr>
      <w:r>
        <w:rPr>
          <w:rFonts w:hint="eastAsia" w:ascii="宋体" w:hAnsi="宋体" w:cs="宋体"/>
          <w:color w:val="000000"/>
        </w:rPr>
        <w:t>附件9：履约保证金格式</w:t>
      </w:r>
    </w:p>
    <w:p w14:paraId="7130D662">
      <w:pPr>
        <w:spacing w:line="360" w:lineRule="auto"/>
        <w:rPr>
          <w:rFonts w:hint="eastAsia" w:ascii="宋体" w:hAnsi="宋体" w:cs="宋体"/>
          <w:color w:val="000000"/>
        </w:rPr>
      </w:pPr>
      <w:r>
        <w:rPr>
          <w:rFonts w:hint="eastAsia" w:ascii="宋体" w:hAnsi="宋体" w:cs="宋体"/>
          <w:color w:val="000000"/>
        </w:rPr>
        <w:t>附件10：支付担保格式</w:t>
      </w:r>
    </w:p>
    <w:p w14:paraId="21882BC5">
      <w:pPr>
        <w:spacing w:line="360" w:lineRule="auto"/>
        <w:rPr>
          <w:rFonts w:hint="eastAsia" w:ascii="宋体" w:hAnsi="宋体" w:cs="宋体"/>
          <w:color w:val="000000"/>
        </w:rPr>
      </w:pPr>
      <w:r>
        <w:rPr>
          <w:rFonts w:hint="eastAsia" w:ascii="宋体" w:hAnsi="宋体" w:cs="宋体"/>
          <w:color w:val="000000"/>
        </w:rPr>
        <w:t>附件11：暂估价一览表</w:t>
      </w:r>
    </w:p>
    <w:p w14:paraId="4D2D79EF">
      <w:pPr>
        <w:spacing w:line="360" w:lineRule="auto"/>
        <w:rPr>
          <w:rFonts w:hint="eastAsia" w:ascii="宋体" w:hAnsi="宋体" w:cs="宋体"/>
          <w:color w:val="000000"/>
        </w:rPr>
      </w:pPr>
      <w:r>
        <w:rPr>
          <w:rFonts w:hint="eastAsia" w:ascii="宋体" w:hAnsi="宋体" w:cs="宋体"/>
          <w:color w:val="000000"/>
        </w:rPr>
        <w:t>附件12：安全生产合同</w:t>
      </w:r>
    </w:p>
    <w:p w14:paraId="7D29C607">
      <w:pPr>
        <w:spacing w:line="360" w:lineRule="auto"/>
        <w:rPr>
          <w:rFonts w:hint="eastAsia" w:ascii="黑体" w:eastAsia="黑体"/>
          <w:b/>
          <w:sz w:val="32"/>
          <w:szCs w:val="32"/>
          <w:lang w:val="en-US" w:eastAsia="zh-CN"/>
        </w:rPr>
      </w:pPr>
      <w:r>
        <w:rPr>
          <w:rFonts w:hint="eastAsia" w:ascii="宋体" w:hAnsi="宋体" w:cs="宋体"/>
          <w:color w:val="000000"/>
        </w:rPr>
        <w:t>附件13：项目经理质量终身责任制承诺</w:t>
      </w:r>
      <w:r>
        <w:rPr>
          <w:rFonts w:hint="eastAsia" w:ascii="黑体" w:eastAsia="黑体"/>
          <w:b/>
          <w:sz w:val="32"/>
          <w:szCs w:val="32"/>
          <w:lang w:val="en-US" w:eastAsia="zh-CN"/>
        </w:rPr>
        <w:br w:type="page"/>
      </w:r>
    </w:p>
    <w:p w14:paraId="384D16BF">
      <w:pPr>
        <w:keepNext/>
        <w:keepLines/>
        <w:spacing w:before="120" w:after="120" w:line="360" w:lineRule="auto"/>
        <w:jc w:val="left"/>
        <w:outlineLvl w:val="2"/>
        <w:rPr>
          <w:rFonts w:hint="eastAsia" w:ascii="宋体" w:hAnsi="宋体" w:cs="宋体"/>
          <w:bCs/>
          <w:color w:val="000000"/>
          <w:sz w:val="24"/>
        </w:rPr>
      </w:pPr>
      <w:r>
        <w:rPr>
          <w:rFonts w:hint="eastAsia" w:ascii="宋体" w:hAnsi="宋体" w:cs="宋体"/>
          <w:bCs/>
          <w:color w:val="000000"/>
          <w:sz w:val="24"/>
        </w:rPr>
        <w:t>附件1：承包人承揽工程项目一览表</w:t>
      </w:r>
    </w:p>
    <w:p w14:paraId="0B55CCF3">
      <w:pPr>
        <w:spacing w:line="360" w:lineRule="auto"/>
        <w:jc w:val="center"/>
        <w:rPr>
          <w:rFonts w:hint="eastAsia" w:ascii="宋体" w:hAnsi="宋体" w:cs="宋体"/>
          <w:color w:val="000000"/>
          <w:sz w:val="22"/>
          <w:szCs w:val="21"/>
        </w:rPr>
      </w:pPr>
      <w:r>
        <w:rPr>
          <w:rFonts w:hint="eastAsia" w:ascii="宋体" w:hAnsi="宋体" w:cs="宋体"/>
          <w:color w:val="000000"/>
          <w:sz w:val="22"/>
          <w:szCs w:val="21"/>
        </w:rPr>
        <w:t>承包人承揽工程项目一览表</w:t>
      </w:r>
    </w:p>
    <w:tbl>
      <w:tblPr>
        <w:tblStyle w:val="47"/>
        <w:tblW w:w="94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134"/>
        <w:gridCol w:w="1134"/>
        <w:gridCol w:w="993"/>
        <w:gridCol w:w="708"/>
        <w:gridCol w:w="1134"/>
        <w:gridCol w:w="1134"/>
        <w:gridCol w:w="993"/>
        <w:gridCol w:w="708"/>
        <w:gridCol w:w="567"/>
      </w:tblGrid>
      <w:tr w14:paraId="6A83F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center"/>
          </w:tcPr>
          <w:p w14:paraId="7A180800">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单位工程名称</w:t>
            </w:r>
          </w:p>
        </w:tc>
        <w:tc>
          <w:tcPr>
            <w:tcW w:w="1134" w:type="dxa"/>
            <w:tcBorders>
              <w:top w:val="single" w:color="auto" w:sz="12" w:space="0"/>
              <w:bottom w:val="double" w:color="auto" w:sz="6" w:space="0"/>
            </w:tcBorders>
            <w:noWrap w:val="0"/>
            <w:vAlign w:val="center"/>
          </w:tcPr>
          <w:p w14:paraId="036A8A3D">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建设规模</w:t>
            </w:r>
          </w:p>
        </w:tc>
        <w:tc>
          <w:tcPr>
            <w:tcW w:w="1134" w:type="dxa"/>
            <w:tcBorders>
              <w:top w:val="single" w:color="auto" w:sz="12" w:space="0"/>
              <w:bottom w:val="double" w:color="auto" w:sz="6" w:space="0"/>
            </w:tcBorders>
            <w:noWrap w:val="0"/>
            <w:vAlign w:val="center"/>
          </w:tcPr>
          <w:p w14:paraId="28E2807D">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建筑面积(平方米)</w:t>
            </w:r>
          </w:p>
        </w:tc>
        <w:tc>
          <w:tcPr>
            <w:tcW w:w="993" w:type="dxa"/>
            <w:tcBorders>
              <w:top w:val="single" w:color="auto" w:sz="12" w:space="0"/>
              <w:bottom w:val="double" w:color="auto" w:sz="6" w:space="0"/>
            </w:tcBorders>
            <w:noWrap w:val="0"/>
            <w:vAlign w:val="center"/>
          </w:tcPr>
          <w:p w14:paraId="23FA705F">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结构形式</w:t>
            </w:r>
          </w:p>
        </w:tc>
        <w:tc>
          <w:tcPr>
            <w:tcW w:w="708" w:type="dxa"/>
            <w:tcBorders>
              <w:top w:val="single" w:color="auto" w:sz="12" w:space="0"/>
              <w:bottom w:val="double" w:color="auto" w:sz="6" w:space="0"/>
            </w:tcBorders>
            <w:noWrap w:val="0"/>
            <w:vAlign w:val="center"/>
          </w:tcPr>
          <w:p w14:paraId="630CB634">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层数</w:t>
            </w:r>
          </w:p>
        </w:tc>
        <w:tc>
          <w:tcPr>
            <w:tcW w:w="1134" w:type="dxa"/>
            <w:tcBorders>
              <w:top w:val="single" w:color="auto" w:sz="12" w:space="0"/>
              <w:bottom w:val="double" w:color="auto" w:sz="6" w:space="0"/>
            </w:tcBorders>
            <w:noWrap w:val="0"/>
            <w:vAlign w:val="center"/>
          </w:tcPr>
          <w:p w14:paraId="76E46412">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生产能力</w:t>
            </w:r>
          </w:p>
        </w:tc>
        <w:tc>
          <w:tcPr>
            <w:tcW w:w="1134" w:type="dxa"/>
            <w:tcBorders>
              <w:top w:val="single" w:color="auto" w:sz="12" w:space="0"/>
              <w:bottom w:val="double" w:color="auto" w:sz="6" w:space="0"/>
            </w:tcBorders>
            <w:noWrap w:val="0"/>
            <w:vAlign w:val="center"/>
          </w:tcPr>
          <w:p w14:paraId="4EC2FF87">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设备安装内容</w:t>
            </w:r>
          </w:p>
        </w:tc>
        <w:tc>
          <w:tcPr>
            <w:tcW w:w="993" w:type="dxa"/>
            <w:tcBorders>
              <w:top w:val="single" w:color="auto" w:sz="12" w:space="0"/>
              <w:bottom w:val="double" w:color="auto" w:sz="6" w:space="0"/>
            </w:tcBorders>
            <w:noWrap w:val="0"/>
            <w:vAlign w:val="center"/>
          </w:tcPr>
          <w:p w14:paraId="305E8844">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合同价格（元）</w:t>
            </w:r>
          </w:p>
        </w:tc>
        <w:tc>
          <w:tcPr>
            <w:tcW w:w="708" w:type="dxa"/>
            <w:tcBorders>
              <w:top w:val="single" w:color="auto" w:sz="12" w:space="0"/>
              <w:bottom w:val="double" w:color="auto" w:sz="6" w:space="0"/>
            </w:tcBorders>
            <w:noWrap w:val="0"/>
            <w:vAlign w:val="center"/>
          </w:tcPr>
          <w:p w14:paraId="4EA7F4B8">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开工日期</w:t>
            </w:r>
          </w:p>
        </w:tc>
        <w:tc>
          <w:tcPr>
            <w:tcW w:w="567" w:type="dxa"/>
            <w:tcBorders>
              <w:top w:val="single" w:color="auto" w:sz="12" w:space="0"/>
              <w:bottom w:val="double" w:color="auto" w:sz="6" w:space="0"/>
            </w:tcBorders>
            <w:noWrap w:val="0"/>
            <w:vAlign w:val="center"/>
          </w:tcPr>
          <w:p w14:paraId="7E743786">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竣工日期</w:t>
            </w:r>
          </w:p>
        </w:tc>
      </w:tr>
      <w:tr w14:paraId="49D02E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double" w:color="auto" w:sz="6" w:space="0"/>
            </w:tcBorders>
            <w:noWrap w:val="0"/>
            <w:vAlign w:val="center"/>
          </w:tcPr>
          <w:p w14:paraId="7C2721AD">
            <w:pPr>
              <w:keepNext/>
              <w:snapToGrid w:val="0"/>
              <w:spacing w:line="360" w:lineRule="auto"/>
              <w:rPr>
                <w:rFonts w:hint="eastAsia" w:ascii="宋体" w:hAnsi="宋体" w:cs="宋体"/>
                <w:color w:val="000000"/>
                <w:sz w:val="22"/>
                <w:szCs w:val="21"/>
              </w:rPr>
            </w:pPr>
          </w:p>
        </w:tc>
        <w:tc>
          <w:tcPr>
            <w:tcW w:w="1134" w:type="dxa"/>
            <w:tcBorders>
              <w:top w:val="double" w:color="auto" w:sz="6" w:space="0"/>
            </w:tcBorders>
            <w:noWrap w:val="0"/>
            <w:vAlign w:val="center"/>
          </w:tcPr>
          <w:p w14:paraId="490ACD9F">
            <w:pPr>
              <w:keepNext/>
              <w:snapToGrid w:val="0"/>
              <w:spacing w:line="360" w:lineRule="auto"/>
              <w:rPr>
                <w:rFonts w:hint="eastAsia" w:ascii="宋体" w:hAnsi="宋体" w:cs="宋体"/>
                <w:color w:val="000000"/>
                <w:sz w:val="22"/>
                <w:szCs w:val="21"/>
              </w:rPr>
            </w:pPr>
          </w:p>
        </w:tc>
        <w:tc>
          <w:tcPr>
            <w:tcW w:w="1134" w:type="dxa"/>
            <w:tcBorders>
              <w:top w:val="double" w:color="auto" w:sz="6" w:space="0"/>
            </w:tcBorders>
            <w:noWrap w:val="0"/>
            <w:vAlign w:val="center"/>
          </w:tcPr>
          <w:p w14:paraId="27C28324">
            <w:pPr>
              <w:keepNext/>
              <w:snapToGrid w:val="0"/>
              <w:spacing w:line="360" w:lineRule="auto"/>
              <w:rPr>
                <w:rFonts w:hint="eastAsia" w:ascii="宋体" w:hAnsi="宋体" w:cs="宋体"/>
                <w:color w:val="000000"/>
                <w:sz w:val="22"/>
                <w:szCs w:val="21"/>
              </w:rPr>
            </w:pPr>
          </w:p>
        </w:tc>
        <w:tc>
          <w:tcPr>
            <w:tcW w:w="993" w:type="dxa"/>
            <w:tcBorders>
              <w:top w:val="double" w:color="auto" w:sz="6" w:space="0"/>
            </w:tcBorders>
            <w:noWrap w:val="0"/>
            <w:vAlign w:val="center"/>
          </w:tcPr>
          <w:p w14:paraId="3A4879A2">
            <w:pPr>
              <w:keepNext/>
              <w:snapToGrid w:val="0"/>
              <w:spacing w:line="360" w:lineRule="auto"/>
              <w:rPr>
                <w:rFonts w:hint="eastAsia" w:ascii="宋体" w:hAnsi="宋体" w:cs="宋体"/>
                <w:color w:val="000000"/>
                <w:sz w:val="22"/>
                <w:szCs w:val="21"/>
              </w:rPr>
            </w:pPr>
          </w:p>
        </w:tc>
        <w:tc>
          <w:tcPr>
            <w:tcW w:w="708" w:type="dxa"/>
            <w:tcBorders>
              <w:top w:val="double" w:color="auto" w:sz="6" w:space="0"/>
            </w:tcBorders>
            <w:noWrap w:val="0"/>
            <w:vAlign w:val="center"/>
          </w:tcPr>
          <w:p w14:paraId="78991021">
            <w:pPr>
              <w:keepNext/>
              <w:snapToGrid w:val="0"/>
              <w:spacing w:line="360" w:lineRule="auto"/>
              <w:rPr>
                <w:rFonts w:hint="eastAsia" w:ascii="宋体" w:hAnsi="宋体" w:cs="宋体"/>
                <w:color w:val="000000"/>
                <w:sz w:val="22"/>
                <w:szCs w:val="21"/>
              </w:rPr>
            </w:pPr>
          </w:p>
        </w:tc>
        <w:tc>
          <w:tcPr>
            <w:tcW w:w="1134" w:type="dxa"/>
            <w:tcBorders>
              <w:top w:val="double" w:color="auto" w:sz="6" w:space="0"/>
            </w:tcBorders>
            <w:noWrap w:val="0"/>
            <w:vAlign w:val="center"/>
          </w:tcPr>
          <w:p w14:paraId="0F05EC7C">
            <w:pPr>
              <w:keepNext/>
              <w:snapToGrid w:val="0"/>
              <w:spacing w:line="360" w:lineRule="auto"/>
              <w:rPr>
                <w:rFonts w:hint="eastAsia" w:ascii="宋体" w:hAnsi="宋体" w:cs="宋体"/>
                <w:color w:val="000000"/>
                <w:sz w:val="22"/>
                <w:szCs w:val="21"/>
              </w:rPr>
            </w:pPr>
          </w:p>
        </w:tc>
        <w:tc>
          <w:tcPr>
            <w:tcW w:w="1134" w:type="dxa"/>
            <w:tcBorders>
              <w:top w:val="double" w:color="auto" w:sz="6" w:space="0"/>
            </w:tcBorders>
            <w:noWrap w:val="0"/>
            <w:vAlign w:val="center"/>
          </w:tcPr>
          <w:p w14:paraId="660E981C">
            <w:pPr>
              <w:keepNext/>
              <w:snapToGrid w:val="0"/>
              <w:spacing w:line="360" w:lineRule="auto"/>
              <w:rPr>
                <w:rFonts w:hint="eastAsia" w:ascii="宋体" w:hAnsi="宋体" w:cs="宋体"/>
                <w:color w:val="000000"/>
                <w:sz w:val="22"/>
                <w:szCs w:val="21"/>
              </w:rPr>
            </w:pPr>
          </w:p>
        </w:tc>
        <w:tc>
          <w:tcPr>
            <w:tcW w:w="993" w:type="dxa"/>
            <w:tcBorders>
              <w:top w:val="double" w:color="auto" w:sz="6" w:space="0"/>
            </w:tcBorders>
            <w:noWrap w:val="0"/>
            <w:vAlign w:val="center"/>
          </w:tcPr>
          <w:p w14:paraId="632EC417">
            <w:pPr>
              <w:keepNext/>
              <w:snapToGrid w:val="0"/>
              <w:spacing w:line="360" w:lineRule="auto"/>
              <w:rPr>
                <w:rFonts w:hint="eastAsia" w:ascii="宋体" w:hAnsi="宋体" w:cs="宋体"/>
                <w:color w:val="000000"/>
                <w:sz w:val="22"/>
                <w:szCs w:val="21"/>
              </w:rPr>
            </w:pPr>
          </w:p>
        </w:tc>
        <w:tc>
          <w:tcPr>
            <w:tcW w:w="708" w:type="dxa"/>
            <w:tcBorders>
              <w:top w:val="double" w:color="auto" w:sz="6" w:space="0"/>
            </w:tcBorders>
            <w:noWrap w:val="0"/>
            <w:vAlign w:val="center"/>
          </w:tcPr>
          <w:p w14:paraId="30740003">
            <w:pPr>
              <w:keepNext/>
              <w:snapToGrid w:val="0"/>
              <w:spacing w:line="360" w:lineRule="auto"/>
              <w:rPr>
                <w:rFonts w:hint="eastAsia" w:ascii="宋体" w:hAnsi="宋体" w:cs="宋体"/>
                <w:color w:val="000000"/>
                <w:sz w:val="22"/>
                <w:szCs w:val="21"/>
              </w:rPr>
            </w:pPr>
          </w:p>
        </w:tc>
        <w:tc>
          <w:tcPr>
            <w:tcW w:w="567" w:type="dxa"/>
            <w:tcBorders>
              <w:top w:val="double" w:color="auto" w:sz="6" w:space="0"/>
            </w:tcBorders>
            <w:noWrap w:val="0"/>
            <w:vAlign w:val="center"/>
          </w:tcPr>
          <w:p w14:paraId="148E251C">
            <w:pPr>
              <w:keepNext/>
              <w:snapToGrid w:val="0"/>
              <w:spacing w:line="360" w:lineRule="auto"/>
              <w:rPr>
                <w:rFonts w:hint="eastAsia" w:ascii="宋体" w:hAnsi="宋体" w:cs="宋体"/>
                <w:color w:val="000000"/>
                <w:sz w:val="22"/>
                <w:szCs w:val="21"/>
              </w:rPr>
            </w:pPr>
          </w:p>
        </w:tc>
      </w:tr>
      <w:tr w14:paraId="130DE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nil"/>
            </w:tcBorders>
            <w:noWrap w:val="0"/>
            <w:vAlign w:val="center"/>
          </w:tcPr>
          <w:p w14:paraId="3CC2C386">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3F2EA127">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4137B7B1">
            <w:pPr>
              <w:keepNext/>
              <w:snapToGrid w:val="0"/>
              <w:spacing w:line="360" w:lineRule="auto"/>
              <w:rPr>
                <w:rFonts w:hint="eastAsia" w:ascii="宋体" w:hAnsi="宋体" w:cs="宋体"/>
                <w:color w:val="000000"/>
                <w:sz w:val="22"/>
                <w:szCs w:val="21"/>
              </w:rPr>
            </w:pPr>
          </w:p>
        </w:tc>
        <w:tc>
          <w:tcPr>
            <w:tcW w:w="993" w:type="dxa"/>
            <w:tcBorders>
              <w:top w:val="nil"/>
            </w:tcBorders>
            <w:noWrap w:val="0"/>
            <w:vAlign w:val="center"/>
          </w:tcPr>
          <w:p w14:paraId="01042740">
            <w:pPr>
              <w:keepNext/>
              <w:snapToGrid w:val="0"/>
              <w:spacing w:line="360" w:lineRule="auto"/>
              <w:rPr>
                <w:rFonts w:hint="eastAsia" w:ascii="宋体" w:hAnsi="宋体" w:cs="宋体"/>
                <w:color w:val="000000"/>
                <w:sz w:val="22"/>
                <w:szCs w:val="21"/>
              </w:rPr>
            </w:pPr>
          </w:p>
        </w:tc>
        <w:tc>
          <w:tcPr>
            <w:tcW w:w="708" w:type="dxa"/>
            <w:tcBorders>
              <w:top w:val="nil"/>
            </w:tcBorders>
            <w:noWrap w:val="0"/>
            <w:vAlign w:val="center"/>
          </w:tcPr>
          <w:p w14:paraId="72E5304F">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5651AAC9">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52D619E8">
            <w:pPr>
              <w:keepNext/>
              <w:snapToGrid w:val="0"/>
              <w:spacing w:line="360" w:lineRule="auto"/>
              <w:rPr>
                <w:rFonts w:hint="eastAsia" w:ascii="宋体" w:hAnsi="宋体" w:cs="宋体"/>
                <w:color w:val="000000"/>
                <w:sz w:val="22"/>
                <w:szCs w:val="21"/>
              </w:rPr>
            </w:pPr>
          </w:p>
        </w:tc>
        <w:tc>
          <w:tcPr>
            <w:tcW w:w="993" w:type="dxa"/>
            <w:tcBorders>
              <w:top w:val="nil"/>
            </w:tcBorders>
            <w:noWrap w:val="0"/>
            <w:vAlign w:val="center"/>
          </w:tcPr>
          <w:p w14:paraId="59F3BE50">
            <w:pPr>
              <w:keepNext/>
              <w:snapToGrid w:val="0"/>
              <w:spacing w:line="360" w:lineRule="auto"/>
              <w:rPr>
                <w:rFonts w:hint="eastAsia" w:ascii="宋体" w:hAnsi="宋体" w:cs="宋体"/>
                <w:color w:val="000000"/>
                <w:sz w:val="22"/>
                <w:szCs w:val="21"/>
              </w:rPr>
            </w:pPr>
          </w:p>
        </w:tc>
        <w:tc>
          <w:tcPr>
            <w:tcW w:w="708" w:type="dxa"/>
            <w:tcBorders>
              <w:top w:val="nil"/>
            </w:tcBorders>
            <w:noWrap w:val="0"/>
            <w:vAlign w:val="center"/>
          </w:tcPr>
          <w:p w14:paraId="07743E6A">
            <w:pPr>
              <w:keepNext/>
              <w:snapToGrid w:val="0"/>
              <w:spacing w:line="360" w:lineRule="auto"/>
              <w:rPr>
                <w:rFonts w:hint="eastAsia" w:ascii="宋体" w:hAnsi="宋体" w:cs="宋体"/>
                <w:color w:val="000000"/>
                <w:sz w:val="22"/>
                <w:szCs w:val="21"/>
              </w:rPr>
            </w:pPr>
          </w:p>
        </w:tc>
        <w:tc>
          <w:tcPr>
            <w:tcW w:w="567" w:type="dxa"/>
            <w:tcBorders>
              <w:top w:val="nil"/>
            </w:tcBorders>
            <w:noWrap w:val="0"/>
            <w:vAlign w:val="center"/>
          </w:tcPr>
          <w:p w14:paraId="09F0BC46">
            <w:pPr>
              <w:keepNext/>
              <w:snapToGrid w:val="0"/>
              <w:spacing w:line="360" w:lineRule="auto"/>
              <w:rPr>
                <w:rFonts w:hint="eastAsia" w:ascii="宋体" w:hAnsi="宋体" w:cs="宋体"/>
                <w:color w:val="000000"/>
                <w:sz w:val="22"/>
                <w:szCs w:val="21"/>
              </w:rPr>
            </w:pPr>
          </w:p>
        </w:tc>
      </w:tr>
      <w:tr w14:paraId="6F5FC4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top w:val="nil"/>
            </w:tcBorders>
            <w:noWrap w:val="0"/>
            <w:vAlign w:val="center"/>
          </w:tcPr>
          <w:p w14:paraId="25AA2921">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24D3F54C">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3C519385">
            <w:pPr>
              <w:keepNext/>
              <w:snapToGrid w:val="0"/>
              <w:spacing w:line="360" w:lineRule="auto"/>
              <w:rPr>
                <w:rFonts w:hint="eastAsia" w:ascii="宋体" w:hAnsi="宋体" w:cs="宋体"/>
                <w:color w:val="000000"/>
                <w:sz w:val="22"/>
                <w:szCs w:val="21"/>
              </w:rPr>
            </w:pPr>
          </w:p>
        </w:tc>
        <w:tc>
          <w:tcPr>
            <w:tcW w:w="993" w:type="dxa"/>
            <w:tcBorders>
              <w:top w:val="nil"/>
            </w:tcBorders>
            <w:noWrap w:val="0"/>
            <w:vAlign w:val="center"/>
          </w:tcPr>
          <w:p w14:paraId="16A058EE">
            <w:pPr>
              <w:keepNext/>
              <w:snapToGrid w:val="0"/>
              <w:spacing w:line="360" w:lineRule="auto"/>
              <w:rPr>
                <w:rFonts w:hint="eastAsia" w:ascii="宋体" w:hAnsi="宋体" w:cs="宋体"/>
                <w:color w:val="000000"/>
                <w:sz w:val="22"/>
                <w:szCs w:val="21"/>
              </w:rPr>
            </w:pPr>
          </w:p>
        </w:tc>
        <w:tc>
          <w:tcPr>
            <w:tcW w:w="708" w:type="dxa"/>
            <w:tcBorders>
              <w:top w:val="nil"/>
            </w:tcBorders>
            <w:noWrap w:val="0"/>
            <w:vAlign w:val="center"/>
          </w:tcPr>
          <w:p w14:paraId="64010B71">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40F02281">
            <w:pPr>
              <w:keepNext/>
              <w:snapToGrid w:val="0"/>
              <w:spacing w:line="360" w:lineRule="auto"/>
              <w:rPr>
                <w:rFonts w:hint="eastAsia" w:ascii="宋体" w:hAnsi="宋体" w:cs="宋体"/>
                <w:color w:val="000000"/>
                <w:sz w:val="22"/>
                <w:szCs w:val="21"/>
              </w:rPr>
            </w:pPr>
          </w:p>
        </w:tc>
        <w:tc>
          <w:tcPr>
            <w:tcW w:w="1134" w:type="dxa"/>
            <w:tcBorders>
              <w:top w:val="nil"/>
            </w:tcBorders>
            <w:noWrap w:val="0"/>
            <w:vAlign w:val="center"/>
          </w:tcPr>
          <w:p w14:paraId="68CFEA69">
            <w:pPr>
              <w:keepNext/>
              <w:snapToGrid w:val="0"/>
              <w:spacing w:line="360" w:lineRule="auto"/>
              <w:rPr>
                <w:rFonts w:hint="eastAsia" w:ascii="宋体" w:hAnsi="宋体" w:cs="宋体"/>
                <w:color w:val="000000"/>
                <w:sz w:val="22"/>
                <w:szCs w:val="21"/>
              </w:rPr>
            </w:pPr>
          </w:p>
        </w:tc>
        <w:tc>
          <w:tcPr>
            <w:tcW w:w="993" w:type="dxa"/>
            <w:tcBorders>
              <w:top w:val="nil"/>
            </w:tcBorders>
            <w:noWrap w:val="0"/>
            <w:vAlign w:val="center"/>
          </w:tcPr>
          <w:p w14:paraId="37031238">
            <w:pPr>
              <w:keepNext/>
              <w:snapToGrid w:val="0"/>
              <w:spacing w:line="360" w:lineRule="auto"/>
              <w:rPr>
                <w:rFonts w:hint="eastAsia" w:ascii="宋体" w:hAnsi="宋体" w:cs="宋体"/>
                <w:color w:val="000000"/>
                <w:sz w:val="22"/>
                <w:szCs w:val="21"/>
              </w:rPr>
            </w:pPr>
          </w:p>
        </w:tc>
        <w:tc>
          <w:tcPr>
            <w:tcW w:w="708" w:type="dxa"/>
            <w:tcBorders>
              <w:top w:val="nil"/>
            </w:tcBorders>
            <w:noWrap w:val="0"/>
            <w:vAlign w:val="center"/>
          </w:tcPr>
          <w:p w14:paraId="24F93E9C">
            <w:pPr>
              <w:keepNext/>
              <w:snapToGrid w:val="0"/>
              <w:spacing w:line="360" w:lineRule="auto"/>
              <w:rPr>
                <w:rFonts w:hint="eastAsia" w:ascii="宋体" w:hAnsi="宋体" w:cs="宋体"/>
                <w:color w:val="000000"/>
                <w:sz w:val="22"/>
                <w:szCs w:val="21"/>
              </w:rPr>
            </w:pPr>
          </w:p>
        </w:tc>
        <w:tc>
          <w:tcPr>
            <w:tcW w:w="567" w:type="dxa"/>
            <w:tcBorders>
              <w:top w:val="nil"/>
            </w:tcBorders>
            <w:noWrap w:val="0"/>
            <w:vAlign w:val="center"/>
          </w:tcPr>
          <w:p w14:paraId="33FC869F">
            <w:pPr>
              <w:keepNext/>
              <w:snapToGrid w:val="0"/>
              <w:spacing w:line="360" w:lineRule="auto"/>
              <w:rPr>
                <w:rFonts w:hint="eastAsia" w:ascii="宋体" w:hAnsi="宋体" w:cs="宋体"/>
                <w:color w:val="000000"/>
                <w:sz w:val="22"/>
                <w:szCs w:val="21"/>
              </w:rPr>
            </w:pPr>
          </w:p>
        </w:tc>
      </w:tr>
      <w:tr w14:paraId="38FB19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993" w:type="dxa"/>
            <w:tcBorders>
              <w:bottom w:val="single" w:color="auto" w:sz="12" w:space="0"/>
            </w:tcBorders>
            <w:noWrap w:val="0"/>
            <w:vAlign w:val="center"/>
          </w:tcPr>
          <w:p w14:paraId="5E2931FC">
            <w:pPr>
              <w:keepNext/>
              <w:snapToGrid w:val="0"/>
              <w:spacing w:line="360" w:lineRule="auto"/>
              <w:rPr>
                <w:rFonts w:hint="eastAsia" w:ascii="宋体" w:hAnsi="宋体" w:cs="宋体"/>
                <w:color w:val="000000"/>
                <w:sz w:val="22"/>
                <w:szCs w:val="21"/>
              </w:rPr>
            </w:pPr>
          </w:p>
        </w:tc>
        <w:tc>
          <w:tcPr>
            <w:tcW w:w="1134" w:type="dxa"/>
            <w:tcBorders>
              <w:bottom w:val="single" w:color="auto" w:sz="12" w:space="0"/>
            </w:tcBorders>
            <w:noWrap w:val="0"/>
            <w:vAlign w:val="center"/>
          </w:tcPr>
          <w:p w14:paraId="58A5B20C">
            <w:pPr>
              <w:keepNext/>
              <w:snapToGrid w:val="0"/>
              <w:spacing w:line="360" w:lineRule="auto"/>
              <w:rPr>
                <w:rFonts w:hint="eastAsia" w:ascii="宋体" w:hAnsi="宋体" w:cs="宋体"/>
                <w:color w:val="000000"/>
                <w:sz w:val="22"/>
                <w:szCs w:val="21"/>
              </w:rPr>
            </w:pPr>
          </w:p>
        </w:tc>
        <w:tc>
          <w:tcPr>
            <w:tcW w:w="1134" w:type="dxa"/>
            <w:tcBorders>
              <w:bottom w:val="single" w:color="auto" w:sz="12" w:space="0"/>
            </w:tcBorders>
            <w:noWrap w:val="0"/>
            <w:vAlign w:val="center"/>
          </w:tcPr>
          <w:p w14:paraId="47736501">
            <w:pPr>
              <w:keepNext/>
              <w:snapToGrid w:val="0"/>
              <w:spacing w:line="360" w:lineRule="auto"/>
              <w:rPr>
                <w:rFonts w:hint="eastAsia" w:ascii="宋体" w:hAnsi="宋体" w:cs="宋体"/>
                <w:color w:val="000000"/>
                <w:sz w:val="22"/>
                <w:szCs w:val="21"/>
              </w:rPr>
            </w:pPr>
          </w:p>
        </w:tc>
        <w:tc>
          <w:tcPr>
            <w:tcW w:w="993" w:type="dxa"/>
            <w:tcBorders>
              <w:bottom w:val="single" w:color="auto" w:sz="12" w:space="0"/>
            </w:tcBorders>
            <w:noWrap w:val="0"/>
            <w:vAlign w:val="center"/>
          </w:tcPr>
          <w:p w14:paraId="0EEB01B0">
            <w:pPr>
              <w:keepNext/>
              <w:snapToGrid w:val="0"/>
              <w:spacing w:line="360" w:lineRule="auto"/>
              <w:rPr>
                <w:rFonts w:hint="eastAsia" w:ascii="宋体" w:hAnsi="宋体" w:cs="宋体"/>
                <w:color w:val="000000"/>
                <w:sz w:val="22"/>
                <w:szCs w:val="21"/>
              </w:rPr>
            </w:pPr>
          </w:p>
        </w:tc>
        <w:tc>
          <w:tcPr>
            <w:tcW w:w="708" w:type="dxa"/>
            <w:tcBorders>
              <w:bottom w:val="single" w:color="auto" w:sz="12" w:space="0"/>
            </w:tcBorders>
            <w:noWrap w:val="0"/>
            <w:vAlign w:val="center"/>
          </w:tcPr>
          <w:p w14:paraId="06A2D9B6">
            <w:pPr>
              <w:keepNext/>
              <w:snapToGrid w:val="0"/>
              <w:spacing w:line="360" w:lineRule="auto"/>
              <w:rPr>
                <w:rFonts w:hint="eastAsia" w:ascii="宋体" w:hAnsi="宋体" w:cs="宋体"/>
                <w:color w:val="000000"/>
                <w:sz w:val="22"/>
                <w:szCs w:val="21"/>
              </w:rPr>
            </w:pPr>
          </w:p>
        </w:tc>
        <w:tc>
          <w:tcPr>
            <w:tcW w:w="1134" w:type="dxa"/>
            <w:tcBorders>
              <w:bottom w:val="single" w:color="auto" w:sz="12" w:space="0"/>
            </w:tcBorders>
            <w:noWrap w:val="0"/>
            <w:vAlign w:val="center"/>
          </w:tcPr>
          <w:p w14:paraId="48DA79E9">
            <w:pPr>
              <w:keepNext/>
              <w:snapToGrid w:val="0"/>
              <w:spacing w:line="360" w:lineRule="auto"/>
              <w:rPr>
                <w:rFonts w:hint="eastAsia" w:ascii="宋体" w:hAnsi="宋体" w:cs="宋体"/>
                <w:color w:val="000000"/>
                <w:sz w:val="22"/>
                <w:szCs w:val="21"/>
              </w:rPr>
            </w:pPr>
          </w:p>
        </w:tc>
        <w:tc>
          <w:tcPr>
            <w:tcW w:w="1134" w:type="dxa"/>
            <w:tcBorders>
              <w:bottom w:val="single" w:color="auto" w:sz="12" w:space="0"/>
            </w:tcBorders>
            <w:noWrap w:val="0"/>
            <w:vAlign w:val="center"/>
          </w:tcPr>
          <w:p w14:paraId="663D0AEB">
            <w:pPr>
              <w:keepNext/>
              <w:snapToGrid w:val="0"/>
              <w:spacing w:line="360" w:lineRule="auto"/>
              <w:rPr>
                <w:rFonts w:hint="eastAsia" w:ascii="宋体" w:hAnsi="宋体" w:cs="宋体"/>
                <w:color w:val="000000"/>
                <w:sz w:val="22"/>
                <w:szCs w:val="21"/>
              </w:rPr>
            </w:pPr>
          </w:p>
        </w:tc>
        <w:tc>
          <w:tcPr>
            <w:tcW w:w="993" w:type="dxa"/>
            <w:tcBorders>
              <w:bottom w:val="single" w:color="auto" w:sz="12" w:space="0"/>
            </w:tcBorders>
            <w:noWrap w:val="0"/>
            <w:vAlign w:val="center"/>
          </w:tcPr>
          <w:p w14:paraId="3B5FC363">
            <w:pPr>
              <w:keepNext/>
              <w:snapToGrid w:val="0"/>
              <w:spacing w:line="360" w:lineRule="auto"/>
              <w:rPr>
                <w:rFonts w:hint="eastAsia" w:ascii="宋体" w:hAnsi="宋体" w:cs="宋体"/>
                <w:color w:val="000000"/>
                <w:sz w:val="22"/>
                <w:szCs w:val="21"/>
              </w:rPr>
            </w:pPr>
          </w:p>
        </w:tc>
        <w:tc>
          <w:tcPr>
            <w:tcW w:w="708" w:type="dxa"/>
            <w:tcBorders>
              <w:bottom w:val="single" w:color="auto" w:sz="12" w:space="0"/>
            </w:tcBorders>
            <w:noWrap w:val="0"/>
            <w:vAlign w:val="center"/>
          </w:tcPr>
          <w:p w14:paraId="165A6F2F">
            <w:pPr>
              <w:keepNext/>
              <w:snapToGrid w:val="0"/>
              <w:spacing w:line="360" w:lineRule="auto"/>
              <w:rPr>
                <w:rFonts w:hint="eastAsia" w:ascii="宋体" w:hAnsi="宋体" w:cs="宋体"/>
                <w:color w:val="000000"/>
                <w:sz w:val="22"/>
                <w:szCs w:val="21"/>
              </w:rPr>
            </w:pPr>
          </w:p>
        </w:tc>
        <w:tc>
          <w:tcPr>
            <w:tcW w:w="567" w:type="dxa"/>
            <w:tcBorders>
              <w:bottom w:val="single" w:color="auto" w:sz="12" w:space="0"/>
            </w:tcBorders>
            <w:noWrap w:val="0"/>
            <w:vAlign w:val="center"/>
          </w:tcPr>
          <w:p w14:paraId="4878C4D3">
            <w:pPr>
              <w:keepNext/>
              <w:snapToGrid w:val="0"/>
              <w:spacing w:line="360" w:lineRule="auto"/>
              <w:rPr>
                <w:rFonts w:hint="eastAsia" w:ascii="宋体" w:hAnsi="宋体" w:cs="宋体"/>
                <w:color w:val="000000"/>
                <w:sz w:val="22"/>
                <w:szCs w:val="21"/>
              </w:rPr>
            </w:pPr>
          </w:p>
        </w:tc>
      </w:tr>
    </w:tbl>
    <w:p w14:paraId="10B14F0C">
      <w:pPr>
        <w:spacing w:line="360" w:lineRule="auto"/>
        <w:rPr>
          <w:rFonts w:hint="eastAsia" w:ascii="宋体" w:hAnsi="宋体" w:cs="宋体"/>
          <w:color w:val="000000"/>
          <w:sz w:val="22"/>
          <w:szCs w:val="21"/>
        </w:rPr>
      </w:pPr>
    </w:p>
    <w:p w14:paraId="56D834BA">
      <w:pPr>
        <w:spacing w:line="360" w:lineRule="auto"/>
        <w:rPr>
          <w:rFonts w:hint="eastAsia" w:ascii="宋体" w:hAnsi="宋体" w:cs="宋体"/>
          <w:color w:val="000000"/>
          <w:sz w:val="22"/>
          <w:szCs w:val="21"/>
        </w:rPr>
      </w:pPr>
    </w:p>
    <w:p w14:paraId="5736A80F">
      <w:pPr>
        <w:keepNext/>
        <w:keepLines/>
        <w:spacing w:before="120" w:after="120" w:line="360" w:lineRule="auto"/>
        <w:jc w:val="left"/>
        <w:outlineLvl w:val="2"/>
        <w:rPr>
          <w:rFonts w:hint="eastAsia" w:ascii="宋体" w:hAnsi="宋体" w:cs="宋体"/>
          <w:bCs/>
          <w:color w:val="000000"/>
          <w:sz w:val="24"/>
        </w:rPr>
      </w:pPr>
      <w:bookmarkStart w:id="866" w:name="_Toc95223487"/>
      <w:r>
        <w:rPr>
          <w:rFonts w:hint="eastAsia" w:ascii="宋体" w:hAnsi="宋体" w:cs="宋体"/>
          <w:bCs/>
          <w:color w:val="000000"/>
          <w:sz w:val="24"/>
        </w:rPr>
        <w:t>附</w:t>
      </w:r>
      <w:bookmarkStart w:id="867" w:name="_Toc296944564"/>
      <w:bookmarkStart w:id="868" w:name="_Toc296503225"/>
      <w:bookmarkStart w:id="869" w:name="_Toc296347224"/>
      <w:bookmarkStart w:id="870" w:name="_Toc296891053"/>
      <w:bookmarkStart w:id="871" w:name="_Toc296891265"/>
      <w:bookmarkStart w:id="872" w:name="_Toc296346726"/>
      <w:bookmarkStart w:id="873" w:name="_Toc267261692"/>
      <w:r>
        <w:rPr>
          <w:rFonts w:hint="eastAsia" w:ascii="宋体" w:hAnsi="宋体" w:cs="宋体"/>
          <w:bCs/>
          <w:color w:val="000000"/>
          <w:sz w:val="24"/>
        </w:rPr>
        <w:t>件2：发包人供应材料设备一览表</w:t>
      </w:r>
      <w:bookmarkEnd w:id="866"/>
    </w:p>
    <w:bookmarkEnd w:id="867"/>
    <w:bookmarkEnd w:id="868"/>
    <w:bookmarkEnd w:id="869"/>
    <w:bookmarkEnd w:id="870"/>
    <w:bookmarkEnd w:id="871"/>
    <w:bookmarkEnd w:id="872"/>
    <w:bookmarkEnd w:id="873"/>
    <w:p w14:paraId="65C3F7DA">
      <w:pPr>
        <w:spacing w:line="360" w:lineRule="auto"/>
        <w:jc w:val="center"/>
        <w:rPr>
          <w:rFonts w:hint="eastAsia" w:ascii="宋体" w:hAnsi="宋体" w:cs="宋体"/>
          <w:color w:val="000000"/>
          <w:sz w:val="22"/>
          <w:szCs w:val="21"/>
        </w:rPr>
      </w:pPr>
      <w:r>
        <w:rPr>
          <w:rFonts w:hint="eastAsia" w:ascii="宋体" w:hAnsi="宋体" w:cs="宋体"/>
          <w:color w:val="000000"/>
          <w:sz w:val="22"/>
          <w:szCs w:val="21"/>
        </w:rPr>
        <w:t>发包人供应材料设备一览表</w:t>
      </w:r>
    </w:p>
    <w:tbl>
      <w:tblPr>
        <w:tblStyle w:val="47"/>
        <w:tblW w:w="96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51"/>
        <w:gridCol w:w="1276"/>
        <w:gridCol w:w="1082"/>
        <w:gridCol w:w="940"/>
        <w:gridCol w:w="851"/>
        <w:gridCol w:w="1044"/>
        <w:gridCol w:w="992"/>
        <w:gridCol w:w="851"/>
        <w:gridCol w:w="966"/>
        <w:gridCol w:w="803"/>
      </w:tblGrid>
      <w:tr w14:paraId="72B793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851" w:type="dxa"/>
            <w:tcBorders>
              <w:top w:val="single" w:color="auto" w:sz="12" w:space="0"/>
              <w:bottom w:val="double" w:color="auto" w:sz="6" w:space="0"/>
            </w:tcBorders>
            <w:noWrap w:val="0"/>
            <w:vAlign w:val="center"/>
          </w:tcPr>
          <w:p w14:paraId="30E7BFBB">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序号</w:t>
            </w:r>
          </w:p>
        </w:tc>
        <w:tc>
          <w:tcPr>
            <w:tcW w:w="1276" w:type="dxa"/>
            <w:tcBorders>
              <w:top w:val="single" w:color="auto" w:sz="12" w:space="0"/>
              <w:bottom w:val="double" w:color="auto" w:sz="6" w:space="0"/>
            </w:tcBorders>
            <w:noWrap w:val="0"/>
            <w:vAlign w:val="center"/>
          </w:tcPr>
          <w:p w14:paraId="1DCD8925">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材料、设备品种</w:t>
            </w:r>
          </w:p>
        </w:tc>
        <w:tc>
          <w:tcPr>
            <w:tcW w:w="1082" w:type="dxa"/>
            <w:tcBorders>
              <w:top w:val="single" w:color="auto" w:sz="12" w:space="0"/>
              <w:bottom w:val="double" w:color="auto" w:sz="6" w:space="0"/>
            </w:tcBorders>
            <w:noWrap w:val="0"/>
            <w:vAlign w:val="center"/>
          </w:tcPr>
          <w:p w14:paraId="7BC70C08">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规格型号</w:t>
            </w:r>
          </w:p>
        </w:tc>
        <w:tc>
          <w:tcPr>
            <w:tcW w:w="940" w:type="dxa"/>
            <w:tcBorders>
              <w:top w:val="single" w:color="auto" w:sz="12" w:space="0"/>
              <w:bottom w:val="double" w:color="auto" w:sz="6" w:space="0"/>
            </w:tcBorders>
            <w:noWrap w:val="0"/>
            <w:vAlign w:val="center"/>
          </w:tcPr>
          <w:p w14:paraId="3C844980">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单位</w:t>
            </w:r>
          </w:p>
        </w:tc>
        <w:tc>
          <w:tcPr>
            <w:tcW w:w="851" w:type="dxa"/>
            <w:tcBorders>
              <w:top w:val="single" w:color="auto" w:sz="12" w:space="0"/>
              <w:bottom w:val="double" w:color="auto" w:sz="6" w:space="0"/>
            </w:tcBorders>
            <w:noWrap w:val="0"/>
            <w:vAlign w:val="center"/>
          </w:tcPr>
          <w:p w14:paraId="7449010F">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数量</w:t>
            </w:r>
          </w:p>
        </w:tc>
        <w:tc>
          <w:tcPr>
            <w:tcW w:w="1044" w:type="dxa"/>
            <w:tcBorders>
              <w:top w:val="single" w:color="auto" w:sz="12" w:space="0"/>
              <w:bottom w:val="double" w:color="auto" w:sz="6" w:space="0"/>
            </w:tcBorders>
            <w:noWrap w:val="0"/>
            <w:vAlign w:val="center"/>
          </w:tcPr>
          <w:p w14:paraId="30E13CC1">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单价（元）</w:t>
            </w:r>
          </w:p>
        </w:tc>
        <w:tc>
          <w:tcPr>
            <w:tcW w:w="992" w:type="dxa"/>
            <w:tcBorders>
              <w:top w:val="single" w:color="auto" w:sz="12" w:space="0"/>
              <w:bottom w:val="double" w:color="auto" w:sz="6" w:space="0"/>
            </w:tcBorders>
            <w:noWrap w:val="0"/>
            <w:vAlign w:val="center"/>
          </w:tcPr>
          <w:p w14:paraId="5E686EB2">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质量等级</w:t>
            </w:r>
          </w:p>
        </w:tc>
        <w:tc>
          <w:tcPr>
            <w:tcW w:w="851" w:type="dxa"/>
            <w:tcBorders>
              <w:top w:val="single" w:color="auto" w:sz="12" w:space="0"/>
              <w:bottom w:val="double" w:color="auto" w:sz="6" w:space="0"/>
            </w:tcBorders>
            <w:noWrap w:val="0"/>
            <w:vAlign w:val="center"/>
          </w:tcPr>
          <w:p w14:paraId="749633C3">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供应时间</w:t>
            </w:r>
          </w:p>
        </w:tc>
        <w:tc>
          <w:tcPr>
            <w:tcW w:w="966" w:type="dxa"/>
            <w:tcBorders>
              <w:top w:val="single" w:color="auto" w:sz="12" w:space="0"/>
              <w:bottom w:val="double" w:color="auto" w:sz="6" w:space="0"/>
            </w:tcBorders>
            <w:noWrap w:val="0"/>
            <w:vAlign w:val="center"/>
          </w:tcPr>
          <w:p w14:paraId="1A9DBB08">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送达地点</w:t>
            </w:r>
          </w:p>
        </w:tc>
        <w:tc>
          <w:tcPr>
            <w:tcW w:w="803" w:type="dxa"/>
            <w:tcBorders>
              <w:top w:val="single" w:color="auto" w:sz="12" w:space="0"/>
              <w:bottom w:val="double" w:color="auto" w:sz="6" w:space="0"/>
            </w:tcBorders>
            <w:noWrap w:val="0"/>
            <w:vAlign w:val="center"/>
          </w:tcPr>
          <w:p w14:paraId="1A5B8172">
            <w:pPr>
              <w:keepNext/>
              <w:snapToGrid w:val="0"/>
              <w:spacing w:line="360" w:lineRule="auto"/>
              <w:rPr>
                <w:rFonts w:hint="eastAsia" w:ascii="宋体" w:hAnsi="宋体" w:cs="宋体"/>
                <w:color w:val="000000"/>
                <w:sz w:val="22"/>
                <w:szCs w:val="21"/>
              </w:rPr>
            </w:pPr>
            <w:r>
              <w:rPr>
                <w:rFonts w:hint="eastAsia" w:ascii="宋体" w:hAnsi="宋体" w:cs="宋体"/>
                <w:color w:val="000000"/>
                <w:sz w:val="22"/>
                <w:szCs w:val="21"/>
              </w:rPr>
              <w:t>备注</w:t>
            </w:r>
          </w:p>
        </w:tc>
      </w:tr>
      <w:tr w14:paraId="7D415D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tcBorders>
              <w:top w:val="double" w:color="auto" w:sz="6" w:space="0"/>
            </w:tcBorders>
            <w:noWrap w:val="0"/>
            <w:vAlign w:val="center"/>
          </w:tcPr>
          <w:p w14:paraId="16BD464D">
            <w:pPr>
              <w:keepNext/>
              <w:snapToGrid w:val="0"/>
              <w:spacing w:line="360" w:lineRule="auto"/>
              <w:rPr>
                <w:rFonts w:hint="eastAsia" w:ascii="宋体" w:hAnsi="宋体" w:cs="宋体"/>
                <w:color w:val="000000"/>
                <w:sz w:val="22"/>
                <w:szCs w:val="21"/>
              </w:rPr>
            </w:pPr>
          </w:p>
        </w:tc>
        <w:tc>
          <w:tcPr>
            <w:tcW w:w="1276" w:type="dxa"/>
            <w:tcBorders>
              <w:top w:val="double" w:color="auto" w:sz="6" w:space="0"/>
            </w:tcBorders>
            <w:noWrap w:val="0"/>
            <w:vAlign w:val="center"/>
          </w:tcPr>
          <w:p w14:paraId="3AAD8862">
            <w:pPr>
              <w:keepNext/>
              <w:snapToGrid w:val="0"/>
              <w:spacing w:line="360" w:lineRule="auto"/>
              <w:rPr>
                <w:rFonts w:hint="eastAsia" w:ascii="宋体" w:hAnsi="宋体" w:cs="宋体"/>
                <w:color w:val="000000"/>
                <w:sz w:val="22"/>
                <w:szCs w:val="21"/>
              </w:rPr>
            </w:pPr>
          </w:p>
        </w:tc>
        <w:tc>
          <w:tcPr>
            <w:tcW w:w="1082" w:type="dxa"/>
            <w:tcBorders>
              <w:top w:val="double" w:color="auto" w:sz="6" w:space="0"/>
            </w:tcBorders>
            <w:noWrap w:val="0"/>
            <w:vAlign w:val="center"/>
          </w:tcPr>
          <w:p w14:paraId="2C0C88F3">
            <w:pPr>
              <w:keepNext/>
              <w:snapToGrid w:val="0"/>
              <w:spacing w:line="360" w:lineRule="auto"/>
              <w:rPr>
                <w:rFonts w:hint="eastAsia" w:ascii="宋体" w:hAnsi="宋体" w:cs="宋体"/>
                <w:color w:val="000000"/>
                <w:sz w:val="22"/>
                <w:szCs w:val="21"/>
              </w:rPr>
            </w:pPr>
          </w:p>
        </w:tc>
        <w:tc>
          <w:tcPr>
            <w:tcW w:w="940" w:type="dxa"/>
            <w:tcBorders>
              <w:top w:val="double" w:color="auto" w:sz="6" w:space="0"/>
            </w:tcBorders>
            <w:noWrap w:val="0"/>
            <w:vAlign w:val="center"/>
          </w:tcPr>
          <w:p w14:paraId="03450777">
            <w:pPr>
              <w:keepNext/>
              <w:snapToGrid w:val="0"/>
              <w:spacing w:line="360" w:lineRule="auto"/>
              <w:rPr>
                <w:rFonts w:hint="eastAsia" w:ascii="宋体" w:hAnsi="宋体" w:cs="宋体"/>
                <w:color w:val="000000"/>
                <w:sz w:val="22"/>
                <w:szCs w:val="21"/>
              </w:rPr>
            </w:pPr>
          </w:p>
        </w:tc>
        <w:tc>
          <w:tcPr>
            <w:tcW w:w="851" w:type="dxa"/>
            <w:tcBorders>
              <w:top w:val="double" w:color="auto" w:sz="6" w:space="0"/>
            </w:tcBorders>
            <w:noWrap w:val="0"/>
            <w:vAlign w:val="center"/>
          </w:tcPr>
          <w:p w14:paraId="7BB8DF66">
            <w:pPr>
              <w:keepNext/>
              <w:snapToGrid w:val="0"/>
              <w:spacing w:line="360" w:lineRule="auto"/>
              <w:rPr>
                <w:rFonts w:hint="eastAsia" w:ascii="宋体" w:hAnsi="宋体" w:cs="宋体"/>
                <w:color w:val="000000"/>
                <w:sz w:val="22"/>
                <w:szCs w:val="21"/>
              </w:rPr>
            </w:pPr>
          </w:p>
        </w:tc>
        <w:tc>
          <w:tcPr>
            <w:tcW w:w="1044" w:type="dxa"/>
            <w:tcBorders>
              <w:top w:val="double" w:color="auto" w:sz="6" w:space="0"/>
            </w:tcBorders>
            <w:noWrap w:val="0"/>
            <w:vAlign w:val="center"/>
          </w:tcPr>
          <w:p w14:paraId="4308D45C">
            <w:pPr>
              <w:keepNext/>
              <w:snapToGrid w:val="0"/>
              <w:spacing w:line="360" w:lineRule="auto"/>
              <w:rPr>
                <w:rFonts w:hint="eastAsia" w:ascii="宋体" w:hAnsi="宋体" w:cs="宋体"/>
                <w:color w:val="000000"/>
                <w:sz w:val="22"/>
                <w:szCs w:val="21"/>
              </w:rPr>
            </w:pPr>
          </w:p>
        </w:tc>
        <w:tc>
          <w:tcPr>
            <w:tcW w:w="992" w:type="dxa"/>
            <w:tcBorders>
              <w:top w:val="double" w:color="auto" w:sz="6" w:space="0"/>
            </w:tcBorders>
            <w:noWrap w:val="0"/>
            <w:vAlign w:val="center"/>
          </w:tcPr>
          <w:p w14:paraId="001DFEBC">
            <w:pPr>
              <w:keepNext/>
              <w:snapToGrid w:val="0"/>
              <w:spacing w:line="360" w:lineRule="auto"/>
              <w:rPr>
                <w:rFonts w:hint="eastAsia" w:ascii="宋体" w:hAnsi="宋体" w:cs="宋体"/>
                <w:color w:val="000000"/>
                <w:sz w:val="22"/>
                <w:szCs w:val="21"/>
              </w:rPr>
            </w:pPr>
          </w:p>
        </w:tc>
        <w:tc>
          <w:tcPr>
            <w:tcW w:w="851" w:type="dxa"/>
            <w:tcBorders>
              <w:top w:val="double" w:color="auto" w:sz="6" w:space="0"/>
            </w:tcBorders>
            <w:noWrap w:val="0"/>
            <w:vAlign w:val="center"/>
          </w:tcPr>
          <w:p w14:paraId="5BD99C3F">
            <w:pPr>
              <w:keepNext/>
              <w:snapToGrid w:val="0"/>
              <w:spacing w:line="360" w:lineRule="auto"/>
              <w:rPr>
                <w:rFonts w:hint="eastAsia" w:ascii="宋体" w:hAnsi="宋体" w:cs="宋体"/>
                <w:color w:val="000000"/>
                <w:sz w:val="22"/>
                <w:szCs w:val="21"/>
              </w:rPr>
            </w:pPr>
          </w:p>
        </w:tc>
        <w:tc>
          <w:tcPr>
            <w:tcW w:w="966" w:type="dxa"/>
            <w:tcBorders>
              <w:top w:val="double" w:color="auto" w:sz="6" w:space="0"/>
            </w:tcBorders>
            <w:noWrap w:val="0"/>
            <w:vAlign w:val="center"/>
          </w:tcPr>
          <w:p w14:paraId="48630F52">
            <w:pPr>
              <w:keepNext/>
              <w:snapToGrid w:val="0"/>
              <w:spacing w:line="360" w:lineRule="auto"/>
              <w:rPr>
                <w:rFonts w:hint="eastAsia" w:ascii="宋体" w:hAnsi="宋体" w:cs="宋体"/>
                <w:color w:val="000000"/>
                <w:sz w:val="22"/>
                <w:szCs w:val="21"/>
              </w:rPr>
            </w:pPr>
          </w:p>
        </w:tc>
        <w:tc>
          <w:tcPr>
            <w:tcW w:w="803" w:type="dxa"/>
            <w:tcBorders>
              <w:top w:val="double" w:color="auto" w:sz="6" w:space="0"/>
            </w:tcBorders>
            <w:noWrap w:val="0"/>
            <w:vAlign w:val="center"/>
          </w:tcPr>
          <w:p w14:paraId="0963CF67">
            <w:pPr>
              <w:keepNext/>
              <w:snapToGrid w:val="0"/>
              <w:spacing w:line="360" w:lineRule="auto"/>
              <w:rPr>
                <w:rFonts w:hint="eastAsia" w:ascii="宋体" w:hAnsi="宋体" w:cs="宋体"/>
                <w:color w:val="000000"/>
                <w:sz w:val="22"/>
                <w:szCs w:val="21"/>
              </w:rPr>
            </w:pPr>
          </w:p>
        </w:tc>
      </w:tr>
      <w:tr w14:paraId="2B6D06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noWrap w:val="0"/>
            <w:vAlign w:val="center"/>
          </w:tcPr>
          <w:p w14:paraId="48C09BA2">
            <w:pPr>
              <w:snapToGrid w:val="0"/>
              <w:spacing w:line="360" w:lineRule="auto"/>
              <w:rPr>
                <w:rFonts w:hint="eastAsia" w:ascii="宋体" w:hAnsi="宋体" w:cs="宋体"/>
                <w:color w:val="000000"/>
                <w:sz w:val="22"/>
                <w:szCs w:val="21"/>
              </w:rPr>
            </w:pPr>
          </w:p>
        </w:tc>
        <w:tc>
          <w:tcPr>
            <w:tcW w:w="1276" w:type="dxa"/>
            <w:noWrap w:val="0"/>
            <w:vAlign w:val="center"/>
          </w:tcPr>
          <w:p w14:paraId="5742AE75">
            <w:pPr>
              <w:snapToGrid w:val="0"/>
              <w:spacing w:line="360" w:lineRule="auto"/>
              <w:rPr>
                <w:rFonts w:hint="eastAsia" w:ascii="宋体" w:hAnsi="宋体" w:cs="宋体"/>
                <w:color w:val="000000"/>
                <w:sz w:val="22"/>
                <w:szCs w:val="21"/>
              </w:rPr>
            </w:pPr>
          </w:p>
        </w:tc>
        <w:tc>
          <w:tcPr>
            <w:tcW w:w="1082" w:type="dxa"/>
            <w:noWrap w:val="0"/>
            <w:vAlign w:val="center"/>
          </w:tcPr>
          <w:p w14:paraId="518E0633">
            <w:pPr>
              <w:snapToGrid w:val="0"/>
              <w:spacing w:line="360" w:lineRule="auto"/>
              <w:rPr>
                <w:rFonts w:hint="eastAsia" w:ascii="宋体" w:hAnsi="宋体" w:cs="宋体"/>
                <w:color w:val="000000"/>
                <w:sz w:val="22"/>
                <w:szCs w:val="21"/>
              </w:rPr>
            </w:pPr>
          </w:p>
        </w:tc>
        <w:tc>
          <w:tcPr>
            <w:tcW w:w="940" w:type="dxa"/>
            <w:noWrap w:val="0"/>
            <w:vAlign w:val="center"/>
          </w:tcPr>
          <w:p w14:paraId="4E56161B">
            <w:pPr>
              <w:snapToGrid w:val="0"/>
              <w:spacing w:line="360" w:lineRule="auto"/>
              <w:rPr>
                <w:rFonts w:hint="eastAsia" w:ascii="宋体" w:hAnsi="宋体" w:cs="宋体"/>
                <w:color w:val="000000"/>
                <w:sz w:val="22"/>
                <w:szCs w:val="21"/>
              </w:rPr>
            </w:pPr>
          </w:p>
        </w:tc>
        <w:tc>
          <w:tcPr>
            <w:tcW w:w="851" w:type="dxa"/>
            <w:noWrap w:val="0"/>
            <w:vAlign w:val="center"/>
          </w:tcPr>
          <w:p w14:paraId="48A48E38">
            <w:pPr>
              <w:snapToGrid w:val="0"/>
              <w:spacing w:line="360" w:lineRule="auto"/>
              <w:rPr>
                <w:rFonts w:hint="eastAsia" w:ascii="宋体" w:hAnsi="宋体" w:cs="宋体"/>
                <w:color w:val="000000"/>
                <w:sz w:val="22"/>
                <w:szCs w:val="21"/>
              </w:rPr>
            </w:pPr>
          </w:p>
        </w:tc>
        <w:tc>
          <w:tcPr>
            <w:tcW w:w="1044" w:type="dxa"/>
            <w:noWrap w:val="0"/>
            <w:vAlign w:val="center"/>
          </w:tcPr>
          <w:p w14:paraId="0709195A">
            <w:pPr>
              <w:snapToGrid w:val="0"/>
              <w:spacing w:line="360" w:lineRule="auto"/>
              <w:rPr>
                <w:rFonts w:hint="eastAsia" w:ascii="宋体" w:hAnsi="宋体" w:cs="宋体"/>
                <w:color w:val="000000"/>
                <w:sz w:val="22"/>
                <w:szCs w:val="21"/>
              </w:rPr>
            </w:pPr>
          </w:p>
        </w:tc>
        <w:tc>
          <w:tcPr>
            <w:tcW w:w="992" w:type="dxa"/>
            <w:noWrap w:val="0"/>
            <w:vAlign w:val="center"/>
          </w:tcPr>
          <w:p w14:paraId="63DC6AC9">
            <w:pPr>
              <w:snapToGrid w:val="0"/>
              <w:spacing w:line="360" w:lineRule="auto"/>
              <w:rPr>
                <w:rFonts w:hint="eastAsia" w:ascii="宋体" w:hAnsi="宋体" w:cs="宋体"/>
                <w:color w:val="000000"/>
                <w:sz w:val="22"/>
                <w:szCs w:val="21"/>
              </w:rPr>
            </w:pPr>
          </w:p>
        </w:tc>
        <w:tc>
          <w:tcPr>
            <w:tcW w:w="851" w:type="dxa"/>
            <w:noWrap w:val="0"/>
            <w:vAlign w:val="center"/>
          </w:tcPr>
          <w:p w14:paraId="05767BED">
            <w:pPr>
              <w:snapToGrid w:val="0"/>
              <w:spacing w:line="360" w:lineRule="auto"/>
              <w:rPr>
                <w:rFonts w:hint="eastAsia" w:ascii="宋体" w:hAnsi="宋体" w:cs="宋体"/>
                <w:color w:val="000000"/>
                <w:sz w:val="22"/>
                <w:szCs w:val="21"/>
              </w:rPr>
            </w:pPr>
          </w:p>
        </w:tc>
        <w:tc>
          <w:tcPr>
            <w:tcW w:w="966" w:type="dxa"/>
            <w:noWrap w:val="0"/>
            <w:vAlign w:val="center"/>
          </w:tcPr>
          <w:p w14:paraId="521D2477">
            <w:pPr>
              <w:snapToGrid w:val="0"/>
              <w:spacing w:line="360" w:lineRule="auto"/>
              <w:rPr>
                <w:rFonts w:hint="eastAsia" w:ascii="宋体" w:hAnsi="宋体" w:cs="宋体"/>
                <w:color w:val="000000"/>
                <w:sz w:val="22"/>
                <w:szCs w:val="21"/>
              </w:rPr>
            </w:pPr>
          </w:p>
        </w:tc>
        <w:tc>
          <w:tcPr>
            <w:tcW w:w="803" w:type="dxa"/>
            <w:noWrap w:val="0"/>
            <w:vAlign w:val="center"/>
          </w:tcPr>
          <w:p w14:paraId="65BE286F">
            <w:pPr>
              <w:snapToGrid w:val="0"/>
              <w:spacing w:line="360" w:lineRule="auto"/>
              <w:rPr>
                <w:rFonts w:hint="eastAsia" w:ascii="宋体" w:hAnsi="宋体" w:cs="宋体"/>
                <w:color w:val="000000"/>
                <w:sz w:val="22"/>
                <w:szCs w:val="21"/>
              </w:rPr>
            </w:pPr>
          </w:p>
        </w:tc>
      </w:tr>
      <w:tr w14:paraId="1B5CBA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851" w:type="dxa"/>
            <w:tcBorders>
              <w:bottom w:val="single" w:color="auto" w:sz="12" w:space="0"/>
            </w:tcBorders>
            <w:noWrap w:val="0"/>
            <w:vAlign w:val="center"/>
          </w:tcPr>
          <w:p w14:paraId="60501A89">
            <w:pPr>
              <w:snapToGrid w:val="0"/>
              <w:spacing w:line="360" w:lineRule="auto"/>
              <w:rPr>
                <w:rFonts w:hint="eastAsia" w:ascii="宋体" w:hAnsi="宋体" w:cs="宋体"/>
                <w:color w:val="000000"/>
                <w:sz w:val="22"/>
                <w:szCs w:val="21"/>
              </w:rPr>
            </w:pPr>
          </w:p>
        </w:tc>
        <w:tc>
          <w:tcPr>
            <w:tcW w:w="1276" w:type="dxa"/>
            <w:tcBorders>
              <w:bottom w:val="single" w:color="auto" w:sz="12" w:space="0"/>
            </w:tcBorders>
            <w:noWrap w:val="0"/>
            <w:vAlign w:val="center"/>
          </w:tcPr>
          <w:p w14:paraId="58834832">
            <w:pPr>
              <w:snapToGrid w:val="0"/>
              <w:spacing w:line="360" w:lineRule="auto"/>
              <w:rPr>
                <w:rFonts w:hint="eastAsia" w:ascii="宋体" w:hAnsi="宋体" w:cs="宋体"/>
                <w:color w:val="000000"/>
                <w:sz w:val="22"/>
                <w:szCs w:val="21"/>
              </w:rPr>
            </w:pPr>
          </w:p>
        </w:tc>
        <w:tc>
          <w:tcPr>
            <w:tcW w:w="1082" w:type="dxa"/>
            <w:tcBorders>
              <w:bottom w:val="single" w:color="auto" w:sz="12" w:space="0"/>
            </w:tcBorders>
            <w:noWrap w:val="0"/>
            <w:vAlign w:val="center"/>
          </w:tcPr>
          <w:p w14:paraId="3A718BB3">
            <w:pPr>
              <w:snapToGrid w:val="0"/>
              <w:spacing w:line="360" w:lineRule="auto"/>
              <w:rPr>
                <w:rFonts w:hint="eastAsia" w:ascii="宋体" w:hAnsi="宋体" w:cs="宋体"/>
                <w:color w:val="000000"/>
                <w:sz w:val="22"/>
                <w:szCs w:val="21"/>
              </w:rPr>
            </w:pPr>
          </w:p>
        </w:tc>
        <w:tc>
          <w:tcPr>
            <w:tcW w:w="940" w:type="dxa"/>
            <w:tcBorders>
              <w:bottom w:val="single" w:color="auto" w:sz="12" w:space="0"/>
            </w:tcBorders>
            <w:noWrap w:val="0"/>
            <w:vAlign w:val="center"/>
          </w:tcPr>
          <w:p w14:paraId="299319D6">
            <w:pPr>
              <w:snapToGrid w:val="0"/>
              <w:spacing w:line="360" w:lineRule="auto"/>
              <w:rPr>
                <w:rFonts w:hint="eastAsia" w:ascii="宋体" w:hAnsi="宋体" w:cs="宋体"/>
                <w:color w:val="000000"/>
                <w:sz w:val="22"/>
                <w:szCs w:val="21"/>
              </w:rPr>
            </w:pPr>
          </w:p>
        </w:tc>
        <w:tc>
          <w:tcPr>
            <w:tcW w:w="851" w:type="dxa"/>
            <w:tcBorders>
              <w:bottom w:val="single" w:color="auto" w:sz="12" w:space="0"/>
            </w:tcBorders>
            <w:noWrap w:val="0"/>
            <w:vAlign w:val="center"/>
          </w:tcPr>
          <w:p w14:paraId="3F8C004B">
            <w:pPr>
              <w:snapToGrid w:val="0"/>
              <w:spacing w:line="360" w:lineRule="auto"/>
              <w:rPr>
                <w:rFonts w:hint="eastAsia" w:ascii="宋体" w:hAnsi="宋体" w:cs="宋体"/>
                <w:color w:val="000000"/>
                <w:sz w:val="22"/>
                <w:szCs w:val="21"/>
              </w:rPr>
            </w:pPr>
          </w:p>
        </w:tc>
        <w:tc>
          <w:tcPr>
            <w:tcW w:w="1044" w:type="dxa"/>
            <w:tcBorders>
              <w:bottom w:val="single" w:color="auto" w:sz="12" w:space="0"/>
            </w:tcBorders>
            <w:noWrap w:val="0"/>
            <w:vAlign w:val="center"/>
          </w:tcPr>
          <w:p w14:paraId="01DF7C00">
            <w:pPr>
              <w:snapToGrid w:val="0"/>
              <w:spacing w:line="360" w:lineRule="auto"/>
              <w:rPr>
                <w:rFonts w:hint="eastAsia" w:ascii="宋体" w:hAnsi="宋体" w:cs="宋体"/>
                <w:color w:val="000000"/>
                <w:sz w:val="22"/>
                <w:szCs w:val="21"/>
              </w:rPr>
            </w:pPr>
          </w:p>
        </w:tc>
        <w:tc>
          <w:tcPr>
            <w:tcW w:w="992" w:type="dxa"/>
            <w:tcBorders>
              <w:bottom w:val="single" w:color="auto" w:sz="12" w:space="0"/>
            </w:tcBorders>
            <w:noWrap w:val="0"/>
            <w:vAlign w:val="center"/>
          </w:tcPr>
          <w:p w14:paraId="62070F81">
            <w:pPr>
              <w:snapToGrid w:val="0"/>
              <w:spacing w:line="360" w:lineRule="auto"/>
              <w:rPr>
                <w:rFonts w:hint="eastAsia" w:ascii="宋体" w:hAnsi="宋体" w:cs="宋体"/>
                <w:color w:val="000000"/>
                <w:sz w:val="22"/>
                <w:szCs w:val="21"/>
              </w:rPr>
            </w:pPr>
          </w:p>
        </w:tc>
        <w:tc>
          <w:tcPr>
            <w:tcW w:w="851" w:type="dxa"/>
            <w:tcBorders>
              <w:bottom w:val="single" w:color="auto" w:sz="12" w:space="0"/>
            </w:tcBorders>
            <w:noWrap w:val="0"/>
            <w:vAlign w:val="center"/>
          </w:tcPr>
          <w:p w14:paraId="180776BF">
            <w:pPr>
              <w:snapToGrid w:val="0"/>
              <w:spacing w:line="360" w:lineRule="auto"/>
              <w:rPr>
                <w:rFonts w:hint="eastAsia" w:ascii="宋体" w:hAnsi="宋体" w:cs="宋体"/>
                <w:color w:val="000000"/>
                <w:sz w:val="22"/>
                <w:szCs w:val="21"/>
              </w:rPr>
            </w:pPr>
          </w:p>
        </w:tc>
        <w:tc>
          <w:tcPr>
            <w:tcW w:w="966" w:type="dxa"/>
            <w:tcBorders>
              <w:bottom w:val="single" w:color="auto" w:sz="12" w:space="0"/>
            </w:tcBorders>
            <w:noWrap w:val="0"/>
            <w:vAlign w:val="center"/>
          </w:tcPr>
          <w:p w14:paraId="14D0E4B8">
            <w:pPr>
              <w:snapToGrid w:val="0"/>
              <w:spacing w:line="360" w:lineRule="auto"/>
              <w:rPr>
                <w:rFonts w:hint="eastAsia" w:ascii="宋体" w:hAnsi="宋体" w:cs="宋体"/>
                <w:color w:val="000000"/>
                <w:sz w:val="22"/>
                <w:szCs w:val="21"/>
              </w:rPr>
            </w:pPr>
          </w:p>
        </w:tc>
        <w:tc>
          <w:tcPr>
            <w:tcW w:w="803" w:type="dxa"/>
            <w:tcBorders>
              <w:bottom w:val="single" w:color="auto" w:sz="12" w:space="0"/>
            </w:tcBorders>
            <w:noWrap w:val="0"/>
            <w:vAlign w:val="center"/>
          </w:tcPr>
          <w:p w14:paraId="15870F20">
            <w:pPr>
              <w:snapToGrid w:val="0"/>
              <w:spacing w:line="360" w:lineRule="auto"/>
              <w:rPr>
                <w:rFonts w:hint="eastAsia" w:ascii="宋体" w:hAnsi="宋体" w:cs="宋体"/>
                <w:color w:val="000000"/>
                <w:sz w:val="22"/>
                <w:szCs w:val="21"/>
              </w:rPr>
            </w:pPr>
          </w:p>
        </w:tc>
      </w:tr>
    </w:tbl>
    <w:p w14:paraId="41156AFE">
      <w:pPr>
        <w:pStyle w:val="14"/>
        <w:rPr>
          <w:rFonts w:hint="eastAsia"/>
        </w:rPr>
      </w:pPr>
    </w:p>
    <w:p w14:paraId="63658383">
      <w:pPr>
        <w:rPr>
          <w:rFonts w:hint="eastAsia"/>
        </w:rPr>
      </w:pPr>
    </w:p>
    <w:p w14:paraId="668911F2">
      <w:pPr>
        <w:pStyle w:val="14"/>
        <w:rPr>
          <w:rFonts w:hint="eastAsia"/>
        </w:rPr>
      </w:pPr>
    </w:p>
    <w:p w14:paraId="346A727E">
      <w:pPr>
        <w:rPr>
          <w:rFonts w:hint="eastAsia"/>
        </w:rPr>
      </w:pPr>
    </w:p>
    <w:p w14:paraId="1C5B9316">
      <w:pPr>
        <w:pStyle w:val="14"/>
        <w:rPr>
          <w:rFonts w:hint="eastAsia"/>
        </w:rPr>
      </w:pPr>
    </w:p>
    <w:p w14:paraId="6CEDC117">
      <w:pPr>
        <w:rPr>
          <w:rFonts w:hint="eastAsia"/>
        </w:rPr>
      </w:pPr>
    </w:p>
    <w:p w14:paraId="60FA8106">
      <w:pPr>
        <w:pStyle w:val="14"/>
        <w:rPr>
          <w:rFonts w:hint="eastAsia"/>
        </w:rPr>
      </w:pPr>
    </w:p>
    <w:p w14:paraId="750E2ED4">
      <w:pPr>
        <w:rPr>
          <w:rFonts w:hint="eastAsia"/>
        </w:rPr>
      </w:pPr>
    </w:p>
    <w:p w14:paraId="7B7E6C0E">
      <w:pPr>
        <w:pStyle w:val="14"/>
        <w:rPr>
          <w:rFonts w:hint="eastAsia"/>
        </w:rPr>
      </w:pPr>
    </w:p>
    <w:p w14:paraId="5690D59A">
      <w:pPr>
        <w:rPr>
          <w:rFonts w:hint="eastAsia"/>
        </w:rPr>
      </w:pPr>
    </w:p>
    <w:p w14:paraId="609DECB3">
      <w:pPr>
        <w:pStyle w:val="14"/>
        <w:rPr>
          <w:rFonts w:hint="eastAsia"/>
        </w:rPr>
      </w:pPr>
    </w:p>
    <w:p w14:paraId="6D713AB3">
      <w:pPr>
        <w:pStyle w:val="14"/>
        <w:rPr>
          <w:rFonts w:hint="eastAsia"/>
          <w:color w:val="000000"/>
        </w:rPr>
      </w:pPr>
    </w:p>
    <w:p w14:paraId="2BFFADDB">
      <w:pPr>
        <w:rPr>
          <w:rFonts w:hint="eastAsia"/>
          <w:color w:val="000000"/>
        </w:rPr>
      </w:pPr>
    </w:p>
    <w:p w14:paraId="5A3C4779">
      <w:pPr>
        <w:pStyle w:val="14"/>
        <w:rPr>
          <w:rFonts w:hint="eastAsia"/>
          <w:color w:val="000000"/>
        </w:rPr>
      </w:pPr>
    </w:p>
    <w:p w14:paraId="352A613F">
      <w:pPr>
        <w:keepNext/>
        <w:keepLines/>
        <w:spacing w:before="120" w:after="120" w:line="360" w:lineRule="auto"/>
        <w:jc w:val="left"/>
        <w:outlineLvl w:val="2"/>
        <w:rPr>
          <w:rFonts w:ascii="宋体" w:hAnsi="宋体" w:cs="宋体"/>
          <w:bCs/>
          <w:color w:val="000000"/>
          <w:sz w:val="24"/>
        </w:rPr>
        <w:sectPr>
          <w:footnotePr>
            <w:numFmt w:val="decimalEnclosedCircleChinese"/>
            <w:numRestart w:val="eachPage"/>
          </w:footnotePr>
          <w:pgSz w:w="11907" w:h="16840"/>
          <w:pgMar w:top="1474" w:right="1474" w:bottom="1474" w:left="1474" w:header="799" w:footer="907" w:gutter="0"/>
          <w:cols w:space="720" w:num="1"/>
          <w:docGrid w:linePitch="271" w:charSpace="0"/>
        </w:sectPr>
      </w:pPr>
      <w:bookmarkStart w:id="874" w:name="_Toc95223488"/>
    </w:p>
    <w:p w14:paraId="419682F1">
      <w:pPr>
        <w:keepNext/>
        <w:keepLines/>
        <w:spacing w:before="120" w:after="120" w:line="360" w:lineRule="auto"/>
        <w:jc w:val="left"/>
        <w:outlineLvl w:val="2"/>
        <w:rPr>
          <w:rFonts w:hint="eastAsia" w:ascii="宋体" w:hAnsi="宋体" w:cs="宋体"/>
          <w:bCs/>
          <w:color w:val="000000"/>
          <w:sz w:val="24"/>
        </w:rPr>
      </w:pPr>
      <w:r>
        <w:rPr>
          <w:rFonts w:hint="eastAsia" w:ascii="宋体" w:hAnsi="宋体" w:cs="宋体"/>
          <w:bCs/>
          <w:color w:val="000000"/>
          <w:sz w:val="24"/>
        </w:rPr>
        <w:t>附件3：工程质量保修书</w:t>
      </w:r>
      <w:bookmarkEnd w:id="874"/>
    </w:p>
    <w:p w14:paraId="50CEDB0C">
      <w:pPr>
        <w:adjustRightInd w:val="0"/>
        <w:snapToGrid w:val="0"/>
        <w:spacing w:line="360" w:lineRule="auto"/>
        <w:jc w:val="center"/>
        <w:rPr>
          <w:rFonts w:hint="eastAsia" w:ascii="宋体" w:hAnsi="宋体" w:cs="宋体"/>
          <w:color w:val="000000"/>
          <w:sz w:val="28"/>
          <w:szCs w:val="28"/>
        </w:rPr>
      </w:pPr>
      <w:r>
        <w:rPr>
          <w:rFonts w:hint="eastAsia" w:ascii="宋体" w:hAnsi="宋体" w:cs="宋体"/>
          <w:color w:val="000000"/>
          <w:sz w:val="28"/>
          <w:szCs w:val="28"/>
        </w:rPr>
        <w:t>工程质量保修书</w:t>
      </w:r>
    </w:p>
    <w:p w14:paraId="284F2A56">
      <w:pPr>
        <w:adjustRightInd w:val="0"/>
        <w:snapToGrid w:val="0"/>
        <w:spacing w:line="360" w:lineRule="auto"/>
        <w:ind w:firstLine="420" w:firstLineChars="200"/>
        <w:rPr>
          <w:rFonts w:hint="eastAsia" w:ascii="宋体" w:hAnsi="宋体" w:cs="宋体"/>
          <w:color w:val="000000"/>
          <w:kern w:val="0"/>
          <w:position w:val="14"/>
          <w:szCs w:val="21"/>
        </w:rPr>
      </w:pPr>
      <w:r>
        <w:rPr>
          <w:rFonts w:hint="eastAsia" w:ascii="宋体" w:hAnsi="宋体" w:cs="宋体"/>
          <w:bCs/>
          <w:color w:val="000000"/>
          <w:kern w:val="0"/>
          <w:position w:val="14"/>
          <w:szCs w:val="21"/>
        </w:rPr>
        <w:t>发包人</w:t>
      </w:r>
      <w:r>
        <w:rPr>
          <w:rFonts w:hint="eastAsia" w:ascii="宋体" w:hAnsi="宋体" w:cs="宋体"/>
          <w:color w:val="000000"/>
          <w:kern w:val="0"/>
          <w:position w:val="14"/>
          <w:szCs w:val="21"/>
        </w:rPr>
        <w:t>：_______________________________</w:t>
      </w:r>
    </w:p>
    <w:p w14:paraId="47082864">
      <w:pPr>
        <w:widowControl/>
        <w:adjustRightInd w:val="0"/>
        <w:snapToGrid w:val="0"/>
        <w:spacing w:line="360" w:lineRule="auto"/>
        <w:ind w:firstLine="420" w:firstLineChars="200"/>
        <w:jc w:val="left"/>
        <w:rPr>
          <w:rFonts w:hint="eastAsia" w:ascii="宋体" w:hAnsi="宋体" w:cs="宋体"/>
          <w:color w:val="000000"/>
          <w:kern w:val="0"/>
          <w:position w:val="14"/>
          <w:szCs w:val="21"/>
        </w:rPr>
      </w:pPr>
      <w:r>
        <w:rPr>
          <w:rFonts w:hint="eastAsia" w:ascii="宋体" w:hAnsi="宋体" w:cs="宋体"/>
          <w:bCs/>
          <w:color w:val="000000"/>
          <w:kern w:val="0"/>
          <w:position w:val="14"/>
          <w:szCs w:val="21"/>
        </w:rPr>
        <w:t>承包人</w:t>
      </w:r>
      <w:r>
        <w:rPr>
          <w:rFonts w:hint="eastAsia" w:ascii="宋体" w:hAnsi="宋体" w:cs="宋体"/>
          <w:color w:val="000000"/>
          <w:kern w:val="0"/>
          <w:position w:val="14"/>
          <w:szCs w:val="21"/>
        </w:rPr>
        <w:t>：_______________________________</w:t>
      </w:r>
    </w:p>
    <w:p w14:paraId="31A26261">
      <w:pPr>
        <w:widowControl/>
        <w:adjustRightInd w:val="0"/>
        <w:snapToGrid w:val="0"/>
        <w:spacing w:line="360" w:lineRule="auto"/>
        <w:ind w:firstLine="420" w:firstLineChars="200"/>
        <w:jc w:val="left"/>
        <w:rPr>
          <w:rFonts w:hint="eastAsia" w:ascii="宋体" w:hAnsi="宋体" w:cs="宋体"/>
          <w:color w:val="000000"/>
          <w:kern w:val="0"/>
          <w:position w:val="6"/>
          <w:szCs w:val="21"/>
        </w:rPr>
      </w:pPr>
      <w:r>
        <w:rPr>
          <w:rFonts w:hint="eastAsia" w:ascii="宋体" w:hAnsi="宋体" w:cs="宋体"/>
          <w:color w:val="000000"/>
          <w:kern w:val="0"/>
          <w:position w:val="6"/>
          <w:szCs w:val="21"/>
        </w:rPr>
        <w:t>发包人、承包人根据《中华人民共和国建筑法》《建设工程质量管理条例》,参照《房屋建筑工程质量保修办法》，经协商一致，对______________________工程签订工程质量保修书。</w:t>
      </w:r>
    </w:p>
    <w:p w14:paraId="067D52FD">
      <w:pPr>
        <w:widowControl/>
        <w:adjustRightInd w:val="0"/>
        <w:snapToGrid w:val="0"/>
        <w:spacing w:line="360" w:lineRule="auto"/>
        <w:ind w:firstLine="422" w:firstLineChars="200"/>
        <w:jc w:val="left"/>
        <w:rPr>
          <w:rFonts w:hint="eastAsia" w:ascii="宋体" w:hAnsi="宋体" w:cs="宋体"/>
          <w:b/>
          <w:bCs/>
          <w:color w:val="000000"/>
          <w:kern w:val="0"/>
          <w:position w:val="6"/>
          <w:szCs w:val="21"/>
        </w:rPr>
      </w:pPr>
      <w:r>
        <w:rPr>
          <w:rFonts w:hint="eastAsia" w:ascii="宋体" w:hAnsi="宋体" w:cs="宋体"/>
          <w:b/>
          <w:bCs/>
          <w:color w:val="000000"/>
          <w:kern w:val="0"/>
          <w:position w:val="6"/>
          <w:szCs w:val="21"/>
        </w:rPr>
        <w:t>一、工程质量保修范围和内容</w:t>
      </w:r>
    </w:p>
    <w:p w14:paraId="55AFBA1C">
      <w:pPr>
        <w:adjustRightInd w:val="0"/>
        <w:snapToGrid w:val="0"/>
        <w:spacing w:line="360" w:lineRule="auto"/>
        <w:ind w:firstLine="420" w:firstLineChars="200"/>
        <w:jc w:val="left"/>
        <w:rPr>
          <w:rFonts w:hint="eastAsia" w:ascii="宋体" w:hAnsi="宋体" w:cs="宋体"/>
          <w:color w:val="000000"/>
          <w:position w:val="6"/>
          <w:szCs w:val="21"/>
        </w:rPr>
      </w:pPr>
      <w:r>
        <w:rPr>
          <w:rFonts w:hint="eastAsia" w:ascii="宋体" w:hAnsi="宋体" w:cs="宋体"/>
          <w:color w:val="000000"/>
          <w:position w:val="6"/>
          <w:szCs w:val="21"/>
        </w:rPr>
        <w:t>按照《建设工程质量管理条例》及有关法律、法规、规章的管理规定，双方约定由施工单位在质量保修期内，承担本工程的质量保修责任。</w:t>
      </w:r>
    </w:p>
    <w:p w14:paraId="6EDD2ED2">
      <w:pPr>
        <w:adjustRightInd w:val="0"/>
        <w:snapToGrid w:val="0"/>
        <w:spacing w:line="360" w:lineRule="auto"/>
        <w:ind w:firstLine="420" w:firstLineChars="200"/>
        <w:jc w:val="left"/>
        <w:rPr>
          <w:rFonts w:hint="eastAsia" w:ascii="宋体" w:hAnsi="宋体" w:cs="宋体"/>
          <w:color w:val="000000"/>
          <w:position w:val="6"/>
          <w:szCs w:val="21"/>
        </w:rPr>
      </w:pPr>
      <w:r>
        <w:rPr>
          <w:rFonts w:hint="eastAsia" w:ascii="宋体" w:hAnsi="宋体" w:cs="宋体"/>
          <w:color w:val="000000"/>
          <w:position w:val="6"/>
          <w:szCs w:val="21"/>
        </w:rPr>
        <w:t>质量保修范围和内容：______________________。</w:t>
      </w:r>
      <w:r>
        <w:rPr>
          <w:rFonts w:hint="eastAsia" w:ascii="宋体" w:hAnsi="宋体" w:cs="宋体"/>
          <w:bCs/>
          <w:color w:val="000000"/>
          <w:kern w:val="0"/>
          <w:position w:val="6"/>
          <w:szCs w:val="21"/>
        </w:rPr>
        <w:t>因不可抗力或使用不当造成的质量缺陷，不属保修范围。</w:t>
      </w:r>
    </w:p>
    <w:p w14:paraId="42DA95BF">
      <w:pPr>
        <w:widowControl/>
        <w:adjustRightInd w:val="0"/>
        <w:snapToGrid w:val="0"/>
        <w:spacing w:line="360" w:lineRule="auto"/>
        <w:ind w:firstLine="422" w:firstLineChars="200"/>
        <w:jc w:val="left"/>
        <w:rPr>
          <w:rFonts w:hint="eastAsia" w:ascii="宋体" w:hAnsi="宋体" w:cs="宋体"/>
          <w:b/>
          <w:bCs/>
          <w:color w:val="000000"/>
          <w:kern w:val="0"/>
          <w:position w:val="6"/>
          <w:szCs w:val="21"/>
        </w:rPr>
      </w:pPr>
      <w:r>
        <w:rPr>
          <w:rFonts w:hint="eastAsia" w:ascii="宋体" w:hAnsi="宋体" w:cs="宋体"/>
          <w:b/>
          <w:bCs/>
          <w:color w:val="000000"/>
          <w:kern w:val="0"/>
          <w:position w:val="6"/>
          <w:szCs w:val="21"/>
        </w:rPr>
        <w:t>二、质量保修期</w:t>
      </w:r>
    </w:p>
    <w:p w14:paraId="177A2834">
      <w:pPr>
        <w:adjustRightInd w:val="0"/>
        <w:snapToGrid w:val="0"/>
        <w:spacing w:line="360" w:lineRule="auto"/>
        <w:ind w:firstLine="420" w:firstLineChars="200"/>
        <w:jc w:val="left"/>
        <w:rPr>
          <w:rFonts w:hint="eastAsia" w:ascii="宋体" w:hAnsi="宋体" w:cs="宋体"/>
          <w:color w:val="000000"/>
          <w:kern w:val="0"/>
          <w:position w:val="6"/>
          <w:szCs w:val="21"/>
        </w:rPr>
      </w:pPr>
      <w:r>
        <w:rPr>
          <w:rFonts w:hint="eastAsia" w:ascii="宋体" w:hAnsi="宋体" w:cs="宋体"/>
          <w:color w:val="000000"/>
          <w:kern w:val="0"/>
          <w:position w:val="6"/>
          <w:szCs w:val="21"/>
        </w:rPr>
        <w:t>双方根据</w:t>
      </w:r>
      <w:r>
        <w:rPr>
          <w:rFonts w:hint="eastAsia" w:ascii="宋体" w:hAnsi="宋体" w:cs="宋体"/>
          <w:color w:val="000000"/>
          <w:position w:val="6"/>
          <w:szCs w:val="21"/>
        </w:rPr>
        <w:t>《建设工程质量管理条例》</w:t>
      </w:r>
      <w:r>
        <w:rPr>
          <w:rFonts w:hint="eastAsia" w:ascii="宋体" w:hAnsi="宋体" w:cs="宋体"/>
          <w:color w:val="000000"/>
          <w:kern w:val="0"/>
          <w:position w:val="6"/>
          <w:szCs w:val="21"/>
        </w:rPr>
        <w:t>及有关规定，约定本工程的质量保修期如下：</w:t>
      </w:r>
    </w:p>
    <w:p w14:paraId="6E670831">
      <w:pPr>
        <w:widowControl/>
        <w:adjustRightInd w:val="0"/>
        <w:snapToGrid w:val="0"/>
        <w:spacing w:line="360" w:lineRule="auto"/>
        <w:ind w:left="420" w:leftChars="200" w:firstLine="58" w:firstLineChars="28"/>
        <w:jc w:val="left"/>
        <w:rPr>
          <w:rFonts w:hint="eastAsia" w:ascii="宋体" w:hAnsi="宋体" w:cs="宋体"/>
          <w:color w:val="000000"/>
          <w:kern w:val="0"/>
          <w:position w:val="6"/>
          <w:szCs w:val="21"/>
        </w:rPr>
      </w:pPr>
      <w:r>
        <w:rPr>
          <w:rFonts w:hint="eastAsia" w:ascii="宋体" w:hAnsi="宋体" w:cs="宋体"/>
          <w:color w:val="000000"/>
          <w:kern w:val="0"/>
          <w:position w:val="6"/>
          <w:szCs w:val="21"/>
        </w:rPr>
        <w:t>1. 主体结构和基础工程，为</w:t>
      </w:r>
      <w:r>
        <w:rPr>
          <w:rFonts w:hint="eastAsia" w:ascii="宋体" w:hAnsi="宋体" w:cs="宋体"/>
          <w:color w:val="000000"/>
          <w:kern w:val="0"/>
          <w:position w:val="6"/>
          <w:szCs w:val="21"/>
          <w:u w:val="single"/>
        </w:rPr>
        <w:t xml:space="preserve">     </w:t>
      </w:r>
      <w:r>
        <w:rPr>
          <w:rFonts w:hint="eastAsia" w:ascii="宋体" w:hAnsi="宋体" w:cs="宋体"/>
          <w:color w:val="000000"/>
          <w:kern w:val="0"/>
          <w:position w:val="6"/>
          <w:szCs w:val="21"/>
        </w:rPr>
        <w:t>年；</w:t>
      </w:r>
    </w:p>
    <w:p w14:paraId="4111251C">
      <w:pPr>
        <w:widowControl/>
        <w:adjustRightInd w:val="0"/>
        <w:snapToGrid w:val="0"/>
        <w:spacing w:line="360" w:lineRule="auto"/>
        <w:ind w:left="420" w:leftChars="200" w:firstLine="58" w:firstLineChars="28"/>
        <w:jc w:val="left"/>
        <w:rPr>
          <w:rFonts w:hint="eastAsia" w:ascii="宋体" w:hAnsi="宋体" w:cs="宋体"/>
          <w:color w:val="000000"/>
          <w:kern w:val="0"/>
          <w:position w:val="6"/>
          <w:szCs w:val="21"/>
        </w:rPr>
      </w:pPr>
      <w:r>
        <w:rPr>
          <w:rFonts w:hint="eastAsia" w:ascii="宋体" w:hAnsi="宋体" w:cs="宋体"/>
          <w:color w:val="000000"/>
          <w:kern w:val="0"/>
          <w:position w:val="6"/>
          <w:szCs w:val="21"/>
        </w:rPr>
        <w:t>2. _____________工程，为</w:t>
      </w:r>
      <w:r>
        <w:rPr>
          <w:rFonts w:hint="eastAsia" w:ascii="宋体" w:hAnsi="宋体" w:cs="宋体"/>
          <w:color w:val="000000"/>
          <w:kern w:val="0"/>
          <w:position w:val="6"/>
          <w:szCs w:val="21"/>
          <w:u w:val="single"/>
        </w:rPr>
        <w:t xml:space="preserve">      </w:t>
      </w:r>
      <w:r>
        <w:rPr>
          <w:rFonts w:hint="eastAsia" w:ascii="宋体" w:hAnsi="宋体" w:cs="宋体"/>
          <w:color w:val="000000"/>
          <w:kern w:val="0"/>
          <w:position w:val="6"/>
          <w:szCs w:val="21"/>
        </w:rPr>
        <w:t>年；</w:t>
      </w:r>
    </w:p>
    <w:p w14:paraId="46207413">
      <w:pPr>
        <w:widowControl/>
        <w:adjustRightInd w:val="0"/>
        <w:snapToGrid w:val="0"/>
        <w:spacing w:line="360" w:lineRule="auto"/>
        <w:ind w:left="420" w:leftChars="200" w:firstLine="58" w:firstLineChars="28"/>
        <w:jc w:val="left"/>
        <w:rPr>
          <w:rFonts w:hint="eastAsia" w:ascii="宋体" w:hAnsi="宋体" w:cs="宋体"/>
          <w:color w:val="000000"/>
          <w:kern w:val="0"/>
          <w:position w:val="6"/>
          <w:szCs w:val="21"/>
        </w:rPr>
      </w:pPr>
      <w:r>
        <w:rPr>
          <w:rFonts w:hint="eastAsia" w:ascii="宋体" w:hAnsi="宋体" w:cs="宋体"/>
          <w:color w:val="000000"/>
          <w:kern w:val="0"/>
          <w:position w:val="6"/>
          <w:szCs w:val="21"/>
        </w:rPr>
        <w:t>3. _____________工程，为</w:t>
      </w:r>
      <w:r>
        <w:rPr>
          <w:rFonts w:hint="eastAsia" w:ascii="宋体" w:hAnsi="宋体" w:cs="宋体"/>
          <w:color w:val="000000"/>
          <w:kern w:val="0"/>
          <w:position w:val="6"/>
          <w:szCs w:val="21"/>
          <w:u w:val="single"/>
        </w:rPr>
        <w:t xml:space="preserve">      </w:t>
      </w:r>
      <w:r>
        <w:rPr>
          <w:rFonts w:hint="eastAsia" w:ascii="宋体" w:hAnsi="宋体" w:cs="宋体"/>
          <w:color w:val="000000"/>
          <w:kern w:val="0"/>
          <w:position w:val="6"/>
          <w:szCs w:val="21"/>
        </w:rPr>
        <w:t>年；</w:t>
      </w:r>
    </w:p>
    <w:p w14:paraId="723584E3">
      <w:pPr>
        <w:adjustRightInd w:val="0"/>
        <w:snapToGrid w:val="0"/>
        <w:spacing w:line="360" w:lineRule="auto"/>
        <w:ind w:left="359" w:leftChars="171" w:firstLine="105" w:firstLineChars="50"/>
        <w:rPr>
          <w:rFonts w:hint="eastAsia" w:ascii="宋体" w:hAnsi="宋体" w:cs="宋体"/>
          <w:color w:val="000000"/>
          <w:kern w:val="0"/>
          <w:position w:val="6"/>
          <w:szCs w:val="21"/>
        </w:rPr>
      </w:pPr>
      <w:r>
        <w:rPr>
          <w:rFonts w:hint="eastAsia" w:ascii="宋体" w:hAnsi="宋体" w:cs="宋体"/>
          <w:color w:val="000000"/>
          <w:kern w:val="0"/>
          <w:position w:val="6"/>
          <w:szCs w:val="21"/>
        </w:rPr>
        <w:t>4. _____________工程，为</w:t>
      </w:r>
      <w:r>
        <w:rPr>
          <w:rFonts w:hint="eastAsia" w:ascii="宋体" w:hAnsi="宋体" w:cs="宋体"/>
          <w:color w:val="000000"/>
          <w:kern w:val="0"/>
          <w:position w:val="6"/>
          <w:szCs w:val="21"/>
          <w:u w:val="single"/>
        </w:rPr>
        <w:t xml:space="preserve">      </w:t>
      </w:r>
      <w:r>
        <w:rPr>
          <w:rFonts w:hint="eastAsia" w:ascii="宋体" w:hAnsi="宋体" w:cs="宋体"/>
          <w:color w:val="000000"/>
          <w:kern w:val="0"/>
          <w:position w:val="6"/>
          <w:szCs w:val="21"/>
        </w:rPr>
        <w:t>年；</w:t>
      </w:r>
      <w:r>
        <w:rPr>
          <w:rFonts w:hint="eastAsia" w:ascii="宋体" w:hAnsi="宋体" w:cs="宋体"/>
          <w:color w:val="000000"/>
          <w:kern w:val="0"/>
          <w:position w:val="6"/>
          <w:szCs w:val="21"/>
        </w:rPr>
        <w:br w:type="textWrapping"/>
      </w:r>
      <w:r>
        <w:rPr>
          <w:rFonts w:hint="eastAsia" w:ascii="宋体" w:hAnsi="宋体" w:cs="宋体"/>
          <w:color w:val="000000"/>
          <w:kern w:val="0"/>
          <w:position w:val="6"/>
          <w:szCs w:val="21"/>
        </w:rPr>
        <w:t>质量保修期自工程竣工验收合格之日起计算。</w:t>
      </w:r>
    </w:p>
    <w:p w14:paraId="18F04D1E">
      <w:pPr>
        <w:adjustRightInd w:val="0"/>
        <w:snapToGrid w:val="0"/>
        <w:spacing w:line="360" w:lineRule="auto"/>
        <w:ind w:firstLine="422" w:firstLineChars="200"/>
        <w:rPr>
          <w:rFonts w:hint="eastAsia" w:ascii="宋体" w:hAnsi="宋体" w:cs="宋体"/>
          <w:b/>
          <w:color w:val="000000"/>
          <w:szCs w:val="21"/>
        </w:rPr>
      </w:pPr>
      <w:r>
        <w:rPr>
          <w:rFonts w:hint="eastAsia" w:ascii="宋体" w:hAnsi="宋体" w:cs="宋体"/>
          <w:b/>
          <w:color w:val="000000"/>
          <w:szCs w:val="21"/>
        </w:rPr>
        <w:t>三、缺陷责任期</w:t>
      </w:r>
    </w:p>
    <w:p w14:paraId="481C444A">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工程缺陷责任期为</w:t>
      </w:r>
      <w:r>
        <w:rPr>
          <w:rFonts w:hint="eastAsia" w:ascii="宋体" w:hAnsi="宋体" w:cs="宋体"/>
          <w:color w:val="000000"/>
          <w:szCs w:val="21"/>
          <w:u w:val="single"/>
        </w:rPr>
        <w:t xml:space="preserve">     </w:t>
      </w:r>
      <w:r>
        <w:rPr>
          <w:rFonts w:hint="eastAsia" w:ascii="宋体" w:hAnsi="宋体" w:cs="宋体"/>
          <w:color w:val="000000"/>
          <w:szCs w:val="21"/>
        </w:rPr>
        <w:t>，缺陷责任期自工程竣工验收合格之日起计算。单位工程先于全部工程进行验收，单位工程缺陷责任期自单位工程验收合格之日起算。</w:t>
      </w:r>
    </w:p>
    <w:p w14:paraId="1275DF42">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缺陷责任期终止后，发包人应退还剩余的质量保证金。</w:t>
      </w:r>
    </w:p>
    <w:p w14:paraId="0C1C6C82">
      <w:pPr>
        <w:widowControl/>
        <w:adjustRightInd w:val="0"/>
        <w:snapToGrid w:val="0"/>
        <w:spacing w:line="360" w:lineRule="auto"/>
        <w:ind w:firstLine="422" w:firstLineChars="200"/>
        <w:jc w:val="left"/>
        <w:rPr>
          <w:rFonts w:hint="eastAsia" w:ascii="宋体" w:hAnsi="宋体" w:cs="宋体"/>
          <w:b/>
          <w:bCs/>
          <w:color w:val="000000"/>
          <w:kern w:val="0"/>
          <w:position w:val="6"/>
          <w:szCs w:val="21"/>
        </w:rPr>
      </w:pPr>
      <w:r>
        <w:rPr>
          <w:rFonts w:hint="eastAsia" w:ascii="宋体" w:hAnsi="宋体" w:cs="宋体"/>
          <w:b/>
          <w:color w:val="000000"/>
          <w:szCs w:val="21"/>
        </w:rPr>
        <w:t>四、质量保修责任</w:t>
      </w:r>
    </w:p>
    <w:p w14:paraId="05FD301E">
      <w:pPr>
        <w:widowControl/>
        <w:adjustRightInd w:val="0"/>
        <w:snapToGrid w:val="0"/>
        <w:spacing w:line="360" w:lineRule="auto"/>
        <w:ind w:firstLine="420" w:firstLineChars="200"/>
        <w:jc w:val="left"/>
        <w:rPr>
          <w:rFonts w:hint="eastAsia" w:ascii="宋体" w:hAnsi="宋体" w:cs="宋体"/>
          <w:color w:val="000000"/>
          <w:kern w:val="0"/>
          <w:position w:val="6"/>
          <w:szCs w:val="21"/>
        </w:rPr>
      </w:pPr>
      <w:r>
        <w:rPr>
          <w:rFonts w:hint="eastAsia" w:ascii="宋体" w:hAnsi="宋体" w:cs="宋体"/>
          <w:color w:val="000000"/>
          <w:kern w:val="0"/>
          <w:position w:val="6"/>
          <w:szCs w:val="21"/>
        </w:rPr>
        <w:t>1. 属于保修范围、内容的项目，承包人应当在接到保修通知之日起7天内派人保修。承包人不在约定期限内派人保修的，发包人可以委托他人修理。</w:t>
      </w:r>
    </w:p>
    <w:p w14:paraId="745DDA71">
      <w:pPr>
        <w:widowControl/>
        <w:adjustRightInd w:val="0"/>
        <w:snapToGrid w:val="0"/>
        <w:spacing w:line="360" w:lineRule="auto"/>
        <w:ind w:firstLine="420" w:firstLineChars="200"/>
        <w:jc w:val="left"/>
        <w:rPr>
          <w:rFonts w:hint="eastAsia" w:ascii="宋体" w:hAnsi="宋体" w:cs="宋体"/>
          <w:color w:val="000000"/>
          <w:kern w:val="0"/>
          <w:position w:val="6"/>
          <w:szCs w:val="21"/>
        </w:rPr>
      </w:pPr>
      <w:r>
        <w:rPr>
          <w:rFonts w:hint="eastAsia" w:ascii="宋体" w:hAnsi="宋体" w:cs="宋体"/>
          <w:color w:val="000000"/>
          <w:kern w:val="0"/>
          <w:position w:val="6"/>
          <w:szCs w:val="21"/>
        </w:rPr>
        <w:t>2. 发生紧急抢修事故的，承包人在接到事故通知后，应当立即到达事故现场抢修。</w:t>
      </w:r>
    </w:p>
    <w:p w14:paraId="21CA027C">
      <w:pPr>
        <w:widowControl/>
        <w:adjustRightInd w:val="0"/>
        <w:snapToGrid w:val="0"/>
        <w:spacing w:line="360" w:lineRule="auto"/>
        <w:ind w:firstLine="420" w:firstLineChars="200"/>
        <w:jc w:val="left"/>
        <w:rPr>
          <w:rFonts w:hint="eastAsia" w:ascii="宋体" w:hAnsi="宋体" w:cs="宋体"/>
          <w:color w:val="000000"/>
          <w:kern w:val="0"/>
          <w:position w:val="6"/>
          <w:szCs w:val="21"/>
        </w:rPr>
      </w:pPr>
      <w:r>
        <w:rPr>
          <w:rFonts w:hint="eastAsia" w:ascii="宋体" w:hAnsi="宋体" w:cs="宋体"/>
          <w:color w:val="000000"/>
          <w:kern w:val="0"/>
          <w:position w:val="6"/>
          <w:szCs w:val="21"/>
        </w:rPr>
        <w:t>3. 对于涉及结构安全的质量问题，应当立即向当地建设行政主管部门报告，采取安全防范措施；由原设计单位或者具有相应资质等级的设计单位提出保修方案，承包人实施保修。</w:t>
      </w:r>
    </w:p>
    <w:p w14:paraId="6902E352">
      <w:pPr>
        <w:widowControl/>
        <w:adjustRightInd w:val="0"/>
        <w:snapToGrid w:val="0"/>
        <w:spacing w:line="360" w:lineRule="auto"/>
        <w:ind w:firstLine="420" w:firstLineChars="200"/>
        <w:jc w:val="left"/>
        <w:rPr>
          <w:rFonts w:hint="eastAsia" w:ascii="宋体" w:hAnsi="宋体" w:cs="宋体"/>
          <w:color w:val="000000"/>
          <w:kern w:val="0"/>
          <w:position w:val="6"/>
          <w:szCs w:val="21"/>
        </w:rPr>
      </w:pPr>
      <w:r>
        <w:rPr>
          <w:rFonts w:hint="eastAsia" w:ascii="宋体" w:hAnsi="宋体" w:cs="宋体"/>
          <w:color w:val="000000"/>
          <w:kern w:val="0"/>
          <w:position w:val="6"/>
          <w:szCs w:val="21"/>
        </w:rPr>
        <w:t>4. 质量保修完成后，由发包人组织验收。</w:t>
      </w:r>
    </w:p>
    <w:p w14:paraId="413B730A">
      <w:pPr>
        <w:widowControl/>
        <w:adjustRightInd w:val="0"/>
        <w:snapToGrid w:val="0"/>
        <w:spacing w:line="360" w:lineRule="auto"/>
        <w:ind w:firstLine="422" w:firstLineChars="200"/>
        <w:jc w:val="left"/>
        <w:rPr>
          <w:rFonts w:hint="eastAsia" w:ascii="宋体" w:hAnsi="宋体" w:cs="宋体"/>
          <w:b/>
          <w:bCs/>
          <w:color w:val="000000"/>
          <w:kern w:val="0"/>
          <w:position w:val="6"/>
          <w:szCs w:val="21"/>
        </w:rPr>
      </w:pPr>
      <w:r>
        <w:rPr>
          <w:rFonts w:hint="eastAsia" w:ascii="宋体" w:hAnsi="宋体" w:cs="宋体"/>
          <w:b/>
          <w:bCs/>
          <w:color w:val="000000"/>
          <w:kern w:val="0"/>
          <w:position w:val="6"/>
          <w:szCs w:val="21"/>
        </w:rPr>
        <w:t>五、保修费用</w:t>
      </w:r>
    </w:p>
    <w:p w14:paraId="0172FBCD">
      <w:pPr>
        <w:widowControl/>
        <w:adjustRightInd w:val="0"/>
        <w:snapToGrid w:val="0"/>
        <w:spacing w:line="360" w:lineRule="auto"/>
        <w:ind w:firstLine="420" w:firstLineChars="200"/>
        <w:jc w:val="left"/>
        <w:rPr>
          <w:rFonts w:hint="eastAsia" w:ascii="宋体" w:hAnsi="宋体" w:cs="宋体"/>
          <w:color w:val="000000"/>
          <w:kern w:val="0"/>
          <w:position w:val="6"/>
          <w:szCs w:val="21"/>
        </w:rPr>
      </w:pPr>
      <w:r>
        <w:rPr>
          <w:rFonts w:hint="eastAsia" w:ascii="宋体" w:hAnsi="宋体" w:cs="宋体"/>
          <w:color w:val="000000"/>
          <w:kern w:val="0"/>
          <w:position w:val="6"/>
          <w:szCs w:val="21"/>
        </w:rPr>
        <w:t>保修费用由造成质量缺陷的责任方承担。</w:t>
      </w:r>
    </w:p>
    <w:p w14:paraId="03171DD4">
      <w:pPr>
        <w:widowControl/>
        <w:adjustRightInd w:val="0"/>
        <w:snapToGrid w:val="0"/>
        <w:spacing w:line="360" w:lineRule="auto"/>
        <w:ind w:firstLine="422" w:firstLineChars="200"/>
        <w:jc w:val="left"/>
        <w:rPr>
          <w:rFonts w:hint="eastAsia" w:ascii="宋体" w:hAnsi="宋体" w:cs="宋体"/>
          <w:b/>
          <w:color w:val="000000"/>
          <w:szCs w:val="21"/>
        </w:rPr>
      </w:pPr>
      <w:r>
        <w:rPr>
          <w:rFonts w:hint="eastAsia" w:ascii="宋体" w:hAnsi="宋体" w:cs="宋体"/>
          <w:b/>
          <w:color w:val="000000"/>
          <w:szCs w:val="21"/>
        </w:rPr>
        <w:t>六、双方约定的其他工程质量保修事项：</w:t>
      </w:r>
      <w:r>
        <w:rPr>
          <w:rFonts w:hint="eastAsia" w:ascii="宋体" w:hAnsi="宋体" w:cs="宋体"/>
          <w:b/>
          <w:color w:val="000000"/>
          <w:szCs w:val="21"/>
          <w:u w:val="single"/>
        </w:rPr>
        <w:t xml:space="preserve">             </w:t>
      </w:r>
      <w:r>
        <w:rPr>
          <w:rFonts w:hint="eastAsia" w:ascii="宋体" w:hAnsi="宋体" w:cs="宋体"/>
          <w:b/>
          <w:color w:val="000000"/>
          <w:szCs w:val="21"/>
        </w:rPr>
        <w:t>。</w:t>
      </w:r>
    </w:p>
    <w:p w14:paraId="5D7125AA">
      <w:pPr>
        <w:widowControl/>
        <w:adjustRightInd w:val="0"/>
        <w:snapToGrid w:val="0"/>
        <w:spacing w:line="360" w:lineRule="auto"/>
        <w:ind w:firstLine="420" w:firstLineChars="200"/>
        <w:jc w:val="left"/>
        <w:rPr>
          <w:rFonts w:hint="eastAsia" w:ascii="宋体" w:hAnsi="宋体" w:cs="宋体"/>
          <w:bCs/>
          <w:color w:val="000000"/>
          <w:kern w:val="0"/>
          <w:szCs w:val="21"/>
        </w:rPr>
      </w:pPr>
      <w:r>
        <w:rPr>
          <w:rFonts w:hint="eastAsia" w:ascii="宋体" w:hAnsi="宋体" w:cs="宋体"/>
          <w:bCs/>
          <w:color w:val="000000"/>
          <w:kern w:val="0"/>
          <w:position w:val="6"/>
          <w:szCs w:val="21"/>
        </w:rPr>
        <w:t>本工程质量保修书，由施工合同发包人、承包人双方在竣工验收前共同签署，作为施工合同附件，其有效期限至保修期满。</w:t>
      </w:r>
    </w:p>
    <w:p w14:paraId="2CB7E19E">
      <w:pPr>
        <w:adjustRightInd w:val="0"/>
        <w:snapToGrid w:val="0"/>
        <w:spacing w:line="360" w:lineRule="auto"/>
        <w:ind w:firstLine="420"/>
        <w:rPr>
          <w:rFonts w:hint="eastAsia" w:ascii="宋体" w:hAnsi="宋体" w:cs="宋体"/>
          <w:color w:val="000000"/>
          <w:szCs w:val="21"/>
        </w:rPr>
      </w:pPr>
    </w:p>
    <w:p w14:paraId="69898260">
      <w:pPr>
        <w:adjustRightInd w:val="0"/>
        <w:snapToGrid w:val="0"/>
        <w:spacing w:line="360" w:lineRule="auto"/>
        <w:rPr>
          <w:rFonts w:hint="eastAsia" w:ascii="宋体" w:hAnsi="宋体" w:cs="宋体"/>
          <w:color w:val="000000"/>
          <w:szCs w:val="21"/>
          <w:u w:val="single"/>
        </w:rPr>
      </w:pPr>
      <w:r>
        <w:rPr>
          <w:rFonts w:hint="eastAsia" w:ascii="宋体" w:hAnsi="宋体" w:cs="宋体"/>
          <w:color w:val="000000"/>
          <w:szCs w:val="21"/>
        </w:rPr>
        <w:t>发包人(公章)：</w:t>
      </w:r>
      <w:r>
        <w:rPr>
          <w:rFonts w:hint="eastAsia" w:ascii="宋体" w:hAnsi="宋体" w:cs="宋体"/>
          <w:color w:val="000000"/>
          <w:szCs w:val="21"/>
          <w:u w:val="single"/>
        </w:rPr>
        <w:t xml:space="preserve">            </w:t>
      </w:r>
      <w:r>
        <w:rPr>
          <w:rFonts w:hint="eastAsia" w:ascii="宋体" w:hAnsi="宋体" w:cs="宋体"/>
          <w:color w:val="000000"/>
          <w:szCs w:val="21"/>
        </w:rPr>
        <w:t xml:space="preserve">                     承包人(公章)：</w:t>
      </w:r>
      <w:r>
        <w:rPr>
          <w:rFonts w:hint="eastAsia" w:ascii="宋体" w:hAnsi="宋体" w:cs="宋体"/>
          <w:color w:val="000000"/>
          <w:szCs w:val="21"/>
          <w:u w:val="single"/>
        </w:rPr>
        <w:t xml:space="preserve">           </w:t>
      </w:r>
    </w:p>
    <w:p w14:paraId="2E60006D">
      <w:pPr>
        <w:adjustRightInd w:val="0"/>
        <w:snapToGrid w:val="0"/>
        <w:spacing w:line="360" w:lineRule="auto"/>
        <w:rPr>
          <w:rFonts w:hint="eastAsia" w:ascii="宋体" w:hAnsi="宋体" w:cs="宋体"/>
          <w:color w:val="000000"/>
          <w:szCs w:val="21"/>
          <w:u w:val="single"/>
        </w:rPr>
      </w:pPr>
      <w:r>
        <w:rPr>
          <w:rFonts w:hint="eastAsia" w:ascii="宋体" w:hAnsi="宋体" w:cs="宋体"/>
          <w:color w:val="000000"/>
          <w:szCs w:val="21"/>
        </w:rPr>
        <w:t>地  址：</w:t>
      </w:r>
      <w:r>
        <w:rPr>
          <w:rFonts w:hint="eastAsia" w:ascii="宋体" w:hAnsi="宋体" w:cs="宋体"/>
          <w:color w:val="000000"/>
          <w:szCs w:val="21"/>
          <w:u w:val="single"/>
        </w:rPr>
        <w:t xml:space="preserve">                    </w:t>
      </w:r>
      <w:r>
        <w:rPr>
          <w:rFonts w:hint="eastAsia" w:ascii="宋体" w:hAnsi="宋体" w:cs="宋体"/>
          <w:color w:val="000000"/>
          <w:szCs w:val="21"/>
        </w:rPr>
        <w:t xml:space="preserve">                      地  址：</w:t>
      </w:r>
      <w:r>
        <w:rPr>
          <w:rFonts w:hint="eastAsia" w:ascii="宋体" w:hAnsi="宋体" w:cs="宋体"/>
          <w:color w:val="000000"/>
          <w:szCs w:val="21"/>
          <w:u w:val="single"/>
        </w:rPr>
        <w:t xml:space="preserve">                  </w:t>
      </w:r>
    </w:p>
    <w:p w14:paraId="56793B36">
      <w:pPr>
        <w:adjustRightInd w:val="0"/>
        <w:snapToGrid w:val="0"/>
        <w:spacing w:line="360" w:lineRule="auto"/>
        <w:rPr>
          <w:rFonts w:hint="eastAsia" w:ascii="宋体" w:hAnsi="宋体" w:cs="宋体"/>
          <w:color w:val="000000"/>
          <w:szCs w:val="21"/>
          <w:u w:val="single"/>
        </w:rPr>
      </w:pPr>
      <w:r>
        <w:rPr>
          <w:rFonts w:hint="eastAsia" w:ascii="宋体" w:hAnsi="宋体" w:cs="宋体"/>
          <w:color w:val="000000"/>
          <w:szCs w:val="21"/>
        </w:rPr>
        <w:t>法定代表人(签字)：</w:t>
      </w:r>
      <w:r>
        <w:rPr>
          <w:rFonts w:hint="eastAsia" w:ascii="宋体" w:hAnsi="宋体" w:cs="宋体"/>
          <w:color w:val="000000"/>
          <w:szCs w:val="21"/>
          <w:u w:val="single"/>
        </w:rPr>
        <w:t xml:space="preserve">          </w:t>
      </w:r>
      <w:r>
        <w:rPr>
          <w:rFonts w:hint="eastAsia" w:ascii="宋体" w:hAnsi="宋体" w:cs="宋体"/>
          <w:color w:val="000000"/>
          <w:szCs w:val="21"/>
        </w:rPr>
        <w:t xml:space="preserve">                     法定代表人(签字)：</w:t>
      </w:r>
      <w:r>
        <w:rPr>
          <w:rFonts w:hint="eastAsia" w:ascii="宋体" w:hAnsi="宋体" w:cs="宋体"/>
          <w:color w:val="000000"/>
          <w:szCs w:val="21"/>
          <w:u w:val="single"/>
        </w:rPr>
        <w:t xml:space="preserve">           </w:t>
      </w:r>
    </w:p>
    <w:p w14:paraId="177E1B03">
      <w:pPr>
        <w:adjustRightInd w:val="0"/>
        <w:snapToGrid w:val="0"/>
        <w:spacing w:line="360" w:lineRule="auto"/>
        <w:rPr>
          <w:rFonts w:hint="eastAsia" w:ascii="宋体" w:hAnsi="宋体" w:cs="宋体"/>
          <w:color w:val="000000"/>
          <w:szCs w:val="21"/>
          <w:u w:val="single"/>
        </w:rPr>
      </w:pPr>
      <w:r>
        <w:rPr>
          <w:rFonts w:hint="eastAsia" w:ascii="宋体" w:hAnsi="宋体" w:cs="宋体"/>
          <w:color w:val="000000"/>
          <w:szCs w:val="21"/>
        </w:rPr>
        <w:t>委托代理人(签字)：</w:t>
      </w:r>
      <w:r>
        <w:rPr>
          <w:rFonts w:hint="eastAsia" w:ascii="宋体" w:hAnsi="宋体" w:cs="宋体"/>
          <w:color w:val="000000"/>
          <w:szCs w:val="21"/>
          <w:u w:val="single"/>
        </w:rPr>
        <w:t xml:space="preserve">         </w:t>
      </w:r>
      <w:r>
        <w:rPr>
          <w:rFonts w:hint="eastAsia" w:ascii="宋体" w:hAnsi="宋体" w:cs="宋体"/>
          <w:color w:val="000000"/>
          <w:szCs w:val="21"/>
        </w:rPr>
        <w:t xml:space="preserve">                     委托代理人(签字)：</w:t>
      </w:r>
      <w:r>
        <w:rPr>
          <w:rFonts w:hint="eastAsia" w:ascii="宋体" w:hAnsi="宋体" w:cs="宋体"/>
          <w:color w:val="000000"/>
          <w:szCs w:val="21"/>
          <w:u w:val="single"/>
        </w:rPr>
        <w:t xml:space="preserve">            </w:t>
      </w:r>
    </w:p>
    <w:p w14:paraId="38511084">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电  话：</w:t>
      </w:r>
      <w:r>
        <w:rPr>
          <w:rFonts w:hint="eastAsia" w:ascii="宋体" w:hAnsi="宋体" w:cs="宋体"/>
          <w:color w:val="000000"/>
          <w:szCs w:val="21"/>
          <w:u w:val="single"/>
        </w:rPr>
        <w:t xml:space="preserve">                   </w:t>
      </w:r>
      <w:r>
        <w:rPr>
          <w:rFonts w:hint="eastAsia" w:ascii="宋体" w:hAnsi="宋体" w:cs="宋体"/>
          <w:color w:val="000000"/>
          <w:szCs w:val="21"/>
        </w:rPr>
        <w:t xml:space="preserve">                      电  话：</w:t>
      </w:r>
      <w:r>
        <w:rPr>
          <w:rFonts w:hint="eastAsia" w:ascii="宋体" w:hAnsi="宋体" w:cs="宋体"/>
          <w:color w:val="000000"/>
          <w:szCs w:val="21"/>
          <w:u w:val="single"/>
        </w:rPr>
        <w:t xml:space="preserve">                     </w:t>
      </w:r>
    </w:p>
    <w:p w14:paraId="0376A195">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传  真：</w:t>
      </w:r>
      <w:r>
        <w:rPr>
          <w:rFonts w:hint="eastAsia" w:ascii="宋体" w:hAnsi="宋体" w:cs="宋体"/>
          <w:color w:val="000000"/>
          <w:szCs w:val="21"/>
          <w:u w:val="single"/>
        </w:rPr>
        <w:t xml:space="preserve">                   </w:t>
      </w:r>
      <w:r>
        <w:rPr>
          <w:rFonts w:hint="eastAsia" w:ascii="宋体" w:hAnsi="宋体" w:cs="宋体"/>
          <w:color w:val="000000"/>
          <w:szCs w:val="21"/>
        </w:rPr>
        <w:t xml:space="preserve">                      传  真：</w:t>
      </w:r>
      <w:r>
        <w:rPr>
          <w:rFonts w:hint="eastAsia" w:ascii="宋体" w:hAnsi="宋体" w:cs="宋体"/>
          <w:color w:val="000000"/>
          <w:szCs w:val="21"/>
          <w:u w:val="single"/>
        </w:rPr>
        <w:t xml:space="preserve">                   </w:t>
      </w:r>
    </w:p>
    <w:p w14:paraId="645FBFC8">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开户银行：</w:t>
      </w:r>
      <w:r>
        <w:rPr>
          <w:rFonts w:hint="eastAsia" w:ascii="宋体" w:hAnsi="宋体" w:cs="宋体"/>
          <w:color w:val="000000"/>
          <w:szCs w:val="21"/>
          <w:u w:val="single"/>
        </w:rPr>
        <w:t xml:space="preserve">                 </w:t>
      </w:r>
      <w:r>
        <w:rPr>
          <w:rFonts w:hint="eastAsia" w:ascii="宋体" w:hAnsi="宋体" w:cs="宋体"/>
          <w:color w:val="000000"/>
          <w:szCs w:val="21"/>
        </w:rPr>
        <w:t xml:space="preserve">                      开户银行：</w:t>
      </w:r>
      <w:r>
        <w:rPr>
          <w:rFonts w:hint="eastAsia" w:ascii="宋体" w:hAnsi="宋体" w:cs="宋体"/>
          <w:color w:val="000000"/>
          <w:szCs w:val="21"/>
          <w:u w:val="single"/>
        </w:rPr>
        <w:t xml:space="preserve">                   </w:t>
      </w:r>
    </w:p>
    <w:p w14:paraId="600B584C">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账  号：</w:t>
      </w:r>
      <w:r>
        <w:rPr>
          <w:rFonts w:hint="eastAsia" w:ascii="宋体" w:hAnsi="宋体" w:cs="宋体"/>
          <w:color w:val="000000"/>
          <w:szCs w:val="21"/>
          <w:u w:val="single"/>
        </w:rPr>
        <w:t xml:space="preserve">                 </w:t>
      </w:r>
      <w:r>
        <w:rPr>
          <w:rFonts w:hint="eastAsia" w:ascii="宋体" w:hAnsi="宋体" w:cs="宋体"/>
          <w:color w:val="000000"/>
          <w:szCs w:val="21"/>
        </w:rPr>
        <w:t xml:space="preserve">                      账  号：</w:t>
      </w:r>
      <w:r>
        <w:rPr>
          <w:rFonts w:hint="eastAsia" w:ascii="宋体" w:hAnsi="宋体" w:cs="宋体"/>
          <w:color w:val="000000"/>
          <w:szCs w:val="21"/>
          <w:u w:val="single"/>
        </w:rPr>
        <w:t xml:space="preserve">                     </w:t>
      </w:r>
    </w:p>
    <w:p w14:paraId="3A8C5AFD">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邮政编码：</w:t>
      </w:r>
      <w:r>
        <w:rPr>
          <w:rFonts w:hint="eastAsia" w:ascii="宋体" w:hAnsi="宋体" w:cs="宋体"/>
          <w:color w:val="000000"/>
          <w:szCs w:val="21"/>
          <w:u w:val="single"/>
        </w:rPr>
        <w:t xml:space="preserve">                 </w:t>
      </w:r>
      <w:r>
        <w:rPr>
          <w:rFonts w:hint="eastAsia" w:ascii="宋体" w:hAnsi="宋体" w:cs="宋体"/>
          <w:color w:val="000000"/>
          <w:szCs w:val="21"/>
        </w:rPr>
        <w:t xml:space="preserve">                      邮政编码：</w:t>
      </w:r>
      <w:r>
        <w:rPr>
          <w:rFonts w:hint="eastAsia" w:ascii="宋体" w:hAnsi="宋体" w:cs="宋体"/>
          <w:color w:val="000000"/>
          <w:szCs w:val="21"/>
          <w:u w:val="single"/>
        </w:rPr>
        <w:t xml:space="preserve">                   </w:t>
      </w:r>
    </w:p>
    <w:p w14:paraId="22078124">
      <w:pPr>
        <w:rPr>
          <w:rFonts w:hint="eastAsia" w:ascii="宋体" w:hAnsi="宋体" w:eastAsia="宋体" w:cs="宋体"/>
          <w:bCs/>
          <w:color w:val="000000"/>
          <w:sz w:val="24"/>
          <w:lang w:val="en-US" w:eastAsia="zh-CN"/>
        </w:rPr>
      </w:pPr>
      <w:r>
        <w:rPr>
          <w:rFonts w:hint="eastAsia" w:ascii="宋体" w:hAnsi="宋体" w:eastAsia="宋体" w:cs="宋体"/>
          <w:bCs/>
          <w:color w:val="000000"/>
          <w:sz w:val="24"/>
          <w:lang w:val="en-US" w:eastAsia="zh-CN"/>
        </w:rPr>
        <w:br w:type="page"/>
      </w:r>
    </w:p>
    <w:p w14:paraId="1F047A36">
      <w:pPr>
        <w:keepNext/>
        <w:keepLines/>
        <w:spacing w:before="120" w:after="120" w:line="360" w:lineRule="auto"/>
        <w:jc w:val="left"/>
        <w:outlineLvl w:val="2"/>
        <w:rPr>
          <w:rFonts w:hint="eastAsia" w:ascii="宋体" w:hAnsi="宋体" w:cs="宋体"/>
          <w:bCs/>
          <w:color w:val="000000"/>
          <w:sz w:val="24"/>
        </w:rPr>
      </w:pPr>
      <w:bookmarkStart w:id="875" w:name="_Toc95223490"/>
      <w:r>
        <w:rPr>
          <w:rFonts w:hint="eastAsia" w:ascii="宋体" w:hAnsi="宋体" w:cs="宋体"/>
          <w:bCs/>
          <w:color w:val="000000"/>
          <w:sz w:val="24"/>
        </w:rPr>
        <w:t>附件4：主要建设工程文件目录</w:t>
      </w:r>
      <w:bookmarkEnd w:id="875"/>
    </w:p>
    <w:p w14:paraId="204F7D30">
      <w:pPr>
        <w:spacing w:before="120" w:beforeLines="50" w:after="120" w:afterLines="50"/>
        <w:jc w:val="center"/>
        <w:rPr>
          <w:rFonts w:hint="eastAsia" w:ascii="宋体" w:hAnsi="宋体" w:cs="宋体"/>
          <w:color w:val="000000"/>
          <w:szCs w:val="21"/>
        </w:rPr>
      </w:pPr>
      <w:r>
        <w:rPr>
          <w:rFonts w:hint="eastAsia" w:ascii="宋体" w:hAnsi="宋体" w:cs="宋体"/>
          <w:color w:val="000000"/>
          <w:szCs w:val="21"/>
        </w:rPr>
        <w:t>主要建设工程文件目录</w:t>
      </w:r>
    </w:p>
    <w:tbl>
      <w:tblPr>
        <w:tblStyle w:val="4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6B02D4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953" w:type="dxa"/>
            <w:tcBorders>
              <w:top w:val="single" w:color="auto" w:sz="12" w:space="0"/>
              <w:bottom w:val="double" w:color="auto" w:sz="6" w:space="0"/>
            </w:tcBorders>
            <w:noWrap w:val="0"/>
            <w:vAlign w:val="center"/>
          </w:tcPr>
          <w:p w14:paraId="4F13F1F0">
            <w:pPr>
              <w:keepNext/>
              <w:rPr>
                <w:rFonts w:hint="eastAsia" w:ascii="宋体" w:hAnsi="宋体" w:cs="宋体"/>
                <w:color w:val="000000"/>
                <w:szCs w:val="21"/>
              </w:rPr>
            </w:pPr>
            <w:r>
              <w:rPr>
                <w:rFonts w:hint="eastAsia" w:ascii="宋体" w:hAnsi="宋体" w:cs="宋体"/>
                <w:color w:val="000000"/>
                <w:szCs w:val="21"/>
              </w:rPr>
              <w:t>文件名称</w:t>
            </w:r>
          </w:p>
        </w:tc>
        <w:tc>
          <w:tcPr>
            <w:tcW w:w="1276" w:type="dxa"/>
            <w:tcBorders>
              <w:top w:val="single" w:color="auto" w:sz="12" w:space="0"/>
              <w:bottom w:val="double" w:color="auto" w:sz="6" w:space="0"/>
            </w:tcBorders>
            <w:noWrap w:val="0"/>
            <w:vAlign w:val="center"/>
          </w:tcPr>
          <w:p w14:paraId="5E50F9E3">
            <w:pPr>
              <w:keepNext/>
              <w:rPr>
                <w:rFonts w:hint="eastAsia" w:ascii="宋体" w:hAnsi="宋体" w:cs="宋体"/>
                <w:color w:val="000000"/>
                <w:szCs w:val="21"/>
              </w:rPr>
            </w:pPr>
            <w:r>
              <w:rPr>
                <w:rFonts w:hint="eastAsia" w:ascii="宋体" w:hAnsi="宋体" w:cs="宋体"/>
                <w:color w:val="000000"/>
                <w:szCs w:val="21"/>
              </w:rPr>
              <w:t>套数</w:t>
            </w:r>
          </w:p>
        </w:tc>
        <w:tc>
          <w:tcPr>
            <w:tcW w:w="1450" w:type="dxa"/>
            <w:tcBorders>
              <w:top w:val="single" w:color="auto" w:sz="12" w:space="0"/>
              <w:bottom w:val="double" w:color="auto" w:sz="6" w:space="0"/>
            </w:tcBorders>
            <w:noWrap w:val="0"/>
            <w:vAlign w:val="center"/>
          </w:tcPr>
          <w:p w14:paraId="552F9EEB">
            <w:pPr>
              <w:keepNext/>
              <w:rPr>
                <w:rFonts w:hint="eastAsia" w:ascii="宋体" w:hAnsi="宋体" w:cs="宋体"/>
                <w:color w:val="000000"/>
                <w:szCs w:val="21"/>
              </w:rPr>
            </w:pPr>
            <w:r>
              <w:rPr>
                <w:rFonts w:hint="eastAsia" w:ascii="宋体" w:hAnsi="宋体" w:cs="宋体"/>
                <w:color w:val="000000"/>
                <w:szCs w:val="21"/>
              </w:rPr>
              <w:t>费用（元）</w:t>
            </w:r>
          </w:p>
        </w:tc>
        <w:tc>
          <w:tcPr>
            <w:tcW w:w="1243" w:type="dxa"/>
            <w:tcBorders>
              <w:top w:val="single" w:color="auto" w:sz="12" w:space="0"/>
              <w:bottom w:val="double" w:color="auto" w:sz="6" w:space="0"/>
            </w:tcBorders>
            <w:noWrap w:val="0"/>
            <w:vAlign w:val="center"/>
          </w:tcPr>
          <w:p w14:paraId="70A6AC27">
            <w:pPr>
              <w:keepNext/>
              <w:rPr>
                <w:rFonts w:hint="eastAsia" w:ascii="宋体" w:hAnsi="宋体" w:cs="宋体"/>
                <w:color w:val="000000"/>
                <w:szCs w:val="21"/>
              </w:rPr>
            </w:pPr>
            <w:r>
              <w:rPr>
                <w:rFonts w:hint="eastAsia" w:ascii="宋体" w:hAnsi="宋体" w:cs="宋体"/>
                <w:color w:val="000000"/>
                <w:szCs w:val="21"/>
              </w:rPr>
              <w:t>质量</w:t>
            </w:r>
          </w:p>
        </w:tc>
        <w:tc>
          <w:tcPr>
            <w:tcW w:w="1450" w:type="dxa"/>
            <w:tcBorders>
              <w:top w:val="single" w:color="auto" w:sz="12" w:space="0"/>
              <w:bottom w:val="double" w:color="auto" w:sz="6" w:space="0"/>
            </w:tcBorders>
            <w:noWrap w:val="0"/>
            <w:vAlign w:val="top"/>
          </w:tcPr>
          <w:p w14:paraId="0C1B2003">
            <w:pPr>
              <w:rPr>
                <w:rFonts w:hint="eastAsia" w:ascii="宋体" w:hAnsi="宋体" w:cs="宋体"/>
                <w:color w:val="000000"/>
                <w:szCs w:val="21"/>
              </w:rPr>
            </w:pPr>
            <w:r>
              <w:rPr>
                <w:rFonts w:hint="eastAsia" w:ascii="宋体" w:hAnsi="宋体" w:cs="宋体"/>
                <w:color w:val="000000"/>
                <w:szCs w:val="21"/>
              </w:rPr>
              <w:t>移交时间</w:t>
            </w:r>
          </w:p>
        </w:tc>
        <w:tc>
          <w:tcPr>
            <w:tcW w:w="1667" w:type="dxa"/>
            <w:tcBorders>
              <w:top w:val="single" w:color="auto" w:sz="12" w:space="0"/>
              <w:bottom w:val="double" w:color="auto" w:sz="6" w:space="0"/>
            </w:tcBorders>
            <w:noWrap w:val="0"/>
            <w:vAlign w:val="top"/>
          </w:tcPr>
          <w:p w14:paraId="6E237B00">
            <w:pPr>
              <w:rPr>
                <w:rFonts w:hint="eastAsia" w:ascii="宋体" w:hAnsi="宋体" w:cs="宋体"/>
                <w:color w:val="000000"/>
                <w:szCs w:val="21"/>
              </w:rPr>
            </w:pPr>
            <w:r>
              <w:rPr>
                <w:rFonts w:hint="eastAsia" w:ascii="宋体" w:hAnsi="宋体" w:cs="宋体"/>
                <w:color w:val="000000"/>
                <w:szCs w:val="21"/>
              </w:rPr>
              <w:t>责任人</w:t>
            </w:r>
          </w:p>
        </w:tc>
      </w:tr>
      <w:tr w14:paraId="698257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double" w:color="auto" w:sz="6" w:space="0"/>
            </w:tcBorders>
            <w:noWrap w:val="0"/>
            <w:vAlign w:val="center"/>
          </w:tcPr>
          <w:p w14:paraId="5A212D43">
            <w:pPr>
              <w:keepNext/>
              <w:rPr>
                <w:rFonts w:hint="eastAsia" w:ascii="宋体" w:hAnsi="宋体" w:cs="宋体"/>
                <w:color w:val="000000"/>
                <w:szCs w:val="21"/>
              </w:rPr>
            </w:pPr>
          </w:p>
        </w:tc>
        <w:tc>
          <w:tcPr>
            <w:tcW w:w="1276" w:type="dxa"/>
            <w:tcBorders>
              <w:top w:val="double" w:color="auto" w:sz="6" w:space="0"/>
            </w:tcBorders>
            <w:noWrap w:val="0"/>
            <w:vAlign w:val="center"/>
          </w:tcPr>
          <w:p w14:paraId="3C6D7D2A">
            <w:pPr>
              <w:keepNext/>
              <w:rPr>
                <w:rFonts w:hint="eastAsia" w:ascii="宋体" w:hAnsi="宋体" w:cs="宋体"/>
                <w:color w:val="000000"/>
                <w:szCs w:val="21"/>
              </w:rPr>
            </w:pPr>
          </w:p>
        </w:tc>
        <w:tc>
          <w:tcPr>
            <w:tcW w:w="1450" w:type="dxa"/>
            <w:tcBorders>
              <w:top w:val="double" w:color="auto" w:sz="6" w:space="0"/>
            </w:tcBorders>
            <w:noWrap w:val="0"/>
            <w:vAlign w:val="center"/>
          </w:tcPr>
          <w:p w14:paraId="550CEFC2">
            <w:pPr>
              <w:keepNext/>
              <w:rPr>
                <w:rFonts w:hint="eastAsia" w:ascii="宋体" w:hAnsi="宋体" w:cs="宋体"/>
                <w:color w:val="000000"/>
                <w:szCs w:val="21"/>
              </w:rPr>
            </w:pPr>
          </w:p>
        </w:tc>
        <w:tc>
          <w:tcPr>
            <w:tcW w:w="1243" w:type="dxa"/>
            <w:tcBorders>
              <w:top w:val="double" w:color="auto" w:sz="6" w:space="0"/>
            </w:tcBorders>
            <w:noWrap w:val="0"/>
            <w:vAlign w:val="center"/>
          </w:tcPr>
          <w:p w14:paraId="4375FC6E">
            <w:pPr>
              <w:keepNext/>
              <w:rPr>
                <w:rFonts w:hint="eastAsia" w:ascii="宋体" w:hAnsi="宋体" w:cs="宋体"/>
                <w:color w:val="000000"/>
                <w:szCs w:val="21"/>
              </w:rPr>
            </w:pPr>
          </w:p>
        </w:tc>
        <w:tc>
          <w:tcPr>
            <w:tcW w:w="1450" w:type="dxa"/>
            <w:tcBorders>
              <w:top w:val="double" w:color="auto" w:sz="6" w:space="0"/>
            </w:tcBorders>
            <w:noWrap w:val="0"/>
            <w:vAlign w:val="center"/>
          </w:tcPr>
          <w:p w14:paraId="3E76D2FE">
            <w:pPr>
              <w:keepNext/>
              <w:rPr>
                <w:rFonts w:hint="eastAsia" w:ascii="宋体" w:hAnsi="宋体" w:cs="宋体"/>
                <w:color w:val="000000"/>
                <w:szCs w:val="21"/>
              </w:rPr>
            </w:pPr>
          </w:p>
        </w:tc>
        <w:tc>
          <w:tcPr>
            <w:tcW w:w="1667" w:type="dxa"/>
            <w:tcBorders>
              <w:top w:val="double" w:color="auto" w:sz="6" w:space="0"/>
            </w:tcBorders>
            <w:noWrap w:val="0"/>
            <w:vAlign w:val="center"/>
          </w:tcPr>
          <w:p w14:paraId="533C31AA">
            <w:pPr>
              <w:keepNext/>
              <w:rPr>
                <w:rFonts w:hint="eastAsia" w:ascii="宋体" w:hAnsi="宋体" w:cs="宋体"/>
                <w:color w:val="000000"/>
                <w:szCs w:val="21"/>
              </w:rPr>
            </w:pPr>
          </w:p>
        </w:tc>
      </w:tr>
      <w:tr w14:paraId="3928F0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top w:val="nil"/>
            </w:tcBorders>
            <w:noWrap w:val="0"/>
            <w:vAlign w:val="center"/>
          </w:tcPr>
          <w:p w14:paraId="72B1E850">
            <w:pPr>
              <w:keepNext/>
              <w:rPr>
                <w:rFonts w:hint="eastAsia" w:ascii="宋体" w:hAnsi="宋体" w:cs="宋体"/>
                <w:color w:val="000000"/>
                <w:szCs w:val="21"/>
              </w:rPr>
            </w:pPr>
          </w:p>
        </w:tc>
        <w:tc>
          <w:tcPr>
            <w:tcW w:w="1276" w:type="dxa"/>
            <w:tcBorders>
              <w:top w:val="nil"/>
            </w:tcBorders>
            <w:noWrap w:val="0"/>
            <w:vAlign w:val="center"/>
          </w:tcPr>
          <w:p w14:paraId="731F9C29">
            <w:pPr>
              <w:keepNext/>
              <w:rPr>
                <w:rFonts w:hint="eastAsia" w:ascii="宋体" w:hAnsi="宋体" w:cs="宋体"/>
                <w:color w:val="000000"/>
                <w:szCs w:val="21"/>
              </w:rPr>
            </w:pPr>
          </w:p>
        </w:tc>
        <w:tc>
          <w:tcPr>
            <w:tcW w:w="1450" w:type="dxa"/>
            <w:tcBorders>
              <w:top w:val="nil"/>
            </w:tcBorders>
            <w:noWrap w:val="0"/>
            <w:vAlign w:val="center"/>
          </w:tcPr>
          <w:p w14:paraId="0B3D3F66">
            <w:pPr>
              <w:keepNext/>
              <w:rPr>
                <w:rFonts w:hint="eastAsia" w:ascii="宋体" w:hAnsi="宋体" w:cs="宋体"/>
                <w:color w:val="000000"/>
                <w:szCs w:val="21"/>
              </w:rPr>
            </w:pPr>
          </w:p>
        </w:tc>
        <w:tc>
          <w:tcPr>
            <w:tcW w:w="1243" w:type="dxa"/>
            <w:tcBorders>
              <w:top w:val="nil"/>
            </w:tcBorders>
            <w:noWrap w:val="0"/>
            <w:vAlign w:val="center"/>
          </w:tcPr>
          <w:p w14:paraId="2B8C277B">
            <w:pPr>
              <w:keepNext/>
              <w:rPr>
                <w:rFonts w:hint="eastAsia" w:ascii="宋体" w:hAnsi="宋体" w:cs="宋体"/>
                <w:color w:val="000000"/>
                <w:szCs w:val="21"/>
              </w:rPr>
            </w:pPr>
          </w:p>
        </w:tc>
        <w:tc>
          <w:tcPr>
            <w:tcW w:w="1450" w:type="dxa"/>
            <w:tcBorders>
              <w:top w:val="nil"/>
            </w:tcBorders>
            <w:noWrap w:val="0"/>
            <w:vAlign w:val="center"/>
          </w:tcPr>
          <w:p w14:paraId="49051088">
            <w:pPr>
              <w:keepNext/>
              <w:rPr>
                <w:rFonts w:hint="eastAsia" w:ascii="宋体" w:hAnsi="宋体" w:cs="宋体"/>
                <w:color w:val="000000"/>
                <w:szCs w:val="21"/>
              </w:rPr>
            </w:pPr>
          </w:p>
        </w:tc>
        <w:tc>
          <w:tcPr>
            <w:tcW w:w="1667" w:type="dxa"/>
            <w:tcBorders>
              <w:top w:val="nil"/>
            </w:tcBorders>
            <w:noWrap w:val="0"/>
            <w:vAlign w:val="center"/>
          </w:tcPr>
          <w:p w14:paraId="102B6286">
            <w:pPr>
              <w:keepNext/>
              <w:rPr>
                <w:rFonts w:hint="eastAsia" w:ascii="宋体" w:hAnsi="宋体" w:cs="宋体"/>
                <w:color w:val="000000"/>
                <w:szCs w:val="21"/>
              </w:rPr>
            </w:pPr>
          </w:p>
        </w:tc>
      </w:tr>
      <w:tr w14:paraId="4E8C9D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4B456179">
            <w:pPr>
              <w:rPr>
                <w:rFonts w:hint="eastAsia" w:ascii="宋体" w:hAnsi="宋体" w:cs="宋体"/>
                <w:color w:val="000000"/>
                <w:szCs w:val="21"/>
              </w:rPr>
            </w:pPr>
          </w:p>
        </w:tc>
        <w:tc>
          <w:tcPr>
            <w:tcW w:w="1276" w:type="dxa"/>
            <w:noWrap w:val="0"/>
            <w:vAlign w:val="top"/>
          </w:tcPr>
          <w:p w14:paraId="23631F2C">
            <w:pPr>
              <w:rPr>
                <w:rFonts w:hint="eastAsia" w:ascii="宋体" w:hAnsi="宋体" w:cs="宋体"/>
                <w:color w:val="000000"/>
                <w:szCs w:val="21"/>
              </w:rPr>
            </w:pPr>
          </w:p>
        </w:tc>
        <w:tc>
          <w:tcPr>
            <w:tcW w:w="1450" w:type="dxa"/>
            <w:noWrap w:val="0"/>
            <w:vAlign w:val="top"/>
          </w:tcPr>
          <w:p w14:paraId="7930B18C">
            <w:pPr>
              <w:rPr>
                <w:rFonts w:hint="eastAsia" w:ascii="宋体" w:hAnsi="宋体" w:cs="宋体"/>
                <w:color w:val="000000"/>
                <w:szCs w:val="21"/>
              </w:rPr>
            </w:pPr>
          </w:p>
        </w:tc>
        <w:tc>
          <w:tcPr>
            <w:tcW w:w="1243" w:type="dxa"/>
            <w:noWrap w:val="0"/>
            <w:vAlign w:val="top"/>
          </w:tcPr>
          <w:p w14:paraId="54E0D7A1">
            <w:pPr>
              <w:rPr>
                <w:rFonts w:hint="eastAsia" w:ascii="宋体" w:hAnsi="宋体" w:cs="宋体"/>
                <w:color w:val="000000"/>
                <w:szCs w:val="21"/>
              </w:rPr>
            </w:pPr>
          </w:p>
        </w:tc>
        <w:tc>
          <w:tcPr>
            <w:tcW w:w="1450" w:type="dxa"/>
            <w:noWrap w:val="0"/>
            <w:vAlign w:val="top"/>
          </w:tcPr>
          <w:p w14:paraId="7ACEF08D">
            <w:pPr>
              <w:rPr>
                <w:rFonts w:hint="eastAsia" w:ascii="宋体" w:hAnsi="宋体" w:cs="宋体"/>
                <w:color w:val="000000"/>
                <w:szCs w:val="21"/>
              </w:rPr>
            </w:pPr>
          </w:p>
        </w:tc>
        <w:tc>
          <w:tcPr>
            <w:tcW w:w="1667" w:type="dxa"/>
            <w:noWrap w:val="0"/>
            <w:vAlign w:val="top"/>
          </w:tcPr>
          <w:p w14:paraId="099ACF0B">
            <w:pPr>
              <w:rPr>
                <w:rFonts w:hint="eastAsia" w:ascii="宋体" w:hAnsi="宋体" w:cs="宋体"/>
                <w:color w:val="000000"/>
                <w:szCs w:val="21"/>
              </w:rPr>
            </w:pPr>
          </w:p>
        </w:tc>
      </w:tr>
      <w:tr w14:paraId="4FE12D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noWrap w:val="0"/>
            <w:vAlign w:val="top"/>
          </w:tcPr>
          <w:p w14:paraId="5884A1D2">
            <w:pPr>
              <w:rPr>
                <w:rFonts w:hint="eastAsia" w:ascii="宋体" w:hAnsi="宋体" w:cs="宋体"/>
                <w:color w:val="000000"/>
                <w:szCs w:val="21"/>
              </w:rPr>
            </w:pPr>
          </w:p>
        </w:tc>
        <w:tc>
          <w:tcPr>
            <w:tcW w:w="1276" w:type="dxa"/>
            <w:noWrap w:val="0"/>
            <w:vAlign w:val="top"/>
          </w:tcPr>
          <w:p w14:paraId="0F5358A1">
            <w:pPr>
              <w:rPr>
                <w:rFonts w:hint="eastAsia" w:ascii="宋体" w:hAnsi="宋体" w:cs="宋体"/>
                <w:color w:val="000000"/>
                <w:szCs w:val="21"/>
              </w:rPr>
            </w:pPr>
          </w:p>
        </w:tc>
        <w:tc>
          <w:tcPr>
            <w:tcW w:w="1450" w:type="dxa"/>
            <w:noWrap w:val="0"/>
            <w:vAlign w:val="top"/>
          </w:tcPr>
          <w:p w14:paraId="3C5E5F41">
            <w:pPr>
              <w:rPr>
                <w:rFonts w:hint="eastAsia" w:ascii="宋体" w:hAnsi="宋体" w:cs="宋体"/>
                <w:color w:val="000000"/>
                <w:szCs w:val="21"/>
              </w:rPr>
            </w:pPr>
          </w:p>
        </w:tc>
        <w:tc>
          <w:tcPr>
            <w:tcW w:w="1243" w:type="dxa"/>
            <w:noWrap w:val="0"/>
            <w:vAlign w:val="top"/>
          </w:tcPr>
          <w:p w14:paraId="79621580">
            <w:pPr>
              <w:rPr>
                <w:rFonts w:hint="eastAsia" w:ascii="宋体" w:hAnsi="宋体" w:cs="宋体"/>
                <w:color w:val="000000"/>
                <w:szCs w:val="21"/>
              </w:rPr>
            </w:pPr>
          </w:p>
        </w:tc>
        <w:tc>
          <w:tcPr>
            <w:tcW w:w="1450" w:type="dxa"/>
            <w:noWrap w:val="0"/>
            <w:vAlign w:val="top"/>
          </w:tcPr>
          <w:p w14:paraId="48A64FF9">
            <w:pPr>
              <w:rPr>
                <w:rFonts w:hint="eastAsia" w:ascii="宋体" w:hAnsi="宋体" w:cs="宋体"/>
                <w:color w:val="000000"/>
                <w:szCs w:val="21"/>
              </w:rPr>
            </w:pPr>
          </w:p>
        </w:tc>
        <w:tc>
          <w:tcPr>
            <w:tcW w:w="1667" w:type="dxa"/>
            <w:noWrap w:val="0"/>
            <w:vAlign w:val="top"/>
          </w:tcPr>
          <w:p w14:paraId="354990D4">
            <w:pPr>
              <w:rPr>
                <w:rFonts w:hint="eastAsia" w:ascii="宋体" w:hAnsi="宋体" w:cs="宋体"/>
                <w:color w:val="000000"/>
                <w:szCs w:val="21"/>
              </w:rPr>
            </w:pPr>
          </w:p>
        </w:tc>
      </w:tr>
      <w:tr w14:paraId="55324E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953" w:type="dxa"/>
            <w:tcBorders>
              <w:bottom w:val="single" w:color="auto" w:sz="12" w:space="0"/>
            </w:tcBorders>
            <w:noWrap w:val="0"/>
            <w:vAlign w:val="top"/>
          </w:tcPr>
          <w:p w14:paraId="729AC42E">
            <w:pPr>
              <w:rPr>
                <w:rFonts w:hint="eastAsia" w:ascii="宋体" w:hAnsi="宋体" w:cs="宋体"/>
                <w:color w:val="000000"/>
                <w:szCs w:val="21"/>
              </w:rPr>
            </w:pPr>
          </w:p>
        </w:tc>
        <w:tc>
          <w:tcPr>
            <w:tcW w:w="1276" w:type="dxa"/>
            <w:tcBorders>
              <w:bottom w:val="single" w:color="auto" w:sz="12" w:space="0"/>
            </w:tcBorders>
            <w:noWrap w:val="0"/>
            <w:vAlign w:val="top"/>
          </w:tcPr>
          <w:p w14:paraId="06DC1260">
            <w:pPr>
              <w:rPr>
                <w:rFonts w:hint="eastAsia" w:ascii="宋体" w:hAnsi="宋体" w:cs="宋体"/>
                <w:color w:val="000000"/>
                <w:szCs w:val="21"/>
              </w:rPr>
            </w:pPr>
          </w:p>
        </w:tc>
        <w:tc>
          <w:tcPr>
            <w:tcW w:w="1450" w:type="dxa"/>
            <w:tcBorders>
              <w:bottom w:val="single" w:color="auto" w:sz="12" w:space="0"/>
            </w:tcBorders>
            <w:noWrap w:val="0"/>
            <w:vAlign w:val="top"/>
          </w:tcPr>
          <w:p w14:paraId="3ABC2D5F">
            <w:pPr>
              <w:rPr>
                <w:rFonts w:hint="eastAsia" w:ascii="宋体" w:hAnsi="宋体" w:cs="宋体"/>
                <w:color w:val="000000"/>
                <w:szCs w:val="21"/>
              </w:rPr>
            </w:pPr>
          </w:p>
        </w:tc>
        <w:tc>
          <w:tcPr>
            <w:tcW w:w="1243" w:type="dxa"/>
            <w:tcBorders>
              <w:bottom w:val="single" w:color="auto" w:sz="12" w:space="0"/>
            </w:tcBorders>
            <w:noWrap w:val="0"/>
            <w:vAlign w:val="top"/>
          </w:tcPr>
          <w:p w14:paraId="4F0A1FFB">
            <w:pPr>
              <w:rPr>
                <w:rFonts w:hint="eastAsia" w:ascii="宋体" w:hAnsi="宋体" w:cs="宋体"/>
                <w:color w:val="000000"/>
                <w:szCs w:val="21"/>
              </w:rPr>
            </w:pPr>
          </w:p>
        </w:tc>
        <w:tc>
          <w:tcPr>
            <w:tcW w:w="1450" w:type="dxa"/>
            <w:tcBorders>
              <w:bottom w:val="single" w:color="auto" w:sz="12" w:space="0"/>
            </w:tcBorders>
            <w:noWrap w:val="0"/>
            <w:vAlign w:val="top"/>
          </w:tcPr>
          <w:p w14:paraId="3D680CEB">
            <w:pPr>
              <w:rPr>
                <w:rFonts w:hint="eastAsia" w:ascii="宋体" w:hAnsi="宋体" w:cs="宋体"/>
                <w:color w:val="000000"/>
                <w:szCs w:val="21"/>
              </w:rPr>
            </w:pPr>
          </w:p>
        </w:tc>
        <w:tc>
          <w:tcPr>
            <w:tcW w:w="1667" w:type="dxa"/>
            <w:tcBorders>
              <w:bottom w:val="single" w:color="auto" w:sz="12" w:space="0"/>
            </w:tcBorders>
            <w:noWrap w:val="0"/>
            <w:vAlign w:val="top"/>
          </w:tcPr>
          <w:p w14:paraId="2BD6CC2D">
            <w:pPr>
              <w:rPr>
                <w:rFonts w:hint="eastAsia" w:ascii="宋体" w:hAnsi="宋体" w:cs="宋体"/>
                <w:color w:val="000000"/>
                <w:szCs w:val="21"/>
              </w:rPr>
            </w:pPr>
          </w:p>
        </w:tc>
      </w:tr>
    </w:tbl>
    <w:p w14:paraId="6F102B0C">
      <w:pPr>
        <w:rPr>
          <w:rFonts w:hint="eastAsia" w:ascii="宋体" w:hAnsi="宋体" w:cs="宋体"/>
          <w:color w:val="000000"/>
          <w:szCs w:val="21"/>
        </w:rPr>
      </w:pPr>
    </w:p>
    <w:p w14:paraId="2098DAB8">
      <w:pPr>
        <w:keepNext/>
        <w:keepLines/>
        <w:spacing w:before="120" w:after="120" w:line="360" w:lineRule="auto"/>
        <w:jc w:val="left"/>
        <w:outlineLvl w:val="2"/>
        <w:rPr>
          <w:rFonts w:hint="eastAsia" w:ascii="宋体" w:hAnsi="宋体" w:cs="宋体"/>
          <w:bCs/>
          <w:color w:val="000000"/>
          <w:sz w:val="24"/>
        </w:rPr>
      </w:pPr>
      <w:bookmarkStart w:id="876" w:name="_Toc95223491"/>
      <w:r>
        <w:rPr>
          <w:rFonts w:hint="eastAsia" w:ascii="宋体" w:hAnsi="宋体" w:cs="宋体"/>
          <w:bCs/>
          <w:color w:val="000000"/>
          <w:sz w:val="24"/>
        </w:rPr>
        <w:t>附</w:t>
      </w:r>
      <w:bookmarkStart w:id="877" w:name="_Toc296346728"/>
      <w:bookmarkStart w:id="878" w:name="_Toc296891267"/>
      <w:bookmarkStart w:id="879" w:name="_Toc267261698"/>
      <w:bookmarkStart w:id="880" w:name="_Toc296944566"/>
      <w:bookmarkStart w:id="881" w:name="_Toc296503227"/>
      <w:bookmarkStart w:id="882" w:name="_Toc296347226"/>
      <w:bookmarkStart w:id="883" w:name="_Toc296891055"/>
      <w:r>
        <w:rPr>
          <w:rFonts w:hint="eastAsia" w:ascii="宋体" w:hAnsi="宋体" w:cs="宋体"/>
          <w:bCs/>
          <w:color w:val="000000"/>
          <w:sz w:val="24"/>
        </w:rPr>
        <w:t>件5：承包人用于本工程施工的机械设备表</w:t>
      </w:r>
      <w:bookmarkEnd w:id="876"/>
    </w:p>
    <w:bookmarkEnd w:id="877"/>
    <w:bookmarkEnd w:id="878"/>
    <w:bookmarkEnd w:id="879"/>
    <w:bookmarkEnd w:id="880"/>
    <w:bookmarkEnd w:id="881"/>
    <w:bookmarkEnd w:id="882"/>
    <w:bookmarkEnd w:id="883"/>
    <w:p w14:paraId="14404A2D">
      <w:pPr>
        <w:spacing w:before="120" w:beforeLines="50" w:after="120" w:afterLines="50"/>
        <w:jc w:val="center"/>
        <w:rPr>
          <w:rFonts w:hint="eastAsia" w:ascii="宋体" w:hAnsi="宋体" w:cs="宋体"/>
          <w:color w:val="000000"/>
          <w:szCs w:val="21"/>
        </w:rPr>
      </w:pPr>
      <w:r>
        <w:rPr>
          <w:rFonts w:hint="eastAsia" w:ascii="宋体" w:hAnsi="宋体" w:cs="宋体"/>
          <w:color w:val="000000"/>
          <w:szCs w:val="21"/>
        </w:rPr>
        <w:t>承包人用于本工程施工的机械设备表</w:t>
      </w:r>
    </w:p>
    <w:tbl>
      <w:tblPr>
        <w:tblStyle w:val="47"/>
        <w:tblW w:w="895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7"/>
        <w:gridCol w:w="1418"/>
        <w:gridCol w:w="850"/>
        <w:gridCol w:w="709"/>
        <w:gridCol w:w="850"/>
        <w:gridCol w:w="963"/>
        <w:gridCol w:w="1480"/>
        <w:gridCol w:w="1020"/>
        <w:gridCol w:w="932"/>
      </w:tblGrid>
      <w:tr w14:paraId="7A25D8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737" w:type="dxa"/>
            <w:tcBorders>
              <w:top w:val="single" w:color="auto" w:sz="12" w:space="0"/>
              <w:bottom w:val="double" w:color="auto" w:sz="6" w:space="0"/>
            </w:tcBorders>
            <w:noWrap w:val="0"/>
            <w:vAlign w:val="center"/>
          </w:tcPr>
          <w:p w14:paraId="60E13898">
            <w:pPr>
              <w:keepNext/>
              <w:rPr>
                <w:rFonts w:hint="eastAsia" w:ascii="宋体" w:hAnsi="宋体" w:cs="宋体"/>
                <w:color w:val="000000"/>
                <w:szCs w:val="21"/>
              </w:rPr>
            </w:pPr>
            <w:r>
              <w:rPr>
                <w:rFonts w:hint="eastAsia" w:ascii="宋体" w:hAnsi="宋体" w:cs="宋体"/>
                <w:color w:val="000000"/>
                <w:szCs w:val="21"/>
              </w:rPr>
              <w:t>序号</w:t>
            </w:r>
          </w:p>
        </w:tc>
        <w:tc>
          <w:tcPr>
            <w:tcW w:w="1418" w:type="dxa"/>
            <w:tcBorders>
              <w:top w:val="single" w:color="auto" w:sz="12" w:space="0"/>
              <w:bottom w:val="double" w:color="auto" w:sz="6" w:space="0"/>
            </w:tcBorders>
            <w:noWrap w:val="0"/>
            <w:vAlign w:val="center"/>
          </w:tcPr>
          <w:p w14:paraId="1324526D">
            <w:pPr>
              <w:keepNext/>
              <w:rPr>
                <w:rFonts w:hint="eastAsia" w:ascii="宋体" w:hAnsi="宋体" w:cs="宋体"/>
                <w:color w:val="000000"/>
                <w:szCs w:val="21"/>
              </w:rPr>
            </w:pPr>
            <w:r>
              <w:rPr>
                <w:rFonts w:hint="eastAsia" w:ascii="宋体" w:hAnsi="宋体" w:cs="宋体"/>
                <w:color w:val="000000"/>
                <w:szCs w:val="21"/>
              </w:rPr>
              <w:t>机械或设备名称</w:t>
            </w:r>
          </w:p>
        </w:tc>
        <w:tc>
          <w:tcPr>
            <w:tcW w:w="850" w:type="dxa"/>
            <w:tcBorders>
              <w:top w:val="single" w:color="auto" w:sz="12" w:space="0"/>
              <w:bottom w:val="double" w:color="auto" w:sz="6" w:space="0"/>
            </w:tcBorders>
            <w:noWrap w:val="0"/>
            <w:vAlign w:val="center"/>
          </w:tcPr>
          <w:p w14:paraId="00DED29D">
            <w:pPr>
              <w:keepNext/>
              <w:rPr>
                <w:rFonts w:hint="eastAsia" w:ascii="宋体" w:hAnsi="宋体" w:cs="宋体"/>
                <w:color w:val="000000"/>
                <w:szCs w:val="21"/>
              </w:rPr>
            </w:pPr>
            <w:r>
              <w:rPr>
                <w:rFonts w:hint="eastAsia" w:ascii="宋体" w:hAnsi="宋体" w:cs="宋体"/>
                <w:color w:val="000000"/>
                <w:szCs w:val="21"/>
              </w:rPr>
              <w:t>规格型号</w:t>
            </w:r>
          </w:p>
        </w:tc>
        <w:tc>
          <w:tcPr>
            <w:tcW w:w="709" w:type="dxa"/>
            <w:tcBorders>
              <w:top w:val="single" w:color="auto" w:sz="12" w:space="0"/>
              <w:bottom w:val="double" w:color="auto" w:sz="6" w:space="0"/>
            </w:tcBorders>
            <w:noWrap w:val="0"/>
            <w:vAlign w:val="center"/>
          </w:tcPr>
          <w:p w14:paraId="082F1394">
            <w:pPr>
              <w:keepNext/>
              <w:rPr>
                <w:rFonts w:hint="eastAsia" w:ascii="宋体" w:hAnsi="宋体" w:cs="宋体"/>
                <w:color w:val="000000"/>
                <w:szCs w:val="21"/>
              </w:rPr>
            </w:pPr>
            <w:r>
              <w:rPr>
                <w:rFonts w:hint="eastAsia" w:ascii="宋体" w:hAnsi="宋体" w:cs="宋体"/>
                <w:color w:val="000000"/>
                <w:szCs w:val="21"/>
              </w:rPr>
              <w:t>数量</w:t>
            </w:r>
          </w:p>
        </w:tc>
        <w:tc>
          <w:tcPr>
            <w:tcW w:w="850" w:type="dxa"/>
            <w:tcBorders>
              <w:top w:val="single" w:color="auto" w:sz="12" w:space="0"/>
              <w:bottom w:val="double" w:color="auto" w:sz="6" w:space="0"/>
            </w:tcBorders>
            <w:noWrap w:val="0"/>
            <w:vAlign w:val="center"/>
          </w:tcPr>
          <w:p w14:paraId="1C472879">
            <w:pPr>
              <w:keepNext/>
              <w:rPr>
                <w:rFonts w:hint="eastAsia" w:ascii="宋体" w:hAnsi="宋体" w:cs="宋体"/>
                <w:color w:val="000000"/>
                <w:szCs w:val="21"/>
              </w:rPr>
            </w:pPr>
            <w:r>
              <w:rPr>
                <w:rFonts w:hint="eastAsia" w:ascii="宋体" w:hAnsi="宋体" w:cs="宋体"/>
                <w:color w:val="000000"/>
                <w:szCs w:val="21"/>
              </w:rPr>
              <w:t>产地</w:t>
            </w:r>
          </w:p>
        </w:tc>
        <w:tc>
          <w:tcPr>
            <w:tcW w:w="963" w:type="dxa"/>
            <w:tcBorders>
              <w:top w:val="single" w:color="auto" w:sz="12" w:space="0"/>
              <w:bottom w:val="double" w:color="auto" w:sz="6" w:space="0"/>
            </w:tcBorders>
            <w:noWrap w:val="0"/>
            <w:vAlign w:val="center"/>
          </w:tcPr>
          <w:p w14:paraId="01E23222">
            <w:pPr>
              <w:keepNext/>
              <w:rPr>
                <w:rFonts w:hint="eastAsia" w:ascii="宋体" w:hAnsi="宋体" w:cs="宋体"/>
                <w:color w:val="000000"/>
                <w:szCs w:val="21"/>
              </w:rPr>
            </w:pPr>
            <w:r>
              <w:rPr>
                <w:rFonts w:hint="eastAsia" w:ascii="宋体" w:hAnsi="宋体" w:cs="宋体"/>
                <w:color w:val="000000"/>
                <w:szCs w:val="21"/>
              </w:rPr>
              <w:t>制造年份</w:t>
            </w:r>
          </w:p>
        </w:tc>
        <w:tc>
          <w:tcPr>
            <w:tcW w:w="1480" w:type="dxa"/>
            <w:tcBorders>
              <w:top w:val="single" w:color="auto" w:sz="12" w:space="0"/>
              <w:bottom w:val="double" w:color="auto" w:sz="6" w:space="0"/>
            </w:tcBorders>
            <w:noWrap w:val="0"/>
            <w:vAlign w:val="center"/>
          </w:tcPr>
          <w:p w14:paraId="4D6538D3">
            <w:pPr>
              <w:keepNext/>
              <w:rPr>
                <w:rFonts w:hint="eastAsia" w:ascii="宋体" w:hAnsi="宋体" w:cs="宋体"/>
                <w:color w:val="000000"/>
                <w:szCs w:val="21"/>
              </w:rPr>
            </w:pPr>
            <w:r>
              <w:rPr>
                <w:rFonts w:hint="eastAsia" w:ascii="宋体" w:hAnsi="宋体" w:cs="宋体"/>
                <w:color w:val="000000"/>
                <w:szCs w:val="21"/>
              </w:rPr>
              <w:t>额定功率(kW)</w:t>
            </w:r>
          </w:p>
        </w:tc>
        <w:tc>
          <w:tcPr>
            <w:tcW w:w="1020" w:type="dxa"/>
            <w:tcBorders>
              <w:top w:val="single" w:color="auto" w:sz="12" w:space="0"/>
              <w:bottom w:val="double" w:color="auto" w:sz="6" w:space="0"/>
            </w:tcBorders>
            <w:noWrap w:val="0"/>
            <w:vAlign w:val="center"/>
          </w:tcPr>
          <w:p w14:paraId="4A63501F">
            <w:pPr>
              <w:keepNext/>
              <w:rPr>
                <w:rFonts w:hint="eastAsia" w:ascii="宋体" w:hAnsi="宋体" w:cs="宋体"/>
                <w:color w:val="000000"/>
                <w:szCs w:val="21"/>
              </w:rPr>
            </w:pPr>
            <w:r>
              <w:rPr>
                <w:rFonts w:hint="eastAsia" w:ascii="宋体" w:hAnsi="宋体" w:cs="宋体"/>
                <w:color w:val="000000"/>
                <w:szCs w:val="21"/>
              </w:rPr>
              <w:t>生产能力</w:t>
            </w:r>
          </w:p>
        </w:tc>
        <w:tc>
          <w:tcPr>
            <w:tcW w:w="932" w:type="dxa"/>
            <w:tcBorders>
              <w:top w:val="single" w:color="auto" w:sz="12" w:space="0"/>
              <w:bottom w:val="double" w:color="auto" w:sz="6" w:space="0"/>
            </w:tcBorders>
            <w:noWrap w:val="0"/>
            <w:vAlign w:val="center"/>
          </w:tcPr>
          <w:p w14:paraId="44036839">
            <w:pPr>
              <w:keepNext/>
              <w:rPr>
                <w:rFonts w:hint="eastAsia" w:ascii="宋体" w:hAnsi="宋体" w:cs="宋体"/>
                <w:color w:val="000000"/>
                <w:szCs w:val="21"/>
              </w:rPr>
            </w:pPr>
            <w:r>
              <w:rPr>
                <w:rFonts w:hint="eastAsia" w:ascii="宋体" w:hAnsi="宋体" w:cs="宋体"/>
                <w:color w:val="000000"/>
                <w:szCs w:val="21"/>
              </w:rPr>
              <w:t>备注</w:t>
            </w:r>
          </w:p>
        </w:tc>
      </w:tr>
      <w:tr w14:paraId="012D92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top w:val="double" w:color="auto" w:sz="6" w:space="0"/>
            </w:tcBorders>
            <w:noWrap w:val="0"/>
            <w:vAlign w:val="center"/>
          </w:tcPr>
          <w:p w14:paraId="04FC182C">
            <w:pPr>
              <w:keepNext/>
              <w:rPr>
                <w:rFonts w:hint="eastAsia" w:ascii="宋体" w:hAnsi="宋体" w:cs="宋体"/>
                <w:color w:val="000000"/>
                <w:szCs w:val="21"/>
              </w:rPr>
            </w:pPr>
          </w:p>
        </w:tc>
        <w:tc>
          <w:tcPr>
            <w:tcW w:w="1418" w:type="dxa"/>
            <w:tcBorders>
              <w:top w:val="double" w:color="auto" w:sz="6" w:space="0"/>
            </w:tcBorders>
            <w:noWrap w:val="0"/>
            <w:vAlign w:val="center"/>
          </w:tcPr>
          <w:p w14:paraId="041CC651">
            <w:pPr>
              <w:keepNext/>
              <w:rPr>
                <w:rFonts w:hint="eastAsia" w:ascii="宋体" w:hAnsi="宋体" w:cs="宋体"/>
                <w:color w:val="000000"/>
                <w:szCs w:val="21"/>
              </w:rPr>
            </w:pPr>
          </w:p>
        </w:tc>
        <w:tc>
          <w:tcPr>
            <w:tcW w:w="850" w:type="dxa"/>
            <w:tcBorders>
              <w:top w:val="double" w:color="auto" w:sz="6" w:space="0"/>
            </w:tcBorders>
            <w:noWrap w:val="0"/>
            <w:vAlign w:val="center"/>
          </w:tcPr>
          <w:p w14:paraId="3ADEF52E">
            <w:pPr>
              <w:keepNext/>
              <w:rPr>
                <w:rFonts w:hint="eastAsia" w:ascii="宋体" w:hAnsi="宋体" w:cs="宋体"/>
                <w:color w:val="000000"/>
                <w:szCs w:val="21"/>
              </w:rPr>
            </w:pPr>
          </w:p>
        </w:tc>
        <w:tc>
          <w:tcPr>
            <w:tcW w:w="709" w:type="dxa"/>
            <w:tcBorders>
              <w:top w:val="double" w:color="auto" w:sz="6" w:space="0"/>
            </w:tcBorders>
            <w:noWrap w:val="0"/>
            <w:vAlign w:val="center"/>
          </w:tcPr>
          <w:p w14:paraId="12A56C58">
            <w:pPr>
              <w:keepNext/>
              <w:rPr>
                <w:rFonts w:hint="eastAsia" w:ascii="宋体" w:hAnsi="宋体" w:cs="宋体"/>
                <w:color w:val="000000"/>
                <w:szCs w:val="21"/>
              </w:rPr>
            </w:pPr>
          </w:p>
        </w:tc>
        <w:tc>
          <w:tcPr>
            <w:tcW w:w="850" w:type="dxa"/>
            <w:tcBorders>
              <w:top w:val="double" w:color="auto" w:sz="6" w:space="0"/>
            </w:tcBorders>
            <w:noWrap w:val="0"/>
            <w:vAlign w:val="center"/>
          </w:tcPr>
          <w:p w14:paraId="533DA03E">
            <w:pPr>
              <w:keepNext/>
              <w:rPr>
                <w:rFonts w:hint="eastAsia" w:ascii="宋体" w:hAnsi="宋体" w:cs="宋体"/>
                <w:color w:val="000000"/>
                <w:szCs w:val="21"/>
              </w:rPr>
            </w:pPr>
          </w:p>
        </w:tc>
        <w:tc>
          <w:tcPr>
            <w:tcW w:w="963" w:type="dxa"/>
            <w:tcBorders>
              <w:top w:val="double" w:color="auto" w:sz="6" w:space="0"/>
            </w:tcBorders>
            <w:noWrap w:val="0"/>
            <w:vAlign w:val="center"/>
          </w:tcPr>
          <w:p w14:paraId="086FBB15">
            <w:pPr>
              <w:keepNext/>
              <w:rPr>
                <w:rFonts w:hint="eastAsia" w:ascii="宋体" w:hAnsi="宋体" w:cs="宋体"/>
                <w:color w:val="000000"/>
                <w:szCs w:val="21"/>
              </w:rPr>
            </w:pPr>
          </w:p>
        </w:tc>
        <w:tc>
          <w:tcPr>
            <w:tcW w:w="1480" w:type="dxa"/>
            <w:tcBorders>
              <w:top w:val="double" w:color="auto" w:sz="6" w:space="0"/>
            </w:tcBorders>
            <w:noWrap w:val="0"/>
            <w:vAlign w:val="center"/>
          </w:tcPr>
          <w:p w14:paraId="13D56EB5">
            <w:pPr>
              <w:keepNext/>
              <w:rPr>
                <w:rFonts w:hint="eastAsia" w:ascii="宋体" w:hAnsi="宋体" w:cs="宋体"/>
                <w:color w:val="000000"/>
                <w:szCs w:val="21"/>
              </w:rPr>
            </w:pPr>
          </w:p>
        </w:tc>
        <w:tc>
          <w:tcPr>
            <w:tcW w:w="1020" w:type="dxa"/>
            <w:tcBorders>
              <w:top w:val="double" w:color="auto" w:sz="6" w:space="0"/>
            </w:tcBorders>
            <w:noWrap w:val="0"/>
            <w:vAlign w:val="center"/>
          </w:tcPr>
          <w:p w14:paraId="49A04A8A">
            <w:pPr>
              <w:keepNext/>
              <w:rPr>
                <w:rFonts w:hint="eastAsia" w:ascii="宋体" w:hAnsi="宋体" w:cs="宋体"/>
                <w:color w:val="000000"/>
                <w:szCs w:val="21"/>
              </w:rPr>
            </w:pPr>
          </w:p>
        </w:tc>
        <w:tc>
          <w:tcPr>
            <w:tcW w:w="932" w:type="dxa"/>
            <w:tcBorders>
              <w:top w:val="double" w:color="auto" w:sz="6" w:space="0"/>
            </w:tcBorders>
            <w:noWrap w:val="0"/>
            <w:vAlign w:val="center"/>
          </w:tcPr>
          <w:p w14:paraId="38AF3FF8">
            <w:pPr>
              <w:keepNext/>
              <w:rPr>
                <w:rFonts w:hint="eastAsia" w:ascii="宋体" w:hAnsi="宋体" w:cs="宋体"/>
                <w:color w:val="000000"/>
                <w:szCs w:val="21"/>
              </w:rPr>
            </w:pPr>
          </w:p>
        </w:tc>
      </w:tr>
      <w:tr w14:paraId="4B4FBB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top w:val="nil"/>
            </w:tcBorders>
            <w:noWrap w:val="0"/>
            <w:vAlign w:val="center"/>
          </w:tcPr>
          <w:p w14:paraId="7D2AFA17">
            <w:pPr>
              <w:keepNext/>
              <w:rPr>
                <w:rFonts w:hint="eastAsia" w:ascii="宋体" w:hAnsi="宋体" w:cs="宋体"/>
                <w:color w:val="000000"/>
                <w:szCs w:val="21"/>
              </w:rPr>
            </w:pPr>
          </w:p>
        </w:tc>
        <w:tc>
          <w:tcPr>
            <w:tcW w:w="1418" w:type="dxa"/>
            <w:tcBorders>
              <w:top w:val="nil"/>
            </w:tcBorders>
            <w:noWrap w:val="0"/>
            <w:vAlign w:val="center"/>
          </w:tcPr>
          <w:p w14:paraId="3683E9D4">
            <w:pPr>
              <w:keepNext/>
              <w:rPr>
                <w:rFonts w:hint="eastAsia" w:ascii="宋体" w:hAnsi="宋体" w:cs="宋体"/>
                <w:color w:val="000000"/>
                <w:szCs w:val="21"/>
              </w:rPr>
            </w:pPr>
          </w:p>
        </w:tc>
        <w:tc>
          <w:tcPr>
            <w:tcW w:w="850" w:type="dxa"/>
            <w:tcBorders>
              <w:top w:val="nil"/>
            </w:tcBorders>
            <w:noWrap w:val="0"/>
            <w:vAlign w:val="center"/>
          </w:tcPr>
          <w:p w14:paraId="532D561E">
            <w:pPr>
              <w:keepNext/>
              <w:rPr>
                <w:rFonts w:hint="eastAsia" w:ascii="宋体" w:hAnsi="宋体" w:cs="宋体"/>
                <w:color w:val="000000"/>
                <w:szCs w:val="21"/>
              </w:rPr>
            </w:pPr>
          </w:p>
        </w:tc>
        <w:tc>
          <w:tcPr>
            <w:tcW w:w="709" w:type="dxa"/>
            <w:tcBorders>
              <w:top w:val="nil"/>
            </w:tcBorders>
            <w:noWrap w:val="0"/>
            <w:vAlign w:val="center"/>
          </w:tcPr>
          <w:p w14:paraId="215F0570">
            <w:pPr>
              <w:keepNext/>
              <w:rPr>
                <w:rFonts w:hint="eastAsia" w:ascii="宋体" w:hAnsi="宋体" w:cs="宋体"/>
                <w:color w:val="000000"/>
                <w:szCs w:val="21"/>
              </w:rPr>
            </w:pPr>
          </w:p>
        </w:tc>
        <w:tc>
          <w:tcPr>
            <w:tcW w:w="850" w:type="dxa"/>
            <w:tcBorders>
              <w:top w:val="nil"/>
            </w:tcBorders>
            <w:noWrap w:val="0"/>
            <w:vAlign w:val="center"/>
          </w:tcPr>
          <w:p w14:paraId="52938B7D">
            <w:pPr>
              <w:keepNext/>
              <w:rPr>
                <w:rFonts w:hint="eastAsia" w:ascii="宋体" w:hAnsi="宋体" w:cs="宋体"/>
                <w:color w:val="000000"/>
                <w:szCs w:val="21"/>
              </w:rPr>
            </w:pPr>
          </w:p>
        </w:tc>
        <w:tc>
          <w:tcPr>
            <w:tcW w:w="963" w:type="dxa"/>
            <w:tcBorders>
              <w:top w:val="nil"/>
            </w:tcBorders>
            <w:noWrap w:val="0"/>
            <w:vAlign w:val="center"/>
          </w:tcPr>
          <w:p w14:paraId="58F037D6">
            <w:pPr>
              <w:keepNext/>
              <w:rPr>
                <w:rFonts w:hint="eastAsia" w:ascii="宋体" w:hAnsi="宋体" w:cs="宋体"/>
                <w:color w:val="000000"/>
                <w:szCs w:val="21"/>
              </w:rPr>
            </w:pPr>
          </w:p>
        </w:tc>
        <w:tc>
          <w:tcPr>
            <w:tcW w:w="1480" w:type="dxa"/>
            <w:tcBorders>
              <w:top w:val="nil"/>
            </w:tcBorders>
            <w:noWrap w:val="0"/>
            <w:vAlign w:val="center"/>
          </w:tcPr>
          <w:p w14:paraId="42E6EB49">
            <w:pPr>
              <w:keepNext/>
              <w:rPr>
                <w:rFonts w:hint="eastAsia" w:ascii="宋体" w:hAnsi="宋体" w:cs="宋体"/>
                <w:color w:val="000000"/>
                <w:szCs w:val="21"/>
              </w:rPr>
            </w:pPr>
          </w:p>
        </w:tc>
        <w:tc>
          <w:tcPr>
            <w:tcW w:w="1020" w:type="dxa"/>
            <w:tcBorders>
              <w:top w:val="nil"/>
            </w:tcBorders>
            <w:noWrap w:val="0"/>
            <w:vAlign w:val="center"/>
          </w:tcPr>
          <w:p w14:paraId="6C6651D5">
            <w:pPr>
              <w:keepNext/>
              <w:rPr>
                <w:rFonts w:hint="eastAsia" w:ascii="宋体" w:hAnsi="宋体" w:cs="宋体"/>
                <w:color w:val="000000"/>
                <w:szCs w:val="21"/>
              </w:rPr>
            </w:pPr>
          </w:p>
        </w:tc>
        <w:tc>
          <w:tcPr>
            <w:tcW w:w="932" w:type="dxa"/>
            <w:tcBorders>
              <w:top w:val="nil"/>
            </w:tcBorders>
            <w:noWrap w:val="0"/>
            <w:vAlign w:val="center"/>
          </w:tcPr>
          <w:p w14:paraId="5A794D50">
            <w:pPr>
              <w:keepNext/>
              <w:rPr>
                <w:rFonts w:hint="eastAsia" w:ascii="宋体" w:hAnsi="宋体" w:cs="宋体"/>
                <w:color w:val="000000"/>
                <w:szCs w:val="21"/>
              </w:rPr>
            </w:pPr>
          </w:p>
        </w:tc>
      </w:tr>
      <w:tr w14:paraId="2478B5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noWrap w:val="0"/>
            <w:vAlign w:val="top"/>
          </w:tcPr>
          <w:p w14:paraId="6AB1E43A">
            <w:pPr>
              <w:rPr>
                <w:rFonts w:hint="eastAsia" w:ascii="宋体" w:hAnsi="宋体" w:cs="宋体"/>
                <w:color w:val="000000"/>
                <w:szCs w:val="21"/>
              </w:rPr>
            </w:pPr>
          </w:p>
        </w:tc>
        <w:tc>
          <w:tcPr>
            <w:tcW w:w="1418" w:type="dxa"/>
            <w:noWrap w:val="0"/>
            <w:vAlign w:val="top"/>
          </w:tcPr>
          <w:p w14:paraId="1F4976AF">
            <w:pPr>
              <w:rPr>
                <w:rFonts w:hint="eastAsia" w:ascii="宋体" w:hAnsi="宋体" w:cs="宋体"/>
                <w:color w:val="000000"/>
                <w:szCs w:val="21"/>
              </w:rPr>
            </w:pPr>
          </w:p>
        </w:tc>
        <w:tc>
          <w:tcPr>
            <w:tcW w:w="850" w:type="dxa"/>
            <w:noWrap w:val="0"/>
            <w:vAlign w:val="top"/>
          </w:tcPr>
          <w:p w14:paraId="020F37EB">
            <w:pPr>
              <w:rPr>
                <w:rFonts w:hint="eastAsia" w:ascii="宋体" w:hAnsi="宋体" w:cs="宋体"/>
                <w:color w:val="000000"/>
                <w:szCs w:val="21"/>
              </w:rPr>
            </w:pPr>
          </w:p>
        </w:tc>
        <w:tc>
          <w:tcPr>
            <w:tcW w:w="709" w:type="dxa"/>
            <w:noWrap w:val="0"/>
            <w:vAlign w:val="top"/>
          </w:tcPr>
          <w:p w14:paraId="46C39710">
            <w:pPr>
              <w:rPr>
                <w:rFonts w:hint="eastAsia" w:ascii="宋体" w:hAnsi="宋体" w:cs="宋体"/>
                <w:color w:val="000000"/>
                <w:szCs w:val="21"/>
              </w:rPr>
            </w:pPr>
          </w:p>
        </w:tc>
        <w:tc>
          <w:tcPr>
            <w:tcW w:w="850" w:type="dxa"/>
            <w:noWrap w:val="0"/>
            <w:vAlign w:val="top"/>
          </w:tcPr>
          <w:p w14:paraId="105FB488">
            <w:pPr>
              <w:rPr>
                <w:rFonts w:hint="eastAsia" w:ascii="宋体" w:hAnsi="宋体" w:cs="宋体"/>
                <w:color w:val="000000"/>
                <w:szCs w:val="21"/>
              </w:rPr>
            </w:pPr>
          </w:p>
        </w:tc>
        <w:tc>
          <w:tcPr>
            <w:tcW w:w="963" w:type="dxa"/>
            <w:noWrap w:val="0"/>
            <w:vAlign w:val="top"/>
          </w:tcPr>
          <w:p w14:paraId="7903563D">
            <w:pPr>
              <w:rPr>
                <w:rFonts w:hint="eastAsia" w:ascii="宋体" w:hAnsi="宋体" w:cs="宋体"/>
                <w:color w:val="000000"/>
                <w:szCs w:val="21"/>
              </w:rPr>
            </w:pPr>
          </w:p>
        </w:tc>
        <w:tc>
          <w:tcPr>
            <w:tcW w:w="1480" w:type="dxa"/>
            <w:noWrap w:val="0"/>
            <w:vAlign w:val="top"/>
          </w:tcPr>
          <w:p w14:paraId="299643F0">
            <w:pPr>
              <w:rPr>
                <w:rFonts w:hint="eastAsia" w:ascii="宋体" w:hAnsi="宋体" w:cs="宋体"/>
                <w:color w:val="000000"/>
                <w:szCs w:val="21"/>
              </w:rPr>
            </w:pPr>
          </w:p>
        </w:tc>
        <w:tc>
          <w:tcPr>
            <w:tcW w:w="1020" w:type="dxa"/>
            <w:noWrap w:val="0"/>
            <w:vAlign w:val="top"/>
          </w:tcPr>
          <w:p w14:paraId="4653D33E">
            <w:pPr>
              <w:rPr>
                <w:rFonts w:hint="eastAsia" w:ascii="宋体" w:hAnsi="宋体" w:cs="宋体"/>
                <w:color w:val="000000"/>
                <w:szCs w:val="21"/>
              </w:rPr>
            </w:pPr>
          </w:p>
        </w:tc>
        <w:tc>
          <w:tcPr>
            <w:tcW w:w="932" w:type="dxa"/>
            <w:noWrap w:val="0"/>
            <w:vAlign w:val="top"/>
          </w:tcPr>
          <w:p w14:paraId="61810C24">
            <w:pPr>
              <w:rPr>
                <w:rFonts w:hint="eastAsia" w:ascii="宋体" w:hAnsi="宋体" w:cs="宋体"/>
                <w:color w:val="000000"/>
                <w:szCs w:val="21"/>
              </w:rPr>
            </w:pPr>
          </w:p>
        </w:tc>
      </w:tr>
      <w:tr w14:paraId="73D355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noWrap w:val="0"/>
            <w:vAlign w:val="top"/>
          </w:tcPr>
          <w:p w14:paraId="3D9EEBD8">
            <w:pPr>
              <w:rPr>
                <w:rFonts w:hint="eastAsia" w:ascii="宋体" w:hAnsi="宋体" w:cs="宋体"/>
                <w:color w:val="000000"/>
                <w:szCs w:val="21"/>
              </w:rPr>
            </w:pPr>
          </w:p>
        </w:tc>
        <w:tc>
          <w:tcPr>
            <w:tcW w:w="1418" w:type="dxa"/>
            <w:noWrap w:val="0"/>
            <w:vAlign w:val="top"/>
          </w:tcPr>
          <w:p w14:paraId="05471ACD">
            <w:pPr>
              <w:rPr>
                <w:rFonts w:hint="eastAsia" w:ascii="宋体" w:hAnsi="宋体" w:cs="宋体"/>
                <w:color w:val="000000"/>
                <w:szCs w:val="21"/>
              </w:rPr>
            </w:pPr>
          </w:p>
        </w:tc>
        <w:tc>
          <w:tcPr>
            <w:tcW w:w="850" w:type="dxa"/>
            <w:noWrap w:val="0"/>
            <w:vAlign w:val="top"/>
          </w:tcPr>
          <w:p w14:paraId="12FD512E">
            <w:pPr>
              <w:rPr>
                <w:rFonts w:hint="eastAsia" w:ascii="宋体" w:hAnsi="宋体" w:cs="宋体"/>
                <w:color w:val="000000"/>
                <w:szCs w:val="21"/>
              </w:rPr>
            </w:pPr>
          </w:p>
        </w:tc>
        <w:tc>
          <w:tcPr>
            <w:tcW w:w="709" w:type="dxa"/>
            <w:noWrap w:val="0"/>
            <w:vAlign w:val="top"/>
          </w:tcPr>
          <w:p w14:paraId="55BF8D81">
            <w:pPr>
              <w:rPr>
                <w:rFonts w:hint="eastAsia" w:ascii="宋体" w:hAnsi="宋体" w:cs="宋体"/>
                <w:color w:val="000000"/>
                <w:szCs w:val="21"/>
              </w:rPr>
            </w:pPr>
          </w:p>
        </w:tc>
        <w:tc>
          <w:tcPr>
            <w:tcW w:w="850" w:type="dxa"/>
            <w:noWrap w:val="0"/>
            <w:vAlign w:val="top"/>
          </w:tcPr>
          <w:p w14:paraId="274ADA9F">
            <w:pPr>
              <w:rPr>
                <w:rFonts w:hint="eastAsia" w:ascii="宋体" w:hAnsi="宋体" w:cs="宋体"/>
                <w:color w:val="000000"/>
                <w:szCs w:val="21"/>
              </w:rPr>
            </w:pPr>
          </w:p>
        </w:tc>
        <w:tc>
          <w:tcPr>
            <w:tcW w:w="963" w:type="dxa"/>
            <w:noWrap w:val="0"/>
            <w:vAlign w:val="top"/>
          </w:tcPr>
          <w:p w14:paraId="5A18C35D">
            <w:pPr>
              <w:rPr>
                <w:rFonts w:hint="eastAsia" w:ascii="宋体" w:hAnsi="宋体" w:cs="宋体"/>
                <w:color w:val="000000"/>
                <w:szCs w:val="21"/>
              </w:rPr>
            </w:pPr>
          </w:p>
        </w:tc>
        <w:tc>
          <w:tcPr>
            <w:tcW w:w="1480" w:type="dxa"/>
            <w:noWrap w:val="0"/>
            <w:vAlign w:val="top"/>
          </w:tcPr>
          <w:p w14:paraId="286A1876">
            <w:pPr>
              <w:rPr>
                <w:rFonts w:hint="eastAsia" w:ascii="宋体" w:hAnsi="宋体" w:cs="宋体"/>
                <w:color w:val="000000"/>
                <w:szCs w:val="21"/>
              </w:rPr>
            </w:pPr>
          </w:p>
        </w:tc>
        <w:tc>
          <w:tcPr>
            <w:tcW w:w="1020" w:type="dxa"/>
            <w:noWrap w:val="0"/>
            <w:vAlign w:val="top"/>
          </w:tcPr>
          <w:p w14:paraId="0418BC3A">
            <w:pPr>
              <w:rPr>
                <w:rFonts w:hint="eastAsia" w:ascii="宋体" w:hAnsi="宋体" w:cs="宋体"/>
                <w:color w:val="000000"/>
                <w:szCs w:val="21"/>
              </w:rPr>
            </w:pPr>
          </w:p>
        </w:tc>
        <w:tc>
          <w:tcPr>
            <w:tcW w:w="932" w:type="dxa"/>
            <w:noWrap w:val="0"/>
            <w:vAlign w:val="top"/>
          </w:tcPr>
          <w:p w14:paraId="35A2CA3D">
            <w:pPr>
              <w:rPr>
                <w:rFonts w:hint="eastAsia" w:ascii="宋体" w:hAnsi="宋体" w:cs="宋体"/>
                <w:color w:val="000000"/>
                <w:szCs w:val="21"/>
              </w:rPr>
            </w:pPr>
          </w:p>
        </w:tc>
      </w:tr>
      <w:tr w14:paraId="072BE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737" w:type="dxa"/>
            <w:tcBorders>
              <w:bottom w:val="single" w:color="auto" w:sz="12" w:space="0"/>
            </w:tcBorders>
            <w:noWrap w:val="0"/>
            <w:vAlign w:val="top"/>
          </w:tcPr>
          <w:p w14:paraId="55BD2607">
            <w:pPr>
              <w:rPr>
                <w:rFonts w:hint="eastAsia" w:ascii="宋体" w:hAnsi="宋体" w:cs="宋体"/>
                <w:color w:val="000000"/>
                <w:szCs w:val="21"/>
              </w:rPr>
            </w:pPr>
          </w:p>
        </w:tc>
        <w:tc>
          <w:tcPr>
            <w:tcW w:w="1418" w:type="dxa"/>
            <w:tcBorders>
              <w:bottom w:val="single" w:color="auto" w:sz="12" w:space="0"/>
            </w:tcBorders>
            <w:noWrap w:val="0"/>
            <w:vAlign w:val="top"/>
          </w:tcPr>
          <w:p w14:paraId="0ECB6BF8">
            <w:pPr>
              <w:rPr>
                <w:rFonts w:hint="eastAsia" w:ascii="宋体" w:hAnsi="宋体" w:cs="宋体"/>
                <w:color w:val="000000"/>
                <w:szCs w:val="21"/>
              </w:rPr>
            </w:pPr>
          </w:p>
        </w:tc>
        <w:tc>
          <w:tcPr>
            <w:tcW w:w="850" w:type="dxa"/>
            <w:tcBorders>
              <w:bottom w:val="single" w:color="auto" w:sz="12" w:space="0"/>
            </w:tcBorders>
            <w:noWrap w:val="0"/>
            <w:vAlign w:val="top"/>
          </w:tcPr>
          <w:p w14:paraId="16CC2A50">
            <w:pPr>
              <w:rPr>
                <w:rFonts w:hint="eastAsia" w:ascii="宋体" w:hAnsi="宋体" w:cs="宋体"/>
                <w:color w:val="000000"/>
                <w:szCs w:val="21"/>
              </w:rPr>
            </w:pPr>
          </w:p>
        </w:tc>
        <w:tc>
          <w:tcPr>
            <w:tcW w:w="709" w:type="dxa"/>
            <w:tcBorders>
              <w:bottom w:val="single" w:color="auto" w:sz="12" w:space="0"/>
            </w:tcBorders>
            <w:noWrap w:val="0"/>
            <w:vAlign w:val="top"/>
          </w:tcPr>
          <w:p w14:paraId="320B6761">
            <w:pPr>
              <w:rPr>
                <w:rFonts w:hint="eastAsia" w:ascii="宋体" w:hAnsi="宋体" w:cs="宋体"/>
                <w:color w:val="000000"/>
                <w:szCs w:val="21"/>
              </w:rPr>
            </w:pPr>
          </w:p>
        </w:tc>
        <w:tc>
          <w:tcPr>
            <w:tcW w:w="850" w:type="dxa"/>
            <w:tcBorders>
              <w:bottom w:val="single" w:color="auto" w:sz="12" w:space="0"/>
            </w:tcBorders>
            <w:noWrap w:val="0"/>
            <w:vAlign w:val="top"/>
          </w:tcPr>
          <w:p w14:paraId="0B6DD956">
            <w:pPr>
              <w:rPr>
                <w:rFonts w:hint="eastAsia" w:ascii="宋体" w:hAnsi="宋体" w:cs="宋体"/>
                <w:color w:val="000000"/>
                <w:szCs w:val="21"/>
              </w:rPr>
            </w:pPr>
          </w:p>
        </w:tc>
        <w:tc>
          <w:tcPr>
            <w:tcW w:w="963" w:type="dxa"/>
            <w:tcBorders>
              <w:bottom w:val="single" w:color="auto" w:sz="12" w:space="0"/>
            </w:tcBorders>
            <w:noWrap w:val="0"/>
            <w:vAlign w:val="top"/>
          </w:tcPr>
          <w:p w14:paraId="619BCC8D">
            <w:pPr>
              <w:rPr>
                <w:rFonts w:hint="eastAsia" w:ascii="宋体" w:hAnsi="宋体" w:cs="宋体"/>
                <w:color w:val="000000"/>
                <w:szCs w:val="21"/>
              </w:rPr>
            </w:pPr>
          </w:p>
        </w:tc>
        <w:tc>
          <w:tcPr>
            <w:tcW w:w="1480" w:type="dxa"/>
            <w:tcBorders>
              <w:bottom w:val="single" w:color="auto" w:sz="12" w:space="0"/>
            </w:tcBorders>
            <w:noWrap w:val="0"/>
            <w:vAlign w:val="top"/>
          </w:tcPr>
          <w:p w14:paraId="3C426AE1">
            <w:pPr>
              <w:rPr>
                <w:rFonts w:hint="eastAsia" w:ascii="宋体" w:hAnsi="宋体" w:cs="宋体"/>
                <w:color w:val="000000"/>
                <w:szCs w:val="21"/>
              </w:rPr>
            </w:pPr>
          </w:p>
        </w:tc>
        <w:tc>
          <w:tcPr>
            <w:tcW w:w="1020" w:type="dxa"/>
            <w:tcBorders>
              <w:bottom w:val="single" w:color="auto" w:sz="12" w:space="0"/>
            </w:tcBorders>
            <w:noWrap w:val="0"/>
            <w:vAlign w:val="top"/>
          </w:tcPr>
          <w:p w14:paraId="04CCEB65">
            <w:pPr>
              <w:rPr>
                <w:rFonts w:hint="eastAsia" w:ascii="宋体" w:hAnsi="宋体" w:cs="宋体"/>
                <w:color w:val="000000"/>
                <w:szCs w:val="21"/>
              </w:rPr>
            </w:pPr>
          </w:p>
        </w:tc>
        <w:tc>
          <w:tcPr>
            <w:tcW w:w="932" w:type="dxa"/>
            <w:tcBorders>
              <w:bottom w:val="single" w:color="auto" w:sz="12" w:space="0"/>
            </w:tcBorders>
            <w:noWrap w:val="0"/>
            <w:vAlign w:val="top"/>
          </w:tcPr>
          <w:p w14:paraId="59719D41">
            <w:pPr>
              <w:rPr>
                <w:rFonts w:hint="eastAsia" w:ascii="宋体" w:hAnsi="宋体" w:cs="宋体"/>
                <w:color w:val="000000"/>
                <w:szCs w:val="21"/>
              </w:rPr>
            </w:pPr>
          </w:p>
        </w:tc>
      </w:tr>
    </w:tbl>
    <w:p w14:paraId="01BAC0B4">
      <w:pPr>
        <w:rPr>
          <w:rFonts w:hint="eastAsia" w:ascii="宋体" w:hAnsi="宋体" w:cs="宋体"/>
          <w:color w:val="000000"/>
          <w:szCs w:val="21"/>
        </w:rPr>
      </w:pPr>
    </w:p>
    <w:p w14:paraId="5585C2BC">
      <w:pPr>
        <w:widowControl/>
        <w:spacing w:line="360" w:lineRule="auto"/>
        <w:rPr>
          <w:rFonts w:hint="eastAsia" w:ascii="宋体" w:hAnsi="宋体" w:cs="宋体"/>
          <w:color w:val="000000"/>
          <w:szCs w:val="21"/>
        </w:rPr>
      </w:pPr>
    </w:p>
    <w:p w14:paraId="05718EB9">
      <w:pPr>
        <w:widowControl/>
        <w:spacing w:line="360" w:lineRule="auto"/>
        <w:rPr>
          <w:rFonts w:hint="eastAsia" w:ascii="宋体" w:hAnsi="宋体" w:cs="宋体"/>
          <w:color w:val="000000"/>
          <w:szCs w:val="21"/>
        </w:rPr>
      </w:pPr>
    </w:p>
    <w:p w14:paraId="712F931F">
      <w:pPr>
        <w:widowControl/>
        <w:spacing w:line="360" w:lineRule="auto"/>
        <w:rPr>
          <w:rFonts w:hint="eastAsia" w:ascii="宋体" w:hAnsi="宋体" w:cs="宋体"/>
          <w:color w:val="000000"/>
          <w:szCs w:val="21"/>
        </w:rPr>
      </w:pPr>
    </w:p>
    <w:p w14:paraId="6247D2D4">
      <w:pPr>
        <w:widowControl/>
        <w:spacing w:line="360" w:lineRule="auto"/>
        <w:rPr>
          <w:rFonts w:hint="eastAsia" w:ascii="宋体" w:hAnsi="宋体" w:cs="宋体"/>
          <w:color w:val="000000"/>
          <w:szCs w:val="21"/>
        </w:rPr>
      </w:pPr>
    </w:p>
    <w:p w14:paraId="63571358">
      <w:pPr>
        <w:widowControl/>
        <w:spacing w:line="360" w:lineRule="auto"/>
        <w:rPr>
          <w:rFonts w:hint="eastAsia" w:ascii="宋体" w:hAnsi="宋体" w:cs="宋体"/>
          <w:color w:val="000000"/>
          <w:szCs w:val="21"/>
        </w:rPr>
      </w:pPr>
    </w:p>
    <w:p w14:paraId="2C5F191B">
      <w:pPr>
        <w:widowControl/>
        <w:spacing w:line="360" w:lineRule="auto"/>
        <w:rPr>
          <w:rFonts w:hint="eastAsia" w:ascii="宋体" w:hAnsi="宋体" w:cs="宋体"/>
          <w:color w:val="000000"/>
          <w:szCs w:val="21"/>
        </w:rPr>
      </w:pPr>
    </w:p>
    <w:p w14:paraId="5250B392">
      <w:pPr>
        <w:widowControl/>
        <w:spacing w:line="360" w:lineRule="auto"/>
        <w:rPr>
          <w:rFonts w:hint="eastAsia" w:ascii="宋体" w:hAnsi="宋体" w:cs="宋体"/>
          <w:color w:val="000000"/>
          <w:szCs w:val="21"/>
        </w:rPr>
      </w:pPr>
    </w:p>
    <w:p w14:paraId="065C3A8E">
      <w:pPr>
        <w:widowControl/>
        <w:spacing w:line="360" w:lineRule="auto"/>
        <w:rPr>
          <w:rFonts w:hint="eastAsia" w:ascii="宋体" w:hAnsi="宋体" w:cs="宋体"/>
          <w:color w:val="000000"/>
          <w:sz w:val="24"/>
        </w:rPr>
      </w:pPr>
    </w:p>
    <w:p w14:paraId="53FBDD36">
      <w:pPr>
        <w:rPr>
          <w:rFonts w:hint="eastAsia" w:ascii="宋体" w:hAnsi="宋体" w:cs="宋体"/>
          <w:bCs/>
          <w:color w:val="000000"/>
          <w:sz w:val="24"/>
        </w:rPr>
      </w:pPr>
      <w:bookmarkStart w:id="884" w:name="_Toc95223492"/>
      <w:r>
        <w:rPr>
          <w:rFonts w:hint="eastAsia" w:ascii="宋体" w:hAnsi="宋体" w:cs="宋体"/>
          <w:bCs/>
          <w:color w:val="000000"/>
          <w:sz w:val="24"/>
        </w:rPr>
        <w:br w:type="page"/>
      </w:r>
    </w:p>
    <w:p w14:paraId="0B2B87D6">
      <w:pPr>
        <w:keepNext/>
        <w:keepLines/>
        <w:spacing w:before="120" w:after="120" w:line="360" w:lineRule="auto"/>
        <w:jc w:val="left"/>
        <w:outlineLvl w:val="2"/>
        <w:rPr>
          <w:rFonts w:hint="eastAsia" w:ascii="宋体" w:hAnsi="宋体" w:cs="宋体"/>
          <w:bCs/>
          <w:color w:val="000000"/>
          <w:sz w:val="24"/>
        </w:rPr>
      </w:pPr>
      <w:r>
        <w:rPr>
          <w:rFonts w:hint="eastAsia" w:ascii="宋体" w:hAnsi="宋体" w:cs="宋体"/>
          <w:bCs/>
          <w:color w:val="000000"/>
          <w:sz w:val="24"/>
        </w:rPr>
        <w:t>附</w:t>
      </w:r>
      <w:bookmarkStart w:id="885" w:name="_Toc296891268"/>
      <w:bookmarkStart w:id="886" w:name="_Toc296503228"/>
      <w:bookmarkStart w:id="887" w:name="_Toc296891056"/>
      <w:bookmarkStart w:id="888" w:name="_Toc296944567"/>
      <w:bookmarkStart w:id="889" w:name="_Toc296346729"/>
      <w:bookmarkStart w:id="890" w:name="_Toc296347227"/>
      <w:bookmarkStart w:id="891" w:name="_Toc267261699"/>
      <w:r>
        <w:rPr>
          <w:rFonts w:hint="eastAsia" w:ascii="宋体" w:hAnsi="宋体" w:cs="宋体"/>
          <w:bCs/>
          <w:color w:val="000000"/>
          <w:sz w:val="24"/>
        </w:rPr>
        <w:t>件</w:t>
      </w:r>
      <w:bookmarkEnd w:id="885"/>
      <w:bookmarkEnd w:id="886"/>
      <w:bookmarkEnd w:id="887"/>
      <w:bookmarkEnd w:id="888"/>
      <w:bookmarkEnd w:id="889"/>
      <w:bookmarkEnd w:id="890"/>
      <w:bookmarkEnd w:id="891"/>
      <w:r>
        <w:rPr>
          <w:rFonts w:hint="eastAsia" w:ascii="宋体" w:hAnsi="宋体" w:cs="宋体"/>
          <w:bCs/>
          <w:color w:val="000000"/>
          <w:sz w:val="24"/>
        </w:rPr>
        <w:t>6：承包人主要施工管理人员表</w:t>
      </w:r>
      <w:bookmarkEnd w:id="884"/>
    </w:p>
    <w:p w14:paraId="12EA1DA6">
      <w:pPr>
        <w:spacing w:line="360" w:lineRule="auto"/>
        <w:jc w:val="center"/>
        <w:rPr>
          <w:rFonts w:hint="eastAsia" w:ascii="宋体" w:hAnsi="宋体" w:cs="宋体"/>
          <w:color w:val="000000"/>
          <w:sz w:val="24"/>
        </w:rPr>
      </w:pPr>
      <w:r>
        <w:rPr>
          <w:rFonts w:hint="eastAsia" w:ascii="宋体" w:hAnsi="宋体" w:cs="宋体"/>
          <w:color w:val="000000"/>
          <w:sz w:val="24"/>
        </w:rPr>
        <w:t>承包人主要施工管理人员表</w:t>
      </w:r>
    </w:p>
    <w:tbl>
      <w:tblPr>
        <w:tblStyle w:val="47"/>
        <w:tblW w:w="511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729"/>
        <w:gridCol w:w="1156"/>
        <w:gridCol w:w="926"/>
        <w:gridCol w:w="926"/>
        <w:gridCol w:w="2358"/>
        <w:gridCol w:w="2124"/>
      </w:tblGrid>
      <w:tr w14:paraId="33A43F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single" w:color="auto" w:sz="12" w:space="0"/>
              <w:bottom w:val="double" w:color="auto" w:sz="6" w:space="0"/>
            </w:tcBorders>
            <w:noWrap w:val="0"/>
            <w:vAlign w:val="center"/>
          </w:tcPr>
          <w:p w14:paraId="5A15560C">
            <w:pPr>
              <w:keepNext/>
              <w:spacing w:line="360" w:lineRule="auto"/>
              <w:jc w:val="center"/>
              <w:rPr>
                <w:rFonts w:hint="eastAsia" w:ascii="宋体" w:hAnsi="宋体" w:cs="宋体"/>
                <w:color w:val="000000"/>
                <w:szCs w:val="21"/>
              </w:rPr>
            </w:pPr>
            <w:r>
              <w:rPr>
                <w:rFonts w:hint="eastAsia" w:ascii="宋体" w:hAnsi="宋体" w:cs="宋体"/>
                <w:color w:val="000000"/>
                <w:szCs w:val="21"/>
              </w:rPr>
              <w:t>名    称</w:t>
            </w:r>
          </w:p>
        </w:tc>
        <w:tc>
          <w:tcPr>
            <w:tcW w:w="627" w:type="pct"/>
            <w:tcBorders>
              <w:top w:val="single" w:color="auto" w:sz="12" w:space="0"/>
              <w:bottom w:val="double" w:color="auto" w:sz="6" w:space="0"/>
            </w:tcBorders>
            <w:noWrap w:val="0"/>
            <w:vAlign w:val="center"/>
          </w:tcPr>
          <w:p w14:paraId="6D666670">
            <w:pPr>
              <w:keepNext/>
              <w:spacing w:line="360" w:lineRule="auto"/>
              <w:jc w:val="center"/>
              <w:rPr>
                <w:rFonts w:hint="eastAsia" w:ascii="宋体" w:hAnsi="宋体" w:cs="宋体"/>
                <w:color w:val="000000"/>
                <w:szCs w:val="21"/>
              </w:rPr>
            </w:pPr>
            <w:r>
              <w:rPr>
                <w:rFonts w:hint="eastAsia" w:ascii="宋体" w:hAnsi="宋体" w:cs="宋体"/>
                <w:color w:val="000000"/>
                <w:szCs w:val="21"/>
              </w:rPr>
              <w:t>姓名</w:t>
            </w:r>
          </w:p>
        </w:tc>
        <w:tc>
          <w:tcPr>
            <w:tcW w:w="502" w:type="pct"/>
            <w:tcBorders>
              <w:top w:val="single" w:color="auto" w:sz="12" w:space="0"/>
              <w:bottom w:val="double" w:color="auto" w:sz="6" w:space="0"/>
            </w:tcBorders>
            <w:noWrap w:val="0"/>
            <w:vAlign w:val="center"/>
          </w:tcPr>
          <w:p w14:paraId="12DEEE6E">
            <w:pPr>
              <w:keepNext/>
              <w:spacing w:line="360" w:lineRule="auto"/>
              <w:jc w:val="center"/>
              <w:rPr>
                <w:rFonts w:hint="eastAsia" w:ascii="宋体" w:hAnsi="宋体" w:cs="宋体"/>
                <w:color w:val="000000"/>
                <w:szCs w:val="21"/>
              </w:rPr>
            </w:pPr>
            <w:r>
              <w:rPr>
                <w:rFonts w:hint="eastAsia" w:ascii="宋体" w:hAnsi="宋体" w:cs="宋体"/>
                <w:color w:val="000000"/>
                <w:szCs w:val="21"/>
              </w:rPr>
              <w:t>职务</w:t>
            </w:r>
          </w:p>
        </w:tc>
        <w:tc>
          <w:tcPr>
            <w:tcW w:w="502" w:type="pct"/>
            <w:tcBorders>
              <w:top w:val="single" w:color="auto" w:sz="12" w:space="0"/>
              <w:bottom w:val="double" w:color="auto" w:sz="6" w:space="0"/>
            </w:tcBorders>
            <w:noWrap w:val="0"/>
            <w:vAlign w:val="center"/>
          </w:tcPr>
          <w:p w14:paraId="181E7294">
            <w:pPr>
              <w:keepNext/>
              <w:spacing w:line="360" w:lineRule="auto"/>
              <w:jc w:val="center"/>
              <w:rPr>
                <w:rFonts w:hint="eastAsia" w:ascii="宋体" w:hAnsi="宋体" w:cs="宋体"/>
                <w:color w:val="000000"/>
                <w:szCs w:val="21"/>
              </w:rPr>
            </w:pPr>
            <w:r>
              <w:rPr>
                <w:rFonts w:hint="eastAsia" w:ascii="宋体" w:hAnsi="宋体" w:cs="宋体"/>
                <w:color w:val="000000"/>
                <w:szCs w:val="21"/>
              </w:rPr>
              <w:t>职称</w:t>
            </w:r>
          </w:p>
        </w:tc>
        <w:tc>
          <w:tcPr>
            <w:tcW w:w="1279" w:type="pct"/>
            <w:tcBorders>
              <w:top w:val="single" w:color="auto" w:sz="12" w:space="0"/>
              <w:bottom w:val="double" w:color="auto" w:sz="6" w:space="0"/>
            </w:tcBorders>
            <w:noWrap w:val="0"/>
            <w:vAlign w:val="center"/>
          </w:tcPr>
          <w:p w14:paraId="1C9579C9">
            <w:pPr>
              <w:keepNext/>
              <w:spacing w:line="360" w:lineRule="auto"/>
              <w:jc w:val="center"/>
              <w:rPr>
                <w:rFonts w:hint="eastAsia" w:ascii="宋体" w:hAnsi="宋体" w:cs="宋体"/>
                <w:color w:val="000000"/>
                <w:szCs w:val="21"/>
              </w:rPr>
            </w:pPr>
            <w:r>
              <w:rPr>
                <w:rFonts w:hint="eastAsia" w:ascii="宋体" w:hAnsi="宋体" w:cs="宋体"/>
                <w:color w:val="000000"/>
                <w:szCs w:val="21"/>
              </w:rPr>
              <w:t>主要资历、经验及承担过的项目</w:t>
            </w:r>
          </w:p>
        </w:tc>
        <w:tc>
          <w:tcPr>
            <w:tcW w:w="1153" w:type="pct"/>
            <w:tcBorders>
              <w:top w:val="single" w:color="auto" w:sz="12" w:space="0"/>
              <w:bottom w:val="double" w:color="auto" w:sz="6" w:space="0"/>
            </w:tcBorders>
            <w:noWrap w:val="0"/>
            <w:vAlign w:val="top"/>
          </w:tcPr>
          <w:p w14:paraId="436CD293">
            <w:pPr>
              <w:keepNext/>
              <w:spacing w:line="360" w:lineRule="auto"/>
              <w:jc w:val="center"/>
              <w:rPr>
                <w:rFonts w:hint="eastAsia" w:ascii="宋体" w:hAnsi="宋体" w:cs="宋体"/>
                <w:color w:val="000000"/>
                <w:szCs w:val="21"/>
              </w:rPr>
            </w:pPr>
            <w:r>
              <w:rPr>
                <w:rFonts w:hint="eastAsia" w:ascii="宋体" w:hAnsi="宋体" w:cs="宋体"/>
                <w:color w:val="000000"/>
                <w:szCs w:val="21"/>
              </w:rPr>
              <w:t>身份证号码</w:t>
            </w:r>
          </w:p>
        </w:tc>
      </w:tr>
      <w:tr w14:paraId="066977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7" w:type="pct"/>
            <w:gridSpan w:val="5"/>
            <w:tcBorders>
              <w:top w:val="double" w:color="auto" w:sz="6" w:space="0"/>
            </w:tcBorders>
            <w:noWrap w:val="0"/>
            <w:vAlign w:val="center"/>
          </w:tcPr>
          <w:p w14:paraId="61642AA1">
            <w:pPr>
              <w:keepNext/>
              <w:spacing w:line="360" w:lineRule="auto"/>
              <w:jc w:val="center"/>
              <w:rPr>
                <w:rFonts w:hint="eastAsia" w:ascii="宋体" w:hAnsi="宋体" w:cs="宋体"/>
                <w:color w:val="000000"/>
                <w:szCs w:val="21"/>
              </w:rPr>
            </w:pPr>
            <w:r>
              <w:rPr>
                <w:rFonts w:hint="eastAsia" w:ascii="宋体" w:hAnsi="宋体" w:cs="宋体"/>
                <w:color w:val="000000"/>
                <w:szCs w:val="21"/>
              </w:rPr>
              <w:t>一、总部人员</w:t>
            </w:r>
          </w:p>
        </w:tc>
        <w:tc>
          <w:tcPr>
            <w:tcW w:w="1153" w:type="pct"/>
            <w:tcBorders>
              <w:top w:val="double" w:color="auto" w:sz="6" w:space="0"/>
            </w:tcBorders>
            <w:noWrap w:val="0"/>
            <w:vAlign w:val="top"/>
          </w:tcPr>
          <w:p w14:paraId="0274D57E">
            <w:pPr>
              <w:keepNext/>
              <w:spacing w:line="360" w:lineRule="auto"/>
              <w:jc w:val="center"/>
              <w:rPr>
                <w:rFonts w:hint="eastAsia" w:ascii="宋体" w:hAnsi="宋体" w:cs="宋体"/>
                <w:color w:val="000000"/>
                <w:szCs w:val="21"/>
              </w:rPr>
            </w:pPr>
          </w:p>
        </w:tc>
      </w:tr>
      <w:tr w14:paraId="50D5D0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27C3E879">
            <w:pPr>
              <w:spacing w:line="360" w:lineRule="auto"/>
              <w:jc w:val="center"/>
              <w:rPr>
                <w:rFonts w:hint="eastAsia" w:ascii="宋体" w:hAnsi="宋体" w:cs="宋体"/>
                <w:color w:val="000000"/>
                <w:szCs w:val="21"/>
              </w:rPr>
            </w:pPr>
            <w:r>
              <w:rPr>
                <w:rFonts w:hint="eastAsia" w:ascii="宋体" w:hAnsi="宋体" w:cs="宋体"/>
                <w:color w:val="000000"/>
                <w:szCs w:val="21"/>
              </w:rPr>
              <w:t>项目主管</w:t>
            </w:r>
          </w:p>
        </w:tc>
        <w:tc>
          <w:tcPr>
            <w:tcW w:w="627" w:type="pct"/>
            <w:tcBorders>
              <w:top w:val="nil"/>
            </w:tcBorders>
            <w:noWrap w:val="0"/>
            <w:vAlign w:val="center"/>
          </w:tcPr>
          <w:p w14:paraId="552B2FB8">
            <w:pPr>
              <w:keepNext/>
              <w:spacing w:line="360" w:lineRule="auto"/>
              <w:jc w:val="center"/>
              <w:rPr>
                <w:rFonts w:hint="eastAsia" w:ascii="宋体" w:hAnsi="宋体" w:cs="宋体"/>
                <w:color w:val="000000"/>
                <w:szCs w:val="21"/>
              </w:rPr>
            </w:pPr>
          </w:p>
        </w:tc>
        <w:tc>
          <w:tcPr>
            <w:tcW w:w="502" w:type="pct"/>
            <w:tcBorders>
              <w:top w:val="nil"/>
            </w:tcBorders>
            <w:noWrap w:val="0"/>
            <w:vAlign w:val="center"/>
          </w:tcPr>
          <w:p w14:paraId="7D64F8AC">
            <w:pPr>
              <w:keepNext/>
              <w:spacing w:line="360" w:lineRule="auto"/>
              <w:jc w:val="center"/>
              <w:rPr>
                <w:rFonts w:hint="eastAsia" w:ascii="宋体" w:hAnsi="宋体" w:cs="宋体"/>
                <w:color w:val="000000"/>
                <w:szCs w:val="21"/>
              </w:rPr>
            </w:pPr>
          </w:p>
        </w:tc>
        <w:tc>
          <w:tcPr>
            <w:tcW w:w="502" w:type="pct"/>
            <w:tcBorders>
              <w:top w:val="nil"/>
            </w:tcBorders>
            <w:noWrap w:val="0"/>
            <w:vAlign w:val="center"/>
          </w:tcPr>
          <w:p w14:paraId="58A53FFA">
            <w:pPr>
              <w:keepNext/>
              <w:spacing w:line="360" w:lineRule="auto"/>
              <w:jc w:val="center"/>
              <w:rPr>
                <w:rFonts w:hint="eastAsia" w:ascii="宋体" w:hAnsi="宋体" w:cs="宋体"/>
                <w:color w:val="000000"/>
                <w:szCs w:val="21"/>
              </w:rPr>
            </w:pPr>
          </w:p>
        </w:tc>
        <w:tc>
          <w:tcPr>
            <w:tcW w:w="1279" w:type="pct"/>
            <w:tcBorders>
              <w:top w:val="nil"/>
            </w:tcBorders>
            <w:noWrap w:val="0"/>
            <w:vAlign w:val="center"/>
          </w:tcPr>
          <w:p w14:paraId="3A087D67">
            <w:pPr>
              <w:keepNext/>
              <w:spacing w:line="360" w:lineRule="auto"/>
              <w:jc w:val="center"/>
              <w:rPr>
                <w:rFonts w:hint="eastAsia" w:ascii="宋体" w:hAnsi="宋体" w:cs="宋体"/>
                <w:color w:val="000000"/>
                <w:szCs w:val="21"/>
              </w:rPr>
            </w:pPr>
          </w:p>
        </w:tc>
        <w:tc>
          <w:tcPr>
            <w:tcW w:w="1153" w:type="pct"/>
            <w:tcBorders>
              <w:top w:val="nil"/>
            </w:tcBorders>
            <w:noWrap w:val="0"/>
            <w:vAlign w:val="top"/>
          </w:tcPr>
          <w:p w14:paraId="4D28BA54">
            <w:pPr>
              <w:keepNext/>
              <w:spacing w:line="360" w:lineRule="auto"/>
              <w:jc w:val="center"/>
              <w:rPr>
                <w:rFonts w:hint="eastAsia" w:ascii="宋体" w:hAnsi="宋体" w:cs="宋体"/>
                <w:color w:val="000000"/>
                <w:szCs w:val="21"/>
              </w:rPr>
            </w:pPr>
          </w:p>
        </w:tc>
      </w:tr>
      <w:tr w14:paraId="454028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bottom w:val="nil"/>
            </w:tcBorders>
            <w:noWrap w:val="0"/>
            <w:vAlign w:val="center"/>
          </w:tcPr>
          <w:p w14:paraId="2A885CDB">
            <w:pPr>
              <w:spacing w:line="360" w:lineRule="auto"/>
              <w:jc w:val="center"/>
              <w:rPr>
                <w:rFonts w:hint="eastAsia" w:ascii="宋体" w:hAnsi="宋体" w:cs="宋体"/>
                <w:color w:val="000000"/>
                <w:szCs w:val="21"/>
              </w:rPr>
            </w:pPr>
          </w:p>
        </w:tc>
        <w:tc>
          <w:tcPr>
            <w:tcW w:w="627" w:type="pct"/>
            <w:noWrap w:val="0"/>
            <w:vAlign w:val="center"/>
          </w:tcPr>
          <w:p w14:paraId="59B1BDA6">
            <w:pPr>
              <w:keepNext/>
              <w:spacing w:line="360" w:lineRule="auto"/>
              <w:jc w:val="center"/>
              <w:rPr>
                <w:rFonts w:hint="eastAsia" w:ascii="宋体" w:hAnsi="宋体" w:cs="宋体"/>
                <w:color w:val="000000"/>
                <w:szCs w:val="21"/>
              </w:rPr>
            </w:pPr>
          </w:p>
        </w:tc>
        <w:tc>
          <w:tcPr>
            <w:tcW w:w="502" w:type="pct"/>
            <w:noWrap w:val="0"/>
            <w:vAlign w:val="center"/>
          </w:tcPr>
          <w:p w14:paraId="501443D8">
            <w:pPr>
              <w:keepNext/>
              <w:spacing w:line="360" w:lineRule="auto"/>
              <w:jc w:val="center"/>
              <w:rPr>
                <w:rFonts w:hint="eastAsia" w:ascii="宋体" w:hAnsi="宋体" w:cs="宋体"/>
                <w:color w:val="000000"/>
                <w:szCs w:val="21"/>
              </w:rPr>
            </w:pPr>
          </w:p>
        </w:tc>
        <w:tc>
          <w:tcPr>
            <w:tcW w:w="502" w:type="pct"/>
            <w:noWrap w:val="0"/>
            <w:vAlign w:val="center"/>
          </w:tcPr>
          <w:p w14:paraId="2B6464F2">
            <w:pPr>
              <w:keepNext/>
              <w:spacing w:line="360" w:lineRule="auto"/>
              <w:jc w:val="center"/>
              <w:rPr>
                <w:rFonts w:hint="eastAsia" w:ascii="宋体" w:hAnsi="宋体" w:cs="宋体"/>
                <w:color w:val="000000"/>
                <w:szCs w:val="21"/>
              </w:rPr>
            </w:pPr>
          </w:p>
        </w:tc>
        <w:tc>
          <w:tcPr>
            <w:tcW w:w="1279" w:type="pct"/>
            <w:noWrap w:val="0"/>
            <w:vAlign w:val="center"/>
          </w:tcPr>
          <w:p w14:paraId="19A1C2B4">
            <w:pPr>
              <w:keepNext/>
              <w:spacing w:line="360" w:lineRule="auto"/>
              <w:jc w:val="center"/>
              <w:rPr>
                <w:rFonts w:hint="eastAsia" w:ascii="宋体" w:hAnsi="宋体" w:cs="宋体"/>
                <w:color w:val="000000"/>
                <w:szCs w:val="21"/>
              </w:rPr>
            </w:pPr>
          </w:p>
        </w:tc>
        <w:tc>
          <w:tcPr>
            <w:tcW w:w="1153" w:type="pct"/>
            <w:noWrap w:val="0"/>
            <w:vAlign w:val="top"/>
          </w:tcPr>
          <w:p w14:paraId="0D6D1354">
            <w:pPr>
              <w:keepNext/>
              <w:spacing w:line="360" w:lineRule="auto"/>
              <w:jc w:val="center"/>
              <w:rPr>
                <w:rFonts w:hint="eastAsia" w:ascii="宋体" w:hAnsi="宋体" w:cs="宋体"/>
                <w:color w:val="000000"/>
                <w:szCs w:val="21"/>
              </w:rPr>
            </w:pPr>
          </w:p>
        </w:tc>
      </w:tr>
      <w:tr w14:paraId="17256A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3FD62EF1">
            <w:pPr>
              <w:spacing w:line="360" w:lineRule="auto"/>
              <w:jc w:val="center"/>
              <w:rPr>
                <w:rFonts w:hint="eastAsia" w:ascii="宋体" w:hAnsi="宋体" w:cs="宋体"/>
                <w:color w:val="000000"/>
                <w:szCs w:val="21"/>
              </w:rPr>
            </w:pPr>
            <w:r>
              <w:rPr>
                <w:rFonts w:hint="eastAsia" w:ascii="宋体" w:hAnsi="宋体" w:cs="宋体"/>
                <w:color w:val="000000"/>
                <w:szCs w:val="21"/>
              </w:rPr>
              <w:t>其他人员</w:t>
            </w:r>
          </w:p>
        </w:tc>
        <w:tc>
          <w:tcPr>
            <w:tcW w:w="627" w:type="pct"/>
            <w:noWrap w:val="0"/>
            <w:vAlign w:val="center"/>
          </w:tcPr>
          <w:p w14:paraId="4B09C892">
            <w:pPr>
              <w:keepNext/>
              <w:spacing w:line="360" w:lineRule="auto"/>
              <w:jc w:val="center"/>
              <w:rPr>
                <w:rFonts w:hint="eastAsia" w:ascii="宋体" w:hAnsi="宋体" w:cs="宋体"/>
                <w:color w:val="000000"/>
                <w:szCs w:val="21"/>
              </w:rPr>
            </w:pPr>
          </w:p>
        </w:tc>
        <w:tc>
          <w:tcPr>
            <w:tcW w:w="502" w:type="pct"/>
            <w:noWrap w:val="0"/>
            <w:vAlign w:val="center"/>
          </w:tcPr>
          <w:p w14:paraId="082418EC">
            <w:pPr>
              <w:keepNext/>
              <w:spacing w:line="360" w:lineRule="auto"/>
              <w:jc w:val="center"/>
              <w:rPr>
                <w:rFonts w:hint="eastAsia" w:ascii="宋体" w:hAnsi="宋体" w:cs="宋体"/>
                <w:color w:val="000000"/>
                <w:szCs w:val="21"/>
              </w:rPr>
            </w:pPr>
          </w:p>
        </w:tc>
        <w:tc>
          <w:tcPr>
            <w:tcW w:w="502" w:type="pct"/>
            <w:noWrap w:val="0"/>
            <w:vAlign w:val="center"/>
          </w:tcPr>
          <w:p w14:paraId="3024BA26">
            <w:pPr>
              <w:keepNext/>
              <w:spacing w:line="360" w:lineRule="auto"/>
              <w:jc w:val="center"/>
              <w:rPr>
                <w:rFonts w:hint="eastAsia" w:ascii="宋体" w:hAnsi="宋体" w:cs="宋体"/>
                <w:color w:val="000000"/>
                <w:szCs w:val="21"/>
              </w:rPr>
            </w:pPr>
          </w:p>
        </w:tc>
        <w:tc>
          <w:tcPr>
            <w:tcW w:w="1279" w:type="pct"/>
            <w:noWrap w:val="0"/>
            <w:vAlign w:val="center"/>
          </w:tcPr>
          <w:p w14:paraId="7A4E40E8">
            <w:pPr>
              <w:keepNext/>
              <w:spacing w:line="360" w:lineRule="auto"/>
              <w:jc w:val="center"/>
              <w:rPr>
                <w:rFonts w:hint="eastAsia" w:ascii="宋体" w:hAnsi="宋体" w:cs="宋体"/>
                <w:color w:val="000000"/>
                <w:szCs w:val="21"/>
              </w:rPr>
            </w:pPr>
          </w:p>
        </w:tc>
        <w:tc>
          <w:tcPr>
            <w:tcW w:w="1153" w:type="pct"/>
            <w:noWrap w:val="0"/>
            <w:vAlign w:val="top"/>
          </w:tcPr>
          <w:p w14:paraId="12F646D4">
            <w:pPr>
              <w:keepNext/>
              <w:spacing w:line="360" w:lineRule="auto"/>
              <w:jc w:val="center"/>
              <w:rPr>
                <w:rFonts w:hint="eastAsia" w:ascii="宋体" w:hAnsi="宋体" w:cs="宋体"/>
                <w:color w:val="000000"/>
                <w:szCs w:val="21"/>
              </w:rPr>
            </w:pPr>
          </w:p>
        </w:tc>
      </w:tr>
      <w:tr w14:paraId="2327C3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tcBorders>
              <w:top w:val="nil"/>
              <w:bottom w:val="nil"/>
            </w:tcBorders>
            <w:noWrap w:val="0"/>
            <w:vAlign w:val="center"/>
          </w:tcPr>
          <w:p w14:paraId="41597E10">
            <w:pPr>
              <w:spacing w:line="360" w:lineRule="auto"/>
              <w:jc w:val="center"/>
              <w:rPr>
                <w:rFonts w:hint="eastAsia" w:ascii="宋体" w:hAnsi="宋体" w:cs="宋体"/>
                <w:color w:val="000000"/>
                <w:szCs w:val="21"/>
              </w:rPr>
            </w:pPr>
          </w:p>
        </w:tc>
        <w:tc>
          <w:tcPr>
            <w:tcW w:w="627" w:type="pct"/>
            <w:noWrap w:val="0"/>
            <w:vAlign w:val="center"/>
          </w:tcPr>
          <w:p w14:paraId="5F932537">
            <w:pPr>
              <w:keepNext/>
              <w:spacing w:line="360" w:lineRule="auto"/>
              <w:jc w:val="center"/>
              <w:rPr>
                <w:rFonts w:hint="eastAsia" w:ascii="宋体" w:hAnsi="宋体" w:cs="宋体"/>
                <w:color w:val="000000"/>
                <w:szCs w:val="21"/>
              </w:rPr>
            </w:pPr>
          </w:p>
        </w:tc>
        <w:tc>
          <w:tcPr>
            <w:tcW w:w="502" w:type="pct"/>
            <w:noWrap w:val="0"/>
            <w:vAlign w:val="center"/>
          </w:tcPr>
          <w:p w14:paraId="1B567134">
            <w:pPr>
              <w:keepNext/>
              <w:spacing w:line="360" w:lineRule="auto"/>
              <w:jc w:val="center"/>
              <w:rPr>
                <w:rFonts w:hint="eastAsia" w:ascii="宋体" w:hAnsi="宋体" w:cs="宋体"/>
                <w:color w:val="000000"/>
                <w:szCs w:val="21"/>
              </w:rPr>
            </w:pPr>
          </w:p>
        </w:tc>
        <w:tc>
          <w:tcPr>
            <w:tcW w:w="502" w:type="pct"/>
            <w:noWrap w:val="0"/>
            <w:vAlign w:val="center"/>
          </w:tcPr>
          <w:p w14:paraId="2AB060D9">
            <w:pPr>
              <w:keepNext/>
              <w:spacing w:line="360" w:lineRule="auto"/>
              <w:jc w:val="center"/>
              <w:rPr>
                <w:rFonts w:hint="eastAsia" w:ascii="宋体" w:hAnsi="宋体" w:cs="宋体"/>
                <w:color w:val="000000"/>
                <w:szCs w:val="21"/>
              </w:rPr>
            </w:pPr>
          </w:p>
        </w:tc>
        <w:tc>
          <w:tcPr>
            <w:tcW w:w="1279" w:type="pct"/>
            <w:noWrap w:val="0"/>
            <w:vAlign w:val="center"/>
          </w:tcPr>
          <w:p w14:paraId="0B68D713">
            <w:pPr>
              <w:keepNext/>
              <w:spacing w:line="360" w:lineRule="auto"/>
              <w:jc w:val="center"/>
              <w:rPr>
                <w:rFonts w:hint="eastAsia" w:ascii="宋体" w:hAnsi="宋体" w:cs="宋体"/>
                <w:color w:val="000000"/>
                <w:szCs w:val="21"/>
              </w:rPr>
            </w:pPr>
          </w:p>
        </w:tc>
        <w:tc>
          <w:tcPr>
            <w:tcW w:w="1153" w:type="pct"/>
            <w:noWrap w:val="0"/>
            <w:vAlign w:val="top"/>
          </w:tcPr>
          <w:p w14:paraId="38AE0480">
            <w:pPr>
              <w:keepNext/>
              <w:spacing w:line="360" w:lineRule="auto"/>
              <w:jc w:val="center"/>
              <w:rPr>
                <w:rFonts w:hint="eastAsia" w:ascii="宋体" w:hAnsi="宋体" w:cs="宋体"/>
                <w:color w:val="000000"/>
                <w:szCs w:val="21"/>
              </w:rPr>
            </w:pPr>
          </w:p>
        </w:tc>
      </w:tr>
      <w:tr w14:paraId="4BE5C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3847" w:type="pct"/>
            <w:gridSpan w:val="5"/>
            <w:noWrap w:val="0"/>
            <w:vAlign w:val="center"/>
          </w:tcPr>
          <w:p w14:paraId="4E55DC9A">
            <w:pPr>
              <w:keepNext/>
              <w:spacing w:line="360" w:lineRule="auto"/>
              <w:jc w:val="center"/>
              <w:rPr>
                <w:rFonts w:hint="eastAsia" w:ascii="宋体" w:hAnsi="宋体" w:cs="宋体"/>
                <w:color w:val="000000"/>
                <w:szCs w:val="21"/>
              </w:rPr>
            </w:pPr>
            <w:r>
              <w:rPr>
                <w:rFonts w:hint="eastAsia" w:ascii="宋体" w:hAnsi="宋体" w:cs="宋体"/>
                <w:color w:val="000000"/>
                <w:szCs w:val="21"/>
              </w:rPr>
              <w:t>二、现场人员</w:t>
            </w:r>
          </w:p>
        </w:tc>
        <w:tc>
          <w:tcPr>
            <w:tcW w:w="1153" w:type="pct"/>
            <w:noWrap w:val="0"/>
            <w:vAlign w:val="top"/>
          </w:tcPr>
          <w:p w14:paraId="7A33A489">
            <w:pPr>
              <w:keepNext/>
              <w:spacing w:line="360" w:lineRule="auto"/>
              <w:jc w:val="center"/>
              <w:rPr>
                <w:rFonts w:hint="eastAsia" w:ascii="宋体" w:hAnsi="宋体" w:cs="宋体"/>
                <w:color w:val="000000"/>
                <w:szCs w:val="21"/>
              </w:rPr>
            </w:pPr>
          </w:p>
        </w:tc>
      </w:tr>
      <w:tr w14:paraId="04D86E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154D267D">
            <w:pPr>
              <w:spacing w:line="360" w:lineRule="auto"/>
              <w:jc w:val="center"/>
              <w:rPr>
                <w:rFonts w:hint="eastAsia" w:ascii="宋体" w:hAnsi="宋体" w:cs="宋体"/>
                <w:color w:val="000000"/>
                <w:szCs w:val="21"/>
              </w:rPr>
            </w:pPr>
            <w:r>
              <w:rPr>
                <w:rFonts w:hint="eastAsia" w:ascii="宋体" w:hAnsi="宋体" w:cs="宋体"/>
                <w:color w:val="000000"/>
                <w:szCs w:val="21"/>
              </w:rPr>
              <w:t>项目经理</w:t>
            </w:r>
          </w:p>
        </w:tc>
        <w:tc>
          <w:tcPr>
            <w:tcW w:w="627" w:type="pct"/>
            <w:noWrap w:val="0"/>
            <w:vAlign w:val="center"/>
          </w:tcPr>
          <w:p w14:paraId="219C31EE">
            <w:pPr>
              <w:keepNext/>
              <w:spacing w:line="360" w:lineRule="auto"/>
              <w:jc w:val="center"/>
              <w:rPr>
                <w:rFonts w:hint="eastAsia" w:ascii="宋体" w:hAnsi="宋体" w:cs="宋体"/>
                <w:color w:val="000000"/>
                <w:szCs w:val="21"/>
              </w:rPr>
            </w:pPr>
          </w:p>
        </w:tc>
        <w:tc>
          <w:tcPr>
            <w:tcW w:w="502" w:type="pct"/>
            <w:noWrap w:val="0"/>
            <w:vAlign w:val="center"/>
          </w:tcPr>
          <w:p w14:paraId="5CF212E6">
            <w:pPr>
              <w:keepNext/>
              <w:spacing w:line="360" w:lineRule="auto"/>
              <w:jc w:val="center"/>
              <w:rPr>
                <w:rFonts w:hint="eastAsia" w:ascii="宋体" w:hAnsi="宋体" w:cs="宋体"/>
                <w:color w:val="000000"/>
                <w:szCs w:val="21"/>
              </w:rPr>
            </w:pPr>
          </w:p>
        </w:tc>
        <w:tc>
          <w:tcPr>
            <w:tcW w:w="502" w:type="pct"/>
            <w:noWrap w:val="0"/>
            <w:vAlign w:val="center"/>
          </w:tcPr>
          <w:p w14:paraId="62E2D749">
            <w:pPr>
              <w:keepNext/>
              <w:spacing w:line="360" w:lineRule="auto"/>
              <w:jc w:val="center"/>
              <w:rPr>
                <w:rFonts w:hint="eastAsia" w:ascii="宋体" w:hAnsi="宋体" w:cs="宋体"/>
                <w:color w:val="000000"/>
                <w:szCs w:val="21"/>
              </w:rPr>
            </w:pPr>
          </w:p>
        </w:tc>
        <w:tc>
          <w:tcPr>
            <w:tcW w:w="1279" w:type="pct"/>
            <w:noWrap w:val="0"/>
            <w:vAlign w:val="center"/>
          </w:tcPr>
          <w:p w14:paraId="76B4CDBB">
            <w:pPr>
              <w:keepNext/>
              <w:spacing w:line="360" w:lineRule="auto"/>
              <w:jc w:val="center"/>
              <w:rPr>
                <w:rFonts w:hint="eastAsia" w:ascii="宋体" w:hAnsi="宋体" w:cs="宋体"/>
                <w:color w:val="000000"/>
                <w:szCs w:val="21"/>
              </w:rPr>
            </w:pPr>
          </w:p>
        </w:tc>
        <w:tc>
          <w:tcPr>
            <w:tcW w:w="1153" w:type="pct"/>
            <w:noWrap w:val="0"/>
            <w:vAlign w:val="top"/>
          </w:tcPr>
          <w:p w14:paraId="5B99ED2C">
            <w:pPr>
              <w:keepNext/>
              <w:spacing w:line="360" w:lineRule="auto"/>
              <w:jc w:val="center"/>
              <w:rPr>
                <w:rFonts w:hint="eastAsia" w:ascii="宋体" w:hAnsi="宋体" w:cs="宋体"/>
                <w:color w:val="000000"/>
                <w:szCs w:val="21"/>
              </w:rPr>
            </w:pPr>
          </w:p>
        </w:tc>
      </w:tr>
      <w:tr w14:paraId="4700F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08FAE9BA">
            <w:pPr>
              <w:spacing w:line="360" w:lineRule="auto"/>
              <w:jc w:val="center"/>
              <w:rPr>
                <w:rFonts w:hint="eastAsia" w:ascii="宋体" w:hAnsi="宋体" w:cs="宋体"/>
                <w:color w:val="000000"/>
                <w:szCs w:val="21"/>
              </w:rPr>
            </w:pPr>
            <w:r>
              <w:rPr>
                <w:rFonts w:hint="eastAsia" w:ascii="宋体" w:hAnsi="宋体" w:cs="宋体"/>
                <w:color w:val="000000"/>
                <w:szCs w:val="21"/>
              </w:rPr>
              <w:t>项目副经理</w:t>
            </w:r>
          </w:p>
        </w:tc>
        <w:tc>
          <w:tcPr>
            <w:tcW w:w="627" w:type="pct"/>
            <w:noWrap w:val="0"/>
            <w:vAlign w:val="center"/>
          </w:tcPr>
          <w:p w14:paraId="4714ADE7">
            <w:pPr>
              <w:keepNext/>
              <w:spacing w:line="360" w:lineRule="auto"/>
              <w:jc w:val="center"/>
              <w:rPr>
                <w:rFonts w:hint="eastAsia" w:ascii="宋体" w:hAnsi="宋体" w:cs="宋体"/>
                <w:color w:val="000000"/>
                <w:szCs w:val="21"/>
              </w:rPr>
            </w:pPr>
          </w:p>
        </w:tc>
        <w:tc>
          <w:tcPr>
            <w:tcW w:w="502" w:type="pct"/>
            <w:noWrap w:val="0"/>
            <w:vAlign w:val="center"/>
          </w:tcPr>
          <w:p w14:paraId="0D5976B9">
            <w:pPr>
              <w:keepNext/>
              <w:spacing w:line="360" w:lineRule="auto"/>
              <w:jc w:val="center"/>
              <w:rPr>
                <w:rFonts w:hint="eastAsia" w:ascii="宋体" w:hAnsi="宋体" w:cs="宋体"/>
                <w:color w:val="000000"/>
                <w:szCs w:val="21"/>
              </w:rPr>
            </w:pPr>
          </w:p>
        </w:tc>
        <w:tc>
          <w:tcPr>
            <w:tcW w:w="502" w:type="pct"/>
            <w:noWrap w:val="0"/>
            <w:vAlign w:val="center"/>
          </w:tcPr>
          <w:p w14:paraId="0D93F653">
            <w:pPr>
              <w:keepNext/>
              <w:spacing w:line="360" w:lineRule="auto"/>
              <w:jc w:val="center"/>
              <w:rPr>
                <w:rFonts w:hint="eastAsia" w:ascii="宋体" w:hAnsi="宋体" w:cs="宋体"/>
                <w:color w:val="000000"/>
                <w:szCs w:val="21"/>
              </w:rPr>
            </w:pPr>
          </w:p>
        </w:tc>
        <w:tc>
          <w:tcPr>
            <w:tcW w:w="1279" w:type="pct"/>
            <w:noWrap w:val="0"/>
            <w:vAlign w:val="center"/>
          </w:tcPr>
          <w:p w14:paraId="340FD879">
            <w:pPr>
              <w:keepNext/>
              <w:spacing w:line="360" w:lineRule="auto"/>
              <w:jc w:val="center"/>
              <w:rPr>
                <w:rFonts w:hint="eastAsia" w:ascii="宋体" w:hAnsi="宋体" w:cs="宋体"/>
                <w:color w:val="000000"/>
                <w:szCs w:val="21"/>
              </w:rPr>
            </w:pPr>
          </w:p>
        </w:tc>
        <w:tc>
          <w:tcPr>
            <w:tcW w:w="1153" w:type="pct"/>
            <w:noWrap w:val="0"/>
            <w:vAlign w:val="top"/>
          </w:tcPr>
          <w:p w14:paraId="72DB3008">
            <w:pPr>
              <w:keepNext/>
              <w:spacing w:line="360" w:lineRule="auto"/>
              <w:jc w:val="center"/>
              <w:rPr>
                <w:rFonts w:hint="eastAsia" w:ascii="宋体" w:hAnsi="宋体" w:cs="宋体"/>
                <w:color w:val="000000"/>
                <w:szCs w:val="21"/>
              </w:rPr>
            </w:pPr>
          </w:p>
        </w:tc>
      </w:tr>
      <w:tr w14:paraId="7DAEB3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674860D8">
            <w:pPr>
              <w:spacing w:line="360" w:lineRule="auto"/>
              <w:jc w:val="center"/>
              <w:rPr>
                <w:rFonts w:hint="eastAsia" w:ascii="宋体" w:hAnsi="宋体" w:cs="宋体"/>
                <w:color w:val="000000"/>
                <w:szCs w:val="21"/>
              </w:rPr>
            </w:pPr>
            <w:r>
              <w:rPr>
                <w:rFonts w:hint="eastAsia" w:ascii="宋体" w:hAnsi="宋体" w:cs="宋体"/>
                <w:color w:val="000000"/>
                <w:szCs w:val="21"/>
              </w:rPr>
              <w:t>项目技术负责人</w:t>
            </w:r>
          </w:p>
        </w:tc>
        <w:tc>
          <w:tcPr>
            <w:tcW w:w="627" w:type="pct"/>
            <w:noWrap w:val="0"/>
            <w:vAlign w:val="center"/>
          </w:tcPr>
          <w:p w14:paraId="28328C4C">
            <w:pPr>
              <w:keepNext/>
              <w:spacing w:line="360" w:lineRule="auto"/>
              <w:jc w:val="center"/>
              <w:rPr>
                <w:rFonts w:hint="eastAsia" w:ascii="宋体" w:hAnsi="宋体" w:cs="宋体"/>
                <w:color w:val="000000"/>
                <w:szCs w:val="21"/>
              </w:rPr>
            </w:pPr>
          </w:p>
        </w:tc>
        <w:tc>
          <w:tcPr>
            <w:tcW w:w="502" w:type="pct"/>
            <w:noWrap w:val="0"/>
            <w:vAlign w:val="center"/>
          </w:tcPr>
          <w:p w14:paraId="65B3CF88">
            <w:pPr>
              <w:keepNext/>
              <w:spacing w:line="360" w:lineRule="auto"/>
              <w:jc w:val="center"/>
              <w:rPr>
                <w:rFonts w:hint="eastAsia" w:ascii="宋体" w:hAnsi="宋体" w:cs="宋体"/>
                <w:color w:val="000000"/>
                <w:szCs w:val="21"/>
              </w:rPr>
            </w:pPr>
          </w:p>
        </w:tc>
        <w:tc>
          <w:tcPr>
            <w:tcW w:w="502" w:type="pct"/>
            <w:noWrap w:val="0"/>
            <w:vAlign w:val="center"/>
          </w:tcPr>
          <w:p w14:paraId="6E7CF116">
            <w:pPr>
              <w:keepNext/>
              <w:spacing w:line="360" w:lineRule="auto"/>
              <w:jc w:val="center"/>
              <w:rPr>
                <w:rFonts w:hint="eastAsia" w:ascii="宋体" w:hAnsi="宋体" w:cs="宋体"/>
                <w:color w:val="000000"/>
                <w:szCs w:val="21"/>
              </w:rPr>
            </w:pPr>
          </w:p>
        </w:tc>
        <w:tc>
          <w:tcPr>
            <w:tcW w:w="1279" w:type="pct"/>
            <w:noWrap w:val="0"/>
            <w:vAlign w:val="center"/>
          </w:tcPr>
          <w:p w14:paraId="42C208A9">
            <w:pPr>
              <w:keepNext/>
              <w:spacing w:line="360" w:lineRule="auto"/>
              <w:jc w:val="center"/>
              <w:rPr>
                <w:rFonts w:hint="eastAsia" w:ascii="宋体" w:hAnsi="宋体" w:cs="宋体"/>
                <w:color w:val="000000"/>
                <w:szCs w:val="21"/>
              </w:rPr>
            </w:pPr>
          </w:p>
        </w:tc>
        <w:tc>
          <w:tcPr>
            <w:tcW w:w="1153" w:type="pct"/>
            <w:noWrap w:val="0"/>
            <w:vAlign w:val="top"/>
          </w:tcPr>
          <w:p w14:paraId="05E647ED">
            <w:pPr>
              <w:keepNext/>
              <w:spacing w:line="360" w:lineRule="auto"/>
              <w:jc w:val="center"/>
              <w:rPr>
                <w:rFonts w:hint="eastAsia" w:ascii="宋体" w:hAnsi="宋体" w:cs="宋体"/>
                <w:color w:val="000000"/>
                <w:szCs w:val="21"/>
              </w:rPr>
            </w:pPr>
          </w:p>
        </w:tc>
      </w:tr>
      <w:tr w14:paraId="2CCD57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0A9F6F5B">
            <w:pPr>
              <w:spacing w:line="360" w:lineRule="auto"/>
              <w:jc w:val="center"/>
              <w:rPr>
                <w:rFonts w:hint="eastAsia" w:ascii="宋体" w:hAnsi="宋体" w:cs="宋体"/>
                <w:color w:val="000000"/>
                <w:szCs w:val="21"/>
              </w:rPr>
            </w:pPr>
            <w:r>
              <w:rPr>
                <w:rFonts w:hint="eastAsia" w:ascii="宋体" w:hAnsi="宋体" w:cs="宋体"/>
                <w:color w:val="000000"/>
                <w:szCs w:val="21"/>
              </w:rPr>
              <w:t>施工员</w:t>
            </w:r>
          </w:p>
        </w:tc>
        <w:tc>
          <w:tcPr>
            <w:tcW w:w="627" w:type="pct"/>
            <w:noWrap w:val="0"/>
            <w:vAlign w:val="center"/>
          </w:tcPr>
          <w:p w14:paraId="1300ADCA">
            <w:pPr>
              <w:keepNext/>
              <w:spacing w:line="360" w:lineRule="auto"/>
              <w:jc w:val="center"/>
              <w:rPr>
                <w:rFonts w:hint="eastAsia" w:ascii="宋体" w:hAnsi="宋体" w:cs="宋体"/>
                <w:color w:val="000000"/>
                <w:szCs w:val="21"/>
              </w:rPr>
            </w:pPr>
          </w:p>
        </w:tc>
        <w:tc>
          <w:tcPr>
            <w:tcW w:w="502" w:type="pct"/>
            <w:noWrap w:val="0"/>
            <w:vAlign w:val="center"/>
          </w:tcPr>
          <w:p w14:paraId="6A76131E">
            <w:pPr>
              <w:keepNext/>
              <w:spacing w:line="360" w:lineRule="auto"/>
              <w:jc w:val="center"/>
              <w:rPr>
                <w:rFonts w:hint="eastAsia" w:ascii="宋体" w:hAnsi="宋体" w:cs="宋体"/>
                <w:color w:val="000000"/>
                <w:szCs w:val="21"/>
              </w:rPr>
            </w:pPr>
          </w:p>
        </w:tc>
        <w:tc>
          <w:tcPr>
            <w:tcW w:w="502" w:type="pct"/>
            <w:noWrap w:val="0"/>
            <w:vAlign w:val="center"/>
          </w:tcPr>
          <w:p w14:paraId="4CB6D67F">
            <w:pPr>
              <w:keepNext/>
              <w:spacing w:line="360" w:lineRule="auto"/>
              <w:jc w:val="center"/>
              <w:rPr>
                <w:rFonts w:hint="eastAsia" w:ascii="宋体" w:hAnsi="宋体" w:cs="宋体"/>
                <w:color w:val="000000"/>
                <w:szCs w:val="21"/>
              </w:rPr>
            </w:pPr>
          </w:p>
        </w:tc>
        <w:tc>
          <w:tcPr>
            <w:tcW w:w="1279" w:type="pct"/>
            <w:noWrap w:val="0"/>
            <w:vAlign w:val="center"/>
          </w:tcPr>
          <w:p w14:paraId="4CEE8692">
            <w:pPr>
              <w:keepNext/>
              <w:spacing w:line="360" w:lineRule="auto"/>
              <w:jc w:val="center"/>
              <w:rPr>
                <w:rFonts w:hint="eastAsia" w:ascii="宋体" w:hAnsi="宋体" w:cs="宋体"/>
                <w:color w:val="000000"/>
                <w:szCs w:val="21"/>
              </w:rPr>
            </w:pPr>
          </w:p>
        </w:tc>
        <w:tc>
          <w:tcPr>
            <w:tcW w:w="1153" w:type="pct"/>
            <w:noWrap w:val="0"/>
            <w:vAlign w:val="top"/>
          </w:tcPr>
          <w:p w14:paraId="22BB565C">
            <w:pPr>
              <w:keepNext/>
              <w:spacing w:line="360" w:lineRule="auto"/>
              <w:jc w:val="center"/>
              <w:rPr>
                <w:rFonts w:hint="eastAsia" w:ascii="宋体" w:hAnsi="宋体" w:cs="宋体"/>
                <w:color w:val="000000"/>
                <w:szCs w:val="21"/>
              </w:rPr>
            </w:pPr>
          </w:p>
        </w:tc>
      </w:tr>
      <w:tr w14:paraId="3DCE8C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021D531B">
            <w:pPr>
              <w:spacing w:line="360" w:lineRule="auto"/>
              <w:jc w:val="center"/>
              <w:rPr>
                <w:rFonts w:hint="eastAsia" w:ascii="宋体" w:hAnsi="宋体" w:cs="宋体"/>
                <w:color w:val="000000"/>
                <w:szCs w:val="21"/>
              </w:rPr>
            </w:pPr>
            <w:r>
              <w:rPr>
                <w:rFonts w:hint="eastAsia" w:ascii="宋体" w:hAnsi="宋体" w:cs="宋体"/>
                <w:color w:val="000000"/>
                <w:szCs w:val="21"/>
              </w:rPr>
              <w:t>质检员（质量员）</w:t>
            </w:r>
          </w:p>
        </w:tc>
        <w:tc>
          <w:tcPr>
            <w:tcW w:w="627" w:type="pct"/>
            <w:noWrap w:val="0"/>
            <w:vAlign w:val="center"/>
          </w:tcPr>
          <w:p w14:paraId="7D5DA808">
            <w:pPr>
              <w:keepNext/>
              <w:spacing w:line="360" w:lineRule="auto"/>
              <w:jc w:val="center"/>
              <w:rPr>
                <w:rFonts w:hint="eastAsia" w:ascii="宋体" w:hAnsi="宋体" w:cs="宋体"/>
                <w:color w:val="000000"/>
                <w:szCs w:val="21"/>
              </w:rPr>
            </w:pPr>
          </w:p>
        </w:tc>
        <w:tc>
          <w:tcPr>
            <w:tcW w:w="502" w:type="pct"/>
            <w:noWrap w:val="0"/>
            <w:vAlign w:val="center"/>
          </w:tcPr>
          <w:p w14:paraId="75A21267">
            <w:pPr>
              <w:keepNext/>
              <w:spacing w:line="360" w:lineRule="auto"/>
              <w:jc w:val="center"/>
              <w:rPr>
                <w:rFonts w:hint="eastAsia" w:ascii="宋体" w:hAnsi="宋体" w:cs="宋体"/>
                <w:color w:val="000000"/>
                <w:szCs w:val="21"/>
              </w:rPr>
            </w:pPr>
          </w:p>
        </w:tc>
        <w:tc>
          <w:tcPr>
            <w:tcW w:w="502" w:type="pct"/>
            <w:noWrap w:val="0"/>
            <w:vAlign w:val="center"/>
          </w:tcPr>
          <w:p w14:paraId="797DDE39">
            <w:pPr>
              <w:keepNext/>
              <w:spacing w:line="360" w:lineRule="auto"/>
              <w:jc w:val="center"/>
              <w:rPr>
                <w:rFonts w:hint="eastAsia" w:ascii="宋体" w:hAnsi="宋体" w:cs="宋体"/>
                <w:color w:val="000000"/>
                <w:szCs w:val="21"/>
              </w:rPr>
            </w:pPr>
          </w:p>
        </w:tc>
        <w:tc>
          <w:tcPr>
            <w:tcW w:w="1279" w:type="pct"/>
            <w:noWrap w:val="0"/>
            <w:vAlign w:val="center"/>
          </w:tcPr>
          <w:p w14:paraId="76B09736">
            <w:pPr>
              <w:keepNext/>
              <w:spacing w:line="360" w:lineRule="auto"/>
              <w:jc w:val="center"/>
              <w:rPr>
                <w:rFonts w:hint="eastAsia" w:ascii="宋体" w:hAnsi="宋体" w:cs="宋体"/>
                <w:color w:val="000000"/>
                <w:szCs w:val="21"/>
              </w:rPr>
            </w:pPr>
          </w:p>
        </w:tc>
        <w:tc>
          <w:tcPr>
            <w:tcW w:w="1153" w:type="pct"/>
            <w:noWrap w:val="0"/>
            <w:vAlign w:val="top"/>
          </w:tcPr>
          <w:p w14:paraId="267E2735">
            <w:pPr>
              <w:keepNext/>
              <w:spacing w:line="360" w:lineRule="auto"/>
              <w:jc w:val="center"/>
              <w:rPr>
                <w:rFonts w:hint="eastAsia" w:ascii="宋体" w:hAnsi="宋体" w:cs="宋体"/>
                <w:color w:val="000000"/>
                <w:szCs w:val="21"/>
              </w:rPr>
            </w:pPr>
          </w:p>
        </w:tc>
      </w:tr>
      <w:tr w14:paraId="39E3A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780611D5">
            <w:pPr>
              <w:spacing w:line="360" w:lineRule="auto"/>
              <w:jc w:val="center"/>
              <w:rPr>
                <w:rFonts w:hint="eastAsia" w:ascii="宋体" w:hAnsi="宋体" w:cs="宋体"/>
                <w:color w:val="000000"/>
                <w:szCs w:val="21"/>
              </w:rPr>
            </w:pPr>
            <w:r>
              <w:rPr>
                <w:rFonts w:hint="eastAsia" w:ascii="宋体" w:hAnsi="宋体" w:cs="宋体"/>
                <w:color w:val="000000"/>
                <w:szCs w:val="21"/>
              </w:rPr>
              <w:t>安全员</w:t>
            </w:r>
          </w:p>
        </w:tc>
        <w:tc>
          <w:tcPr>
            <w:tcW w:w="627" w:type="pct"/>
            <w:noWrap w:val="0"/>
            <w:vAlign w:val="center"/>
          </w:tcPr>
          <w:p w14:paraId="18B1CF3B">
            <w:pPr>
              <w:keepNext/>
              <w:spacing w:line="360" w:lineRule="auto"/>
              <w:jc w:val="center"/>
              <w:rPr>
                <w:rFonts w:hint="eastAsia" w:ascii="宋体" w:hAnsi="宋体" w:cs="宋体"/>
                <w:color w:val="000000"/>
                <w:szCs w:val="21"/>
              </w:rPr>
            </w:pPr>
          </w:p>
        </w:tc>
        <w:tc>
          <w:tcPr>
            <w:tcW w:w="502" w:type="pct"/>
            <w:noWrap w:val="0"/>
            <w:vAlign w:val="center"/>
          </w:tcPr>
          <w:p w14:paraId="7B858D43">
            <w:pPr>
              <w:keepNext/>
              <w:spacing w:line="360" w:lineRule="auto"/>
              <w:jc w:val="center"/>
              <w:rPr>
                <w:rFonts w:hint="eastAsia" w:ascii="宋体" w:hAnsi="宋体" w:cs="宋体"/>
                <w:color w:val="000000"/>
                <w:szCs w:val="21"/>
              </w:rPr>
            </w:pPr>
          </w:p>
        </w:tc>
        <w:tc>
          <w:tcPr>
            <w:tcW w:w="502" w:type="pct"/>
            <w:noWrap w:val="0"/>
            <w:vAlign w:val="center"/>
          </w:tcPr>
          <w:p w14:paraId="0FA098B1">
            <w:pPr>
              <w:keepNext/>
              <w:spacing w:line="360" w:lineRule="auto"/>
              <w:jc w:val="center"/>
              <w:rPr>
                <w:rFonts w:hint="eastAsia" w:ascii="宋体" w:hAnsi="宋体" w:cs="宋体"/>
                <w:color w:val="000000"/>
                <w:szCs w:val="21"/>
              </w:rPr>
            </w:pPr>
          </w:p>
        </w:tc>
        <w:tc>
          <w:tcPr>
            <w:tcW w:w="1279" w:type="pct"/>
            <w:noWrap w:val="0"/>
            <w:vAlign w:val="center"/>
          </w:tcPr>
          <w:p w14:paraId="2B971FE1">
            <w:pPr>
              <w:keepNext/>
              <w:spacing w:line="360" w:lineRule="auto"/>
              <w:jc w:val="center"/>
              <w:rPr>
                <w:rFonts w:hint="eastAsia" w:ascii="宋体" w:hAnsi="宋体" w:cs="宋体"/>
                <w:color w:val="000000"/>
                <w:szCs w:val="21"/>
              </w:rPr>
            </w:pPr>
          </w:p>
        </w:tc>
        <w:tc>
          <w:tcPr>
            <w:tcW w:w="1153" w:type="pct"/>
            <w:noWrap w:val="0"/>
            <w:vAlign w:val="top"/>
          </w:tcPr>
          <w:p w14:paraId="0109F7C0">
            <w:pPr>
              <w:keepNext/>
              <w:spacing w:line="360" w:lineRule="auto"/>
              <w:jc w:val="center"/>
              <w:rPr>
                <w:rFonts w:hint="eastAsia" w:ascii="宋体" w:hAnsi="宋体" w:cs="宋体"/>
                <w:color w:val="000000"/>
                <w:szCs w:val="21"/>
              </w:rPr>
            </w:pPr>
          </w:p>
        </w:tc>
      </w:tr>
      <w:tr w14:paraId="46EC2F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noWrap w:val="0"/>
            <w:vAlign w:val="center"/>
          </w:tcPr>
          <w:p w14:paraId="73D69653">
            <w:pPr>
              <w:spacing w:line="360" w:lineRule="auto"/>
              <w:jc w:val="center"/>
              <w:rPr>
                <w:rFonts w:hint="eastAsia" w:ascii="宋体" w:hAnsi="宋体" w:cs="宋体"/>
                <w:color w:val="000000"/>
                <w:szCs w:val="21"/>
              </w:rPr>
            </w:pPr>
            <w:r>
              <w:rPr>
                <w:rFonts w:hint="eastAsia" w:ascii="宋体" w:hAnsi="宋体" w:cs="宋体"/>
                <w:color w:val="000000"/>
                <w:szCs w:val="21"/>
              </w:rPr>
              <w:t>资料员</w:t>
            </w:r>
          </w:p>
        </w:tc>
        <w:tc>
          <w:tcPr>
            <w:tcW w:w="627" w:type="pct"/>
            <w:noWrap w:val="0"/>
            <w:vAlign w:val="center"/>
          </w:tcPr>
          <w:p w14:paraId="3E2A4A5F">
            <w:pPr>
              <w:keepNext/>
              <w:spacing w:line="360" w:lineRule="auto"/>
              <w:jc w:val="center"/>
              <w:rPr>
                <w:rFonts w:hint="eastAsia" w:ascii="宋体" w:hAnsi="宋体" w:cs="宋体"/>
                <w:color w:val="000000"/>
                <w:szCs w:val="21"/>
              </w:rPr>
            </w:pPr>
          </w:p>
        </w:tc>
        <w:tc>
          <w:tcPr>
            <w:tcW w:w="502" w:type="pct"/>
            <w:noWrap w:val="0"/>
            <w:vAlign w:val="center"/>
          </w:tcPr>
          <w:p w14:paraId="768EB56E">
            <w:pPr>
              <w:keepNext/>
              <w:spacing w:line="360" w:lineRule="auto"/>
              <w:jc w:val="center"/>
              <w:rPr>
                <w:rFonts w:hint="eastAsia" w:ascii="宋体" w:hAnsi="宋体" w:cs="宋体"/>
                <w:color w:val="000000"/>
                <w:szCs w:val="21"/>
              </w:rPr>
            </w:pPr>
          </w:p>
        </w:tc>
        <w:tc>
          <w:tcPr>
            <w:tcW w:w="502" w:type="pct"/>
            <w:noWrap w:val="0"/>
            <w:vAlign w:val="center"/>
          </w:tcPr>
          <w:p w14:paraId="1FDE5267">
            <w:pPr>
              <w:keepNext/>
              <w:spacing w:line="360" w:lineRule="auto"/>
              <w:jc w:val="center"/>
              <w:rPr>
                <w:rFonts w:hint="eastAsia" w:ascii="宋体" w:hAnsi="宋体" w:cs="宋体"/>
                <w:color w:val="000000"/>
                <w:szCs w:val="21"/>
              </w:rPr>
            </w:pPr>
          </w:p>
        </w:tc>
        <w:tc>
          <w:tcPr>
            <w:tcW w:w="1279" w:type="pct"/>
            <w:noWrap w:val="0"/>
            <w:vAlign w:val="center"/>
          </w:tcPr>
          <w:p w14:paraId="363546EF">
            <w:pPr>
              <w:keepNext/>
              <w:spacing w:line="360" w:lineRule="auto"/>
              <w:jc w:val="center"/>
              <w:rPr>
                <w:rFonts w:hint="eastAsia" w:ascii="宋体" w:hAnsi="宋体" w:cs="宋体"/>
                <w:color w:val="000000"/>
                <w:szCs w:val="21"/>
              </w:rPr>
            </w:pPr>
          </w:p>
        </w:tc>
        <w:tc>
          <w:tcPr>
            <w:tcW w:w="1153" w:type="pct"/>
            <w:noWrap w:val="0"/>
            <w:vAlign w:val="top"/>
          </w:tcPr>
          <w:p w14:paraId="3BDAD3A1">
            <w:pPr>
              <w:keepNext/>
              <w:spacing w:line="360" w:lineRule="auto"/>
              <w:jc w:val="center"/>
              <w:rPr>
                <w:rFonts w:hint="eastAsia" w:ascii="宋体" w:hAnsi="宋体" w:cs="宋体"/>
                <w:color w:val="000000"/>
                <w:szCs w:val="21"/>
              </w:rPr>
            </w:pPr>
          </w:p>
        </w:tc>
      </w:tr>
      <w:tr w14:paraId="0B1A8A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restart"/>
            <w:noWrap w:val="0"/>
            <w:vAlign w:val="center"/>
          </w:tcPr>
          <w:p w14:paraId="467E9D31">
            <w:pPr>
              <w:spacing w:line="360" w:lineRule="auto"/>
              <w:jc w:val="center"/>
              <w:rPr>
                <w:rFonts w:hint="eastAsia" w:ascii="宋体" w:hAnsi="宋体" w:cs="宋体"/>
                <w:color w:val="000000"/>
                <w:szCs w:val="21"/>
              </w:rPr>
            </w:pPr>
            <w:r>
              <w:rPr>
                <w:rFonts w:hint="eastAsia" w:ascii="宋体" w:hAnsi="宋体" w:cs="宋体"/>
                <w:color w:val="000000"/>
                <w:szCs w:val="21"/>
              </w:rPr>
              <w:t>其他人员</w:t>
            </w:r>
          </w:p>
        </w:tc>
        <w:tc>
          <w:tcPr>
            <w:tcW w:w="627" w:type="pct"/>
            <w:noWrap w:val="0"/>
            <w:vAlign w:val="center"/>
          </w:tcPr>
          <w:p w14:paraId="78F38699">
            <w:pPr>
              <w:keepNext/>
              <w:spacing w:line="360" w:lineRule="auto"/>
              <w:jc w:val="center"/>
              <w:rPr>
                <w:rFonts w:hint="eastAsia" w:ascii="宋体" w:hAnsi="宋体" w:cs="宋体"/>
                <w:color w:val="000000"/>
                <w:szCs w:val="21"/>
              </w:rPr>
            </w:pPr>
          </w:p>
        </w:tc>
        <w:tc>
          <w:tcPr>
            <w:tcW w:w="502" w:type="pct"/>
            <w:noWrap w:val="0"/>
            <w:vAlign w:val="center"/>
          </w:tcPr>
          <w:p w14:paraId="28A343D2">
            <w:pPr>
              <w:keepNext/>
              <w:spacing w:line="360" w:lineRule="auto"/>
              <w:jc w:val="center"/>
              <w:rPr>
                <w:rFonts w:hint="eastAsia" w:ascii="宋体" w:hAnsi="宋体" w:cs="宋体"/>
                <w:color w:val="000000"/>
                <w:szCs w:val="21"/>
              </w:rPr>
            </w:pPr>
          </w:p>
        </w:tc>
        <w:tc>
          <w:tcPr>
            <w:tcW w:w="502" w:type="pct"/>
            <w:noWrap w:val="0"/>
            <w:vAlign w:val="center"/>
          </w:tcPr>
          <w:p w14:paraId="6B66FC4E">
            <w:pPr>
              <w:keepNext/>
              <w:spacing w:line="360" w:lineRule="auto"/>
              <w:jc w:val="center"/>
              <w:rPr>
                <w:rFonts w:hint="eastAsia" w:ascii="宋体" w:hAnsi="宋体" w:cs="宋体"/>
                <w:color w:val="000000"/>
                <w:szCs w:val="21"/>
              </w:rPr>
            </w:pPr>
          </w:p>
        </w:tc>
        <w:tc>
          <w:tcPr>
            <w:tcW w:w="1279" w:type="pct"/>
            <w:noWrap w:val="0"/>
            <w:vAlign w:val="center"/>
          </w:tcPr>
          <w:p w14:paraId="528C6441">
            <w:pPr>
              <w:keepNext/>
              <w:spacing w:line="360" w:lineRule="auto"/>
              <w:jc w:val="center"/>
              <w:rPr>
                <w:rFonts w:hint="eastAsia" w:ascii="宋体" w:hAnsi="宋体" w:cs="宋体"/>
                <w:color w:val="000000"/>
                <w:szCs w:val="21"/>
              </w:rPr>
            </w:pPr>
          </w:p>
        </w:tc>
        <w:tc>
          <w:tcPr>
            <w:tcW w:w="1153" w:type="pct"/>
            <w:noWrap w:val="0"/>
            <w:vAlign w:val="top"/>
          </w:tcPr>
          <w:p w14:paraId="320AAD68">
            <w:pPr>
              <w:keepNext/>
              <w:spacing w:line="360" w:lineRule="auto"/>
              <w:jc w:val="center"/>
              <w:rPr>
                <w:rFonts w:hint="eastAsia" w:ascii="宋体" w:hAnsi="宋体" w:cs="宋体"/>
                <w:color w:val="000000"/>
                <w:szCs w:val="21"/>
              </w:rPr>
            </w:pPr>
          </w:p>
        </w:tc>
      </w:tr>
      <w:tr w14:paraId="3D7B9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23B9A92B">
            <w:pPr>
              <w:keepNext/>
              <w:spacing w:line="360" w:lineRule="auto"/>
              <w:jc w:val="center"/>
              <w:rPr>
                <w:rFonts w:hint="eastAsia" w:ascii="宋体" w:hAnsi="宋体" w:cs="宋体"/>
                <w:color w:val="000000"/>
                <w:szCs w:val="21"/>
              </w:rPr>
            </w:pPr>
          </w:p>
        </w:tc>
        <w:tc>
          <w:tcPr>
            <w:tcW w:w="627" w:type="pct"/>
            <w:tcBorders>
              <w:bottom w:val="nil"/>
            </w:tcBorders>
            <w:noWrap w:val="0"/>
            <w:vAlign w:val="center"/>
          </w:tcPr>
          <w:p w14:paraId="7C57A15A">
            <w:pPr>
              <w:keepNext/>
              <w:spacing w:line="360" w:lineRule="auto"/>
              <w:jc w:val="center"/>
              <w:rPr>
                <w:rFonts w:hint="eastAsia" w:ascii="宋体" w:hAnsi="宋体" w:cs="宋体"/>
                <w:color w:val="000000"/>
                <w:szCs w:val="21"/>
              </w:rPr>
            </w:pPr>
          </w:p>
        </w:tc>
        <w:tc>
          <w:tcPr>
            <w:tcW w:w="502" w:type="pct"/>
            <w:tcBorders>
              <w:bottom w:val="nil"/>
            </w:tcBorders>
            <w:noWrap w:val="0"/>
            <w:vAlign w:val="center"/>
          </w:tcPr>
          <w:p w14:paraId="04D2BBF8">
            <w:pPr>
              <w:keepNext/>
              <w:spacing w:line="360" w:lineRule="auto"/>
              <w:jc w:val="center"/>
              <w:rPr>
                <w:rFonts w:hint="eastAsia" w:ascii="宋体" w:hAnsi="宋体" w:cs="宋体"/>
                <w:color w:val="000000"/>
                <w:szCs w:val="21"/>
              </w:rPr>
            </w:pPr>
          </w:p>
        </w:tc>
        <w:tc>
          <w:tcPr>
            <w:tcW w:w="502" w:type="pct"/>
            <w:tcBorders>
              <w:bottom w:val="nil"/>
            </w:tcBorders>
            <w:noWrap w:val="0"/>
            <w:vAlign w:val="center"/>
          </w:tcPr>
          <w:p w14:paraId="6C80CAE0">
            <w:pPr>
              <w:keepNext/>
              <w:spacing w:line="360" w:lineRule="auto"/>
              <w:jc w:val="center"/>
              <w:rPr>
                <w:rFonts w:hint="eastAsia" w:ascii="宋体" w:hAnsi="宋体" w:cs="宋体"/>
                <w:color w:val="000000"/>
                <w:szCs w:val="21"/>
              </w:rPr>
            </w:pPr>
          </w:p>
        </w:tc>
        <w:tc>
          <w:tcPr>
            <w:tcW w:w="1279" w:type="pct"/>
            <w:tcBorders>
              <w:bottom w:val="nil"/>
            </w:tcBorders>
            <w:noWrap w:val="0"/>
            <w:vAlign w:val="center"/>
          </w:tcPr>
          <w:p w14:paraId="218A2665">
            <w:pPr>
              <w:keepNext/>
              <w:spacing w:line="360" w:lineRule="auto"/>
              <w:jc w:val="center"/>
              <w:rPr>
                <w:rFonts w:hint="eastAsia" w:ascii="宋体" w:hAnsi="宋体" w:cs="宋体"/>
                <w:color w:val="000000"/>
                <w:szCs w:val="21"/>
              </w:rPr>
            </w:pPr>
          </w:p>
        </w:tc>
        <w:tc>
          <w:tcPr>
            <w:tcW w:w="1153" w:type="pct"/>
            <w:tcBorders>
              <w:bottom w:val="nil"/>
            </w:tcBorders>
            <w:noWrap w:val="0"/>
            <w:vAlign w:val="top"/>
          </w:tcPr>
          <w:p w14:paraId="6FFE7FAE">
            <w:pPr>
              <w:keepNext/>
              <w:spacing w:line="360" w:lineRule="auto"/>
              <w:jc w:val="center"/>
              <w:rPr>
                <w:rFonts w:hint="eastAsia" w:ascii="宋体" w:hAnsi="宋体" w:cs="宋体"/>
                <w:color w:val="000000"/>
                <w:szCs w:val="21"/>
              </w:rPr>
            </w:pPr>
          </w:p>
        </w:tc>
      </w:tr>
      <w:tr w14:paraId="250BA1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3A1B82DF">
            <w:pPr>
              <w:keepNext/>
              <w:spacing w:line="360" w:lineRule="auto"/>
              <w:jc w:val="center"/>
              <w:rPr>
                <w:rFonts w:hint="eastAsia" w:ascii="宋体" w:hAnsi="宋体" w:cs="宋体"/>
                <w:color w:val="000000"/>
                <w:szCs w:val="21"/>
              </w:rPr>
            </w:pPr>
          </w:p>
        </w:tc>
        <w:tc>
          <w:tcPr>
            <w:tcW w:w="627" w:type="pct"/>
            <w:noWrap w:val="0"/>
            <w:vAlign w:val="center"/>
          </w:tcPr>
          <w:p w14:paraId="3AC8BC2F">
            <w:pPr>
              <w:keepNext/>
              <w:spacing w:line="360" w:lineRule="auto"/>
              <w:jc w:val="center"/>
              <w:rPr>
                <w:rFonts w:hint="eastAsia" w:ascii="宋体" w:hAnsi="宋体" w:cs="宋体"/>
                <w:color w:val="000000"/>
                <w:szCs w:val="21"/>
              </w:rPr>
            </w:pPr>
          </w:p>
        </w:tc>
        <w:tc>
          <w:tcPr>
            <w:tcW w:w="502" w:type="pct"/>
            <w:noWrap w:val="0"/>
            <w:vAlign w:val="center"/>
          </w:tcPr>
          <w:p w14:paraId="02796CF8">
            <w:pPr>
              <w:keepNext/>
              <w:spacing w:line="360" w:lineRule="auto"/>
              <w:jc w:val="center"/>
              <w:rPr>
                <w:rFonts w:hint="eastAsia" w:ascii="宋体" w:hAnsi="宋体" w:cs="宋体"/>
                <w:color w:val="000000"/>
                <w:szCs w:val="21"/>
              </w:rPr>
            </w:pPr>
          </w:p>
        </w:tc>
        <w:tc>
          <w:tcPr>
            <w:tcW w:w="502" w:type="pct"/>
            <w:noWrap w:val="0"/>
            <w:vAlign w:val="center"/>
          </w:tcPr>
          <w:p w14:paraId="1A1CF63C">
            <w:pPr>
              <w:keepNext/>
              <w:spacing w:line="360" w:lineRule="auto"/>
              <w:jc w:val="center"/>
              <w:rPr>
                <w:rFonts w:hint="eastAsia" w:ascii="宋体" w:hAnsi="宋体" w:cs="宋体"/>
                <w:color w:val="000000"/>
                <w:szCs w:val="21"/>
              </w:rPr>
            </w:pPr>
          </w:p>
        </w:tc>
        <w:tc>
          <w:tcPr>
            <w:tcW w:w="1279" w:type="pct"/>
            <w:noWrap w:val="0"/>
            <w:vAlign w:val="center"/>
          </w:tcPr>
          <w:p w14:paraId="3EE936B3">
            <w:pPr>
              <w:keepNext/>
              <w:spacing w:line="360" w:lineRule="auto"/>
              <w:jc w:val="center"/>
              <w:rPr>
                <w:rFonts w:hint="eastAsia" w:ascii="宋体" w:hAnsi="宋体" w:cs="宋体"/>
                <w:color w:val="000000"/>
                <w:szCs w:val="21"/>
              </w:rPr>
            </w:pPr>
          </w:p>
        </w:tc>
        <w:tc>
          <w:tcPr>
            <w:tcW w:w="1153" w:type="pct"/>
            <w:noWrap w:val="0"/>
            <w:vAlign w:val="top"/>
          </w:tcPr>
          <w:p w14:paraId="6C7A8114">
            <w:pPr>
              <w:keepNext/>
              <w:spacing w:line="360" w:lineRule="auto"/>
              <w:jc w:val="center"/>
              <w:rPr>
                <w:rFonts w:hint="eastAsia" w:ascii="宋体" w:hAnsi="宋体" w:cs="宋体"/>
                <w:color w:val="000000"/>
                <w:szCs w:val="21"/>
              </w:rPr>
            </w:pPr>
          </w:p>
        </w:tc>
      </w:tr>
      <w:tr w14:paraId="3AF626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42FEF589">
            <w:pPr>
              <w:keepNext/>
              <w:spacing w:line="360" w:lineRule="auto"/>
              <w:jc w:val="center"/>
              <w:rPr>
                <w:rFonts w:hint="eastAsia" w:ascii="宋体" w:hAnsi="宋体" w:cs="宋体"/>
                <w:color w:val="000000"/>
                <w:szCs w:val="21"/>
              </w:rPr>
            </w:pPr>
          </w:p>
        </w:tc>
        <w:tc>
          <w:tcPr>
            <w:tcW w:w="627" w:type="pct"/>
            <w:noWrap w:val="0"/>
            <w:vAlign w:val="center"/>
          </w:tcPr>
          <w:p w14:paraId="2563C757">
            <w:pPr>
              <w:keepNext/>
              <w:spacing w:line="360" w:lineRule="auto"/>
              <w:jc w:val="center"/>
              <w:rPr>
                <w:rFonts w:hint="eastAsia" w:ascii="宋体" w:hAnsi="宋体" w:cs="宋体"/>
                <w:color w:val="000000"/>
                <w:szCs w:val="21"/>
              </w:rPr>
            </w:pPr>
          </w:p>
        </w:tc>
        <w:tc>
          <w:tcPr>
            <w:tcW w:w="502" w:type="pct"/>
            <w:noWrap w:val="0"/>
            <w:vAlign w:val="center"/>
          </w:tcPr>
          <w:p w14:paraId="5E0EFFB0">
            <w:pPr>
              <w:keepNext/>
              <w:spacing w:line="360" w:lineRule="auto"/>
              <w:jc w:val="center"/>
              <w:rPr>
                <w:rFonts w:hint="eastAsia" w:ascii="宋体" w:hAnsi="宋体" w:cs="宋体"/>
                <w:color w:val="000000"/>
                <w:szCs w:val="21"/>
              </w:rPr>
            </w:pPr>
          </w:p>
        </w:tc>
        <w:tc>
          <w:tcPr>
            <w:tcW w:w="502" w:type="pct"/>
            <w:noWrap w:val="0"/>
            <w:vAlign w:val="center"/>
          </w:tcPr>
          <w:p w14:paraId="590DA1A1">
            <w:pPr>
              <w:keepNext/>
              <w:spacing w:line="360" w:lineRule="auto"/>
              <w:jc w:val="center"/>
              <w:rPr>
                <w:rFonts w:hint="eastAsia" w:ascii="宋体" w:hAnsi="宋体" w:cs="宋体"/>
                <w:color w:val="000000"/>
                <w:szCs w:val="21"/>
              </w:rPr>
            </w:pPr>
          </w:p>
        </w:tc>
        <w:tc>
          <w:tcPr>
            <w:tcW w:w="1279" w:type="pct"/>
            <w:noWrap w:val="0"/>
            <w:vAlign w:val="center"/>
          </w:tcPr>
          <w:p w14:paraId="084253EC">
            <w:pPr>
              <w:keepNext/>
              <w:spacing w:line="360" w:lineRule="auto"/>
              <w:jc w:val="center"/>
              <w:rPr>
                <w:rFonts w:hint="eastAsia" w:ascii="宋体" w:hAnsi="宋体" w:cs="宋体"/>
                <w:color w:val="000000"/>
                <w:szCs w:val="21"/>
              </w:rPr>
            </w:pPr>
          </w:p>
        </w:tc>
        <w:tc>
          <w:tcPr>
            <w:tcW w:w="1153" w:type="pct"/>
            <w:noWrap w:val="0"/>
            <w:vAlign w:val="top"/>
          </w:tcPr>
          <w:p w14:paraId="0A5B7642">
            <w:pPr>
              <w:keepNext/>
              <w:spacing w:line="360" w:lineRule="auto"/>
              <w:jc w:val="center"/>
              <w:rPr>
                <w:rFonts w:hint="eastAsia" w:ascii="宋体" w:hAnsi="宋体" w:cs="宋体"/>
                <w:color w:val="000000"/>
                <w:szCs w:val="21"/>
              </w:rPr>
            </w:pPr>
          </w:p>
        </w:tc>
      </w:tr>
      <w:tr w14:paraId="61002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noWrap w:val="0"/>
            <w:vAlign w:val="center"/>
          </w:tcPr>
          <w:p w14:paraId="71D9F812">
            <w:pPr>
              <w:keepNext/>
              <w:spacing w:line="360" w:lineRule="auto"/>
              <w:jc w:val="center"/>
              <w:rPr>
                <w:rFonts w:hint="eastAsia" w:ascii="宋体" w:hAnsi="宋体" w:cs="宋体"/>
                <w:color w:val="000000"/>
                <w:szCs w:val="21"/>
              </w:rPr>
            </w:pPr>
          </w:p>
        </w:tc>
        <w:tc>
          <w:tcPr>
            <w:tcW w:w="627" w:type="pct"/>
            <w:noWrap w:val="0"/>
            <w:vAlign w:val="center"/>
          </w:tcPr>
          <w:p w14:paraId="5AF8903D">
            <w:pPr>
              <w:keepNext/>
              <w:spacing w:line="360" w:lineRule="auto"/>
              <w:jc w:val="center"/>
              <w:rPr>
                <w:rFonts w:hint="eastAsia" w:ascii="宋体" w:hAnsi="宋体" w:cs="宋体"/>
                <w:color w:val="000000"/>
                <w:szCs w:val="21"/>
              </w:rPr>
            </w:pPr>
          </w:p>
        </w:tc>
        <w:tc>
          <w:tcPr>
            <w:tcW w:w="502" w:type="pct"/>
            <w:noWrap w:val="0"/>
            <w:vAlign w:val="center"/>
          </w:tcPr>
          <w:p w14:paraId="2381383C">
            <w:pPr>
              <w:keepNext/>
              <w:spacing w:line="360" w:lineRule="auto"/>
              <w:jc w:val="center"/>
              <w:rPr>
                <w:rFonts w:hint="eastAsia" w:ascii="宋体" w:hAnsi="宋体" w:cs="宋体"/>
                <w:color w:val="000000"/>
                <w:szCs w:val="21"/>
              </w:rPr>
            </w:pPr>
          </w:p>
        </w:tc>
        <w:tc>
          <w:tcPr>
            <w:tcW w:w="502" w:type="pct"/>
            <w:noWrap w:val="0"/>
            <w:vAlign w:val="center"/>
          </w:tcPr>
          <w:p w14:paraId="334262CB">
            <w:pPr>
              <w:keepNext/>
              <w:spacing w:line="360" w:lineRule="auto"/>
              <w:jc w:val="center"/>
              <w:rPr>
                <w:rFonts w:hint="eastAsia" w:ascii="宋体" w:hAnsi="宋体" w:cs="宋体"/>
                <w:color w:val="000000"/>
                <w:szCs w:val="21"/>
              </w:rPr>
            </w:pPr>
          </w:p>
        </w:tc>
        <w:tc>
          <w:tcPr>
            <w:tcW w:w="1279" w:type="pct"/>
            <w:noWrap w:val="0"/>
            <w:vAlign w:val="center"/>
          </w:tcPr>
          <w:p w14:paraId="64D1BC0E">
            <w:pPr>
              <w:keepNext/>
              <w:spacing w:line="360" w:lineRule="auto"/>
              <w:jc w:val="center"/>
              <w:rPr>
                <w:rFonts w:hint="eastAsia" w:ascii="宋体" w:hAnsi="宋体" w:cs="宋体"/>
                <w:color w:val="000000"/>
                <w:szCs w:val="21"/>
              </w:rPr>
            </w:pPr>
          </w:p>
        </w:tc>
        <w:tc>
          <w:tcPr>
            <w:tcW w:w="1153" w:type="pct"/>
            <w:noWrap w:val="0"/>
            <w:vAlign w:val="top"/>
          </w:tcPr>
          <w:p w14:paraId="66513B11">
            <w:pPr>
              <w:keepNext/>
              <w:spacing w:line="360" w:lineRule="auto"/>
              <w:jc w:val="center"/>
              <w:rPr>
                <w:rFonts w:hint="eastAsia" w:ascii="宋体" w:hAnsi="宋体" w:cs="宋体"/>
                <w:color w:val="000000"/>
                <w:szCs w:val="21"/>
              </w:rPr>
            </w:pPr>
          </w:p>
        </w:tc>
      </w:tr>
      <w:tr w14:paraId="23898B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38" w:type="pct"/>
            <w:vMerge w:val="continue"/>
            <w:tcBorders>
              <w:bottom w:val="single" w:color="auto" w:sz="12" w:space="0"/>
            </w:tcBorders>
            <w:noWrap w:val="0"/>
            <w:vAlign w:val="center"/>
          </w:tcPr>
          <w:p w14:paraId="6247C18C">
            <w:pPr>
              <w:keepNext/>
              <w:spacing w:line="360" w:lineRule="auto"/>
              <w:jc w:val="center"/>
              <w:rPr>
                <w:rFonts w:hint="eastAsia" w:ascii="宋体" w:hAnsi="宋体" w:cs="宋体"/>
                <w:color w:val="000000"/>
                <w:szCs w:val="21"/>
              </w:rPr>
            </w:pPr>
          </w:p>
        </w:tc>
        <w:tc>
          <w:tcPr>
            <w:tcW w:w="627" w:type="pct"/>
            <w:tcBorders>
              <w:bottom w:val="single" w:color="auto" w:sz="12" w:space="0"/>
            </w:tcBorders>
            <w:noWrap w:val="0"/>
            <w:vAlign w:val="center"/>
          </w:tcPr>
          <w:p w14:paraId="57E46C66">
            <w:pPr>
              <w:keepNext/>
              <w:spacing w:line="360" w:lineRule="auto"/>
              <w:jc w:val="center"/>
              <w:rPr>
                <w:rFonts w:hint="eastAsia" w:ascii="宋体" w:hAnsi="宋体" w:cs="宋体"/>
                <w:color w:val="000000"/>
                <w:szCs w:val="21"/>
              </w:rPr>
            </w:pPr>
          </w:p>
        </w:tc>
        <w:tc>
          <w:tcPr>
            <w:tcW w:w="502" w:type="pct"/>
            <w:tcBorders>
              <w:bottom w:val="single" w:color="auto" w:sz="12" w:space="0"/>
            </w:tcBorders>
            <w:noWrap w:val="0"/>
            <w:vAlign w:val="center"/>
          </w:tcPr>
          <w:p w14:paraId="2BA70D54">
            <w:pPr>
              <w:keepNext/>
              <w:spacing w:line="360" w:lineRule="auto"/>
              <w:jc w:val="center"/>
              <w:rPr>
                <w:rFonts w:hint="eastAsia" w:ascii="宋体" w:hAnsi="宋体" w:cs="宋体"/>
                <w:color w:val="000000"/>
                <w:szCs w:val="21"/>
              </w:rPr>
            </w:pPr>
          </w:p>
        </w:tc>
        <w:tc>
          <w:tcPr>
            <w:tcW w:w="502" w:type="pct"/>
            <w:tcBorders>
              <w:bottom w:val="single" w:color="auto" w:sz="12" w:space="0"/>
            </w:tcBorders>
            <w:noWrap w:val="0"/>
            <w:vAlign w:val="center"/>
          </w:tcPr>
          <w:p w14:paraId="469E5BAF">
            <w:pPr>
              <w:keepNext/>
              <w:spacing w:line="360" w:lineRule="auto"/>
              <w:jc w:val="center"/>
              <w:rPr>
                <w:rFonts w:hint="eastAsia" w:ascii="宋体" w:hAnsi="宋体" w:cs="宋体"/>
                <w:color w:val="000000"/>
                <w:szCs w:val="21"/>
              </w:rPr>
            </w:pPr>
          </w:p>
        </w:tc>
        <w:tc>
          <w:tcPr>
            <w:tcW w:w="1279" w:type="pct"/>
            <w:tcBorders>
              <w:bottom w:val="single" w:color="auto" w:sz="12" w:space="0"/>
            </w:tcBorders>
            <w:noWrap w:val="0"/>
            <w:vAlign w:val="center"/>
          </w:tcPr>
          <w:p w14:paraId="76D6B892">
            <w:pPr>
              <w:keepNext/>
              <w:spacing w:line="360" w:lineRule="auto"/>
              <w:jc w:val="center"/>
              <w:rPr>
                <w:rFonts w:hint="eastAsia" w:ascii="宋体" w:hAnsi="宋体" w:cs="宋体"/>
                <w:color w:val="000000"/>
                <w:szCs w:val="21"/>
              </w:rPr>
            </w:pPr>
          </w:p>
        </w:tc>
        <w:tc>
          <w:tcPr>
            <w:tcW w:w="1153" w:type="pct"/>
            <w:tcBorders>
              <w:bottom w:val="single" w:color="auto" w:sz="12" w:space="0"/>
            </w:tcBorders>
            <w:noWrap w:val="0"/>
            <w:vAlign w:val="top"/>
          </w:tcPr>
          <w:p w14:paraId="5CBA14AA">
            <w:pPr>
              <w:keepNext/>
              <w:spacing w:line="360" w:lineRule="auto"/>
              <w:jc w:val="center"/>
              <w:rPr>
                <w:rFonts w:hint="eastAsia" w:ascii="宋体" w:hAnsi="宋体" w:cs="宋体"/>
                <w:color w:val="000000"/>
                <w:szCs w:val="21"/>
              </w:rPr>
            </w:pPr>
          </w:p>
        </w:tc>
      </w:tr>
    </w:tbl>
    <w:p w14:paraId="57AEE2E7">
      <w:pPr>
        <w:keepNext/>
        <w:keepLines/>
        <w:spacing w:before="120" w:after="120" w:line="360" w:lineRule="auto"/>
        <w:jc w:val="left"/>
        <w:outlineLvl w:val="2"/>
        <w:rPr>
          <w:rFonts w:hint="eastAsia" w:ascii="宋体" w:hAnsi="宋体" w:cs="宋体"/>
          <w:bCs/>
          <w:color w:val="000000"/>
          <w:sz w:val="24"/>
        </w:rPr>
      </w:pPr>
      <w:r>
        <w:rPr>
          <w:rFonts w:hint="eastAsia" w:ascii="宋体" w:hAnsi="宋体" w:cs="宋体"/>
          <w:bCs/>
          <w:color w:val="000000"/>
          <w:sz w:val="24"/>
        </w:rPr>
        <w:br w:type="page"/>
      </w:r>
      <w:bookmarkStart w:id="892" w:name="_Toc95223493"/>
      <w:r>
        <w:rPr>
          <w:rFonts w:hint="eastAsia" w:ascii="宋体" w:hAnsi="宋体" w:cs="宋体"/>
          <w:bCs/>
          <w:color w:val="000000"/>
          <w:sz w:val="24"/>
        </w:rPr>
        <w:t>附</w:t>
      </w:r>
      <w:bookmarkStart w:id="893" w:name="_Toc296891057"/>
      <w:bookmarkStart w:id="894" w:name="_Toc296346730"/>
      <w:bookmarkStart w:id="895" w:name="_Toc296891269"/>
      <w:bookmarkStart w:id="896" w:name="_Toc296347228"/>
      <w:bookmarkStart w:id="897" w:name="_Toc296944568"/>
      <w:bookmarkStart w:id="898" w:name="_Toc296503229"/>
      <w:r>
        <w:rPr>
          <w:rFonts w:hint="eastAsia" w:ascii="宋体" w:hAnsi="宋体" w:cs="宋体"/>
          <w:bCs/>
          <w:color w:val="000000"/>
          <w:sz w:val="24"/>
        </w:rPr>
        <w:t>件7：分包人主要施工管理人员表</w:t>
      </w:r>
      <w:bookmarkEnd w:id="892"/>
    </w:p>
    <w:bookmarkEnd w:id="893"/>
    <w:bookmarkEnd w:id="894"/>
    <w:bookmarkEnd w:id="895"/>
    <w:bookmarkEnd w:id="896"/>
    <w:bookmarkEnd w:id="897"/>
    <w:bookmarkEnd w:id="898"/>
    <w:p w14:paraId="18407CBC">
      <w:pPr>
        <w:spacing w:before="120" w:beforeLines="50" w:after="120" w:afterLines="50" w:line="360" w:lineRule="auto"/>
        <w:jc w:val="center"/>
        <w:rPr>
          <w:rFonts w:hint="eastAsia" w:ascii="宋体" w:hAnsi="宋体" w:cs="宋体"/>
          <w:b/>
          <w:color w:val="000000"/>
          <w:szCs w:val="21"/>
        </w:rPr>
      </w:pPr>
      <w:bookmarkStart w:id="899" w:name="_Toc22101"/>
      <w:bookmarkStart w:id="900" w:name="_Toc95223494"/>
      <w:bookmarkStart w:id="901" w:name="_Toc179"/>
      <w:r>
        <w:rPr>
          <w:rFonts w:hint="eastAsia" w:ascii="宋体" w:hAnsi="宋体" w:cs="宋体"/>
          <w:b/>
          <w:color w:val="000000"/>
          <w:szCs w:val="21"/>
        </w:rPr>
        <w:t>分包人主要施工管理人员表</w:t>
      </w:r>
      <w:bookmarkEnd w:id="899"/>
      <w:bookmarkEnd w:id="900"/>
      <w:bookmarkEnd w:id="901"/>
    </w:p>
    <w:tbl>
      <w:tblPr>
        <w:tblStyle w:val="47"/>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1525"/>
        <w:gridCol w:w="1156"/>
        <w:gridCol w:w="925"/>
        <w:gridCol w:w="674"/>
        <w:gridCol w:w="3119"/>
        <w:gridCol w:w="1616"/>
      </w:tblGrid>
      <w:tr w14:paraId="6C4D1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single" w:color="auto" w:sz="12" w:space="0"/>
              <w:bottom w:val="double" w:color="auto" w:sz="6" w:space="0"/>
            </w:tcBorders>
            <w:noWrap w:val="0"/>
            <w:vAlign w:val="center"/>
          </w:tcPr>
          <w:p w14:paraId="26146530">
            <w:pPr>
              <w:keepNext/>
              <w:spacing w:line="360" w:lineRule="auto"/>
              <w:jc w:val="center"/>
              <w:rPr>
                <w:rFonts w:hint="eastAsia" w:ascii="宋体" w:hAnsi="宋体" w:cs="宋体"/>
                <w:color w:val="000000"/>
                <w:szCs w:val="21"/>
              </w:rPr>
            </w:pPr>
            <w:r>
              <w:rPr>
                <w:rFonts w:hint="eastAsia" w:ascii="宋体" w:hAnsi="宋体" w:cs="宋体"/>
                <w:color w:val="000000"/>
                <w:szCs w:val="21"/>
              </w:rPr>
              <w:t>名    称</w:t>
            </w:r>
          </w:p>
        </w:tc>
        <w:tc>
          <w:tcPr>
            <w:tcW w:w="641" w:type="pct"/>
            <w:tcBorders>
              <w:top w:val="single" w:color="auto" w:sz="12" w:space="0"/>
              <w:bottom w:val="double" w:color="auto" w:sz="6" w:space="0"/>
            </w:tcBorders>
            <w:noWrap w:val="0"/>
            <w:vAlign w:val="center"/>
          </w:tcPr>
          <w:p w14:paraId="32B89496">
            <w:pPr>
              <w:keepNext/>
              <w:spacing w:line="360" w:lineRule="auto"/>
              <w:jc w:val="center"/>
              <w:rPr>
                <w:rFonts w:hint="eastAsia" w:ascii="宋体" w:hAnsi="宋体" w:cs="宋体"/>
                <w:color w:val="000000"/>
                <w:szCs w:val="21"/>
              </w:rPr>
            </w:pPr>
            <w:r>
              <w:rPr>
                <w:rFonts w:hint="eastAsia" w:ascii="宋体" w:hAnsi="宋体" w:cs="宋体"/>
                <w:color w:val="000000"/>
                <w:szCs w:val="21"/>
              </w:rPr>
              <w:t>姓名</w:t>
            </w:r>
          </w:p>
        </w:tc>
        <w:tc>
          <w:tcPr>
            <w:tcW w:w="513" w:type="pct"/>
            <w:tcBorders>
              <w:top w:val="single" w:color="auto" w:sz="12" w:space="0"/>
              <w:bottom w:val="double" w:color="auto" w:sz="6" w:space="0"/>
            </w:tcBorders>
            <w:noWrap w:val="0"/>
            <w:vAlign w:val="center"/>
          </w:tcPr>
          <w:p w14:paraId="4433EF6B">
            <w:pPr>
              <w:keepNext/>
              <w:spacing w:line="360" w:lineRule="auto"/>
              <w:jc w:val="center"/>
              <w:rPr>
                <w:rFonts w:hint="eastAsia" w:ascii="宋体" w:hAnsi="宋体" w:cs="宋体"/>
                <w:color w:val="000000"/>
                <w:szCs w:val="21"/>
              </w:rPr>
            </w:pPr>
            <w:r>
              <w:rPr>
                <w:rFonts w:hint="eastAsia" w:ascii="宋体" w:hAnsi="宋体" w:cs="宋体"/>
                <w:color w:val="000000"/>
                <w:szCs w:val="21"/>
              </w:rPr>
              <w:t>职务</w:t>
            </w:r>
          </w:p>
        </w:tc>
        <w:tc>
          <w:tcPr>
            <w:tcW w:w="374" w:type="pct"/>
            <w:tcBorders>
              <w:top w:val="single" w:color="auto" w:sz="12" w:space="0"/>
              <w:bottom w:val="double" w:color="auto" w:sz="6" w:space="0"/>
            </w:tcBorders>
            <w:noWrap w:val="0"/>
            <w:vAlign w:val="center"/>
          </w:tcPr>
          <w:p w14:paraId="6E5E4C77">
            <w:pPr>
              <w:keepNext/>
              <w:spacing w:line="360" w:lineRule="auto"/>
              <w:jc w:val="center"/>
              <w:rPr>
                <w:rFonts w:hint="eastAsia" w:ascii="宋体" w:hAnsi="宋体" w:cs="宋体"/>
                <w:color w:val="000000"/>
                <w:szCs w:val="21"/>
              </w:rPr>
            </w:pPr>
            <w:r>
              <w:rPr>
                <w:rFonts w:hint="eastAsia" w:ascii="宋体" w:hAnsi="宋体" w:cs="宋体"/>
                <w:color w:val="000000"/>
                <w:szCs w:val="21"/>
              </w:rPr>
              <w:t>职称</w:t>
            </w:r>
          </w:p>
        </w:tc>
        <w:tc>
          <w:tcPr>
            <w:tcW w:w="1730" w:type="pct"/>
            <w:tcBorders>
              <w:top w:val="single" w:color="auto" w:sz="12" w:space="0"/>
              <w:bottom w:val="double" w:color="auto" w:sz="6" w:space="0"/>
            </w:tcBorders>
            <w:noWrap w:val="0"/>
            <w:vAlign w:val="center"/>
          </w:tcPr>
          <w:p w14:paraId="3E545CD0">
            <w:pPr>
              <w:keepNext/>
              <w:spacing w:line="360" w:lineRule="auto"/>
              <w:jc w:val="center"/>
              <w:rPr>
                <w:rFonts w:hint="eastAsia" w:ascii="宋体" w:hAnsi="宋体" w:cs="宋体"/>
                <w:color w:val="000000"/>
                <w:szCs w:val="21"/>
              </w:rPr>
            </w:pPr>
            <w:r>
              <w:rPr>
                <w:rFonts w:hint="eastAsia" w:ascii="宋体" w:hAnsi="宋体" w:cs="宋体"/>
                <w:color w:val="000000"/>
                <w:szCs w:val="21"/>
              </w:rPr>
              <w:t>主要资历、经验及承担过的项目</w:t>
            </w:r>
          </w:p>
        </w:tc>
        <w:tc>
          <w:tcPr>
            <w:tcW w:w="896" w:type="pct"/>
            <w:tcBorders>
              <w:top w:val="single" w:color="auto" w:sz="12" w:space="0"/>
              <w:bottom w:val="double" w:color="auto" w:sz="6" w:space="0"/>
            </w:tcBorders>
            <w:noWrap w:val="0"/>
            <w:vAlign w:val="center"/>
          </w:tcPr>
          <w:p w14:paraId="1DD3F435">
            <w:pPr>
              <w:keepNext/>
              <w:spacing w:line="360" w:lineRule="auto"/>
              <w:jc w:val="center"/>
              <w:rPr>
                <w:rFonts w:hint="eastAsia" w:ascii="宋体" w:hAnsi="宋体" w:cs="宋体"/>
                <w:color w:val="000000"/>
                <w:szCs w:val="21"/>
              </w:rPr>
            </w:pPr>
            <w:r>
              <w:rPr>
                <w:rFonts w:hint="eastAsia" w:ascii="宋体" w:hAnsi="宋体" w:cs="宋体"/>
                <w:color w:val="000000"/>
                <w:szCs w:val="21"/>
              </w:rPr>
              <w:t>身份证号码</w:t>
            </w:r>
          </w:p>
        </w:tc>
      </w:tr>
      <w:tr w14:paraId="230222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104" w:type="pct"/>
            <w:gridSpan w:val="5"/>
            <w:tcBorders>
              <w:top w:val="double" w:color="auto" w:sz="6" w:space="0"/>
            </w:tcBorders>
            <w:noWrap w:val="0"/>
            <w:vAlign w:val="center"/>
          </w:tcPr>
          <w:p w14:paraId="1A3FAA52">
            <w:pPr>
              <w:keepNext/>
              <w:spacing w:line="360" w:lineRule="auto"/>
              <w:rPr>
                <w:rFonts w:hint="eastAsia" w:ascii="宋体" w:hAnsi="宋体" w:cs="宋体"/>
                <w:color w:val="000000"/>
                <w:szCs w:val="21"/>
              </w:rPr>
            </w:pPr>
            <w:r>
              <w:rPr>
                <w:rFonts w:hint="eastAsia" w:ascii="宋体" w:hAnsi="宋体" w:cs="宋体"/>
                <w:color w:val="000000"/>
                <w:szCs w:val="21"/>
              </w:rPr>
              <w:t>一、总部人员</w:t>
            </w:r>
          </w:p>
        </w:tc>
        <w:tc>
          <w:tcPr>
            <w:tcW w:w="896" w:type="pct"/>
            <w:tcBorders>
              <w:top w:val="double" w:color="auto" w:sz="6" w:space="0"/>
            </w:tcBorders>
            <w:noWrap w:val="0"/>
            <w:vAlign w:val="top"/>
          </w:tcPr>
          <w:p w14:paraId="75739233">
            <w:pPr>
              <w:keepNext/>
              <w:spacing w:line="360" w:lineRule="auto"/>
              <w:rPr>
                <w:rFonts w:hint="eastAsia" w:ascii="宋体" w:hAnsi="宋体" w:cs="宋体"/>
                <w:color w:val="000000"/>
                <w:szCs w:val="21"/>
              </w:rPr>
            </w:pPr>
          </w:p>
        </w:tc>
      </w:tr>
      <w:tr w14:paraId="75DEDD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nil"/>
              <w:bottom w:val="nil"/>
            </w:tcBorders>
            <w:noWrap w:val="0"/>
            <w:vAlign w:val="center"/>
          </w:tcPr>
          <w:p w14:paraId="3D94AE54">
            <w:pPr>
              <w:keepNext/>
              <w:spacing w:line="360" w:lineRule="auto"/>
              <w:rPr>
                <w:rFonts w:hint="eastAsia" w:ascii="宋体" w:hAnsi="宋体" w:cs="宋体"/>
                <w:color w:val="000000"/>
                <w:szCs w:val="21"/>
              </w:rPr>
            </w:pPr>
            <w:r>
              <w:rPr>
                <w:rFonts w:hint="eastAsia" w:ascii="宋体" w:hAnsi="宋体" w:cs="宋体"/>
                <w:color w:val="000000"/>
                <w:szCs w:val="21"/>
              </w:rPr>
              <w:t>项目主管</w:t>
            </w:r>
          </w:p>
        </w:tc>
        <w:tc>
          <w:tcPr>
            <w:tcW w:w="641" w:type="pct"/>
            <w:tcBorders>
              <w:top w:val="nil"/>
            </w:tcBorders>
            <w:noWrap w:val="0"/>
            <w:vAlign w:val="center"/>
          </w:tcPr>
          <w:p w14:paraId="54095929">
            <w:pPr>
              <w:keepNext/>
              <w:spacing w:line="360" w:lineRule="auto"/>
              <w:rPr>
                <w:rFonts w:hint="eastAsia" w:ascii="宋体" w:hAnsi="宋体" w:cs="宋体"/>
                <w:color w:val="000000"/>
                <w:szCs w:val="21"/>
              </w:rPr>
            </w:pPr>
          </w:p>
        </w:tc>
        <w:tc>
          <w:tcPr>
            <w:tcW w:w="513" w:type="pct"/>
            <w:tcBorders>
              <w:top w:val="nil"/>
            </w:tcBorders>
            <w:noWrap w:val="0"/>
            <w:vAlign w:val="center"/>
          </w:tcPr>
          <w:p w14:paraId="36C3E486">
            <w:pPr>
              <w:keepNext/>
              <w:spacing w:line="360" w:lineRule="auto"/>
              <w:rPr>
                <w:rFonts w:hint="eastAsia" w:ascii="宋体" w:hAnsi="宋体" w:cs="宋体"/>
                <w:color w:val="000000"/>
                <w:szCs w:val="21"/>
              </w:rPr>
            </w:pPr>
          </w:p>
        </w:tc>
        <w:tc>
          <w:tcPr>
            <w:tcW w:w="374" w:type="pct"/>
            <w:tcBorders>
              <w:top w:val="nil"/>
            </w:tcBorders>
            <w:noWrap w:val="0"/>
            <w:vAlign w:val="center"/>
          </w:tcPr>
          <w:p w14:paraId="1FF383DD">
            <w:pPr>
              <w:keepNext/>
              <w:spacing w:line="360" w:lineRule="auto"/>
              <w:rPr>
                <w:rFonts w:hint="eastAsia" w:ascii="宋体" w:hAnsi="宋体" w:cs="宋体"/>
                <w:color w:val="000000"/>
                <w:szCs w:val="21"/>
              </w:rPr>
            </w:pPr>
          </w:p>
        </w:tc>
        <w:tc>
          <w:tcPr>
            <w:tcW w:w="1730" w:type="pct"/>
            <w:tcBorders>
              <w:top w:val="nil"/>
            </w:tcBorders>
            <w:noWrap w:val="0"/>
            <w:vAlign w:val="center"/>
          </w:tcPr>
          <w:p w14:paraId="4E1A9B7B">
            <w:pPr>
              <w:keepNext/>
              <w:spacing w:line="360" w:lineRule="auto"/>
              <w:rPr>
                <w:rFonts w:hint="eastAsia" w:ascii="宋体" w:hAnsi="宋体" w:cs="宋体"/>
                <w:color w:val="000000"/>
                <w:szCs w:val="21"/>
              </w:rPr>
            </w:pPr>
          </w:p>
        </w:tc>
        <w:tc>
          <w:tcPr>
            <w:tcW w:w="896" w:type="pct"/>
            <w:tcBorders>
              <w:top w:val="nil"/>
            </w:tcBorders>
            <w:noWrap w:val="0"/>
            <w:vAlign w:val="top"/>
          </w:tcPr>
          <w:p w14:paraId="6C13F00B">
            <w:pPr>
              <w:keepNext/>
              <w:spacing w:line="360" w:lineRule="auto"/>
              <w:rPr>
                <w:rFonts w:hint="eastAsia" w:ascii="宋体" w:hAnsi="宋体" w:cs="宋体"/>
                <w:color w:val="000000"/>
                <w:szCs w:val="21"/>
              </w:rPr>
            </w:pPr>
          </w:p>
        </w:tc>
      </w:tr>
      <w:tr w14:paraId="6EA6ED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bottom w:val="nil"/>
            </w:tcBorders>
            <w:noWrap w:val="0"/>
            <w:vAlign w:val="center"/>
          </w:tcPr>
          <w:p w14:paraId="4CCC8DFC">
            <w:pPr>
              <w:keepNext/>
              <w:spacing w:line="360" w:lineRule="auto"/>
              <w:rPr>
                <w:rFonts w:hint="eastAsia" w:ascii="宋体" w:hAnsi="宋体" w:cs="宋体"/>
                <w:color w:val="000000"/>
                <w:szCs w:val="21"/>
              </w:rPr>
            </w:pPr>
          </w:p>
        </w:tc>
        <w:tc>
          <w:tcPr>
            <w:tcW w:w="641" w:type="pct"/>
            <w:noWrap w:val="0"/>
            <w:vAlign w:val="center"/>
          </w:tcPr>
          <w:p w14:paraId="53F18643">
            <w:pPr>
              <w:keepNext/>
              <w:spacing w:line="360" w:lineRule="auto"/>
              <w:rPr>
                <w:rFonts w:hint="eastAsia" w:ascii="宋体" w:hAnsi="宋体" w:cs="宋体"/>
                <w:color w:val="000000"/>
                <w:szCs w:val="21"/>
              </w:rPr>
            </w:pPr>
          </w:p>
        </w:tc>
        <w:tc>
          <w:tcPr>
            <w:tcW w:w="513" w:type="pct"/>
            <w:noWrap w:val="0"/>
            <w:vAlign w:val="center"/>
          </w:tcPr>
          <w:p w14:paraId="117B61F3">
            <w:pPr>
              <w:keepNext/>
              <w:spacing w:line="360" w:lineRule="auto"/>
              <w:rPr>
                <w:rFonts w:hint="eastAsia" w:ascii="宋体" w:hAnsi="宋体" w:cs="宋体"/>
                <w:color w:val="000000"/>
                <w:szCs w:val="21"/>
              </w:rPr>
            </w:pPr>
          </w:p>
        </w:tc>
        <w:tc>
          <w:tcPr>
            <w:tcW w:w="374" w:type="pct"/>
            <w:noWrap w:val="0"/>
            <w:vAlign w:val="center"/>
          </w:tcPr>
          <w:p w14:paraId="51694BBE">
            <w:pPr>
              <w:keepNext/>
              <w:spacing w:line="360" w:lineRule="auto"/>
              <w:rPr>
                <w:rFonts w:hint="eastAsia" w:ascii="宋体" w:hAnsi="宋体" w:cs="宋体"/>
                <w:color w:val="000000"/>
                <w:szCs w:val="21"/>
              </w:rPr>
            </w:pPr>
          </w:p>
        </w:tc>
        <w:tc>
          <w:tcPr>
            <w:tcW w:w="1730" w:type="pct"/>
            <w:noWrap w:val="0"/>
            <w:vAlign w:val="center"/>
          </w:tcPr>
          <w:p w14:paraId="187F19DB">
            <w:pPr>
              <w:keepNext/>
              <w:spacing w:line="360" w:lineRule="auto"/>
              <w:rPr>
                <w:rFonts w:hint="eastAsia" w:ascii="宋体" w:hAnsi="宋体" w:cs="宋体"/>
                <w:color w:val="000000"/>
                <w:szCs w:val="21"/>
              </w:rPr>
            </w:pPr>
          </w:p>
        </w:tc>
        <w:tc>
          <w:tcPr>
            <w:tcW w:w="896" w:type="pct"/>
            <w:noWrap w:val="0"/>
            <w:vAlign w:val="top"/>
          </w:tcPr>
          <w:p w14:paraId="2250A50C">
            <w:pPr>
              <w:keepNext/>
              <w:spacing w:line="360" w:lineRule="auto"/>
              <w:rPr>
                <w:rFonts w:hint="eastAsia" w:ascii="宋体" w:hAnsi="宋体" w:cs="宋体"/>
                <w:color w:val="000000"/>
                <w:szCs w:val="21"/>
              </w:rPr>
            </w:pPr>
          </w:p>
        </w:tc>
      </w:tr>
      <w:tr w14:paraId="7583E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nil"/>
              <w:bottom w:val="nil"/>
            </w:tcBorders>
            <w:noWrap w:val="0"/>
            <w:vAlign w:val="center"/>
          </w:tcPr>
          <w:p w14:paraId="0692C0CB">
            <w:pPr>
              <w:keepNext/>
              <w:spacing w:line="360" w:lineRule="auto"/>
              <w:rPr>
                <w:rFonts w:hint="eastAsia" w:ascii="宋体" w:hAnsi="宋体" w:cs="宋体"/>
                <w:color w:val="000000"/>
                <w:szCs w:val="21"/>
              </w:rPr>
            </w:pPr>
            <w:r>
              <w:rPr>
                <w:rFonts w:hint="eastAsia" w:ascii="宋体" w:hAnsi="宋体" w:cs="宋体"/>
                <w:color w:val="000000"/>
                <w:szCs w:val="21"/>
              </w:rPr>
              <w:t>其他人员</w:t>
            </w:r>
          </w:p>
        </w:tc>
        <w:tc>
          <w:tcPr>
            <w:tcW w:w="641" w:type="pct"/>
            <w:noWrap w:val="0"/>
            <w:vAlign w:val="center"/>
          </w:tcPr>
          <w:p w14:paraId="30DD3A9B">
            <w:pPr>
              <w:keepNext/>
              <w:spacing w:line="360" w:lineRule="auto"/>
              <w:rPr>
                <w:rFonts w:hint="eastAsia" w:ascii="宋体" w:hAnsi="宋体" w:cs="宋体"/>
                <w:color w:val="000000"/>
                <w:szCs w:val="21"/>
              </w:rPr>
            </w:pPr>
          </w:p>
        </w:tc>
        <w:tc>
          <w:tcPr>
            <w:tcW w:w="513" w:type="pct"/>
            <w:noWrap w:val="0"/>
            <w:vAlign w:val="center"/>
          </w:tcPr>
          <w:p w14:paraId="5E0F0DF6">
            <w:pPr>
              <w:keepNext/>
              <w:spacing w:line="360" w:lineRule="auto"/>
              <w:rPr>
                <w:rFonts w:hint="eastAsia" w:ascii="宋体" w:hAnsi="宋体" w:cs="宋体"/>
                <w:color w:val="000000"/>
                <w:szCs w:val="21"/>
              </w:rPr>
            </w:pPr>
          </w:p>
        </w:tc>
        <w:tc>
          <w:tcPr>
            <w:tcW w:w="374" w:type="pct"/>
            <w:noWrap w:val="0"/>
            <w:vAlign w:val="center"/>
          </w:tcPr>
          <w:p w14:paraId="73E2BD67">
            <w:pPr>
              <w:keepNext/>
              <w:spacing w:line="360" w:lineRule="auto"/>
              <w:rPr>
                <w:rFonts w:hint="eastAsia" w:ascii="宋体" w:hAnsi="宋体" w:cs="宋体"/>
                <w:color w:val="000000"/>
                <w:szCs w:val="21"/>
              </w:rPr>
            </w:pPr>
          </w:p>
        </w:tc>
        <w:tc>
          <w:tcPr>
            <w:tcW w:w="1730" w:type="pct"/>
            <w:noWrap w:val="0"/>
            <w:vAlign w:val="center"/>
          </w:tcPr>
          <w:p w14:paraId="4A390DCF">
            <w:pPr>
              <w:keepNext/>
              <w:spacing w:line="360" w:lineRule="auto"/>
              <w:rPr>
                <w:rFonts w:hint="eastAsia" w:ascii="宋体" w:hAnsi="宋体" w:cs="宋体"/>
                <w:color w:val="000000"/>
                <w:szCs w:val="21"/>
              </w:rPr>
            </w:pPr>
          </w:p>
        </w:tc>
        <w:tc>
          <w:tcPr>
            <w:tcW w:w="896" w:type="pct"/>
            <w:noWrap w:val="0"/>
            <w:vAlign w:val="top"/>
          </w:tcPr>
          <w:p w14:paraId="0F479ED4">
            <w:pPr>
              <w:keepNext/>
              <w:spacing w:line="360" w:lineRule="auto"/>
              <w:rPr>
                <w:rFonts w:hint="eastAsia" w:ascii="宋体" w:hAnsi="宋体" w:cs="宋体"/>
                <w:color w:val="000000"/>
                <w:szCs w:val="21"/>
              </w:rPr>
            </w:pPr>
          </w:p>
        </w:tc>
      </w:tr>
      <w:tr w14:paraId="047007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tcBorders>
              <w:top w:val="nil"/>
              <w:bottom w:val="nil"/>
            </w:tcBorders>
            <w:noWrap w:val="0"/>
            <w:vAlign w:val="center"/>
          </w:tcPr>
          <w:p w14:paraId="25E5A08A">
            <w:pPr>
              <w:keepNext/>
              <w:spacing w:line="360" w:lineRule="auto"/>
              <w:rPr>
                <w:rFonts w:hint="eastAsia" w:ascii="宋体" w:hAnsi="宋体" w:cs="宋体"/>
                <w:color w:val="000000"/>
                <w:szCs w:val="21"/>
              </w:rPr>
            </w:pPr>
          </w:p>
        </w:tc>
        <w:tc>
          <w:tcPr>
            <w:tcW w:w="641" w:type="pct"/>
            <w:noWrap w:val="0"/>
            <w:vAlign w:val="center"/>
          </w:tcPr>
          <w:p w14:paraId="18558432">
            <w:pPr>
              <w:keepNext/>
              <w:spacing w:line="360" w:lineRule="auto"/>
              <w:rPr>
                <w:rFonts w:hint="eastAsia" w:ascii="宋体" w:hAnsi="宋体" w:cs="宋体"/>
                <w:color w:val="000000"/>
                <w:szCs w:val="21"/>
              </w:rPr>
            </w:pPr>
          </w:p>
        </w:tc>
        <w:tc>
          <w:tcPr>
            <w:tcW w:w="513" w:type="pct"/>
            <w:noWrap w:val="0"/>
            <w:vAlign w:val="center"/>
          </w:tcPr>
          <w:p w14:paraId="528EB0A3">
            <w:pPr>
              <w:keepNext/>
              <w:spacing w:line="360" w:lineRule="auto"/>
              <w:rPr>
                <w:rFonts w:hint="eastAsia" w:ascii="宋体" w:hAnsi="宋体" w:cs="宋体"/>
                <w:color w:val="000000"/>
                <w:szCs w:val="21"/>
              </w:rPr>
            </w:pPr>
          </w:p>
        </w:tc>
        <w:tc>
          <w:tcPr>
            <w:tcW w:w="374" w:type="pct"/>
            <w:noWrap w:val="0"/>
            <w:vAlign w:val="center"/>
          </w:tcPr>
          <w:p w14:paraId="1837A690">
            <w:pPr>
              <w:keepNext/>
              <w:spacing w:line="360" w:lineRule="auto"/>
              <w:rPr>
                <w:rFonts w:hint="eastAsia" w:ascii="宋体" w:hAnsi="宋体" w:cs="宋体"/>
                <w:color w:val="000000"/>
                <w:szCs w:val="21"/>
              </w:rPr>
            </w:pPr>
          </w:p>
        </w:tc>
        <w:tc>
          <w:tcPr>
            <w:tcW w:w="1730" w:type="pct"/>
            <w:noWrap w:val="0"/>
            <w:vAlign w:val="center"/>
          </w:tcPr>
          <w:p w14:paraId="6B995B68">
            <w:pPr>
              <w:keepNext/>
              <w:spacing w:line="360" w:lineRule="auto"/>
              <w:rPr>
                <w:rFonts w:hint="eastAsia" w:ascii="宋体" w:hAnsi="宋体" w:cs="宋体"/>
                <w:color w:val="000000"/>
                <w:szCs w:val="21"/>
              </w:rPr>
            </w:pPr>
          </w:p>
        </w:tc>
        <w:tc>
          <w:tcPr>
            <w:tcW w:w="896" w:type="pct"/>
            <w:noWrap w:val="0"/>
            <w:vAlign w:val="top"/>
          </w:tcPr>
          <w:p w14:paraId="418895D3">
            <w:pPr>
              <w:keepNext/>
              <w:spacing w:line="360" w:lineRule="auto"/>
              <w:rPr>
                <w:rFonts w:hint="eastAsia" w:ascii="宋体" w:hAnsi="宋体" w:cs="宋体"/>
                <w:color w:val="000000"/>
                <w:szCs w:val="21"/>
              </w:rPr>
            </w:pPr>
          </w:p>
        </w:tc>
      </w:tr>
      <w:tr w14:paraId="0F8CFC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4104" w:type="pct"/>
            <w:gridSpan w:val="5"/>
            <w:noWrap w:val="0"/>
            <w:vAlign w:val="center"/>
          </w:tcPr>
          <w:p w14:paraId="1B97093F">
            <w:pPr>
              <w:keepNext/>
              <w:spacing w:line="360" w:lineRule="auto"/>
              <w:rPr>
                <w:rFonts w:hint="eastAsia" w:ascii="宋体" w:hAnsi="宋体" w:cs="宋体"/>
                <w:color w:val="000000"/>
                <w:szCs w:val="21"/>
              </w:rPr>
            </w:pPr>
            <w:r>
              <w:rPr>
                <w:rFonts w:hint="eastAsia" w:ascii="宋体" w:hAnsi="宋体" w:cs="宋体"/>
                <w:color w:val="000000"/>
                <w:szCs w:val="21"/>
              </w:rPr>
              <w:t>二、现场人员</w:t>
            </w:r>
          </w:p>
        </w:tc>
        <w:tc>
          <w:tcPr>
            <w:tcW w:w="896" w:type="pct"/>
            <w:noWrap w:val="0"/>
            <w:vAlign w:val="top"/>
          </w:tcPr>
          <w:p w14:paraId="3D776CB1">
            <w:pPr>
              <w:keepNext/>
              <w:spacing w:line="360" w:lineRule="auto"/>
              <w:rPr>
                <w:rFonts w:hint="eastAsia" w:ascii="宋体" w:hAnsi="宋体" w:cs="宋体"/>
                <w:color w:val="000000"/>
                <w:szCs w:val="21"/>
              </w:rPr>
            </w:pPr>
          </w:p>
        </w:tc>
      </w:tr>
      <w:tr w14:paraId="370679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0D1C2BAD">
            <w:pPr>
              <w:spacing w:line="360" w:lineRule="auto"/>
              <w:rPr>
                <w:rFonts w:hint="eastAsia" w:ascii="宋体" w:hAnsi="宋体" w:cs="宋体"/>
                <w:color w:val="000000"/>
                <w:szCs w:val="22"/>
              </w:rPr>
            </w:pPr>
            <w:r>
              <w:rPr>
                <w:rFonts w:hint="eastAsia" w:ascii="宋体" w:hAnsi="宋体" w:cs="宋体"/>
                <w:color w:val="000000"/>
                <w:szCs w:val="22"/>
              </w:rPr>
              <w:t>项目经理</w:t>
            </w:r>
          </w:p>
        </w:tc>
        <w:tc>
          <w:tcPr>
            <w:tcW w:w="641" w:type="pct"/>
            <w:noWrap w:val="0"/>
            <w:vAlign w:val="center"/>
          </w:tcPr>
          <w:p w14:paraId="469EB2A7">
            <w:pPr>
              <w:keepNext/>
              <w:spacing w:line="360" w:lineRule="auto"/>
              <w:rPr>
                <w:rFonts w:hint="eastAsia" w:ascii="宋体" w:hAnsi="宋体" w:cs="宋体"/>
                <w:color w:val="000000"/>
                <w:szCs w:val="21"/>
              </w:rPr>
            </w:pPr>
          </w:p>
        </w:tc>
        <w:tc>
          <w:tcPr>
            <w:tcW w:w="513" w:type="pct"/>
            <w:noWrap w:val="0"/>
            <w:vAlign w:val="center"/>
          </w:tcPr>
          <w:p w14:paraId="0F5D62BD">
            <w:pPr>
              <w:keepNext/>
              <w:spacing w:line="360" w:lineRule="auto"/>
              <w:rPr>
                <w:rFonts w:hint="eastAsia" w:ascii="宋体" w:hAnsi="宋体" w:cs="宋体"/>
                <w:color w:val="000000"/>
                <w:szCs w:val="21"/>
              </w:rPr>
            </w:pPr>
          </w:p>
        </w:tc>
        <w:tc>
          <w:tcPr>
            <w:tcW w:w="374" w:type="pct"/>
            <w:noWrap w:val="0"/>
            <w:vAlign w:val="center"/>
          </w:tcPr>
          <w:p w14:paraId="5F8163C3">
            <w:pPr>
              <w:keepNext/>
              <w:spacing w:line="360" w:lineRule="auto"/>
              <w:rPr>
                <w:rFonts w:hint="eastAsia" w:ascii="宋体" w:hAnsi="宋体" w:cs="宋体"/>
                <w:color w:val="000000"/>
                <w:szCs w:val="21"/>
              </w:rPr>
            </w:pPr>
          </w:p>
        </w:tc>
        <w:tc>
          <w:tcPr>
            <w:tcW w:w="1730" w:type="pct"/>
            <w:noWrap w:val="0"/>
            <w:vAlign w:val="center"/>
          </w:tcPr>
          <w:p w14:paraId="3DE3B9C3">
            <w:pPr>
              <w:keepNext/>
              <w:spacing w:line="360" w:lineRule="auto"/>
              <w:rPr>
                <w:rFonts w:hint="eastAsia" w:ascii="宋体" w:hAnsi="宋体" w:cs="宋体"/>
                <w:color w:val="000000"/>
                <w:szCs w:val="21"/>
              </w:rPr>
            </w:pPr>
          </w:p>
        </w:tc>
        <w:tc>
          <w:tcPr>
            <w:tcW w:w="896" w:type="pct"/>
            <w:noWrap w:val="0"/>
            <w:vAlign w:val="top"/>
          </w:tcPr>
          <w:p w14:paraId="4ADFB88B">
            <w:pPr>
              <w:keepNext/>
              <w:spacing w:line="360" w:lineRule="auto"/>
              <w:rPr>
                <w:rFonts w:hint="eastAsia" w:ascii="宋体" w:hAnsi="宋体" w:cs="宋体"/>
                <w:color w:val="000000"/>
                <w:szCs w:val="21"/>
              </w:rPr>
            </w:pPr>
          </w:p>
        </w:tc>
      </w:tr>
      <w:tr w14:paraId="12BB57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43B398A3">
            <w:pPr>
              <w:spacing w:line="360" w:lineRule="auto"/>
              <w:rPr>
                <w:rFonts w:hint="eastAsia" w:ascii="宋体" w:hAnsi="宋体" w:cs="宋体"/>
                <w:color w:val="000000"/>
                <w:szCs w:val="22"/>
              </w:rPr>
            </w:pPr>
            <w:r>
              <w:rPr>
                <w:rFonts w:hint="eastAsia" w:ascii="宋体" w:hAnsi="宋体" w:cs="宋体"/>
                <w:color w:val="000000"/>
                <w:szCs w:val="22"/>
              </w:rPr>
              <w:t>项目副经理</w:t>
            </w:r>
          </w:p>
        </w:tc>
        <w:tc>
          <w:tcPr>
            <w:tcW w:w="641" w:type="pct"/>
            <w:noWrap w:val="0"/>
            <w:vAlign w:val="center"/>
          </w:tcPr>
          <w:p w14:paraId="5E255BDD">
            <w:pPr>
              <w:keepNext/>
              <w:spacing w:line="360" w:lineRule="auto"/>
              <w:rPr>
                <w:rFonts w:hint="eastAsia" w:ascii="宋体" w:hAnsi="宋体" w:cs="宋体"/>
                <w:color w:val="000000"/>
                <w:szCs w:val="21"/>
              </w:rPr>
            </w:pPr>
          </w:p>
        </w:tc>
        <w:tc>
          <w:tcPr>
            <w:tcW w:w="513" w:type="pct"/>
            <w:noWrap w:val="0"/>
            <w:vAlign w:val="center"/>
          </w:tcPr>
          <w:p w14:paraId="112E296F">
            <w:pPr>
              <w:keepNext/>
              <w:spacing w:line="360" w:lineRule="auto"/>
              <w:rPr>
                <w:rFonts w:hint="eastAsia" w:ascii="宋体" w:hAnsi="宋体" w:cs="宋体"/>
                <w:color w:val="000000"/>
                <w:szCs w:val="21"/>
              </w:rPr>
            </w:pPr>
          </w:p>
        </w:tc>
        <w:tc>
          <w:tcPr>
            <w:tcW w:w="374" w:type="pct"/>
            <w:noWrap w:val="0"/>
            <w:vAlign w:val="center"/>
          </w:tcPr>
          <w:p w14:paraId="1104B48F">
            <w:pPr>
              <w:keepNext/>
              <w:spacing w:line="360" w:lineRule="auto"/>
              <w:rPr>
                <w:rFonts w:hint="eastAsia" w:ascii="宋体" w:hAnsi="宋体" w:cs="宋体"/>
                <w:color w:val="000000"/>
                <w:szCs w:val="21"/>
              </w:rPr>
            </w:pPr>
          </w:p>
        </w:tc>
        <w:tc>
          <w:tcPr>
            <w:tcW w:w="1730" w:type="pct"/>
            <w:noWrap w:val="0"/>
            <w:vAlign w:val="center"/>
          </w:tcPr>
          <w:p w14:paraId="1E63D4AA">
            <w:pPr>
              <w:keepNext/>
              <w:spacing w:line="360" w:lineRule="auto"/>
              <w:rPr>
                <w:rFonts w:hint="eastAsia" w:ascii="宋体" w:hAnsi="宋体" w:cs="宋体"/>
                <w:color w:val="000000"/>
                <w:szCs w:val="21"/>
              </w:rPr>
            </w:pPr>
          </w:p>
        </w:tc>
        <w:tc>
          <w:tcPr>
            <w:tcW w:w="896" w:type="pct"/>
            <w:noWrap w:val="0"/>
            <w:vAlign w:val="top"/>
          </w:tcPr>
          <w:p w14:paraId="0E80CA76">
            <w:pPr>
              <w:keepNext/>
              <w:spacing w:line="360" w:lineRule="auto"/>
              <w:rPr>
                <w:rFonts w:hint="eastAsia" w:ascii="宋体" w:hAnsi="宋体" w:cs="宋体"/>
                <w:color w:val="000000"/>
                <w:szCs w:val="21"/>
              </w:rPr>
            </w:pPr>
          </w:p>
        </w:tc>
      </w:tr>
      <w:tr w14:paraId="22F002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078EEF05">
            <w:pPr>
              <w:spacing w:line="360" w:lineRule="auto"/>
              <w:rPr>
                <w:rFonts w:hint="eastAsia" w:ascii="宋体" w:hAnsi="宋体" w:cs="宋体"/>
                <w:color w:val="000000"/>
                <w:szCs w:val="22"/>
              </w:rPr>
            </w:pPr>
            <w:r>
              <w:rPr>
                <w:rFonts w:hint="eastAsia" w:ascii="宋体" w:hAnsi="宋体" w:cs="宋体"/>
                <w:color w:val="000000"/>
                <w:szCs w:val="22"/>
              </w:rPr>
              <w:t>项目技术负责人</w:t>
            </w:r>
          </w:p>
        </w:tc>
        <w:tc>
          <w:tcPr>
            <w:tcW w:w="641" w:type="pct"/>
            <w:noWrap w:val="0"/>
            <w:vAlign w:val="center"/>
          </w:tcPr>
          <w:p w14:paraId="3F6EF9F2">
            <w:pPr>
              <w:keepNext/>
              <w:spacing w:line="360" w:lineRule="auto"/>
              <w:rPr>
                <w:rFonts w:hint="eastAsia" w:ascii="宋体" w:hAnsi="宋体" w:cs="宋体"/>
                <w:color w:val="000000"/>
                <w:szCs w:val="21"/>
              </w:rPr>
            </w:pPr>
          </w:p>
        </w:tc>
        <w:tc>
          <w:tcPr>
            <w:tcW w:w="513" w:type="pct"/>
            <w:noWrap w:val="0"/>
            <w:vAlign w:val="center"/>
          </w:tcPr>
          <w:p w14:paraId="0530AA1F">
            <w:pPr>
              <w:keepNext/>
              <w:spacing w:line="360" w:lineRule="auto"/>
              <w:rPr>
                <w:rFonts w:hint="eastAsia" w:ascii="宋体" w:hAnsi="宋体" w:cs="宋体"/>
                <w:color w:val="000000"/>
                <w:szCs w:val="21"/>
              </w:rPr>
            </w:pPr>
          </w:p>
        </w:tc>
        <w:tc>
          <w:tcPr>
            <w:tcW w:w="374" w:type="pct"/>
            <w:noWrap w:val="0"/>
            <w:vAlign w:val="center"/>
          </w:tcPr>
          <w:p w14:paraId="1F5F45D2">
            <w:pPr>
              <w:keepNext/>
              <w:spacing w:line="360" w:lineRule="auto"/>
              <w:rPr>
                <w:rFonts w:hint="eastAsia" w:ascii="宋体" w:hAnsi="宋体" w:cs="宋体"/>
                <w:color w:val="000000"/>
                <w:szCs w:val="21"/>
              </w:rPr>
            </w:pPr>
          </w:p>
        </w:tc>
        <w:tc>
          <w:tcPr>
            <w:tcW w:w="1730" w:type="pct"/>
            <w:noWrap w:val="0"/>
            <w:vAlign w:val="center"/>
          </w:tcPr>
          <w:p w14:paraId="1E2B9750">
            <w:pPr>
              <w:keepNext/>
              <w:spacing w:line="360" w:lineRule="auto"/>
              <w:rPr>
                <w:rFonts w:hint="eastAsia" w:ascii="宋体" w:hAnsi="宋体" w:cs="宋体"/>
                <w:color w:val="000000"/>
                <w:szCs w:val="21"/>
              </w:rPr>
            </w:pPr>
          </w:p>
        </w:tc>
        <w:tc>
          <w:tcPr>
            <w:tcW w:w="896" w:type="pct"/>
            <w:noWrap w:val="0"/>
            <w:vAlign w:val="top"/>
          </w:tcPr>
          <w:p w14:paraId="4D7D1170">
            <w:pPr>
              <w:keepNext/>
              <w:spacing w:line="360" w:lineRule="auto"/>
              <w:rPr>
                <w:rFonts w:hint="eastAsia" w:ascii="宋体" w:hAnsi="宋体" w:cs="宋体"/>
                <w:color w:val="000000"/>
                <w:szCs w:val="21"/>
              </w:rPr>
            </w:pPr>
          </w:p>
        </w:tc>
      </w:tr>
      <w:tr w14:paraId="389EEC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3262C41E">
            <w:pPr>
              <w:spacing w:line="360" w:lineRule="auto"/>
              <w:rPr>
                <w:rFonts w:hint="eastAsia" w:ascii="宋体" w:hAnsi="宋体" w:cs="宋体"/>
                <w:color w:val="000000"/>
                <w:szCs w:val="22"/>
              </w:rPr>
            </w:pPr>
            <w:r>
              <w:rPr>
                <w:rFonts w:hint="eastAsia" w:ascii="宋体" w:hAnsi="宋体" w:cs="宋体"/>
                <w:color w:val="000000"/>
                <w:szCs w:val="22"/>
              </w:rPr>
              <w:t>施工员</w:t>
            </w:r>
          </w:p>
        </w:tc>
        <w:tc>
          <w:tcPr>
            <w:tcW w:w="641" w:type="pct"/>
            <w:noWrap w:val="0"/>
            <w:vAlign w:val="center"/>
          </w:tcPr>
          <w:p w14:paraId="573C31B0">
            <w:pPr>
              <w:keepNext/>
              <w:spacing w:line="360" w:lineRule="auto"/>
              <w:rPr>
                <w:rFonts w:hint="eastAsia" w:ascii="宋体" w:hAnsi="宋体" w:cs="宋体"/>
                <w:color w:val="000000"/>
                <w:szCs w:val="21"/>
              </w:rPr>
            </w:pPr>
          </w:p>
        </w:tc>
        <w:tc>
          <w:tcPr>
            <w:tcW w:w="513" w:type="pct"/>
            <w:noWrap w:val="0"/>
            <w:vAlign w:val="center"/>
          </w:tcPr>
          <w:p w14:paraId="4C76416D">
            <w:pPr>
              <w:keepNext/>
              <w:spacing w:line="360" w:lineRule="auto"/>
              <w:rPr>
                <w:rFonts w:hint="eastAsia" w:ascii="宋体" w:hAnsi="宋体" w:cs="宋体"/>
                <w:color w:val="000000"/>
                <w:szCs w:val="21"/>
              </w:rPr>
            </w:pPr>
          </w:p>
        </w:tc>
        <w:tc>
          <w:tcPr>
            <w:tcW w:w="374" w:type="pct"/>
            <w:noWrap w:val="0"/>
            <w:vAlign w:val="center"/>
          </w:tcPr>
          <w:p w14:paraId="1905AE81">
            <w:pPr>
              <w:keepNext/>
              <w:spacing w:line="360" w:lineRule="auto"/>
              <w:rPr>
                <w:rFonts w:hint="eastAsia" w:ascii="宋体" w:hAnsi="宋体" w:cs="宋体"/>
                <w:color w:val="000000"/>
                <w:szCs w:val="21"/>
              </w:rPr>
            </w:pPr>
          </w:p>
        </w:tc>
        <w:tc>
          <w:tcPr>
            <w:tcW w:w="1730" w:type="pct"/>
            <w:noWrap w:val="0"/>
            <w:vAlign w:val="center"/>
          </w:tcPr>
          <w:p w14:paraId="3C03A9F5">
            <w:pPr>
              <w:keepNext/>
              <w:spacing w:line="360" w:lineRule="auto"/>
              <w:rPr>
                <w:rFonts w:hint="eastAsia" w:ascii="宋体" w:hAnsi="宋体" w:cs="宋体"/>
                <w:color w:val="000000"/>
                <w:szCs w:val="21"/>
              </w:rPr>
            </w:pPr>
          </w:p>
        </w:tc>
        <w:tc>
          <w:tcPr>
            <w:tcW w:w="896" w:type="pct"/>
            <w:noWrap w:val="0"/>
            <w:vAlign w:val="top"/>
          </w:tcPr>
          <w:p w14:paraId="0558B03E">
            <w:pPr>
              <w:keepNext/>
              <w:spacing w:line="360" w:lineRule="auto"/>
              <w:rPr>
                <w:rFonts w:hint="eastAsia" w:ascii="宋体" w:hAnsi="宋体" w:cs="宋体"/>
                <w:color w:val="000000"/>
                <w:szCs w:val="21"/>
              </w:rPr>
            </w:pPr>
          </w:p>
        </w:tc>
      </w:tr>
      <w:tr w14:paraId="0EDE20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13C9AABF">
            <w:pPr>
              <w:spacing w:line="360" w:lineRule="auto"/>
              <w:rPr>
                <w:rFonts w:hint="eastAsia" w:ascii="宋体" w:hAnsi="宋体" w:cs="宋体"/>
                <w:color w:val="000000"/>
                <w:szCs w:val="22"/>
              </w:rPr>
            </w:pPr>
            <w:r>
              <w:rPr>
                <w:rFonts w:hint="eastAsia" w:ascii="宋体" w:hAnsi="宋体" w:cs="宋体"/>
                <w:color w:val="000000"/>
                <w:szCs w:val="22"/>
              </w:rPr>
              <w:t>质检员（质量员）</w:t>
            </w:r>
          </w:p>
        </w:tc>
        <w:tc>
          <w:tcPr>
            <w:tcW w:w="641" w:type="pct"/>
            <w:noWrap w:val="0"/>
            <w:vAlign w:val="center"/>
          </w:tcPr>
          <w:p w14:paraId="62B9C44D">
            <w:pPr>
              <w:keepNext/>
              <w:spacing w:line="360" w:lineRule="auto"/>
              <w:rPr>
                <w:rFonts w:hint="eastAsia" w:ascii="宋体" w:hAnsi="宋体" w:cs="宋体"/>
                <w:color w:val="000000"/>
                <w:szCs w:val="21"/>
              </w:rPr>
            </w:pPr>
          </w:p>
        </w:tc>
        <w:tc>
          <w:tcPr>
            <w:tcW w:w="513" w:type="pct"/>
            <w:noWrap w:val="0"/>
            <w:vAlign w:val="center"/>
          </w:tcPr>
          <w:p w14:paraId="5BD80349">
            <w:pPr>
              <w:keepNext/>
              <w:spacing w:line="360" w:lineRule="auto"/>
              <w:rPr>
                <w:rFonts w:hint="eastAsia" w:ascii="宋体" w:hAnsi="宋体" w:cs="宋体"/>
                <w:color w:val="000000"/>
                <w:szCs w:val="21"/>
              </w:rPr>
            </w:pPr>
          </w:p>
        </w:tc>
        <w:tc>
          <w:tcPr>
            <w:tcW w:w="374" w:type="pct"/>
            <w:noWrap w:val="0"/>
            <w:vAlign w:val="center"/>
          </w:tcPr>
          <w:p w14:paraId="1BE4708D">
            <w:pPr>
              <w:keepNext/>
              <w:spacing w:line="360" w:lineRule="auto"/>
              <w:rPr>
                <w:rFonts w:hint="eastAsia" w:ascii="宋体" w:hAnsi="宋体" w:cs="宋体"/>
                <w:color w:val="000000"/>
                <w:szCs w:val="21"/>
              </w:rPr>
            </w:pPr>
          </w:p>
        </w:tc>
        <w:tc>
          <w:tcPr>
            <w:tcW w:w="1730" w:type="pct"/>
            <w:noWrap w:val="0"/>
            <w:vAlign w:val="center"/>
          </w:tcPr>
          <w:p w14:paraId="6DADFEE6">
            <w:pPr>
              <w:keepNext/>
              <w:spacing w:line="360" w:lineRule="auto"/>
              <w:rPr>
                <w:rFonts w:hint="eastAsia" w:ascii="宋体" w:hAnsi="宋体" w:cs="宋体"/>
                <w:color w:val="000000"/>
                <w:szCs w:val="21"/>
              </w:rPr>
            </w:pPr>
          </w:p>
        </w:tc>
        <w:tc>
          <w:tcPr>
            <w:tcW w:w="896" w:type="pct"/>
            <w:noWrap w:val="0"/>
            <w:vAlign w:val="top"/>
          </w:tcPr>
          <w:p w14:paraId="05A8DB12">
            <w:pPr>
              <w:keepNext/>
              <w:spacing w:line="360" w:lineRule="auto"/>
              <w:rPr>
                <w:rFonts w:hint="eastAsia" w:ascii="宋体" w:hAnsi="宋体" w:cs="宋体"/>
                <w:color w:val="000000"/>
                <w:szCs w:val="21"/>
              </w:rPr>
            </w:pPr>
          </w:p>
        </w:tc>
      </w:tr>
      <w:tr w14:paraId="44D073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22201716">
            <w:pPr>
              <w:spacing w:line="360" w:lineRule="auto"/>
              <w:rPr>
                <w:rFonts w:hint="eastAsia" w:ascii="宋体" w:hAnsi="宋体" w:cs="宋体"/>
                <w:color w:val="000000"/>
                <w:szCs w:val="22"/>
              </w:rPr>
            </w:pPr>
            <w:r>
              <w:rPr>
                <w:rFonts w:hint="eastAsia" w:ascii="宋体" w:hAnsi="宋体" w:cs="宋体"/>
                <w:color w:val="000000"/>
                <w:szCs w:val="22"/>
              </w:rPr>
              <w:t>安全员</w:t>
            </w:r>
          </w:p>
        </w:tc>
        <w:tc>
          <w:tcPr>
            <w:tcW w:w="641" w:type="pct"/>
            <w:noWrap w:val="0"/>
            <w:vAlign w:val="center"/>
          </w:tcPr>
          <w:p w14:paraId="146338BC">
            <w:pPr>
              <w:keepNext/>
              <w:spacing w:line="360" w:lineRule="auto"/>
              <w:rPr>
                <w:rFonts w:hint="eastAsia" w:ascii="宋体" w:hAnsi="宋体" w:cs="宋体"/>
                <w:color w:val="000000"/>
                <w:szCs w:val="21"/>
              </w:rPr>
            </w:pPr>
          </w:p>
        </w:tc>
        <w:tc>
          <w:tcPr>
            <w:tcW w:w="513" w:type="pct"/>
            <w:noWrap w:val="0"/>
            <w:vAlign w:val="center"/>
          </w:tcPr>
          <w:p w14:paraId="06652E14">
            <w:pPr>
              <w:keepNext/>
              <w:spacing w:line="360" w:lineRule="auto"/>
              <w:rPr>
                <w:rFonts w:hint="eastAsia" w:ascii="宋体" w:hAnsi="宋体" w:cs="宋体"/>
                <w:color w:val="000000"/>
                <w:szCs w:val="21"/>
              </w:rPr>
            </w:pPr>
          </w:p>
        </w:tc>
        <w:tc>
          <w:tcPr>
            <w:tcW w:w="374" w:type="pct"/>
            <w:noWrap w:val="0"/>
            <w:vAlign w:val="center"/>
          </w:tcPr>
          <w:p w14:paraId="21E7F6BB">
            <w:pPr>
              <w:keepNext/>
              <w:spacing w:line="360" w:lineRule="auto"/>
              <w:rPr>
                <w:rFonts w:hint="eastAsia" w:ascii="宋体" w:hAnsi="宋体" w:cs="宋体"/>
                <w:color w:val="000000"/>
                <w:szCs w:val="21"/>
              </w:rPr>
            </w:pPr>
          </w:p>
        </w:tc>
        <w:tc>
          <w:tcPr>
            <w:tcW w:w="1730" w:type="pct"/>
            <w:noWrap w:val="0"/>
            <w:vAlign w:val="center"/>
          </w:tcPr>
          <w:p w14:paraId="2C766C89">
            <w:pPr>
              <w:keepNext/>
              <w:spacing w:line="360" w:lineRule="auto"/>
              <w:rPr>
                <w:rFonts w:hint="eastAsia" w:ascii="宋体" w:hAnsi="宋体" w:cs="宋体"/>
                <w:color w:val="000000"/>
                <w:szCs w:val="21"/>
              </w:rPr>
            </w:pPr>
          </w:p>
        </w:tc>
        <w:tc>
          <w:tcPr>
            <w:tcW w:w="896" w:type="pct"/>
            <w:noWrap w:val="0"/>
            <w:vAlign w:val="top"/>
          </w:tcPr>
          <w:p w14:paraId="20F75106">
            <w:pPr>
              <w:keepNext/>
              <w:spacing w:line="360" w:lineRule="auto"/>
              <w:rPr>
                <w:rFonts w:hint="eastAsia" w:ascii="宋体" w:hAnsi="宋体" w:cs="宋体"/>
                <w:color w:val="000000"/>
                <w:szCs w:val="21"/>
              </w:rPr>
            </w:pPr>
          </w:p>
        </w:tc>
      </w:tr>
      <w:tr w14:paraId="76F22F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noWrap w:val="0"/>
            <w:vAlign w:val="top"/>
          </w:tcPr>
          <w:p w14:paraId="2003D53E">
            <w:pPr>
              <w:spacing w:line="360" w:lineRule="auto"/>
              <w:rPr>
                <w:rFonts w:hint="eastAsia" w:ascii="宋体" w:hAnsi="宋体" w:cs="宋体"/>
                <w:color w:val="000000"/>
                <w:szCs w:val="22"/>
              </w:rPr>
            </w:pPr>
            <w:r>
              <w:rPr>
                <w:rFonts w:hint="eastAsia" w:ascii="宋体" w:hAnsi="宋体" w:cs="宋体"/>
                <w:color w:val="000000"/>
                <w:szCs w:val="22"/>
              </w:rPr>
              <w:t>资料员</w:t>
            </w:r>
          </w:p>
        </w:tc>
        <w:tc>
          <w:tcPr>
            <w:tcW w:w="641" w:type="pct"/>
            <w:noWrap w:val="0"/>
            <w:vAlign w:val="center"/>
          </w:tcPr>
          <w:p w14:paraId="43A30368">
            <w:pPr>
              <w:keepNext/>
              <w:spacing w:line="360" w:lineRule="auto"/>
              <w:rPr>
                <w:rFonts w:hint="eastAsia" w:ascii="宋体" w:hAnsi="宋体" w:cs="宋体"/>
                <w:color w:val="000000"/>
                <w:szCs w:val="21"/>
              </w:rPr>
            </w:pPr>
          </w:p>
        </w:tc>
        <w:tc>
          <w:tcPr>
            <w:tcW w:w="513" w:type="pct"/>
            <w:noWrap w:val="0"/>
            <w:vAlign w:val="center"/>
          </w:tcPr>
          <w:p w14:paraId="28CA5A65">
            <w:pPr>
              <w:keepNext/>
              <w:spacing w:line="360" w:lineRule="auto"/>
              <w:rPr>
                <w:rFonts w:hint="eastAsia" w:ascii="宋体" w:hAnsi="宋体" w:cs="宋体"/>
                <w:color w:val="000000"/>
                <w:szCs w:val="21"/>
              </w:rPr>
            </w:pPr>
          </w:p>
        </w:tc>
        <w:tc>
          <w:tcPr>
            <w:tcW w:w="374" w:type="pct"/>
            <w:noWrap w:val="0"/>
            <w:vAlign w:val="center"/>
          </w:tcPr>
          <w:p w14:paraId="3C7439E5">
            <w:pPr>
              <w:keepNext/>
              <w:spacing w:line="360" w:lineRule="auto"/>
              <w:rPr>
                <w:rFonts w:hint="eastAsia" w:ascii="宋体" w:hAnsi="宋体" w:cs="宋体"/>
                <w:color w:val="000000"/>
                <w:szCs w:val="21"/>
              </w:rPr>
            </w:pPr>
          </w:p>
        </w:tc>
        <w:tc>
          <w:tcPr>
            <w:tcW w:w="1730" w:type="pct"/>
            <w:noWrap w:val="0"/>
            <w:vAlign w:val="center"/>
          </w:tcPr>
          <w:p w14:paraId="4CDDA5BB">
            <w:pPr>
              <w:keepNext/>
              <w:spacing w:line="360" w:lineRule="auto"/>
              <w:rPr>
                <w:rFonts w:hint="eastAsia" w:ascii="宋体" w:hAnsi="宋体" w:cs="宋体"/>
                <w:color w:val="000000"/>
                <w:szCs w:val="21"/>
              </w:rPr>
            </w:pPr>
          </w:p>
        </w:tc>
        <w:tc>
          <w:tcPr>
            <w:tcW w:w="896" w:type="pct"/>
            <w:noWrap w:val="0"/>
            <w:vAlign w:val="top"/>
          </w:tcPr>
          <w:p w14:paraId="4E631971">
            <w:pPr>
              <w:keepNext/>
              <w:spacing w:line="360" w:lineRule="auto"/>
              <w:rPr>
                <w:rFonts w:hint="eastAsia" w:ascii="宋体" w:hAnsi="宋体" w:cs="宋体"/>
                <w:color w:val="000000"/>
                <w:szCs w:val="21"/>
              </w:rPr>
            </w:pPr>
          </w:p>
        </w:tc>
      </w:tr>
      <w:tr w14:paraId="0C8BC9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restart"/>
            <w:noWrap w:val="0"/>
            <w:vAlign w:val="center"/>
          </w:tcPr>
          <w:p w14:paraId="795B3C7D">
            <w:pPr>
              <w:keepNext/>
              <w:spacing w:line="360" w:lineRule="auto"/>
              <w:rPr>
                <w:rFonts w:hint="eastAsia" w:ascii="宋体" w:hAnsi="宋体" w:cs="宋体"/>
                <w:color w:val="000000"/>
                <w:szCs w:val="21"/>
              </w:rPr>
            </w:pPr>
            <w:r>
              <w:rPr>
                <w:rFonts w:hint="eastAsia" w:ascii="宋体" w:hAnsi="宋体" w:cs="宋体"/>
                <w:color w:val="000000"/>
                <w:szCs w:val="21"/>
              </w:rPr>
              <w:t>其他人员</w:t>
            </w:r>
          </w:p>
        </w:tc>
        <w:tc>
          <w:tcPr>
            <w:tcW w:w="641" w:type="pct"/>
            <w:noWrap w:val="0"/>
            <w:vAlign w:val="center"/>
          </w:tcPr>
          <w:p w14:paraId="78FC5437">
            <w:pPr>
              <w:keepNext/>
              <w:spacing w:line="360" w:lineRule="auto"/>
              <w:rPr>
                <w:rFonts w:hint="eastAsia" w:ascii="宋体" w:hAnsi="宋体" w:cs="宋体"/>
                <w:color w:val="000000"/>
                <w:szCs w:val="21"/>
              </w:rPr>
            </w:pPr>
          </w:p>
        </w:tc>
        <w:tc>
          <w:tcPr>
            <w:tcW w:w="513" w:type="pct"/>
            <w:noWrap w:val="0"/>
            <w:vAlign w:val="center"/>
          </w:tcPr>
          <w:p w14:paraId="107C6AF8">
            <w:pPr>
              <w:keepNext/>
              <w:spacing w:line="360" w:lineRule="auto"/>
              <w:rPr>
                <w:rFonts w:hint="eastAsia" w:ascii="宋体" w:hAnsi="宋体" w:cs="宋体"/>
                <w:color w:val="000000"/>
                <w:szCs w:val="21"/>
              </w:rPr>
            </w:pPr>
          </w:p>
        </w:tc>
        <w:tc>
          <w:tcPr>
            <w:tcW w:w="374" w:type="pct"/>
            <w:noWrap w:val="0"/>
            <w:vAlign w:val="center"/>
          </w:tcPr>
          <w:p w14:paraId="5982D898">
            <w:pPr>
              <w:keepNext/>
              <w:spacing w:line="360" w:lineRule="auto"/>
              <w:rPr>
                <w:rFonts w:hint="eastAsia" w:ascii="宋体" w:hAnsi="宋体" w:cs="宋体"/>
                <w:color w:val="000000"/>
                <w:szCs w:val="21"/>
              </w:rPr>
            </w:pPr>
          </w:p>
        </w:tc>
        <w:tc>
          <w:tcPr>
            <w:tcW w:w="1730" w:type="pct"/>
            <w:noWrap w:val="0"/>
            <w:vAlign w:val="center"/>
          </w:tcPr>
          <w:p w14:paraId="26AAB8F0">
            <w:pPr>
              <w:keepNext/>
              <w:spacing w:line="360" w:lineRule="auto"/>
              <w:rPr>
                <w:rFonts w:hint="eastAsia" w:ascii="宋体" w:hAnsi="宋体" w:cs="宋体"/>
                <w:color w:val="000000"/>
                <w:szCs w:val="21"/>
              </w:rPr>
            </w:pPr>
          </w:p>
        </w:tc>
        <w:tc>
          <w:tcPr>
            <w:tcW w:w="896" w:type="pct"/>
            <w:noWrap w:val="0"/>
            <w:vAlign w:val="top"/>
          </w:tcPr>
          <w:p w14:paraId="38622765">
            <w:pPr>
              <w:keepNext/>
              <w:spacing w:line="360" w:lineRule="auto"/>
              <w:rPr>
                <w:rFonts w:hint="eastAsia" w:ascii="宋体" w:hAnsi="宋体" w:cs="宋体"/>
                <w:color w:val="000000"/>
                <w:szCs w:val="21"/>
              </w:rPr>
            </w:pPr>
          </w:p>
        </w:tc>
      </w:tr>
      <w:tr w14:paraId="1242C4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1AE625F2">
            <w:pPr>
              <w:keepNext/>
              <w:spacing w:line="360" w:lineRule="auto"/>
              <w:rPr>
                <w:rFonts w:hint="eastAsia" w:ascii="宋体" w:hAnsi="宋体" w:cs="宋体"/>
                <w:color w:val="000000"/>
                <w:szCs w:val="21"/>
              </w:rPr>
            </w:pPr>
          </w:p>
        </w:tc>
        <w:tc>
          <w:tcPr>
            <w:tcW w:w="641" w:type="pct"/>
            <w:tcBorders>
              <w:bottom w:val="nil"/>
            </w:tcBorders>
            <w:noWrap w:val="0"/>
            <w:vAlign w:val="center"/>
          </w:tcPr>
          <w:p w14:paraId="18EFA55A">
            <w:pPr>
              <w:keepNext/>
              <w:spacing w:line="360" w:lineRule="auto"/>
              <w:rPr>
                <w:rFonts w:hint="eastAsia" w:ascii="宋体" w:hAnsi="宋体" w:cs="宋体"/>
                <w:color w:val="000000"/>
                <w:szCs w:val="21"/>
              </w:rPr>
            </w:pPr>
          </w:p>
        </w:tc>
        <w:tc>
          <w:tcPr>
            <w:tcW w:w="513" w:type="pct"/>
            <w:tcBorders>
              <w:bottom w:val="nil"/>
            </w:tcBorders>
            <w:noWrap w:val="0"/>
            <w:vAlign w:val="center"/>
          </w:tcPr>
          <w:p w14:paraId="75DEF166">
            <w:pPr>
              <w:keepNext/>
              <w:spacing w:line="360" w:lineRule="auto"/>
              <w:rPr>
                <w:rFonts w:hint="eastAsia" w:ascii="宋体" w:hAnsi="宋体" w:cs="宋体"/>
                <w:color w:val="000000"/>
                <w:szCs w:val="21"/>
              </w:rPr>
            </w:pPr>
          </w:p>
        </w:tc>
        <w:tc>
          <w:tcPr>
            <w:tcW w:w="374" w:type="pct"/>
            <w:tcBorders>
              <w:bottom w:val="nil"/>
            </w:tcBorders>
            <w:noWrap w:val="0"/>
            <w:vAlign w:val="center"/>
          </w:tcPr>
          <w:p w14:paraId="17EDA1AF">
            <w:pPr>
              <w:keepNext/>
              <w:spacing w:line="360" w:lineRule="auto"/>
              <w:rPr>
                <w:rFonts w:hint="eastAsia" w:ascii="宋体" w:hAnsi="宋体" w:cs="宋体"/>
                <w:color w:val="000000"/>
                <w:szCs w:val="21"/>
              </w:rPr>
            </w:pPr>
          </w:p>
        </w:tc>
        <w:tc>
          <w:tcPr>
            <w:tcW w:w="1730" w:type="pct"/>
            <w:tcBorders>
              <w:bottom w:val="nil"/>
            </w:tcBorders>
            <w:noWrap w:val="0"/>
            <w:vAlign w:val="center"/>
          </w:tcPr>
          <w:p w14:paraId="3D072168">
            <w:pPr>
              <w:keepNext/>
              <w:spacing w:line="360" w:lineRule="auto"/>
              <w:rPr>
                <w:rFonts w:hint="eastAsia" w:ascii="宋体" w:hAnsi="宋体" w:cs="宋体"/>
                <w:color w:val="000000"/>
                <w:szCs w:val="21"/>
              </w:rPr>
            </w:pPr>
          </w:p>
        </w:tc>
        <w:tc>
          <w:tcPr>
            <w:tcW w:w="896" w:type="pct"/>
            <w:tcBorders>
              <w:bottom w:val="nil"/>
            </w:tcBorders>
            <w:noWrap w:val="0"/>
            <w:vAlign w:val="top"/>
          </w:tcPr>
          <w:p w14:paraId="5C36A08F">
            <w:pPr>
              <w:keepNext/>
              <w:spacing w:line="360" w:lineRule="auto"/>
              <w:rPr>
                <w:rFonts w:hint="eastAsia" w:ascii="宋体" w:hAnsi="宋体" w:cs="宋体"/>
                <w:color w:val="000000"/>
                <w:szCs w:val="21"/>
              </w:rPr>
            </w:pPr>
          </w:p>
        </w:tc>
      </w:tr>
      <w:tr w14:paraId="6DBAF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1A718956">
            <w:pPr>
              <w:keepNext/>
              <w:spacing w:line="360" w:lineRule="auto"/>
              <w:rPr>
                <w:rFonts w:hint="eastAsia" w:ascii="宋体" w:hAnsi="宋体" w:cs="宋体"/>
                <w:color w:val="000000"/>
                <w:szCs w:val="21"/>
              </w:rPr>
            </w:pPr>
          </w:p>
        </w:tc>
        <w:tc>
          <w:tcPr>
            <w:tcW w:w="641" w:type="pct"/>
            <w:noWrap w:val="0"/>
            <w:vAlign w:val="center"/>
          </w:tcPr>
          <w:p w14:paraId="6774367C">
            <w:pPr>
              <w:keepNext/>
              <w:spacing w:line="360" w:lineRule="auto"/>
              <w:rPr>
                <w:rFonts w:hint="eastAsia" w:ascii="宋体" w:hAnsi="宋体" w:cs="宋体"/>
                <w:color w:val="000000"/>
                <w:szCs w:val="21"/>
              </w:rPr>
            </w:pPr>
          </w:p>
        </w:tc>
        <w:tc>
          <w:tcPr>
            <w:tcW w:w="513" w:type="pct"/>
            <w:noWrap w:val="0"/>
            <w:vAlign w:val="center"/>
          </w:tcPr>
          <w:p w14:paraId="79AD48F6">
            <w:pPr>
              <w:keepNext/>
              <w:spacing w:line="360" w:lineRule="auto"/>
              <w:rPr>
                <w:rFonts w:hint="eastAsia" w:ascii="宋体" w:hAnsi="宋体" w:cs="宋体"/>
                <w:color w:val="000000"/>
                <w:szCs w:val="21"/>
              </w:rPr>
            </w:pPr>
          </w:p>
        </w:tc>
        <w:tc>
          <w:tcPr>
            <w:tcW w:w="374" w:type="pct"/>
            <w:noWrap w:val="0"/>
            <w:vAlign w:val="center"/>
          </w:tcPr>
          <w:p w14:paraId="3435CFE4">
            <w:pPr>
              <w:keepNext/>
              <w:spacing w:line="360" w:lineRule="auto"/>
              <w:rPr>
                <w:rFonts w:hint="eastAsia" w:ascii="宋体" w:hAnsi="宋体" w:cs="宋体"/>
                <w:color w:val="000000"/>
                <w:szCs w:val="21"/>
              </w:rPr>
            </w:pPr>
          </w:p>
        </w:tc>
        <w:tc>
          <w:tcPr>
            <w:tcW w:w="1730" w:type="pct"/>
            <w:noWrap w:val="0"/>
            <w:vAlign w:val="center"/>
          </w:tcPr>
          <w:p w14:paraId="111740E0">
            <w:pPr>
              <w:keepNext/>
              <w:spacing w:line="360" w:lineRule="auto"/>
              <w:rPr>
                <w:rFonts w:hint="eastAsia" w:ascii="宋体" w:hAnsi="宋体" w:cs="宋体"/>
                <w:color w:val="000000"/>
                <w:szCs w:val="21"/>
              </w:rPr>
            </w:pPr>
          </w:p>
        </w:tc>
        <w:tc>
          <w:tcPr>
            <w:tcW w:w="896" w:type="pct"/>
            <w:noWrap w:val="0"/>
            <w:vAlign w:val="top"/>
          </w:tcPr>
          <w:p w14:paraId="5F1E93D9">
            <w:pPr>
              <w:keepNext/>
              <w:spacing w:line="360" w:lineRule="auto"/>
              <w:rPr>
                <w:rFonts w:hint="eastAsia" w:ascii="宋体" w:hAnsi="宋体" w:cs="宋体"/>
                <w:color w:val="000000"/>
                <w:szCs w:val="21"/>
              </w:rPr>
            </w:pPr>
          </w:p>
        </w:tc>
      </w:tr>
      <w:tr w14:paraId="203655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3CC0408F">
            <w:pPr>
              <w:keepNext/>
              <w:spacing w:line="360" w:lineRule="auto"/>
              <w:rPr>
                <w:rFonts w:hint="eastAsia" w:ascii="宋体" w:hAnsi="宋体" w:cs="宋体"/>
                <w:color w:val="000000"/>
                <w:szCs w:val="21"/>
              </w:rPr>
            </w:pPr>
          </w:p>
        </w:tc>
        <w:tc>
          <w:tcPr>
            <w:tcW w:w="641" w:type="pct"/>
            <w:noWrap w:val="0"/>
            <w:vAlign w:val="center"/>
          </w:tcPr>
          <w:p w14:paraId="1A23BCF7">
            <w:pPr>
              <w:keepNext/>
              <w:spacing w:line="360" w:lineRule="auto"/>
              <w:rPr>
                <w:rFonts w:hint="eastAsia" w:ascii="宋体" w:hAnsi="宋体" w:cs="宋体"/>
                <w:color w:val="000000"/>
                <w:szCs w:val="21"/>
              </w:rPr>
            </w:pPr>
          </w:p>
        </w:tc>
        <w:tc>
          <w:tcPr>
            <w:tcW w:w="513" w:type="pct"/>
            <w:noWrap w:val="0"/>
            <w:vAlign w:val="center"/>
          </w:tcPr>
          <w:p w14:paraId="5190AFB6">
            <w:pPr>
              <w:keepNext/>
              <w:spacing w:line="360" w:lineRule="auto"/>
              <w:rPr>
                <w:rFonts w:hint="eastAsia" w:ascii="宋体" w:hAnsi="宋体" w:cs="宋体"/>
                <w:color w:val="000000"/>
                <w:szCs w:val="21"/>
              </w:rPr>
            </w:pPr>
          </w:p>
        </w:tc>
        <w:tc>
          <w:tcPr>
            <w:tcW w:w="374" w:type="pct"/>
            <w:noWrap w:val="0"/>
            <w:vAlign w:val="center"/>
          </w:tcPr>
          <w:p w14:paraId="0A697DF7">
            <w:pPr>
              <w:keepNext/>
              <w:spacing w:line="360" w:lineRule="auto"/>
              <w:rPr>
                <w:rFonts w:hint="eastAsia" w:ascii="宋体" w:hAnsi="宋体" w:cs="宋体"/>
                <w:color w:val="000000"/>
                <w:szCs w:val="21"/>
              </w:rPr>
            </w:pPr>
          </w:p>
        </w:tc>
        <w:tc>
          <w:tcPr>
            <w:tcW w:w="1730" w:type="pct"/>
            <w:noWrap w:val="0"/>
            <w:vAlign w:val="center"/>
          </w:tcPr>
          <w:p w14:paraId="4710C6AD">
            <w:pPr>
              <w:keepNext/>
              <w:spacing w:line="360" w:lineRule="auto"/>
              <w:rPr>
                <w:rFonts w:hint="eastAsia" w:ascii="宋体" w:hAnsi="宋体" w:cs="宋体"/>
                <w:color w:val="000000"/>
                <w:szCs w:val="21"/>
              </w:rPr>
            </w:pPr>
          </w:p>
        </w:tc>
        <w:tc>
          <w:tcPr>
            <w:tcW w:w="896" w:type="pct"/>
            <w:noWrap w:val="0"/>
            <w:vAlign w:val="top"/>
          </w:tcPr>
          <w:p w14:paraId="44C42A9C">
            <w:pPr>
              <w:keepNext/>
              <w:spacing w:line="360" w:lineRule="auto"/>
              <w:rPr>
                <w:rFonts w:hint="eastAsia" w:ascii="宋体" w:hAnsi="宋体" w:cs="宋体"/>
                <w:color w:val="000000"/>
                <w:szCs w:val="21"/>
              </w:rPr>
            </w:pPr>
          </w:p>
        </w:tc>
      </w:tr>
      <w:tr w14:paraId="1F3BC8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noWrap w:val="0"/>
            <w:vAlign w:val="center"/>
          </w:tcPr>
          <w:p w14:paraId="68A70479">
            <w:pPr>
              <w:keepNext/>
              <w:spacing w:line="360" w:lineRule="auto"/>
              <w:rPr>
                <w:rFonts w:hint="eastAsia" w:ascii="宋体" w:hAnsi="宋体" w:cs="宋体"/>
                <w:color w:val="000000"/>
                <w:szCs w:val="21"/>
              </w:rPr>
            </w:pPr>
          </w:p>
        </w:tc>
        <w:tc>
          <w:tcPr>
            <w:tcW w:w="641" w:type="pct"/>
            <w:noWrap w:val="0"/>
            <w:vAlign w:val="center"/>
          </w:tcPr>
          <w:p w14:paraId="1E59129D">
            <w:pPr>
              <w:keepNext/>
              <w:spacing w:line="360" w:lineRule="auto"/>
              <w:rPr>
                <w:rFonts w:hint="eastAsia" w:ascii="宋体" w:hAnsi="宋体" w:cs="宋体"/>
                <w:color w:val="000000"/>
                <w:szCs w:val="21"/>
              </w:rPr>
            </w:pPr>
          </w:p>
        </w:tc>
        <w:tc>
          <w:tcPr>
            <w:tcW w:w="513" w:type="pct"/>
            <w:noWrap w:val="0"/>
            <w:vAlign w:val="center"/>
          </w:tcPr>
          <w:p w14:paraId="1C3ADE05">
            <w:pPr>
              <w:keepNext/>
              <w:spacing w:line="360" w:lineRule="auto"/>
              <w:rPr>
                <w:rFonts w:hint="eastAsia" w:ascii="宋体" w:hAnsi="宋体" w:cs="宋体"/>
                <w:color w:val="000000"/>
                <w:szCs w:val="21"/>
              </w:rPr>
            </w:pPr>
          </w:p>
        </w:tc>
        <w:tc>
          <w:tcPr>
            <w:tcW w:w="374" w:type="pct"/>
            <w:noWrap w:val="0"/>
            <w:vAlign w:val="center"/>
          </w:tcPr>
          <w:p w14:paraId="7B662B55">
            <w:pPr>
              <w:keepNext/>
              <w:spacing w:line="360" w:lineRule="auto"/>
              <w:rPr>
                <w:rFonts w:hint="eastAsia" w:ascii="宋体" w:hAnsi="宋体" w:cs="宋体"/>
                <w:color w:val="000000"/>
                <w:szCs w:val="21"/>
              </w:rPr>
            </w:pPr>
          </w:p>
        </w:tc>
        <w:tc>
          <w:tcPr>
            <w:tcW w:w="1730" w:type="pct"/>
            <w:noWrap w:val="0"/>
            <w:vAlign w:val="center"/>
          </w:tcPr>
          <w:p w14:paraId="5532B4E8">
            <w:pPr>
              <w:keepNext/>
              <w:spacing w:line="360" w:lineRule="auto"/>
              <w:rPr>
                <w:rFonts w:hint="eastAsia" w:ascii="宋体" w:hAnsi="宋体" w:cs="宋体"/>
                <w:color w:val="000000"/>
                <w:szCs w:val="21"/>
              </w:rPr>
            </w:pPr>
          </w:p>
        </w:tc>
        <w:tc>
          <w:tcPr>
            <w:tcW w:w="896" w:type="pct"/>
            <w:noWrap w:val="0"/>
            <w:vAlign w:val="top"/>
          </w:tcPr>
          <w:p w14:paraId="4F12449A">
            <w:pPr>
              <w:keepNext/>
              <w:spacing w:line="360" w:lineRule="auto"/>
              <w:rPr>
                <w:rFonts w:hint="eastAsia" w:ascii="宋体" w:hAnsi="宋体" w:cs="宋体"/>
                <w:color w:val="000000"/>
                <w:szCs w:val="21"/>
              </w:rPr>
            </w:pPr>
          </w:p>
        </w:tc>
      </w:tr>
      <w:tr w14:paraId="67B22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46" w:type="pct"/>
            <w:vMerge w:val="continue"/>
            <w:tcBorders>
              <w:bottom w:val="single" w:color="auto" w:sz="12" w:space="0"/>
            </w:tcBorders>
            <w:noWrap w:val="0"/>
            <w:vAlign w:val="center"/>
          </w:tcPr>
          <w:p w14:paraId="488B55DA">
            <w:pPr>
              <w:keepNext/>
              <w:spacing w:line="360" w:lineRule="auto"/>
              <w:rPr>
                <w:rFonts w:hint="eastAsia" w:ascii="宋体" w:hAnsi="宋体" w:cs="宋体"/>
                <w:color w:val="000000"/>
                <w:szCs w:val="21"/>
              </w:rPr>
            </w:pPr>
          </w:p>
        </w:tc>
        <w:tc>
          <w:tcPr>
            <w:tcW w:w="641" w:type="pct"/>
            <w:tcBorders>
              <w:bottom w:val="single" w:color="auto" w:sz="12" w:space="0"/>
            </w:tcBorders>
            <w:noWrap w:val="0"/>
            <w:vAlign w:val="center"/>
          </w:tcPr>
          <w:p w14:paraId="66F0D4B0">
            <w:pPr>
              <w:keepNext/>
              <w:spacing w:line="360" w:lineRule="auto"/>
              <w:rPr>
                <w:rFonts w:hint="eastAsia" w:ascii="宋体" w:hAnsi="宋体" w:cs="宋体"/>
                <w:color w:val="000000"/>
                <w:szCs w:val="21"/>
              </w:rPr>
            </w:pPr>
          </w:p>
        </w:tc>
        <w:tc>
          <w:tcPr>
            <w:tcW w:w="513" w:type="pct"/>
            <w:tcBorders>
              <w:bottom w:val="single" w:color="auto" w:sz="12" w:space="0"/>
            </w:tcBorders>
            <w:noWrap w:val="0"/>
            <w:vAlign w:val="center"/>
          </w:tcPr>
          <w:p w14:paraId="300E5678">
            <w:pPr>
              <w:keepNext/>
              <w:spacing w:line="360" w:lineRule="auto"/>
              <w:rPr>
                <w:rFonts w:hint="eastAsia" w:ascii="宋体" w:hAnsi="宋体" w:cs="宋体"/>
                <w:color w:val="000000"/>
                <w:szCs w:val="21"/>
              </w:rPr>
            </w:pPr>
          </w:p>
        </w:tc>
        <w:tc>
          <w:tcPr>
            <w:tcW w:w="374" w:type="pct"/>
            <w:tcBorders>
              <w:bottom w:val="single" w:color="auto" w:sz="12" w:space="0"/>
            </w:tcBorders>
            <w:noWrap w:val="0"/>
            <w:vAlign w:val="center"/>
          </w:tcPr>
          <w:p w14:paraId="5024FEBA">
            <w:pPr>
              <w:keepNext/>
              <w:spacing w:line="360" w:lineRule="auto"/>
              <w:rPr>
                <w:rFonts w:hint="eastAsia" w:ascii="宋体" w:hAnsi="宋体" w:cs="宋体"/>
                <w:color w:val="000000"/>
                <w:szCs w:val="21"/>
              </w:rPr>
            </w:pPr>
          </w:p>
        </w:tc>
        <w:tc>
          <w:tcPr>
            <w:tcW w:w="1730" w:type="pct"/>
            <w:tcBorders>
              <w:bottom w:val="single" w:color="auto" w:sz="12" w:space="0"/>
            </w:tcBorders>
            <w:noWrap w:val="0"/>
            <w:vAlign w:val="center"/>
          </w:tcPr>
          <w:p w14:paraId="6F125130">
            <w:pPr>
              <w:keepNext/>
              <w:spacing w:line="360" w:lineRule="auto"/>
              <w:rPr>
                <w:rFonts w:hint="eastAsia" w:ascii="宋体" w:hAnsi="宋体" w:cs="宋体"/>
                <w:color w:val="000000"/>
                <w:szCs w:val="21"/>
              </w:rPr>
            </w:pPr>
          </w:p>
        </w:tc>
        <w:tc>
          <w:tcPr>
            <w:tcW w:w="896" w:type="pct"/>
            <w:tcBorders>
              <w:bottom w:val="single" w:color="auto" w:sz="12" w:space="0"/>
            </w:tcBorders>
            <w:noWrap w:val="0"/>
            <w:vAlign w:val="top"/>
          </w:tcPr>
          <w:p w14:paraId="145C487F">
            <w:pPr>
              <w:keepNext/>
              <w:spacing w:line="360" w:lineRule="auto"/>
              <w:rPr>
                <w:rFonts w:hint="eastAsia" w:ascii="宋体" w:hAnsi="宋体" w:cs="宋体"/>
                <w:color w:val="000000"/>
                <w:szCs w:val="21"/>
              </w:rPr>
            </w:pPr>
          </w:p>
        </w:tc>
      </w:tr>
    </w:tbl>
    <w:p w14:paraId="6DE6886F">
      <w:pPr>
        <w:keepNext/>
        <w:keepLines/>
        <w:spacing w:before="120" w:after="120" w:line="360" w:lineRule="auto"/>
        <w:jc w:val="left"/>
        <w:outlineLvl w:val="2"/>
        <w:rPr>
          <w:rFonts w:hint="eastAsia" w:ascii="宋体" w:hAnsi="宋体" w:cs="宋体"/>
          <w:bCs/>
          <w:color w:val="000000"/>
          <w:sz w:val="24"/>
        </w:rPr>
      </w:pPr>
      <w:r>
        <w:rPr>
          <w:rFonts w:hint="eastAsia" w:ascii="宋体" w:hAnsi="宋体" w:cs="宋体"/>
          <w:bCs/>
          <w:color w:val="000000"/>
          <w:sz w:val="24"/>
        </w:rPr>
        <w:br w:type="page"/>
      </w:r>
      <w:bookmarkStart w:id="902" w:name="_Toc25726"/>
      <w:bookmarkStart w:id="903" w:name="_Toc7655"/>
      <w:bookmarkStart w:id="904" w:name="_Toc95223495"/>
      <w:r>
        <w:rPr>
          <w:rFonts w:hint="eastAsia" w:ascii="宋体" w:hAnsi="宋体" w:cs="宋体"/>
          <w:bCs/>
          <w:color w:val="000000"/>
          <w:sz w:val="24"/>
        </w:rPr>
        <w:t>附</w:t>
      </w:r>
      <w:bookmarkStart w:id="905" w:name="_Toc296503231"/>
      <w:bookmarkStart w:id="906" w:name="_Toc296891059"/>
      <w:bookmarkStart w:id="907" w:name="_Toc296346732"/>
      <w:bookmarkStart w:id="908" w:name="_Toc296891271"/>
      <w:bookmarkStart w:id="909" w:name="_Toc296944570"/>
      <w:bookmarkStart w:id="910" w:name="_Toc296347230"/>
      <w:r>
        <w:rPr>
          <w:rFonts w:hint="eastAsia" w:ascii="宋体" w:hAnsi="宋体" w:cs="宋体"/>
          <w:bCs/>
          <w:color w:val="000000"/>
          <w:sz w:val="24"/>
        </w:rPr>
        <w:t>件8：廉政协议</w:t>
      </w:r>
      <w:bookmarkEnd w:id="902"/>
      <w:bookmarkEnd w:id="903"/>
      <w:bookmarkEnd w:id="904"/>
    </w:p>
    <w:bookmarkEnd w:id="905"/>
    <w:bookmarkEnd w:id="906"/>
    <w:bookmarkEnd w:id="907"/>
    <w:bookmarkEnd w:id="908"/>
    <w:bookmarkEnd w:id="909"/>
    <w:bookmarkEnd w:id="910"/>
    <w:p w14:paraId="3F405457">
      <w:pPr>
        <w:widowControl/>
        <w:spacing w:line="360" w:lineRule="auto"/>
        <w:ind w:firstLine="641"/>
        <w:jc w:val="center"/>
        <w:rPr>
          <w:rFonts w:hint="eastAsia" w:ascii="宋体" w:hAnsi="宋体" w:cs="宋体"/>
          <w:b/>
          <w:bCs/>
          <w:color w:val="000000"/>
          <w:kern w:val="0"/>
          <w:sz w:val="32"/>
          <w:szCs w:val="32"/>
        </w:rPr>
      </w:pPr>
      <w:bookmarkStart w:id="911" w:name="_Toc95223496"/>
      <w:bookmarkStart w:id="912" w:name="_Toc7607"/>
      <w:bookmarkStart w:id="913" w:name="_Toc9808"/>
      <w:r>
        <w:rPr>
          <w:rFonts w:hint="eastAsia" w:ascii="宋体" w:hAnsi="宋体" w:cs="宋体"/>
          <w:b/>
          <w:bCs/>
          <w:color w:val="000000"/>
          <w:kern w:val="0"/>
          <w:sz w:val="32"/>
          <w:szCs w:val="32"/>
        </w:rPr>
        <w:t>廉 政 协 议</w:t>
      </w:r>
      <w:bookmarkEnd w:id="911"/>
      <w:bookmarkEnd w:id="912"/>
      <w:bookmarkEnd w:id="913"/>
    </w:p>
    <w:p w14:paraId="7E5DF8F2">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为促进双方诚信经营、廉洁从业，防范商业贿赂，保护国家、集体和当事人的合法权益，根据国家有关法律法规和安徽省、项目所在地廉政建设的规定，</w:t>
      </w:r>
      <w:r>
        <w:rPr>
          <w:rFonts w:hint="eastAsia" w:ascii="宋体" w:hAnsi="宋体" w:cs="宋体"/>
          <w:color w:val="000000"/>
          <w:kern w:val="0"/>
          <w:szCs w:val="21"/>
          <w:u w:val="single"/>
        </w:rPr>
        <w:t xml:space="preserve">                 </w:t>
      </w:r>
      <w:r>
        <w:rPr>
          <w:rFonts w:hint="eastAsia" w:ascii="宋体" w:hAnsi="宋体" w:cs="宋体"/>
          <w:color w:val="000000"/>
          <w:kern w:val="0"/>
          <w:szCs w:val="21"/>
        </w:rPr>
        <w:t>(以下称甲方)与</w:t>
      </w:r>
      <w:r>
        <w:rPr>
          <w:rFonts w:hint="eastAsia" w:ascii="宋体" w:hAnsi="宋体" w:cs="宋体"/>
          <w:color w:val="000000"/>
          <w:kern w:val="0"/>
          <w:szCs w:val="21"/>
          <w:u w:val="single"/>
        </w:rPr>
        <w:t xml:space="preserve">                     </w:t>
      </w:r>
      <w:r>
        <w:rPr>
          <w:rFonts w:hint="eastAsia" w:ascii="宋体" w:hAnsi="宋体" w:cs="宋体"/>
          <w:color w:val="000000"/>
          <w:kern w:val="0"/>
          <w:szCs w:val="21"/>
        </w:rPr>
        <w:t>(以下称乙方)，特此订立本协议共同遵照执行。</w:t>
      </w:r>
    </w:p>
    <w:p w14:paraId="61EDAF90">
      <w:pPr>
        <w:widowControl/>
        <w:spacing w:line="360" w:lineRule="auto"/>
        <w:ind w:firstLine="420" w:firstLineChars="200"/>
        <w:jc w:val="left"/>
        <w:rPr>
          <w:rFonts w:hint="eastAsia" w:ascii="宋体" w:hAnsi="宋体" w:cs="宋体"/>
          <w:color w:val="000000"/>
          <w:kern w:val="0"/>
          <w:szCs w:val="21"/>
        </w:rPr>
      </w:pPr>
      <w:bookmarkStart w:id="914" w:name="_Toc21306"/>
      <w:bookmarkStart w:id="915" w:name="_Toc9888"/>
      <w:bookmarkStart w:id="916" w:name="_Toc95223497"/>
      <w:r>
        <w:rPr>
          <w:rFonts w:hint="eastAsia" w:ascii="宋体" w:hAnsi="宋体" w:cs="宋体"/>
          <w:color w:val="000000"/>
          <w:kern w:val="0"/>
          <w:szCs w:val="21"/>
        </w:rPr>
        <w:t>第一条 甲乙双方的权利和义务</w:t>
      </w:r>
      <w:bookmarkEnd w:id="914"/>
      <w:bookmarkEnd w:id="915"/>
      <w:bookmarkEnd w:id="916"/>
    </w:p>
    <w:p w14:paraId="0C3A26A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1CE2AE5F">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（二）严格执行</w:t>
      </w:r>
      <w:r>
        <w:rPr>
          <w:rFonts w:hint="eastAsia" w:ascii="宋体" w:hAnsi="宋体" w:cs="宋体"/>
          <w:color w:val="000000"/>
          <w:kern w:val="0"/>
          <w:szCs w:val="21"/>
          <w:u w:val="single"/>
        </w:rPr>
        <w:t xml:space="preserve">                                </w:t>
      </w:r>
      <w:r>
        <w:rPr>
          <w:rFonts w:hint="eastAsia" w:ascii="宋体" w:hAnsi="宋体" w:cs="宋体"/>
          <w:color w:val="000000"/>
          <w:kern w:val="0"/>
          <w:szCs w:val="21"/>
        </w:rPr>
        <w:t>的合同要求，自觉履行合同约定的相关义务。</w:t>
      </w:r>
    </w:p>
    <w:p w14:paraId="477C61C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（三）在业务活动中坚持公开、公正、诚信、透明的原则，不得损害国家、集体利益。</w:t>
      </w:r>
    </w:p>
    <w:p w14:paraId="4BAAC7D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（四）建立健全廉政制度，开展廉政教育，公布举报电话，监督并认真查处违法违纪行为。</w:t>
      </w:r>
    </w:p>
    <w:p w14:paraId="554A90D5">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（五）发现对方在业务活动中有违反廉政规定的行为，应及时提醒对方纠正。情节严重的，应向其上级有关部门举报、建议给予处理，并有权要求告知处理结果。</w:t>
      </w:r>
    </w:p>
    <w:p w14:paraId="2F378BA1">
      <w:pPr>
        <w:widowControl/>
        <w:spacing w:line="360" w:lineRule="auto"/>
        <w:ind w:firstLine="420" w:firstLineChars="200"/>
        <w:jc w:val="left"/>
        <w:rPr>
          <w:rFonts w:hint="eastAsia" w:ascii="宋体" w:hAnsi="宋体" w:cs="宋体"/>
          <w:color w:val="000000"/>
          <w:kern w:val="0"/>
          <w:szCs w:val="21"/>
        </w:rPr>
      </w:pPr>
      <w:bookmarkStart w:id="917" w:name="_Toc95223498"/>
      <w:bookmarkStart w:id="918" w:name="_Toc1917"/>
      <w:bookmarkStart w:id="919" w:name="_Toc3866"/>
      <w:r>
        <w:rPr>
          <w:rFonts w:hint="eastAsia" w:ascii="宋体" w:hAnsi="宋体" w:cs="宋体"/>
          <w:color w:val="000000"/>
          <w:kern w:val="0"/>
          <w:szCs w:val="21"/>
        </w:rPr>
        <w:t>第二条 甲方的义务</w:t>
      </w:r>
      <w:bookmarkEnd w:id="917"/>
      <w:bookmarkEnd w:id="918"/>
      <w:bookmarkEnd w:id="919"/>
    </w:p>
    <w:p w14:paraId="7661A700">
      <w:pPr>
        <w:widowControl/>
        <w:spacing w:line="360" w:lineRule="auto"/>
        <w:ind w:firstLine="525" w:firstLineChars="250"/>
        <w:jc w:val="left"/>
        <w:rPr>
          <w:rFonts w:hint="eastAsia" w:ascii="宋体" w:hAnsi="宋体" w:cs="宋体"/>
          <w:color w:val="000000"/>
          <w:kern w:val="0"/>
          <w:szCs w:val="21"/>
        </w:rPr>
      </w:pPr>
      <w:r>
        <w:rPr>
          <w:rFonts w:hint="eastAsia" w:ascii="宋体" w:hAnsi="宋体" w:cs="宋体"/>
          <w:color w:val="000000"/>
          <w:kern w:val="0"/>
          <w:szCs w:val="21"/>
        </w:rPr>
        <w:t>(一)甲方及其工作人员不得索要或接受乙方的礼金、有价证券和贵重物品，不得在乙方报销任何应由甲方单位或个人支付的费用等。</w:t>
      </w:r>
    </w:p>
    <w:p w14:paraId="1F06C4FF">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5F59BBD1">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（三） 甲方及其工作人员不得要求或者接受乙方为其住房装修、婚丧嫁娶活动、配偶子女工作安排以及出国出境、旅游等提供方便等。</w:t>
      </w:r>
    </w:p>
    <w:p w14:paraId="2A1E9BDE">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（四） 甲方工作人员不得在乙方有股权关联的企业兼职，不得向乙方介绍家属或者亲友从事与甲方业务有关的经济活动。</w:t>
      </w:r>
    </w:p>
    <w:p w14:paraId="3BA0AB57">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（五）甲方工作人员不得以明显低于市场的价格向乙方购买房屋、汽车等物品；不得以明显高于市场的价格向乙方出售房屋、汽车等物品；不得以其他交易形式非法收受请托人财物。</w:t>
      </w:r>
    </w:p>
    <w:p w14:paraId="76F182AB">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（六）甲方工作人员不得利用职务之便收受乙方以回扣、手续费、加班费、咨询费、劳务费、协调费、辛苦费等各种名义给予或赠送的钱物。</w:t>
      </w:r>
    </w:p>
    <w:p w14:paraId="0CB5691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（七）甲方工作人员不得接受乙方给予或赠送的干股或红利。</w:t>
      </w:r>
    </w:p>
    <w:p w14:paraId="40486B9D">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（八）甲方任何人不得以个人的名义向乙方推荐设备、部件等供货商以及其他合作单位。</w:t>
      </w:r>
    </w:p>
    <w:p w14:paraId="2BA96BA5">
      <w:pPr>
        <w:widowControl/>
        <w:spacing w:line="360" w:lineRule="auto"/>
        <w:ind w:firstLine="420" w:firstLineChars="200"/>
        <w:jc w:val="left"/>
        <w:rPr>
          <w:rFonts w:hint="eastAsia" w:ascii="宋体" w:hAnsi="宋体" w:cs="宋体"/>
          <w:color w:val="000000"/>
          <w:kern w:val="0"/>
          <w:szCs w:val="21"/>
        </w:rPr>
      </w:pPr>
      <w:bookmarkStart w:id="920" w:name="_Toc10556"/>
      <w:bookmarkStart w:id="921" w:name="_Toc95223499"/>
      <w:bookmarkStart w:id="922" w:name="_Toc20831"/>
      <w:r>
        <w:rPr>
          <w:rFonts w:hint="eastAsia" w:ascii="宋体" w:hAnsi="宋体" w:cs="宋体"/>
          <w:color w:val="000000"/>
          <w:kern w:val="0"/>
          <w:szCs w:val="21"/>
        </w:rPr>
        <w:t>第三条 乙方的义务</w:t>
      </w:r>
      <w:bookmarkEnd w:id="920"/>
      <w:bookmarkEnd w:id="921"/>
      <w:bookmarkEnd w:id="922"/>
    </w:p>
    <w:p w14:paraId="0D5C5A9A">
      <w:pPr>
        <w:widowControl/>
        <w:spacing w:line="360" w:lineRule="auto"/>
        <w:ind w:firstLine="525" w:firstLineChars="250"/>
        <w:jc w:val="left"/>
        <w:rPr>
          <w:rFonts w:hint="eastAsia" w:ascii="宋体" w:hAnsi="宋体" w:cs="宋体"/>
          <w:color w:val="000000"/>
          <w:kern w:val="0"/>
          <w:szCs w:val="21"/>
        </w:rPr>
      </w:pPr>
      <w:r>
        <w:rPr>
          <w:rFonts w:hint="eastAsia" w:ascii="宋体" w:hAnsi="宋体" w:cs="宋体"/>
          <w:color w:val="000000"/>
          <w:kern w:val="0"/>
          <w:szCs w:val="21"/>
        </w:rPr>
        <w:t>(一)乙方不得以任何理由向甲方及其工作人员行贿或馈赠礼金、有价证券、贵重礼品。</w:t>
      </w:r>
    </w:p>
    <w:p w14:paraId="43C73AB3">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（二)乙方不得以任何名义为甲方及其工作人员报销应由甲方单位或个人支付的任何费用。</w:t>
      </w:r>
    </w:p>
    <w:p w14:paraId="6A04627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(三)乙方不得以任何理由安排甲方工作人员参加可能影响相关业务公开、公正、公平性的宴请及娱乐活动。</w:t>
      </w:r>
    </w:p>
    <w:p w14:paraId="65084392">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（四）乙方不得为甲方单位和个人购置或提供通讯工具和高档办公用品等物品，也不得为甲方提供与工作无关的房屋、汽车等。</w:t>
      </w:r>
    </w:p>
    <w:p w14:paraId="7D494AED">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（五）乙方不得与甲方工作人员就合同中的质量、数量、价格、工程量、验收等条款进行私下商谈或者达成默契。</w:t>
      </w:r>
    </w:p>
    <w:p w14:paraId="2DDD0495">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（六）乙方不得以回扣、手续费、加班费、咨询费、劳务费、协调费、辛苦费等各种名义向甲方工作人员给予或赠送钱物。</w:t>
      </w:r>
    </w:p>
    <w:p w14:paraId="7BEB860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（七）乙方不得向甲方工作人员提供干股或红利。</w:t>
      </w:r>
    </w:p>
    <w:p w14:paraId="3767CB1C">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（八）乙方须按</w:t>
      </w:r>
      <w:r>
        <w:rPr>
          <w:rFonts w:hint="eastAsia" w:ascii="宋体" w:hAnsi="宋体" w:cs="宋体"/>
          <w:color w:val="000000"/>
          <w:kern w:val="0"/>
          <w:szCs w:val="21"/>
          <w:u w:val="single"/>
        </w:rPr>
        <w:t xml:space="preserve">         </w:t>
      </w:r>
      <w:r>
        <w:rPr>
          <w:rFonts w:hint="eastAsia" w:ascii="宋体" w:hAnsi="宋体" w:cs="宋体"/>
          <w:color w:val="000000"/>
          <w:kern w:val="0"/>
          <w:szCs w:val="21"/>
        </w:rPr>
        <w:t>专项纪检监察工作组(如有)要求开展相关工作。</w:t>
      </w:r>
    </w:p>
    <w:p w14:paraId="7A4FA4F2">
      <w:pPr>
        <w:widowControl/>
        <w:spacing w:line="360" w:lineRule="auto"/>
        <w:ind w:firstLine="420" w:firstLineChars="200"/>
        <w:jc w:val="left"/>
        <w:rPr>
          <w:rFonts w:hint="eastAsia" w:ascii="宋体" w:hAnsi="宋体" w:cs="宋体"/>
          <w:color w:val="000000"/>
          <w:kern w:val="0"/>
          <w:szCs w:val="21"/>
        </w:rPr>
      </w:pPr>
      <w:bookmarkStart w:id="923" w:name="_Toc14507"/>
      <w:bookmarkStart w:id="924" w:name="_Toc95223500"/>
      <w:bookmarkStart w:id="925" w:name="_Toc2198"/>
      <w:r>
        <w:rPr>
          <w:rFonts w:hint="eastAsia" w:ascii="宋体" w:hAnsi="宋体" w:cs="宋体"/>
          <w:color w:val="000000"/>
          <w:kern w:val="0"/>
          <w:szCs w:val="21"/>
        </w:rPr>
        <w:t>第四条 违约责任</w:t>
      </w:r>
      <w:bookmarkEnd w:id="923"/>
      <w:bookmarkEnd w:id="924"/>
      <w:bookmarkEnd w:id="925"/>
    </w:p>
    <w:p w14:paraId="57B00438">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0124D82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甲方投诉联系部门：</w:t>
      </w:r>
      <w:r>
        <w:rPr>
          <w:rFonts w:hint="eastAsia" w:ascii="宋体" w:hAnsi="宋体" w:cs="宋体"/>
          <w:color w:val="000000"/>
          <w:kern w:val="0"/>
          <w:szCs w:val="21"/>
          <w:u w:val="single"/>
        </w:rPr>
        <w:t xml:space="preserve">           </w:t>
      </w:r>
      <w:r>
        <w:rPr>
          <w:rFonts w:hint="eastAsia" w:ascii="宋体" w:hAnsi="宋体" w:cs="宋体"/>
          <w:color w:val="000000"/>
          <w:kern w:val="0"/>
          <w:szCs w:val="21"/>
        </w:rPr>
        <w:t>，联系电话：</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p>
    <w:p w14:paraId="4A44709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（二）乙方及其工作人员违反本协议第一、三条规定。根据具体情节和造成的后果，甲方有权对乙方采取以下一种或多种处理办法：</w:t>
      </w:r>
    </w:p>
    <w:p w14:paraId="240655D3">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 xml:space="preserve">1. 全额收取乙方合同履约保证金不予退还； </w:t>
      </w:r>
    </w:p>
    <w:p w14:paraId="0B9DE33F">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2. 追究乙方其他违约责任；</w:t>
      </w:r>
    </w:p>
    <w:p w14:paraId="1BCCD4B9">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3. 终止或解除双方已签订的包括本合同在内的所有合同；</w:t>
      </w:r>
    </w:p>
    <w:p w14:paraId="20DCF346">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4. 乙方一定期限内（6个月至3年，具体由甲方根据情况而定）不得参与甲方作为发包人（业主）的工程项目投标。</w:t>
      </w:r>
    </w:p>
    <w:p w14:paraId="07FB2132">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甲方作出的处理意见，乙方应无条件接受并承担给甲方造成的损失，全额返还通过不正当手段从甲方获取的非法所得，并承担相应的法律责任。</w:t>
      </w:r>
    </w:p>
    <w:p w14:paraId="09BAA8D2">
      <w:pPr>
        <w:widowControl/>
        <w:spacing w:line="360" w:lineRule="auto"/>
        <w:ind w:firstLine="420" w:firstLineChars="200"/>
        <w:jc w:val="left"/>
        <w:rPr>
          <w:rFonts w:hint="eastAsia" w:ascii="宋体" w:hAnsi="宋体" w:cs="宋体"/>
          <w:color w:val="000000"/>
          <w:kern w:val="0"/>
          <w:szCs w:val="21"/>
        </w:rPr>
      </w:pPr>
      <w:bookmarkStart w:id="926" w:name="_Toc10228"/>
      <w:bookmarkStart w:id="927" w:name="_Toc2334"/>
      <w:bookmarkStart w:id="928" w:name="_Toc95223501"/>
      <w:r>
        <w:rPr>
          <w:rFonts w:hint="eastAsia" w:ascii="宋体" w:hAnsi="宋体" w:cs="宋体"/>
          <w:color w:val="000000"/>
          <w:kern w:val="0"/>
          <w:szCs w:val="21"/>
        </w:rPr>
        <w:t>第五条 双方约定</w:t>
      </w:r>
      <w:bookmarkEnd w:id="926"/>
      <w:bookmarkEnd w:id="927"/>
      <w:bookmarkEnd w:id="928"/>
    </w:p>
    <w:p w14:paraId="045B424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0AA7BB2F">
      <w:pPr>
        <w:widowControl/>
        <w:spacing w:line="360" w:lineRule="auto"/>
        <w:ind w:firstLine="420" w:firstLineChars="200"/>
        <w:jc w:val="left"/>
        <w:rPr>
          <w:rFonts w:hint="eastAsia" w:ascii="宋体" w:hAnsi="宋体" w:cs="宋体"/>
          <w:color w:val="000000"/>
          <w:kern w:val="0"/>
          <w:szCs w:val="21"/>
        </w:rPr>
      </w:pPr>
      <w:bookmarkStart w:id="929" w:name="_Toc95223502"/>
      <w:bookmarkStart w:id="930" w:name="_Toc32140"/>
      <w:bookmarkStart w:id="931" w:name="_Toc17717"/>
      <w:r>
        <w:rPr>
          <w:rFonts w:hint="eastAsia" w:ascii="宋体" w:hAnsi="宋体" w:cs="宋体"/>
          <w:color w:val="000000"/>
          <w:kern w:val="0"/>
          <w:szCs w:val="21"/>
        </w:rPr>
        <w:t>第六条  本协议有效期为甲乙双方签署之日起至合同终止。</w:t>
      </w:r>
      <w:bookmarkEnd w:id="929"/>
      <w:bookmarkEnd w:id="930"/>
      <w:bookmarkEnd w:id="931"/>
      <w:r>
        <w:rPr>
          <w:rFonts w:hint="eastAsia" w:ascii="宋体" w:hAnsi="宋体" w:cs="宋体"/>
          <w:color w:val="000000"/>
          <w:kern w:val="0"/>
          <w:szCs w:val="21"/>
        </w:rPr>
        <w:t xml:space="preserve">  </w:t>
      </w:r>
    </w:p>
    <w:p w14:paraId="64D3B180">
      <w:pPr>
        <w:widowControl/>
        <w:spacing w:line="360" w:lineRule="auto"/>
        <w:ind w:firstLine="420" w:firstLineChars="200"/>
        <w:jc w:val="left"/>
        <w:rPr>
          <w:rFonts w:hint="eastAsia" w:ascii="宋体" w:hAnsi="宋体" w:cs="宋体"/>
          <w:color w:val="000000"/>
          <w:kern w:val="0"/>
          <w:szCs w:val="21"/>
        </w:rPr>
      </w:pPr>
      <w:bookmarkStart w:id="932" w:name="_Toc95223503"/>
      <w:bookmarkStart w:id="933" w:name="_Toc1871"/>
      <w:bookmarkStart w:id="934" w:name="_Toc24032"/>
      <w:r>
        <w:rPr>
          <w:rFonts w:hint="eastAsia" w:ascii="宋体" w:hAnsi="宋体" w:cs="宋体"/>
          <w:color w:val="000000"/>
          <w:kern w:val="0"/>
          <w:szCs w:val="21"/>
        </w:rPr>
        <w:t>第七条  本协议作为合同的附件，与本合同具有同等法律效力。</w:t>
      </w:r>
      <w:bookmarkEnd w:id="932"/>
      <w:bookmarkEnd w:id="933"/>
      <w:bookmarkEnd w:id="934"/>
    </w:p>
    <w:p w14:paraId="48CACDC6">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 xml:space="preserve"> </w:t>
      </w:r>
    </w:p>
    <w:p w14:paraId="477026E5">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 xml:space="preserve">甲方（盖章）：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乙方（盖章）：</w:t>
      </w:r>
      <w:r>
        <w:rPr>
          <w:rFonts w:hint="eastAsia" w:ascii="宋体" w:hAnsi="宋体" w:cs="宋体"/>
          <w:color w:val="000000"/>
          <w:kern w:val="0"/>
          <w:szCs w:val="21"/>
          <w:u w:val="single"/>
        </w:rPr>
        <w:t xml:space="preserve">                      </w:t>
      </w:r>
    </w:p>
    <w:p w14:paraId="0D1FC570">
      <w:pPr>
        <w:widowControl/>
        <w:spacing w:line="360" w:lineRule="auto"/>
        <w:ind w:firstLine="420" w:firstLineChars="200"/>
        <w:jc w:val="left"/>
        <w:rPr>
          <w:rFonts w:hint="eastAsia" w:ascii="宋体" w:hAnsi="宋体" w:cs="宋体"/>
          <w:color w:val="000000"/>
          <w:kern w:val="0"/>
          <w:szCs w:val="21"/>
        </w:rPr>
      </w:pPr>
    </w:p>
    <w:p w14:paraId="602B8195">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法定代表人或                                法定代表人或</w:t>
      </w:r>
    </w:p>
    <w:p w14:paraId="21AD585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授权代表：</w:t>
      </w:r>
      <w:r>
        <w:rPr>
          <w:rFonts w:hint="eastAsia" w:ascii="宋体" w:hAnsi="宋体" w:cs="宋体"/>
          <w:color w:val="000000"/>
          <w:kern w:val="0"/>
          <w:szCs w:val="21"/>
          <w:u w:val="single"/>
        </w:rPr>
        <w:t xml:space="preserve">              </w:t>
      </w:r>
      <w:r>
        <w:rPr>
          <w:rFonts w:hint="eastAsia" w:ascii="宋体" w:hAnsi="宋体" w:cs="宋体"/>
          <w:color w:val="000000"/>
          <w:kern w:val="0"/>
          <w:szCs w:val="21"/>
        </w:rPr>
        <w:t>(职务)              授权代表：</w:t>
      </w:r>
      <w:r>
        <w:rPr>
          <w:rFonts w:hint="eastAsia" w:ascii="宋体" w:hAnsi="宋体" w:cs="宋体"/>
          <w:color w:val="000000"/>
          <w:kern w:val="0"/>
          <w:szCs w:val="21"/>
          <w:u w:val="single"/>
        </w:rPr>
        <w:t xml:space="preserve">             </w:t>
      </w:r>
      <w:r>
        <w:rPr>
          <w:rFonts w:hint="eastAsia" w:ascii="宋体" w:hAnsi="宋体" w:cs="宋体"/>
          <w:color w:val="000000"/>
          <w:kern w:val="0"/>
          <w:szCs w:val="21"/>
        </w:rPr>
        <w:t>(职务)</w:t>
      </w:r>
    </w:p>
    <w:p w14:paraId="207C010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姓名：</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姓名：</w:t>
      </w:r>
      <w:r>
        <w:rPr>
          <w:rFonts w:hint="eastAsia" w:ascii="宋体" w:hAnsi="宋体" w:cs="宋体"/>
          <w:color w:val="000000"/>
          <w:kern w:val="0"/>
          <w:szCs w:val="21"/>
          <w:u w:val="single"/>
        </w:rPr>
        <w:t xml:space="preserve">             </w:t>
      </w:r>
    </w:p>
    <w:p w14:paraId="3ADE98FC">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签字：</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签字：</w:t>
      </w:r>
      <w:r>
        <w:rPr>
          <w:rFonts w:hint="eastAsia" w:ascii="宋体" w:hAnsi="宋体" w:cs="宋体"/>
          <w:color w:val="000000"/>
          <w:kern w:val="0"/>
          <w:szCs w:val="21"/>
          <w:u w:val="single"/>
        </w:rPr>
        <w:t xml:space="preserve">             </w:t>
      </w:r>
    </w:p>
    <w:p w14:paraId="5F795282">
      <w:pPr>
        <w:widowControl/>
        <w:spacing w:line="360" w:lineRule="auto"/>
        <w:ind w:firstLine="420" w:firstLineChars="200"/>
        <w:jc w:val="left"/>
        <w:rPr>
          <w:rFonts w:hint="eastAsia" w:ascii="宋体" w:hAnsi="宋体" w:cs="宋体"/>
          <w:color w:val="000000"/>
          <w:kern w:val="0"/>
          <w:szCs w:val="21"/>
        </w:rPr>
      </w:pPr>
    </w:p>
    <w:p w14:paraId="4BE5BDF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廉政监督联系人                              廉政监督联系人</w:t>
      </w:r>
    </w:p>
    <w:p w14:paraId="41473A6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姓名：</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姓名：</w:t>
      </w:r>
      <w:r>
        <w:rPr>
          <w:rFonts w:hint="eastAsia" w:ascii="宋体" w:hAnsi="宋体" w:cs="宋体"/>
          <w:color w:val="000000"/>
          <w:kern w:val="0"/>
          <w:szCs w:val="21"/>
          <w:u w:val="single"/>
        </w:rPr>
        <w:t xml:space="preserve">                       </w:t>
      </w:r>
    </w:p>
    <w:p w14:paraId="4CC497F7">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签字：</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签字：</w:t>
      </w:r>
      <w:r>
        <w:rPr>
          <w:rFonts w:hint="eastAsia" w:ascii="宋体" w:hAnsi="宋体" w:cs="宋体"/>
          <w:color w:val="000000"/>
          <w:kern w:val="0"/>
          <w:szCs w:val="21"/>
          <w:u w:val="single"/>
        </w:rPr>
        <w:t xml:space="preserve">                       </w:t>
      </w:r>
    </w:p>
    <w:p w14:paraId="65B3392A">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电话：</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电话：</w:t>
      </w:r>
      <w:r>
        <w:rPr>
          <w:rFonts w:hint="eastAsia" w:ascii="宋体" w:hAnsi="宋体" w:cs="宋体"/>
          <w:color w:val="000000"/>
          <w:kern w:val="0"/>
          <w:szCs w:val="21"/>
          <w:u w:val="single"/>
        </w:rPr>
        <w:t xml:space="preserve">                       </w:t>
      </w:r>
    </w:p>
    <w:p w14:paraId="017F93D1">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地址：</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地址：</w:t>
      </w:r>
      <w:r>
        <w:rPr>
          <w:rFonts w:hint="eastAsia" w:ascii="宋体" w:hAnsi="宋体" w:cs="宋体"/>
          <w:color w:val="000000"/>
          <w:kern w:val="0"/>
          <w:szCs w:val="21"/>
          <w:u w:val="single"/>
        </w:rPr>
        <w:t xml:space="preserve">                       </w:t>
      </w:r>
    </w:p>
    <w:p w14:paraId="66B4E8F5">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日期：</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日期：</w:t>
      </w:r>
      <w:r>
        <w:rPr>
          <w:rFonts w:hint="eastAsia" w:ascii="宋体" w:hAnsi="宋体" w:cs="宋体"/>
          <w:color w:val="000000"/>
          <w:kern w:val="0"/>
          <w:szCs w:val="21"/>
          <w:u w:val="single"/>
        </w:rPr>
        <w:t xml:space="preserve">                       </w:t>
      </w:r>
    </w:p>
    <w:p w14:paraId="6775D691">
      <w:pPr>
        <w:keepNext/>
        <w:keepLines/>
        <w:spacing w:before="120" w:after="120" w:line="360" w:lineRule="auto"/>
        <w:jc w:val="left"/>
        <w:outlineLvl w:val="2"/>
        <w:rPr>
          <w:rFonts w:hint="eastAsia" w:ascii="宋体" w:hAnsi="宋体" w:cs="宋体"/>
          <w:color w:val="000000"/>
          <w:szCs w:val="21"/>
        </w:rPr>
      </w:pPr>
      <w:r>
        <w:rPr>
          <w:rFonts w:hint="eastAsia" w:ascii="宋体" w:hAnsi="宋体" w:cs="宋体"/>
          <w:bCs/>
          <w:color w:val="000000"/>
          <w:kern w:val="0"/>
          <w:sz w:val="24"/>
          <w:szCs w:val="21"/>
        </w:rPr>
        <w:br w:type="page"/>
      </w:r>
      <w:bookmarkStart w:id="935" w:name="_Toc95223504"/>
      <w:r>
        <w:rPr>
          <w:rFonts w:hint="eastAsia" w:ascii="宋体" w:hAnsi="宋体" w:cs="宋体"/>
          <w:bCs/>
          <w:color w:val="000000"/>
          <w:sz w:val="24"/>
        </w:rPr>
        <w:t>附件9：履约保证金</w:t>
      </w:r>
      <w:bookmarkEnd w:id="935"/>
    </w:p>
    <w:p w14:paraId="200A71B3">
      <w:pPr>
        <w:adjustRightInd w:val="0"/>
        <w:snapToGrid w:val="0"/>
        <w:spacing w:line="360" w:lineRule="auto"/>
        <w:jc w:val="center"/>
        <w:rPr>
          <w:rFonts w:hint="eastAsia" w:ascii="宋体" w:hAnsi="宋体" w:cs="宋体"/>
          <w:b/>
          <w:bCs/>
          <w:color w:val="000000"/>
          <w:sz w:val="32"/>
          <w:szCs w:val="32"/>
        </w:rPr>
      </w:pPr>
      <w:bookmarkStart w:id="936" w:name="_Toc8655"/>
      <w:bookmarkStart w:id="937" w:name="_Toc95223505"/>
      <w:bookmarkStart w:id="938" w:name="_Toc25855"/>
      <w:r>
        <w:rPr>
          <w:rFonts w:hint="eastAsia" w:ascii="宋体" w:hAnsi="宋体" w:cs="宋体"/>
          <w:b/>
          <w:bCs/>
          <w:color w:val="000000"/>
          <w:sz w:val="32"/>
          <w:szCs w:val="32"/>
        </w:rPr>
        <w:t>履约保函示范文本</w:t>
      </w:r>
      <w:bookmarkEnd w:id="936"/>
      <w:bookmarkEnd w:id="937"/>
      <w:bookmarkEnd w:id="938"/>
    </w:p>
    <w:p w14:paraId="17DE69EE">
      <w:pPr>
        <w:wordWrap w:val="0"/>
        <w:adjustRightInd w:val="0"/>
        <w:snapToGrid w:val="0"/>
        <w:spacing w:line="360" w:lineRule="auto"/>
        <w:jc w:val="right"/>
        <w:rPr>
          <w:rFonts w:hint="eastAsia" w:ascii="宋体" w:hAnsi="宋体" w:cs="宋体"/>
          <w:color w:val="000000"/>
          <w:szCs w:val="21"/>
        </w:rPr>
      </w:pPr>
      <w:r>
        <w:rPr>
          <w:rFonts w:hint="eastAsia" w:ascii="宋体" w:hAnsi="宋体" w:cs="宋体"/>
          <w:color w:val="000000"/>
          <w:szCs w:val="21"/>
        </w:rPr>
        <w:t xml:space="preserve">编号：           </w:t>
      </w:r>
    </w:p>
    <w:p w14:paraId="66CDFEC9">
      <w:pPr>
        <w:adjustRightInd w:val="0"/>
        <w:snapToGrid w:val="0"/>
        <w:spacing w:line="360" w:lineRule="auto"/>
        <w:rPr>
          <w:rFonts w:hint="eastAsia" w:ascii="宋体" w:hAnsi="宋体" w:cs="宋体"/>
          <w:color w:val="000000"/>
          <w:szCs w:val="21"/>
        </w:rPr>
      </w:pPr>
    </w:p>
    <w:p w14:paraId="791C3E11">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u w:val="single"/>
        </w:rPr>
        <w:t xml:space="preserve">              </w:t>
      </w:r>
      <w:r>
        <w:rPr>
          <w:rFonts w:hint="eastAsia" w:ascii="宋体" w:hAnsi="宋体" w:cs="宋体"/>
          <w:color w:val="000000"/>
          <w:szCs w:val="21"/>
        </w:rPr>
        <w:t xml:space="preserve">（受益人名称）： </w:t>
      </w:r>
    </w:p>
    <w:p w14:paraId="1E0481F9">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鉴于</w:t>
      </w:r>
      <w:r>
        <w:rPr>
          <w:rFonts w:hint="eastAsia" w:ascii="宋体" w:hAnsi="宋体" w:cs="宋体"/>
          <w:color w:val="000000"/>
          <w:szCs w:val="21"/>
          <w:u w:val="single"/>
        </w:rPr>
        <w:t xml:space="preserve">        </w:t>
      </w:r>
      <w:r>
        <w:rPr>
          <w:rFonts w:hint="eastAsia" w:ascii="宋体" w:hAnsi="宋体" w:cs="宋体"/>
          <w:color w:val="000000"/>
          <w:szCs w:val="21"/>
        </w:rPr>
        <w:t>（以下简称“受益人”）与</w:t>
      </w:r>
      <w:r>
        <w:rPr>
          <w:rFonts w:hint="eastAsia" w:ascii="宋体" w:hAnsi="宋体" w:cs="宋体"/>
          <w:color w:val="000000"/>
          <w:szCs w:val="21"/>
          <w:u w:val="single"/>
        </w:rPr>
        <w:t xml:space="preserve">         </w:t>
      </w:r>
      <w:r>
        <w:rPr>
          <w:rFonts w:hint="eastAsia" w:ascii="宋体" w:hAnsi="宋体" w:cs="宋体"/>
          <w:color w:val="000000"/>
          <w:szCs w:val="21"/>
        </w:rPr>
        <w:t>（以下简称“申请人”）于</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日就</w:t>
      </w:r>
      <w:r>
        <w:rPr>
          <w:rFonts w:hint="eastAsia" w:ascii="宋体" w:hAnsi="宋体" w:cs="宋体"/>
          <w:snapToGrid w:val="0"/>
          <w:color w:val="000000"/>
          <w:kern w:val="0"/>
          <w:szCs w:val="21"/>
          <w:u w:val="single"/>
        </w:rPr>
        <w:t xml:space="preserve">        </w:t>
      </w:r>
      <w:r>
        <w:rPr>
          <w:rFonts w:hint="eastAsia" w:ascii="宋体" w:hAnsi="宋体" w:cs="宋体"/>
          <w:snapToGrid w:val="0"/>
          <w:color w:val="000000"/>
          <w:kern w:val="0"/>
          <w:szCs w:val="21"/>
        </w:rPr>
        <w:t>（标段编号）的</w:t>
      </w:r>
      <w:r>
        <w:rPr>
          <w:rFonts w:hint="eastAsia" w:ascii="宋体" w:hAnsi="宋体" w:cs="宋体"/>
          <w:snapToGrid w:val="0"/>
          <w:color w:val="000000"/>
          <w:kern w:val="0"/>
          <w:szCs w:val="21"/>
          <w:u w:val="single"/>
        </w:rPr>
        <w:t xml:space="preserve">         </w:t>
      </w:r>
      <w:r>
        <w:rPr>
          <w:rFonts w:hint="eastAsia" w:ascii="宋体" w:hAnsi="宋体" w:cs="宋体"/>
          <w:snapToGrid w:val="0"/>
          <w:color w:val="000000"/>
          <w:kern w:val="0"/>
          <w:szCs w:val="21"/>
        </w:rPr>
        <w:t>（标段名称）</w:t>
      </w:r>
      <w:r>
        <w:rPr>
          <w:rFonts w:hint="eastAsia" w:ascii="宋体" w:hAnsi="宋体" w:cs="宋体"/>
          <w:color w:val="000000"/>
          <w:szCs w:val="21"/>
        </w:rPr>
        <w:t>有关事项协商一致共同签订</w:t>
      </w:r>
      <w:r>
        <w:rPr>
          <w:rFonts w:hint="eastAsia" w:ascii="宋体" w:hAnsi="宋体" w:cs="宋体"/>
          <w:color w:val="000000"/>
          <w:szCs w:val="21"/>
          <w:u w:val="single"/>
        </w:rPr>
        <w:t>《        》</w:t>
      </w:r>
      <w:r>
        <w:rPr>
          <w:rFonts w:hint="eastAsia" w:ascii="宋体" w:hAnsi="宋体" w:cs="宋体"/>
          <w:color w:val="000000"/>
          <w:szCs w:val="21"/>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63F2D6C1">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一、本保函担保范围：承包人未按照基础合同的约定履行义务，应当向受益人承担的违约责任和赔偿因此造成的损失、利息、律师费、诉讼费用等实现债权的费用。</w:t>
      </w:r>
    </w:p>
    <w:p w14:paraId="3483343C">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二、本保函担保金额最高不超过人民币（大写）</w:t>
      </w:r>
      <w:r>
        <w:rPr>
          <w:rFonts w:hint="eastAsia" w:ascii="宋体" w:hAnsi="宋体" w:cs="宋体"/>
          <w:color w:val="000000"/>
          <w:szCs w:val="21"/>
          <w:u w:val="single"/>
        </w:rPr>
        <w:t xml:space="preserve">          </w:t>
      </w:r>
      <w:r>
        <w:rPr>
          <w:rFonts w:hint="eastAsia" w:ascii="宋体" w:hAnsi="宋体" w:cs="宋体"/>
          <w:color w:val="000000"/>
          <w:szCs w:val="21"/>
        </w:rPr>
        <w:t>元（¥</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475A0BCE">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三、本保函有效期自开立之日起至基础合同约定的缺陷责任期满之日止。 </w:t>
      </w:r>
    </w:p>
    <w:p w14:paraId="379869AB">
      <w:pPr>
        <w:adjustRightInd w:val="0"/>
        <w:snapToGrid w:val="0"/>
        <w:spacing w:line="360" w:lineRule="auto"/>
        <w:ind w:firstLine="480"/>
        <w:rPr>
          <w:rFonts w:hint="eastAsia" w:ascii="宋体" w:hAnsi="宋体" w:cs="宋体"/>
          <w:color w:val="000000"/>
          <w:szCs w:val="21"/>
        </w:rPr>
      </w:pPr>
      <w:bookmarkStart w:id="939" w:name="_Hlk40302764"/>
      <w:r>
        <w:rPr>
          <w:rFonts w:hint="eastAsia" w:ascii="宋体" w:hAnsi="宋体" w:cs="宋体"/>
          <w:color w:val="000000"/>
          <w:szCs w:val="21"/>
        </w:rPr>
        <w:t>四、开立人承诺，在收到受益人发来的书面付款通知后的七日内无条件支付，前述书面付款通知即为付款要求之单据，且应满足以下要求：</w:t>
      </w:r>
    </w:p>
    <w:bookmarkEnd w:id="939"/>
    <w:p w14:paraId="046B5C79">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（1）付款通知到达的日期在本保函的有效期内；</w:t>
      </w:r>
    </w:p>
    <w:p w14:paraId="2EBDF048">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（2）载明要求支付的金额；</w:t>
      </w:r>
    </w:p>
    <w:p w14:paraId="3C51C0E8">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（3）载明申请人违反合同义务的条款和内容；</w:t>
      </w:r>
    </w:p>
    <w:p w14:paraId="6D656C40">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（4）声明不存在合同文件约定或我国法律规定免除申请人或开立人支付责任的情形；</w:t>
      </w:r>
    </w:p>
    <w:p w14:paraId="39D683CE">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（5）付款通知应在本保函有效期内到达的地址是：</w:t>
      </w:r>
      <w:r>
        <w:rPr>
          <w:rFonts w:hint="eastAsia" w:ascii="宋体" w:hAnsi="宋体" w:cs="宋体"/>
          <w:color w:val="000000"/>
          <w:szCs w:val="21"/>
          <w:u w:val="single"/>
        </w:rPr>
        <w:t xml:space="preserve">             </w:t>
      </w:r>
      <w:r>
        <w:rPr>
          <w:rFonts w:hint="eastAsia" w:ascii="宋体" w:hAnsi="宋体" w:cs="宋体"/>
          <w:color w:val="000000"/>
          <w:szCs w:val="21"/>
        </w:rPr>
        <w:t>。</w:t>
      </w:r>
    </w:p>
    <w:p w14:paraId="6BD6955B">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 xml:space="preserve">    </w:t>
      </w:r>
      <w:bookmarkStart w:id="940" w:name="_Hlk40303486"/>
      <w:r>
        <w:rPr>
          <w:rFonts w:hint="eastAsia" w:ascii="宋体" w:hAnsi="宋体" w:cs="宋体"/>
          <w:color w:val="000000"/>
          <w:szCs w:val="21"/>
        </w:rPr>
        <w:t>受益人发出的书面付款通知应由其法定代表人（负责人）或授权代理人签字并加盖公章。</w:t>
      </w:r>
      <w:bookmarkEnd w:id="940"/>
    </w:p>
    <w:p w14:paraId="6388B95A">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五、本保函项下的权利不得转让，不得设定担保。受益人未经我方书面同意转 让本保函或其项下任何权利，对我方不发生法律效力。 </w:t>
      </w:r>
    </w:p>
    <w:p w14:paraId="76CD3120">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六、与本保函有关的基础合同不成立、不生效、无效、被撤销、被解除，不影响本保函的独立有效。 </w:t>
      </w:r>
    </w:p>
    <w:p w14:paraId="0053D08E">
      <w:pPr>
        <w:adjustRightInd w:val="0"/>
        <w:snapToGrid w:val="0"/>
        <w:spacing w:line="360" w:lineRule="auto"/>
        <w:ind w:firstLine="420" w:firstLineChars="200"/>
        <w:rPr>
          <w:rFonts w:hint="eastAsia" w:ascii="宋体" w:hAnsi="宋体" w:cs="宋体"/>
          <w:color w:val="000000"/>
          <w:szCs w:val="21"/>
        </w:rPr>
      </w:pPr>
      <w:bookmarkStart w:id="941" w:name="_Hlk40303383"/>
      <w:bookmarkStart w:id="942" w:name="_Hlk40354981"/>
      <w:r>
        <w:rPr>
          <w:rFonts w:hint="eastAsia" w:ascii="宋体" w:hAnsi="宋体" w:cs="宋体"/>
          <w:color w:val="000000"/>
          <w:szCs w:val="21"/>
        </w:rPr>
        <w:t xml:space="preserve">七、本保函项下的义务和责任均在保函有效期到期后自动消灭。 </w:t>
      </w:r>
    </w:p>
    <w:p w14:paraId="3F029539">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八、本保函适用的法律为中华人民共和国法律，因本保函产生的纠纷案件，</w:t>
      </w:r>
      <w:bookmarkEnd w:id="941"/>
      <w:r>
        <w:rPr>
          <w:rFonts w:hint="eastAsia" w:ascii="宋体" w:hAnsi="宋体" w:cs="宋体"/>
          <w:color w:val="000000"/>
          <w:szCs w:val="21"/>
        </w:rPr>
        <w:t xml:space="preserve">由受益人所在地人民法院管辖。 </w:t>
      </w:r>
    </w:p>
    <w:bookmarkEnd w:id="942"/>
    <w:p w14:paraId="7A7DEB52">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九、本保函自我方法定代表人或授权代表签字并加盖公章之日起生效。 </w:t>
      </w:r>
    </w:p>
    <w:p w14:paraId="2B7A0F5D">
      <w:pPr>
        <w:adjustRightInd w:val="0"/>
        <w:snapToGrid w:val="0"/>
        <w:spacing w:line="360" w:lineRule="auto"/>
        <w:ind w:firstLine="420" w:firstLineChars="200"/>
        <w:rPr>
          <w:rFonts w:hint="eastAsia" w:ascii="宋体" w:hAnsi="宋体" w:cs="宋体"/>
          <w:color w:val="000000"/>
          <w:szCs w:val="21"/>
        </w:rPr>
      </w:pPr>
    </w:p>
    <w:p w14:paraId="58FB3C66">
      <w:pPr>
        <w:adjustRightInd w:val="0"/>
        <w:snapToGrid w:val="0"/>
        <w:spacing w:line="360" w:lineRule="auto"/>
        <w:ind w:firstLine="420" w:firstLineChars="200"/>
        <w:rPr>
          <w:rFonts w:hint="eastAsia" w:ascii="宋体" w:hAnsi="宋体" w:cs="宋体"/>
          <w:color w:val="000000"/>
          <w:szCs w:val="21"/>
        </w:rPr>
      </w:pPr>
    </w:p>
    <w:p w14:paraId="4FA1832F">
      <w:pPr>
        <w:adjustRightInd w:val="0"/>
        <w:snapToGrid w:val="0"/>
        <w:spacing w:line="360" w:lineRule="auto"/>
        <w:ind w:firstLine="420" w:firstLineChars="200"/>
        <w:rPr>
          <w:rFonts w:hint="eastAsia" w:ascii="宋体" w:hAnsi="宋体" w:cs="宋体"/>
          <w:color w:val="000000"/>
          <w:szCs w:val="21"/>
        </w:rPr>
      </w:pPr>
    </w:p>
    <w:p w14:paraId="6B6D5681">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开 立 人：</w:t>
      </w:r>
      <w:r>
        <w:rPr>
          <w:rFonts w:hint="eastAsia" w:ascii="宋体" w:hAnsi="宋体" w:cs="宋体"/>
          <w:color w:val="000000"/>
          <w:szCs w:val="21"/>
          <w:u w:val="single"/>
        </w:rPr>
        <w:t xml:space="preserve">                              </w:t>
      </w:r>
      <w:r>
        <w:rPr>
          <w:rFonts w:hint="eastAsia" w:ascii="宋体" w:hAnsi="宋体" w:cs="宋体"/>
          <w:color w:val="000000"/>
          <w:szCs w:val="21"/>
        </w:rPr>
        <w:t xml:space="preserve">（公章） </w:t>
      </w:r>
    </w:p>
    <w:p w14:paraId="17B941D8">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法定代表人（或授权代表）：</w:t>
      </w:r>
      <w:r>
        <w:rPr>
          <w:rFonts w:hint="eastAsia" w:ascii="宋体" w:hAnsi="宋体" w:cs="宋体"/>
          <w:color w:val="000000"/>
          <w:szCs w:val="21"/>
          <w:u w:val="single"/>
        </w:rPr>
        <w:t xml:space="preserve">               </w:t>
      </w:r>
      <w:r>
        <w:rPr>
          <w:rFonts w:hint="eastAsia" w:ascii="宋体" w:hAnsi="宋体" w:cs="宋体"/>
          <w:color w:val="000000"/>
          <w:szCs w:val="21"/>
        </w:rPr>
        <w:t xml:space="preserve">（签字） </w:t>
      </w:r>
    </w:p>
    <w:p w14:paraId="2A6FA8F1">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地    址：</w:t>
      </w:r>
      <w:r>
        <w:rPr>
          <w:rFonts w:hint="eastAsia" w:ascii="宋体" w:hAnsi="宋体" w:cs="宋体"/>
          <w:color w:val="000000"/>
          <w:szCs w:val="21"/>
          <w:u w:val="single"/>
        </w:rPr>
        <w:t xml:space="preserve">                                       </w:t>
      </w:r>
    </w:p>
    <w:p w14:paraId="0AEF4E59">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邮政编码：</w:t>
      </w:r>
      <w:r>
        <w:rPr>
          <w:rFonts w:hint="eastAsia" w:ascii="宋体" w:hAnsi="宋体" w:cs="宋体"/>
          <w:color w:val="000000"/>
          <w:szCs w:val="21"/>
          <w:u w:val="single"/>
        </w:rPr>
        <w:t xml:space="preserve">                 </w:t>
      </w:r>
    </w:p>
    <w:p w14:paraId="1BD6E24D">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电    话：</w:t>
      </w:r>
      <w:r>
        <w:rPr>
          <w:rFonts w:hint="eastAsia" w:ascii="宋体" w:hAnsi="宋体" w:cs="宋体"/>
          <w:color w:val="000000"/>
          <w:szCs w:val="21"/>
          <w:u w:val="single"/>
        </w:rPr>
        <w:t xml:space="preserve">                 </w:t>
      </w:r>
    </w:p>
    <w:p w14:paraId="425CF389">
      <w:pPr>
        <w:adjustRightInd w:val="0"/>
        <w:snapToGrid w:val="0"/>
        <w:spacing w:line="360" w:lineRule="auto"/>
        <w:ind w:firstLine="420" w:firstLineChars="200"/>
        <w:rPr>
          <w:rFonts w:hint="eastAsia" w:ascii="宋体" w:hAnsi="宋体" w:cs="宋体"/>
          <w:color w:val="000000"/>
          <w:szCs w:val="21"/>
          <w:u w:val="single"/>
        </w:rPr>
      </w:pPr>
      <w:r>
        <w:rPr>
          <w:rFonts w:hint="eastAsia" w:ascii="宋体" w:hAnsi="宋体" w:cs="宋体"/>
          <w:color w:val="000000"/>
          <w:szCs w:val="21"/>
        </w:rPr>
        <w:t>传    真：</w:t>
      </w:r>
      <w:r>
        <w:rPr>
          <w:rFonts w:hint="eastAsia" w:ascii="宋体" w:hAnsi="宋体" w:cs="宋体"/>
          <w:color w:val="000000"/>
          <w:szCs w:val="21"/>
          <w:u w:val="single"/>
        </w:rPr>
        <w:t xml:space="preserve">                 </w:t>
      </w:r>
    </w:p>
    <w:p w14:paraId="2DCC2162">
      <w:pPr>
        <w:adjustRightInd w:val="0"/>
        <w:snapToGrid w:val="0"/>
        <w:spacing w:line="360" w:lineRule="auto"/>
        <w:ind w:left="1323" w:leftChars="200" w:hanging="903" w:hangingChars="430"/>
        <w:rPr>
          <w:rFonts w:hint="eastAsia" w:ascii="宋体" w:hAnsi="宋体" w:cs="宋体"/>
          <w:color w:val="000000"/>
          <w:szCs w:val="21"/>
        </w:rPr>
      </w:pPr>
      <w:r>
        <w:rPr>
          <w:rFonts w:hint="eastAsia" w:ascii="宋体" w:hAnsi="宋体" w:cs="宋体"/>
          <w:color w:val="000000"/>
          <w:szCs w:val="21"/>
        </w:rPr>
        <w:t>开立时间：</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44EF6527">
      <w:pPr>
        <w:spacing w:line="360" w:lineRule="auto"/>
        <w:ind w:left="1329" w:hanging="1329" w:hangingChars="633"/>
        <w:rPr>
          <w:rFonts w:hint="eastAsia" w:ascii="宋体" w:hAnsi="宋体" w:cs="宋体"/>
          <w:color w:val="000000"/>
          <w:szCs w:val="21"/>
        </w:rPr>
      </w:pPr>
    </w:p>
    <w:p w14:paraId="1C833B37">
      <w:pPr>
        <w:pStyle w:val="14"/>
        <w:rPr>
          <w:rFonts w:hint="eastAsia"/>
        </w:rPr>
      </w:pPr>
    </w:p>
    <w:p w14:paraId="69C8F633">
      <w:pPr>
        <w:rPr>
          <w:rFonts w:hint="eastAsia"/>
        </w:rPr>
      </w:pPr>
    </w:p>
    <w:p w14:paraId="76400CEE">
      <w:pPr>
        <w:pStyle w:val="14"/>
        <w:rPr>
          <w:rFonts w:hint="eastAsia"/>
        </w:rPr>
      </w:pPr>
    </w:p>
    <w:p w14:paraId="76457BD2">
      <w:pPr>
        <w:rPr>
          <w:rFonts w:hint="eastAsia"/>
        </w:rPr>
      </w:pPr>
    </w:p>
    <w:p w14:paraId="2C88A51B">
      <w:pPr>
        <w:pStyle w:val="14"/>
        <w:rPr>
          <w:rFonts w:hint="eastAsia"/>
        </w:rPr>
      </w:pPr>
    </w:p>
    <w:p w14:paraId="3BCEEA04">
      <w:pPr>
        <w:rPr>
          <w:rFonts w:hint="eastAsia"/>
        </w:rPr>
      </w:pPr>
    </w:p>
    <w:p w14:paraId="4C77474F">
      <w:pPr>
        <w:pStyle w:val="14"/>
        <w:rPr>
          <w:rFonts w:hint="eastAsia"/>
        </w:rPr>
      </w:pPr>
    </w:p>
    <w:p w14:paraId="141AAD89">
      <w:pPr>
        <w:rPr>
          <w:rFonts w:hint="eastAsia"/>
        </w:rPr>
      </w:pPr>
    </w:p>
    <w:p w14:paraId="27F03065">
      <w:pPr>
        <w:pStyle w:val="14"/>
        <w:rPr>
          <w:rFonts w:hint="eastAsia"/>
        </w:rPr>
      </w:pPr>
    </w:p>
    <w:p w14:paraId="69D396E4">
      <w:pPr>
        <w:rPr>
          <w:rFonts w:hint="eastAsia"/>
        </w:rPr>
      </w:pPr>
    </w:p>
    <w:p w14:paraId="39270C67">
      <w:pPr>
        <w:pStyle w:val="14"/>
        <w:rPr>
          <w:rFonts w:hint="eastAsia"/>
        </w:rPr>
      </w:pPr>
    </w:p>
    <w:p w14:paraId="4EF26578">
      <w:pPr>
        <w:rPr>
          <w:rFonts w:hint="eastAsia"/>
        </w:rPr>
      </w:pPr>
    </w:p>
    <w:p w14:paraId="34AF1D57">
      <w:pPr>
        <w:pStyle w:val="14"/>
        <w:rPr>
          <w:rFonts w:hint="eastAsia"/>
        </w:rPr>
      </w:pPr>
    </w:p>
    <w:p w14:paraId="4E2EF806">
      <w:pPr>
        <w:rPr>
          <w:rFonts w:hint="eastAsia"/>
        </w:rPr>
      </w:pPr>
    </w:p>
    <w:p w14:paraId="2795EB99">
      <w:pPr>
        <w:pStyle w:val="14"/>
        <w:rPr>
          <w:rFonts w:hint="eastAsia"/>
        </w:rPr>
      </w:pPr>
    </w:p>
    <w:p w14:paraId="3AD96EBF">
      <w:pPr>
        <w:rPr>
          <w:rFonts w:hint="eastAsia"/>
        </w:rPr>
      </w:pPr>
    </w:p>
    <w:p w14:paraId="306DB33B">
      <w:pPr>
        <w:pStyle w:val="14"/>
        <w:rPr>
          <w:rFonts w:hint="eastAsia"/>
        </w:rPr>
      </w:pPr>
    </w:p>
    <w:p w14:paraId="7CA85646">
      <w:pPr>
        <w:rPr>
          <w:rFonts w:hint="eastAsia"/>
        </w:rPr>
      </w:pPr>
    </w:p>
    <w:p w14:paraId="7761C5F1">
      <w:pPr>
        <w:pStyle w:val="14"/>
        <w:rPr>
          <w:rFonts w:hint="eastAsia"/>
        </w:rPr>
      </w:pPr>
    </w:p>
    <w:p w14:paraId="3789AFD7">
      <w:pPr>
        <w:rPr>
          <w:rFonts w:hint="eastAsia"/>
        </w:rPr>
      </w:pPr>
    </w:p>
    <w:p w14:paraId="7E98CAE6">
      <w:pPr>
        <w:pStyle w:val="14"/>
        <w:rPr>
          <w:rFonts w:hint="eastAsia"/>
        </w:rPr>
      </w:pPr>
    </w:p>
    <w:p w14:paraId="493D1F8E">
      <w:pPr>
        <w:rPr>
          <w:rFonts w:hint="eastAsia"/>
        </w:rPr>
      </w:pPr>
    </w:p>
    <w:p w14:paraId="74A9875F">
      <w:pPr>
        <w:pStyle w:val="14"/>
        <w:rPr>
          <w:rFonts w:hint="eastAsia"/>
        </w:rPr>
      </w:pPr>
    </w:p>
    <w:p w14:paraId="729BAD1F">
      <w:pPr>
        <w:pStyle w:val="14"/>
        <w:ind w:left="0" w:leftChars="0" w:firstLine="0" w:firstLineChars="0"/>
        <w:rPr>
          <w:rFonts w:hint="eastAsia"/>
        </w:rPr>
      </w:pPr>
    </w:p>
    <w:p w14:paraId="7DFF9969">
      <w:pPr>
        <w:pStyle w:val="14"/>
        <w:rPr>
          <w:rFonts w:hint="eastAsia"/>
        </w:rPr>
      </w:pPr>
    </w:p>
    <w:p w14:paraId="010E5067">
      <w:pPr>
        <w:rPr>
          <w:rFonts w:hint="eastAsia"/>
        </w:rPr>
      </w:pPr>
    </w:p>
    <w:p w14:paraId="1FB8C0CE">
      <w:pPr>
        <w:pStyle w:val="14"/>
        <w:rPr>
          <w:rFonts w:hint="eastAsia"/>
        </w:rPr>
      </w:pPr>
    </w:p>
    <w:p w14:paraId="68ACD3C1">
      <w:pPr>
        <w:rPr>
          <w:rFonts w:hint="eastAsia"/>
        </w:rPr>
      </w:pPr>
    </w:p>
    <w:p w14:paraId="67A75671">
      <w:pPr>
        <w:pStyle w:val="14"/>
        <w:rPr>
          <w:rFonts w:hint="eastAsia"/>
        </w:rPr>
      </w:pPr>
    </w:p>
    <w:p w14:paraId="74BCE3F1">
      <w:pPr>
        <w:rPr>
          <w:rFonts w:hint="eastAsia"/>
        </w:rPr>
      </w:pPr>
    </w:p>
    <w:p w14:paraId="4745516D">
      <w:pPr>
        <w:pStyle w:val="14"/>
        <w:rPr>
          <w:rFonts w:hint="eastAsia"/>
        </w:rPr>
      </w:pPr>
    </w:p>
    <w:p w14:paraId="068DC3D3">
      <w:pPr>
        <w:rPr>
          <w:rFonts w:hint="eastAsia"/>
        </w:rPr>
      </w:pPr>
    </w:p>
    <w:p w14:paraId="2F73473A">
      <w:pPr>
        <w:keepNext/>
        <w:keepLines/>
        <w:spacing w:before="120" w:after="120" w:line="360" w:lineRule="auto"/>
        <w:jc w:val="left"/>
        <w:outlineLvl w:val="2"/>
        <w:rPr>
          <w:rFonts w:ascii="宋体" w:hAnsi="宋体" w:cs="宋体"/>
          <w:bCs/>
          <w:color w:val="000000"/>
          <w:sz w:val="24"/>
        </w:rPr>
        <w:sectPr>
          <w:footnotePr>
            <w:numFmt w:val="decimalEnclosedCircleChinese"/>
            <w:numRestart w:val="eachPage"/>
          </w:footnotePr>
          <w:pgSz w:w="11907" w:h="16840"/>
          <w:pgMar w:top="1474" w:right="1474" w:bottom="1474" w:left="1474" w:header="799" w:footer="907" w:gutter="0"/>
          <w:cols w:space="720" w:num="1"/>
          <w:docGrid w:linePitch="271" w:charSpace="0"/>
        </w:sectPr>
      </w:pPr>
      <w:bookmarkStart w:id="943" w:name="_Toc95223508"/>
    </w:p>
    <w:p w14:paraId="0A61C7CA">
      <w:pPr>
        <w:keepNext/>
        <w:keepLines/>
        <w:spacing w:before="120" w:after="120" w:line="360" w:lineRule="auto"/>
        <w:jc w:val="left"/>
        <w:outlineLvl w:val="2"/>
        <w:rPr>
          <w:rFonts w:hint="eastAsia" w:ascii="宋体" w:hAnsi="宋体" w:cs="宋体"/>
          <w:bCs/>
          <w:color w:val="000000"/>
          <w:sz w:val="24"/>
        </w:rPr>
      </w:pPr>
      <w:r>
        <w:rPr>
          <w:rFonts w:hint="eastAsia" w:ascii="宋体" w:hAnsi="宋体" w:cs="宋体"/>
          <w:bCs/>
          <w:color w:val="000000"/>
          <w:sz w:val="24"/>
        </w:rPr>
        <w:t>附</w:t>
      </w:r>
      <w:bookmarkStart w:id="944" w:name="_Toc296346734"/>
      <w:bookmarkStart w:id="945" w:name="_Toc296891273"/>
      <w:bookmarkStart w:id="946" w:name="_Toc296891061"/>
      <w:bookmarkStart w:id="947" w:name="_Toc296944572"/>
      <w:bookmarkStart w:id="948" w:name="_Toc296503233"/>
      <w:bookmarkStart w:id="949" w:name="_Toc296347232"/>
      <w:r>
        <w:rPr>
          <w:rFonts w:hint="eastAsia" w:ascii="宋体" w:hAnsi="宋体" w:cs="宋体"/>
          <w:bCs/>
          <w:color w:val="000000"/>
          <w:sz w:val="24"/>
        </w:rPr>
        <w:t>件10：支付担保</w:t>
      </w:r>
      <w:bookmarkEnd w:id="943"/>
      <w:bookmarkEnd w:id="944"/>
      <w:bookmarkEnd w:id="945"/>
      <w:bookmarkEnd w:id="946"/>
      <w:bookmarkEnd w:id="947"/>
      <w:bookmarkEnd w:id="948"/>
      <w:bookmarkEnd w:id="949"/>
    </w:p>
    <w:p w14:paraId="0656DB22">
      <w:pPr>
        <w:adjustRightInd w:val="0"/>
        <w:snapToGrid w:val="0"/>
        <w:spacing w:line="360" w:lineRule="auto"/>
        <w:jc w:val="center"/>
        <w:rPr>
          <w:rFonts w:hint="eastAsia" w:ascii="宋体" w:hAnsi="宋体" w:cs="宋体"/>
          <w:b/>
          <w:bCs/>
          <w:color w:val="000000"/>
          <w:sz w:val="32"/>
          <w:szCs w:val="32"/>
        </w:rPr>
      </w:pPr>
      <w:bookmarkStart w:id="950" w:name="_Toc95223509"/>
      <w:bookmarkStart w:id="951" w:name="_Toc3562"/>
      <w:bookmarkStart w:id="952" w:name="_Toc8319"/>
      <w:r>
        <w:rPr>
          <w:rFonts w:hint="eastAsia" w:ascii="宋体" w:hAnsi="宋体" w:cs="宋体"/>
          <w:b/>
          <w:bCs/>
          <w:color w:val="000000"/>
          <w:sz w:val="32"/>
          <w:szCs w:val="32"/>
        </w:rPr>
        <w:t>支付保函示范文本</w:t>
      </w:r>
      <w:bookmarkEnd w:id="950"/>
      <w:bookmarkEnd w:id="951"/>
      <w:bookmarkEnd w:id="952"/>
    </w:p>
    <w:p w14:paraId="5329F7DC">
      <w:pPr>
        <w:wordWrap w:val="0"/>
        <w:adjustRightInd w:val="0"/>
        <w:snapToGrid w:val="0"/>
        <w:spacing w:line="360" w:lineRule="auto"/>
        <w:jc w:val="right"/>
        <w:rPr>
          <w:rFonts w:hint="eastAsia" w:ascii="宋体" w:hAnsi="宋体" w:cs="宋体"/>
          <w:color w:val="000000"/>
          <w:szCs w:val="21"/>
        </w:rPr>
      </w:pPr>
      <w:r>
        <w:rPr>
          <w:rFonts w:hint="eastAsia" w:ascii="宋体" w:hAnsi="宋体" w:cs="宋体"/>
          <w:color w:val="000000"/>
          <w:szCs w:val="21"/>
        </w:rPr>
        <w:t xml:space="preserve">编号：           </w:t>
      </w:r>
    </w:p>
    <w:p w14:paraId="35123FB3">
      <w:pPr>
        <w:adjustRightInd w:val="0"/>
        <w:snapToGrid w:val="0"/>
        <w:spacing w:line="360" w:lineRule="auto"/>
        <w:rPr>
          <w:rFonts w:hint="eastAsia" w:ascii="宋体" w:hAnsi="宋体" w:cs="宋体"/>
          <w:color w:val="000000"/>
          <w:szCs w:val="21"/>
        </w:rPr>
      </w:pPr>
    </w:p>
    <w:p w14:paraId="53161247">
      <w:pPr>
        <w:adjustRightInd w:val="0"/>
        <w:snapToGrid w:val="0"/>
        <w:spacing w:line="360" w:lineRule="auto"/>
        <w:rPr>
          <w:rFonts w:hint="eastAsia" w:ascii="宋体" w:hAnsi="宋体" w:cs="宋体"/>
          <w:color w:val="000000"/>
          <w:szCs w:val="21"/>
        </w:rPr>
      </w:pPr>
      <w:bookmarkStart w:id="953" w:name="_Hlk40355074"/>
      <w:r>
        <w:rPr>
          <w:rFonts w:hint="eastAsia" w:ascii="宋体" w:hAnsi="宋体" w:cs="宋体"/>
          <w:color w:val="000000"/>
          <w:szCs w:val="21"/>
          <w:u w:val="single"/>
        </w:rPr>
        <w:t xml:space="preserve">              </w:t>
      </w:r>
      <w:r>
        <w:rPr>
          <w:rFonts w:hint="eastAsia" w:ascii="宋体" w:hAnsi="宋体" w:cs="宋体"/>
          <w:color w:val="000000"/>
          <w:szCs w:val="21"/>
        </w:rPr>
        <w:t xml:space="preserve">（受益人名称）： </w:t>
      </w:r>
    </w:p>
    <w:bookmarkEnd w:id="953"/>
    <w:p w14:paraId="6B7CC4B8">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鉴于</w:t>
      </w:r>
      <w:r>
        <w:rPr>
          <w:rFonts w:hint="eastAsia" w:ascii="宋体" w:hAnsi="宋体" w:cs="宋体"/>
          <w:color w:val="000000"/>
          <w:szCs w:val="21"/>
          <w:u w:val="single"/>
        </w:rPr>
        <w:t xml:space="preserve">        </w:t>
      </w:r>
      <w:r>
        <w:rPr>
          <w:rFonts w:hint="eastAsia" w:ascii="宋体" w:hAnsi="宋体" w:cs="宋体"/>
          <w:color w:val="000000"/>
          <w:szCs w:val="21"/>
        </w:rPr>
        <w:t>（以下简称“受益人”）与</w:t>
      </w:r>
      <w:r>
        <w:rPr>
          <w:rFonts w:hint="eastAsia" w:ascii="宋体" w:hAnsi="宋体" w:cs="宋体"/>
          <w:color w:val="000000"/>
          <w:szCs w:val="21"/>
          <w:u w:val="single"/>
        </w:rPr>
        <w:t xml:space="preserve">         </w:t>
      </w:r>
      <w:r>
        <w:rPr>
          <w:rFonts w:hint="eastAsia" w:ascii="宋体" w:hAnsi="宋体" w:cs="宋体"/>
          <w:color w:val="000000"/>
          <w:szCs w:val="21"/>
        </w:rPr>
        <w:t>（以下简称“申请人”）于</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日就</w:t>
      </w:r>
      <w:r>
        <w:rPr>
          <w:rFonts w:hint="eastAsia" w:ascii="宋体" w:hAnsi="宋体" w:cs="宋体"/>
          <w:snapToGrid w:val="0"/>
          <w:color w:val="000000"/>
          <w:kern w:val="0"/>
          <w:szCs w:val="21"/>
          <w:u w:val="single"/>
        </w:rPr>
        <w:t xml:space="preserve">        </w:t>
      </w:r>
      <w:r>
        <w:rPr>
          <w:rFonts w:hint="eastAsia" w:ascii="宋体" w:hAnsi="宋体" w:cs="宋体"/>
          <w:snapToGrid w:val="0"/>
          <w:color w:val="000000"/>
          <w:kern w:val="0"/>
          <w:szCs w:val="21"/>
        </w:rPr>
        <w:t>（标段编号）的</w:t>
      </w:r>
      <w:r>
        <w:rPr>
          <w:rFonts w:hint="eastAsia" w:ascii="宋体" w:hAnsi="宋体" w:cs="宋体"/>
          <w:snapToGrid w:val="0"/>
          <w:color w:val="000000"/>
          <w:kern w:val="0"/>
          <w:szCs w:val="21"/>
          <w:u w:val="single"/>
        </w:rPr>
        <w:t xml:space="preserve">         </w:t>
      </w:r>
      <w:r>
        <w:rPr>
          <w:rFonts w:hint="eastAsia" w:ascii="宋体" w:hAnsi="宋体" w:cs="宋体"/>
          <w:snapToGrid w:val="0"/>
          <w:color w:val="000000"/>
          <w:kern w:val="0"/>
          <w:szCs w:val="21"/>
        </w:rPr>
        <w:t>（标段名称）</w:t>
      </w:r>
      <w:r>
        <w:rPr>
          <w:rFonts w:hint="eastAsia" w:ascii="宋体" w:hAnsi="宋体" w:cs="宋体"/>
          <w:color w:val="000000"/>
          <w:szCs w:val="21"/>
        </w:rPr>
        <w:t>有关事项协商一致共同签订</w:t>
      </w:r>
      <w:r>
        <w:rPr>
          <w:rFonts w:hint="eastAsia" w:ascii="宋体" w:hAnsi="宋体" w:cs="宋体"/>
          <w:color w:val="000000"/>
          <w:szCs w:val="21"/>
          <w:u w:val="single"/>
        </w:rPr>
        <w:t>《        》</w:t>
      </w:r>
      <w:r>
        <w:rPr>
          <w:rFonts w:hint="eastAsia" w:ascii="宋体" w:hAnsi="宋体" w:cs="宋体"/>
          <w:color w:val="000000"/>
          <w:szCs w:val="21"/>
        </w:rPr>
        <w:t xml:space="preserve">（以下简称基础合同”），开立人根据基础合同了解到申请人为基础合同项下之发包人，受益人为基础合同项下之承包人，基于申请人的请求，开立人同意就申请人履行与受益人签订的基础合同项下的工程款（指基础合同约定的除工程质量保修金以外的工程款）付款义务，向受益人提供不可撤销、不可转让的见索即付独立保函（以下简称“本保函”）。 </w:t>
      </w:r>
    </w:p>
    <w:p w14:paraId="2F49B9DF">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一、本保函担保范围：申请人未履行基础合同约定的工程款支付义务，应当向受益人承担的违约责任和赔偿因此造成的损失、利息、律师费、诉讼费用等实现债权的费用。</w:t>
      </w:r>
    </w:p>
    <w:p w14:paraId="2CB89979">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二、本保函担保金额最高不超过人民币（大写）</w:t>
      </w:r>
      <w:r>
        <w:rPr>
          <w:rFonts w:hint="eastAsia" w:ascii="宋体" w:hAnsi="宋体" w:cs="宋体"/>
          <w:color w:val="000000"/>
          <w:szCs w:val="21"/>
          <w:u w:val="single"/>
        </w:rPr>
        <w:t xml:space="preserve">          </w:t>
      </w:r>
      <w:r>
        <w:rPr>
          <w:rFonts w:hint="eastAsia" w:ascii="宋体" w:hAnsi="宋体" w:cs="宋体"/>
          <w:color w:val="000000"/>
          <w:szCs w:val="21"/>
        </w:rPr>
        <w:t>元（¥</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04EA7776">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三、本保函有效期自开立之日起至基础合同约定的除工程质量保修金以外的全部工程结算款项支付之日后</w:t>
      </w:r>
      <w:r>
        <w:rPr>
          <w:rFonts w:hint="eastAsia" w:ascii="宋体" w:hAnsi="宋体" w:cs="宋体"/>
          <w:color w:val="000000"/>
          <w:szCs w:val="21"/>
          <w:u w:val="single"/>
        </w:rPr>
        <w:t xml:space="preserve">    </w:t>
      </w:r>
      <w:r>
        <w:rPr>
          <w:rFonts w:hint="eastAsia" w:ascii="宋体" w:hAnsi="宋体" w:cs="宋体"/>
          <w:color w:val="000000"/>
          <w:szCs w:val="21"/>
        </w:rPr>
        <w:t xml:space="preserve">日止。 </w:t>
      </w:r>
    </w:p>
    <w:p w14:paraId="135F9CCA">
      <w:pPr>
        <w:adjustRightInd w:val="0"/>
        <w:snapToGrid w:val="0"/>
        <w:spacing w:line="360" w:lineRule="auto"/>
        <w:ind w:firstLine="480"/>
        <w:rPr>
          <w:rFonts w:hint="eastAsia" w:ascii="宋体" w:hAnsi="宋体" w:cs="宋体"/>
          <w:color w:val="000000"/>
          <w:szCs w:val="21"/>
        </w:rPr>
      </w:pPr>
      <w:r>
        <w:rPr>
          <w:rFonts w:hint="eastAsia" w:ascii="宋体" w:hAnsi="宋体" w:cs="宋体"/>
          <w:color w:val="000000"/>
          <w:szCs w:val="21"/>
        </w:rPr>
        <w:t>四、开立人承诺，在收到受益人发来的书面付款通知后的七日内无条件支付，前述书面付款通知即为付款要求之单据，且应满足以下要求：</w:t>
      </w:r>
    </w:p>
    <w:p w14:paraId="7DC97487">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（1）付款通知到达的日期在本保函的有效期内；</w:t>
      </w:r>
    </w:p>
    <w:p w14:paraId="53B4D5CC">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（2）载明要求支付的金额；</w:t>
      </w:r>
    </w:p>
    <w:p w14:paraId="17041966">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（3）载明申请人违反合同义务的条款和内容；</w:t>
      </w:r>
    </w:p>
    <w:p w14:paraId="0B399D41">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（4）声明不存在合同文件约定或我国法律规定免除申请人或开立人支付责任的情形；</w:t>
      </w:r>
    </w:p>
    <w:p w14:paraId="6B1D5494">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（5）付款通知应在本保函有效期内到达的地址是：</w:t>
      </w:r>
      <w:r>
        <w:rPr>
          <w:rFonts w:hint="eastAsia" w:ascii="宋体" w:hAnsi="宋体" w:cs="宋体"/>
          <w:color w:val="000000"/>
          <w:szCs w:val="21"/>
          <w:u w:val="single"/>
        </w:rPr>
        <w:t xml:space="preserve">             </w:t>
      </w:r>
      <w:r>
        <w:rPr>
          <w:rFonts w:hint="eastAsia" w:ascii="宋体" w:hAnsi="宋体" w:cs="宋体"/>
          <w:color w:val="000000"/>
          <w:szCs w:val="21"/>
        </w:rPr>
        <w:t>。</w:t>
      </w:r>
    </w:p>
    <w:p w14:paraId="53877287">
      <w:pPr>
        <w:adjustRightInd w:val="0"/>
        <w:snapToGrid w:val="0"/>
        <w:spacing w:line="360" w:lineRule="auto"/>
        <w:rPr>
          <w:rFonts w:hint="eastAsia" w:ascii="宋体" w:hAnsi="宋体" w:cs="宋体"/>
          <w:color w:val="000000"/>
          <w:szCs w:val="21"/>
        </w:rPr>
      </w:pPr>
      <w:r>
        <w:rPr>
          <w:rFonts w:hint="eastAsia" w:ascii="宋体" w:hAnsi="宋体" w:cs="宋体"/>
          <w:color w:val="000000"/>
          <w:szCs w:val="21"/>
        </w:rPr>
        <w:t xml:space="preserve">    受益人发出的书面付款通知应由其法定代表人（负责人）或授权代理人签字并加盖公章。</w:t>
      </w:r>
    </w:p>
    <w:p w14:paraId="6DFC0EC5">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五、本保函项下的权利不得转让，不得设定担保。受益人未经开立人书面同意转让本保函或其项下任何权利，对开立人不发生法律效力。 </w:t>
      </w:r>
    </w:p>
    <w:p w14:paraId="07452721">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六、本保函项下的基础交易不成立、不生效、无效、被撤销、被解除，不影响本保函的独立有效。</w:t>
      </w:r>
    </w:p>
    <w:p w14:paraId="547C452D">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七、本保函项下的义务和责任均在保函有效期到期后自动消灭。 </w:t>
      </w:r>
    </w:p>
    <w:p w14:paraId="1192801C">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八、本保函适用的法律为中华人民共和国法律，因本保函产生的纠纷案件，由申请人所在地人民法院管辖。 </w:t>
      </w:r>
    </w:p>
    <w:p w14:paraId="7F137F51">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九、本保函自我方法定代表人或授权代表签字并加盖公章之日起生效。 </w:t>
      </w:r>
    </w:p>
    <w:p w14:paraId="65AFC0C0">
      <w:pPr>
        <w:adjustRightInd w:val="0"/>
        <w:snapToGrid w:val="0"/>
        <w:spacing w:line="360" w:lineRule="auto"/>
        <w:ind w:firstLine="420" w:firstLineChars="200"/>
        <w:rPr>
          <w:rFonts w:hint="eastAsia" w:ascii="宋体" w:hAnsi="宋体" w:cs="宋体"/>
          <w:color w:val="000000"/>
          <w:szCs w:val="21"/>
        </w:rPr>
      </w:pPr>
    </w:p>
    <w:p w14:paraId="0B766D9B">
      <w:pPr>
        <w:adjustRightInd w:val="0"/>
        <w:snapToGrid w:val="0"/>
        <w:spacing w:line="360" w:lineRule="auto"/>
        <w:ind w:firstLine="420" w:firstLineChars="200"/>
        <w:rPr>
          <w:rFonts w:hint="eastAsia" w:ascii="宋体" w:hAnsi="宋体" w:cs="宋体"/>
          <w:color w:val="000000"/>
          <w:szCs w:val="21"/>
        </w:rPr>
      </w:pPr>
    </w:p>
    <w:p w14:paraId="3CB074E3">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开 立 人：</w:t>
      </w:r>
      <w:r>
        <w:rPr>
          <w:rFonts w:hint="eastAsia" w:ascii="宋体" w:hAnsi="宋体" w:cs="宋体"/>
          <w:color w:val="000000"/>
          <w:szCs w:val="21"/>
          <w:u w:val="single"/>
        </w:rPr>
        <w:t xml:space="preserve">                              </w:t>
      </w:r>
      <w:r>
        <w:rPr>
          <w:rFonts w:hint="eastAsia" w:ascii="宋体" w:hAnsi="宋体" w:cs="宋体"/>
          <w:color w:val="000000"/>
          <w:szCs w:val="21"/>
        </w:rPr>
        <w:t xml:space="preserve">（公章） </w:t>
      </w:r>
    </w:p>
    <w:p w14:paraId="0280D01C">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法定代表人（或授权代表）：</w:t>
      </w:r>
      <w:r>
        <w:rPr>
          <w:rFonts w:hint="eastAsia" w:ascii="宋体" w:hAnsi="宋体" w:cs="宋体"/>
          <w:color w:val="000000"/>
          <w:szCs w:val="21"/>
          <w:u w:val="single"/>
        </w:rPr>
        <w:t xml:space="preserve">               </w:t>
      </w:r>
      <w:r>
        <w:rPr>
          <w:rFonts w:hint="eastAsia" w:ascii="宋体" w:hAnsi="宋体" w:cs="宋体"/>
          <w:color w:val="000000"/>
          <w:szCs w:val="21"/>
        </w:rPr>
        <w:t xml:space="preserve">（签字） </w:t>
      </w:r>
    </w:p>
    <w:p w14:paraId="51E175D4">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地    址：</w:t>
      </w:r>
      <w:r>
        <w:rPr>
          <w:rFonts w:hint="eastAsia" w:ascii="宋体" w:hAnsi="宋体" w:cs="宋体"/>
          <w:color w:val="000000"/>
          <w:szCs w:val="21"/>
          <w:u w:val="single"/>
        </w:rPr>
        <w:t xml:space="preserve">                                       </w:t>
      </w:r>
    </w:p>
    <w:p w14:paraId="3E98A475">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邮政编码：</w:t>
      </w:r>
      <w:r>
        <w:rPr>
          <w:rFonts w:hint="eastAsia" w:ascii="宋体" w:hAnsi="宋体" w:cs="宋体"/>
          <w:color w:val="000000"/>
          <w:szCs w:val="21"/>
          <w:u w:val="single"/>
        </w:rPr>
        <w:t xml:space="preserve">                 </w:t>
      </w:r>
    </w:p>
    <w:p w14:paraId="5C0C9E62">
      <w:pP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电    话：</w:t>
      </w:r>
      <w:r>
        <w:rPr>
          <w:rFonts w:hint="eastAsia" w:ascii="宋体" w:hAnsi="宋体" w:cs="宋体"/>
          <w:color w:val="000000"/>
          <w:szCs w:val="21"/>
          <w:u w:val="single"/>
        </w:rPr>
        <w:t xml:space="preserve">                 </w:t>
      </w:r>
    </w:p>
    <w:p w14:paraId="2B58F205">
      <w:pPr>
        <w:adjustRightInd w:val="0"/>
        <w:snapToGrid w:val="0"/>
        <w:spacing w:line="360" w:lineRule="auto"/>
        <w:ind w:firstLine="420" w:firstLineChars="200"/>
        <w:rPr>
          <w:rFonts w:hint="eastAsia" w:ascii="宋体" w:hAnsi="宋体" w:cs="宋体"/>
          <w:color w:val="000000"/>
          <w:szCs w:val="21"/>
          <w:u w:val="single"/>
        </w:rPr>
      </w:pPr>
      <w:r>
        <w:rPr>
          <w:rFonts w:hint="eastAsia" w:ascii="宋体" w:hAnsi="宋体" w:cs="宋体"/>
          <w:color w:val="000000"/>
          <w:szCs w:val="21"/>
        </w:rPr>
        <w:t>传    真：</w:t>
      </w:r>
      <w:r>
        <w:rPr>
          <w:rFonts w:hint="eastAsia" w:ascii="宋体" w:hAnsi="宋体" w:cs="宋体"/>
          <w:color w:val="000000"/>
          <w:szCs w:val="21"/>
          <w:u w:val="single"/>
        </w:rPr>
        <w:t xml:space="preserve">                 </w:t>
      </w:r>
    </w:p>
    <w:p w14:paraId="28F623DE">
      <w:pPr>
        <w:adjustRightInd w:val="0"/>
        <w:snapToGrid w:val="0"/>
        <w:spacing w:line="360" w:lineRule="auto"/>
        <w:ind w:left="1323" w:leftChars="200" w:hanging="903" w:hangingChars="430"/>
        <w:rPr>
          <w:rFonts w:hint="eastAsia" w:ascii="宋体" w:hAnsi="宋体" w:cs="宋体"/>
          <w:color w:val="000000"/>
          <w:szCs w:val="21"/>
        </w:rPr>
      </w:pPr>
      <w:r>
        <w:rPr>
          <w:rFonts w:hint="eastAsia" w:ascii="宋体" w:hAnsi="宋体" w:cs="宋体"/>
          <w:color w:val="000000"/>
          <w:szCs w:val="21"/>
        </w:rPr>
        <w:t>开立时间：</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0D107849">
      <w:pPr>
        <w:adjustRightInd w:val="0"/>
        <w:snapToGrid w:val="0"/>
        <w:spacing w:line="360" w:lineRule="auto"/>
        <w:rPr>
          <w:rFonts w:hint="eastAsia" w:ascii="宋体" w:hAnsi="宋体" w:cs="宋体"/>
          <w:color w:val="000000"/>
          <w:szCs w:val="21"/>
        </w:rPr>
      </w:pPr>
    </w:p>
    <w:p w14:paraId="61F38DE4">
      <w:pPr>
        <w:adjustRightInd w:val="0"/>
        <w:snapToGrid w:val="0"/>
        <w:spacing w:line="360" w:lineRule="auto"/>
        <w:rPr>
          <w:rFonts w:hint="eastAsia" w:ascii="宋体" w:hAnsi="宋体" w:cs="宋体"/>
          <w:color w:val="000000"/>
          <w:szCs w:val="21"/>
        </w:rPr>
      </w:pPr>
    </w:p>
    <w:p w14:paraId="02F1FD1A">
      <w:pPr>
        <w:adjustRightInd w:val="0"/>
        <w:snapToGrid w:val="0"/>
        <w:spacing w:line="360" w:lineRule="auto"/>
        <w:rPr>
          <w:rFonts w:hint="eastAsia" w:ascii="宋体" w:hAnsi="宋体" w:cs="宋体"/>
          <w:color w:val="000000"/>
          <w:szCs w:val="21"/>
        </w:rPr>
      </w:pPr>
    </w:p>
    <w:p w14:paraId="75BE426D">
      <w:pPr>
        <w:keepNext/>
        <w:keepLines/>
        <w:adjustRightInd w:val="0"/>
        <w:snapToGrid w:val="0"/>
        <w:spacing w:line="360" w:lineRule="auto"/>
        <w:jc w:val="left"/>
        <w:outlineLvl w:val="2"/>
        <w:rPr>
          <w:rFonts w:hint="eastAsia" w:ascii="宋体" w:hAnsi="宋体" w:cs="宋体"/>
          <w:bCs/>
          <w:color w:val="000000"/>
          <w:sz w:val="24"/>
        </w:rPr>
      </w:pPr>
      <w:r>
        <w:rPr>
          <w:rFonts w:hint="eastAsia" w:ascii="宋体" w:hAnsi="宋体" w:cs="宋体"/>
          <w:bCs/>
          <w:color w:val="000000"/>
          <w:sz w:val="24"/>
        </w:rPr>
        <w:br w:type="page"/>
      </w:r>
      <w:bookmarkStart w:id="954" w:name="_Toc95223510"/>
      <w:r>
        <w:rPr>
          <w:rFonts w:hint="eastAsia" w:ascii="宋体" w:hAnsi="宋体" w:cs="宋体"/>
          <w:bCs/>
          <w:color w:val="000000"/>
          <w:sz w:val="24"/>
        </w:rPr>
        <w:t>附件11：暂估价一览表</w:t>
      </w:r>
      <w:bookmarkEnd w:id="954"/>
    </w:p>
    <w:p w14:paraId="49EE82A1">
      <w:pPr>
        <w:spacing w:before="120" w:beforeLines="50" w:after="120" w:afterLines="50" w:line="440" w:lineRule="exact"/>
        <w:jc w:val="center"/>
        <w:rPr>
          <w:rFonts w:hint="eastAsia" w:ascii="宋体" w:hAnsi="宋体" w:cs="宋体"/>
          <w:color w:val="000000"/>
          <w:szCs w:val="21"/>
        </w:rPr>
      </w:pPr>
      <w:r>
        <w:rPr>
          <w:rFonts w:hint="eastAsia" w:ascii="宋体" w:hAnsi="宋体" w:cs="宋体"/>
          <w:color w:val="000000"/>
          <w:szCs w:val="21"/>
        </w:rPr>
        <w:t>12-1：材料暂估价表</w:t>
      </w:r>
    </w:p>
    <w:tbl>
      <w:tblPr>
        <w:tblStyle w:val="47"/>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6E0265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4D6AF0EF">
            <w:pPr>
              <w:keepNext/>
              <w:spacing w:line="440" w:lineRule="exact"/>
              <w:rPr>
                <w:rFonts w:hint="eastAsia" w:ascii="宋体" w:hAnsi="宋体" w:cs="宋体"/>
                <w:color w:val="000000"/>
                <w:szCs w:val="21"/>
              </w:rPr>
            </w:pPr>
            <w:r>
              <w:rPr>
                <w:rFonts w:hint="eastAsia" w:ascii="宋体" w:hAnsi="宋体" w:cs="宋体"/>
                <w:color w:val="000000"/>
                <w:szCs w:val="21"/>
              </w:rPr>
              <w:t>序号</w:t>
            </w:r>
          </w:p>
        </w:tc>
        <w:tc>
          <w:tcPr>
            <w:tcW w:w="1984" w:type="dxa"/>
            <w:tcBorders>
              <w:top w:val="single" w:color="auto" w:sz="12" w:space="0"/>
              <w:bottom w:val="double" w:color="auto" w:sz="6" w:space="0"/>
            </w:tcBorders>
            <w:noWrap w:val="0"/>
            <w:vAlign w:val="top"/>
          </w:tcPr>
          <w:p w14:paraId="09299411">
            <w:pPr>
              <w:keepNext/>
              <w:spacing w:line="440" w:lineRule="exact"/>
              <w:rPr>
                <w:rFonts w:hint="eastAsia" w:ascii="宋体" w:hAnsi="宋体" w:cs="宋体"/>
                <w:color w:val="000000"/>
                <w:szCs w:val="21"/>
              </w:rPr>
            </w:pPr>
            <w:r>
              <w:rPr>
                <w:rFonts w:hint="eastAsia" w:ascii="宋体" w:hAnsi="宋体" w:cs="宋体"/>
                <w:color w:val="000000"/>
                <w:szCs w:val="21"/>
              </w:rPr>
              <w:t>名称</w:t>
            </w:r>
          </w:p>
        </w:tc>
        <w:tc>
          <w:tcPr>
            <w:tcW w:w="851" w:type="dxa"/>
            <w:tcBorders>
              <w:top w:val="single" w:color="auto" w:sz="12" w:space="0"/>
              <w:bottom w:val="double" w:color="auto" w:sz="6" w:space="0"/>
            </w:tcBorders>
            <w:noWrap w:val="0"/>
            <w:vAlign w:val="top"/>
          </w:tcPr>
          <w:p w14:paraId="3D720567">
            <w:pPr>
              <w:keepNext/>
              <w:spacing w:line="440" w:lineRule="exact"/>
              <w:rPr>
                <w:rFonts w:hint="eastAsia" w:ascii="宋体" w:hAnsi="宋体" w:cs="宋体"/>
                <w:color w:val="000000"/>
                <w:szCs w:val="21"/>
              </w:rPr>
            </w:pPr>
            <w:r>
              <w:rPr>
                <w:rFonts w:hint="eastAsia" w:ascii="宋体" w:hAnsi="宋体" w:cs="宋体"/>
                <w:color w:val="000000"/>
                <w:szCs w:val="21"/>
              </w:rPr>
              <w:t>单位</w:t>
            </w:r>
          </w:p>
        </w:tc>
        <w:tc>
          <w:tcPr>
            <w:tcW w:w="774" w:type="dxa"/>
            <w:tcBorders>
              <w:top w:val="single" w:color="auto" w:sz="12" w:space="0"/>
              <w:bottom w:val="double" w:color="auto" w:sz="6" w:space="0"/>
            </w:tcBorders>
            <w:noWrap w:val="0"/>
            <w:vAlign w:val="top"/>
          </w:tcPr>
          <w:p w14:paraId="16BB018D">
            <w:pPr>
              <w:keepNext/>
              <w:spacing w:line="440" w:lineRule="exact"/>
              <w:rPr>
                <w:rFonts w:hint="eastAsia" w:ascii="宋体" w:hAnsi="宋体" w:cs="宋体"/>
                <w:color w:val="000000"/>
                <w:szCs w:val="21"/>
              </w:rPr>
            </w:pPr>
            <w:r>
              <w:rPr>
                <w:rFonts w:hint="eastAsia" w:ascii="宋体" w:hAnsi="宋体" w:cs="宋体"/>
                <w:color w:val="000000"/>
                <w:szCs w:val="21"/>
              </w:rPr>
              <w:t>数量</w:t>
            </w:r>
          </w:p>
        </w:tc>
        <w:tc>
          <w:tcPr>
            <w:tcW w:w="1352" w:type="dxa"/>
            <w:tcBorders>
              <w:top w:val="single" w:color="auto" w:sz="12" w:space="0"/>
              <w:bottom w:val="double" w:color="auto" w:sz="6" w:space="0"/>
            </w:tcBorders>
            <w:noWrap w:val="0"/>
            <w:vAlign w:val="top"/>
          </w:tcPr>
          <w:p w14:paraId="1D9834B5">
            <w:pPr>
              <w:keepNext/>
              <w:spacing w:line="440" w:lineRule="exact"/>
              <w:rPr>
                <w:rFonts w:hint="eastAsia" w:ascii="宋体" w:hAnsi="宋体" w:cs="宋体"/>
                <w:color w:val="000000"/>
                <w:szCs w:val="21"/>
              </w:rPr>
            </w:pPr>
            <w:r>
              <w:rPr>
                <w:rFonts w:hint="eastAsia" w:ascii="宋体" w:hAnsi="宋体" w:cs="宋体"/>
                <w:color w:val="000000"/>
                <w:szCs w:val="21"/>
              </w:rPr>
              <w:t>单价（元）</w:t>
            </w:r>
          </w:p>
        </w:tc>
        <w:tc>
          <w:tcPr>
            <w:tcW w:w="1418" w:type="dxa"/>
            <w:tcBorders>
              <w:top w:val="single" w:color="auto" w:sz="12" w:space="0"/>
              <w:bottom w:val="double" w:color="auto" w:sz="6" w:space="0"/>
            </w:tcBorders>
            <w:noWrap w:val="0"/>
            <w:vAlign w:val="top"/>
          </w:tcPr>
          <w:p w14:paraId="04DA02AB">
            <w:pPr>
              <w:keepNext/>
              <w:spacing w:line="440" w:lineRule="exact"/>
              <w:rPr>
                <w:rFonts w:hint="eastAsia" w:ascii="宋体" w:hAnsi="宋体" w:cs="宋体"/>
                <w:color w:val="000000"/>
                <w:szCs w:val="21"/>
              </w:rPr>
            </w:pPr>
            <w:r>
              <w:rPr>
                <w:rFonts w:hint="eastAsia" w:ascii="宋体" w:hAnsi="宋体" w:cs="宋体"/>
                <w:color w:val="000000"/>
                <w:szCs w:val="21"/>
              </w:rPr>
              <w:t>合价（元）</w:t>
            </w:r>
          </w:p>
        </w:tc>
        <w:tc>
          <w:tcPr>
            <w:tcW w:w="1701" w:type="dxa"/>
            <w:tcBorders>
              <w:top w:val="single" w:color="auto" w:sz="12" w:space="0"/>
              <w:bottom w:val="double" w:color="auto" w:sz="6" w:space="0"/>
            </w:tcBorders>
            <w:noWrap w:val="0"/>
            <w:vAlign w:val="top"/>
          </w:tcPr>
          <w:p w14:paraId="554A6ADF">
            <w:pPr>
              <w:keepNext/>
              <w:spacing w:line="440" w:lineRule="exact"/>
              <w:rPr>
                <w:rFonts w:hint="eastAsia" w:ascii="宋体" w:hAnsi="宋体" w:cs="宋体"/>
                <w:color w:val="000000"/>
                <w:szCs w:val="21"/>
              </w:rPr>
            </w:pPr>
            <w:r>
              <w:rPr>
                <w:rFonts w:hint="eastAsia" w:ascii="宋体" w:hAnsi="宋体" w:cs="宋体"/>
                <w:color w:val="000000"/>
                <w:szCs w:val="21"/>
              </w:rPr>
              <w:t>备注</w:t>
            </w:r>
          </w:p>
        </w:tc>
      </w:tr>
      <w:tr w14:paraId="5E154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6474CEAA">
            <w:pPr>
              <w:keepNext/>
              <w:spacing w:line="440" w:lineRule="exact"/>
              <w:rPr>
                <w:rFonts w:hint="eastAsia" w:ascii="宋体" w:hAnsi="宋体" w:cs="宋体"/>
                <w:color w:val="000000"/>
                <w:szCs w:val="21"/>
              </w:rPr>
            </w:pPr>
          </w:p>
        </w:tc>
        <w:tc>
          <w:tcPr>
            <w:tcW w:w="1984" w:type="dxa"/>
            <w:tcBorders>
              <w:top w:val="double" w:color="auto" w:sz="6" w:space="0"/>
            </w:tcBorders>
            <w:noWrap w:val="0"/>
            <w:vAlign w:val="top"/>
          </w:tcPr>
          <w:p w14:paraId="264AD185">
            <w:pPr>
              <w:keepNext/>
              <w:spacing w:line="440" w:lineRule="exact"/>
              <w:rPr>
                <w:rFonts w:hint="eastAsia" w:ascii="宋体" w:hAnsi="宋体" w:cs="宋体"/>
                <w:color w:val="000000"/>
                <w:szCs w:val="21"/>
              </w:rPr>
            </w:pPr>
          </w:p>
        </w:tc>
        <w:tc>
          <w:tcPr>
            <w:tcW w:w="851" w:type="dxa"/>
            <w:tcBorders>
              <w:top w:val="double" w:color="auto" w:sz="6" w:space="0"/>
            </w:tcBorders>
            <w:noWrap w:val="0"/>
            <w:vAlign w:val="top"/>
          </w:tcPr>
          <w:p w14:paraId="544669AE">
            <w:pPr>
              <w:keepNext/>
              <w:spacing w:line="440" w:lineRule="exact"/>
              <w:rPr>
                <w:rFonts w:hint="eastAsia" w:ascii="宋体" w:hAnsi="宋体" w:cs="宋体"/>
                <w:color w:val="000000"/>
                <w:szCs w:val="21"/>
              </w:rPr>
            </w:pPr>
          </w:p>
        </w:tc>
        <w:tc>
          <w:tcPr>
            <w:tcW w:w="774" w:type="dxa"/>
            <w:tcBorders>
              <w:top w:val="double" w:color="auto" w:sz="6" w:space="0"/>
            </w:tcBorders>
            <w:noWrap w:val="0"/>
            <w:vAlign w:val="top"/>
          </w:tcPr>
          <w:p w14:paraId="19E9DE36">
            <w:pPr>
              <w:keepNext/>
              <w:spacing w:line="440" w:lineRule="exact"/>
              <w:rPr>
                <w:rFonts w:hint="eastAsia" w:ascii="宋体" w:hAnsi="宋体" w:cs="宋体"/>
                <w:color w:val="000000"/>
                <w:szCs w:val="21"/>
              </w:rPr>
            </w:pPr>
          </w:p>
        </w:tc>
        <w:tc>
          <w:tcPr>
            <w:tcW w:w="1352" w:type="dxa"/>
            <w:tcBorders>
              <w:top w:val="double" w:color="auto" w:sz="6" w:space="0"/>
            </w:tcBorders>
            <w:noWrap w:val="0"/>
            <w:vAlign w:val="top"/>
          </w:tcPr>
          <w:p w14:paraId="3D3C18DF">
            <w:pPr>
              <w:keepNext/>
              <w:spacing w:line="440" w:lineRule="exact"/>
              <w:rPr>
                <w:rFonts w:hint="eastAsia" w:ascii="宋体" w:hAnsi="宋体" w:cs="宋体"/>
                <w:color w:val="000000"/>
                <w:szCs w:val="21"/>
              </w:rPr>
            </w:pPr>
          </w:p>
        </w:tc>
        <w:tc>
          <w:tcPr>
            <w:tcW w:w="1418" w:type="dxa"/>
            <w:tcBorders>
              <w:top w:val="double" w:color="auto" w:sz="6" w:space="0"/>
            </w:tcBorders>
            <w:noWrap w:val="0"/>
            <w:vAlign w:val="top"/>
          </w:tcPr>
          <w:p w14:paraId="7BF16C5C">
            <w:pPr>
              <w:keepNext/>
              <w:spacing w:line="440" w:lineRule="exact"/>
              <w:rPr>
                <w:rFonts w:hint="eastAsia" w:ascii="宋体" w:hAnsi="宋体" w:cs="宋体"/>
                <w:color w:val="000000"/>
                <w:szCs w:val="21"/>
              </w:rPr>
            </w:pPr>
          </w:p>
        </w:tc>
        <w:tc>
          <w:tcPr>
            <w:tcW w:w="1701" w:type="dxa"/>
            <w:tcBorders>
              <w:top w:val="double" w:color="auto" w:sz="6" w:space="0"/>
            </w:tcBorders>
            <w:noWrap w:val="0"/>
            <w:vAlign w:val="top"/>
          </w:tcPr>
          <w:p w14:paraId="2529EC6D">
            <w:pPr>
              <w:keepNext/>
              <w:spacing w:line="440" w:lineRule="exact"/>
              <w:rPr>
                <w:rFonts w:hint="eastAsia" w:ascii="宋体" w:hAnsi="宋体" w:cs="宋体"/>
                <w:color w:val="000000"/>
                <w:szCs w:val="21"/>
              </w:rPr>
            </w:pPr>
          </w:p>
        </w:tc>
      </w:tr>
      <w:tr w14:paraId="4989DF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247A9BCB">
            <w:pPr>
              <w:keepNext/>
              <w:spacing w:line="440" w:lineRule="exact"/>
              <w:rPr>
                <w:rFonts w:hint="eastAsia" w:ascii="宋体" w:hAnsi="宋体" w:cs="宋体"/>
                <w:color w:val="000000"/>
                <w:szCs w:val="21"/>
              </w:rPr>
            </w:pPr>
          </w:p>
        </w:tc>
        <w:tc>
          <w:tcPr>
            <w:tcW w:w="1984" w:type="dxa"/>
            <w:tcBorders>
              <w:top w:val="nil"/>
            </w:tcBorders>
            <w:noWrap w:val="0"/>
            <w:vAlign w:val="top"/>
          </w:tcPr>
          <w:p w14:paraId="19624C60">
            <w:pPr>
              <w:keepNext/>
              <w:spacing w:line="440" w:lineRule="exact"/>
              <w:rPr>
                <w:rFonts w:hint="eastAsia" w:ascii="宋体" w:hAnsi="宋体" w:cs="宋体"/>
                <w:color w:val="000000"/>
                <w:szCs w:val="21"/>
              </w:rPr>
            </w:pPr>
          </w:p>
        </w:tc>
        <w:tc>
          <w:tcPr>
            <w:tcW w:w="851" w:type="dxa"/>
            <w:tcBorders>
              <w:top w:val="nil"/>
            </w:tcBorders>
            <w:noWrap w:val="0"/>
            <w:vAlign w:val="top"/>
          </w:tcPr>
          <w:p w14:paraId="2B40EDF4">
            <w:pPr>
              <w:keepNext/>
              <w:spacing w:line="440" w:lineRule="exact"/>
              <w:rPr>
                <w:rFonts w:hint="eastAsia" w:ascii="宋体" w:hAnsi="宋体" w:cs="宋体"/>
                <w:color w:val="000000"/>
                <w:szCs w:val="21"/>
              </w:rPr>
            </w:pPr>
          </w:p>
        </w:tc>
        <w:tc>
          <w:tcPr>
            <w:tcW w:w="774" w:type="dxa"/>
            <w:tcBorders>
              <w:top w:val="nil"/>
            </w:tcBorders>
            <w:noWrap w:val="0"/>
            <w:vAlign w:val="top"/>
          </w:tcPr>
          <w:p w14:paraId="54542D99">
            <w:pPr>
              <w:keepNext/>
              <w:spacing w:line="440" w:lineRule="exact"/>
              <w:rPr>
                <w:rFonts w:hint="eastAsia" w:ascii="宋体" w:hAnsi="宋体" w:cs="宋体"/>
                <w:color w:val="000000"/>
                <w:szCs w:val="21"/>
              </w:rPr>
            </w:pPr>
          </w:p>
        </w:tc>
        <w:tc>
          <w:tcPr>
            <w:tcW w:w="1352" w:type="dxa"/>
            <w:tcBorders>
              <w:top w:val="nil"/>
            </w:tcBorders>
            <w:noWrap w:val="0"/>
            <w:vAlign w:val="top"/>
          </w:tcPr>
          <w:p w14:paraId="540F960C">
            <w:pPr>
              <w:keepNext/>
              <w:spacing w:line="440" w:lineRule="exact"/>
              <w:rPr>
                <w:rFonts w:hint="eastAsia" w:ascii="宋体" w:hAnsi="宋体" w:cs="宋体"/>
                <w:color w:val="000000"/>
                <w:szCs w:val="21"/>
              </w:rPr>
            </w:pPr>
          </w:p>
        </w:tc>
        <w:tc>
          <w:tcPr>
            <w:tcW w:w="1418" w:type="dxa"/>
            <w:tcBorders>
              <w:top w:val="nil"/>
            </w:tcBorders>
            <w:noWrap w:val="0"/>
            <w:vAlign w:val="top"/>
          </w:tcPr>
          <w:p w14:paraId="671AF98E">
            <w:pPr>
              <w:keepNext/>
              <w:spacing w:line="440" w:lineRule="exact"/>
              <w:rPr>
                <w:rFonts w:hint="eastAsia" w:ascii="宋体" w:hAnsi="宋体" w:cs="宋体"/>
                <w:color w:val="000000"/>
                <w:szCs w:val="21"/>
              </w:rPr>
            </w:pPr>
          </w:p>
        </w:tc>
        <w:tc>
          <w:tcPr>
            <w:tcW w:w="1701" w:type="dxa"/>
            <w:tcBorders>
              <w:top w:val="nil"/>
            </w:tcBorders>
            <w:noWrap w:val="0"/>
            <w:vAlign w:val="top"/>
          </w:tcPr>
          <w:p w14:paraId="3F9F5CBE">
            <w:pPr>
              <w:keepNext/>
              <w:spacing w:line="440" w:lineRule="exact"/>
              <w:rPr>
                <w:rFonts w:hint="eastAsia" w:ascii="宋体" w:hAnsi="宋体" w:cs="宋体"/>
                <w:color w:val="000000"/>
                <w:szCs w:val="21"/>
              </w:rPr>
            </w:pPr>
          </w:p>
        </w:tc>
      </w:tr>
      <w:tr w14:paraId="11E5E6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29B8922">
            <w:pPr>
              <w:keepNext/>
              <w:spacing w:line="440" w:lineRule="exact"/>
              <w:rPr>
                <w:rFonts w:hint="eastAsia" w:ascii="宋体" w:hAnsi="宋体" w:cs="宋体"/>
                <w:color w:val="000000"/>
                <w:szCs w:val="21"/>
              </w:rPr>
            </w:pPr>
          </w:p>
        </w:tc>
        <w:tc>
          <w:tcPr>
            <w:tcW w:w="1984" w:type="dxa"/>
            <w:noWrap w:val="0"/>
            <w:vAlign w:val="top"/>
          </w:tcPr>
          <w:p w14:paraId="730C9EF9">
            <w:pPr>
              <w:keepNext/>
              <w:spacing w:line="440" w:lineRule="exact"/>
              <w:rPr>
                <w:rFonts w:hint="eastAsia" w:ascii="宋体" w:hAnsi="宋体" w:cs="宋体"/>
                <w:color w:val="000000"/>
                <w:szCs w:val="21"/>
              </w:rPr>
            </w:pPr>
          </w:p>
        </w:tc>
        <w:tc>
          <w:tcPr>
            <w:tcW w:w="851" w:type="dxa"/>
            <w:noWrap w:val="0"/>
            <w:vAlign w:val="top"/>
          </w:tcPr>
          <w:p w14:paraId="76F9A0C3">
            <w:pPr>
              <w:keepNext/>
              <w:spacing w:line="440" w:lineRule="exact"/>
              <w:rPr>
                <w:rFonts w:hint="eastAsia" w:ascii="宋体" w:hAnsi="宋体" w:cs="宋体"/>
                <w:color w:val="000000"/>
                <w:szCs w:val="21"/>
              </w:rPr>
            </w:pPr>
          </w:p>
        </w:tc>
        <w:tc>
          <w:tcPr>
            <w:tcW w:w="774" w:type="dxa"/>
            <w:noWrap w:val="0"/>
            <w:vAlign w:val="top"/>
          </w:tcPr>
          <w:p w14:paraId="136C6564">
            <w:pPr>
              <w:keepNext/>
              <w:spacing w:line="440" w:lineRule="exact"/>
              <w:rPr>
                <w:rFonts w:hint="eastAsia" w:ascii="宋体" w:hAnsi="宋体" w:cs="宋体"/>
                <w:color w:val="000000"/>
                <w:szCs w:val="21"/>
              </w:rPr>
            </w:pPr>
          </w:p>
        </w:tc>
        <w:tc>
          <w:tcPr>
            <w:tcW w:w="1352" w:type="dxa"/>
            <w:noWrap w:val="0"/>
            <w:vAlign w:val="top"/>
          </w:tcPr>
          <w:p w14:paraId="6F672136">
            <w:pPr>
              <w:keepNext/>
              <w:spacing w:line="440" w:lineRule="exact"/>
              <w:rPr>
                <w:rFonts w:hint="eastAsia" w:ascii="宋体" w:hAnsi="宋体" w:cs="宋体"/>
                <w:color w:val="000000"/>
                <w:szCs w:val="21"/>
              </w:rPr>
            </w:pPr>
          </w:p>
        </w:tc>
        <w:tc>
          <w:tcPr>
            <w:tcW w:w="1418" w:type="dxa"/>
            <w:noWrap w:val="0"/>
            <w:vAlign w:val="top"/>
          </w:tcPr>
          <w:p w14:paraId="5A0F0A06">
            <w:pPr>
              <w:keepNext/>
              <w:spacing w:line="440" w:lineRule="exact"/>
              <w:rPr>
                <w:rFonts w:hint="eastAsia" w:ascii="宋体" w:hAnsi="宋体" w:cs="宋体"/>
                <w:color w:val="000000"/>
                <w:szCs w:val="21"/>
              </w:rPr>
            </w:pPr>
          </w:p>
        </w:tc>
        <w:tc>
          <w:tcPr>
            <w:tcW w:w="1701" w:type="dxa"/>
            <w:noWrap w:val="0"/>
            <w:vAlign w:val="top"/>
          </w:tcPr>
          <w:p w14:paraId="0C7584DF">
            <w:pPr>
              <w:keepNext/>
              <w:spacing w:line="440" w:lineRule="exact"/>
              <w:rPr>
                <w:rFonts w:hint="eastAsia" w:ascii="宋体" w:hAnsi="宋体" w:cs="宋体"/>
                <w:color w:val="000000"/>
                <w:szCs w:val="21"/>
              </w:rPr>
            </w:pPr>
          </w:p>
        </w:tc>
      </w:tr>
      <w:tr w14:paraId="4D64CE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68642EAE">
            <w:pPr>
              <w:keepNext/>
              <w:spacing w:line="440" w:lineRule="exact"/>
              <w:rPr>
                <w:rFonts w:hint="eastAsia" w:ascii="宋体" w:hAnsi="宋体" w:cs="宋体"/>
                <w:color w:val="000000"/>
                <w:szCs w:val="21"/>
              </w:rPr>
            </w:pPr>
          </w:p>
        </w:tc>
        <w:tc>
          <w:tcPr>
            <w:tcW w:w="1984" w:type="dxa"/>
            <w:noWrap w:val="0"/>
            <w:vAlign w:val="top"/>
          </w:tcPr>
          <w:p w14:paraId="5A615F81">
            <w:pPr>
              <w:keepNext/>
              <w:spacing w:line="440" w:lineRule="exact"/>
              <w:rPr>
                <w:rFonts w:hint="eastAsia" w:ascii="宋体" w:hAnsi="宋体" w:cs="宋体"/>
                <w:color w:val="000000"/>
                <w:szCs w:val="21"/>
              </w:rPr>
            </w:pPr>
          </w:p>
        </w:tc>
        <w:tc>
          <w:tcPr>
            <w:tcW w:w="851" w:type="dxa"/>
            <w:noWrap w:val="0"/>
            <w:vAlign w:val="top"/>
          </w:tcPr>
          <w:p w14:paraId="2D1DD7BB">
            <w:pPr>
              <w:keepNext/>
              <w:spacing w:line="440" w:lineRule="exact"/>
              <w:rPr>
                <w:rFonts w:hint="eastAsia" w:ascii="宋体" w:hAnsi="宋体" w:cs="宋体"/>
                <w:color w:val="000000"/>
                <w:szCs w:val="21"/>
              </w:rPr>
            </w:pPr>
          </w:p>
        </w:tc>
        <w:tc>
          <w:tcPr>
            <w:tcW w:w="774" w:type="dxa"/>
            <w:noWrap w:val="0"/>
            <w:vAlign w:val="top"/>
          </w:tcPr>
          <w:p w14:paraId="65AD4ED6">
            <w:pPr>
              <w:keepNext/>
              <w:spacing w:line="440" w:lineRule="exact"/>
              <w:rPr>
                <w:rFonts w:hint="eastAsia" w:ascii="宋体" w:hAnsi="宋体" w:cs="宋体"/>
                <w:color w:val="000000"/>
                <w:szCs w:val="21"/>
              </w:rPr>
            </w:pPr>
          </w:p>
        </w:tc>
        <w:tc>
          <w:tcPr>
            <w:tcW w:w="1352" w:type="dxa"/>
            <w:noWrap w:val="0"/>
            <w:vAlign w:val="top"/>
          </w:tcPr>
          <w:p w14:paraId="259DF23F">
            <w:pPr>
              <w:keepNext/>
              <w:spacing w:line="440" w:lineRule="exact"/>
              <w:rPr>
                <w:rFonts w:hint="eastAsia" w:ascii="宋体" w:hAnsi="宋体" w:cs="宋体"/>
                <w:color w:val="000000"/>
                <w:szCs w:val="21"/>
              </w:rPr>
            </w:pPr>
          </w:p>
        </w:tc>
        <w:tc>
          <w:tcPr>
            <w:tcW w:w="1418" w:type="dxa"/>
            <w:noWrap w:val="0"/>
            <w:vAlign w:val="top"/>
          </w:tcPr>
          <w:p w14:paraId="68F09C74">
            <w:pPr>
              <w:keepNext/>
              <w:spacing w:line="440" w:lineRule="exact"/>
              <w:rPr>
                <w:rFonts w:hint="eastAsia" w:ascii="宋体" w:hAnsi="宋体" w:cs="宋体"/>
                <w:color w:val="000000"/>
                <w:szCs w:val="21"/>
              </w:rPr>
            </w:pPr>
          </w:p>
        </w:tc>
        <w:tc>
          <w:tcPr>
            <w:tcW w:w="1701" w:type="dxa"/>
            <w:noWrap w:val="0"/>
            <w:vAlign w:val="top"/>
          </w:tcPr>
          <w:p w14:paraId="07DD68B6">
            <w:pPr>
              <w:keepNext/>
              <w:spacing w:line="440" w:lineRule="exact"/>
              <w:rPr>
                <w:rFonts w:hint="eastAsia" w:ascii="宋体" w:hAnsi="宋体" w:cs="宋体"/>
                <w:color w:val="000000"/>
                <w:szCs w:val="21"/>
              </w:rPr>
            </w:pPr>
          </w:p>
        </w:tc>
      </w:tr>
      <w:tr w14:paraId="1DB39E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36E60D99">
            <w:pPr>
              <w:keepNext/>
              <w:spacing w:line="440" w:lineRule="exact"/>
              <w:rPr>
                <w:rFonts w:hint="eastAsia" w:ascii="宋体" w:hAnsi="宋体" w:cs="宋体"/>
                <w:color w:val="000000"/>
                <w:szCs w:val="21"/>
              </w:rPr>
            </w:pPr>
          </w:p>
        </w:tc>
        <w:tc>
          <w:tcPr>
            <w:tcW w:w="1984" w:type="dxa"/>
            <w:tcBorders>
              <w:bottom w:val="single" w:color="auto" w:sz="12" w:space="0"/>
            </w:tcBorders>
            <w:noWrap w:val="0"/>
            <w:vAlign w:val="top"/>
          </w:tcPr>
          <w:p w14:paraId="41455CC6">
            <w:pPr>
              <w:keepNext/>
              <w:spacing w:line="440" w:lineRule="exact"/>
              <w:rPr>
                <w:rFonts w:hint="eastAsia" w:ascii="宋体" w:hAnsi="宋体" w:cs="宋体"/>
                <w:color w:val="000000"/>
                <w:szCs w:val="21"/>
              </w:rPr>
            </w:pPr>
          </w:p>
        </w:tc>
        <w:tc>
          <w:tcPr>
            <w:tcW w:w="851" w:type="dxa"/>
            <w:tcBorders>
              <w:bottom w:val="single" w:color="auto" w:sz="12" w:space="0"/>
            </w:tcBorders>
            <w:noWrap w:val="0"/>
            <w:vAlign w:val="top"/>
          </w:tcPr>
          <w:p w14:paraId="3602F048">
            <w:pPr>
              <w:keepNext/>
              <w:spacing w:line="440" w:lineRule="exact"/>
              <w:rPr>
                <w:rFonts w:hint="eastAsia" w:ascii="宋体" w:hAnsi="宋体" w:cs="宋体"/>
                <w:color w:val="000000"/>
                <w:szCs w:val="21"/>
              </w:rPr>
            </w:pPr>
          </w:p>
        </w:tc>
        <w:tc>
          <w:tcPr>
            <w:tcW w:w="774" w:type="dxa"/>
            <w:tcBorders>
              <w:bottom w:val="single" w:color="auto" w:sz="12" w:space="0"/>
            </w:tcBorders>
            <w:noWrap w:val="0"/>
            <w:vAlign w:val="top"/>
          </w:tcPr>
          <w:p w14:paraId="7F22E0CA">
            <w:pPr>
              <w:keepNext/>
              <w:spacing w:line="440" w:lineRule="exact"/>
              <w:rPr>
                <w:rFonts w:hint="eastAsia" w:ascii="宋体" w:hAnsi="宋体" w:cs="宋体"/>
                <w:color w:val="000000"/>
                <w:szCs w:val="21"/>
              </w:rPr>
            </w:pPr>
          </w:p>
        </w:tc>
        <w:tc>
          <w:tcPr>
            <w:tcW w:w="1352" w:type="dxa"/>
            <w:tcBorders>
              <w:bottom w:val="single" w:color="auto" w:sz="12" w:space="0"/>
            </w:tcBorders>
            <w:noWrap w:val="0"/>
            <w:vAlign w:val="top"/>
          </w:tcPr>
          <w:p w14:paraId="348361BA">
            <w:pPr>
              <w:keepNext/>
              <w:spacing w:line="440" w:lineRule="exact"/>
              <w:rPr>
                <w:rFonts w:hint="eastAsia" w:ascii="宋体" w:hAnsi="宋体" w:cs="宋体"/>
                <w:color w:val="000000"/>
                <w:szCs w:val="21"/>
              </w:rPr>
            </w:pPr>
          </w:p>
        </w:tc>
        <w:tc>
          <w:tcPr>
            <w:tcW w:w="1418" w:type="dxa"/>
            <w:tcBorders>
              <w:bottom w:val="single" w:color="auto" w:sz="12" w:space="0"/>
            </w:tcBorders>
            <w:noWrap w:val="0"/>
            <w:vAlign w:val="top"/>
          </w:tcPr>
          <w:p w14:paraId="3BA21419">
            <w:pPr>
              <w:keepNext/>
              <w:spacing w:line="440" w:lineRule="exact"/>
              <w:rPr>
                <w:rFonts w:hint="eastAsia" w:ascii="宋体" w:hAnsi="宋体" w:cs="宋体"/>
                <w:color w:val="000000"/>
                <w:szCs w:val="21"/>
              </w:rPr>
            </w:pPr>
          </w:p>
        </w:tc>
        <w:tc>
          <w:tcPr>
            <w:tcW w:w="1701" w:type="dxa"/>
            <w:tcBorders>
              <w:bottom w:val="single" w:color="auto" w:sz="12" w:space="0"/>
            </w:tcBorders>
            <w:noWrap w:val="0"/>
            <w:vAlign w:val="top"/>
          </w:tcPr>
          <w:p w14:paraId="4543D763">
            <w:pPr>
              <w:keepNext/>
              <w:spacing w:line="440" w:lineRule="exact"/>
              <w:rPr>
                <w:rFonts w:hint="eastAsia" w:ascii="宋体" w:hAnsi="宋体" w:cs="宋体"/>
                <w:color w:val="000000"/>
                <w:szCs w:val="21"/>
              </w:rPr>
            </w:pPr>
          </w:p>
        </w:tc>
      </w:tr>
    </w:tbl>
    <w:p w14:paraId="0B3765DC">
      <w:pPr>
        <w:spacing w:before="120" w:beforeLines="50" w:after="120" w:afterLines="50" w:line="440" w:lineRule="exact"/>
        <w:rPr>
          <w:rFonts w:hint="eastAsia" w:ascii="宋体" w:hAnsi="宋体" w:cs="宋体"/>
          <w:color w:val="000000"/>
          <w:szCs w:val="21"/>
        </w:rPr>
      </w:pPr>
    </w:p>
    <w:p w14:paraId="077D0B9E">
      <w:pPr>
        <w:spacing w:before="120" w:beforeLines="50" w:after="120" w:afterLines="50" w:line="440" w:lineRule="exact"/>
        <w:jc w:val="center"/>
        <w:rPr>
          <w:rFonts w:hint="eastAsia" w:ascii="宋体" w:hAnsi="宋体" w:cs="宋体"/>
          <w:color w:val="000000"/>
          <w:szCs w:val="21"/>
        </w:rPr>
      </w:pPr>
      <w:r>
        <w:rPr>
          <w:rFonts w:hint="eastAsia" w:ascii="宋体" w:hAnsi="宋体" w:cs="宋体"/>
          <w:color w:val="000000"/>
          <w:szCs w:val="21"/>
        </w:rPr>
        <w:t>12-2：工程设备暂估价表</w:t>
      </w:r>
    </w:p>
    <w:tbl>
      <w:tblPr>
        <w:tblStyle w:val="47"/>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0DA0CC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458E9D2F">
            <w:pPr>
              <w:keepNext/>
              <w:spacing w:line="440" w:lineRule="exact"/>
              <w:rPr>
                <w:rFonts w:hint="eastAsia" w:ascii="宋体" w:hAnsi="宋体" w:cs="宋体"/>
                <w:color w:val="000000"/>
                <w:szCs w:val="21"/>
              </w:rPr>
            </w:pPr>
            <w:r>
              <w:rPr>
                <w:rFonts w:hint="eastAsia" w:ascii="宋体" w:hAnsi="宋体" w:cs="宋体"/>
                <w:color w:val="000000"/>
                <w:szCs w:val="21"/>
              </w:rPr>
              <w:t>序号</w:t>
            </w:r>
          </w:p>
        </w:tc>
        <w:tc>
          <w:tcPr>
            <w:tcW w:w="1984" w:type="dxa"/>
            <w:tcBorders>
              <w:top w:val="single" w:color="auto" w:sz="12" w:space="0"/>
              <w:bottom w:val="double" w:color="auto" w:sz="6" w:space="0"/>
            </w:tcBorders>
            <w:noWrap w:val="0"/>
            <w:vAlign w:val="top"/>
          </w:tcPr>
          <w:p w14:paraId="60F004C1">
            <w:pPr>
              <w:keepNext/>
              <w:spacing w:line="440" w:lineRule="exact"/>
              <w:rPr>
                <w:rFonts w:hint="eastAsia" w:ascii="宋体" w:hAnsi="宋体" w:cs="宋体"/>
                <w:color w:val="000000"/>
                <w:szCs w:val="21"/>
              </w:rPr>
            </w:pPr>
            <w:r>
              <w:rPr>
                <w:rFonts w:hint="eastAsia" w:ascii="宋体" w:hAnsi="宋体" w:cs="宋体"/>
                <w:color w:val="000000"/>
                <w:szCs w:val="21"/>
              </w:rPr>
              <w:t>名称</w:t>
            </w:r>
          </w:p>
        </w:tc>
        <w:tc>
          <w:tcPr>
            <w:tcW w:w="851" w:type="dxa"/>
            <w:tcBorders>
              <w:top w:val="single" w:color="auto" w:sz="12" w:space="0"/>
              <w:bottom w:val="double" w:color="auto" w:sz="6" w:space="0"/>
            </w:tcBorders>
            <w:noWrap w:val="0"/>
            <w:vAlign w:val="top"/>
          </w:tcPr>
          <w:p w14:paraId="621643BA">
            <w:pPr>
              <w:keepNext/>
              <w:spacing w:line="440" w:lineRule="exact"/>
              <w:rPr>
                <w:rFonts w:hint="eastAsia" w:ascii="宋体" w:hAnsi="宋体" w:cs="宋体"/>
                <w:color w:val="000000"/>
                <w:szCs w:val="21"/>
              </w:rPr>
            </w:pPr>
            <w:r>
              <w:rPr>
                <w:rFonts w:hint="eastAsia" w:ascii="宋体" w:hAnsi="宋体" w:cs="宋体"/>
                <w:color w:val="000000"/>
                <w:szCs w:val="21"/>
              </w:rPr>
              <w:t>单位</w:t>
            </w:r>
          </w:p>
        </w:tc>
        <w:tc>
          <w:tcPr>
            <w:tcW w:w="774" w:type="dxa"/>
            <w:tcBorders>
              <w:top w:val="single" w:color="auto" w:sz="12" w:space="0"/>
              <w:bottom w:val="double" w:color="auto" w:sz="6" w:space="0"/>
            </w:tcBorders>
            <w:noWrap w:val="0"/>
            <w:vAlign w:val="top"/>
          </w:tcPr>
          <w:p w14:paraId="7CF29550">
            <w:pPr>
              <w:keepNext/>
              <w:spacing w:line="440" w:lineRule="exact"/>
              <w:rPr>
                <w:rFonts w:hint="eastAsia" w:ascii="宋体" w:hAnsi="宋体" w:cs="宋体"/>
                <w:color w:val="000000"/>
                <w:szCs w:val="21"/>
              </w:rPr>
            </w:pPr>
            <w:r>
              <w:rPr>
                <w:rFonts w:hint="eastAsia" w:ascii="宋体" w:hAnsi="宋体" w:cs="宋体"/>
                <w:color w:val="000000"/>
                <w:szCs w:val="21"/>
              </w:rPr>
              <w:t>数量</w:t>
            </w:r>
          </w:p>
        </w:tc>
        <w:tc>
          <w:tcPr>
            <w:tcW w:w="1352" w:type="dxa"/>
            <w:tcBorders>
              <w:top w:val="single" w:color="auto" w:sz="12" w:space="0"/>
              <w:bottom w:val="double" w:color="auto" w:sz="6" w:space="0"/>
            </w:tcBorders>
            <w:noWrap w:val="0"/>
            <w:vAlign w:val="top"/>
          </w:tcPr>
          <w:p w14:paraId="60ACB362">
            <w:pPr>
              <w:keepNext/>
              <w:spacing w:line="440" w:lineRule="exact"/>
              <w:rPr>
                <w:rFonts w:hint="eastAsia" w:ascii="宋体" w:hAnsi="宋体" w:cs="宋体"/>
                <w:color w:val="000000"/>
                <w:szCs w:val="21"/>
              </w:rPr>
            </w:pPr>
            <w:r>
              <w:rPr>
                <w:rFonts w:hint="eastAsia" w:ascii="宋体" w:hAnsi="宋体" w:cs="宋体"/>
                <w:color w:val="000000"/>
                <w:szCs w:val="21"/>
              </w:rPr>
              <w:t>单价（元）</w:t>
            </w:r>
          </w:p>
        </w:tc>
        <w:tc>
          <w:tcPr>
            <w:tcW w:w="1418" w:type="dxa"/>
            <w:tcBorders>
              <w:top w:val="single" w:color="auto" w:sz="12" w:space="0"/>
              <w:bottom w:val="double" w:color="auto" w:sz="6" w:space="0"/>
            </w:tcBorders>
            <w:noWrap w:val="0"/>
            <w:vAlign w:val="top"/>
          </w:tcPr>
          <w:p w14:paraId="48F259FF">
            <w:pPr>
              <w:keepNext/>
              <w:spacing w:line="440" w:lineRule="exact"/>
              <w:rPr>
                <w:rFonts w:hint="eastAsia" w:ascii="宋体" w:hAnsi="宋体" w:cs="宋体"/>
                <w:color w:val="000000"/>
                <w:szCs w:val="21"/>
              </w:rPr>
            </w:pPr>
            <w:r>
              <w:rPr>
                <w:rFonts w:hint="eastAsia" w:ascii="宋体" w:hAnsi="宋体" w:cs="宋体"/>
                <w:color w:val="000000"/>
                <w:szCs w:val="21"/>
              </w:rPr>
              <w:t>合价（元）</w:t>
            </w:r>
          </w:p>
        </w:tc>
        <w:tc>
          <w:tcPr>
            <w:tcW w:w="1701" w:type="dxa"/>
            <w:tcBorders>
              <w:top w:val="single" w:color="auto" w:sz="12" w:space="0"/>
              <w:bottom w:val="double" w:color="auto" w:sz="6" w:space="0"/>
            </w:tcBorders>
            <w:noWrap w:val="0"/>
            <w:vAlign w:val="top"/>
          </w:tcPr>
          <w:p w14:paraId="284CFD90">
            <w:pPr>
              <w:keepNext/>
              <w:spacing w:line="440" w:lineRule="exact"/>
              <w:rPr>
                <w:rFonts w:hint="eastAsia" w:ascii="宋体" w:hAnsi="宋体" w:cs="宋体"/>
                <w:color w:val="000000"/>
                <w:szCs w:val="21"/>
              </w:rPr>
            </w:pPr>
            <w:r>
              <w:rPr>
                <w:rFonts w:hint="eastAsia" w:ascii="宋体" w:hAnsi="宋体" w:cs="宋体"/>
                <w:color w:val="000000"/>
                <w:szCs w:val="21"/>
              </w:rPr>
              <w:t>备注</w:t>
            </w:r>
          </w:p>
        </w:tc>
      </w:tr>
      <w:tr w14:paraId="43BCBF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5085BA38">
            <w:pPr>
              <w:keepNext/>
              <w:spacing w:line="440" w:lineRule="exact"/>
              <w:rPr>
                <w:rFonts w:hint="eastAsia" w:ascii="宋体" w:hAnsi="宋体" w:cs="宋体"/>
                <w:color w:val="000000"/>
                <w:szCs w:val="21"/>
              </w:rPr>
            </w:pPr>
          </w:p>
        </w:tc>
        <w:tc>
          <w:tcPr>
            <w:tcW w:w="1984" w:type="dxa"/>
            <w:tcBorders>
              <w:top w:val="double" w:color="auto" w:sz="6" w:space="0"/>
            </w:tcBorders>
            <w:noWrap w:val="0"/>
            <w:vAlign w:val="top"/>
          </w:tcPr>
          <w:p w14:paraId="2660BF0B">
            <w:pPr>
              <w:keepNext/>
              <w:spacing w:line="440" w:lineRule="exact"/>
              <w:rPr>
                <w:rFonts w:hint="eastAsia" w:ascii="宋体" w:hAnsi="宋体" w:cs="宋体"/>
                <w:color w:val="000000"/>
                <w:szCs w:val="21"/>
              </w:rPr>
            </w:pPr>
          </w:p>
        </w:tc>
        <w:tc>
          <w:tcPr>
            <w:tcW w:w="851" w:type="dxa"/>
            <w:tcBorders>
              <w:top w:val="double" w:color="auto" w:sz="6" w:space="0"/>
            </w:tcBorders>
            <w:noWrap w:val="0"/>
            <w:vAlign w:val="top"/>
          </w:tcPr>
          <w:p w14:paraId="3F0C79E4">
            <w:pPr>
              <w:keepNext/>
              <w:spacing w:line="440" w:lineRule="exact"/>
              <w:rPr>
                <w:rFonts w:hint="eastAsia" w:ascii="宋体" w:hAnsi="宋体" w:cs="宋体"/>
                <w:color w:val="000000"/>
                <w:szCs w:val="21"/>
              </w:rPr>
            </w:pPr>
          </w:p>
        </w:tc>
        <w:tc>
          <w:tcPr>
            <w:tcW w:w="774" w:type="dxa"/>
            <w:tcBorders>
              <w:top w:val="double" w:color="auto" w:sz="6" w:space="0"/>
            </w:tcBorders>
            <w:noWrap w:val="0"/>
            <w:vAlign w:val="top"/>
          </w:tcPr>
          <w:p w14:paraId="69F10040">
            <w:pPr>
              <w:keepNext/>
              <w:spacing w:line="440" w:lineRule="exact"/>
              <w:rPr>
                <w:rFonts w:hint="eastAsia" w:ascii="宋体" w:hAnsi="宋体" w:cs="宋体"/>
                <w:color w:val="000000"/>
                <w:szCs w:val="21"/>
              </w:rPr>
            </w:pPr>
          </w:p>
        </w:tc>
        <w:tc>
          <w:tcPr>
            <w:tcW w:w="1352" w:type="dxa"/>
            <w:tcBorders>
              <w:top w:val="double" w:color="auto" w:sz="6" w:space="0"/>
            </w:tcBorders>
            <w:noWrap w:val="0"/>
            <w:vAlign w:val="top"/>
          </w:tcPr>
          <w:p w14:paraId="0298B7CC">
            <w:pPr>
              <w:keepNext/>
              <w:spacing w:line="440" w:lineRule="exact"/>
              <w:rPr>
                <w:rFonts w:hint="eastAsia" w:ascii="宋体" w:hAnsi="宋体" w:cs="宋体"/>
                <w:color w:val="000000"/>
                <w:szCs w:val="21"/>
              </w:rPr>
            </w:pPr>
          </w:p>
        </w:tc>
        <w:tc>
          <w:tcPr>
            <w:tcW w:w="1418" w:type="dxa"/>
            <w:tcBorders>
              <w:top w:val="double" w:color="auto" w:sz="6" w:space="0"/>
            </w:tcBorders>
            <w:noWrap w:val="0"/>
            <w:vAlign w:val="top"/>
          </w:tcPr>
          <w:p w14:paraId="7BE47594">
            <w:pPr>
              <w:keepNext/>
              <w:spacing w:line="440" w:lineRule="exact"/>
              <w:rPr>
                <w:rFonts w:hint="eastAsia" w:ascii="宋体" w:hAnsi="宋体" w:cs="宋体"/>
                <w:color w:val="000000"/>
                <w:szCs w:val="21"/>
              </w:rPr>
            </w:pPr>
          </w:p>
        </w:tc>
        <w:tc>
          <w:tcPr>
            <w:tcW w:w="1701" w:type="dxa"/>
            <w:tcBorders>
              <w:top w:val="double" w:color="auto" w:sz="6" w:space="0"/>
            </w:tcBorders>
            <w:noWrap w:val="0"/>
            <w:vAlign w:val="top"/>
          </w:tcPr>
          <w:p w14:paraId="5CD6945E">
            <w:pPr>
              <w:keepNext/>
              <w:spacing w:line="440" w:lineRule="exact"/>
              <w:rPr>
                <w:rFonts w:hint="eastAsia" w:ascii="宋体" w:hAnsi="宋体" w:cs="宋体"/>
                <w:color w:val="000000"/>
                <w:szCs w:val="21"/>
              </w:rPr>
            </w:pPr>
          </w:p>
        </w:tc>
      </w:tr>
      <w:tr w14:paraId="1D47F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406BDE4F">
            <w:pPr>
              <w:keepNext/>
              <w:spacing w:line="440" w:lineRule="exact"/>
              <w:rPr>
                <w:rFonts w:hint="eastAsia" w:ascii="宋体" w:hAnsi="宋体" w:cs="宋体"/>
                <w:color w:val="000000"/>
                <w:szCs w:val="21"/>
              </w:rPr>
            </w:pPr>
          </w:p>
        </w:tc>
        <w:tc>
          <w:tcPr>
            <w:tcW w:w="1984" w:type="dxa"/>
            <w:tcBorders>
              <w:top w:val="nil"/>
            </w:tcBorders>
            <w:noWrap w:val="0"/>
            <w:vAlign w:val="top"/>
          </w:tcPr>
          <w:p w14:paraId="28F9C846">
            <w:pPr>
              <w:keepNext/>
              <w:spacing w:line="440" w:lineRule="exact"/>
              <w:rPr>
                <w:rFonts w:hint="eastAsia" w:ascii="宋体" w:hAnsi="宋体" w:cs="宋体"/>
                <w:color w:val="000000"/>
                <w:szCs w:val="21"/>
              </w:rPr>
            </w:pPr>
          </w:p>
        </w:tc>
        <w:tc>
          <w:tcPr>
            <w:tcW w:w="851" w:type="dxa"/>
            <w:tcBorders>
              <w:top w:val="nil"/>
            </w:tcBorders>
            <w:noWrap w:val="0"/>
            <w:vAlign w:val="top"/>
          </w:tcPr>
          <w:p w14:paraId="70CD45CE">
            <w:pPr>
              <w:keepNext/>
              <w:spacing w:line="440" w:lineRule="exact"/>
              <w:rPr>
                <w:rFonts w:hint="eastAsia" w:ascii="宋体" w:hAnsi="宋体" w:cs="宋体"/>
                <w:color w:val="000000"/>
                <w:szCs w:val="21"/>
              </w:rPr>
            </w:pPr>
          </w:p>
        </w:tc>
        <w:tc>
          <w:tcPr>
            <w:tcW w:w="774" w:type="dxa"/>
            <w:tcBorders>
              <w:top w:val="nil"/>
            </w:tcBorders>
            <w:noWrap w:val="0"/>
            <w:vAlign w:val="top"/>
          </w:tcPr>
          <w:p w14:paraId="092DC39C">
            <w:pPr>
              <w:keepNext/>
              <w:spacing w:line="440" w:lineRule="exact"/>
              <w:rPr>
                <w:rFonts w:hint="eastAsia" w:ascii="宋体" w:hAnsi="宋体" w:cs="宋体"/>
                <w:color w:val="000000"/>
                <w:szCs w:val="21"/>
              </w:rPr>
            </w:pPr>
          </w:p>
        </w:tc>
        <w:tc>
          <w:tcPr>
            <w:tcW w:w="1352" w:type="dxa"/>
            <w:tcBorders>
              <w:top w:val="nil"/>
            </w:tcBorders>
            <w:noWrap w:val="0"/>
            <w:vAlign w:val="top"/>
          </w:tcPr>
          <w:p w14:paraId="14EC4EB7">
            <w:pPr>
              <w:keepNext/>
              <w:spacing w:line="440" w:lineRule="exact"/>
              <w:rPr>
                <w:rFonts w:hint="eastAsia" w:ascii="宋体" w:hAnsi="宋体" w:cs="宋体"/>
                <w:color w:val="000000"/>
                <w:szCs w:val="21"/>
              </w:rPr>
            </w:pPr>
          </w:p>
        </w:tc>
        <w:tc>
          <w:tcPr>
            <w:tcW w:w="1418" w:type="dxa"/>
            <w:tcBorders>
              <w:top w:val="nil"/>
            </w:tcBorders>
            <w:noWrap w:val="0"/>
            <w:vAlign w:val="top"/>
          </w:tcPr>
          <w:p w14:paraId="308DC894">
            <w:pPr>
              <w:keepNext/>
              <w:spacing w:line="440" w:lineRule="exact"/>
              <w:rPr>
                <w:rFonts w:hint="eastAsia" w:ascii="宋体" w:hAnsi="宋体" w:cs="宋体"/>
                <w:color w:val="000000"/>
                <w:szCs w:val="21"/>
              </w:rPr>
            </w:pPr>
          </w:p>
        </w:tc>
        <w:tc>
          <w:tcPr>
            <w:tcW w:w="1701" w:type="dxa"/>
            <w:tcBorders>
              <w:top w:val="nil"/>
            </w:tcBorders>
            <w:noWrap w:val="0"/>
            <w:vAlign w:val="top"/>
          </w:tcPr>
          <w:p w14:paraId="11DBCDC1">
            <w:pPr>
              <w:keepNext/>
              <w:spacing w:line="440" w:lineRule="exact"/>
              <w:rPr>
                <w:rFonts w:hint="eastAsia" w:ascii="宋体" w:hAnsi="宋体" w:cs="宋体"/>
                <w:color w:val="000000"/>
                <w:szCs w:val="21"/>
              </w:rPr>
            </w:pPr>
          </w:p>
        </w:tc>
      </w:tr>
      <w:tr w14:paraId="410144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26094654">
            <w:pPr>
              <w:keepNext/>
              <w:spacing w:line="440" w:lineRule="exact"/>
              <w:rPr>
                <w:rFonts w:hint="eastAsia" w:ascii="宋体" w:hAnsi="宋体" w:cs="宋体"/>
                <w:color w:val="000000"/>
                <w:szCs w:val="21"/>
              </w:rPr>
            </w:pPr>
          </w:p>
        </w:tc>
        <w:tc>
          <w:tcPr>
            <w:tcW w:w="1984" w:type="dxa"/>
            <w:noWrap w:val="0"/>
            <w:vAlign w:val="top"/>
          </w:tcPr>
          <w:p w14:paraId="38EBDC48">
            <w:pPr>
              <w:keepNext/>
              <w:spacing w:line="440" w:lineRule="exact"/>
              <w:rPr>
                <w:rFonts w:hint="eastAsia" w:ascii="宋体" w:hAnsi="宋体" w:cs="宋体"/>
                <w:color w:val="000000"/>
                <w:szCs w:val="21"/>
              </w:rPr>
            </w:pPr>
          </w:p>
        </w:tc>
        <w:tc>
          <w:tcPr>
            <w:tcW w:w="851" w:type="dxa"/>
            <w:noWrap w:val="0"/>
            <w:vAlign w:val="top"/>
          </w:tcPr>
          <w:p w14:paraId="5FCD2AAF">
            <w:pPr>
              <w:keepNext/>
              <w:spacing w:line="440" w:lineRule="exact"/>
              <w:rPr>
                <w:rFonts w:hint="eastAsia" w:ascii="宋体" w:hAnsi="宋体" w:cs="宋体"/>
                <w:color w:val="000000"/>
                <w:szCs w:val="21"/>
              </w:rPr>
            </w:pPr>
          </w:p>
        </w:tc>
        <w:tc>
          <w:tcPr>
            <w:tcW w:w="774" w:type="dxa"/>
            <w:noWrap w:val="0"/>
            <w:vAlign w:val="top"/>
          </w:tcPr>
          <w:p w14:paraId="0F534762">
            <w:pPr>
              <w:keepNext/>
              <w:spacing w:line="440" w:lineRule="exact"/>
              <w:rPr>
                <w:rFonts w:hint="eastAsia" w:ascii="宋体" w:hAnsi="宋体" w:cs="宋体"/>
                <w:color w:val="000000"/>
                <w:szCs w:val="21"/>
              </w:rPr>
            </w:pPr>
          </w:p>
        </w:tc>
        <w:tc>
          <w:tcPr>
            <w:tcW w:w="1352" w:type="dxa"/>
            <w:noWrap w:val="0"/>
            <w:vAlign w:val="top"/>
          </w:tcPr>
          <w:p w14:paraId="01099584">
            <w:pPr>
              <w:keepNext/>
              <w:spacing w:line="440" w:lineRule="exact"/>
              <w:rPr>
                <w:rFonts w:hint="eastAsia" w:ascii="宋体" w:hAnsi="宋体" w:cs="宋体"/>
                <w:color w:val="000000"/>
                <w:szCs w:val="21"/>
              </w:rPr>
            </w:pPr>
          </w:p>
        </w:tc>
        <w:tc>
          <w:tcPr>
            <w:tcW w:w="1418" w:type="dxa"/>
            <w:noWrap w:val="0"/>
            <w:vAlign w:val="top"/>
          </w:tcPr>
          <w:p w14:paraId="37F04168">
            <w:pPr>
              <w:keepNext/>
              <w:spacing w:line="440" w:lineRule="exact"/>
              <w:rPr>
                <w:rFonts w:hint="eastAsia" w:ascii="宋体" w:hAnsi="宋体" w:cs="宋体"/>
                <w:color w:val="000000"/>
                <w:szCs w:val="21"/>
              </w:rPr>
            </w:pPr>
          </w:p>
        </w:tc>
        <w:tc>
          <w:tcPr>
            <w:tcW w:w="1701" w:type="dxa"/>
            <w:noWrap w:val="0"/>
            <w:vAlign w:val="top"/>
          </w:tcPr>
          <w:p w14:paraId="5CD1B971">
            <w:pPr>
              <w:keepNext/>
              <w:spacing w:line="440" w:lineRule="exact"/>
              <w:rPr>
                <w:rFonts w:hint="eastAsia" w:ascii="宋体" w:hAnsi="宋体" w:cs="宋体"/>
                <w:color w:val="000000"/>
                <w:szCs w:val="21"/>
              </w:rPr>
            </w:pPr>
          </w:p>
        </w:tc>
      </w:tr>
      <w:tr w14:paraId="0D120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3DCF8E6F">
            <w:pPr>
              <w:keepNext/>
              <w:spacing w:line="440" w:lineRule="exact"/>
              <w:rPr>
                <w:rFonts w:hint="eastAsia" w:ascii="宋体" w:hAnsi="宋体" w:cs="宋体"/>
                <w:color w:val="000000"/>
                <w:szCs w:val="21"/>
              </w:rPr>
            </w:pPr>
          </w:p>
        </w:tc>
        <w:tc>
          <w:tcPr>
            <w:tcW w:w="1984" w:type="dxa"/>
            <w:tcBorders>
              <w:bottom w:val="single" w:color="auto" w:sz="12" w:space="0"/>
            </w:tcBorders>
            <w:noWrap w:val="0"/>
            <w:vAlign w:val="top"/>
          </w:tcPr>
          <w:p w14:paraId="07603770">
            <w:pPr>
              <w:keepNext/>
              <w:spacing w:line="440" w:lineRule="exact"/>
              <w:rPr>
                <w:rFonts w:hint="eastAsia" w:ascii="宋体" w:hAnsi="宋体" w:cs="宋体"/>
                <w:color w:val="000000"/>
                <w:szCs w:val="21"/>
              </w:rPr>
            </w:pPr>
          </w:p>
        </w:tc>
        <w:tc>
          <w:tcPr>
            <w:tcW w:w="851" w:type="dxa"/>
            <w:tcBorders>
              <w:bottom w:val="single" w:color="auto" w:sz="12" w:space="0"/>
            </w:tcBorders>
            <w:noWrap w:val="0"/>
            <w:vAlign w:val="top"/>
          </w:tcPr>
          <w:p w14:paraId="24D9DC41">
            <w:pPr>
              <w:keepNext/>
              <w:spacing w:line="440" w:lineRule="exact"/>
              <w:rPr>
                <w:rFonts w:hint="eastAsia" w:ascii="宋体" w:hAnsi="宋体" w:cs="宋体"/>
                <w:color w:val="000000"/>
                <w:szCs w:val="21"/>
              </w:rPr>
            </w:pPr>
          </w:p>
        </w:tc>
        <w:tc>
          <w:tcPr>
            <w:tcW w:w="774" w:type="dxa"/>
            <w:tcBorders>
              <w:bottom w:val="single" w:color="auto" w:sz="12" w:space="0"/>
            </w:tcBorders>
            <w:noWrap w:val="0"/>
            <w:vAlign w:val="top"/>
          </w:tcPr>
          <w:p w14:paraId="6761E755">
            <w:pPr>
              <w:keepNext/>
              <w:spacing w:line="440" w:lineRule="exact"/>
              <w:rPr>
                <w:rFonts w:hint="eastAsia" w:ascii="宋体" w:hAnsi="宋体" w:cs="宋体"/>
                <w:color w:val="000000"/>
                <w:szCs w:val="21"/>
              </w:rPr>
            </w:pPr>
          </w:p>
        </w:tc>
        <w:tc>
          <w:tcPr>
            <w:tcW w:w="1352" w:type="dxa"/>
            <w:tcBorders>
              <w:bottom w:val="single" w:color="auto" w:sz="12" w:space="0"/>
            </w:tcBorders>
            <w:noWrap w:val="0"/>
            <w:vAlign w:val="top"/>
          </w:tcPr>
          <w:p w14:paraId="79B0D5F9">
            <w:pPr>
              <w:keepNext/>
              <w:spacing w:line="440" w:lineRule="exact"/>
              <w:rPr>
                <w:rFonts w:hint="eastAsia" w:ascii="宋体" w:hAnsi="宋体" w:cs="宋体"/>
                <w:color w:val="000000"/>
                <w:szCs w:val="21"/>
              </w:rPr>
            </w:pPr>
          </w:p>
        </w:tc>
        <w:tc>
          <w:tcPr>
            <w:tcW w:w="1418" w:type="dxa"/>
            <w:tcBorders>
              <w:bottom w:val="single" w:color="auto" w:sz="12" w:space="0"/>
            </w:tcBorders>
            <w:noWrap w:val="0"/>
            <w:vAlign w:val="top"/>
          </w:tcPr>
          <w:p w14:paraId="417C019A">
            <w:pPr>
              <w:keepNext/>
              <w:spacing w:line="440" w:lineRule="exact"/>
              <w:rPr>
                <w:rFonts w:hint="eastAsia" w:ascii="宋体" w:hAnsi="宋体" w:cs="宋体"/>
                <w:color w:val="000000"/>
                <w:szCs w:val="21"/>
              </w:rPr>
            </w:pPr>
          </w:p>
        </w:tc>
        <w:tc>
          <w:tcPr>
            <w:tcW w:w="1701" w:type="dxa"/>
            <w:tcBorders>
              <w:bottom w:val="single" w:color="auto" w:sz="12" w:space="0"/>
            </w:tcBorders>
            <w:noWrap w:val="0"/>
            <w:vAlign w:val="top"/>
          </w:tcPr>
          <w:p w14:paraId="0FDECAD0">
            <w:pPr>
              <w:keepNext/>
              <w:spacing w:line="440" w:lineRule="exact"/>
              <w:rPr>
                <w:rFonts w:hint="eastAsia" w:ascii="宋体" w:hAnsi="宋体" w:cs="宋体"/>
                <w:color w:val="000000"/>
                <w:szCs w:val="21"/>
              </w:rPr>
            </w:pPr>
          </w:p>
        </w:tc>
      </w:tr>
    </w:tbl>
    <w:p w14:paraId="7EC6A5FE">
      <w:pPr>
        <w:spacing w:line="440" w:lineRule="exact"/>
        <w:rPr>
          <w:rFonts w:hint="eastAsia" w:ascii="宋体" w:hAnsi="宋体" w:cs="宋体"/>
          <w:color w:val="000000"/>
          <w:szCs w:val="21"/>
        </w:rPr>
      </w:pPr>
    </w:p>
    <w:p w14:paraId="3C52E1D0">
      <w:pPr>
        <w:spacing w:before="120" w:beforeLines="50" w:after="120" w:afterLines="50" w:line="440" w:lineRule="exact"/>
        <w:jc w:val="center"/>
        <w:rPr>
          <w:rFonts w:hint="eastAsia" w:ascii="宋体" w:hAnsi="宋体" w:cs="宋体"/>
          <w:color w:val="000000"/>
          <w:szCs w:val="21"/>
        </w:rPr>
      </w:pPr>
      <w:r>
        <w:rPr>
          <w:rFonts w:hint="eastAsia" w:ascii="宋体" w:hAnsi="宋体" w:cs="宋体"/>
          <w:color w:val="000000"/>
          <w:szCs w:val="21"/>
        </w:rPr>
        <w:t>12-3：专业工程暂估价表</w:t>
      </w:r>
    </w:p>
    <w:tbl>
      <w:tblPr>
        <w:tblStyle w:val="47"/>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676772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14:paraId="3E3C1B68">
            <w:pPr>
              <w:keepNext/>
              <w:spacing w:line="440" w:lineRule="exact"/>
              <w:rPr>
                <w:rFonts w:hint="eastAsia" w:ascii="宋体" w:hAnsi="宋体" w:cs="宋体"/>
                <w:color w:val="000000"/>
                <w:szCs w:val="21"/>
              </w:rPr>
            </w:pPr>
            <w:r>
              <w:rPr>
                <w:rFonts w:hint="eastAsia" w:ascii="宋体" w:hAnsi="宋体" w:cs="宋体"/>
                <w:color w:val="000000"/>
                <w:szCs w:val="21"/>
              </w:rPr>
              <w:t>序号</w:t>
            </w:r>
          </w:p>
        </w:tc>
        <w:tc>
          <w:tcPr>
            <w:tcW w:w="1984" w:type="dxa"/>
            <w:tcBorders>
              <w:top w:val="single" w:color="auto" w:sz="12" w:space="0"/>
              <w:bottom w:val="double" w:color="auto" w:sz="6" w:space="0"/>
            </w:tcBorders>
            <w:noWrap w:val="0"/>
            <w:vAlign w:val="top"/>
          </w:tcPr>
          <w:p w14:paraId="724423E4">
            <w:pPr>
              <w:keepNext/>
              <w:spacing w:line="440" w:lineRule="exact"/>
              <w:rPr>
                <w:rFonts w:hint="eastAsia" w:ascii="宋体" w:hAnsi="宋体" w:cs="宋体"/>
                <w:color w:val="000000"/>
                <w:szCs w:val="21"/>
              </w:rPr>
            </w:pPr>
            <w:r>
              <w:rPr>
                <w:rFonts w:hint="eastAsia" w:ascii="宋体" w:hAnsi="宋体" w:cs="宋体"/>
                <w:color w:val="000000"/>
                <w:szCs w:val="21"/>
              </w:rPr>
              <w:t>名称</w:t>
            </w:r>
          </w:p>
        </w:tc>
        <w:tc>
          <w:tcPr>
            <w:tcW w:w="851" w:type="dxa"/>
            <w:tcBorders>
              <w:top w:val="single" w:color="auto" w:sz="12" w:space="0"/>
              <w:bottom w:val="double" w:color="auto" w:sz="6" w:space="0"/>
            </w:tcBorders>
            <w:noWrap w:val="0"/>
            <w:vAlign w:val="top"/>
          </w:tcPr>
          <w:p w14:paraId="2C8673CC">
            <w:pPr>
              <w:keepNext/>
              <w:spacing w:line="440" w:lineRule="exact"/>
              <w:rPr>
                <w:rFonts w:hint="eastAsia" w:ascii="宋体" w:hAnsi="宋体" w:cs="宋体"/>
                <w:color w:val="000000"/>
                <w:szCs w:val="21"/>
              </w:rPr>
            </w:pPr>
            <w:r>
              <w:rPr>
                <w:rFonts w:hint="eastAsia" w:ascii="宋体" w:hAnsi="宋体" w:cs="宋体"/>
                <w:color w:val="000000"/>
                <w:szCs w:val="21"/>
              </w:rPr>
              <w:t>单位</w:t>
            </w:r>
          </w:p>
        </w:tc>
        <w:tc>
          <w:tcPr>
            <w:tcW w:w="774" w:type="dxa"/>
            <w:tcBorders>
              <w:top w:val="single" w:color="auto" w:sz="12" w:space="0"/>
              <w:bottom w:val="double" w:color="auto" w:sz="6" w:space="0"/>
            </w:tcBorders>
            <w:noWrap w:val="0"/>
            <w:vAlign w:val="top"/>
          </w:tcPr>
          <w:p w14:paraId="0212C8F5">
            <w:pPr>
              <w:keepNext/>
              <w:spacing w:line="440" w:lineRule="exact"/>
              <w:rPr>
                <w:rFonts w:hint="eastAsia" w:ascii="宋体" w:hAnsi="宋体" w:cs="宋体"/>
                <w:color w:val="000000"/>
                <w:szCs w:val="21"/>
              </w:rPr>
            </w:pPr>
            <w:r>
              <w:rPr>
                <w:rFonts w:hint="eastAsia" w:ascii="宋体" w:hAnsi="宋体" w:cs="宋体"/>
                <w:color w:val="000000"/>
                <w:szCs w:val="21"/>
              </w:rPr>
              <w:t>数量</w:t>
            </w:r>
          </w:p>
        </w:tc>
        <w:tc>
          <w:tcPr>
            <w:tcW w:w="1352" w:type="dxa"/>
            <w:tcBorders>
              <w:top w:val="single" w:color="auto" w:sz="12" w:space="0"/>
              <w:bottom w:val="double" w:color="auto" w:sz="6" w:space="0"/>
            </w:tcBorders>
            <w:noWrap w:val="0"/>
            <w:vAlign w:val="top"/>
          </w:tcPr>
          <w:p w14:paraId="22874D65">
            <w:pPr>
              <w:keepNext/>
              <w:spacing w:line="440" w:lineRule="exact"/>
              <w:rPr>
                <w:rFonts w:hint="eastAsia" w:ascii="宋体" w:hAnsi="宋体" w:cs="宋体"/>
                <w:color w:val="000000"/>
                <w:szCs w:val="21"/>
              </w:rPr>
            </w:pPr>
            <w:r>
              <w:rPr>
                <w:rFonts w:hint="eastAsia" w:ascii="宋体" w:hAnsi="宋体" w:cs="宋体"/>
                <w:color w:val="000000"/>
                <w:szCs w:val="21"/>
              </w:rPr>
              <w:t>单价（元）</w:t>
            </w:r>
          </w:p>
        </w:tc>
        <w:tc>
          <w:tcPr>
            <w:tcW w:w="1418" w:type="dxa"/>
            <w:tcBorders>
              <w:top w:val="single" w:color="auto" w:sz="12" w:space="0"/>
              <w:bottom w:val="double" w:color="auto" w:sz="6" w:space="0"/>
            </w:tcBorders>
            <w:noWrap w:val="0"/>
            <w:vAlign w:val="top"/>
          </w:tcPr>
          <w:p w14:paraId="071E7B62">
            <w:pPr>
              <w:keepNext/>
              <w:spacing w:line="440" w:lineRule="exact"/>
              <w:rPr>
                <w:rFonts w:hint="eastAsia" w:ascii="宋体" w:hAnsi="宋体" w:cs="宋体"/>
                <w:color w:val="000000"/>
                <w:szCs w:val="21"/>
              </w:rPr>
            </w:pPr>
            <w:r>
              <w:rPr>
                <w:rFonts w:hint="eastAsia" w:ascii="宋体" w:hAnsi="宋体" w:cs="宋体"/>
                <w:color w:val="000000"/>
                <w:szCs w:val="21"/>
              </w:rPr>
              <w:t>合价（元）</w:t>
            </w:r>
          </w:p>
        </w:tc>
        <w:tc>
          <w:tcPr>
            <w:tcW w:w="1701" w:type="dxa"/>
            <w:tcBorders>
              <w:top w:val="single" w:color="auto" w:sz="12" w:space="0"/>
              <w:bottom w:val="double" w:color="auto" w:sz="6" w:space="0"/>
            </w:tcBorders>
            <w:noWrap w:val="0"/>
            <w:vAlign w:val="top"/>
          </w:tcPr>
          <w:p w14:paraId="7173EFF0">
            <w:pPr>
              <w:keepNext/>
              <w:spacing w:line="440" w:lineRule="exact"/>
              <w:rPr>
                <w:rFonts w:hint="eastAsia" w:ascii="宋体" w:hAnsi="宋体" w:cs="宋体"/>
                <w:color w:val="000000"/>
                <w:szCs w:val="21"/>
              </w:rPr>
            </w:pPr>
            <w:r>
              <w:rPr>
                <w:rFonts w:hint="eastAsia" w:ascii="宋体" w:hAnsi="宋体" w:cs="宋体"/>
                <w:color w:val="000000"/>
                <w:szCs w:val="21"/>
              </w:rPr>
              <w:t>备注</w:t>
            </w:r>
          </w:p>
        </w:tc>
      </w:tr>
      <w:tr w14:paraId="353003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tcBorders>
            <w:noWrap w:val="0"/>
            <w:vAlign w:val="top"/>
          </w:tcPr>
          <w:p w14:paraId="439C5BFB">
            <w:pPr>
              <w:keepNext/>
              <w:spacing w:line="440" w:lineRule="exact"/>
              <w:rPr>
                <w:rFonts w:hint="eastAsia" w:ascii="宋体" w:hAnsi="宋体" w:cs="宋体"/>
                <w:color w:val="000000"/>
                <w:szCs w:val="21"/>
              </w:rPr>
            </w:pPr>
          </w:p>
        </w:tc>
        <w:tc>
          <w:tcPr>
            <w:tcW w:w="1984" w:type="dxa"/>
            <w:tcBorders>
              <w:top w:val="double" w:color="auto" w:sz="6" w:space="0"/>
            </w:tcBorders>
            <w:noWrap w:val="0"/>
            <w:vAlign w:val="top"/>
          </w:tcPr>
          <w:p w14:paraId="0264A07D">
            <w:pPr>
              <w:keepNext/>
              <w:spacing w:line="440" w:lineRule="exact"/>
              <w:rPr>
                <w:rFonts w:hint="eastAsia" w:ascii="宋体" w:hAnsi="宋体" w:cs="宋体"/>
                <w:color w:val="000000"/>
                <w:szCs w:val="21"/>
              </w:rPr>
            </w:pPr>
          </w:p>
        </w:tc>
        <w:tc>
          <w:tcPr>
            <w:tcW w:w="851" w:type="dxa"/>
            <w:tcBorders>
              <w:top w:val="double" w:color="auto" w:sz="6" w:space="0"/>
            </w:tcBorders>
            <w:noWrap w:val="0"/>
            <w:vAlign w:val="top"/>
          </w:tcPr>
          <w:p w14:paraId="5E5AF91C">
            <w:pPr>
              <w:keepNext/>
              <w:spacing w:line="440" w:lineRule="exact"/>
              <w:rPr>
                <w:rFonts w:hint="eastAsia" w:ascii="宋体" w:hAnsi="宋体" w:cs="宋体"/>
                <w:color w:val="000000"/>
                <w:szCs w:val="21"/>
              </w:rPr>
            </w:pPr>
          </w:p>
        </w:tc>
        <w:tc>
          <w:tcPr>
            <w:tcW w:w="774" w:type="dxa"/>
            <w:tcBorders>
              <w:top w:val="double" w:color="auto" w:sz="6" w:space="0"/>
            </w:tcBorders>
            <w:noWrap w:val="0"/>
            <w:vAlign w:val="top"/>
          </w:tcPr>
          <w:p w14:paraId="3D3029BC">
            <w:pPr>
              <w:keepNext/>
              <w:spacing w:line="440" w:lineRule="exact"/>
              <w:rPr>
                <w:rFonts w:hint="eastAsia" w:ascii="宋体" w:hAnsi="宋体" w:cs="宋体"/>
                <w:color w:val="000000"/>
                <w:szCs w:val="21"/>
              </w:rPr>
            </w:pPr>
          </w:p>
        </w:tc>
        <w:tc>
          <w:tcPr>
            <w:tcW w:w="1352" w:type="dxa"/>
            <w:tcBorders>
              <w:top w:val="double" w:color="auto" w:sz="6" w:space="0"/>
            </w:tcBorders>
            <w:noWrap w:val="0"/>
            <w:vAlign w:val="top"/>
          </w:tcPr>
          <w:p w14:paraId="59FFBC7A">
            <w:pPr>
              <w:keepNext/>
              <w:spacing w:line="440" w:lineRule="exact"/>
              <w:rPr>
                <w:rFonts w:hint="eastAsia" w:ascii="宋体" w:hAnsi="宋体" w:cs="宋体"/>
                <w:color w:val="000000"/>
                <w:szCs w:val="21"/>
              </w:rPr>
            </w:pPr>
          </w:p>
        </w:tc>
        <w:tc>
          <w:tcPr>
            <w:tcW w:w="1418" w:type="dxa"/>
            <w:tcBorders>
              <w:top w:val="double" w:color="auto" w:sz="6" w:space="0"/>
            </w:tcBorders>
            <w:noWrap w:val="0"/>
            <w:vAlign w:val="top"/>
          </w:tcPr>
          <w:p w14:paraId="0EC12B2B">
            <w:pPr>
              <w:keepNext/>
              <w:spacing w:line="440" w:lineRule="exact"/>
              <w:rPr>
                <w:rFonts w:hint="eastAsia" w:ascii="宋体" w:hAnsi="宋体" w:cs="宋体"/>
                <w:color w:val="000000"/>
                <w:szCs w:val="21"/>
              </w:rPr>
            </w:pPr>
          </w:p>
        </w:tc>
        <w:tc>
          <w:tcPr>
            <w:tcW w:w="1701" w:type="dxa"/>
            <w:tcBorders>
              <w:top w:val="double" w:color="auto" w:sz="6" w:space="0"/>
            </w:tcBorders>
            <w:noWrap w:val="0"/>
            <w:vAlign w:val="top"/>
          </w:tcPr>
          <w:p w14:paraId="5608B9DE">
            <w:pPr>
              <w:keepNext/>
              <w:spacing w:line="440" w:lineRule="exact"/>
              <w:rPr>
                <w:rFonts w:hint="eastAsia" w:ascii="宋体" w:hAnsi="宋体" w:cs="宋体"/>
                <w:color w:val="000000"/>
                <w:szCs w:val="21"/>
              </w:rPr>
            </w:pPr>
          </w:p>
        </w:tc>
      </w:tr>
      <w:tr w14:paraId="6D743D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14:paraId="6E6E82D0">
            <w:pPr>
              <w:keepNext/>
              <w:spacing w:line="440" w:lineRule="exact"/>
              <w:rPr>
                <w:rFonts w:hint="eastAsia" w:ascii="宋体" w:hAnsi="宋体" w:cs="宋体"/>
                <w:color w:val="000000"/>
                <w:szCs w:val="21"/>
              </w:rPr>
            </w:pPr>
          </w:p>
        </w:tc>
        <w:tc>
          <w:tcPr>
            <w:tcW w:w="1984" w:type="dxa"/>
            <w:tcBorders>
              <w:top w:val="nil"/>
            </w:tcBorders>
            <w:noWrap w:val="0"/>
            <w:vAlign w:val="top"/>
          </w:tcPr>
          <w:p w14:paraId="12284527">
            <w:pPr>
              <w:keepNext/>
              <w:spacing w:line="440" w:lineRule="exact"/>
              <w:rPr>
                <w:rFonts w:hint="eastAsia" w:ascii="宋体" w:hAnsi="宋体" w:cs="宋体"/>
                <w:color w:val="000000"/>
                <w:szCs w:val="21"/>
              </w:rPr>
            </w:pPr>
          </w:p>
        </w:tc>
        <w:tc>
          <w:tcPr>
            <w:tcW w:w="851" w:type="dxa"/>
            <w:tcBorders>
              <w:top w:val="nil"/>
            </w:tcBorders>
            <w:noWrap w:val="0"/>
            <w:vAlign w:val="top"/>
          </w:tcPr>
          <w:p w14:paraId="70E69608">
            <w:pPr>
              <w:keepNext/>
              <w:spacing w:line="440" w:lineRule="exact"/>
              <w:rPr>
                <w:rFonts w:hint="eastAsia" w:ascii="宋体" w:hAnsi="宋体" w:cs="宋体"/>
                <w:color w:val="000000"/>
                <w:szCs w:val="21"/>
              </w:rPr>
            </w:pPr>
          </w:p>
        </w:tc>
        <w:tc>
          <w:tcPr>
            <w:tcW w:w="774" w:type="dxa"/>
            <w:tcBorders>
              <w:top w:val="nil"/>
            </w:tcBorders>
            <w:noWrap w:val="0"/>
            <w:vAlign w:val="top"/>
          </w:tcPr>
          <w:p w14:paraId="0DD0295D">
            <w:pPr>
              <w:keepNext/>
              <w:spacing w:line="440" w:lineRule="exact"/>
              <w:rPr>
                <w:rFonts w:hint="eastAsia" w:ascii="宋体" w:hAnsi="宋体" w:cs="宋体"/>
                <w:color w:val="000000"/>
                <w:szCs w:val="21"/>
              </w:rPr>
            </w:pPr>
          </w:p>
        </w:tc>
        <w:tc>
          <w:tcPr>
            <w:tcW w:w="1352" w:type="dxa"/>
            <w:tcBorders>
              <w:top w:val="nil"/>
            </w:tcBorders>
            <w:noWrap w:val="0"/>
            <w:vAlign w:val="top"/>
          </w:tcPr>
          <w:p w14:paraId="2C1DCAC3">
            <w:pPr>
              <w:keepNext/>
              <w:spacing w:line="440" w:lineRule="exact"/>
              <w:rPr>
                <w:rFonts w:hint="eastAsia" w:ascii="宋体" w:hAnsi="宋体" w:cs="宋体"/>
                <w:color w:val="000000"/>
                <w:szCs w:val="21"/>
              </w:rPr>
            </w:pPr>
          </w:p>
        </w:tc>
        <w:tc>
          <w:tcPr>
            <w:tcW w:w="1418" w:type="dxa"/>
            <w:tcBorders>
              <w:top w:val="nil"/>
            </w:tcBorders>
            <w:noWrap w:val="0"/>
            <w:vAlign w:val="top"/>
          </w:tcPr>
          <w:p w14:paraId="24B5B493">
            <w:pPr>
              <w:keepNext/>
              <w:spacing w:line="440" w:lineRule="exact"/>
              <w:rPr>
                <w:rFonts w:hint="eastAsia" w:ascii="宋体" w:hAnsi="宋体" w:cs="宋体"/>
                <w:color w:val="000000"/>
                <w:szCs w:val="21"/>
              </w:rPr>
            </w:pPr>
          </w:p>
        </w:tc>
        <w:tc>
          <w:tcPr>
            <w:tcW w:w="1701" w:type="dxa"/>
            <w:tcBorders>
              <w:top w:val="nil"/>
            </w:tcBorders>
            <w:noWrap w:val="0"/>
            <w:vAlign w:val="top"/>
          </w:tcPr>
          <w:p w14:paraId="145F922C">
            <w:pPr>
              <w:keepNext/>
              <w:spacing w:line="440" w:lineRule="exact"/>
              <w:rPr>
                <w:rFonts w:hint="eastAsia" w:ascii="宋体" w:hAnsi="宋体" w:cs="宋体"/>
                <w:color w:val="000000"/>
                <w:szCs w:val="21"/>
              </w:rPr>
            </w:pPr>
          </w:p>
        </w:tc>
      </w:tr>
      <w:tr w14:paraId="7C17F4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14:paraId="5B6FE335">
            <w:pPr>
              <w:keepNext/>
              <w:spacing w:line="440" w:lineRule="exact"/>
              <w:rPr>
                <w:rFonts w:hint="eastAsia" w:ascii="宋体" w:hAnsi="宋体" w:cs="宋体"/>
                <w:color w:val="000000"/>
                <w:szCs w:val="21"/>
              </w:rPr>
            </w:pPr>
          </w:p>
        </w:tc>
        <w:tc>
          <w:tcPr>
            <w:tcW w:w="1984" w:type="dxa"/>
            <w:noWrap w:val="0"/>
            <w:vAlign w:val="top"/>
          </w:tcPr>
          <w:p w14:paraId="45C64E04">
            <w:pPr>
              <w:keepNext/>
              <w:spacing w:line="440" w:lineRule="exact"/>
              <w:rPr>
                <w:rFonts w:hint="eastAsia" w:ascii="宋体" w:hAnsi="宋体" w:cs="宋体"/>
                <w:color w:val="000000"/>
                <w:szCs w:val="21"/>
              </w:rPr>
            </w:pPr>
          </w:p>
        </w:tc>
        <w:tc>
          <w:tcPr>
            <w:tcW w:w="851" w:type="dxa"/>
            <w:noWrap w:val="0"/>
            <w:vAlign w:val="top"/>
          </w:tcPr>
          <w:p w14:paraId="357A14D0">
            <w:pPr>
              <w:keepNext/>
              <w:spacing w:line="440" w:lineRule="exact"/>
              <w:rPr>
                <w:rFonts w:hint="eastAsia" w:ascii="宋体" w:hAnsi="宋体" w:cs="宋体"/>
                <w:color w:val="000000"/>
                <w:szCs w:val="21"/>
              </w:rPr>
            </w:pPr>
          </w:p>
        </w:tc>
        <w:tc>
          <w:tcPr>
            <w:tcW w:w="774" w:type="dxa"/>
            <w:noWrap w:val="0"/>
            <w:vAlign w:val="top"/>
          </w:tcPr>
          <w:p w14:paraId="74BFE32C">
            <w:pPr>
              <w:keepNext/>
              <w:spacing w:line="440" w:lineRule="exact"/>
              <w:rPr>
                <w:rFonts w:hint="eastAsia" w:ascii="宋体" w:hAnsi="宋体" w:cs="宋体"/>
                <w:color w:val="000000"/>
                <w:szCs w:val="21"/>
              </w:rPr>
            </w:pPr>
          </w:p>
        </w:tc>
        <w:tc>
          <w:tcPr>
            <w:tcW w:w="1352" w:type="dxa"/>
            <w:noWrap w:val="0"/>
            <w:vAlign w:val="top"/>
          </w:tcPr>
          <w:p w14:paraId="4BB5C7A5">
            <w:pPr>
              <w:keepNext/>
              <w:spacing w:line="440" w:lineRule="exact"/>
              <w:rPr>
                <w:rFonts w:hint="eastAsia" w:ascii="宋体" w:hAnsi="宋体" w:cs="宋体"/>
                <w:color w:val="000000"/>
                <w:szCs w:val="21"/>
              </w:rPr>
            </w:pPr>
          </w:p>
        </w:tc>
        <w:tc>
          <w:tcPr>
            <w:tcW w:w="1418" w:type="dxa"/>
            <w:noWrap w:val="0"/>
            <w:vAlign w:val="top"/>
          </w:tcPr>
          <w:p w14:paraId="0118D557">
            <w:pPr>
              <w:keepNext/>
              <w:spacing w:line="440" w:lineRule="exact"/>
              <w:rPr>
                <w:rFonts w:hint="eastAsia" w:ascii="宋体" w:hAnsi="宋体" w:cs="宋体"/>
                <w:color w:val="000000"/>
                <w:szCs w:val="21"/>
              </w:rPr>
            </w:pPr>
          </w:p>
        </w:tc>
        <w:tc>
          <w:tcPr>
            <w:tcW w:w="1701" w:type="dxa"/>
            <w:noWrap w:val="0"/>
            <w:vAlign w:val="top"/>
          </w:tcPr>
          <w:p w14:paraId="72920754">
            <w:pPr>
              <w:keepNext/>
              <w:spacing w:line="440" w:lineRule="exact"/>
              <w:rPr>
                <w:rFonts w:hint="eastAsia" w:ascii="宋体" w:hAnsi="宋体" w:cs="宋体"/>
                <w:color w:val="000000"/>
                <w:szCs w:val="21"/>
              </w:rPr>
            </w:pPr>
          </w:p>
        </w:tc>
      </w:tr>
      <w:tr w14:paraId="4E179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bottom w:val="single" w:color="auto" w:sz="12" w:space="0"/>
            </w:tcBorders>
            <w:noWrap w:val="0"/>
            <w:vAlign w:val="top"/>
          </w:tcPr>
          <w:p w14:paraId="25107FFF">
            <w:pPr>
              <w:keepNext/>
              <w:spacing w:line="440" w:lineRule="exact"/>
              <w:rPr>
                <w:rFonts w:hint="eastAsia" w:ascii="宋体" w:hAnsi="宋体" w:cs="宋体"/>
                <w:color w:val="000000"/>
                <w:szCs w:val="21"/>
              </w:rPr>
            </w:pPr>
          </w:p>
        </w:tc>
        <w:tc>
          <w:tcPr>
            <w:tcW w:w="1984" w:type="dxa"/>
            <w:tcBorders>
              <w:bottom w:val="single" w:color="auto" w:sz="12" w:space="0"/>
            </w:tcBorders>
            <w:noWrap w:val="0"/>
            <w:vAlign w:val="top"/>
          </w:tcPr>
          <w:p w14:paraId="768B1051">
            <w:pPr>
              <w:keepNext/>
              <w:spacing w:line="440" w:lineRule="exact"/>
              <w:rPr>
                <w:rFonts w:hint="eastAsia" w:ascii="宋体" w:hAnsi="宋体" w:cs="宋体"/>
                <w:color w:val="000000"/>
                <w:szCs w:val="21"/>
              </w:rPr>
            </w:pPr>
          </w:p>
        </w:tc>
        <w:tc>
          <w:tcPr>
            <w:tcW w:w="851" w:type="dxa"/>
            <w:tcBorders>
              <w:bottom w:val="single" w:color="auto" w:sz="12" w:space="0"/>
            </w:tcBorders>
            <w:noWrap w:val="0"/>
            <w:vAlign w:val="top"/>
          </w:tcPr>
          <w:p w14:paraId="39BBEDE4">
            <w:pPr>
              <w:keepNext/>
              <w:spacing w:line="440" w:lineRule="exact"/>
              <w:rPr>
                <w:rFonts w:hint="eastAsia" w:ascii="宋体" w:hAnsi="宋体" w:cs="宋体"/>
                <w:color w:val="000000"/>
                <w:szCs w:val="21"/>
              </w:rPr>
            </w:pPr>
          </w:p>
        </w:tc>
        <w:tc>
          <w:tcPr>
            <w:tcW w:w="774" w:type="dxa"/>
            <w:tcBorders>
              <w:bottom w:val="single" w:color="auto" w:sz="12" w:space="0"/>
            </w:tcBorders>
            <w:noWrap w:val="0"/>
            <w:vAlign w:val="top"/>
          </w:tcPr>
          <w:p w14:paraId="566F379B">
            <w:pPr>
              <w:keepNext/>
              <w:spacing w:line="440" w:lineRule="exact"/>
              <w:rPr>
                <w:rFonts w:hint="eastAsia" w:ascii="宋体" w:hAnsi="宋体" w:cs="宋体"/>
                <w:color w:val="000000"/>
                <w:szCs w:val="21"/>
              </w:rPr>
            </w:pPr>
          </w:p>
        </w:tc>
        <w:tc>
          <w:tcPr>
            <w:tcW w:w="1352" w:type="dxa"/>
            <w:tcBorders>
              <w:bottom w:val="single" w:color="auto" w:sz="12" w:space="0"/>
            </w:tcBorders>
            <w:noWrap w:val="0"/>
            <w:vAlign w:val="top"/>
          </w:tcPr>
          <w:p w14:paraId="05B28DCA">
            <w:pPr>
              <w:keepNext/>
              <w:spacing w:line="440" w:lineRule="exact"/>
              <w:rPr>
                <w:rFonts w:hint="eastAsia" w:ascii="宋体" w:hAnsi="宋体" w:cs="宋体"/>
                <w:color w:val="000000"/>
                <w:szCs w:val="21"/>
              </w:rPr>
            </w:pPr>
          </w:p>
        </w:tc>
        <w:tc>
          <w:tcPr>
            <w:tcW w:w="1418" w:type="dxa"/>
            <w:tcBorders>
              <w:bottom w:val="single" w:color="auto" w:sz="12" w:space="0"/>
            </w:tcBorders>
            <w:noWrap w:val="0"/>
            <w:vAlign w:val="top"/>
          </w:tcPr>
          <w:p w14:paraId="6E2C0550">
            <w:pPr>
              <w:keepNext/>
              <w:spacing w:line="440" w:lineRule="exact"/>
              <w:rPr>
                <w:rFonts w:hint="eastAsia" w:ascii="宋体" w:hAnsi="宋体" w:cs="宋体"/>
                <w:color w:val="000000"/>
                <w:szCs w:val="21"/>
              </w:rPr>
            </w:pPr>
          </w:p>
        </w:tc>
        <w:tc>
          <w:tcPr>
            <w:tcW w:w="1701" w:type="dxa"/>
            <w:tcBorders>
              <w:bottom w:val="single" w:color="auto" w:sz="12" w:space="0"/>
            </w:tcBorders>
            <w:noWrap w:val="0"/>
            <w:vAlign w:val="top"/>
          </w:tcPr>
          <w:p w14:paraId="18C61A61">
            <w:pPr>
              <w:keepNext/>
              <w:spacing w:line="440" w:lineRule="exact"/>
              <w:rPr>
                <w:rFonts w:hint="eastAsia" w:ascii="宋体" w:hAnsi="宋体" w:cs="宋体"/>
                <w:color w:val="000000"/>
                <w:szCs w:val="21"/>
              </w:rPr>
            </w:pPr>
          </w:p>
        </w:tc>
      </w:tr>
    </w:tbl>
    <w:p w14:paraId="69A4248F">
      <w:pPr>
        <w:rPr>
          <w:rFonts w:hint="eastAsia" w:ascii="宋体" w:hAnsi="宋体" w:cs="宋体"/>
          <w:color w:val="000000"/>
          <w:szCs w:val="21"/>
        </w:rPr>
      </w:pPr>
    </w:p>
    <w:p w14:paraId="27D60EF3">
      <w:pPr>
        <w:rPr>
          <w:rFonts w:hint="eastAsia" w:ascii="宋体" w:hAnsi="宋体" w:cs="宋体"/>
          <w:color w:val="000000"/>
          <w:szCs w:val="22"/>
        </w:rPr>
      </w:pPr>
    </w:p>
    <w:p w14:paraId="21E00BB7">
      <w:pPr>
        <w:rPr>
          <w:rFonts w:hint="eastAsia" w:ascii="宋体" w:hAnsi="宋体" w:cs="宋体"/>
          <w:color w:val="000000"/>
          <w:szCs w:val="22"/>
        </w:rPr>
      </w:pPr>
    </w:p>
    <w:p w14:paraId="76251519">
      <w:pPr>
        <w:keepNext/>
        <w:keepLines/>
        <w:spacing w:before="120" w:after="120" w:line="360" w:lineRule="auto"/>
        <w:jc w:val="left"/>
        <w:outlineLvl w:val="2"/>
        <w:rPr>
          <w:rFonts w:hint="eastAsia" w:ascii="宋体" w:hAnsi="宋体" w:cs="宋体"/>
          <w:color w:val="000000"/>
        </w:rPr>
        <w:sectPr>
          <w:footnotePr>
            <w:numFmt w:val="decimalEnclosedCircleChinese"/>
            <w:numRestart w:val="eachPage"/>
          </w:footnotePr>
          <w:pgSz w:w="11907" w:h="16840"/>
          <w:pgMar w:top="1474" w:right="1474" w:bottom="1474" w:left="1474" w:header="799" w:footer="907" w:gutter="0"/>
          <w:cols w:space="720" w:num="1"/>
          <w:docGrid w:linePitch="271" w:charSpace="0"/>
        </w:sectPr>
      </w:pPr>
    </w:p>
    <w:p w14:paraId="0E815E15">
      <w:pPr>
        <w:keepNext/>
        <w:keepLines/>
        <w:spacing w:before="120" w:after="120" w:line="360" w:lineRule="auto"/>
        <w:jc w:val="left"/>
        <w:outlineLvl w:val="2"/>
        <w:rPr>
          <w:rFonts w:hint="eastAsia" w:ascii="宋体" w:hAnsi="宋体" w:cs="宋体"/>
          <w:bCs/>
          <w:color w:val="000000"/>
          <w:sz w:val="24"/>
        </w:rPr>
      </w:pPr>
      <w:bookmarkStart w:id="955" w:name="_Toc95223511"/>
      <w:r>
        <w:rPr>
          <w:rFonts w:hint="eastAsia" w:ascii="宋体" w:hAnsi="宋体" w:cs="宋体"/>
          <w:bCs/>
          <w:color w:val="000000"/>
          <w:sz w:val="24"/>
        </w:rPr>
        <w:t>附件12：安全生产合同</w:t>
      </w:r>
      <w:bookmarkEnd w:id="955"/>
    </w:p>
    <w:p w14:paraId="16311529">
      <w:pPr>
        <w:adjustRightInd w:val="0"/>
        <w:snapToGrid w:val="0"/>
        <w:spacing w:line="360" w:lineRule="auto"/>
        <w:jc w:val="center"/>
        <w:rPr>
          <w:rFonts w:hint="eastAsia" w:ascii="宋体" w:hAnsi="宋体" w:cs="宋体"/>
          <w:b/>
          <w:color w:val="000000"/>
          <w:sz w:val="32"/>
          <w:szCs w:val="32"/>
        </w:rPr>
      </w:pPr>
      <w:bookmarkStart w:id="956" w:name="_Toc95223512"/>
      <w:bookmarkStart w:id="957" w:name="_Toc16956"/>
      <w:bookmarkStart w:id="958" w:name="_Toc32439"/>
      <w:r>
        <w:rPr>
          <w:rFonts w:hint="eastAsia" w:ascii="宋体" w:hAnsi="宋体" w:cs="宋体"/>
          <w:b/>
          <w:color w:val="000000"/>
          <w:sz w:val="32"/>
          <w:szCs w:val="32"/>
        </w:rPr>
        <w:t>安全生产合同</w:t>
      </w:r>
      <w:bookmarkEnd w:id="956"/>
      <w:bookmarkEnd w:id="957"/>
      <w:bookmarkEnd w:id="958"/>
    </w:p>
    <w:p w14:paraId="2BF6B125">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为在</w:t>
      </w:r>
      <w:r>
        <w:rPr>
          <w:rFonts w:hint="eastAsia" w:ascii="宋体" w:hAnsi="宋体" w:cs="宋体"/>
          <w:color w:val="000000"/>
          <w:szCs w:val="21"/>
          <w:u w:val="single"/>
        </w:rPr>
        <w:t xml:space="preserve">            </w:t>
      </w:r>
      <w:r>
        <w:rPr>
          <w:rFonts w:hint="eastAsia" w:ascii="宋体" w:hAnsi="宋体" w:cs="宋体"/>
          <w:color w:val="000000"/>
          <w:szCs w:val="21"/>
        </w:rPr>
        <w:t>（项目名称）</w:t>
      </w:r>
      <w:r>
        <w:rPr>
          <w:rFonts w:hint="eastAsia" w:ascii="宋体" w:hAnsi="宋体" w:cs="宋体"/>
          <w:color w:val="000000"/>
          <w:szCs w:val="21"/>
          <w:u w:val="single"/>
        </w:rPr>
        <w:t xml:space="preserve">    </w:t>
      </w:r>
      <w:r>
        <w:rPr>
          <w:rFonts w:hint="eastAsia" w:ascii="宋体" w:hAnsi="宋体" w:cs="宋体"/>
          <w:color w:val="000000"/>
          <w:szCs w:val="21"/>
        </w:rPr>
        <w:t>（标段）施工合同的实施过程中创造安全、高效的施工环境，切实搞好本项目的安全管理工作，本项目发包人</w:t>
      </w:r>
      <w:r>
        <w:rPr>
          <w:rFonts w:hint="eastAsia" w:ascii="宋体" w:hAnsi="宋体" w:cs="宋体"/>
          <w:color w:val="000000"/>
          <w:szCs w:val="21"/>
          <w:u w:val="single"/>
        </w:rPr>
        <w:t xml:space="preserve">       </w:t>
      </w:r>
      <w:r>
        <w:rPr>
          <w:rFonts w:hint="eastAsia" w:ascii="宋体" w:hAnsi="宋体" w:cs="宋体"/>
          <w:color w:val="000000"/>
          <w:szCs w:val="21"/>
        </w:rPr>
        <w:t>（发包人名称，以下简称“发包人”）与承包人</w:t>
      </w:r>
      <w:r>
        <w:rPr>
          <w:rFonts w:hint="eastAsia" w:ascii="宋体" w:hAnsi="宋体" w:cs="宋体"/>
          <w:color w:val="000000"/>
          <w:szCs w:val="21"/>
          <w:u w:val="single"/>
        </w:rPr>
        <w:t xml:space="preserve">         </w:t>
      </w:r>
      <w:r>
        <w:rPr>
          <w:rFonts w:hint="eastAsia" w:ascii="宋体" w:hAnsi="宋体" w:cs="宋体"/>
          <w:color w:val="000000"/>
          <w:szCs w:val="21"/>
        </w:rPr>
        <w:t>（承包人名称，以下简称“承包人”）特此签订安全生产合同：</w:t>
      </w:r>
    </w:p>
    <w:p w14:paraId="5E2ABC1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1.发包人职责</w:t>
      </w:r>
    </w:p>
    <w:p w14:paraId="3B51A49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（1）严格遵守国家有关安全生产的法律法规，认真执行工程承包合同中的有关安全要求。</w:t>
      </w:r>
    </w:p>
    <w:p w14:paraId="01345DF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（2）按照“安全第一、预防为主”和坚持“管生产必须管安全”的原则进行安全生产管理，做到生产与安全工作同时计划、布置、检查、总结和评比。</w:t>
      </w:r>
    </w:p>
    <w:p w14:paraId="374DF67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（3）重要的安全设施必须坚持与主体工程“三同时”的原则，即：同时设计、审批，同时施工，同时验收，投入使用。</w:t>
      </w:r>
    </w:p>
    <w:p w14:paraId="12F3CE5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（4）定期召开安全生产调度会，及时传达中央及地方有关安全生产的精神。</w:t>
      </w:r>
    </w:p>
    <w:p w14:paraId="2142C9E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（5）组织对承包人施工现场安全生产检查，监督承包人及时处理发现的各种安全隐患。</w:t>
      </w:r>
    </w:p>
    <w:p w14:paraId="27CAA76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2.承包人职责</w:t>
      </w:r>
    </w:p>
    <w:p w14:paraId="197870B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严格遵守《中华人民共和国安全生产法》、《建设工程安全生产管理条例》等国家有关安全生产的法律法规、《建设项目安全设施“三同时”监督管理办法》等有关安全生产的规定。认真执行工程承包合同中的有关安全要求。</w:t>
      </w:r>
    </w:p>
    <w:p w14:paraId="240F67A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7E19E5F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建立健全安全生产责任制。从派往项目实施的项目经理到生产工人（包括临时雇请的民工）的安全生产管理系统必须做到纵向到底，—环不漏；各职能部门、人员的安全生产责任制做到横向到边，人人有责。项目经理是安全生产的第一责任人。现场设置的安全机构，应按《建设工程安全生产管理条例》及有关规定的配备专职安全生产管理人员，专职负责所有员工的安全和治安保卫工作及预防事故的发生。安全机构人员有权按有关规定发布指令，并采取保护性措施防止事故发生。</w:t>
      </w:r>
    </w:p>
    <w:p w14:paraId="7025E97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（4）承包人在任何时候都应采取各种合理的预防措施，防止其员工发生任何违法、违禁、暴力或妨碍治安的行为。</w:t>
      </w:r>
    </w:p>
    <w:p w14:paraId="7C46264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2F1B2B2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4F4117B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（7）操作人员上岗，必须按规定穿戴防护用品。施工负责人和安全检查员应随时检查劳动防护用品的穿戴情况，不按规定穿戴防护用品的人员不得上岗。</w:t>
      </w:r>
    </w:p>
    <w:p w14:paraId="1E28017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（8）所有施工机具设备和高空作业的设备均应定期检查，并有安全员的签字记录，保证其经常处于完好状态；不合格的机具、设备和劳动保护用品严禁使用：</w:t>
      </w:r>
    </w:p>
    <w:p w14:paraId="1C0E492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（9）施工中采用新技术、新工艺、新设备、新材料时，必须制定相应的安全技术措施，施工现场必须具有相关的安全标志牌。</w:t>
      </w:r>
    </w:p>
    <w:p w14:paraId="18C3E45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17074C8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（11）安全生产费用按照《建设工程安全生产管理条例》的相关规定使用和管理。</w:t>
      </w:r>
    </w:p>
    <w:p w14:paraId="7C9159BF">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3.违约责任</w:t>
      </w:r>
    </w:p>
    <w:p w14:paraId="1B4202E4">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如因发包人或承包人违约造成安全事故，将依法追究责任。</w:t>
      </w:r>
    </w:p>
    <w:p w14:paraId="5854305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4.本合同由双方法定代表人或其授权的代理人签署并加盖单位章后生效，全部工程竣工验收后失效。</w:t>
      </w:r>
    </w:p>
    <w:p w14:paraId="4BA2A91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5.本合同正本—式</w:t>
      </w:r>
      <w:r>
        <w:rPr>
          <w:rFonts w:hint="eastAsia" w:ascii="宋体" w:hAnsi="宋体" w:cs="宋体"/>
          <w:color w:val="000000"/>
          <w:szCs w:val="21"/>
          <w:u w:val="single"/>
        </w:rPr>
        <w:t xml:space="preserve">   </w:t>
      </w:r>
      <w:r>
        <w:rPr>
          <w:rFonts w:hint="eastAsia" w:ascii="宋体" w:hAnsi="宋体" w:cs="宋体"/>
          <w:color w:val="000000"/>
          <w:szCs w:val="21"/>
        </w:rPr>
        <w:t>份，副本</w:t>
      </w:r>
      <w:r>
        <w:rPr>
          <w:rFonts w:hint="eastAsia" w:ascii="宋体" w:hAnsi="宋体" w:cs="宋体"/>
          <w:color w:val="000000"/>
          <w:szCs w:val="21"/>
          <w:u w:val="single"/>
        </w:rPr>
        <w:t xml:space="preserve">  </w:t>
      </w:r>
      <w:r>
        <w:rPr>
          <w:rFonts w:hint="eastAsia" w:ascii="宋体" w:hAnsi="宋体" w:cs="宋体"/>
          <w:color w:val="000000"/>
          <w:szCs w:val="21"/>
        </w:rPr>
        <w:t>份，合同双方各执正本—份，副本</w:t>
      </w:r>
      <w:r>
        <w:rPr>
          <w:rFonts w:hint="eastAsia" w:ascii="宋体" w:hAnsi="宋体" w:cs="宋体"/>
          <w:color w:val="000000"/>
          <w:szCs w:val="21"/>
          <w:u w:val="single"/>
        </w:rPr>
        <w:t xml:space="preserve">  </w:t>
      </w:r>
      <w:r>
        <w:rPr>
          <w:rFonts w:hint="eastAsia" w:ascii="宋体" w:hAnsi="宋体" w:cs="宋体"/>
          <w:color w:val="000000"/>
          <w:szCs w:val="21"/>
        </w:rPr>
        <w:t>份，当正本与副本的内容不一致时，以正本为准。</w:t>
      </w:r>
    </w:p>
    <w:p w14:paraId="1B334BA6">
      <w:pPr>
        <w:spacing w:line="360" w:lineRule="auto"/>
        <w:rPr>
          <w:rFonts w:hint="eastAsia" w:ascii="宋体" w:hAnsi="宋体" w:cs="宋体"/>
          <w:color w:val="000000"/>
          <w:szCs w:val="21"/>
        </w:rPr>
      </w:pPr>
    </w:p>
    <w:p w14:paraId="0DC4D82C">
      <w:pPr>
        <w:spacing w:line="360" w:lineRule="auto"/>
        <w:rPr>
          <w:rFonts w:hint="eastAsia" w:ascii="宋体" w:hAnsi="宋体" w:cs="宋体"/>
          <w:color w:val="000000"/>
          <w:szCs w:val="21"/>
        </w:rPr>
      </w:pPr>
    </w:p>
    <w:p w14:paraId="386A0618">
      <w:pPr>
        <w:spacing w:line="360" w:lineRule="auto"/>
        <w:rPr>
          <w:rFonts w:hint="eastAsia" w:ascii="宋体" w:hAnsi="宋体" w:cs="宋体"/>
          <w:color w:val="000000"/>
          <w:szCs w:val="21"/>
        </w:rPr>
      </w:pPr>
      <w:r>
        <w:rPr>
          <w:rFonts w:hint="eastAsia" w:ascii="宋体" w:hAnsi="宋体" w:cs="宋体"/>
          <w:color w:val="000000"/>
          <w:szCs w:val="21"/>
        </w:rPr>
        <w:t>发包人：</w:t>
      </w:r>
      <w:r>
        <w:rPr>
          <w:rFonts w:hint="eastAsia" w:ascii="宋体" w:hAnsi="宋体" w:cs="宋体"/>
          <w:color w:val="000000"/>
          <w:szCs w:val="21"/>
          <w:u w:val="single"/>
        </w:rPr>
        <w:t xml:space="preserve">                </w:t>
      </w:r>
      <w:r>
        <w:rPr>
          <w:rFonts w:hint="eastAsia" w:ascii="宋体" w:hAnsi="宋体" w:cs="宋体"/>
          <w:color w:val="000000"/>
          <w:szCs w:val="21"/>
        </w:rPr>
        <w:t>（盖单位章）           承包人：</w:t>
      </w:r>
      <w:r>
        <w:rPr>
          <w:rFonts w:hint="eastAsia" w:ascii="宋体" w:hAnsi="宋体" w:cs="宋体"/>
          <w:color w:val="000000"/>
          <w:szCs w:val="21"/>
          <w:u w:val="single"/>
        </w:rPr>
        <w:t xml:space="preserve">                   </w:t>
      </w:r>
      <w:r>
        <w:rPr>
          <w:rFonts w:hint="eastAsia" w:ascii="宋体" w:hAnsi="宋体" w:cs="宋体"/>
          <w:color w:val="000000"/>
          <w:szCs w:val="21"/>
        </w:rPr>
        <w:t>（盖单位章）</w:t>
      </w:r>
    </w:p>
    <w:p w14:paraId="60726E5B">
      <w:pPr>
        <w:spacing w:line="360" w:lineRule="auto"/>
        <w:rPr>
          <w:rFonts w:hint="eastAsia" w:ascii="宋体" w:hAnsi="宋体" w:cs="宋体"/>
          <w:color w:val="000000"/>
          <w:szCs w:val="21"/>
        </w:rPr>
      </w:pPr>
    </w:p>
    <w:p w14:paraId="7DB6572D">
      <w:pPr>
        <w:spacing w:line="360" w:lineRule="auto"/>
        <w:rPr>
          <w:rFonts w:hint="eastAsia" w:ascii="宋体" w:hAnsi="宋体" w:cs="宋体"/>
          <w:color w:val="000000"/>
          <w:szCs w:val="21"/>
        </w:rPr>
      </w:pPr>
      <w:r>
        <w:rPr>
          <w:rFonts w:hint="eastAsia" w:ascii="宋体" w:hAnsi="宋体" w:cs="宋体"/>
          <w:color w:val="000000"/>
          <w:szCs w:val="21"/>
        </w:rPr>
        <w:t>法定代表人或其委托代理人：</w:t>
      </w:r>
      <w:r>
        <w:rPr>
          <w:rFonts w:hint="eastAsia" w:ascii="宋体" w:hAnsi="宋体" w:cs="宋体"/>
          <w:color w:val="000000"/>
          <w:szCs w:val="21"/>
          <w:u w:val="single"/>
        </w:rPr>
        <w:t xml:space="preserve">    </w:t>
      </w:r>
      <w:r>
        <w:rPr>
          <w:rFonts w:hint="eastAsia" w:ascii="宋体" w:hAnsi="宋体" w:cs="宋体"/>
          <w:color w:val="000000"/>
          <w:szCs w:val="21"/>
        </w:rPr>
        <w:t>（签字）           法定代表人或其委托代理人：</w:t>
      </w:r>
      <w:r>
        <w:rPr>
          <w:rFonts w:hint="eastAsia" w:ascii="宋体" w:hAnsi="宋体" w:cs="宋体"/>
          <w:color w:val="000000"/>
          <w:szCs w:val="21"/>
          <w:u w:val="single"/>
        </w:rPr>
        <w:t xml:space="preserve">     </w:t>
      </w:r>
      <w:r>
        <w:rPr>
          <w:rFonts w:hint="eastAsia" w:ascii="宋体" w:hAnsi="宋体" w:cs="宋体"/>
          <w:color w:val="000000"/>
          <w:szCs w:val="21"/>
        </w:rPr>
        <w:t>（签字）</w:t>
      </w:r>
    </w:p>
    <w:p w14:paraId="67196D8A">
      <w:pPr>
        <w:spacing w:line="360" w:lineRule="auto"/>
        <w:rPr>
          <w:rFonts w:hint="eastAsia" w:ascii="宋体" w:hAnsi="宋体" w:cs="宋体"/>
          <w:color w:val="000000"/>
          <w:szCs w:val="21"/>
        </w:rPr>
      </w:pPr>
    </w:p>
    <w:p w14:paraId="2F670A70">
      <w:pPr>
        <w:spacing w:line="360" w:lineRule="auto"/>
        <w:ind w:firstLine="840"/>
        <w:rPr>
          <w:rFonts w:ascii="宋体" w:hAnsi="宋体" w:cs="宋体"/>
          <w:bCs/>
          <w:color w:val="000000"/>
          <w:kern w:val="44"/>
          <w:sz w:val="32"/>
          <w:szCs w:val="44"/>
        </w:rPr>
      </w:pPr>
      <w:r>
        <w:rPr>
          <w:rFonts w:hint="eastAsia" w:ascii="宋体" w:hAnsi="宋体" w:cs="宋体"/>
          <w:color w:val="000000"/>
          <w:szCs w:val="21"/>
        </w:rPr>
        <w:t xml:space="preserve">   </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 xml:space="preserve">日                       </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6E0E33CA">
      <w:pPr>
        <w:rPr>
          <w:rFonts w:ascii="宋体" w:hAnsi="宋体" w:cs="宋体"/>
          <w:sz w:val="32"/>
          <w:szCs w:val="44"/>
        </w:rPr>
      </w:pPr>
    </w:p>
    <w:p w14:paraId="2BD0D5E9">
      <w:pPr>
        <w:rPr>
          <w:rFonts w:ascii="宋体" w:hAnsi="宋体" w:cs="宋体"/>
          <w:sz w:val="32"/>
          <w:szCs w:val="44"/>
        </w:rPr>
      </w:pPr>
    </w:p>
    <w:p w14:paraId="05A97EBE">
      <w:pPr>
        <w:tabs>
          <w:tab w:val="left" w:pos="2820"/>
        </w:tabs>
        <w:outlineLvl w:val="2"/>
        <w:rPr>
          <w:rFonts w:hint="eastAsia" w:ascii="宋体" w:hAnsi="宋体" w:cs="宋体"/>
          <w:sz w:val="32"/>
          <w:szCs w:val="44"/>
        </w:rPr>
      </w:pPr>
      <w:r>
        <w:rPr>
          <w:rFonts w:hint="eastAsia" w:ascii="宋体" w:hAnsi="宋体" w:cs="宋体"/>
          <w:sz w:val="32"/>
          <w:szCs w:val="44"/>
        </w:rPr>
        <w:br w:type="page"/>
      </w:r>
      <w:bookmarkStart w:id="959" w:name="_Toc95223513"/>
      <w:r>
        <w:rPr>
          <w:rFonts w:hint="eastAsia" w:ascii="宋体" w:hAnsi="宋体" w:cs="宋体"/>
          <w:bCs/>
          <w:color w:val="000000"/>
          <w:sz w:val="24"/>
        </w:rPr>
        <w:t>附件1</w:t>
      </w:r>
      <w:r>
        <w:rPr>
          <w:rFonts w:hint="eastAsia" w:ascii="宋体" w:hAnsi="宋体" w:cs="宋体"/>
          <w:bCs/>
          <w:color w:val="000000"/>
          <w:sz w:val="24"/>
          <w:lang w:val="en-US" w:eastAsia="zh-CN"/>
        </w:rPr>
        <w:t>3</w:t>
      </w:r>
      <w:r>
        <w:rPr>
          <w:rFonts w:hint="eastAsia" w:ascii="宋体" w:hAnsi="宋体" w:cs="宋体"/>
          <w:bCs/>
          <w:color w:val="000000"/>
          <w:sz w:val="24"/>
        </w:rPr>
        <w:t>：</w:t>
      </w:r>
      <w:bookmarkEnd w:id="959"/>
    </w:p>
    <w:p w14:paraId="03D018A6">
      <w:pPr>
        <w:adjustRightInd w:val="0"/>
        <w:snapToGrid w:val="0"/>
        <w:spacing w:line="360" w:lineRule="auto"/>
        <w:jc w:val="center"/>
        <w:rPr>
          <w:rFonts w:hint="eastAsia" w:ascii="宋体" w:hAnsi="宋体" w:cs="宋体"/>
          <w:b/>
          <w:color w:val="000000"/>
          <w:sz w:val="32"/>
          <w:szCs w:val="32"/>
        </w:rPr>
      </w:pPr>
      <w:bookmarkStart w:id="960" w:name="_Toc19059"/>
      <w:bookmarkStart w:id="961" w:name="_Toc20282"/>
      <w:bookmarkStart w:id="962" w:name="_Toc95223514"/>
      <w:r>
        <w:rPr>
          <w:rFonts w:hint="eastAsia" w:ascii="宋体" w:hAnsi="宋体" w:cs="宋体"/>
          <w:b/>
          <w:color w:val="000000"/>
          <w:sz w:val="32"/>
          <w:szCs w:val="32"/>
        </w:rPr>
        <w:t>项目经理质量终身责任制承诺</w:t>
      </w:r>
      <w:bookmarkEnd w:id="960"/>
      <w:bookmarkEnd w:id="961"/>
      <w:bookmarkEnd w:id="962"/>
    </w:p>
    <w:p w14:paraId="56731305">
      <w:pPr>
        <w:adjustRightInd w:val="0"/>
        <w:snapToGrid w:val="0"/>
        <w:spacing w:line="360" w:lineRule="auto"/>
        <w:rPr>
          <w:rFonts w:hint="eastAsia" w:ascii="宋体" w:hAnsi="宋体" w:cs="宋体"/>
          <w:bCs/>
          <w:color w:val="000000"/>
          <w:sz w:val="24"/>
          <w:szCs w:val="21"/>
        </w:rPr>
      </w:pPr>
      <w:r>
        <w:rPr>
          <w:rFonts w:hint="eastAsia" w:ascii="宋体" w:hAnsi="宋体" w:cs="宋体"/>
          <w:bCs/>
          <w:color w:val="000000"/>
          <w:sz w:val="24"/>
          <w:szCs w:val="21"/>
        </w:rPr>
        <w:t>致：______________(招标人名称)</w:t>
      </w:r>
    </w:p>
    <w:p w14:paraId="277186F9">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本人作为拟委任的施工项目经理，承担相关质量终身责任，现郑重承诺如下：</w:t>
      </w:r>
    </w:p>
    <w:p w14:paraId="7189D1B4">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一、在取得施工许可证后进行施工。</w:t>
      </w:r>
    </w:p>
    <w:p w14:paraId="3C1D143B">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二、严格执行施工规范及标准。</w:t>
      </w:r>
    </w:p>
    <w:p w14:paraId="5F9963B1">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三、严格按规定配备施工项目部关键岗位人员，并确保所有人员到岗履职。</w:t>
      </w:r>
    </w:p>
    <w:p w14:paraId="524417EA">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四、严格按照经施工图审查机构审查合格的工程设计文件及合同约定的质量标准精心组织施工。</w:t>
      </w:r>
    </w:p>
    <w:p w14:paraId="7859F936">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五、施工中采用合格的建筑材料、建筑构配件和设备等，并严格按规定执行见证取样制度。</w:t>
      </w:r>
    </w:p>
    <w:p w14:paraId="4FFF62D5">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六、建立、健全质量检查、验收制度，严格工序管理，做好隐蔽工程质量的检查和记录。</w:t>
      </w:r>
    </w:p>
    <w:p w14:paraId="6BCB028E">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七、对施工中出现的质量问题，及时进行整改。严格依法依规履行义务。</w:t>
      </w:r>
    </w:p>
    <w:p w14:paraId="1385A6C9">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八、履行相关工程质量检查、验收及事故处理等职责。</w:t>
      </w:r>
    </w:p>
    <w:p w14:paraId="763143A0">
      <w:pPr>
        <w:adjustRightInd w:val="0"/>
        <w:snapToGrid w:val="0"/>
        <w:spacing w:line="360" w:lineRule="auto"/>
        <w:ind w:firstLine="480" w:firstLineChars="200"/>
        <w:rPr>
          <w:rFonts w:hint="eastAsia" w:ascii="宋体" w:hAnsi="宋体" w:cs="宋体"/>
          <w:bCs/>
          <w:color w:val="000000"/>
          <w:sz w:val="24"/>
          <w:szCs w:val="21"/>
        </w:rPr>
      </w:pPr>
      <w:r>
        <w:rPr>
          <w:rFonts w:hint="eastAsia" w:ascii="宋体" w:hAnsi="宋体" w:cs="宋体"/>
          <w:bCs/>
          <w:color w:val="000000"/>
          <w:sz w:val="24"/>
          <w:szCs w:val="21"/>
        </w:rPr>
        <w:t>九、履行其他法律法规规定的职责。</w:t>
      </w:r>
    </w:p>
    <w:p w14:paraId="6C9BBE34">
      <w:pPr>
        <w:spacing w:line="360" w:lineRule="auto"/>
        <w:ind w:left="359" w:leftChars="171" w:firstLine="720" w:firstLineChars="300"/>
        <w:rPr>
          <w:rFonts w:hint="eastAsia" w:ascii="宋体" w:hAnsi="宋体" w:cs="宋体"/>
          <w:bCs/>
          <w:color w:val="000000"/>
          <w:sz w:val="24"/>
          <w:szCs w:val="21"/>
        </w:rPr>
      </w:pPr>
    </w:p>
    <w:p w14:paraId="6C926A78">
      <w:pPr>
        <w:spacing w:line="360" w:lineRule="auto"/>
        <w:ind w:left="359" w:leftChars="171" w:firstLine="720" w:firstLineChars="300"/>
        <w:rPr>
          <w:rFonts w:hint="eastAsia" w:ascii="宋体" w:hAnsi="宋体" w:cs="宋体"/>
          <w:bCs/>
          <w:color w:val="000000"/>
          <w:sz w:val="24"/>
          <w:szCs w:val="21"/>
        </w:rPr>
      </w:pPr>
    </w:p>
    <w:p w14:paraId="0E156356">
      <w:pPr>
        <w:spacing w:line="360" w:lineRule="auto"/>
        <w:ind w:left="359" w:leftChars="171" w:firstLine="720" w:firstLineChars="300"/>
        <w:rPr>
          <w:rFonts w:hint="eastAsia" w:ascii="宋体" w:hAnsi="宋体" w:cs="宋体"/>
          <w:bCs/>
          <w:color w:val="000000"/>
          <w:sz w:val="24"/>
          <w:szCs w:val="21"/>
        </w:rPr>
      </w:pPr>
      <w:r>
        <w:rPr>
          <w:rFonts w:hint="eastAsia" w:ascii="宋体" w:hAnsi="宋体" w:cs="宋体"/>
          <w:bCs/>
          <w:color w:val="000000"/>
          <w:sz w:val="24"/>
          <w:szCs w:val="21"/>
        </w:rPr>
        <w:t>项目经理：</w:t>
      </w:r>
      <w:r>
        <w:rPr>
          <w:rFonts w:hint="eastAsia" w:ascii="宋体" w:hAnsi="宋体" w:cs="宋体"/>
          <w:bCs/>
          <w:color w:val="000000"/>
          <w:sz w:val="24"/>
          <w:szCs w:val="21"/>
          <w:u w:val="single"/>
        </w:rPr>
        <w:t xml:space="preserve">                   </w:t>
      </w:r>
      <w:r>
        <w:rPr>
          <w:rFonts w:hint="eastAsia" w:ascii="宋体" w:hAnsi="宋体" w:cs="宋体"/>
          <w:bCs/>
          <w:color w:val="000000"/>
          <w:sz w:val="24"/>
          <w:szCs w:val="21"/>
        </w:rPr>
        <w:t>（签字）</w:t>
      </w:r>
    </w:p>
    <w:p w14:paraId="6C56527F">
      <w:pPr>
        <w:spacing w:line="360" w:lineRule="auto"/>
        <w:ind w:left="359" w:leftChars="171" w:firstLine="720" w:firstLineChars="300"/>
        <w:rPr>
          <w:rFonts w:hint="eastAsia" w:ascii="宋体" w:hAnsi="宋体" w:cs="宋体"/>
          <w:bCs/>
          <w:color w:val="000000"/>
          <w:sz w:val="24"/>
          <w:szCs w:val="21"/>
        </w:rPr>
      </w:pPr>
      <w:r>
        <w:rPr>
          <w:rFonts w:hint="eastAsia" w:ascii="宋体" w:hAnsi="宋体" w:cs="宋体"/>
          <w:bCs/>
          <w:color w:val="000000"/>
          <w:sz w:val="24"/>
          <w:szCs w:val="21"/>
        </w:rPr>
        <w:t>日期：_____年____月____日</w:t>
      </w:r>
    </w:p>
    <w:p w14:paraId="32593711"/>
    <w:p w14:paraId="6DDA8736">
      <w:pPr>
        <w:rPr>
          <w:highlight w:val="none"/>
        </w:rPr>
      </w:pPr>
    </w:p>
    <w:p w14:paraId="7CBF4516">
      <w:pPr>
        <w:spacing w:line="360" w:lineRule="auto"/>
        <w:jc w:val="center"/>
        <w:rPr>
          <w:rFonts w:ascii="仿宋_GB2312" w:eastAsia="仿宋_GB2312"/>
          <w:b/>
          <w:sz w:val="28"/>
          <w:szCs w:val="28"/>
          <w:highlight w:val="none"/>
        </w:rPr>
      </w:pPr>
    </w:p>
    <w:p w14:paraId="6658E593">
      <w:pPr>
        <w:rPr>
          <w:rFonts w:hint="eastAsia"/>
          <w:highlight w:val="none"/>
        </w:rPr>
      </w:pPr>
    </w:p>
    <w:bookmarkEnd w:id="853"/>
    <w:bookmarkEnd w:id="854"/>
    <w:bookmarkEnd w:id="855"/>
    <w:bookmarkEnd w:id="856"/>
    <w:p w14:paraId="0C2CCCBA">
      <w:pPr>
        <w:rPr>
          <w:rFonts w:hint="eastAsia" w:ascii="宋体" w:hAnsi="宋体" w:cs="宋体"/>
          <w:b/>
          <w:color w:val="000000"/>
          <w:highlight w:val="none"/>
        </w:rPr>
      </w:pPr>
      <w:bookmarkStart w:id="963" w:name="_Toc247085872"/>
      <w:bookmarkStart w:id="964" w:name="_Toc35425136"/>
      <w:bookmarkStart w:id="965" w:name="_Toc144974855"/>
      <w:bookmarkStart w:id="966" w:name="_Toc506107340"/>
      <w:bookmarkStart w:id="967" w:name="_Toc324404888"/>
      <w:bookmarkStart w:id="968" w:name="_Toc152042575"/>
      <w:bookmarkStart w:id="969" w:name="_Toc246996354"/>
      <w:bookmarkStart w:id="970" w:name="_Toc246997097"/>
      <w:bookmarkStart w:id="971" w:name="_Toc35424970"/>
      <w:bookmarkStart w:id="972" w:name="_Toc15058934"/>
      <w:bookmarkStart w:id="973" w:name="_Toc152045786"/>
      <w:bookmarkStart w:id="974" w:name="_Toc179632806"/>
      <w:bookmarkStart w:id="975" w:name="_Toc78803398"/>
    </w:p>
    <w:p w14:paraId="6D943194">
      <w:pPr>
        <w:rPr>
          <w:rFonts w:hint="eastAsia" w:eastAsia="宋体" w:cs="Times New Roman"/>
          <w:bCs/>
          <w:szCs w:val="32"/>
          <w:highlight w:val="none"/>
        </w:rPr>
      </w:pPr>
      <w:bookmarkStart w:id="976" w:name="_Toc95223522"/>
      <w:r>
        <w:rPr>
          <w:rFonts w:hint="eastAsia" w:eastAsia="宋体" w:cs="Times New Roman"/>
          <w:bCs/>
          <w:szCs w:val="32"/>
          <w:highlight w:val="none"/>
        </w:rPr>
        <w:br w:type="page"/>
      </w:r>
    </w:p>
    <w:p w14:paraId="1A8499CE">
      <w:pPr>
        <w:pStyle w:val="44"/>
        <w:spacing w:beforeLines="50" w:afterLines="50" w:line="440" w:lineRule="exact"/>
        <w:jc w:val="center"/>
        <w:rPr>
          <w:rFonts w:hint="eastAsia" w:eastAsia="宋体" w:cs="Times New Roman"/>
          <w:bCs/>
          <w:szCs w:val="32"/>
          <w:highlight w:val="none"/>
        </w:rPr>
      </w:pPr>
      <w:bookmarkStart w:id="977" w:name="_Toc4767"/>
      <w:bookmarkStart w:id="978" w:name="_Toc95223515"/>
      <w:r>
        <w:rPr>
          <w:rFonts w:hint="eastAsia" w:eastAsia="宋体" w:cs="Times New Roman"/>
          <w:bCs/>
          <w:szCs w:val="32"/>
          <w:highlight w:val="none"/>
        </w:rPr>
        <w:t>第六章  工程量清单</w:t>
      </w:r>
      <w:bookmarkEnd w:id="977"/>
      <w:bookmarkEnd w:id="978"/>
    </w:p>
    <w:p w14:paraId="12595202">
      <w:pPr>
        <w:adjustRightInd w:val="0"/>
        <w:snapToGrid w:val="0"/>
        <w:spacing w:line="360" w:lineRule="auto"/>
        <w:ind w:firstLine="840" w:firstLineChars="400"/>
        <w:rPr>
          <w:rFonts w:hint="eastAsia" w:ascii="宋体" w:hAnsi="宋体" w:cs="宋体"/>
          <w:bCs/>
          <w:color w:val="000000"/>
          <w:kern w:val="44"/>
          <w:sz w:val="32"/>
          <w:szCs w:val="44"/>
        </w:rPr>
      </w:pPr>
      <w:r>
        <w:rPr>
          <w:rFonts w:hint="eastAsia" w:ascii="宋体" w:hAnsi="宋体" w:cs="宋体"/>
          <w:color w:val="000000"/>
          <w:szCs w:val="21"/>
        </w:rPr>
        <w:t>另册。</w:t>
      </w:r>
    </w:p>
    <w:p w14:paraId="087D1176">
      <w:pPr>
        <w:pStyle w:val="44"/>
        <w:spacing w:beforeLines="50" w:afterLines="50" w:line="440" w:lineRule="exact"/>
        <w:jc w:val="center"/>
        <w:rPr>
          <w:rFonts w:hint="eastAsia" w:eastAsia="宋体" w:cs="Times New Roman"/>
          <w:bCs/>
          <w:szCs w:val="32"/>
          <w:highlight w:val="none"/>
        </w:rPr>
      </w:pPr>
      <w:r>
        <w:rPr>
          <w:rFonts w:hint="eastAsia" w:eastAsia="宋体" w:cs="Times New Roman"/>
          <w:bCs/>
          <w:szCs w:val="32"/>
          <w:highlight w:val="none"/>
        </w:rPr>
        <w:t>第</w:t>
      </w:r>
      <w:r>
        <w:rPr>
          <w:rFonts w:hint="eastAsia" w:cs="Times New Roman"/>
          <w:bCs/>
          <w:szCs w:val="32"/>
          <w:highlight w:val="none"/>
          <w:lang w:val="en-US" w:eastAsia="zh-CN"/>
        </w:rPr>
        <w:t>七</w:t>
      </w:r>
      <w:r>
        <w:rPr>
          <w:rFonts w:hint="eastAsia" w:eastAsia="宋体" w:cs="Times New Roman"/>
          <w:bCs/>
          <w:szCs w:val="32"/>
          <w:highlight w:val="none"/>
        </w:rPr>
        <w:t xml:space="preserve">章 </w:t>
      </w:r>
      <w:bookmarkStart w:id="979" w:name="_Toc10656"/>
      <w:r>
        <w:rPr>
          <w:rFonts w:hint="eastAsia" w:eastAsia="宋体" w:cs="Times New Roman"/>
          <w:bCs/>
          <w:szCs w:val="32"/>
          <w:highlight w:val="none"/>
        </w:rPr>
        <w:t>图  纸</w:t>
      </w:r>
      <w:bookmarkEnd w:id="976"/>
      <w:bookmarkEnd w:id="979"/>
    </w:p>
    <w:p w14:paraId="0C219A0D">
      <w:pPr>
        <w:keepNext w:val="0"/>
        <w:keepLines w:val="0"/>
        <w:pageBreakBefore w:val="0"/>
        <w:widowControl w:val="0"/>
        <w:kinsoku/>
        <w:wordWrap/>
        <w:overflowPunct/>
        <w:topLinePunct w:val="0"/>
        <w:autoSpaceDE/>
        <w:autoSpaceDN/>
        <w:bidi w:val="0"/>
        <w:adjustRightInd w:val="0"/>
        <w:snapToGrid w:val="0"/>
        <w:spacing w:line="360" w:lineRule="auto"/>
        <w:ind w:firstLine="840" w:firstLineChars="400"/>
        <w:textAlignment w:val="auto"/>
        <w:rPr>
          <w:rFonts w:hint="eastAsia" w:ascii="宋体" w:hAnsi="宋体" w:cs="宋体"/>
          <w:bCs/>
          <w:color w:val="000000"/>
          <w:kern w:val="44"/>
          <w:sz w:val="32"/>
          <w:szCs w:val="44"/>
          <w:highlight w:val="none"/>
        </w:rPr>
      </w:pPr>
      <w:r>
        <w:rPr>
          <w:rFonts w:hint="eastAsia" w:ascii="宋体" w:hAnsi="宋体" w:cs="宋体"/>
          <w:color w:val="000000"/>
          <w:szCs w:val="21"/>
          <w:highlight w:val="none"/>
        </w:rPr>
        <w:t>另册。</w:t>
      </w:r>
    </w:p>
    <w:p w14:paraId="111AFB31">
      <w:pPr>
        <w:outlineLvl w:val="1"/>
        <w:rPr>
          <w:rFonts w:hint="eastAsia" w:ascii="宋体" w:hAnsi="宋体" w:cs="宋体"/>
          <w:color w:val="000000"/>
          <w:highlight w:val="none"/>
        </w:rPr>
      </w:pPr>
    </w:p>
    <w:p w14:paraId="48B5E51C">
      <w:pPr>
        <w:rPr>
          <w:rFonts w:hint="eastAsia" w:ascii="宋体" w:hAnsi="宋体" w:cs="宋体"/>
          <w:color w:val="000000"/>
          <w:highlight w:val="none"/>
        </w:rPr>
      </w:pPr>
    </w:p>
    <w:p w14:paraId="09483549">
      <w:pPr>
        <w:pStyle w:val="44"/>
        <w:spacing w:beforeLines="50" w:afterLines="50" w:line="440" w:lineRule="exact"/>
        <w:jc w:val="center"/>
        <w:rPr>
          <w:rFonts w:hint="eastAsia" w:ascii="宋体" w:hAnsi="宋体" w:cs="宋体"/>
          <w:bCs w:val="0"/>
          <w:color w:val="000000"/>
          <w:sz w:val="32"/>
          <w:highlight w:val="none"/>
        </w:rPr>
      </w:pPr>
      <w:r>
        <w:rPr>
          <w:rFonts w:hint="eastAsia" w:ascii="宋体" w:hAnsi="宋体" w:cs="宋体"/>
          <w:b w:val="0"/>
          <w:bCs w:val="0"/>
          <w:color w:val="000000"/>
          <w:sz w:val="32"/>
          <w:highlight w:val="none"/>
        </w:rPr>
        <w:br w:type="page"/>
      </w:r>
      <w:bookmarkStart w:id="980" w:name="_Toc4608"/>
      <w:bookmarkStart w:id="981" w:name="_Toc95223525"/>
      <w:r>
        <w:rPr>
          <w:rFonts w:hint="eastAsia" w:eastAsia="宋体" w:cs="Times New Roman"/>
          <w:bCs/>
          <w:szCs w:val="32"/>
          <w:highlight w:val="none"/>
        </w:rPr>
        <w:t>第</w:t>
      </w:r>
      <w:r>
        <w:rPr>
          <w:rFonts w:hint="eastAsia" w:cs="Times New Roman"/>
          <w:bCs/>
          <w:szCs w:val="32"/>
          <w:highlight w:val="none"/>
          <w:lang w:val="en-US" w:eastAsia="zh-CN"/>
        </w:rPr>
        <w:t>八</w:t>
      </w:r>
      <w:r>
        <w:rPr>
          <w:rFonts w:hint="eastAsia" w:eastAsia="宋体" w:cs="Times New Roman"/>
          <w:bCs/>
          <w:szCs w:val="32"/>
          <w:highlight w:val="none"/>
        </w:rPr>
        <w:t>章  技术标准和要求</w:t>
      </w:r>
      <w:bookmarkEnd w:id="980"/>
      <w:bookmarkEnd w:id="981"/>
    </w:p>
    <w:p w14:paraId="691196AD">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cs="宋体"/>
          <w:color w:val="000000"/>
          <w:highlight w:val="none"/>
        </w:rPr>
      </w:pPr>
      <w:bookmarkStart w:id="982" w:name="_Toc32647"/>
      <w:bookmarkStart w:id="983" w:name="_Toc95223526"/>
      <w:bookmarkStart w:id="984" w:name="_Toc95223530"/>
      <w:bookmarkStart w:id="985" w:name="_Toc19422"/>
      <w:bookmarkStart w:id="986" w:name="_Toc929"/>
      <w:r>
        <w:rPr>
          <w:rFonts w:hint="eastAsia" w:ascii="宋体" w:hAnsi="宋体" w:cs="宋体"/>
          <w:bCs/>
          <w:color w:val="000000"/>
          <w:szCs w:val="21"/>
          <w:highlight w:val="none"/>
        </w:rPr>
        <w:t>1.</w:t>
      </w:r>
      <w:r>
        <w:rPr>
          <w:rFonts w:hint="eastAsia" w:ascii="宋体" w:hAnsi="宋体" w:cs="宋体"/>
          <w:b/>
          <w:color w:val="000000"/>
          <w:highlight w:val="none"/>
        </w:rPr>
        <w:t xml:space="preserve"> </w:t>
      </w:r>
      <w:r>
        <w:rPr>
          <w:rFonts w:hint="eastAsia" w:ascii="宋体" w:hAnsi="宋体" w:cs="宋体"/>
          <w:color w:val="000000"/>
          <w:highlight w:val="none"/>
        </w:rPr>
        <w:t>一般要求</w:t>
      </w:r>
      <w:bookmarkEnd w:id="982"/>
      <w:bookmarkEnd w:id="983"/>
    </w:p>
    <w:p w14:paraId="5E812E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r>
        <w:rPr>
          <w:rFonts w:hint="eastAsia" w:ascii="宋体" w:hAnsi="宋体" w:cs="宋体"/>
          <w:color w:val="000000"/>
          <w:highlight w:val="none"/>
        </w:rPr>
        <w:t xml:space="preserve">  </w:t>
      </w:r>
      <w:r>
        <w:rPr>
          <w:rFonts w:hint="eastAsia" w:ascii="宋体" w:hAnsi="宋体" w:cs="宋体"/>
          <w:color w:val="000000"/>
          <w:highlight w:val="none"/>
          <w:lang w:val="en-US" w:eastAsia="zh-CN"/>
        </w:rPr>
        <w:t xml:space="preserve"> </w:t>
      </w:r>
      <w:r>
        <w:rPr>
          <w:rFonts w:hint="eastAsia" w:ascii="宋体" w:hAnsi="宋体" w:eastAsia="宋体" w:cs="宋体"/>
          <w:color w:val="000000"/>
          <w:highlight w:val="none"/>
          <w:lang w:val="en-US" w:eastAsia="zh-CN"/>
        </w:rPr>
        <w:t>见招标项目施工图纸</w:t>
      </w:r>
    </w:p>
    <w:p w14:paraId="488746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p>
    <w:p w14:paraId="215AD899">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cs="宋体"/>
          <w:color w:val="000000"/>
          <w:highlight w:val="none"/>
        </w:rPr>
      </w:pPr>
      <w:bookmarkStart w:id="987" w:name="_Toc95223527"/>
      <w:bookmarkStart w:id="988" w:name="_Toc26107"/>
      <w:r>
        <w:rPr>
          <w:rFonts w:hint="eastAsia" w:ascii="宋体" w:hAnsi="宋体" w:cs="宋体"/>
          <w:bCs/>
          <w:color w:val="000000"/>
          <w:szCs w:val="21"/>
          <w:highlight w:val="none"/>
        </w:rPr>
        <w:t>2.</w:t>
      </w:r>
      <w:r>
        <w:rPr>
          <w:rFonts w:hint="eastAsia" w:ascii="宋体" w:hAnsi="宋体" w:cs="宋体"/>
          <w:b/>
          <w:color w:val="000000"/>
          <w:highlight w:val="none"/>
        </w:rPr>
        <w:t xml:space="preserve"> </w:t>
      </w:r>
      <w:r>
        <w:rPr>
          <w:rFonts w:hint="eastAsia" w:ascii="宋体" w:hAnsi="宋体" w:cs="宋体"/>
          <w:color w:val="000000"/>
          <w:highlight w:val="none"/>
        </w:rPr>
        <w:t>特殊技术标准和要求</w:t>
      </w:r>
      <w:bookmarkEnd w:id="987"/>
      <w:bookmarkEnd w:id="988"/>
    </w:p>
    <w:p w14:paraId="11B962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r>
        <w:rPr>
          <w:rFonts w:hint="eastAsia" w:ascii="宋体" w:hAnsi="宋体" w:cs="宋体"/>
          <w:color w:val="000000"/>
          <w:highlight w:val="none"/>
        </w:rPr>
        <w:t xml:space="preserve">  </w:t>
      </w:r>
      <w:r>
        <w:rPr>
          <w:rFonts w:hint="eastAsia" w:ascii="宋体" w:hAnsi="宋体" w:cs="宋体"/>
          <w:color w:val="000000"/>
          <w:highlight w:val="none"/>
          <w:lang w:val="en-US" w:eastAsia="zh-CN"/>
        </w:rPr>
        <w:t xml:space="preserve"> </w:t>
      </w:r>
      <w:r>
        <w:rPr>
          <w:rFonts w:hint="eastAsia" w:ascii="宋体" w:hAnsi="宋体" w:eastAsia="宋体" w:cs="宋体"/>
          <w:color w:val="000000"/>
          <w:highlight w:val="none"/>
          <w:lang w:val="en-US" w:eastAsia="zh-CN"/>
        </w:rPr>
        <w:t>见招标项目施工图纸</w:t>
      </w:r>
    </w:p>
    <w:p w14:paraId="097B6B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000000"/>
          <w:highlight w:val="none"/>
        </w:rPr>
      </w:pPr>
    </w:p>
    <w:p w14:paraId="7ECBB3F6">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cs="宋体"/>
          <w:color w:val="000000"/>
          <w:highlight w:val="none"/>
        </w:rPr>
      </w:pPr>
      <w:bookmarkStart w:id="989" w:name="_Toc30517"/>
      <w:bookmarkStart w:id="990" w:name="_Toc95223528"/>
      <w:r>
        <w:rPr>
          <w:rFonts w:hint="eastAsia" w:ascii="宋体" w:hAnsi="宋体" w:cs="宋体"/>
          <w:bCs/>
          <w:color w:val="000000"/>
          <w:szCs w:val="21"/>
          <w:highlight w:val="none"/>
        </w:rPr>
        <w:t>3.</w:t>
      </w:r>
      <w:r>
        <w:rPr>
          <w:rFonts w:hint="eastAsia" w:ascii="宋体" w:hAnsi="宋体" w:cs="宋体"/>
          <w:b/>
          <w:color w:val="000000"/>
          <w:highlight w:val="none"/>
        </w:rPr>
        <w:t xml:space="preserve"> </w:t>
      </w:r>
      <w:r>
        <w:rPr>
          <w:rFonts w:hint="eastAsia" w:ascii="宋体" w:hAnsi="宋体" w:cs="宋体"/>
          <w:color w:val="000000"/>
          <w:highlight w:val="none"/>
        </w:rPr>
        <w:t>适用的国家、行业以及地方标准、规范和规程</w:t>
      </w:r>
      <w:bookmarkEnd w:id="989"/>
      <w:bookmarkEnd w:id="990"/>
    </w:p>
    <w:p w14:paraId="349A283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highlight w:val="none"/>
          <w:lang w:eastAsia="zh-CN"/>
        </w:rPr>
      </w:pPr>
      <w:r>
        <w:rPr>
          <w:rFonts w:hint="eastAsia" w:ascii="宋体" w:hAnsi="宋体" w:eastAsia="宋体" w:cs="宋体"/>
          <w:color w:val="000000"/>
          <w:highlight w:val="none"/>
          <w:lang w:val="en-US" w:eastAsia="zh-CN"/>
        </w:rPr>
        <w:t>本招标项目施工、验收须达到设计文件的要求和国家及有关部委、安徽省、项目所在市现行的工程建设标准、规范、规定的要求（文件标准之间相互冲突的，以标准较高者为准）。</w:t>
      </w:r>
    </w:p>
    <w:p w14:paraId="4104228C">
      <w:pPr>
        <w:rPr>
          <w:highlight w:val="none"/>
        </w:rPr>
      </w:pPr>
    </w:p>
    <w:p w14:paraId="26FDA490">
      <w:pPr>
        <w:rPr>
          <w:rFonts w:hint="default"/>
          <w:highlight w:val="none"/>
          <w:lang w:val="en-US" w:eastAsia="zh-CN"/>
        </w:rPr>
      </w:pPr>
    </w:p>
    <w:bookmarkEnd w:id="984"/>
    <w:bookmarkEnd w:id="985"/>
    <w:bookmarkEnd w:id="986"/>
    <w:p w14:paraId="3A3DFD1F">
      <w:pPr>
        <w:pStyle w:val="44"/>
        <w:spacing w:beforeLines="50" w:afterLines="50" w:line="440" w:lineRule="exact"/>
        <w:jc w:val="center"/>
        <w:rPr>
          <w:bCs/>
          <w:szCs w:val="32"/>
          <w:highlight w:val="none"/>
        </w:rPr>
      </w:pPr>
      <w:r>
        <w:rPr>
          <w:rFonts w:hint="eastAsia"/>
          <w:bCs/>
          <w:szCs w:val="32"/>
          <w:highlight w:val="none"/>
        </w:rPr>
        <w:br w:type="page"/>
      </w:r>
      <w:r>
        <w:rPr>
          <w:rFonts w:hint="eastAsia"/>
          <w:bCs/>
          <w:szCs w:val="32"/>
          <w:highlight w:val="none"/>
        </w:rPr>
        <w:t>第</w:t>
      </w:r>
      <w:r>
        <w:rPr>
          <w:rFonts w:hint="eastAsia" w:ascii="宋体" w:hAnsi="宋体" w:cs="宋体"/>
          <w:szCs w:val="21"/>
          <w:highlight w:val="none"/>
          <w:lang w:val="en-US" w:eastAsia="zh-CN"/>
        </w:rPr>
        <w:t>九</w:t>
      </w:r>
      <w:r>
        <w:rPr>
          <w:rFonts w:hint="eastAsia"/>
          <w:bCs/>
          <w:szCs w:val="32"/>
          <w:highlight w:val="none"/>
        </w:rPr>
        <w:t>章  投标文件格式</w:t>
      </w:r>
      <w:bookmarkEnd w:id="963"/>
      <w:bookmarkEnd w:id="964"/>
      <w:bookmarkEnd w:id="965"/>
      <w:bookmarkEnd w:id="966"/>
      <w:bookmarkEnd w:id="967"/>
      <w:bookmarkEnd w:id="968"/>
      <w:bookmarkEnd w:id="969"/>
      <w:bookmarkEnd w:id="970"/>
      <w:bookmarkEnd w:id="971"/>
      <w:bookmarkEnd w:id="972"/>
      <w:bookmarkEnd w:id="973"/>
      <w:bookmarkEnd w:id="974"/>
      <w:bookmarkEnd w:id="975"/>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rPr>
          <w:highlight w:val="none"/>
        </w:rPr>
      </w:pPr>
    </w:p>
    <w:p w14:paraId="0799C826">
      <w:pPr>
        <w:pStyle w:val="14"/>
        <w:ind w:firstLine="420"/>
        <w:rPr>
          <w:highlight w:val="none"/>
        </w:rPr>
      </w:pPr>
    </w:p>
    <w:p w14:paraId="63F5BB9B">
      <w:pPr>
        <w:rPr>
          <w:rFonts w:eastAsia="黑体"/>
          <w:sz w:val="28"/>
          <w:szCs w:val="28"/>
          <w:highlight w:val="none"/>
        </w:rPr>
      </w:pPr>
    </w:p>
    <w:p w14:paraId="6ECEBDFF">
      <w:pPr>
        <w:keepNext w:val="0"/>
        <w:keepLines w:val="0"/>
        <w:pageBreakBefore w:val="0"/>
        <w:widowControl w:val="0"/>
        <w:kinsoku/>
        <w:wordWrap/>
        <w:overflowPunct/>
        <w:topLinePunct w:val="0"/>
        <w:autoSpaceDE/>
        <w:autoSpaceDN/>
        <w:bidi w:val="0"/>
        <w:adjustRightInd/>
        <w:snapToGrid/>
        <w:spacing w:line="720" w:lineRule="auto"/>
        <w:textAlignment w:val="auto"/>
        <w:rPr>
          <w:rFonts w:eastAsia="黑体"/>
          <w:sz w:val="28"/>
          <w:szCs w:val="28"/>
          <w:highlight w:val="none"/>
        </w:rPr>
      </w:pPr>
    </w:p>
    <w:p w14:paraId="62522776">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097218CB">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211A5DCF">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EBCA57C">
      <w:pPr>
        <w:spacing w:beforeLines="50" w:afterLines="50" w:line="440" w:lineRule="exact"/>
        <w:jc w:val="left"/>
        <w:rPr>
          <w:rFonts w:ascii="宋体" w:hAnsi="宋体" w:cs="宋体"/>
          <w:b/>
          <w:sz w:val="28"/>
          <w:szCs w:val="28"/>
          <w:highlight w:val="none"/>
        </w:rPr>
      </w:pPr>
      <w:bookmarkStart w:id="991" w:name="_Toc78803399"/>
      <w:bookmarkStart w:id="992" w:name="_Toc12683"/>
      <w:bookmarkStart w:id="993" w:name="_Toc35424971"/>
      <w:bookmarkStart w:id="994" w:name="_Toc35425137"/>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91"/>
      <w:bookmarkEnd w:id="992"/>
      <w:bookmarkEnd w:id="993"/>
      <w:bookmarkEnd w:id="994"/>
      <w:r>
        <w:rPr>
          <w:rFonts w:hint="eastAsia" w:ascii="宋体" w:hAnsi="宋体" w:cs="宋体"/>
          <w:b/>
          <w:sz w:val="28"/>
          <w:szCs w:val="28"/>
          <w:highlight w:val="none"/>
        </w:rPr>
        <w:t>：资信证明文件目录</w:t>
      </w:r>
    </w:p>
    <w:p w14:paraId="4C53E532">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法定代表人身份证明和本人有效身份证；</w:t>
      </w:r>
    </w:p>
    <w:p w14:paraId="05B9905E">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eastAsia="zh-CN"/>
        </w:rPr>
        <w:t>（</w:t>
      </w: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诚信投标承诺书；</w:t>
      </w:r>
    </w:p>
    <w:p w14:paraId="531F0E86">
      <w:pPr>
        <w:spacing w:line="440" w:lineRule="exact"/>
        <w:ind w:right="-168" w:rightChars="-80"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企业法人营业执照；</w:t>
      </w:r>
    </w:p>
    <w:p w14:paraId="08AEAEDB">
      <w:pPr>
        <w:spacing w:line="440" w:lineRule="exact"/>
        <w:ind w:right="-168" w:rightChars="-80" w:firstLine="420" w:firstLineChars="200"/>
        <w:jc w:val="left"/>
        <w:rPr>
          <w:rFonts w:hint="eastAsia" w:ascii="宋体" w:hAnsi="宋体" w:eastAsia="宋体" w:cs="宋体"/>
          <w:strike w:val="0"/>
          <w:dstrike w:val="0"/>
          <w:szCs w:val="21"/>
          <w:highlight w:val="none"/>
          <w:lang w:eastAsia="zh-CN"/>
        </w:rPr>
      </w:pPr>
      <w:r>
        <w:rPr>
          <w:rFonts w:hint="eastAsia" w:ascii="宋体" w:hAnsi="宋体" w:eastAsia="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eastAsia="宋体" w:cs="宋体"/>
          <w:szCs w:val="21"/>
          <w:highlight w:val="none"/>
          <w:lang w:val="en-US" w:eastAsia="zh-CN"/>
        </w:rPr>
        <w:t>）</w:t>
      </w:r>
      <w:r>
        <w:rPr>
          <w:rFonts w:hint="eastAsia"/>
          <w:highlight w:val="none"/>
        </w:rPr>
        <w:t>企业资质</w:t>
      </w:r>
      <w:r>
        <w:rPr>
          <w:rFonts w:hint="eastAsia"/>
          <w:strike w:val="0"/>
          <w:dstrike w:val="0"/>
          <w:highlight w:val="none"/>
        </w:rPr>
        <w:t>证书</w:t>
      </w:r>
      <w:r>
        <w:rPr>
          <w:rFonts w:hint="eastAsia" w:ascii="宋体" w:hAnsi="宋体" w:cs="宋体"/>
          <w:strike w:val="0"/>
          <w:dstrike w:val="0"/>
          <w:szCs w:val="21"/>
          <w:highlight w:val="none"/>
          <w:lang w:eastAsia="zh-CN"/>
        </w:rPr>
        <w:t>；</w:t>
      </w:r>
    </w:p>
    <w:p w14:paraId="232BF2A4">
      <w:pPr>
        <w:spacing w:line="440" w:lineRule="exact"/>
        <w:ind w:right="-168" w:rightChars="-80"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w:t>
      </w:r>
      <w:r>
        <w:rPr>
          <w:rFonts w:hint="eastAsia" w:ascii="宋体" w:hAnsi="宋体" w:cs="宋体"/>
          <w:szCs w:val="21"/>
          <w:highlight w:val="none"/>
        </w:rPr>
        <w:t>企业安全生产许可证</w:t>
      </w:r>
      <w:r>
        <w:rPr>
          <w:rFonts w:hint="eastAsia" w:ascii="宋体" w:hAnsi="宋体" w:cs="宋体"/>
          <w:szCs w:val="21"/>
          <w:highlight w:val="none"/>
          <w:lang w:eastAsia="zh-CN"/>
        </w:rPr>
        <w:t>；</w:t>
      </w:r>
    </w:p>
    <w:p w14:paraId="1DF71211">
      <w:pPr>
        <w:spacing w:line="440" w:lineRule="exact"/>
        <w:ind w:right="-168" w:rightChars="-80"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cs="宋体"/>
          <w:szCs w:val="21"/>
          <w:highlight w:val="none"/>
          <w:lang w:val="en-US" w:eastAsia="zh-CN"/>
        </w:rPr>
        <w:t>6</w:t>
      </w:r>
      <w:r>
        <w:rPr>
          <w:rFonts w:hint="eastAsia" w:ascii="宋体" w:hAnsi="宋体" w:eastAsia="宋体" w:cs="宋体"/>
          <w:szCs w:val="21"/>
          <w:highlight w:val="none"/>
          <w:lang w:val="en-US" w:eastAsia="zh-CN"/>
        </w:rPr>
        <w:t>）</w:t>
      </w:r>
      <w:r>
        <w:rPr>
          <w:rFonts w:hint="eastAsia" w:ascii="宋体" w:hAnsi="宋体" w:cs="宋体"/>
          <w:color w:val="000000"/>
          <w:szCs w:val="21"/>
        </w:rPr>
        <w:t>项目经理（建造师）有效身份证、注册证书以及安全生产考核合格证书（B证）</w:t>
      </w:r>
      <w:r>
        <w:rPr>
          <w:rFonts w:hint="eastAsia" w:ascii="宋体" w:hAnsi="宋体" w:cs="宋体"/>
          <w:szCs w:val="21"/>
          <w:highlight w:val="none"/>
          <w:lang w:eastAsia="zh-CN"/>
        </w:rPr>
        <w:t>；</w:t>
      </w:r>
    </w:p>
    <w:p w14:paraId="0AD0043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lang w:eastAsia="zh-CN"/>
        </w:rPr>
        <w:t>（</w:t>
      </w:r>
      <w:r>
        <w:rPr>
          <w:rFonts w:hint="eastAsia" w:ascii="宋体" w:hAnsi="宋体" w:cs="宋体"/>
          <w:szCs w:val="21"/>
          <w:highlight w:val="none"/>
          <w:lang w:val="en-US" w:eastAsia="zh-CN"/>
        </w:rPr>
        <w:t>7</w:t>
      </w:r>
      <w:r>
        <w:rPr>
          <w:rFonts w:hint="eastAsia" w:ascii="宋体" w:hAnsi="宋体" w:eastAsia="宋体" w:cs="宋体"/>
          <w:szCs w:val="21"/>
          <w:highlight w:val="none"/>
          <w:lang w:val="en-US" w:eastAsia="zh-CN"/>
        </w:rPr>
        <w:t>）</w:t>
      </w:r>
      <w:r>
        <w:rPr>
          <w:rFonts w:hint="eastAsia" w:ascii="宋体" w:hAnsi="宋体" w:cs="宋体"/>
          <w:color w:val="000000"/>
          <w:szCs w:val="21"/>
        </w:rPr>
        <w:t>拟任项目经理（建造师）须持有社保部门出具的本单</w:t>
      </w:r>
      <w:r>
        <w:rPr>
          <w:rFonts w:hint="eastAsia" w:ascii="宋体" w:hAnsi="宋体" w:cs="宋体"/>
          <w:color w:val="000000"/>
          <w:szCs w:val="21"/>
          <w:highlight w:val="none"/>
        </w:rPr>
        <w:t>位为其缴纳的</w:t>
      </w:r>
      <w:r>
        <w:rPr>
          <w:rFonts w:hint="eastAsia" w:ascii="宋体" w:hAnsi="宋体" w:cs="宋体"/>
          <w:color w:val="000000"/>
          <w:szCs w:val="21"/>
          <w:highlight w:val="none"/>
          <w:u w:val="none"/>
          <w:lang w:val="en-US" w:eastAsia="zh-CN"/>
        </w:rPr>
        <w:t>2026年6月至2026年9</w:t>
      </w:r>
      <w:r>
        <w:rPr>
          <w:rFonts w:hint="eastAsia" w:ascii="宋体" w:hAnsi="宋体" w:cs="宋体"/>
          <w:color w:val="000000"/>
          <w:szCs w:val="21"/>
          <w:highlight w:val="none"/>
          <w:lang w:val="en-US" w:eastAsia="zh-CN"/>
        </w:rPr>
        <w:t>月范围内任意</w:t>
      </w:r>
      <w:r>
        <w:rPr>
          <w:rFonts w:hint="eastAsia" w:ascii="宋体" w:hAnsi="宋体" w:cs="宋体"/>
          <w:color w:val="000000"/>
          <w:szCs w:val="21"/>
          <w:highlight w:val="none"/>
        </w:rPr>
        <w:t>连续三个月的养老保险证明</w:t>
      </w:r>
      <w:r>
        <w:rPr>
          <w:rFonts w:hint="eastAsia" w:ascii="宋体" w:hAnsi="宋体" w:cs="宋体"/>
          <w:color w:val="000000"/>
          <w:szCs w:val="21"/>
          <w:highlight w:val="none"/>
          <w:lang w:eastAsia="zh-CN"/>
        </w:rPr>
        <w:t>；</w:t>
      </w:r>
    </w:p>
    <w:p w14:paraId="10657EA3">
      <w:pPr>
        <w:spacing w:line="440" w:lineRule="exact"/>
        <w:ind w:firstLine="420" w:firstLineChars="200"/>
        <w:jc w:val="left"/>
        <w:rPr>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8）</w:t>
      </w:r>
      <w:r>
        <w:rPr>
          <w:rFonts w:hint="eastAsia" w:ascii="宋体" w:hAnsi="宋体" w:cs="宋体"/>
          <w:szCs w:val="21"/>
          <w:highlight w:val="none"/>
        </w:rPr>
        <w:t>资信评分所需证明材料及投标人认为需要的其它证明材料。</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95" w:name="_Toc506107356"/>
      <w:bookmarkStart w:id="996" w:name="_Toc26598"/>
      <w:bookmarkStart w:id="997" w:name="_Toc503196197"/>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12A263B1">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b/>
          <w:sz w:val="28"/>
          <w:szCs w:val="28"/>
          <w:highlight w:val="none"/>
        </w:rPr>
      </w:pPr>
    </w:p>
    <w:p w14:paraId="59900938">
      <w:pPr>
        <w:keepNext w:val="0"/>
        <w:keepLines w:val="0"/>
        <w:pageBreakBefore w:val="0"/>
        <w:widowControl w:val="0"/>
        <w:kinsoku/>
        <w:wordWrap/>
        <w:overflowPunct/>
        <w:topLinePunct w:val="0"/>
        <w:autoSpaceDE/>
        <w:autoSpaceDN/>
        <w:bidi w:val="0"/>
        <w:adjustRightInd/>
        <w:snapToGrid/>
        <w:spacing w:line="360" w:lineRule="exact"/>
        <w:ind w:right="468" w:rightChars="223"/>
        <w:jc w:val="center"/>
        <w:textAlignment w:val="auto"/>
        <w:rPr>
          <w:rFonts w:hint="eastAsia"/>
          <w:b/>
          <w:sz w:val="28"/>
          <w:szCs w:val="28"/>
          <w:highlight w:val="none"/>
        </w:rPr>
      </w:pPr>
    </w:p>
    <w:p w14:paraId="52876103">
      <w:pPr>
        <w:keepNext w:val="0"/>
        <w:keepLines w:val="0"/>
        <w:pageBreakBefore w:val="0"/>
        <w:widowControl w:val="0"/>
        <w:kinsoku/>
        <w:wordWrap/>
        <w:overflowPunct/>
        <w:topLinePunct w:val="0"/>
        <w:autoSpaceDE/>
        <w:autoSpaceDN/>
        <w:bidi w:val="0"/>
        <w:adjustRightInd/>
        <w:snapToGrid/>
        <w:spacing w:line="360" w:lineRule="exact"/>
        <w:ind w:right="468" w:rightChars="223"/>
        <w:jc w:val="center"/>
        <w:textAlignment w:val="auto"/>
        <w:rPr>
          <w:b/>
          <w:sz w:val="28"/>
          <w:szCs w:val="28"/>
          <w:highlight w:val="none"/>
        </w:rPr>
      </w:pPr>
      <w:r>
        <w:rPr>
          <w:rFonts w:hint="eastAsia"/>
          <w:b/>
          <w:sz w:val="28"/>
          <w:szCs w:val="28"/>
          <w:highlight w:val="none"/>
        </w:rPr>
        <w:t>（2）诚信投标承诺书</w:t>
      </w:r>
      <w:bookmarkEnd w:id="995"/>
      <w:bookmarkEnd w:id="996"/>
      <w:bookmarkEnd w:id="997"/>
    </w:p>
    <w:p w14:paraId="4F449F94">
      <w:pPr>
        <w:keepNext w:val="0"/>
        <w:keepLines w:val="0"/>
        <w:pageBreakBefore w:val="0"/>
        <w:widowControl w:val="0"/>
        <w:kinsoku/>
        <w:wordWrap/>
        <w:overflowPunct/>
        <w:topLinePunct w:val="0"/>
        <w:autoSpaceDE/>
        <w:autoSpaceDN/>
        <w:bidi w:val="0"/>
        <w:adjustRightInd/>
        <w:snapToGrid/>
        <w:spacing w:line="340" w:lineRule="exact"/>
        <w:ind w:right="468" w:rightChars="223"/>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szCs w:val="21"/>
          <w:highlight w:val="none"/>
        </w:rPr>
        <w:t>四、不</w:t>
      </w:r>
      <w:r>
        <w:rPr>
          <w:rFonts w:hint="eastAsia" w:ascii="宋体" w:hAnsi="宋体" w:eastAsia="宋体" w:cs="Times New Roman"/>
          <w:szCs w:val="21"/>
          <w:highlight w:val="none"/>
        </w:rPr>
        <w:t>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五、不与招标人、招标代理机构或其他投标人串通投标，损害国家利益、社会公共利益或者他人的合法权益；</w:t>
      </w:r>
    </w:p>
    <w:p w14:paraId="394C33C1">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98" w:name="OLE_LINK134"/>
      <w:bookmarkStart w:id="999" w:name="OLE_LINK133"/>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98"/>
      <w:bookmarkEnd w:id="999"/>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p>
    <w:p w14:paraId="40FADC32">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七、本次投标不存在第二章“投标人须知”第1.4.3项规定的任何一种情形</w:t>
      </w:r>
      <w:r>
        <w:rPr>
          <w:rFonts w:hint="eastAsia" w:ascii="宋体" w:hAnsi="宋体" w:eastAsia="宋体" w:cs="Times New Roman"/>
          <w:szCs w:val="21"/>
          <w:highlight w:val="none"/>
          <w:lang w:eastAsia="zh-CN"/>
        </w:rPr>
        <w:t>；</w:t>
      </w:r>
    </w:p>
    <w:p w14:paraId="70334E79">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八、严格遵守开标现场纪律，服从监管人员管理；</w:t>
      </w:r>
    </w:p>
    <w:p w14:paraId="5836FEDB">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九、保证中标后不转包及使用挂靠施工队伍，若有分包征得建设单位同意；</w:t>
      </w:r>
    </w:p>
    <w:p w14:paraId="063274AE">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十、保证中标之后，按照投标文件承诺派驻管理人员及投入机械设备，如有违反，同意接受建设单位违约处罚；</w:t>
      </w:r>
    </w:p>
    <w:p w14:paraId="3AB23202">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w:t>
      </w:r>
      <w:r>
        <w:rPr>
          <w:rFonts w:hint="eastAsia" w:ascii="宋体" w:hAnsi="宋体" w:eastAsia="宋体" w:cs="Times New Roman"/>
          <w:szCs w:val="21"/>
          <w:highlight w:val="none"/>
          <w:lang w:val="en-US" w:eastAsia="zh-CN"/>
        </w:rPr>
        <w:t>一</w:t>
      </w:r>
      <w:r>
        <w:rPr>
          <w:rFonts w:hint="eastAsia" w:ascii="宋体" w:hAnsi="宋体" w:eastAsia="宋体" w:cs="Times New Roman"/>
          <w:szCs w:val="21"/>
          <w:highlight w:val="none"/>
        </w:rPr>
        <w:t>、保证企业及所属相关人员在本次投标中无行贿等犯罪行为；</w:t>
      </w:r>
    </w:p>
    <w:p w14:paraId="4613CFF4">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二、如我公司中标，保证中标的项目经理（建造师）无其他尚未完工（以竣工、交工、完工验收报告等手续为准）项目或在已中标项目（以发放中标通知书为准）中担任项目经理（建造师）情形。如有，项目在滁州市区域内的，接受中标无效、记入不良行为记录等处理；项目在滁州市区域外的，保证在中标候选人公示期第一日起开始计算7日内，提供经行政主管部门备案的变更证明材料，否则接受中标无效、记入不良行为记录等处理；</w:t>
      </w:r>
    </w:p>
    <w:p w14:paraId="766FF619">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三、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08D79FD9">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十四、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1DDB9EAC">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szCs w:val="21"/>
          <w:highlight w:val="none"/>
        </w:rPr>
      </w:pPr>
      <w:r>
        <w:rPr>
          <w:rFonts w:hint="eastAsia" w:ascii="宋体" w:hAnsi="宋体" w:eastAsia="宋体" w:cs="Times New Roman"/>
          <w:szCs w:val="21"/>
          <w:highlight w:val="none"/>
        </w:rPr>
        <w:t xml:space="preserve"> 以上内容我已仔细阅读，本公司若有违反承诺内容的行为，自愿接受取消投标或者中标资格、中标无效、记入不良行为记录等有关处理，愿意承担法律责任，给招标人造成损失的，承担赔偿责任。</w:t>
      </w:r>
    </w:p>
    <w:p w14:paraId="635156B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szCs w:val="21"/>
          <w:highlight w:val="none"/>
        </w:rPr>
      </w:pPr>
      <w:r>
        <w:rPr>
          <w:rFonts w:hint="eastAsia" w:ascii="宋体" w:hAnsi="宋体"/>
          <w:szCs w:val="21"/>
          <w:highlight w:val="none"/>
        </w:rPr>
        <w:t xml:space="preserve">投标人（盖章）：              </w:t>
      </w:r>
      <w:r>
        <w:rPr>
          <w:rFonts w:hint="eastAsia" w:ascii="宋体" w:hAnsi="宋体"/>
          <w:szCs w:val="21"/>
          <w:highlight w:val="none"/>
          <w:lang w:val="en-US" w:eastAsia="zh-CN"/>
        </w:rPr>
        <w:t xml:space="preserve">     </w:t>
      </w:r>
      <w:r>
        <w:rPr>
          <w:rFonts w:hint="eastAsia" w:ascii="宋体" w:hAnsi="宋体"/>
          <w:szCs w:val="21"/>
          <w:highlight w:val="none"/>
        </w:rPr>
        <w:t>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3617905E">
      <w:pPr>
        <w:keepNext w:val="0"/>
        <w:keepLines w:val="0"/>
        <w:pageBreakBefore w:val="0"/>
        <w:widowControl w:val="0"/>
        <w:kinsoku/>
        <w:wordWrap/>
        <w:overflowPunct/>
        <w:topLinePunct w:val="0"/>
        <w:autoSpaceDE/>
        <w:autoSpaceDN/>
        <w:bidi w:val="0"/>
        <w:adjustRightInd/>
        <w:snapToGrid/>
        <w:spacing w:line="440" w:lineRule="exact"/>
        <w:ind w:firstLine="6300" w:firstLineChars="3000"/>
        <w:textAlignment w:val="auto"/>
        <w:rPr>
          <w:highlight w:val="none"/>
        </w:rPr>
      </w:pPr>
      <w:r>
        <w:rPr>
          <w:rFonts w:hint="eastAsia" w:ascii="宋体" w:hAnsi="宋体"/>
          <w:szCs w:val="21"/>
          <w:highlight w:val="none"/>
        </w:rPr>
        <w:t>日期：    年   月   日</w:t>
      </w:r>
    </w:p>
    <w:p w14:paraId="021BBC41">
      <w:pPr>
        <w:adjustRightInd w:val="0"/>
        <w:snapToGrid w:val="0"/>
        <w:spacing w:line="560" w:lineRule="exact"/>
        <w:jc w:val="center"/>
        <w:rPr>
          <w:rFonts w:hint="eastAsia" w:eastAsia="黑体"/>
          <w:color w:val="000000"/>
          <w:sz w:val="28"/>
          <w:szCs w:val="28"/>
          <w:highlight w:val="none"/>
          <w:u w:val="single"/>
        </w:rPr>
      </w:pPr>
    </w:p>
    <w:p w14:paraId="3FC9973A">
      <w:pPr>
        <w:adjustRightInd w:val="0"/>
        <w:snapToGrid w:val="0"/>
        <w:spacing w:line="560" w:lineRule="exact"/>
        <w:jc w:val="center"/>
        <w:rPr>
          <w:rFonts w:hint="eastAsia" w:eastAsia="黑体"/>
          <w:color w:val="000000"/>
          <w:sz w:val="28"/>
          <w:szCs w:val="28"/>
          <w:highlight w:val="none"/>
          <w:u w:val="single"/>
        </w:rPr>
      </w:pPr>
    </w:p>
    <w:p w14:paraId="45062D82">
      <w:pPr>
        <w:adjustRightInd w:val="0"/>
        <w:snapToGrid w:val="0"/>
        <w:spacing w:line="560" w:lineRule="exact"/>
        <w:jc w:val="center"/>
        <w:rPr>
          <w:rFonts w:hint="eastAsia" w:eastAsia="黑体"/>
          <w:color w:val="000000"/>
          <w:sz w:val="28"/>
          <w:szCs w:val="28"/>
          <w:highlight w:val="none"/>
          <w:u w:val="single"/>
        </w:rPr>
      </w:pPr>
    </w:p>
    <w:p w14:paraId="650957C7">
      <w:pPr>
        <w:adjustRightInd w:val="0"/>
        <w:snapToGrid w:val="0"/>
        <w:spacing w:line="560" w:lineRule="exact"/>
        <w:jc w:val="center"/>
        <w:rPr>
          <w:rFonts w:hint="eastAsia" w:eastAsia="黑体"/>
          <w:color w:val="000000"/>
          <w:sz w:val="20"/>
          <w:szCs w:val="20"/>
          <w:highlight w:val="none"/>
        </w:rPr>
      </w:pPr>
      <w:r>
        <w:rPr>
          <w:rFonts w:hint="eastAsia" w:eastAsia="黑体"/>
          <w:color w:val="000000"/>
          <w:sz w:val="28"/>
          <w:szCs w:val="28"/>
          <w:highlight w:val="none"/>
          <w:u w:val="single"/>
        </w:rPr>
        <w:t xml:space="preserve">                </w:t>
      </w:r>
      <w:r>
        <w:rPr>
          <w:rFonts w:eastAsia="黑体"/>
          <w:color w:val="000000"/>
          <w:sz w:val="28"/>
          <w:szCs w:val="28"/>
          <w:highlight w:val="none"/>
        </w:rPr>
        <w:t>（项目名称）</w:t>
      </w:r>
    </w:p>
    <w:p w14:paraId="34CAF67E">
      <w:pPr>
        <w:adjustRightInd w:val="0"/>
        <w:snapToGrid w:val="0"/>
        <w:spacing w:line="560" w:lineRule="exact"/>
        <w:jc w:val="center"/>
        <w:rPr>
          <w:rFonts w:hint="eastAsia" w:eastAsia="黑体"/>
          <w:color w:val="000000"/>
          <w:sz w:val="20"/>
          <w:szCs w:val="20"/>
          <w:highlight w:val="none"/>
        </w:rPr>
      </w:pPr>
    </w:p>
    <w:p w14:paraId="51C60653">
      <w:pPr>
        <w:adjustRightInd w:val="0"/>
        <w:snapToGrid w:val="0"/>
        <w:spacing w:line="560" w:lineRule="exact"/>
        <w:rPr>
          <w:rFonts w:hint="eastAsia" w:eastAsia="黑体"/>
          <w:color w:val="000000"/>
          <w:sz w:val="20"/>
          <w:szCs w:val="20"/>
          <w:highlight w:val="none"/>
        </w:rPr>
      </w:pPr>
    </w:p>
    <w:p w14:paraId="04FBF58C">
      <w:pPr>
        <w:adjustRightInd w:val="0"/>
        <w:snapToGrid w:val="0"/>
        <w:spacing w:line="560" w:lineRule="exact"/>
        <w:jc w:val="center"/>
        <w:rPr>
          <w:rFonts w:hint="eastAsia" w:eastAsia="黑体"/>
          <w:color w:val="000000"/>
          <w:sz w:val="44"/>
          <w:szCs w:val="44"/>
          <w:highlight w:val="none"/>
        </w:rPr>
      </w:pPr>
      <w:r>
        <w:rPr>
          <w:rFonts w:eastAsia="黑体"/>
          <w:color w:val="000000"/>
          <w:sz w:val="44"/>
          <w:szCs w:val="44"/>
          <w:highlight w:val="none"/>
        </w:rPr>
        <w:t>投  标  文  件</w:t>
      </w:r>
      <w:r>
        <w:rPr>
          <w:rFonts w:hint="eastAsia" w:eastAsia="黑体"/>
          <w:color w:val="000000"/>
          <w:sz w:val="44"/>
          <w:szCs w:val="44"/>
          <w:highlight w:val="none"/>
        </w:rPr>
        <w:t xml:space="preserve">  二</w:t>
      </w:r>
    </w:p>
    <w:p w14:paraId="5ED1A363">
      <w:pPr>
        <w:adjustRightInd w:val="0"/>
        <w:snapToGrid w:val="0"/>
        <w:spacing w:line="560" w:lineRule="exact"/>
        <w:jc w:val="center"/>
        <w:rPr>
          <w:rFonts w:hint="eastAsia" w:eastAsia="黑体"/>
          <w:color w:val="000000"/>
          <w:sz w:val="44"/>
          <w:szCs w:val="44"/>
          <w:highlight w:val="none"/>
        </w:rPr>
      </w:pPr>
      <w:r>
        <w:rPr>
          <w:rFonts w:hint="eastAsia" w:eastAsia="黑体"/>
          <w:color w:val="000000"/>
          <w:sz w:val="44"/>
          <w:szCs w:val="44"/>
          <w:highlight w:val="none"/>
        </w:rPr>
        <w:t>（技术标文件）</w:t>
      </w:r>
    </w:p>
    <w:p w14:paraId="3F93D178">
      <w:pPr>
        <w:adjustRightInd w:val="0"/>
        <w:snapToGrid w:val="0"/>
        <w:spacing w:line="560" w:lineRule="exact"/>
        <w:rPr>
          <w:rFonts w:eastAsia="黑体"/>
          <w:color w:val="000000"/>
          <w:sz w:val="28"/>
          <w:szCs w:val="28"/>
          <w:highlight w:val="none"/>
        </w:rPr>
      </w:pPr>
    </w:p>
    <w:p w14:paraId="14641E1E">
      <w:pPr>
        <w:adjustRightInd w:val="0"/>
        <w:snapToGrid w:val="0"/>
        <w:spacing w:line="560" w:lineRule="exact"/>
        <w:rPr>
          <w:rFonts w:eastAsia="黑体"/>
          <w:color w:val="000000"/>
          <w:sz w:val="28"/>
          <w:szCs w:val="28"/>
          <w:highlight w:val="none"/>
        </w:rPr>
      </w:pPr>
    </w:p>
    <w:p w14:paraId="1F90D52E">
      <w:pPr>
        <w:adjustRightInd w:val="0"/>
        <w:snapToGrid w:val="0"/>
        <w:spacing w:line="560" w:lineRule="exact"/>
        <w:rPr>
          <w:rFonts w:eastAsia="黑体"/>
          <w:color w:val="000000"/>
          <w:sz w:val="28"/>
          <w:szCs w:val="28"/>
          <w:highlight w:val="none"/>
        </w:rPr>
      </w:pPr>
    </w:p>
    <w:p w14:paraId="7A259675">
      <w:pPr>
        <w:adjustRightInd w:val="0"/>
        <w:snapToGrid w:val="0"/>
        <w:spacing w:line="560" w:lineRule="exact"/>
        <w:rPr>
          <w:rFonts w:eastAsia="黑体"/>
          <w:color w:val="000000"/>
          <w:sz w:val="28"/>
          <w:szCs w:val="28"/>
          <w:highlight w:val="none"/>
        </w:rPr>
      </w:pPr>
    </w:p>
    <w:p w14:paraId="2D159310">
      <w:pPr>
        <w:adjustRightInd w:val="0"/>
        <w:snapToGrid w:val="0"/>
        <w:spacing w:line="560" w:lineRule="exact"/>
        <w:rPr>
          <w:rFonts w:hint="eastAsia" w:eastAsia="黑体"/>
          <w:color w:val="000000"/>
          <w:sz w:val="28"/>
          <w:szCs w:val="28"/>
          <w:highlight w:val="none"/>
        </w:rPr>
      </w:pPr>
    </w:p>
    <w:p w14:paraId="0F232666">
      <w:pPr>
        <w:pStyle w:val="14"/>
        <w:rPr>
          <w:rFonts w:hint="eastAsia"/>
          <w:color w:val="000000"/>
          <w:highlight w:val="none"/>
        </w:rPr>
      </w:pPr>
    </w:p>
    <w:p w14:paraId="592223C0">
      <w:pPr>
        <w:rPr>
          <w:color w:val="000000"/>
          <w:highlight w:val="none"/>
        </w:rPr>
      </w:pPr>
    </w:p>
    <w:p w14:paraId="52F3A51E">
      <w:pPr>
        <w:adjustRightInd w:val="0"/>
        <w:snapToGrid w:val="0"/>
        <w:spacing w:line="560" w:lineRule="exact"/>
        <w:rPr>
          <w:rFonts w:eastAsia="黑体"/>
          <w:color w:val="000000"/>
          <w:sz w:val="28"/>
          <w:szCs w:val="28"/>
          <w:highlight w:val="none"/>
        </w:rPr>
      </w:pPr>
    </w:p>
    <w:p w14:paraId="5A3D8557">
      <w:pPr>
        <w:pStyle w:val="14"/>
        <w:adjustRightInd w:val="0"/>
        <w:snapToGrid w:val="0"/>
        <w:spacing w:after="0" w:line="560" w:lineRule="exact"/>
        <w:ind w:left="0" w:leftChars="0" w:firstLine="560"/>
        <w:rPr>
          <w:rFonts w:eastAsia="黑体"/>
          <w:color w:val="000000"/>
          <w:sz w:val="28"/>
          <w:szCs w:val="28"/>
          <w:highlight w:val="none"/>
        </w:rPr>
      </w:pPr>
    </w:p>
    <w:p w14:paraId="41A8EC40">
      <w:pPr>
        <w:adjustRightInd w:val="0"/>
        <w:snapToGrid w:val="0"/>
        <w:spacing w:line="560" w:lineRule="exact"/>
        <w:rPr>
          <w:rFonts w:eastAsia="黑体"/>
          <w:color w:val="000000"/>
          <w:sz w:val="28"/>
          <w:szCs w:val="28"/>
          <w:highlight w:val="none"/>
        </w:rPr>
      </w:pPr>
    </w:p>
    <w:p w14:paraId="6ECD99C8">
      <w:pPr>
        <w:pStyle w:val="14"/>
        <w:adjustRightInd w:val="0"/>
        <w:snapToGrid w:val="0"/>
        <w:spacing w:after="0" w:line="560" w:lineRule="exact"/>
        <w:ind w:left="0" w:leftChars="0" w:firstLine="0" w:firstLineChars="0"/>
        <w:rPr>
          <w:color w:val="000000"/>
          <w:highlight w:val="none"/>
        </w:rPr>
      </w:pPr>
    </w:p>
    <w:p w14:paraId="7E1CD6B5">
      <w:pPr>
        <w:adjustRightInd w:val="0"/>
        <w:snapToGrid w:val="0"/>
        <w:spacing w:line="560" w:lineRule="exact"/>
        <w:rPr>
          <w:rFonts w:eastAsia="黑体"/>
          <w:color w:val="000000"/>
          <w:sz w:val="28"/>
          <w:szCs w:val="28"/>
          <w:highlight w:val="none"/>
        </w:rPr>
      </w:pPr>
    </w:p>
    <w:p w14:paraId="73834895">
      <w:pPr>
        <w:adjustRightInd w:val="0"/>
        <w:snapToGrid w:val="0"/>
        <w:spacing w:line="560" w:lineRule="exact"/>
        <w:rPr>
          <w:rFonts w:eastAsia="黑体"/>
          <w:color w:val="000000"/>
          <w:sz w:val="28"/>
          <w:szCs w:val="28"/>
          <w:highlight w:val="none"/>
        </w:rPr>
      </w:pPr>
    </w:p>
    <w:p w14:paraId="09F05625">
      <w:pPr>
        <w:adjustRightInd w:val="0"/>
        <w:snapToGrid w:val="0"/>
        <w:spacing w:line="560" w:lineRule="exact"/>
        <w:jc w:val="center"/>
        <w:rPr>
          <w:rFonts w:eastAsia="黑体"/>
          <w:color w:val="000000"/>
          <w:sz w:val="28"/>
          <w:szCs w:val="28"/>
          <w:highlight w:val="none"/>
          <w:u w:val="single"/>
        </w:rPr>
      </w:pPr>
      <w:r>
        <w:rPr>
          <w:rFonts w:eastAsia="黑体"/>
          <w:color w:val="000000"/>
          <w:sz w:val="28"/>
          <w:szCs w:val="28"/>
          <w:highlight w:val="none"/>
        </w:rPr>
        <w:t>投标人：</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rPr>
        <w:t>（</w:t>
      </w:r>
      <w:r>
        <w:rPr>
          <w:rFonts w:hint="eastAsia" w:eastAsia="黑体"/>
          <w:color w:val="000000"/>
          <w:sz w:val="28"/>
          <w:szCs w:val="28"/>
          <w:highlight w:val="none"/>
        </w:rPr>
        <w:t>签章</w:t>
      </w:r>
      <w:r>
        <w:rPr>
          <w:rFonts w:eastAsia="黑体"/>
          <w:color w:val="000000"/>
          <w:sz w:val="28"/>
          <w:szCs w:val="28"/>
          <w:highlight w:val="none"/>
        </w:rPr>
        <w:t>）</w:t>
      </w:r>
    </w:p>
    <w:p w14:paraId="29A7AEF7">
      <w:pPr>
        <w:adjustRightInd w:val="0"/>
        <w:snapToGrid w:val="0"/>
        <w:spacing w:line="560" w:lineRule="exact"/>
        <w:jc w:val="center"/>
        <w:rPr>
          <w:rFonts w:eastAsia="黑体"/>
          <w:color w:val="000000"/>
          <w:sz w:val="28"/>
          <w:szCs w:val="28"/>
          <w:highlight w:val="none"/>
        </w:rPr>
      </w:pPr>
      <w:r>
        <w:rPr>
          <w:rFonts w:hint="eastAsia" w:eastAsia="黑体"/>
          <w:color w:val="000000"/>
          <w:sz w:val="28"/>
          <w:szCs w:val="28"/>
          <w:highlight w:val="none"/>
        </w:rPr>
        <w:t>法定代表人</w:t>
      </w:r>
      <w:r>
        <w:rPr>
          <w:rFonts w:eastAsia="黑体"/>
          <w:color w:val="000000"/>
          <w:sz w:val="28"/>
          <w:szCs w:val="28"/>
          <w:highlight w:val="none"/>
        </w:rPr>
        <w:t>：</w:t>
      </w:r>
      <w:r>
        <w:rPr>
          <w:rFonts w:eastAsia="黑体"/>
          <w:color w:val="000000"/>
          <w:sz w:val="28"/>
          <w:szCs w:val="28"/>
          <w:highlight w:val="none"/>
          <w:u w:val="single"/>
        </w:rPr>
        <w:t xml:space="preserve">   </w:t>
      </w:r>
      <w:r>
        <w:rPr>
          <w:rFonts w:hint="eastAsia" w:eastAsia="黑体"/>
          <w:color w:val="000000"/>
          <w:sz w:val="28"/>
          <w:szCs w:val="28"/>
          <w:highlight w:val="none"/>
          <w:u w:val="single"/>
        </w:rPr>
        <w:t xml:space="preserve">               </w:t>
      </w:r>
      <w:r>
        <w:rPr>
          <w:rFonts w:eastAsia="黑体"/>
          <w:color w:val="000000"/>
          <w:sz w:val="28"/>
          <w:szCs w:val="28"/>
          <w:highlight w:val="none"/>
        </w:rPr>
        <w:t>（签</w:t>
      </w:r>
      <w:r>
        <w:rPr>
          <w:rFonts w:hint="eastAsia" w:eastAsia="黑体"/>
          <w:color w:val="000000"/>
          <w:sz w:val="28"/>
          <w:szCs w:val="28"/>
          <w:highlight w:val="none"/>
        </w:rPr>
        <w:t>章</w:t>
      </w:r>
      <w:r>
        <w:rPr>
          <w:rFonts w:eastAsia="黑体"/>
          <w:color w:val="000000"/>
          <w:sz w:val="28"/>
          <w:szCs w:val="28"/>
          <w:highlight w:val="none"/>
        </w:rPr>
        <w:t>）</w:t>
      </w:r>
      <w:r>
        <w:rPr>
          <w:rFonts w:hint="eastAsia" w:ascii="仿宋_GB2312" w:eastAsia="仿宋_GB2312"/>
          <w:color w:val="000000"/>
          <w:sz w:val="28"/>
          <w:szCs w:val="28"/>
          <w:highlight w:val="none"/>
          <w:vertAlign w:val="superscript"/>
        </w:rPr>
        <w:t>①</w:t>
      </w:r>
    </w:p>
    <w:p w14:paraId="4767AA77">
      <w:pPr>
        <w:adjustRightInd w:val="0"/>
        <w:snapToGrid w:val="0"/>
        <w:spacing w:line="560" w:lineRule="exact"/>
        <w:jc w:val="center"/>
        <w:rPr>
          <w:rFonts w:hint="eastAsia"/>
          <w:color w:val="000000"/>
          <w:highlight w:val="none"/>
        </w:rPr>
      </w:pPr>
      <w:r>
        <w:rPr>
          <w:rFonts w:eastAsia="黑体"/>
          <w:color w:val="000000"/>
          <w:sz w:val="28"/>
          <w:szCs w:val="28"/>
          <w:highlight w:val="none"/>
          <w:u w:val="single"/>
        </w:rPr>
        <w:t xml:space="preserve">        </w:t>
      </w:r>
      <w:r>
        <w:rPr>
          <w:rFonts w:eastAsia="黑体"/>
          <w:color w:val="000000"/>
          <w:sz w:val="28"/>
          <w:szCs w:val="28"/>
          <w:highlight w:val="none"/>
        </w:rPr>
        <w:t>年</w:t>
      </w:r>
      <w:r>
        <w:rPr>
          <w:rFonts w:eastAsia="黑体"/>
          <w:color w:val="000000"/>
          <w:sz w:val="28"/>
          <w:szCs w:val="28"/>
          <w:highlight w:val="none"/>
          <w:u w:val="single"/>
        </w:rPr>
        <w:t xml:space="preserve">        </w:t>
      </w:r>
      <w:r>
        <w:rPr>
          <w:rFonts w:eastAsia="黑体"/>
          <w:color w:val="000000"/>
          <w:sz w:val="28"/>
          <w:szCs w:val="28"/>
          <w:highlight w:val="none"/>
        </w:rPr>
        <w:t>月</w:t>
      </w:r>
      <w:r>
        <w:rPr>
          <w:rFonts w:eastAsia="黑体"/>
          <w:color w:val="000000"/>
          <w:sz w:val="28"/>
          <w:szCs w:val="28"/>
          <w:highlight w:val="none"/>
          <w:u w:val="single"/>
        </w:rPr>
        <w:t xml:space="preserve">        </w:t>
      </w:r>
      <w:r>
        <w:rPr>
          <w:rFonts w:eastAsia="黑体"/>
          <w:color w:val="000000"/>
          <w:sz w:val="28"/>
          <w:szCs w:val="28"/>
          <w:highlight w:val="none"/>
        </w:rPr>
        <w:t>日</w:t>
      </w:r>
    </w:p>
    <w:p w14:paraId="68293451">
      <w:pPr>
        <w:rPr>
          <w:rFonts w:hint="eastAsia"/>
          <w:color w:val="000000"/>
          <w:highlight w:val="none"/>
        </w:rPr>
      </w:pPr>
      <w:bookmarkStart w:id="1000" w:name="_Toc95223539"/>
      <w:r>
        <w:rPr>
          <w:rFonts w:hint="eastAsia"/>
          <w:color w:val="000000"/>
          <w:highlight w:val="none"/>
        </w:rPr>
        <w:br w:type="page"/>
      </w:r>
    </w:p>
    <w:p w14:paraId="1B189BE9">
      <w:pPr>
        <w:spacing w:beforeLines="50" w:afterLines="50" w:line="440" w:lineRule="exact"/>
        <w:jc w:val="left"/>
        <w:rPr>
          <w:rStyle w:val="120"/>
          <w:rFonts w:hint="eastAsia" w:ascii="宋体" w:hAnsi="宋体" w:eastAsia="宋体" w:cs="宋体"/>
          <w:sz w:val="32"/>
          <w:highlight w:val="none"/>
        </w:rPr>
      </w:pPr>
      <w:r>
        <w:rPr>
          <w:rStyle w:val="120"/>
          <w:rFonts w:hint="eastAsia" w:ascii="宋体" w:hAnsi="宋体" w:eastAsia="宋体" w:cs="宋体"/>
          <w:sz w:val="32"/>
          <w:highlight w:val="none"/>
        </w:rPr>
        <w:t>投标文件二：技术标目录</w:t>
      </w:r>
      <w:bookmarkEnd w:id="1000"/>
    </w:p>
    <w:p w14:paraId="6CEC90BF">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1</w:t>
      </w:r>
      <w:r>
        <w:rPr>
          <w:rFonts w:hint="eastAsia" w:ascii="宋体" w:hAnsi="宋体" w:cs="宋体"/>
          <w:szCs w:val="21"/>
          <w:highlight w:val="none"/>
        </w:rPr>
        <w:t>）施工组织设计</w:t>
      </w:r>
      <w:r>
        <w:rPr>
          <w:rFonts w:hint="eastAsia" w:ascii="宋体" w:hAnsi="宋体" w:cs="宋体"/>
          <w:szCs w:val="21"/>
          <w:highlight w:val="none"/>
          <w:lang w:eastAsia="zh-CN"/>
        </w:rPr>
        <w:t>。</w:t>
      </w:r>
    </w:p>
    <w:p w14:paraId="15F7D29A">
      <w:pPr>
        <w:adjustRightInd w:val="0"/>
        <w:snapToGrid w:val="0"/>
        <w:spacing w:line="560" w:lineRule="exact"/>
        <w:rPr>
          <w:rFonts w:hint="eastAsia" w:ascii="宋体" w:hAnsi="宋体"/>
          <w:color w:val="000000"/>
          <w:szCs w:val="21"/>
          <w:highlight w:val="none"/>
        </w:rPr>
      </w:pPr>
    </w:p>
    <w:p w14:paraId="04ED82F0">
      <w:pPr>
        <w:adjustRightInd w:val="0"/>
        <w:snapToGrid w:val="0"/>
        <w:spacing w:line="560" w:lineRule="exact"/>
        <w:rPr>
          <w:rFonts w:hint="eastAsia" w:ascii="仿宋_GB2312" w:eastAsia="仿宋_GB2312"/>
          <w:color w:val="000000"/>
          <w:szCs w:val="21"/>
          <w:highlight w:val="none"/>
        </w:rPr>
      </w:pPr>
    </w:p>
    <w:p w14:paraId="2194FA78">
      <w:pPr>
        <w:rPr>
          <w:highlight w:val="none"/>
        </w:rPr>
      </w:pPr>
    </w:p>
    <w:p w14:paraId="15A2C948">
      <w:pPr>
        <w:rPr>
          <w:highlight w:val="none"/>
        </w:rPr>
      </w:pPr>
      <w:r>
        <w:rPr>
          <w:highlight w:val="none"/>
        </w:rPr>
        <w:br w:type="page"/>
      </w:r>
    </w:p>
    <w:p w14:paraId="50582D72">
      <w:pPr>
        <w:rPr>
          <w:highlight w:val="none"/>
        </w:rPr>
      </w:pPr>
    </w:p>
    <w:p w14:paraId="4408DAAE">
      <w:pPr>
        <w:pStyle w:val="14"/>
        <w:rPr>
          <w:highlight w:val="none"/>
        </w:rPr>
      </w:pPr>
    </w:p>
    <w:p w14:paraId="1ADCBC81">
      <w:pPr>
        <w:rPr>
          <w:highlight w:val="none"/>
        </w:rPr>
      </w:pPr>
    </w:p>
    <w:p w14:paraId="07568963">
      <w:pPr>
        <w:jc w:val="center"/>
        <w:rPr>
          <w:rFonts w:eastAsia="黑体"/>
          <w:sz w:val="28"/>
          <w:szCs w:val="28"/>
          <w:highlight w:val="none"/>
        </w:rPr>
      </w:pPr>
    </w:p>
    <w:p w14:paraId="00395314">
      <w:pPr>
        <w:jc w:val="center"/>
        <w:rPr>
          <w:rFonts w:eastAsia="黑体"/>
          <w:sz w:val="28"/>
          <w:szCs w:val="28"/>
          <w:highlight w:val="none"/>
        </w:rPr>
      </w:pPr>
    </w:p>
    <w:p w14:paraId="7F529C5E">
      <w:pPr>
        <w:jc w:val="center"/>
        <w:rPr>
          <w:rFonts w:eastAsia="黑体"/>
          <w:sz w:val="28"/>
          <w:szCs w:val="28"/>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hint="eastAsia" w:eastAsia="黑体"/>
          <w:sz w:val="44"/>
          <w:szCs w:val="44"/>
          <w:highlight w:val="none"/>
          <w:lang w:eastAsia="zh-CN"/>
        </w:rPr>
      </w:pPr>
      <w:r>
        <w:rPr>
          <w:rFonts w:eastAsia="黑体"/>
          <w:sz w:val="44"/>
          <w:szCs w:val="44"/>
          <w:highlight w:val="none"/>
        </w:rPr>
        <w:t>投  标  文  件</w:t>
      </w:r>
      <w:r>
        <w:rPr>
          <w:rFonts w:hint="eastAsia" w:eastAsia="黑体"/>
          <w:sz w:val="44"/>
          <w:szCs w:val="44"/>
          <w:highlight w:val="none"/>
        </w:rPr>
        <w:t xml:space="preserve">  </w:t>
      </w:r>
      <w:r>
        <w:rPr>
          <w:rFonts w:hint="eastAsia" w:eastAsia="黑体"/>
          <w:sz w:val="44"/>
          <w:szCs w:val="44"/>
          <w:highlight w:val="none"/>
          <w:lang w:val="en-US" w:eastAsia="zh-CN"/>
        </w:rPr>
        <w:t>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3C7CB7E7">
      <w:pPr>
        <w:rPr>
          <w:rFonts w:eastAsia="黑体"/>
          <w:sz w:val="28"/>
          <w:szCs w:val="28"/>
          <w:highlight w:val="none"/>
        </w:rPr>
      </w:pPr>
    </w:p>
    <w:p w14:paraId="5DC3EAC7">
      <w:pPr>
        <w:rPr>
          <w:rFonts w:eastAsia="黑体"/>
          <w:sz w:val="28"/>
          <w:szCs w:val="28"/>
          <w:highlight w:val="none"/>
        </w:rPr>
      </w:pPr>
    </w:p>
    <w:p w14:paraId="575C9B32">
      <w:pPr>
        <w:rPr>
          <w:rFonts w:eastAsia="黑体"/>
          <w:sz w:val="28"/>
          <w:szCs w:val="28"/>
          <w:highlight w:val="none"/>
        </w:rPr>
      </w:pPr>
    </w:p>
    <w:p w14:paraId="509F8BD1">
      <w:pPr>
        <w:rPr>
          <w:rFonts w:eastAsia="黑体"/>
          <w:sz w:val="28"/>
          <w:szCs w:val="28"/>
          <w:highlight w:val="none"/>
        </w:rPr>
      </w:pPr>
    </w:p>
    <w:p w14:paraId="1FF85989">
      <w:pPr>
        <w:rPr>
          <w:rFonts w:eastAsia="黑体"/>
          <w:sz w:val="28"/>
          <w:szCs w:val="28"/>
          <w:highlight w:val="none"/>
        </w:rPr>
      </w:pPr>
    </w:p>
    <w:p w14:paraId="5C03182B">
      <w:pPr>
        <w:rPr>
          <w:rFonts w:eastAsia="黑体"/>
          <w:sz w:val="28"/>
          <w:szCs w:val="28"/>
          <w:highlight w:val="none"/>
        </w:rPr>
      </w:pPr>
    </w:p>
    <w:p w14:paraId="34079401">
      <w:pPr>
        <w:rPr>
          <w:rFonts w:eastAsia="黑体"/>
          <w:sz w:val="28"/>
          <w:szCs w:val="28"/>
          <w:highlight w:val="none"/>
        </w:rPr>
      </w:pPr>
    </w:p>
    <w:p w14:paraId="794B988D">
      <w:pPr>
        <w:pStyle w:val="14"/>
        <w:rPr>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u w:val="single"/>
        </w:rPr>
      </w:pPr>
      <w:r>
        <w:rPr>
          <w:rFonts w:hint="eastAsia" w:eastAsia="黑体"/>
          <w:sz w:val="28"/>
          <w:szCs w:val="28"/>
          <w:highlight w:val="none"/>
        </w:rPr>
        <w:t xml:space="preserve"> 投标人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盖</w:t>
      </w:r>
      <w:r>
        <w:rPr>
          <w:rFonts w:eastAsia="黑体"/>
          <w:sz w:val="28"/>
          <w:szCs w:val="28"/>
          <w:highlight w:val="none"/>
        </w:rPr>
        <w:t>章）</w:t>
      </w:r>
    </w:p>
    <w:p w14:paraId="4CAB06D8">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rPr>
        <w:t xml:space="preserve">   </w:t>
      </w:r>
      <w:r>
        <w:rPr>
          <w:rFonts w:eastAsia="黑体"/>
          <w:sz w:val="28"/>
          <w:szCs w:val="28"/>
          <w:highlight w:val="none"/>
        </w:rPr>
        <w:t>法定代表人</w:t>
      </w:r>
      <w:r>
        <w:rPr>
          <w:rFonts w:hint="eastAsia" w:eastAsia="黑体"/>
          <w:sz w:val="28"/>
          <w:szCs w:val="28"/>
          <w:highlight w:val="none"/>
          <w:lang w:val="en-US" w:eastAsia="zh-CN"/>
        </w:rPr>
        <w:t>或授权委托人</w:t>
      </w:r>
      <w:r>
        <w:rPr>
          <w:rFonts w:eastAsia="黑体"/>
          <w:sz w:val="28"/>
          <w:szCs w:val="28"/>
          <w:highlight w:val="none"/>
        </w:rPr>
        <w:t>：</w:t>
      </w:r>
      <w:r>
        <w:rPr>
          <w:rFonts w:eastAsia="黑体"/>
          <w:sz w:val="28"/>
          <w:szCs w:val="28"/>
          <w:highlight w:val="none"/>
          <w:u w:val="single"/>
        </w:rPr>
        <w:t xml:space="preserve">         </w:t>
      </w:r>
      <w:r>
        <w:rPr>
          <w:rFonts w:hint="eastAsia" w:eastAsia="黑体"/>
          <w:sz w:val="28"/>
          <w:szCs w:val="28"/>
          <w:highlight w:val="none"/>
          <w:u w:val="single"/>
        </w:rPr>
        <w:t xml:space="preserve">         </w:t>
      </w:r>
      <w:r>
        <w:rPr>
          <w:rFonts w:eastAsia="黑体"/>
          <w:sz w:val="28"/>
          <w:szCs w:val="28"/>
          <w:highlight w:val="none"/>
          <w:u w:val="single"/>
        </w:rPr>
        <w:t xml:space="preserve">       </w:t>
      </w:r>
      <w:r>
        <w:rPr>
          <w:rFonts w:eastAsia="黑体"/>
          <w:sz w:val="28"/>
          <w:szCs w:val="28"/>
          <w:highlight w:val="none"/>
        </w:rPr>
        <w:t>（</w:t>
      </w:r>
      <w:r>
        <w:rPr>
          <w:rFonts w:hint="eastAsia" w:eastAsia="黑体"/>
          <w:sz w:val="28"/>
          <w:szCs w:val="28"/>
          <w:highlight w:val="none"/>
        </w:rPr>
        <w:t>签字或盖章</w:t>
      </w:r>
      <w:r>
        <w:rPr>
          <w:rFonts w:eastAsia="黑体"/>
          <w:sz w:val="28"/>
          <w:szCs w:val="28"/>
          <w:highlight w:val="none"/>
        </w:rPr>
        <w:t>）</w:t>
      </w:r>
    </w:p>
    <w:p w14:paraId="350C1BB2">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7623FBE3">
      <w:pPr>
        <w:rPr>
          <w:rStyle w:val="120"/>
          <w:rFonts w:hint="eastAsia" w:ascii="宋体" w:hAnsi="宋体" w:cs="宋体"/>
          <w:sz w:val="32"/>
          <w:highlight w:val="none"/>
        </w:rPr>
      </w:pPr>
      <w:bookmarkStart w:id="1001" w:name="_Toc19174"/>
      <w:bookmarkStart w:id="1002" w:name="_Toc35425139"/>
      <w:bookmarkStart w:id="1003" w:name="_Toc35424973"/>
      <w:bookmarkStart w:id="1004" w:name="_Toc78803401"/>
      <w:r>
        <w:rPr>
          <w:rStyle w:val="120"/>
          <w:rFonts w:hint="eastAsia" w:ascii="宋体" w:hAnsi="宋体" w:cs="宋体"/>
          <w:sz w:val="32"/>
          <w:highlight w:val="none"/>
        </w:rPr>
        <w:br w:type="page"/>
      </w:r>
    </w:p>
    <w:p w14:paraId="60A767E1">
      <w:pPr>
        <w:spacing w:beforeLines="50" w:afterLines="50" w:line="440" w:lineRule="exact"/>
        <w:ind w:firstLine="643" w:firstLineChars="200"/>
        <w:jc w:val="left"/>
        <w:rPr>
          <w:rStyle w:val="120"/>
          <w:rFonts w:ascii="宋体" w:hAnsi="宋体" w:cs="宋体"/>
          <w:sz w:val="32"/>
          <w:highlight w:val="none"/>
        </w:rPr>
      </w:pPr>
      <w:r>
        <w:rPr>
          <w:rStyle w:val="120"/>
          <w:rFonts w:hint="eastAsia" w:ascii="宋体" w:hAnsi="宋体" w:cs="宋体"/>
          <w:sz w:val="32"/>
          <w:highlight w:val="none"/>
        </w:rPr>
        <w:t>投标文件</w:t>
      </w:r>
      <w:bookmarkEnd w:id="1001"/>
      <w:bookmarkEnd w:id="1002"/>
      <w:bookmarkEnd w:id="1003"/>
      <w:r>
        <w:rPr>
          <w:rStyle w:val="120"/>
          <w:rFonts w:hint="eastAsia" w:ascii="宋体" w:hAnsi="宋体" w:cs="宋体"/>
          <w:sz w:val="32"/>
          <w:highlight w:val="none"/>
          <w:lang w:val="en-US"/>
        </w:rPr>
        <w:t>三</w:t>
      </w:r>
      <w:r>
        <w:rPr>
          <w:rStyle w:val="120"/>
          <w:rFonts w:hint="eastAsia" w:ascii="宋体" w:hAnsi="宋体" w:cs="宋体"/>
          <w:sz w:val="32"/>
          <w:highlight w:val="none"/>
        </w:rPr>
        <w:t>：商务标目录</w:t>
      </w:r>
      <w:bookmarkEnd w:id="1004"/>
    </w:p>
    <w:p w14:paraId="530F2446">
      <w:pPr>
        <w:adjustRightInd w:val="0"/>
        <w:snapToGrid w:val="0"/>
        <w:spacing w:line="560" w:lineRule="exact"/>
        <w:ind w:firstLine="420" w:firstLineChars="200"/>
        <w:rPr>
          <w:rFonts w:hint="eastAsia" w:ascii="宋体" w:hAnsi="宋体"/>
          <w:color w:val="000000"/>
          <w:szCs w:val="21"/>
          <w:highlight w:val="none"/>
        </w:rPr>
      </w:pPr>
      <w:r>
        <w:rPr>
          <w:rFonts w:hint="eastAsia" w:ascii="宋体" w:hAnsi="宋体"/>
          <w:color w:val="000000"/>
          <w:szCs w:val="21"/>
          <w:highlight w:val="none"/>
        </w:rPr>
        <w:t>（1）投标函；</w:t>
      </w:r>
    </w:p>
    <w:p w14:paraId="4E3CCDEE">
      <w:pPr>
        <w:adjustRightInd w:val="0"/>
        <w:snapToGrid w:val="0"/>
        <w:spacing w:line="560" w:lineRule="exact"/>
        <w:ind w:firstLine="420" w:firstLineChars="200"/>
        <w:rPr>
          <w:rFonts w:hint="eastAsia" w:eastAsia="宋体"/>
          <w:color w:val="000000"/>
          <w:highlight w:val="none"/>
          <w:lang w:eastAsia="zh-CN"/>
        </w:rPr>
      </w:pPr>
      <w:r>
        <w:rPr>
          <w:rFonts w:hint="eastAsia" w:ascii="宋体" w:hAnsi="宋体"/>
          <w:color w:val="000000"/>
          <w:szCs w:val="21"/>
          <w:highlight w:val="none"/>
        </w:rPr>
        <w:t>（2）工程量清单报价书</w:t>
      </w:r>
      <w:r>
        <w:rPr>
          <w:rFonts w:hint="eastAsia" w:ascii="宋体" w:hAnsi="宋体"/>
          <w:color w:val="000000"/>
          <w:szCs w:val="21"/>
          <w:highlight w:val="none"/>
          <w:lang w:eastAsia="zh-CN"/>
        </w:rPr>
        <w:t>；</w:t>
      </w:r>
    </w:p>
    <w:p w14:paraId="7DEC2A54">
      <w:pPr>
        <w:adjustRightInd w:val="0"/>
        <w:snapToGrid w:val="0"/>
        <w:spacing w:line="560" w:lineRule="exact"/>
        <w:ind w:firstLine="420" w:firstLineChars="200"/>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cs="Times New Roman"/>
          <w:color w:val="000000"/>
          <w:szCs w:val="21"/>
          <w:highlight w:val="none"/>
          <w:lang w:val="en-US" w:eastAsia="zh-CN"/>
        </w:rPr>
        <w:t>3</w:t>
      </w:r>
      <w:r>
        <w:rPr>
          <w:rFonts w:hint="eastAsia" w:ascii="宋体" w:hAnsi="宋体" w:eastAsia="宋体" w:cs="Times New Roman"/>
          <w:color w:val="000000"/>
          <w:szCs w:val="21"/>
          <w:highlight w:val="none"/>
        </w:rPr>
        <w:t>）全国建筑市场监管公共服务平台(四库一平台)企业注册人员网页截图；</w:t>
      </w:r>
    </w:p>
    <w:p w14:paraId="729A15B7">
      <w:pPr>
        <w:adjustRightInd w:val="0"/>
        <w:snapToGrid w:val="0"/>
        <w:spacing w:line="560" w:lineRule="exact"/>
        <w:ind w:firstLine="420" w:firstLineChars="200"/>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cs="Times New Roman"/>
          <w:color w:val="000000"/>
          <w:szCs w:val="21"/>
          <w:highlight w:val="none"/>
          <w:lang w:val="en-US" w:eastAsia="zh-CN"/>
        </w:rPr>
        <w:t>4</w:t>
      </w:r>
      <w:r>
        <w:rPr>
          <w:rFonts w:hint="eastAsia" w:ascii="宋体" w:hAnsi="宋体" w:eastAsia="宋体" w:cs="Times New Roman"/>
          <w:color w:val="000000"/>
          <w:szCs w:val="21"/>
          <w:highlight w:val="none"/>
        </w:rPr>
        <w:t>）详细评审所需其他材料。</w:t>
      </w:r>
    </w:p>
    <w:p w14:paraId="5F37150D">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042B576F">
      <w:pPr>
        <w:jc w:val="both"/>
        <w:rPr>
          <w:b/>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highlight w:val="none"/>
        </w:rPr>
      </w:pPr>
      <w:bookmarkStart w:id="1005" w:name="_Toc506107366"/>
      <w:bookmarkStart w:id="1006" w:name="_Toc35424974"/>
      <w:bookmarkStart w:id="1007" w:name="_Toc15058950"/>
      <w:bookmarkStart w:id="1008" w:name="_Toc35425140"/>
      <w:r>
        <w:rPr>
          <w:rFonts w:hint="eastAsia" w:ascii="宋体" w:hAnsi="宋体" w:eastAsia="宋体" w:cs="宋体"/>
          <w:b/>
          <w:bCs/>
          <w:color w:val="auto"/>
          <w:highlight w:val="none"/>
        </w:rPr>
        <w:t>致 ：</w:t>
      </w:r>
      <w:r>
        <w:rPr>
          <w:rFonts w:hint="eastAsia" w:ascii="宋体" w:hAnsi="宋体" w:eastAsia="宋体" w:cs="宋体"/>
          <w:b/>
          <w:bCs/>
          <w:color w:val="auto"/>
          <w:highlight w:val="none"/>
          <w:u w:val="single"/>
          <w:lang w:val="en-US" w:eastAsia="zh-CN"/>
        </w:rPr>
        <w:t xml:space="preserve">       （招标人） </w:t>
      </w:r>
      <w:r>
        <w:rPr>
          <w:rFonts w:hint="eastAsia" w:ascii="宋体" w:hAnsi="宋体" w:eastAsia="宋体" w:cs="宋体"/>
          <w:color w:val="auto"/>
          <w:highlight w:val="none"/>
        </w:rPr>
        <w:t xml:space="preserve">：  </w:t>
      </w:r>
    </w:p>
    <w:p w14:paraId="2DB4E59B">
      <w:pPr>
        <w:adjustRightInd w:val="0"/>
        <w:snapToGrid w:val="0"/>
        <w:spacing w:line="56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1、根据你方招</w:t>
      </w:r>
      <w:bookmarkStart w:id="1009" w:name="_Toc60061591"/>
      <w:r>
        <w:rPr>
          <w:rFonts w:hint="eastAsia" w:ascii="宋体" w:hAnsi="宋体"/>
          <w:color w:val="000000"/>
          <w:sz w:val="21"/>
          <w:szCs w:val="21"/>
          <w:highlight w:val="none"/>
        </w:rPr>
        <w:t>标项目编号为</w:t>
      </w:r>
      <w:r>
        <w:rPr>
          <w:rFonts w:ascii="宋体" w:hAnsi="宋体"/>
          <w:color w:val="000000"/>
          <w:sz w:val="21"/>
          <w:szCs w:val="21"/>
          <w:highlight w:val="none"/>
          <w:u w:val="single"/>
        </w:rPr>
        <w:t xml:space="preserve">  </w:t>
      </w:r>
      <w:bookmarkEnd w:id="1009"/>
      <w:r>
        <w:rPr>
          <w:rFonts w:ascii="宋体" w:hAnsi="宋体"/>
          <w:color w:val="000000"/>
          <w:sz w:val="21"/>
          <w:szCs w:val="21"/>
          <w:highlight w:val="none"/>
          <w:u w:val="single"/>
        </w:rPr>
        <w:t xml:space="preserve">      </w:t>
      </w:r>
      <w:r>
        <w:rPr>
          <w:rFonts w:ascii="宋体" w:hAnsi="宋体"/>
          <w:color w:val="000000"/>
          <w:sz w:val="21"/>
          <w:szCs w:val="21"/>
          <w:highlight w:val="none"/>
        </w:rPr>
        <w:t xml:space="preserve"> </w:t>
      </w:r>
      <w:r>
        <w:rPr>
          <w:rFonts w:hint="eastAsia" w:ascii="宋体" w:hAnsi="宋体"/>
          <w:color w:val="000000"/>
          <w:sz w:val="21"/>
          <w:szCs w:val="21"/>
          <w:highlight w:val="none"/>
        </w:rPr>
        <w:t>的</w:t>
      </w:r>
      <w:r>
        <w:rPr>
          <w:rFonts w:ascii="宋体" w:hAnsi="宋体"/>
          <w:color w:val="000000"/>
          <w:sz w:val="21"/>
          <w:szCs w:val="21"/>
          <w:highlight w:val="none"/>
        </w:rPr>
        <w:t xml:space="preserve"> </w:t>
      </w:r>
      <w:r>
        <w:rPr>
          <w:rFonts w:ascii="宋体" w:hAnsi="宋体"/>
          <w:color w:val="000000"/>
          <w:sz w:val="21"/>
          <w:szCs w:val="21"/>
          <w:highlight w:val="none"/>
          <w:u w:val="single"/>
        </w:rPr>
        <w:t xml:space="preserve">                </w:t>
      </w:r>
      <w:r>
        <w:rPr>
          <w:rFonts w:hint="eastAsia" w:ascii="宋体" w:hAnsi="宋体"/>
          <w:color w:val="000000"/>
          <w:sz w:val="21"/>
          <w:szCs w:val="21"/>
          <w:highlight w:val="none"/>
        </w:rPr>
        <w:t>招标文件，遵照《中华人民共和国招标投标法》等有关规定，经踏勘项目现场和研究上述招标文件的投标须知、合同条件、技术规范、图纸和其他有关文件后，我方愿以</w:t>
      </w:r>
      <w:r>
        <w:rPr>
          <w:rFonts w:hint="eastAsia" w:ascii="宋体" w:hAnsi="宋体"/>
          <w:color w:val="000000"/>
          <w:sz w:val="21"/>
          <w:szCs w:val="21"/>
        </w:rPr>
        <w:t>（币种，金额、单位）</w:t>
      </w:r>
      <w:r>
        <w:rPr>
          <w:rFonts w:hint="eastAsia" w:ascii="宋体" w:hAnsi="宋体"/>
          <w:color w:val="000000"/>
          <w:sz w:val="21"/>
          <w:szCs w:val="21"/>
          <w:highlight w:val="none"/>
          <w:u w:val="single"/>
        </w:rPr>
        <w:t>人民币           元</w:t>
      </w:r>
      <w:r>
        <w:rPr>
          <w:rFonts w:hint="eastAsia" w:ascii="宋体" w:hAnsi="宋体" w:eastAsia="宋体" w:cs="Times New Roman"/>
          <w:color w:val="000000"/>
          <w:sz w:val="21"/>
          <w:szCs w:val="21"/>
          <w:highlight w:val="none"/>
        </w:rPr>
        <w:t>的投标总报价承包上述工程的施工、竣工，并承担任何质量缺陷保修责任。</w:t>
      </w:r>
    </w:p>
    <w:p w14:paraId="5F0C98BD">
      <w:pPr>
        <w:tabs>
          <w:tab w:val="left" w:pos="840"/>
        </w:tabs>
        <w:adjustRightInd w:val="0"/>
        <w:snapToGrid w:val="0"/>
        <w:spacing w:line="560" w:lineRule="exact"/>
        <w:ind w:firstLine="420" w:firstLineChars="200"/>
        <w:rPr>
          <w:rFonts w:ascii="宋体" w:hAnsi="宋体"/>
          <w:color w:val="000000"/>
          <w:sz w:val="21"/>
          <w:szCs w:val="21"/>
          <w:highlight w:val="none"/>
        </w:rPr>
      </w:pPr>
      <w:r>
        <w:rPr>
          <w:rFonts w:hint="eastAsia" w:ascii="宋体" w:hAnsi="宋体"/>
          <w:color w:val="000000"/>
          <w:sz w:val="21"/>
          <w:szCs w:val="21"/>
          <w:highlight w:val="none"/>
        </w:rPr>
        <w:t>2、我方已详细审核全部招标文件及有关附件，承诺招标文件及有关附件中所有条款。</w:t>
      </w:r>
    </w:p>
    <w:p w14:paraId="390841F7">
      <w:pPr>
        <w:adjustRightInd w:val="0"/>
        <w:snapToGrid w:val="0"/>
        <w:spacing w:line="560" w:lineRule="exact"/>
        <w:ind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3、一旦我方中标，我方将派出</w:t>
      </w:r>
      <w:r>
        <w:rPr>
          <w:rFonts w:hint="eastAsia" w:ascii="宋体" w:hAnsi="宋体"/>
          <w:color w:val="000000"/>
          <w:sz w:val="21"/>
          <w:szCs w:val="21"/>
          <w:highlight w:val="none"/>
          <w:u w:val="single"/>
        </w:rPr>
        <w:t xml:space="preserve">           </w:t>
      </w:r>
      <w:r>
        <w:rPr>
          <w:rFonts w:hint="eastAsia" w:ascii="宋体" w:hAnsi="宋体"/>
          <w:color w:val="000000"/>
          <w:sz w:val="21"/>
          <w:szCs w:val="21"/>
          <w:highlight w:val="none"/>
        </w:rPr>
        <w:t>建造师为本工程项目经理，保证按照招标人要求开始本工程的施工，并在</w:t>
      </w:r>
      <w:r>
        <w:rPr>
          <w:rFonts w:ascii="宋体" w:hAnsi="宋体"/>
          <w:color w:val="000000"/>
          <w:sz w:val="21"/>
          <w:szCs w:val="21"/>
          <w:highlight w:val="none"/>
          <w:u w:val="single"/>
        </w:rPr>
        <w:t xml:space="preserve">       </w:t>
      </w:r>
      <w:r>
        <w:rPr>
          <w:rFonts w:hint="eastAsia" w:ascii="宋体" w:hAnsi="宋体"/>
          <w:color w:val="000000"/>
          <w:sz w:val="21"/>
          <w:szCs w:val="21"/>
          <w:highlight w:val="none"/>
        </w:rPr>
        <w:t>个日历天（工期）内完成本合同的施工，并移交整个工程，工程质量达到</w:t>
      </w:r>
      <w:r>
        <w:rPr>
          <w:rFonts w:ascii="宋体" w:hAnsi="宋体"/>
          <w:color w:val="000000"/>
          <w:sz w:val="21"/>
          <w:szCs w:val="21"/>
          <w:highlight w:val="none"/>
          <w:u w:val="single"/>
        </w:rPr>
        <w:t xml:space="preserve">          </w:t>
      </w:r>
      <w:r>
        <w:rPr>
          <w:rFonts w:hint="eastAsia" w:ascii="宋体" w:hAnsi="宋体"/>
          <w:color w:val="000000"/>
          <w:sz w:val="21"/>
          <w:szCs w:val="21"/>
          <w:highlight w:val="none"/>
        </w:rPr>
        <w:t xml:space="preserve"> 标准。</w:t>
      </w:r>
    </w:p>
    <w:p w14:paraId="717B7D3C">
      <w:pPr>
        <w:adjustRightInd w:val="0"/>
        <w:snapToGrid w:val="0"/>
        <w:spacing w:line="560" w:lineRule="exact"/>
        <w:ind w:firstLine="420" w:firstLineChars="200"/>
        <w:rPr>
          <w:rFonts w:ascii="宋体" w:hAnsi="宋体"/>
          <w:color w:val="000000"/>
          <w:szCs w:val="21"/>
          <w:highlight w:val="none"/>
        </w:rPr>
      </w:pPr>
      <w:r>
        <w:rPr>
          <w:rFonts w:hint="eastAsia" w:ascii="宋体" w:hAnsi="宋体"/>
          <w:color w:val="000000"/>
          <w:szCs w:val="21"/>
          <w:highlight w:val="none"/>
        </w:rPr>
        <w:t>4、随本投标书，我方同时按照招标文件的要求提交投标保证金。如果我方在本投标书有效期内撤销投标书，或在招标文件规定时间内未能或拒绝签订合同书，或自行转标，贵单位有权不予退还投标保证金，并另选中标单位。</w:t>
      </w:r>
    </w:p>
    <w:p w14:paraId="5BDE2BA3">
      <w:pPr>
        <w:adjustRightInd w:val="0"/>
        <w:snapToGrid w:val="0"/>
        <w:spacing w:line="560" w:lineRule="exact"/>
        <w:ind w:firstLine="420" w:firstLineChars="200"/>
        <w:jc w:val="left"/>
        <w:rPr>
          <w:rFonts w:hint="eastAsia" w:ascii="宋体" w:hAnsi="宋体" w:eastAsia="宋体" w:cs="Times New Roman"/>
          <w:color w:val="000000"/>
          <w:szCs w:val="21"/>
          <w:highlight w:val="none"/>
        </w:rPr>
      </w:pPr>
      <w:r>
        <w:rPr>
          <w:rFonts w:hint="eastAsia" w:ascii="宋体" w:hAnsi="宋体"/>
          <w:color w:val="000000"/>
          <w:szCs w:val="21"/>
          <w:highlight w:val="none"/>
        </w:rPr>
        <w:t>5、</w:t>
      </w:r>
      <w:r>
        <w:rPr>
          <w:rFonts w:hint="eastAsia" w:ascii="宋体" w:hAnsi="宋体" w:eastAsia="宋体" w:cs="Times New Roman"/>
          <w:color w:val="000000"/>
          <w:szCs w:val="21"/>
          <w:highlight w:val="none"/>
        </w:rPr>
        <w:t>如果我方中标我方将按照招标文件的规定提交履约担保。工程验收合格后，方可退还。</w:t>
      </w:r>
    </w:p>
    <w:p w14:paraId="3E40DC48">
      <w:pPr>
        <w:adjustRightInd w:val="0"/>
        <w:snapToGrid w:val="0"/>
        <w:spacing w:line="560" w:lineRule="exact"/>
        <w:ind w:firstLine="420" w:firstLineChars="20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Cs w:val="21"/>
          <w:highlight w:val="none"/>
          <w:lang w:val="en-US" w:eastAsia="zh-CN"/>
        </w:rPr>
        <w:t>6</w:t>
      </w:r>
      <w:r>
        <w:rPr>
          <w:rFonts w:hint="eastAsia" w:ascii="宋体" w:hAnsi="宋体" w:eastAsia="宋体" w:cs="Times New Roman"/>
          <w:color w:val="000000"/>
          <w:szCs w:val="21"/>
          <w:highlight w:val="none"/>
        </w:rPr>
        <w:t>、我方承诺在招标文件规</w:t>
      </w:r>
      <w:r>
        <w:rPr>
          <w:rFonts w:hint="eastAsia" w:ascii="宋体" w:hAnsi="宋体" w:eastAsia="宋体" w:cs="Times New Roman"/>
          <w:color w:val="000000"/>
          <w:sz w:val="21"/>
          <w:szCs w:val="21"/>
          <w:highlight w:val="none"/>
        </w:rPr>
        <w:t>定的投标有效期内不撤销投标文件。</w:t>
      </w:r>
    </w:p>
    <w:p w14:paraId="4AA875B2">
      <w:pPr>
        <w:adjustRightInd w:val="0"/>
        <w:snapToGrid w:val="0"/>
        <w:spacing w:line="560" w:lineRule="exact"/>
        <w:ind w:firstLine="420" w:firstLineChars="200"/>
        <w:jc w:val="left"/>
        <w:rPr>
          <w:rFonts w:hint="eastAsia" w:ascii="宋体" w:hAnsi="宋体" w:eastAsia="宋体" w:cs="Times New Roman"/>
          <w:color w:val="000000"/>
          <w:sz w:val="21"/>
          <w:szCs w:val="21"/>
          <w:highlight w:val="none"/>
        </w:rPr>
      </w:pPr>
      <w:r>
        <w:rPr>
          <w:rFonts w:hint="eastAsia" w:ascii="宋体" w:hAnsi="宋体" w:eastAsia="宋体" w:cs="Times New Roman"/>
          <w:color w:val="000000"/>
          <w:sz w:val="21"/>
          <w:szCs w:val="21"/>
          <w:highlight w:val="none"/>
        </w:rPr>
        <w:t>7、</w:t>
      </w:r>
      <w:r>
        <w:rPr>
          <w:rFonts w:hint="eastAsia" w:ascii="宋体" w:hAnsi="宋体" w:eastAsia="宋体" w:cs="Times New Roman"/>
          <w:color w:val="000000"/>
          <w:sz w:val="21"/>
          <w:szCs w:val="21"/>
          <w:highlight w:val="none"/>
          <w:lang w:val="en-US" w:eastAsia="zh-CN"/>
        </w:rPr>
        <w:t>我方承诺，注册在我公司（如投标人为联合体，联合体各方）的现有注册建造师专业、数量，满足我公司（如投标人为联合体，联合体各方）响应本项目投标的资质等级对应的《建筑业企业资质标准》及有关文件中规定的注册建造师专业、 数量要求。如有不实，我方接受管理部门相关处罚。</w:t>
      </w:r>
    </w:p>
    <w:p w14:paraId="73DF17CA">
      <w:pPr>
        <w:adjustRightInd w:val="0"/>
        <w:snapToGrid w:val="0"/>
        <w:spacing w:line="560" w:lineRule="exact"/>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我单位提供如下通讯地址：</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电子邮箱（地址），确认本项目相关法律文书均通过提供的以上地址送达，相关文书只要发送至以上电子邮箱（地址）即视为送达，投标人愿意承担一切法律后果。</w:t>
      </w:r>
    </w:p>
    <w:p w14:paraId="115A5861">
      <w:pPr>
        <w:adjustRightInd w:val="0"/>
        <w:snapToGrid w:val="0"/>
        <w:spacing w:line="56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（其他补充说明）。</w:t>
      </w: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盖</w:t>
      </w:r>
      <w:r>
        <w:rPr>
          <w:rFonts w:hint="eastAsia" w:ascii="宋体" w:hAnsi="宋体" w:eastAsia="宋体" w:cs="宋体"/>
          <w:color w:val="auto"/>
          <w:szCs w:val="21"/>
          <w:highlight w:val="none"/>
          <w:u w:val="single"/>
        </w:rPr>
        <w:t xml:space="preserve">章）   </w:t>
      </w:r>
    </w:p>
    <w:p w14:paraId="41B57621">
      <w:pPr>
        <w:spacing w:line="600" w:lineRule="exact"/>
        <w:ind w:firstLine="2310" w:firstLineChars="1100"/>
        <w:jc w:val="left"/>
        <w:rPr>
          <w:rFonts w:ascii="宋体" w:hAnsi="宋体"/>
          <w:szCs w:val="21"/>
          <w:highlight w:val="none"/>
        </w:rPr>
      </w:pPr>
      <w:r>
        <w:rPr>
          <w:rFonts w:hint="eastAsia" w:ascii="宋体" w:hAnsi="宋体"/>
          <w:szCs w:val="21"/>
          <w:highlight w:val="none"/>
        </w:rPr>
        <w:t>法定代表人</w:t>
      </w:r>
      <w:r>
        <w:rPr>
          <w:rFonts w:hint="eastAsia" w:ascii="宋体" w:hAnsi="宋体"/>
          <w:szCs w:val="21"/>
          <w:highlight w:val="none"/>
          <w:lang w:val="en-US" w:eastAsia="zh-CN"/>
        </w:rPr>
        <w:t>或委托代理人</w:t>
      </w:r>
      <w:r>
        <w:rPr>
          <w:rFonts w:hint="eastAsia" w:ascii="宋体" w:hAnsi="宋体"/>
          <w:szCs w:val="21"/>
          <w:highlight w:val="none"/>
        </w:rPr>
        <w:t>：</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w:t>
      </w:r>
      <w:r>
        <w:rPr>
          <w:rFonts w:hint="eastAsia" w:ascii="宋体" w:hAnsi="宋体"/>
          <w:szCs w:val="21"/>
          <w:highlight w:val="none"/>
          <w:u w:val="single"/>
          <w:lang w:val="en-US" w:eastAsia="zh-CN"/>
        </w:rPr>
        <w:t>签字或盖章</w:t>
      </w:r>
      <w:r>
        <w:rPr>
          <w:rFonts w:hint="eastAsia" w:ascii="宋体" w:hAnsi="宋体"/>
          <w:szCs w:val="21"/>
          <w:highlight w:val="none"/>
          <w:u w:val="single"/>
        </w:rPr>
        <w:t>）</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单位地址：</w:t>
      </w:r>
      <w:r>
        <w:rPr>
          <w:rFonts w:hint="eastAsia" w:ascii="宋体" w:hAnsi="宋体" w:eastAsia="宋体" w:cs="宋体"/>
          <w:color w:val="auto"/>
          <w:szCs w:val="21"/>
          <w:highlight w:val="none"/>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传真：</w:t>
      </w:r>
      <w:r>
        <w:rPr>
          <w:rFonts w:hint="eastAsia" w:ascii="宋体" w:hAnsi="宋体" w:eastAsia="宋体" w:cs="宋体"/>
          <w:color w:val="auto"/>
          <w:szCs w:val="21"/>
          <w:highlight w:val="none"/>
          <w:u w:val="single"/>
        </w:rPr>
        <w:t xml:space="preserve">       </w:t>
      </w:r>
    </w:p>
    <w:p w14:paraId="65A7D629">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bCs/>
          <w:szCs w:val="32"/>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月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bookmarkEnd w:id="7"/>
      <w:bookmarkEnd w:id="8"/>
      <w:bookmarkEnd w:id="9"/>
      <w:bookmarkEnd w:id="10"/>
      <w:bookmarkEnd w:id="11"/>
      <w:bookmarkEnd w:id="1005"/>
      <w:bookmarkEnd w:id="1006"/>
      <w:bookmarkEnd w:id="1007"/>
      <w:bookmarkEnd w:id="1008"/>
      <w:bookmarkStart w:id="1010" w:name="_Toc78803402"/>
    </w:p>
    <w:p w14:paraId="6809622B">
      <w:pPr>
        <w:pStyle w:val="4"/>
        <w:adjustRightInd w:val="0"/>
        <w:snapToGrid w:val="0"/>
        <w:spacing w:before="0" w:after="0" w:line="560" w:lineRule="exact"/>
        <w:jc w:val="center"/>
        <w:rPr>
          <w:rFonts w:hint="eastAsia"/>
          <w:color w:val="000000"/>
        </w:rPr>
      </w:pPr>
      <w:r>
        <w:rPr>
          <w:rFonts w:hint="eastAsia"/>
          <w:color w:val="000000"/>
        </w:rPr>
        <w:t>（2）工程量清单报价书</w:t>
      </w:r>
    </w:p>
    <w:p w14:paraId="7D855F0A">
      <w:pPr>
        <w:jc w:val="center"/>
        <w:rPr>
          <w:rFonts w:ascii="Calibri" w:hAnsi="Calibri"/>
          <w:sz w:val="32"/>
          <w:szCs w:val="32"/>
        </w:rPr>
      </w:pPr>
    </w:p>
    <w:p w14:paraId="2528277B">
      <w:pPr>
        <w:jc w:val="center"/>
        <w:rPr>
          <w:rFonts w:ascii="Calibri" w:hAnsi="Calibri"/>
          <w:sz w:val="32"/>
          <w:szCs w:val="32"/>
        </w:rPr>
      </w:pPr>
      <w:r>
        <w:rPr>
          <w:rFonts w:hint="eastAsia" w:ascii="仿宋_GB2312" w:hAnsi="Calibri" w:eastAsia="仿宋_GB2312"/>
          <w:b/>
          <w:sz w:val="36"/>
          <w:szCs w:val="36"/>
        </w:rPr>
        <w:t>①</w:t>
      </w:r>
      <w:r>
        <w:rPr>
          <w:rFonts w:hint="eastAsia" w:ascii="Calibri" w:hAnsi="Calibri"/>
          <w:b/>
          <w:sz w:val="36"/>
          <w:szCs w:val="36"/>
        </w:rPr>
        <w:t>工程量清单报价书（封面）</w:t>
      </w:r>
      <w:r>
        <w:rPr>
          <w:rFonts w:hint="eastAsia" w:ascii="Calibri" w:hAnsi="Calibri"/>
          <w:sz w:val="32"/>
          <w:szCs w:val="32"/>
          <w:vertAlign w:val="superscript"/>
        </w:rPr>
        <w:t>1</w:t>
      </w:r>
    </w:p>
    <w:p w14:paraId="3D7A056C">
      <w:pPr>
        <w:jc w:val="center"/>
        <w:rPr>
          <w:rFonts w:ascii="Calibri" w:hAnsi="Calibri"/>
          <w:b/>
          <w:sz w:val="32"/>
          <w:szCs w:val="32"/>
        </w:rPr>
      </w:pPr>
    </w:p>
    <w:p w14:paraId="5262813B">
      <w:pPr>
        <w:ind w:firstLine="643" w:firstLineChars="200"/>
        <w:jc w:val="center"/>
        <w:rPr>
          <w:rFonts w:ascii="Calibri" w:hAnsi="Calibri"/>
          <w:b/>
          <w:sz w:val="32"/>
          <w:szCs w:val="32"/>
        </w:rPr>
      </w:pPr>
      <w:r>
        <w:rPr>
          <w:rFonts w:hint="eastAsia" w:ascii="Calibri" w:hAnsi="Calibri"/>
          <w:b/>
          <w:sz w:val="32"/>
          <w:szCs w:val="32"/>
        </w:rPr>
        <w:t>投标总价</w:t>
      </w:r>
    </w:p>
    <w:p w14:paraId="51772B8A">
      <w:pPr>
        <w:spacing w:line="800" w:lineRule="exact"/>
        <w:ind w:firstLine="640" w:firstLineChars="200"/>
        <w:rPr>
          <w:rFonts w:ascii="Calibri" w:hAnsi="Calibri"/>
          <w:sz w:val="32"/>
          <w:szCs w:val="32"/>
          <w:u w:val="single"/>
        </w:rPr>
      </w:pPr>
      <w:r>
        <w:rPr>
          <w:rFonts w:hint="eastAsia" w:ascii="Calibri" w:hAnsi="Calibri"/>
          <w:sz w:val="32"/>
          <w:szCs w:val="32"/>
        </w:rPr>
        <w:t>招标人：</w:t>
      </w:r>
      <w:r>
        <w:rPr>
          <w:rFonts w:hint="eastAsia" w:ascii="Calibri" w:hAnsi="Calibri"/>
          <w:sz w:val="32"/>
          <w:szCs w:val="32"/>
          <w:u w:val="single"/>
        </w:rPr>
        <w:t xml:space="preserve">                                                 </w:t>
      </w:r>
    </w:p>
    <w:p w14:paraId="55501C58">
      <w:pPr>
        <w:spacing w:line="800" w:lineRule="exact"/>
        <w:ind w:firstLine="640" w:firstLineChars="200"/>
        <w:rPr>
          <w:rFonts w:ascii="Calibri" w:hAnsi="Calibri"/>
          <w:sz w:val="32"/>
          <w:szCs w:val="32"/>
        </w:rPr>
      </w:pPr>
      <w:r>
        <w:rPr>
          <w:rFonts w:hint="eastAsia" w:ascii="Calibri" w:hAnsi="Calibri"/>
          <w:sz w:val="32"/>
          <w:szCs w:val="32"/>
        </w:rPr>
        <w:t>工程名称：</w:t>
      </w:r>
      <w:r>
        <w:rPr>
          <w:rFonts w:hint="eastAsia" w:ascii="Calibri" w:hAnsi="Calibri"/>
          <w:sz w:val="32"/>
          <w:szCs w:val="32"/>
          <w:u w:val="single"/>
        </w:rPr>
        <w:t xml:space="preserve">                                               </w:t>
      </w:r>
    </w:p>
    <w:p w14:paraId="0A224365">
      <w:pPr>
        <w:spacing w:line="800" w:lineRule="exact"/>
        <w:ind w:firstLine="640" w:firstLineChars="200"/>
        <w:rPr>
          <w:rFonts w:ascii="Calibri" w:hAnsi="Calibri"/>
          <w:sz w:val="32"/>
          <w:szCs w:val="32"/>
          <w:u w:val="single"/>
        </w:rPr>
      </w:pPr>
      <w:r>
        <w:rPr>
          <w:rFonts w:hint="eastAsia" w:ascii="Calibri" w:hAnsi="Calibri"/>
          <w:sz w:val="32"/>
          <w:szCs w:val="32"/>
        </w:rPr>
        <w:t>投标总价（小写）：</w:t>
      </w:r>
      <w:r>
        <w:rPr>
          <w:rFonts w:hint="eastAsia" w:ascii="Calibri" w:hAnsi="Calibri"/>
          <w:sz w:val="32"/>
          <w:szCs w:val="32"/>
          <w:u w:val="single"/>
        </w:rPr>
        <w:t xml:space="preserve">                                       </w:t>
      </w:r>
    </w:p>
    <w:p w14:paraId="6243B7A2">
      <w:pPr>
        <w:spacing w:line="800" w:lineRule="exact"/>
        <w:ind w:firstLine="1920" w:firstLineChars="600"/>
        <w:rPr>
          <w:rFonts w:ascii="Calibri" w:hAnsi="Calibri"/>
          <w:sz w:val="32"/>
          <w:szCs w:val="32"/>
        </w:rPr>
      </w:pPr>
      <w:r>
        <w:rPr>
          <w:rFonts w:hint="eastAsia" w:ascii="Calibri" w:hAnsi="Calibri"/>
          <w:sz w:val="32"/>
          <w:szCs w:val="32"/>
        </w:rPr>
        <w:t>（大写）：</w:t>
      </w:r>
      <w:r>
        <w:rPr>
          <w:rFonts w:hint="eastAsia" w:ascii="Calibri" w:hAnsi="Calibri"/>
          <w:sz w:val="32"/>
          <w:szCs w:val="32"/>
          <w:u w:val="single"/>
        </w:rPr>
        <w:t xml:space="preserve">                                       </w:t>
      </w:r>
    </w:p>
    <w:p w14:paraId="7A25A46B">
      <w:pPr>
        <w:spacing w:line="800" w:lineRule="exact"/>
        <w:ind w:firstLine="640" w:firstLineChars="200"/>
        <w:rPr>
          <w:rFonts w:ascii="Calibri" w:hAnsi="Calibri"/>
          <w:sz w:val="32"/>
          <w:szCs w:val="32"/>
        </w:rPr>
      </w:pPr>
    </w:p>
    <w:p w14:paraId="7DB1D3AF">
      <w:pPr>
        <w:spacing w:line="800" w:lineRule="exact"/>
        <w:ind w:firstLine="640" w:firstLineChars="200"/>
        <w:rPr>
          <w:rFonts w:ascii="Calibri" w:hAnsi="Calibri"/>
          <w:sz w:val="32"/>
          <w:szCs w:val="32"/>
        </w:rPr>
      </w:pPr>
      <w:r>
        <w:rPr>
          <w:rFonts w:hint="eastAsia" w:ascii="Calibri" w:hAnsi="Calibri"/>
          <w:sz w:val="32"/>
          <w:szCs w:val="32"/>
        </w:rPr>
        <w:t>投 标 人：</w:t>
      </w:r>
      <w:r>
        <w:rPr>
          <w:rFonts w:hint="eastAsia" w:ascii="Calibri" w:hAnsi="Calibri"/>
          <w:sz w:val="32"/>
          <w:szCs w:val="32"/>
          <w:u w:val="single"/>
        </w:rPr>
        <w:t xml:space="preserve">                                     </w:t>
      </w:r>
      <w:r>
        <w:rPr>
          <w:rFonts w:hint="eastAsia" w:ascii="Calibri" w:hAnsi="Calibri"/>
          <w:sz w:val="32"/>
          <w:szCs w:val="32"/>
        </w:rPr>
        <w:t xml:space="preserve"> (单位盖章)</w:t>
      </w:r>
    </w:p>
    <w:p w14:paraId="2923CD59">
      <w:pPr>
        <w:spacing w:line="800" w:lineRule="exact"/>
        <w:ind w:firstLine="640" w:firstLineChars="200"/>
        <w:rPr>
          <w:rFonts w:ascii="Calibri" w:hAnsi="Calibri"/>
          <w:sz w:val="32"/>
          <w:szCs w:val="32"/>
        </w:rPr>
      </w:pPr>
    </w:p>
    <w:p w14:paraId="27258875">
      <w:pPr>
        <w:spacing w:line="800" w:lineRule="exact"/>
        <w:ind w:firstLine="640" w:firstLineChars="200"/>
        <w:rPr>
          <w:rFonts w:ascii="Calibri" w:hAnsi="Calibri"/>
          <w:sz w:val="32"/>
          <w:szCs w:val="32"/>
        </w:rPr>
      </w:pPr>
      <w:r>
        <w:rPr>
          <w:rFonts w:hint="eastAsia" w:ascii="Calibri" w:hAnsi="Calibri"/>
          <w:sz w:val="32"/>
          <w:szCs w:val="32"/>
        </w:rPr>
        <w:t>法定代表人：</w:t>
      </w:r>
      <w:r>
        <w:rPr>
          <w:rFonts w:hint="eastAsia" w:ascii="Calibri" w:hAnsi="Calibri"/>
          <w:sz w:val="32"/>
          <w:szCs w:val="32"/>
          <w:u w:val="single"/>
        </w:rPr>
        <w:t xml:space="preserve">                                 </w:t>
      </w:r>
      <w:r>
        <w:rPr>
          <w:rFonts w:hint="eastAsia" w:ascii="Calibri" w:hAnsi="Calibri"/>
          <w:sz w:val="32"/>
          <w:szCs w:val="32"/>
        </w:rPr>
        <w:t xml:space="preserve"> (签字或盖章)</w:t>
      </w:r>
    </w:p>
    <w:p w14:paraId="4925F3C8">
      <w:pPr>
        <w:spacing w:line="800" w:lineRule="exact"/>
        <w:ind w:firstLine="640" w:firstLineChars="200"/>
        <w:rPr>
          <w:rFonts w:ascii="Calibri" w:hAnsi="Calibri"/>
          <w:sz w:val="32"/>
          <w:szCs w:val="32"/>
        </w:rPr>
      </w:pPr>
    </w:p>
    <w:p w14:paraId="22B76E0B">
      <w:pPr>
        <w:spacing w:line="800" w:lineRule="exact"/>
        <w:ind w:firstLine="640" w:firstLineChars="200"/>
        <w:rPr>
          <w:rFonts w:ascii="Calibri" w:hAnsi="Calibri"/>
          <w:sz w:val="32"/>
          <w:szCs w:val="32"/>
          <w:u w:val="single"/>
        </w:rPr>
      </w:pPr>
      <w:r>
        <w:rPr>
          <w:rFonts w:hint="eastAsia" w:ascii="Calibri" w:hAnsi="Calibri"/>
          <w:sz w:val="32"/>
          <w:szCs w:val="32"/>
        </w:rPr>
        <w:t>编制人：</w:t>
      </w:r>
      <w:r>
        <w:rPr>
          <w:rFonts w:hint="eastAsia" w:ascii="Calibri" w:hAnsi="Calibri"/>
          <w:sz w:val="32"/>
          <w:szCs w:val="32"/>
          <w:u w:val="single"/>
        </w:rPr>
        <w:t xml:space="preserve">                                                 </w:t>
      </w:r>
    </w:p>
    <w:p w14:paraId="7BBAE3CA">
      <w:pPr>
        <w:spacing w:line="800" w:lineRule="exact"/>
        <w:ind w:firstLine="2720" w:firstLineChars="850"/>
        <w:rPr>
          <w:rFonts w:ascii="Calibri" w:hAnsi="Calibri"/>
          <w:sz w:val="32"/>
          <w:szCs w:val="32"/>
          <w:u w:val="single"/>
        </w:rPr>
      </w:pPr>
      <w:r>
        <w:rPr>
          <w:rFonts w:hint="eastAsia" w:ascii="Calibri" w:hAnsi="Calibri"/>
          <w:sz w:val="32"/>
          <w:szCs w:val="32"/>
        </w:rPr>
        <w:t xml:space="preserve"> (注册造价工程师签字并盖执业专用章)</w:t>
      </w:r>
    </w:p>
    <w:p w14:paraId="0D1E8CE0">
      <w:pPr>
        <w:spacing w:line="800" w:lineRule="exact"/>
        <w:ind w:firstLine="640" w:firstLineChars="200"/>
        <w:rPr>
          <w:rFonts w:ascii="Calibri" w:hAnsi="Calibri"/>
          <w:sz w:val="32"/>
          <w:szCs w:val="32"/>
        </w:rPr>
      </w:pPr>
    </w:p>
    <w:p w14:paraId="2768937A">
      <w:pPr>
        <w:spacing w:line="800" w:lineRule="exact"/>
        <w:ind w:firstLine="640" w:firstLineChars="200"/>
        <w:rPr>
          <w:rFonts w:ascii="Calibri" w:hAnsi="Calibri"/>
          <w:sz w:val="32"/>
          <w:szCs w:val="32"/>
        </w:rPr>
      </w:pPr>
      <w:r>
        <w:rPr>
          <w:rFonts w:hint="eastAsia" w:ascii="Calibri" w:hAnsi="Calibri"/>
          <w:sz w:val="32"/>
          <w:szCs w:val="32"/>
        </w:rPr>
        <w:t>编制时间：</w:t>
      </w:r>
      <w:r>
        <w:rPr>
          <w:rFonts w:hint="eastAsia" w:ascii="Calibri" w:hAnsi="Calibri"/>
          <w:sz w:val="32"/>
          <w:szCs w:val="32"/>
          <w:u w:val="single"/>
        </w:rPr>
        <w:t xml:space="preserve">             </w:t>
      </w:r>
      <w:r>
        <w:rPr>
          <w:rFonts w:hint="eastAsia" w:ascii="Calibri" w:hAnsi="Calibri"/>
          <w:sz w:val="32"/>
          <w:szCs w:val="32"/>
        </w:rPr>
        <w:t>年</w:t>
      </w:r>
      <w:r>
        <w:rPr>
          <w:rFonts w:hint="eastAsia" w:ascii="Calibri" w:hAnsi="Calibri"/>
          <w:sz w:val="32"/>
          <w:szCs w:val="32"/>
          <w:u w:val="single"/>
        </w:rPr>
        <w:t xml:space="preserve">          </w:t>
      </w:r>
      <w:r>
        <w:rPr>
          <w:rFonts w:hint="eastAsia" w:ascii="Calibri" w:hAnsi="Calibri"/>
          <w:sz w:val="32"/>
          <w:szCs w:val="32"/>
        </w:rPr>
        <w:t>月</w:t>
      </w:r>
      <w:r>
        <w:rPr>
          <w:rFonts w:hint="eastAsia" w:ascii="Calibri" w:hAnsi="Calibri"/>
          <w:sz w:val="32"/>
          <w:szCs w:val="32"/>
          <w:u w:val="single"/>
        </w:rPr>
        <w:t xml:space="preserve">          </w:t>
      </w:r>
      <w:r>
        <w:rPr>
          <w:rFonts w:hint="eastAsia" w:ascii="Calibri" w:hAnsi="Calibri"/>
          <w:sz w:val="32"/>
          <w:szCs w:val="32"/>
        </w:rPr>
        <w:t>日</w:t>
      </w:r>
    </w:p>
    <w:p w14:paraId="0E20567A">
      <w:pPr>
        <w:rPr>
          <w:rFonts w:ascii="Calibri" w:hAnsi="Calibri"/>
          <w:sz w:val="32"/>
          <w:szCs w:val="32"/>
        </w:rPr>
      </w:pPr>
    </w:p>
    <w:p w14:paraId="25DA0702">
      <w:pPr>
        <w:rPr>
          <w:rFonts w:ascii="宋体" w:hAnsi="宋体"/>
          <w:sz w:val="18"/>
          <w:szCs w:val="18"/>
        </w:rPr>
      </w:pPr>
      <w:r>
        <w:rPr>
          <w:rFonts w:hint="eastAsia" w:ascii="宋体" w:hAnsi="宋体"/>
          <w:sz w:val="18"/>
          <w:szCs w:val="18"/>
        </w:rPr>
        <w:t>1注：投标文件格式中工程量清单报价书（封面）及投标报价编制人信息表与投标文件制作工具导出文件不一致的，以投标文件格式文件为准。</w:t>
      </w:r>
    </w:p>
    <w:p w14:paraId="158AF5EF">
      <w:pPr>
        <w:jc w:val="center"/>
        <w:rPr>
          <w:rFonts w:hint="eastAsia" w:ascii="宋体" w:hAnsi="宋体"/>
          <w:sz w:val="32"/>
          <w:szCs w:val="32"/>
        </w:rPr>
      </w:pPr>
    </w:p>
    <w:p w14:paraId="3E802F3D">
      <w:pPr>
        <w:rPr>
          <w:rFonts w:hint="eastAsia" w:ascii="宋体" w:hAnsi="宋体"/>
          <w:sz w:val="32"/>
          <w:szCs w:val="32"/>
        </w:rPr>
      </w:pPr>
    </w:p>
    <w:p w14:paraId="73C8E6C7">
      <w:pPr>
        <w:jc w:val="center"/>
        <w:rPr>
          <w:rFonts w:ascii="宋体" w:hAnsi="宋体"/>
          <w:sz w:val="32"/>
          <w:szCs w:val="32"/>
        </w:rPr>
        <w:sectPr>
          <w:headerReference r:id="rId7" w:type="default"/>
          <w:footerReference r:id="rId8" w:type="default"/>
          <w:pgSz w:w="11910" w:h="16840"/>
          <w:pgMar w:top="1060" w:right="1130" w:bottom="1020" w:left="1120" w:header="0" w:footer="833" w:gutter="0"/>
          <w:cols w:space="720" w:num="1"/>
        </w:sectPr>
      </w:pPr>
    </w:p>
    <w:p w14:paraId="6BE3DC7D">
      <w:pPr>
        <w:jc w:val="center"/>
        <w:rPr>
          <w:rFonts w:hint="eastAsia" w:ascii="宋体" w:hAnsi="宋体"/>
          <w:sz w:val="32"/>
          <w:szCs w:val="32"/>
        </w:rPr>
      </w:pPr>
    </w:p>
    <w:p w14:paraId="4FFA3562">
      <w:pPr>
        <w:jc w:val="center"/>
        <w:rPr>
          <w:rFonts w:ascii="Calibri" w:hAnsi="Calibri"/>
          <w:sz w:val="32"/>
          <w:szCs w:val="32"/>
        </w:rPr>
      </w:pPr>
      <w:r>
        <w:rPr>
          <w:rFonts w:hint="eastAsia" w:ascii="宋体" w:hAnsi="宋体"/>
          <w:sz w:val="32"/>
          <w:szCs w:val="32"/>
        </w:rPr>
        <w:t>②</w:t>
      </w:r>
      <w:r>
        <w:rPr>
          <w:rFonts w:hint="eastAsia" w:ascii="Calibri" w:hAnsi="Calibri"/>
          <w:sz w:val="32"/>
          <w:szCs w:val="32"/>
        </w:rPr>
        <w:t>投标报价编制人信息表</w:t>
      </w:r>
    </w:p>
    <w:p w14:paraId="4E0FE831">
      <w:pPr>
        <w:jc w:val="center"/>
        <w:rPr>
          <w:rFonts w:ascii="Calibri" w:hAnsi="Calibri"/>
          <w:sz w:val="32"/>
          <w:szCs w:val="32"/>
        </w:rPr>
      </w:pPr>
    </w:p>
    <w:tbl>
      <w:tblPr>
        <w:tblStyle w:val="47"/>
        <w:tblW w:w="10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216"/>
        <w:gridCol w:w="2951"/>
        <w:gridCol w:w="1737"/>
        <w:gridCol w:w="1563"/>
        <w:gridCol w:w="1967"/>
      </w:tblGrid>
      <w:tr w14:paraId="734C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827" w:type="dxa"/>
            <w:noWrap w:val="0"/>
            <w:vAlign w:val="center"/>
          </w:tcPr>
          <w:p w14:paraId="76C3EEF7">
            <w:pPr>
              <w:jc w:val="center"/>
              <w:rPr>
                <w:rFonts w:ascii="Calibri" w:hAnsi="Calibri"/>
                <w:szCs w:val="22"/>
              </w:rPr>
            </w:pPr>
            <w:r>
              <w:rPr>
                <w:rFonts w:hint="eastAsia" w:ascii="Calibri" w:hAnsi="Calibri"/>
                <w:szCs w:val="22"/>
              </w:rPr>
              <w:t>序号</w:t>
            </w:r>
          </w:p>
        </w:tc>
        <w:tc>
          <w:tcPr>
            <w:tcW w:w="1216" w:type="dxa"/>
            <w:noWrap w:val="0"/>
            <w:vAlign w:val="center"/>
          </w:tcPr>
          <w:p w14:paraId="2EAD4517">
            <w:pPr>
              <w:jc w:val="center"/>
              <w:rPr>
                <w:rFonts w:ascii="Calibri" w:hAnsi="Calibri"/>
                <w:szCs w:val="22"/>
              </w:rPr>
            </w:pPr>
            <w:r>
              <w:rPr>
                <w:rFonts w:hint="eastAsia" w:ascii="Calibri" w:hAnsi="Calibri"/>
                <w:szCs w:val="22"/>
              </w:rPr>
              <w:t>姓名</w:t>
            </w:r>
          </w:p>
        </w:tc>
        <w:tc>
          <w:tcPr>
            <w:tcW w:w="2951" w:type="dxa"/>
            <w:noWrap w:val="0"/>
            <w:vAlign w:val="center"/>
          </w:tcPr>
          <w:p w14:paraId="2519E21A">
            <w:pPr>
              <w:jc w:val="center"/>
              <w:rPr>
                <w:rFonts w:ascii="Calibri" w:hAnsi="Calibri"/>
                <w:szCs w:val="22"/>
              </w:rPr>
            </w:pPr>
            <w:r>
              <w:rPr>
                <w:rFonts w:hint="eastAsia" w:ascii="Calibri" w:hAnsi="Calibri"/>
                <w:szCs w:val="22"/>
              </w:rPr>
              <w:t>身份证号码</w:t>
            </w:r>
          </w:p>
        </w:tc>
        <w:tc>
          <w:tcPr>
            <w:tcW w:w="1737" w:type="dxa"/>
            <w:noWrap w:val="0"/>
            <w:vAlign w:val="center"/>
          </w:tcPr>
          <w:p w14:paraId="29F76927">
            <w:pPr>
              <w:jc w:val="center"/>
              <w:rPr>
                <w:rFonts w:ascii="Calibri" w:hAnsi="Calibri"/>
                <w:szCs w:val="22"/>
              </w:rPr>
            </w:pPr>
            <w:r>
              <w:rPr>
                <w:rFonts w:hint="eastAsia" w:ascii="Calibri" w:hAnsi="Calibri"/>
                <w:szCs w:val="22"/>
              </w:rPr>
              <w:t>手机号码</w:t>
            </w:r>
          </w:p>
        </w:tc>
        <w:tc>
          <w:tcPr>
            <w:tcW w:w="1563" w:type="dxa"/>
            <w:noWrap w:val="0"/>
            <w:vAlign w:val="center"/>
          </w:tcPr>
          <w:p w14:paraId="0498F078">
            <w:pPr>
              <w:jc w:val="center"/>
              <w:rPr>
                <w:rFonts w:ascii="Calibri" w:hAnsi="Calibri"/>
                <w:szCs w:val="22"/>
              </w:rPr>
            </w:pPr>
            <w:r>
              <w:rPr>
                <w:rFonts w:hint="eastAsia" w:ascii="Calibri" w:hAnsi="Calibri"/>
                <w:szCs w:val="22"/>
              </w:rPr>
              <w:t>单位名称</w:t>
            </w:r>
          </w:p>
        </w:tc>
        <w:tc>
          <w:tcPr>
            <w:tcW w:w="1967" w:type="dxa"/>
            <w:noWrap w:val="0"/>
            <w:vAlign w:val="center"/>
          </w:tcPr>
          <w:p w14:paraId="0B040D36">
            <w:pPr>
              <w:jc w:val="center"/>
              <w:rPr>
                <w:rFonts w:ascii="Calibri" w:hAnsi="Calibri"/>
                <w:szCs w:val="22"/>
              </w:rPr>
            </w:pPr>
            <w:r>
              <w:rPr>
                <w:rFonts w:hint="eastAsia" w:ascii="Calibri" w:hAnsi="Calibri"/>
                <w:szCs w:val="22"/>
              </w:rPr>
              <w:t>注册造价工程师注册证书号</w:t>
            </w:r>
          </w:p>
        </w:tc>
      </w:tr>
      <w:tr w14:paraId="0E2F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7" w:type="dxa"/>
            <w:noWrap w:val="0"/>
            <w:vAlign w:val="center"/>
          </w:tcPr>
          <w:p w14:paraId="64773D5B">
            <w:pPr>
              <w:jc w:val="center"/>
              <w:rPr>
                <w:rFonts w:ascii="Calibri" w:hAnsi="Calibri"/>
                <w:szCs w:val="22"/>
              </w:rPr>
            </w:pPr>
          </w:p>
        </w:tc>
        <w:tc>
          <w:tcPr>
            <w:tcW w:w="1216" w:type="dxa"/>
            <w:noWrap w:val="0"/>
            <w:vAlign w:val="center"/>
          </w:tcPr>
          <w:p w14:paraId="70AA3C12">
            <w:pPr>
              <w:jc w:val="center"/>
              <w:rPr>
                <w:rFonts w:ascii="Calibri" w:hAnsi="Calibri"/>
                <w:szCs w:val="22"/>
              </w:rPr>
            </w:pPr>
          </w:p>
        </w:tc>
        <w:tc>
          <w:tcPr>
            <w:tcW w:w="2951" w:type="dxa"/>
            <w:noWrap w:val="0"/>
            <w:vAlign w:val="center"/>
          </w:tcPr>
          <w:p w14:paraId="27D03DA0">
            <w:pPr>
              <w:jc w:val="center"/>
              <w:rPr>
                <w:rFonts w:ascii="Calibri" w:hAnsi="Calibri"/>
                <w:szCs w:val="22"/>
              </w:rPr>
            </w:pPr>
          </w:p>
        </w:tc>
        <w:tc>
          <w:tcPr>
            <w:tcW w:w="1737" w:type="dxa"/>
            <w:noWrap w:val="0"/>
            <w:vAlign w:val="center"/>
          </w:tcPr>
          <w:p w14:paraId="71B2152F">
            <w:pPr>
              <w:jc w:val="center"/>
              <w:rPr>
                <w:rFonts w:ascii="Calibri" w:hAnsi="Calibri"/>
                <w:szCs w:val="22"/>
              </w:rPr>
            </w:pPr>
          </w:p>
        </w:tc>
        <w:tc>
          <w:tcPr>
            <w:tcW w:w="1563" w:type="dxa"/>
            <w:noWrap w:val="0"/>
            <w:vAlign w:val="center"/>
          </w:tcPr>
          <w:p w14:paraId="56637195">
            <w:pPr>
              <w:jc w:val="center"/>
              <w:rPr>
                <w:rFonts w:ascii="Calibri" w:hAnsi="Calibri"/>
                <w:szCs w:val="22"/>
              </w:rPr>
            </w:pPr>
          </w:p>
        </w:tc>
        <w:tc>
          <w:tcPr>
            <w:tcW w:w="1967" w:type="dxa"/>
            <w:noWrap w:val="0"/>
            <w:vAlign w:val="center"/>
          </w:tcPr>
          <w:p w14:paraId="309B0DDF">
            <w:pPr>
              <w:jc w:val="center"/>
              <w:rPr>
                <w:rFonts w:ascii="Calibri" w:hAnsi="Calibri"/>
                <w:szCs w:val="22"/>
              </w:rPr>
            </w:pPr>
          </w:p>
        </w:tc>
      </w:tr>
      <w:tr w14:paraId="43C9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827" w:type="dxa"/>
            <w:noWrap w:val="0"/>
            <w:vAlign w:val="center"/>
          </w:tcPr>
          <w:p w14:paraId="73681B26">
            <w:pPr>
              <w:jc w:val="center"/>
              <w:rPr>
                <w:rFonts w:ascii="Calibri" w:hAnsi="Calibri"/>
                <w:szCs w:val="22"/>
              </w:rPr>
            </w:pPr>
          </w:p>
        </w:tc>
        <w:tc>
          <w:tcPr>
            <w:tcW w:w="1216" w:type="dxa"/>
            <w:noWrap w:val="0"/>
            <w:vAlign w:val="center"/>
          </w:tcPr>
          <w:p w14:paraId="24FDB299">
            <w:pPr>
              <w:jc w:val="center"/>
              <w:rPr>
                <w:rFonts w:ascii="Calibri" w:hAnsi="Calibri"/>
                <w:szCs w:val="22"/>
              </w:rPr>
            </w:pPr>
          </w:p>
        </w:tc>
        <w:tc>
          <w:tcPr>
            <w:tcW w:w="2951" w:type="dxa"/>
            <w:noWrap w:val="0"/>
            <w:vAlign w:val="center"/>
          </w:tcPr>
          <w:p w14:paraId="39C811F2">
            <w:pPr>
              <w:jc w:val="center"/>
              <w:rPr>
                <w:rFonts w:ascii="Calibri" w:hAnsi="Calibri"/>
                <w:szCs w:val="22"/>
              </w:rPr>
            </w:pPr>
          </w:p>
        </w:tc>
        <w:tc>
          <w:tcPr>
            <w:tcW w:w="1737" w:type="dxa"/>
            <w:noWrap w:val="0"/>
            <w:vAlign w:val="center"/>
          </w:tcPr>
          <w:p w14:paraId="561EFFBE">
            <w:pPr>
              <w:jc w:val="center"/>
              <w:rPr>
                <w:rFonts w:ascii="Calibri" w:hAnsi="Calibri"/>
                <w:szCs w:val="22"/>
              </w:rPr>
            </w:pPr>
          </w:p>
        </w:tc>
        <w:tc>
          <w:tcPr>
            <w:tcW w:w="1563" w:type="dxa"/>
            <w:noWrap w:val="0"/>
            <w:vAlign w:val="center"/>
          </w:tcPr>
          <w:p w14:paraId="03686129">
            <w:pPr>
              <w:jc w:val="center"/>
              <w:rPr>
                <w:rFonts w:ascii="Calibri" w:hAnsi="Calibri"/>
                <w:szCs w:val="22"/>
              </w:rPr>
            </w:pPr>
          </w:p>
        </w:tc>
        <w:tc>
          <w:tcPr>
            <w:tcW w:w="1967" w:type="dxa"/>
            <w:noWrap w:val="0"/>
            <w:vAlign w:val="center"/>
          </w:tcPr>
          <w:p w14:paraId="7663A0DE">
            <w:pPr>
              <w:jc w:val="center"/>
              <w:rPr>
                <w:rFonts w:ascii="Calibri" w:hAnsi="Calibri"/>
                <w:szCs w:val="22"/>
              </w:rPr>
            </w:pPr>
          </w:p>
        </w:tc>
      </w:tr>
    </w:tbl>
    <w:p w14:paraId="1C3498CD">
      <w:pPr>
        <w:rPr>
          <w:rFonts w:ascii="宋体" w:hAnsi="宋体"/>
          <w:b/>
          <w:sz w:val="24"/>
        </w:rPr>
      </w:pPr>
    </w:p>
    <w:p w14:paraId="0E3B9A49">
      <w:pPr>
        <w:spacing w:line="560" w:lineRule="exact"/>
        <w:rPr>
          <w:rFonts w:ascii="宋体" w:hAnsi="宋体"/>
          <w:b/>
          <w:sz w:val="24"/>
        </w:rPr>
      </w:pPr>
      <w:r>
        <w:rPr>
          <w:rFonts w:hint="eastAsia" w:ascii="宋体" w:hAnsi="宋体"/>
          <w:b/>
          <w:sz w:val="24"/>
        </w:rPr>
        <w:t>注：</w:t>
      </w:r>
    </w:p>
    <w:p w14:paraId="617A53C3">
      <w:pPr>
        <w:spacing w:line="560" w:lineRule="exact"/>
        <w:rPr>
          <w:rFonts w:ascii="宋体" w:hAnsi="宋体"/>
          <w:sz w:val="24"/>
        </w:rPr>
      </w:pPr>
      <w:r>
        <w:rPr>
          <w:rFonts w:hint="eastAsia" w:ascii="宋体" w:hAnsi="宋体"/>
          <w:sz w:val="24"/>
        </w:rPr>
        <w:t>1. 提供投标报价编制人员的注册造价工程师证书扫描件或影印件；</w:t>
      </w:r>
    </w:p>
    <w:p w14:paraId="6D22DC2A">
      <w:pPr>
        <w:spacing w:line="560" w:lineRule="exact"/>
        <w:rPr>
          <w:rFonts w:ascii="宋体" w:hAnsi="宋体"/>
          <w:sz w:val="24"/>
        </w:rPr>
      </w:pPr>
      <w:r>
        <w:rPr>
          <w:rFonts w:hint="eastAsia" w:ascii="宋体" w:hAnsi="宋体"/>
          <w:sz w:val="24"/>
        </w:rPr>
        <w:t>2. 若投标报价编制人员为投标人委托的造价咨询单位注册造价人员，须提供与造价咨询单位签订的委托协议。</w:t>
      </w:r>
    </w:p>
    <w:p w14:paraId="3614E8A5">
      <w:pPr>
        <w:spacing w:line="560" w:lineRule="exact"/>
        <w:rPr>
          <w:rFonts w:ascii="宋体" w:hAnsi="宋体"/>
          <w:sz w:val="24"/>
        </w:rPr>
      </w:pPr>
      <w:r>
        <w:rPr>
          <w:rFonts w:hint="eastAsia" w:ascii="宋体" w:hAnsi="宋体"/>
          <w:sz w:val="24"/>
        </w:rPr>
        <w:t>3. 表格内容将作为公安机关和行政主管部门调查串通投标、允许他人以自己名义从事工程造价业务等违法违规行为的重要依据。</w:t>
      </w:r>
    </w:p>
    <w:p w14:paraId="73668EF9">
      <w:pPr>
        <w:spacing w:line="560" w:lineRule="exact"/>
        <w:rPr>
          <w:rFonts w:ascii="宋体" w:hAnsi="宋体"/>
          <w:sz w:val="24"/>
        </w:rPr>
      </w:pPr>
      <w:r>
        <w:rPr>
          <w:rFonts w:hint="eastAsia" w:ascii="宋体" w:hAnsi="宋体"/>
          <w:sz w:val="24"/>
        </w:rPr>
        <w:t>4. 投标人填写内容务必真实准确，否则将承担投标失败、中标无效的风险。</w:t>
      </w:r>
    </w:p>
    <w:p w14:paraId="081E94DD">
      <w:pPr>
        <w:spacing w:line="560" w:lineRule="exact"/>
        <w:rPr>
          <w:rFonts w:ascii="宋体" w:hAnsi="宋体"/>
          <w:sz w:val="24"/>
        </w:rPr>
      </w:pPr>
    </w:p>
    <w:p w14:paraId="69A73CA9">
      <w:pPr>
        <w:spacing w:line="560" w:lineRule="exact"/>
        <w:rPr>
          <w:rFonts w:ascii="宋体" w:hAnsi="宋体"/>
          <w:sz w:val="24"/>
        </w:rPr>
      </w:pPr>
    </w:p>
    <w:p w14:paraId="4442171F">
      <w:pPr>
        <w:spacing w:line="560" w:lineRule="exact"/>
        <w:ind w:firstLine="480" w:firstLineChars="200"/>
        <w:rPr>
          <w:rFonts w:ascii="宋体" w:hAnsi="宋体"/>
          <w:sz w:val="24"/>
        </w:rPr>
      </w:pPr>
      <w:r>
        <w:rPr>
          <w:rFonts w:hint="eastAsia" w:ascii="宋体" w:hAnsi="宋体"/>
          <w:sz w:val="24"/>
        </w:rPr>
        <w:t>③工程量清单报价书正文格式：见2018版“工程量清单计价文件”格式，在滁州市公共资源交易中心网站下载招标文件后，使用投标文件制作工具导出“招标清单文件”，即为“工程量清单计价文件”正文格式。</w:t>
      </w:r>
    </w:p>
    <w:p w14:paraId="163C29A1">
      <w:pPr>
        <w:rPr>
          <w:rFonts w:hint="eastAsia"/>
          <w:bCs/>
          <w:szCs w:val="32"/>
          <w:highlight w:val="none"/>
        </w:rPr>
      </w:pPr>
    </w:p>
    <w:p w14:paraId="146623FE">
      <w:pPr>
        <w:rPr>
          <w:rFonts w:hint="eastAsia"/>
          <w:bCs/>
          <w:szCs w:val="32"/>
          <w:highlight w:val="none"/>
        </w:rPr>
      </w:pPr>
    </w:p>
    <w:p w14:paraId="19253610">
      <w:pPr>
        <w:rPr>
          <w:rFonts w:hint="eastAsia"/>
          <w:bCs/>
          <w:szCs w:val="32"/>
          <w:highlight w:val="none"/>
        </w:rPr>
      </w:pPr>
    </w:p>
    <w:p w14:paraId="45B1F347">
      <w:pPr>
        <w:rPr>
          <w:rFonts w:hint="eastAsia"/>
          <w:bCs/>
          <w:szCs w:val="32"/>
          <w:highlight w:val="none"/>
        </w:rPr>
      </w:pPr>
    </w:p>
    <w:p w14:paraId="416D8336">
      <w:pPr>
        <w:rPr>
          <w:rFonts w:hint="eastAsia"/>
          <w:bCs/>
          <w:szCs w:val="32"/>
          <w:highlight w:val="none"/>
        </w:rPr>
      </w:pPr>
      <w:r>
        <w:rPr>
          <w:rFonts w:hint="eastAsia"/>
          <w:bCs/>
          <w:szCs w:val="32"/>
          <w:highlight w:val="none"/>
        </w:rPr>
        <w:br w:type="page"/>
      </w:r>
    </w:p>
    <w:p w14:paraId="172B3F58">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十</w:t>
      </w:r>
      <w:r>
        <w:rPr>
          <w:rFonts w:hint="eastAsia"/>
          <w:bCs/>
          <w:szCs w:val="32"/>
          <w:highlight w:val="none"/>
        </w:rPr>
        <w:t>章  招标单位、招标代理机构对本招标文件的确认</w:t>
      </w:r>
      <w:bookmarkEnd w:id="1010"/>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G36宁洛高速公路来安至明光段改扩建工程曹庄、嘉山服务区污水改造项目</w:t>
            </w:r>
            <w:r>
              <w:rPr>
                <w:rFonts w:hint="eastAsia"/>
                <w:sz w:val="28"/>
                <w:szCs w:val="28"/>
                <w:highlight w:val="none"/>
                <w:u w:val="single"/>
              </w:rPr>
              <w:t xml:space="preserve"> </w:t>
            </w:r>
            <w:r>
              <w:rPr>
                <w:rFonts w:hint="eastAsia"/>
                <w:sz w:val="28"/>
                <w:szCs w:val="28"/>
                <w:highlight w:val="none"/>
              </w:rPr>
              <w:t>的招标文件进行确认。</w:t>
            </w:r>
          </w:p>
          <w:p w14:paraId="71A0CDF3">
            <w:pPr>
              <w:spacing w:line="560" w:lineRule="exact"/>
              <w:ind w:firstLine="560" w:firstLineChars="200"/>
              <w:rPr>
                <w:rFonts w:hint="eastAsia" w:ascii="宋体" w:hAnsi="宋体" w:cs="宋体"/>
                <w:sz w:val="28"/>
                <w:szCs w:val="28"/>
                <w:highlight w:val="none"/>
              </w:rPr>
            </w:pPr>
            <w:r>
              <w:rPr>
                <w:rFonts w:hint="eastAsia" w:ascii="宋体" w:hAnsi="宋体" w:cs="宋体"/>
                <w:sz w:val="28"/>
                <w:szCs w:val="28"/>
                <w:highlight w:val="none"/>
                <w:lang w:val="en-US" w:eastAsia="zh-CN"/>
              </w:rPr>
              <w:t>招标人</w:t>
            </w:r>
            <w:r>
              <w:rPr>
                <w:rFonts w:hint="eastAsia" w:ascii="宋体" w:hAnsi="宋体" w:cs="宋体"/>
                <w:sz w:val="28"/>
                <w:szCs w:val="28"/>
                <w:highlight w:val="none"/>
              </w:rPr>
              <w:t>：</w:t>
            </w:r>
            <w:r>
              <w:rPr>
                <w:rFonts w:hint="eastAsia" w:ascii="宋体" w:hAnsi="宋体" w:cs="宋体"/>
                <w:sz w:val="28"/>
                <w:szCs w:val="28"/>
                <w:highlight w:val="none"/>
                <w:lang w:eastAsia="zh-CN"/>
              </w:rPr>
              <w:t>安徽滁宁高速公路股份有限公司</w:t>
            </w:r>
            <w:r>
              <w:rPr>
                <w:rFonts w:hint="eastAsia" w:ascii="宋体" w:hAnsi="宋体" w:cs="宋体"/>
                <w:sz w:val="28"/>
                <w:szCs w:val="28"/>
                <w:highlight w:val="none"/>
              </w:rPr>
              <w:t xml:space="preserve">  </w:t>
            </w:r>
          </w:p>
          <w:p w14:paraId="7E988D38">
            <w:pPr>
              <w:spacing w:line="560" w:lineRule="exact"/>
              <w:ind w:firstLine="560" w:firstLineChars="200"/>
              <w:rPr>
                <w:rFonts w:hint="eastAsia" w:ascii="宋体" w:hAnsi="宋体" w:cs="宋体"/>
                <w:sz w:val="28"/>
                <w:szCs w:val="28"/>
                <w:highlight w:val="none"/>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黄工</w:t>
            </w:r>
            <w:r>
              <w:rPr>
                <w:rFonts w:hint="eastAsia" w:ascii="宋体" w:hAnsi="宋体" w:cs="宋体"/>
                <w:sz w:val="28"/>
                <w:szCs w:val="28"/>
                <w:highlight w:val="none"/>
              </w:rPr>
              <w:t xml:space="preserve"> </w:t>
            </w:r>
            <w:r>
              <w:rPr>
                <w:rFonts w:hint="eastAsia" w:ascii="宋体" w:hAnsi="宋体" w:cs="宋体"/>
                <w:sz w:val="28"/>
                <w:szCs w:val="28"/>
                <w:highlight w:val="none"/>
                <w:lang w:val="en-US" w:eastAsia="zh-CN"/>
              </w:rPr>
              <w:t xml:space="preserve"> </w:t>
            </w:r>
          </w:p>
          <w:p w14:paraId="27CF026B">
            <w:pPr>
              <w:spacing w:line="560" w:lineRule="exact"/>
              <w:ind w:firstLine="560" w:firstLineChars="200"/>
              <w:rPr>
                <w:rFonts w:hint="default" w:ascii="宋体" w:hAnsi="宋体" w:cs="宋体"/>
                <w:sz w:val="28"/>
                <w:szCs w:val="28"/>
                <w:highlight w:val="none"/>
                <w:lang w:val="en-US" w:eastAsia="zh-CN"/>
              </w:rPr>
            </w:pPr>
            <w:r>
              <w:rPr>
                <w:rFonts w:hint="eastAsia" w:ascii="宋体" w:hAnsi="宋体" w:cs="宋体"/>
                <w:sz w:val="28"/>
                <w:szCs w:val="28"/>
                <w:highlight w:val="none"/>
              </w:rPr>
              <w:t>联系电话：</w:t>
            </w:r>
            <w:r>
              <w:rPr>
                <w:rFonts w:hint="eastAsia" w:ascii="宋体" w:hAnsi="宋体" w:cs="宋体"/>
                <w:sz w:val="28"/>
                <w:szCs w:val="28"/>
                <w:highlight w:val="none"/>
                <w:lang w:val="en-US" w:eastAsia="zh-CN"/>
              </w:rPr>
              <w:t>0550-3568109</w:t>
            </w:r>
          </w:p>
          <w:p w14:paraId="01C3939A">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p>
          <w:p w14:paraId="2BCF4FCB">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4EDF8AEB">
            <w:pPr>
              <w:pStyle w:val="14"/>
              <w:ind w:firstLine="420"/>
              <w:rPr>
                <w:highlight w:val="none"/>
              </w:rPr>
            </w:pPr>
          </w:p>
        </w:tc>
      </w:tr>
    </w:tbl>
    <w:p w14:paraId="715B92A1">
      <w:pPr>
        <w:rPr>
          <w:highlight w:val="none"/>
        </w:rPr>
      </w:pPr>
    </w:p>
    <w:sectPr>
      <w:headerReference r:id="rId9" w:type="default"/>
      <w:footerReference r:id="rId10"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7972F28-0416-4143-A688-32656050B32B}"/>
  </w:font>
  <w:font w:name="黑体">
    <w:panose1 w:val="02010609060101010101"/>
    <w:charset w:val="86"/>
    <w:family w:val="auto"/>
    <w:pitch w:val="default"/>
    <w:sig w:usb0="800002BF" w:usb1="38CF7CFA" w:usb2="00000016" w:usb3="00000000" w:csb0="00040001" w:csb1="00000000"/>
    <w:embedRegular r:id="rId2" w:fontKey="{A87DDA7B-0048-4F80-A3D3-BA8DB0340F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25B54A6-04B1-417B-AAA4-4A062AEC82CB}"/>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A24AC38C-C00B-495D-A995-CDE75AB83BC6}"/>
  </w:font>
  <w:font w:name="仿宋">
    <w:panose1 w:val="02010609060101010101"/>
    <w:charset w:val="86"/>
    <w:family w:val="auto"/>
    <w:pitch w:val="default"/>
    <w:sig w:usb0="8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6B4D4">
    <w:pPr>
      <w:pStyle w:val="29"/>
      <w:rPr>
        <w:rStyle w:val="51"/>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1E254">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01E254">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0A8F7B91">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588D">
    <w:pPr>
      <w:pStyle w:val="29"/>
      <w:rPr>
        <w:rStyle w:val="51"/>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8F04E6">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8F04E6">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2441B96C">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23331">
    <w:pPr>
      <w:pStyle w:val="30"/>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6B492">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0B1C5"/>
    <w:multiLevelType w:val="singleLevel"/>
    <w:tmpl w:val="84E0B1C5"/>
    <w:lvl w:ilvl="0" w:tentative="0">
      <w:start w:val="1"/>
      <w:numFmt w:val="decimal"/>
      <w:suff w:val="space"/>
      <w:lvlText w:val="（%1）"/>
      <w:lvlJc w:val="left"/>
    </w:lvl>
  </w:abstractNum>
  <w:abstractNum w:abstractNumId="1">
    <w:nsid w:val="F22565F3"/>
    <w:multiLevelType w:val="singleLevel"/>
    <w:tmpl w:val="F22565F3"/>
    <w:lvl w:ilvl="0" w:tentative="0">
      <w:start w:val="1"/>
      <w:numFmt w:val="decimal"/>
      <w:suff w:val="nothing"/>
      <w:lvlText w:val="（%1）"/>
      <w:lvlJc w:val="left"/>
    </w:lvl>
  </w:abstractNum>
  <w:abstractNum w:abstractNumId="2">
    <w:nsid w:val="152B3C79"/>
    <w:multiLevelType w:val="singleLevel"/>
    <w:tmpl w:val="152B3C79"/>
    <w:lvl w:ilvl="0" w:tentative="0">
      <w:start w:val="1"/>
      <w:numFmt w:val="decimal"/>
      <w:suff w:val="nothing"/>
      <w:lvlText w:val="（%1）"/>
      <w:lvlJc w:val="left"/>
    </w:lvl>
  </w:abstractNum>
  <w:abstractNum w:abstractNumId="3">
    <w:nsid w:val="17A77041"/>
    <w:multiLevelType w:val="singleLevel"/>
    <w:tmpl w:val="17A77041"/>
    <w:lvl w:ilvl="0" w:tentative="0">
      <w:start w:val="4"/>
      <w:numFmt w:val="chineseCounting"/>
      <w:suff w:val="space"/>
      <w:lvlText w:val="第%1章"/>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36C"/>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5114"/>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69049A"/>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DC197D"/>
    <w:rsid w:val="02EB23C8"/>
    <w:rsid w:val="02ED4254"/>
    <w:rsid w:val="02F54A67"/>
    <w:rsid w:val="02FB586B"/>
    <w:rsid w:val="032764F6"/>
    <w:rsid w:val="03315320"/>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ED3490"/>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16D3"/>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9584C"/>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5246C"/>
    <w:rsid w:val="080D2DB2"/>
    <w:rsid w:val="08236132"/>
    <w:rsid w:val="0824157E"/>
    <w:rsid w:val="082A5712"/>
    <w:rsid w:val="082F0F7A"/>
    <w:rsid w:val="083420ED"/>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1C5343"/>
    <w:rsid w:val="09263609"/>
    <w:rsid w:val="092E2FE0"/>
    <w:rsid w:val="093E5BC8"/>
    <w:rsid w:val="0953633D"/>
    <w:rsid w:val="095867F9"/>
    <w:rsid w:val="09697733"/>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1B01BD"/>
    <w:rsid w:val="0A3E3D26"/>
    <w:rsid w:val="0A4834F8"/>
    <w:rsid w:val="0A6173D2"/>
    <w:rsid w:val="0A682231"/>
    <w:rsid w:val="0A6825A9"/>
    <w:rsid w:val="0A781198"/>
    <w:rsid w:val="0A8B0468"/>
    <w:rsid w:val="0AAC10E4"/>
    <w:rsid w:val="0AB07E4A"/>
    <w:rsid w:val="0AC93B72"/>
    <w:rsid w:val="0ACA6D38"/>
    <w:rsid w:val="0AD53C26"/>
    <w:rsid w:val="0ADD3B4A"/>
    <w:rsid w:val="0AEE775A"/>
    <w:rsid w:val="0AFF5154"/>
    <w:rsid w:val="0B0260FA"/>
    <w:rsid w:val="0B03513B"/>
    <w:rsid w:val="0B127FA5"/>
    <w:rsid w:val="0B187C06"/>
    <w:rsid w:val="0B462863"/>
    <w:rsid w:val="0B4B3360"/>
    <w:rsid w:val="0B5812CC"/>
    <w:rsid w:val="0B6153F6"/>
    <w:rsid w:val="0B6C4BE2"/>
    <w:rsid w:val="0B895D1E"/>
    <w:rsid w:val="0B903157"/>
    <w:rsid w:val="0B9335CE"/>
    <w:rsid w:val="0BA653BF"/>
    <w:rsid w:val="0BAC6F99"/>
    <w:rsid w:val="0BCD1EAC"/>
    <w:rsid w:val="0BCF142C"/>
    <w:rsid w:val="0BDC319A"/>
    <w:rsid w:val="0BFB783E"/>
    <w:rsid w:val="0BFD5373"/>
    <w:rsid w:val="0BFD6481"/>
    <w:rsid w:val="0C0F0CD9"/>
    <w:rsid w:val="0C631998"/>
    <w:rsid w:val="0C6821F6"/>
    <w:rsid w:val="0C8170B4"/>
    <w:rsid w:val="0C990787"/>
    <w:rsid w:val="0C992D4F"/>
    <w:rsid w:val="0CAE3A50"/>
    <w:rsid w:val="0CBF15FF"/>
    <w:rsid w:val="0CC20F4F"/>
    <w:rsid w:val="0CD8398F"/>
    <w:rsid w:val="0CD91857"/>
    <w:rsid w:val="0CDA4E4E"/>
    <w:rsid w:val="0CF258A4"/>
    <w:rsid w:val="0D162709"/>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F25BA4"/>
    <w:rsid w:val="0DFD573A"/>
    <w:rsid w:val="0DFE1012"/>
    <w:rsid w:val="0E0B029F"/>
    <w:rsid w:val="0E1D2BDE"/>
    <w:rsid w:val="0E230373"/>
    <w:rsid w:val="0E2A41ED"/>
    <w:rsid w:val="0E30302E"/>
    <w:rsid w:val="0E351EED"/>
    <w:rsid w:val="0E397874"/>
    <w:rsid w:val="0E461B92"/>
    <w:rsid w:val="0E6059EA"/>
    <w:rsid w:val="0E632208"/>
    <w:rsid w:val="0E844468"/>
    <w:rsid w:val="0E9E135B"/>
    <w:rsid w:val="0EA44F43"/>
    <w:rsid w:val="0EA62844"/>
    <w:rsid w:val="0EC2669E"/>
    <w:rsid w:val="0ED75315"/>
    <w:rsid w:val="0ED756CF"/>
    <w:rsid w:val="0EDE395B"/>
    <w:rsid w:val="0EE34A0A"/>
    <w:rsid w:val="0EEF23A4"/>
    <w:rsid w:val="0F0271B1"/>
    <w:rsid w:val="0F2227A9"/>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468BD"/>
    <w:rsid w:val="10F772EF"/>
    <w:rsid w:val="11017A58"/>
    <w:rsid w:val="11023D17"/>
    <w:rsid w:val="110F34C8"/>
    <w:rsid w:val="11323E5A"/>
    <w:rsid w:val="11491151"/>
    <w:rsid w:val="1159543F"/>
    <w:rsid w:val="116230D1"/>
    <w:rsid w:val="116A7E05"/>
    <w:rsid w:val="11722460"/>
    <w:rsid w:val="117A4F14"/>
    <w:rsid w:val="118E2180"/>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4440AD"/>
    <w:rsid w:val="127A5380"/>
    <w:rsid w:val="128C614F"/>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8C07C1"/>
    <w:rsid w:val="139600FA"/>
    <w:rsid w:val="139B1B3C"/>
    <w:rsid w:val="13AC7923"/>
    <w:rsid w:val="13BB36C2"/>
    <w:rsid w:val="13C163E4"/>
    <w:rsid w:val="13CB0635"/>
    <w:rsid w:val="13CF69C3"/>
    <w:rsid w:val="13DA01CA"/>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8617D9"/>
    <w:rsid w:val="149258A7"/>
    <w:rsid w:val="149321EC"/>
    <w:rsid w:val="14A979BF"/>
    <w:rsid w:val="14AA6C47"/>
    <w:rsid w:val="14AD74AF"/>
    <w:rsid w:val="14B81325"/>
    <w:rsid w:val="14BB5770"/>
    <w:rsid w:val="14CA4494"/>
    <w:rsid w:val="14DD13B5"/>
    <w:rsid w:val="14DF1102"/>
    <w:rsid w:val="14E66D8F"/>
    <w:rsid w:val="14E74E80"/>
    <w:rsid w:val="14EA2DA4"/>
    <w:rsid w:val="14FB05D3"/>
    <w:rsid w:val="14FB1DB1"/>
    <w:rsid w:val="1507775C"/>
    <w:rsid w:val="15082EFA"/>
    <w:rsid w:val="15107A3E"/>
    <w:rsid w:val="151C5F34"/>
    <w:rsid w:val="15214D63"/>
    <w:rsid w:val="1531629A"/>
    <w:rsid w:val="153E6FE7"/>
    <w:rsid w:val="15535F3F"/>
    <w:rsid w:val="155C3CBE"/>
    <w:rsid w:val="15697093"/>
    <w:rsid w:val="15760076"/>
    <w:rsid w:val="157E5DA4"/>
    <w:rsid w:val="159F6FD6"/>
    <w:rsid w:val="15A5462A"/>
    <w:rsid w:val="15B01BBF"/>
    <w:rsid w:val="15EC3B3E"/>
    <w:rsid w:val="15F1786F"/>
    <w:rsid w:val="15F46C2A"/>
    <w:rsid w:val="16121567"/>
    <w:rsid w:val="16175528"/>
    <w:rsid w:val="162D4D4B"/>
    <w:rsid w:val="16343F81"/>
    <w:rsid w:val="163948ED"/>
    <w:rsid w:val="164275F4"/>
    <w:rsid w:val="164717FA"/>
    <w:rsid w:val="16501227"/>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61DB2"/>
    <w:rsid w:val="18DA0A8E"/>
    <w:rsid w:val="18DC03A2"/>
    <w:rsid w:val="18E11EA5"/>
    <w:rsid w:val="18FA4C8D"/>
    <w:rsid w:val="19054750"/>
    <w:rsid w:val="19083037"/>
    <w:rsid w:val="19092828"/>
    <w:rsid w:val="19103908"/>
    <w:rsid w:val="1933462F"/>
    <w:rsid w:val="19390D64"/>
    <w:rsid w:val="19554C37"/>
    <w:rsid w:val="19566DB3"/>
    <w:rsid w:val="196279A1"/>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642CC"/>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B0C498B"/>
    <w:rsid w:val="1B397563"/>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21258"/>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249F5"/>
    <w:rsid w:val="1D3444B7"/>
    <w:rsid w:val="1D3A1AFC"/>
    <w:rsid w:val="1D3F2887"/>
    <w:rsid w:val="1D413DD6"/>
    <w:rsid w:val="1D442082"/>
    <w:rsid w:val="1D467DF1"/>
    <w:rsid w:val="1D494085"/>
    <w:rsid w:val="1D5A6A9F"/>
    <w:rsid w:val="1D6104E9"/>
    <w:rsid w:val="1D6D5E73"/>
    <w:rsid w:val="1D6E2EA0"/>
    <w:rsid w:val="1D7C0366"/>
    <w:rsid w:val="1D90430C"/>
    <w:rsid w:val="1DA228F6"/>
    <w:rsid w:val="1DA26C67"/>
    <w:rsid w:val="1DB571C9"/>
    <w:rsid w:val="1DBF6F58"/>
    <w:rsid w:val="1DFC5003"/>
    <w:rsid w:val="1E2527AC"/>
    <w:rsid w:val="1E2851F8"/>
    <w:rsid w:val="1E2A3F9F"/>
    <w:rsid w:val="1E65546D"/>
    <w:rsid w:val="1E7B6900"/>
    <w:rsid w:val="1E933E22"/>
    <w:rsid w:val="1EB60A31"/>
    <w:rsid w:val="1EC6457D"/>
    <w:rsid w:val="1EC7170B"/>
    <w:rsid w:val="1EC7534C"/>
    <w:rsid w:val="1ECD7160"/>
    <w:rsid w:val="1ED34F83"/>
    <w:rsid w:val="1ED4353F"/>
    <w:rsid w:val="1ED641E3"/>
    <w:rsid w:val="1EED4935"/>
    <w:rsid w:val="1EF15FC6"/>
    <w:rsid w:val="1EF50A28"/>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63E40"/>
    <w:rsid w:val="1FAD0B55"/>
    <w:rsid w:val="1FB57B5F"/>
    <w:rsid w:val="1FBA786C"/>
    <w:rsid w:val="1FC55FF4"/>
    <w:rsid w:val="1FDF7221"/>
    <w:rsid w:val="1FE07DD2"/>
    <w:rsid w:val="1FE276A3"/>
    <w:rsid w:val="1FF72B1D"/>
    <w:rsid w:val="2000702C"/>
    <w:rsid w:val="201952D2"/>
    <w:rsid w:val="2020109E"/>
    <w:rsid w:val="20220096"/>
    <w:rsid w:val="202816B6"/>
    <w:rsid w:val="20352DB6"/>
    <w:rsid w:val="204E725A"/>
    <w:rsid w:val="205050F3"/>
    <w:rsid w:val="20665891"/>
    <w:rsid w:val="208241B4"/>
    <w:rsid w:val="208F5999"/>
    <w:rsid w:val="20B05494"/>
    <w:rsid w:val="20BD4F1E"/>
    <w:rsid w:val="20C52ED3"/>
    <w:rsid w:val="20D109C9"/>
    <w:rsid w:val="20EE5770"/>
    <w:rsid w:val="2107261C"/>
    <w:rsid w:val="21147FEE"/>
    <w:rsid w:val="21154D5A"/>
    <w:rsid w:val="2132760F"/>
    <w:rsid w:val="213F7E47"/>
    <w:rsid w:val="21592FEC"/>
    <w:rsid w:val="215B2DFE"/>
    <w:rsid w:val="215C5CD9"/>
    <w:rsid w:val="215E3FAB"/>
    <w:rsid w:val="215F2E6D"/>
    <w:rsid w:val="218B2E3C"/>
    <w:rsid w:val="219E13DD"/>
    <w:rsid w:val="21B5456C"/>
    <w:rsid w:val="21C0289A"/>
    <w:rsid w:val="21C314C7"/>
    <w:rsid w:val="21CB366A"/>
    <w:rsid w:val="21E53DD4"/>
    <w:rsid w:val="21FE67C3"/>
    <w:rsid w:val="21FF567A"/>
    <w:rsid w:val="220019CB"/>
    <w:rsid w:val="22080E1D"/>
    <w:rsid w:val="222E4A4B"/>
    <w:rsid w:val="2244106A"/>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50918"/>
    <w:rsid w:val="24660E6A"/>
    <w:rsid w:val="24665559"/>
    <w:rsid w:val="24691825"/>
    <w:rsid w:val="248E0BEE"/>
    <w:rsid w:val="249222CA"/>
    <w:rsid w:val="24942553"/>
    <w:rsid w:val="24B056E4"/>
    <w:rsid w:val="24CC572F"/>
    <w:rsid w:val="24CF65FC"/>
    <w:rsid w:val="24D258A5"/>
    <w:rsid w:val="24DA6A74"/>
    <w:rsid w:val="24DB4BCD"/>
    <w:rsid w:val="24F602A0"/>
    <w:rsid w:val="250025A0"/>
    <w:rsid w:val="25296C9F"/>
    <w:rsid w:val="25401D76"/>
    <w:rsid w:val="2544236B"/>
    <w:rsid w:val="25453733"/>
    <w:rsid w:val="255C6713"/>
    <w:rsid w:val="256C3562"/>
    <w:rsid w:val="257F6C45"/>
    <w:rsid w:val="258C736F"/>
    <w:rsid w:val="25977271"/>
    <w:rsid w:val="259B2D68"/>
    <w:rsid w:val="259E7D45"/>
    <w:rsid w:val="25A6077B"/>
    <w:rsid w:val="25A941CC"/>
    <w:rsid w:val="25A97E1E"/>
    <w:rsid w:val="25B40CD0"/>
    <w:rsid w:val="25B763DF"/>
    <w:rsid w:val="25BF4424"/>
    <w:rsid w:val="25C17AFA"/>
    <w:rsid w:val="25C251DB"/>
    <w:rsid w:val="25E00E0C"/>
    <w:rsid w:val="25EF379B"/>
    <w:rsid w:val="25F774DD"/>
    <w:rsid w:val="260C11C1"/>
    <w:rsid w:val="260E709F"/>
    <w:rsid w:val="261049C1"/>
    <w:rsid w:val="261E645E"/>
    <w:rsid w:val="26383109"/>
    <w:rsid w:val="26397C9F"/>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75D5F"/>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4887"/>
    <w:rsid w:val="2A8E62B6"/>
    <w:rsid w:val="2A9572CC"/>
    <w:rsid w:val="2AA9206F"/>
    <w:rsid w:val="2AD81233"/>
    <w:rsid w:val="2AE63EFE"/>
    <w:rsid w:val="2B053749"/>
    <w:rsid w:val="2B195446"/>
    <w:rsid w:val="2B2E227F"/>
    <w:rsid w:val="2B2F07C6"/>
    <w:rsid w:val="2B3404E2"/>
    <w:rsid w:val="2B363CF4"/>
    <w:rsid w:val="2B3A7305"/>
    <w:rsid w:val="2B3B487D"/>
    <w:rsid w:val="2B425FD0"/>
    <w:rsid w:val="2B4268A6"/>
    <w:rsid w:val="2B536BAA"/>
    <w:rsid w:val="2B8A026B"/>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745C43"/>
    <w:rsid w:val="2C8A76F4"/>
    <w:rsid w:val="2C931BC6"/>
    <w:rsid w:val="2CA45E14"/>
    <w:rsid w:val="2CB43679"/>
    <w:rsid w:val="2CB62CA6"/>
    <w:rsid w:val="2CD40261"/>
    <w:rsid w:val="2CEE34EF"/>
    <w:rsid w:val="2CF605F7"/>
    <w:rsid w:val="2D016FE9"/>
    <w:rsid w:val="2D112B86"/>
    <w:rsid w:val="2D14362B"/>
    <w:rsid w:val="2D2E304F"/>
    <w:rsid w:val="2D3C07FE"/>
    <w:rsid w:val="2D5756FC"/>
    <w:rsid w:val="2D5D5591"/>
    <w:rsid w:val="2D74743A"/>
    <w:rsid w:val="2D7C11D4"/>
    <w:rsid w:val="2D7F4766"/>
    <w:rsid w:val="2D8D3A62"/>
    <w:rsid w:val="2DAF3E40"/>
    <w:rsid w:val="2DBE7F60"/>
    <w:rsid w:val="2DF22E0E"/>
    <w:rsid w:val="2DF34667"/>
    <w:rsid w:val="2DF6381D"/>
    <w:rsid w:val="2DF6788C"/>
    <w:rsid w:val="2E0D1588"/>
    <w:rsid w:val="2E3944B7"/>
    <w:rsid w:val="2E4749F8"/>
    <w:rsid w:val="2E4C1B78"/>
    <w:rsid w:val="2E5A665D"/>
    <w:rsid w:val="2E612BEE"/>
    <w:rsid w:val="2E73313B"/>
    <w:rsid w:val="2E866E5E"/>
    <w:rsid w:val="2E9077CD"/>
    <w:rsid w:val="2EA916B2"/>
    <w:rsid w:val="2EA9636A"/>
    <w:rsid w:val="2EB46A04"/>
    <w:rsid w:val="2EB84F76"/>
    <w:rsid w:val="2EC62DA5"/>
    <w:rsid w:val="2ECB7077"/>
    <w:rsid w:val="2ECE311C"/>
    <w:rsid w:val="2EED318E"/>
    <w:rsid w:val="2EFE3F3B"/>
    <w:rsid w:val="2F0F1794"/>
    <w:rsid w:val="2F176141"/>
    <w:rsid w:val="2F1A0856"/>
    <w:rsid w:val="2F2B5B05"/>
    <w:rsid w:val="2F475C7E"/>
    <w:rsid w:val="2F486024"/>
    <w:rsid w:val="2F523B34"/>
    <w:rsid w:val="2F5E78CC"/>
    <w:rsid w:val="2F681310"/>
    <w:rsid w:val="2F6C283B"/>
    <w:rsid w:val="2F743B89"/>
    <w:rsid w:val="2F7D19D9"/>
    <w:rsid w:val="2F7E2877"/>
    <w:rsid w:val="2F8567D8"/>
    <w:rsid w:val="2F8B5040"/>
    <w:rsid w:val="2F9107C4"/>
    <w:rsid w:val="2F961B57"/>
    <w:rsid w:val="2FA0209F"/>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A43A04"/>
    <w:rsid w:val="30AC3743"/>
    <w:rsid w:val="30C87FB8"/>
    <w:rsid w:val="30CB1DAF"/>
    <w:rsid w:val="30E90E2B"/>
    <w:rsid w:val="30ED02EA"/>
    <w:rsid w:val="30FF267A"/>
    <w:rsid w:val="310A2A14"/>
    <w:rsid w:val="310F59F0"/>
    <w:rsid w:val="31395BA8"/>
    <w:rsid w:val="3141666D"/>
    <w:rsid w:val="31480833"/>
    <w:rsid w:val="314B14BF"/>
    <w:rsid w:val="3158219E"/>
    <w:rsid w:val="316D537E"/>
    <w:rsid w:val="316F5349"/>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815664"/>
    <w:rsid w:val="32A55CC0"/>
    <w:rsid w:val="32A937D2"/>
    <w:rsid w:val="32C95971"/>
    <w:rsid w:val="32CF5928"/>
    <w:rsid w:val="32E41009"/>
    <w:rsid w:val="32E9078F"/>
    <w:rsid w:val="32ED34FF"/>
    <w:rsid w:val="330856D0"/>
    <w:rsid w:val="33316646"/>
    <w:rsid w:val="333A06E2"/>
    <w:rsid w:val="33462B8C"/>
    <w:rsid w:val="33491C13"/>
    <w:rsid w:val="335A455D"/>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2C4AD8"/>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39F8"/>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04BC"/>
    <w:rsid w:val="35E06512"/>
    <w:rsid w:val="35E33F92"/>
    <w:rsid w:val="35EB072E"/>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CC7811"/>
    <w:rsid w:val="36D20797"/>
    <w:rsid w:val="36E65B3A"/>
    <w:rsid w:val="36FF3742"/>
    <w:rsid w:val="370346A6"/>
    <w:rsid w:val="37113475"/>
    <w:rsid w:val="37252E94"/>
    <w:rsid w:val="37296474"/>
    <w:rsid w:val="373227C5"/>
    <w:rsid w:val="373D1FB8"/>
    <w:rsid w:val="37405833"/>
    <w:rsid w:val="374101FF"/>
    <w:rsid w:val="375869AC"/>
    <w:rsid w:val="375B253A"/>
    <w:rsid w:val="37666B6B"/>
    <w:rsid w:val="37675674"/>
    <w:rsid w:val="376B1978"/>
    <w:rsid w:val="37940CA8"/>
    <w:rsid w:val="37D848CF"/>
    <w:rsid w:val="37DA41AF"/>
    <w:rsid w:val="37DB157C"/>
    <w:rsid w:val="37DB3C7D"/>
    <w:rsid w:val="37DD3226"/>
    <w:rsid w:val="37EE7D30"/>
    <w:rsid w:val="37F62976"/>
    <w:rsid w:val="37F77F19"/>
    <w:rsid w:val="38042FDA"/>
    <w:rsid w:val="381C3F20"/>
    <w:rsid w:val="3822692C"/>
    <w:rsid w:val="38343F2A"/>
    <w:rsid w:val="38490F9C"/>
    <w:rsid w:val="384C1631"/>
    <w:rsid w:val="38542754"/>
    <w:rsid w:val="38577903"/>
    <w:rsid w:val="386C03A0"/>
    <w:rsid w:val="386D6DD1"/>
    <w:rsid w:val="38850AD8"/>
    <w:rsid w:val="38B10FD7"/>
    <w:rsid w:val="38B2326B"/>
    <w:rsid w:val="38BD498D"/>
    <w:rsid w:val="38D81B11"/>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0322E"/>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B1B56"/>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120845"/>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355A6"/>
    <w:rsid w:val="3DC42D6E"/>
    <w:rsid w:val="3DD009EA"/>
    <w:rsid w:val="3DD122A2"/>
    <w:rsid w:val="3DD64752"/>
    <w:rsid w:val="3DD80DF7"/>
    <w:rsid w:val="3DE17E96"/>
    <w:rsid w:val="3DE26317"/>
    <w:rsid w:val="3DEB1B40"/>
    <w:rsid w:val="3DFC4E7F"/>
    <w:rsid w:val="3E2D1C0D"/>
    <w:rsid w:val="3E352B5B"/>
    <w:rsid w:val="3E3A2755"/>
    <w:rsid w:val="3E426903"/>
    <w:rsid w:val="3E463101"/>
    <w:rsid w:val="3E5717D0"/>
    <w:rsid w:val="3E5E04B0"/>
    <w:rsid w:val="3E5F4189"/>
    <w:rsid w:val="3E614006"/>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223E95"/>
    <w:rsid w:val="3F330C34"/>
    <w:rsid w:val="3F3917F4"/>
    <w:rsid w:val="3F397A0D"/>
    <w:rsid w:val="3F4A39C9"/>
    <w:rsid w:val="3F625E8E"/>
    <w:rsid w:val="3F6A673B"/>
    <w:rsid w:val="3F832FD5"/>
    <w:rsid w:val="3F8C2A74"/>
    <w:rsid w:val="3F9229BE"/>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84ABF"/>
    <w:rsid w:val="438F0BB0"/>
    <w:rsid w:val="43993170"/>
    <w:rsid w:val="43AE02ED"/>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F3A86"/>
    <w:rsid w:val="4478636B"/>
    <w:rsid w:val="447A0DB3"/>
    <w:rsid w:val="4481712B"/>
    <w:rsid w:val="44901E7E"/>
    <w:rsid w:val="449F2967"/>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427046"/>
    <w:rsid w:val="4743767B"/>
    <w:rsid w:val="474E29C1"/>
    <w:rsid w:val="475569C5"/>
    <w:rsid w:val="475A49C5"/>
    <w:rsid w:val="475E44B5"/>
    <w:rsid w:val="476121D8"/>
    <w:rsid w:val="476A063C"/>
    <w:rsid w:val="477C748E"/>
    <w:rsid w:val="478A7058"/>
    <w:rsid w:val="47941208"/>
    <w:rsid w:val="47A101B2"/>
    <w:rsid w:val="47BF2852"/>
    <w:rsid w:val="47BF386C"/>
    <w:rsid w:val="47C3256A"/>
    <w:rsid w:val="47C95C6C"/>
    <w:rsid w:val="47EC7022"/>
    <w:rsid w:val="47FC7940"/>
    <w:rsid w:val="480107DA"/>
    <w:rsid w:val="48030B33"/>
    <w:rsid w:val="48046015"/>
    <w:rsid w:val="4819316F"/>
    <w:rsid w:val="481C74A8"/>
    <w:rsid w:val="482F5E51"/>
    <w:rsid w:val="483F125D"/>
    <w:rsid w:val="48580B32"/>
    <w:rsid w:val="485B43A9"/>
    <w:rsid w:val="48635024"/>
    <w:rsid w:val="487B675C"/>
    <w:rsid w:val="48A95C04"/>
    <w:rsid w:val="48B22238"/>
    <w:rsid w:val="48B33076"/>
    <w:rsid w:val="48C4330A"/>
    <w:rsid w:val="48CD23FF"/>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C26B3"/>
    <w:rsid w:val="496F2CCC"/>
    <w:rsid w:val="498F64FC"/>
    <w:rsid w:val="49AD1724"/>
    <w:rsid w:val="49BE7E39"/>
    <w:rsid w:val="49C40005"/>
    <w:rsid w:val="49C65419"/>
    <w:rsid w:val="49D04BAB"/>
    <w:rsid w:val="49EA0282"/>
    <w:rsid w:val="49EA17C4"/>
    <w:rsid w:val="49EF440A"/>
    <w:rsid w:val="49F7687F"/>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49791C"/>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268F1"/>
    <w:rsid w:val="4E2E44B5"/>
    <w:rsid w:val="4E4C57ED"/>
    <w:rsid w:val="4E5505A6"/>
    <w:rsid w:val="4E7B0CB2"/>
    <w:rsid w:val="4E820BD8"/>
    <w:rsid w:val="4E8D729C"/>
    <w:rsid w:val="4E8E1C0C"/>
    <w:rsid w:val="4E9609D8"/>
    <w:rsid w:val="4E98004C"/>
    <w:rsid w:val="4EA50E9C"/>
    <w:rsid w:val="4EA5208F"/>
    <w:rsid w:val="4EAE617F"/>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72C9C"/>
    <w:rsid w:val="50FC0DB6"/>
    <w:rsid w:val="511107EA"/>
    <w:rsid w:val="511F2007"/>
    <w:rsid w:val="51271E2F"/>
    <w:rsid w:val="51342CAA"/>
    <w:rsid w:val="51366F32"/>
    <w:rsid w:val="51406A38"/>
    <w:rsid w:val="514B4E4E"/>
    <w:rsid w:val="516578E1"/>
    <w:rsid w:val="517174DB"/>
    <w:rsid w:val="518049FF"/>
    <w:rsid w:val="51932FAD"/>
    <w:rsid w:val="5195151E"/>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4706"/>
    <w:rsid w:val="525F5585"/>
    <w:rsid w:val="527D4695"/>
    <w:rsid w:val="528D41E4"/>
    <w:rsid w:val="52BF5C92"/>
    <w:rsid w:val="52C2167A"/>
    <w:rsid w:val="52C7794C"/>
    <w:rsid w:val="52D279CD"/>
    <w:rsid w:val="52D32ADF"/>
    <w:rsid w:val="52E45ACB"/>
    <w:rsid w:val="52E71802"/>
    <w:rsid w:val="52F47AFB"/>
    <w:rsid w:val="53071B37"/>
    <w:rsid w:val="530A5973"/>
    <w:rsid w:val="531169F3"/>
    <w:rsid w:val="531348FB"/>
    <w:rsid w:val="53185E60"/>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63F0A"/>
    <w:rsid w:val="5409404E"/>
    <w:rsid w:val="540D55C7"/>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83DD4"/>
    <w:rsid w:val="56AA3219"/>
    <w:rsid w:val="56CF2574"/>
    <w:rsid w:val="56CF424D"/>
    <w:rsid w:val="56DE4C00"/>
    <w:rsid w:val="5707525A"/>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CB169F"/>
    <w:rsid w:val="57DB3900"/>
    <w:rsid w:val="57DB47FB"/>
    <w:rsid w:val="580846BB"/>
    <w:rsid w:val="58123F36"/>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093238"/>
    <w:rsid w:val="59125866"/>
    <w:rsid w:val="5915352F"/>
    <w:rsid w:val="591B0458"/>
    <w:rsid w:val="59232E69"/>
    <w:rsid w:val="59304651"/>
    <w:rsid w:val="593E2965"/>
    <w:rsid w:val="594856C1"/>
    <w:rsid w:val="59486EBB"/>
    <w:rsid w:val="59493AFE"/>
    <w:rsid w:val="594C38F9"/>
    <w:rsid w:val="594C4A1E"/>
    <w:rsid w:val="59567838"/>
    <w:rsid w:val="595E16C1"/>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8C4BA2"/>
    <w:rsid w:val="5A934A0F"/>
    <w:rsid w:val="5A957C98"/>
    <w:rsid w:val="5A9E6D6F"/>
    <w:rsid w:val="5AAC50E0"/>
    <w:rsid w:val="5AAD60EA"/>
    <w:rsid w:val="5AB61DE0"/>
    <w:rsid w:val="5ACB527F"/>
    <w:rsid w:val="5AD7761B"/>
    <w:rsid w:val="5B072DB6"/>
    <w:rsid w:val="5B19492B"/>
    <w:rsid w:val="5B233465"/>
    <w:rsid w:val="5B4E7984"/>
    <w:rsid w:val="5B506B61"/>
    <w:rsid w:val="5B5F0F2E"/>
    <w:rsid w:val="5B667984"/>
    <w:rsid w:val="5B6B796C"/>
    <w:rsid w:val="5B7C0F56"/>
    <w:rsid w:val="5B9808C1"/>
    <w:rsid w:val="5BAD7FC3"/>
    <w:rsid w:val="5BB10CB2"/>
    <w:rsid w:val="5BC16A09"/>
    <w:rsid w:val="5C012CC6"/>
    <w:rsid w:val="5C3B496D"/>
    <w:rsid w:val="5C503DE0"/>
    <w:rsid w:val="5C5435D1"/>
    <w:rsid w:val="5C5C5BA5"/>
    <w:rsid w:val="5C8005D2"/>
    <w:rsid w:val="5C8C4702"/>
    <w:rsid w:val="5C936557"/>
    <w:rsid w:val="5C943DBC"/>
    <w:rsid w:val="5C997625"/>
    <w:rsid w:val="5CA57080"/>
    <w:rsid w:val="5CA77E21"/>
    <w:rsid w:val="5CAF0BE0"/>
    <w:rsid w:val="5CB458BA"/>
    <w:rsid w:val="5CCE601B"/>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C2773"/>
    <w:rsid w:val="5E3E40FF"/>
    <w:rsid w:val="5E3F3871"/>
    <w:rsid w:val="5E40706E"/>
    <w:rsid w:val="5E4C1080"/>
    <w:rsid w:val="5E4E1C8A"/>
    <w:rsid w:val="5E5D7A78"/>
    <w:rsid w:val="5E7833A1"/>
    <w:rsid w:val="5E8274BA"/>
    <w:rsid w:val="5EA06D09"/>
    <w:rsid w:val="5EA53C9A"/>
    <w:rsid w:val="5EB822A5"/>
    <w:rsid w:val="5EBC7F37"/>
    <w:rsid w:val="5ECE7D1A"/>
    <w:rsid w:val="5ED36C86"/>
    <w:rsid w:val="5EDA60B0"/>
    <w:rsid w:val="5EDE0F33"/>
    <w:rsid w:val="5EE35A57"/>
    <w:rsid w:val="5F017A28"/>
    <w:rsid w:val="5F1645A7"/>
    <w:rsid w:val="5F1B193D"/>
    <w:rsid w:val="5F6A54DD"/>
    <w:rsid w:val="5F815969"/>
    <w:rsid w:val="5F8B4FA7"/>
    <w:rsid w:val="5F9B72D1"/>
    <w:rsid w:val="5FAB0A44"/>
    <w:rsid w:val="5FB17C29"/>
    <w:rsid w:val="5FB34738"/>
    <w:rsid w:val="5FB95E1C"/>
    <w:rsid w:val="5FC85F82"/>
    <w:rsid w:val="5FCB3FE5"/>
    <w:rsid w:val="5FD8170F"/>
    <w:rsid w:val="5FDC5EDE"/>
    <w:rsid w:val="5FEB2206"/>
    <w:rsid w:val="5FED772C"/>
    <w:rsid w:val="5FF97EAE"/>
    <w:rsid w:val="60155C27"/>
    <w:rsid w:val="60162D11"/>
    <w:rsid w:val="601A6070"/>
    <w:rsid w:val="60226F8B"/>
    <w:rsid w:val="6024580F"/>
    <w:rsid w:val="603B4F3C"/>
    <w:rsid w:val="60477ABF"/>
    <w:rsid w:val="604B0254"/>
    <w:rsid w:val="604B06AE"/>
    <w:rsid w:val="60526566"/>
    <w:rsid w:val="607F756F"/>
    <w:rsid w:val="60917251"/>
    <w:rsid w:val="60982996"/>
    <w:rsid w:val="60C53D01"/>
    <w:rsid w:val="60C9018D"/>
    <w:rsid w:val="60F97C84"/>
    <w:rsid w:val="61012C93"/>
    <w:rsid w:val="61053FC5"/>
    <w:rsid w:val="610C088E"/>
    <w:rsid w:val="6118412F"/>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8250A4"/>
    <w:rsid w:val="629110EB"/>
    <w:rsid w:val="62922E0D"/>
    <w:rsid w:val="62982A5C"/>
    <w:rsid w:val="62B17737"/>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25D5E"/>
    <w:rsid w:val="646A170C"/>
    <w:rsid w:val="64701038"/>
    <w:rsid w:val="64722EF6"/>
    <w:rsid w:val="64797A3F"/>
    <w:rsid w:val="647B4B09"/>
    <w:rsid w:val="647B6F79"/>
    <w:rsid w:val="64815AEE"/>
    <w:rsid w:val="648937A8"/>
    <w:rsid w:val="648B1BA9"/>
    <w:rsid w:val="648D0F64"/>
    <w:rsid w:val="649449E8"/>
    <w:rsid w:val="649844A9"/>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1E7C84"/>
    <w:rsid w:val="66523C3F"/>
    <w:rsid w:val="66541F53"/>
    <w:rsid w:val="665C126F"/>
    <w:rsid w:val="66604179"/>
    <w:rsid w:val="6660647F"/>
    <w:rsid w:val="66613222"/>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04811"/>
    <w:rsid w:val="6A9C6F1F"/>
    <w:rsid w:val="6ABC6856"/>
    <w:rsid w:val="6AC034F3"/>
    <w:rsid w:val="6AC31AF5"/>
    <w:rsid w:val="6AC96987"/>
    <w:rsid w:val="6AD24017"/>
    <w:rsid w:val="6AD42C61"/>
    <w:rsid w:val="6AE14092"/>
    <w:rsid w:val="6AEA323D"/>
    <w:rsid w:val="6AF07997"/>
    <w:rsid w:val="6AF5032D"/>
    <w:rsid w:val="6AFB2812"/>
    <w:rsid w:val="6AFE7263"/>
    <w:rsid w:val="6AFF182D"/>
    <w:rsid w:val="6B032C8C"/>
    <w:rsid w:val="6B226264"/>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6F75E9"/>
    <w:rsid w:val="6C781E2E"/>
    <w:rsid w:val="6C8202CD"/>
    <w:rsid w:val="6C8639E2"/>
    <w:rsid w:val="6C961621"/>
    <w:rsid w:val="6C9B70F6"/>
    <w:rsid w:val="6C9D5038"/>
    <w:rsid w:val="6CBB7DE1"/>
    <w:rsid w:val="6CC445CB"/>
    <w:rsid w:val="6CCE0EE6"/>
    <w:rsid w:val="6CD042ED"/>
    <w:rsid w:val="6CDA2357"/>
    <w:rsid w:val="6CE8212C"/>
    <w:rsid w:val="6CF01775"/>
    <w:rsid w:val="6CF94B50"/>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A610B2"/>
    <w:rsid w:val="6DBD67AE"/>
    <w:rsid w:val="6DCF3167"/>
    <w:rsid w:val="6DD54C21"/>
    <w:rsid w:val="6DF453C2"/>
    <w:rsid w:val="6DFC1EB9"/>
    <w:rsid w:val="6E25722B"/>
    <w:rsid w:val="6E3363CE"/>
    <w:rsid w:val="6E3C316F"/>
    <w:rsid w:val="6E453429"/>
    <w:rsid w:val="6E456275"/>
    <w:rsid w:val="6E4E36BD"/>
    <w:rsid w:val="6E6127F4"/>
    <w:rsid w:val="6E631ECC"/>
    <w:rsid w:val="6E860D5E"/>
    <w:rsid w:val="6E880670"/>
    <w:rsid w:val="6E9028F6"/>
    <w:rsid w:val="6EB7522E"/>
    <w:rsid w:val="6EC002E5"/>
    <w:rsid w:val="6EC407F2"/>
    <w:rsid w:val="6EC64ECD"/>
    <w:rsid w:val="6EC71F62"/>
    <w:rsid w:val="6ECD2CED"/>
    <w:rsid w:val="6EE1422E"/>
    <w:rsid w:val="6EE449F0"/>
    <w:rsid w:val="6EF14DB2"/>
    <w:rsid w:val="6EFA06B8"/>
    <w:rsid w:val="6F046E40"/>
    <w:rsid w:val="6F1743AC"/>
    <w:rsid w:val="6F3E2352"/>
    <w:rsid w:val="6F46088C"/>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6609E"/>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5D75D2"/>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C4F60"/>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BB5477"/>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356A"/>
    <w:rsid w:val="784A43B3"/>
    <w:rsid w:val="78511348"/>
    <w:rsid w:val="785250C1"/>
    <w:rsid w:val="78564BB1"/>
    <w:rsid w:val="78581051"/>
    <w:rsid w:val="786228CD"/>
    <w:rsid w:val="786F0FB8"/>
    <w:rsid w:val="78714DF4"/>
    <w:rsid w:val="78721CEF"/>
    <w:rsid w:val="787234C6"/>
    <w:rsid w:val="78756296"/>
    <w:rsid w:val="788334CC"/>
    <w:rsid w:val="78975BF6"/>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AD5A27"/>
    <w:rsid w:val="79B24F44"/>
    <w:rsid w:val="79C56A19"/>
    <w:rsid w:val="79D957CA"/>
    <w:rsid w:val="79DA621C"/>
    <w:rsid w:val="79ED729C"/>
    <w:rsid w:val="7A0A78E3"/>
    <w:rsid w:val="7A2465E9"/>
    <w:rsid w:val="7A364577"/>
    <w:rsid w:val="7A370E93"/>
    <w:rsid w:val="7A54735F"/>
    <w:rsid w:val="7A5A319C"/>
    <w:rsid w:val="7A5B64AE"/>
    <w:rsid w:val="7A5C5D83"/>
    <w:rsid w:val="7A681FA7"/>
    <w:rsid w:val="7A6963D8"/>
    <w:rsid w:val="7A782F9B"/>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15C44"/>
    <w:rsid w:val="7BAB0D70"/>
    <w:rsid w:val="7BBC11CF"/>
    <w:rsid w:val="7BBF79A8"/>
    <w:rsid w:val="7BC24F1F"/>
    <w:rsid w:val="7BE129E3"/>
    <w:rsid w:val="7BE23EB3"/>
    <w:rsid w:val="7BE91898"/>
    <w:rsid w:val="7BF72207"/>
    <w:rsid w:val="7C101909"/>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D32800"/>
    <w:rsid w:val="7DFF0E02"/>
    <w:rsid w:val="7DFF7AEE"/>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styleId="16">
    <w:name w:val="envelope return"/>
    <w:basedOn w:val="1"/>
    <w:next w:val="11"/>
    <w:qFormat/>
    <w:uiPriority w:val="0"/>
    <w:pPr>
      <w:snapToGrid w:val="0"/>
    </w:pPr>
    <w:rPr>
      <w:rFonts w:ascii="Arial" w:hAnsi="Arial"/>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jc w:val="left"/>
    </w:pPr>
    <w:rPr>
      <w:b/>
      <w:bCs/>
      <w:caps/>
      <w:sz w:val="20"/>
      <w:szCs w:val="20"/>
    </w:rPr>
  </w:style>
  <w:style w:type="paragraph" w:styleId="32">
    <w:name w:val="toc 4"/>
    <w:basedOn w:val="1"/>
    <w:next w:val="1"/>
    <w:qFormat/>
    <w:uiPriority w:val="39"/>
    <w:pPr>
      <w:ind w:left="630"/>
      <w:jc w:val="left"/>
    </w:pPr>
    <w:rPr>
      <w:sz w:val="18"/>
      <w:szCs w:val="18"/>
    </w:rPr>
  </w:style>
  <w:style w:type="paragraph" w:styleId="33">
    <w:name w:val="List"/>
    <w:basedOn w:val="1"/>
    <w:qFormat/>
    <w:uiPriority w:val="0"/>
    <w:pPr>
      <w:ind w:left="420" w:hanging="420"/>
    </w:pPr>
  </w:style>
  <w:style w:type="paragraph" w:styleId="34">
    <w:name w:val="footnote text"/>
    <w:basedOn w:val="1"/>
    <w:qFormat/>
    <w:uiPriority w:val="0"/>
    <w:rPr>
      <w:sz w:val="20"/>
      <w:szCs w:val="20"/>
    </w:rPr>
  </w:style>
  <w:style w:type="paragraph" w:styleId="35">
    <w:name w:val="toc 6"/>
    <w:basedOn w:val="1"/>
    <w:next w:val="1"/>
    <w:qFormat/>
    <w:uiPriority w:val="39"/>
    <w:pPr>
      <w:ind w:left="1050"/>
      <w:jc w:val="left"/>
    </w:pPr>
    <w:rPr>
      <w:sz w:val="18"/>
      <w:szCs w:val="18"/>
    </w:rPr>
  </w:style>
  <w:style w:type="paragraph" w:styleId="36">
    <w:name w:val="Body Text Indent 3"/>
    <w:basedOn w:val="1"/>
    <w:qFormat/>
    <w:uiPriority w:val="0"/>
    <w:pPr>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39"/>
    <w:pPr>
      <w:ind w:left="210"/>
      <w:jc w:val="left"/>
    </w:pPr>
    <w:rPr>
      <w:smallCaps/>
      <w:sz w:val="20"/>
      <w:szCs w:val="20"/>
    </w:rPr>
  </w:style>
  <w:style w:type="paragraph" w:styleId="39">
    <w:name w:val="toc 9"/>
    <w:basedOn w:val="1"/>
    <w:next w:val="1"/>
    <w:qFormat/>
    <w:uiPriority w:val="39"/>
    <w:pPr>
      <w:ind w:left="1680"/>
      <w:jc w:val="left"/>
    </w:pPr>
    <w:rPr>
      <w:sz w:val="18"/>
      <w:szCs w:val="18"/>
    </w:rPr>
  </w:style>
  <w:style w:type="paragraph" w:styleId="40">
    <w:name w:val="Body Text 2"/>
    <w:basedOn w:val="1"/>
    <w:qFormat/>
    <w:uiPriority w:val="0"/>
    <w:pPr>
      <w:spacing w:line="440" w:lineRule="exact"/>
    </w:pPr>
    <w:rPr>
      <w:sz w:val="28"/>
    </w:rPr>
  </w:style>
  <w:style w:type="paragraph" w:styleId="41">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2">
    <w:name w:val="Normal (Web)"/>
    <w:basedOn w:val="1"/>
    <w:next w:val="43"/>
    <w:qFormat/>
    <w:uiPriority w:val="99"/>
    <w:pPr>
      <w:widowControl/>
      <w:spacing w:beforeAutospacing="1" w:afterAutospacing="1"/>
      <w:jc w:val="left"/>
    </w:pPr>
    <w:rPr>
      <w:rFonts w:ascii="宋体" w:hAnsi="宋体" w:cs="宋体"/>
      <w:kern w:val="0"/>
      <w:sz w:val="24"/>
    </w:rPr>
  </w:style>
  <w:style w:type="paragraph" w:customStyle="1" w:styleId="43">
    <w:name w:val="正文文字 8"/>
    <w:basedOn w:val="1"/>
    <w:next w:val="1"/>
    <w:qFormat/>
    <w:uiPriority w:val="0"/>
    <w:pPr>
      <w:ind w:left="240"/>
    </w:pPr>
    <w:rPr>
      <w:sz w:val="16"/>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1"/>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 w:type="character" w:customStyle="1" w:styleId="214">
    <w:name w:val="time"/>
    <w:basedOn w:val="49"/>
    <w:qFormat/>
    <w:uiPriority w:val="0"/>
  </w:style>
  <w:style w:type="character" w:customStyle="1" w:styleId="215">
    <w:name w:val="status"/>
    <w:basedOn w:val="49"/>
    <w:qFormat/>
    <w:uiPriority w:val="0"/>
    <w:rPr>
      <w:color w:val="0776DD"/>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95</Pages>
  <Words>19992</Words>
  <Characters>21759</Characters>
  <Lines>411</Lines>
  <Paragraphs>115</Paragraphs>
  <TotalTime>0</TotalTime>
  <ScaleCrop>false</ScaleCrop>
  <LinksUpToDate>false</LinksUpToDate>
  <CharactersWithSpaces>22037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2026-09-18T06:59:26Z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B814765FCF534E7FA99DF48310CA6B67_13</vt:lpwstr>
  </property>
  <property fmtid="{D5CDD505-2E9C-101B-9397-08002B2CF9AE}" pid="4" name="KSOTemplateDocerSaveRecord">
    <vt:lpwstr>eyJoZGlkIjoiMTljMDcwYWJmYjExZWQzNTVmZDAzZTYwM2JlMzJmZDYiLCJ1c2VySWQiOiIzODU2Mzk2OTQifQ==</vt:lpwstr>
  </property>
</Properties>
</file>